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bookmarkStart w:id="0" w:name="_Hlk206352915"/>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Pr="00A572F9" w:rsidRDefault="000B28C7" w:rsidP="000B28C7">
      <w:pPr>
        <w:spacing w:line="360" w:lineRule="auto"/>
        <w:jc w:val="right"/>
        <w:rPr>
          <w:rFonts w:ascii="Simplified Arabic" w:hAnsi="Simplified Arabic" w:cs="Simplified Arabic"/>
          <w:b/>
          <w:bCs/>
          <w:sz w:val="28"/>
          <w:szCs w:val="28"/>
          <w:rtl/>
        </w:rPr>
      </w:pPr>
      <w:r w:rsidRPr="00FC62C6">
        <w:rPr>
          <w:rFonts w:ascii="Sakkal Majalla" w:hAnsi="Sakkal Majalla" w:cs="Sakkal Majalla"/>
          <w:b/>
          <w:bCs/>
          <w:sz w:val="28"/>
          <w:szCs w:val="28"/>
          <w:rtl/>
        </w:rPr>
        <w:t xml:space="preserve">جامعة </w:t>
      </w:r>
      <w:proofErr w:type="spellStart"/>
      <w:r w:rsidRPr="00FC62C6">
        <w:rPr>
          <w:rFonts w:ascii="Sakkal Majalla" w:hAnsi="Sakkal Majalla" w:cs="Sakkal Majalla"/>
          <w:b/>
          <w:bCs/>
          <w:sz w:val="28"/>
          <w:szCs w:val="28"/>
          <w:rtl/>
        </w:rPr>
        <w:t>ميداوشن</w:t>
      </w:r>
      <w:proofErr w:type="spellEnd"/>
    </w:p>
    <w:p w14:paraId="2F815173" w14:textId="3286CE27" w:rsidR="00540C9A" w:rsidRPr="00A572F9" w:rsidRDefault="00540C9A" w:rsidP="00540C9A">
      <w:pPr>
        <w:spacing w:line="360" w:lineRule="auto"/>
        <w:jc w:val="center"/>
        <w:rPr>
          <w:rFonts w:ascii="Simplified Arabic" w:hAnsi="Simplified Arabic" w:cs="Simplified Arabic"/>
          <w:b/>
          <w:bCs/>
          <w:sz w:val="28"/>
          <w:szCs w:val="28"/>
        </w:rPr>
      </w:pPr>
      <w:r w:rsidRPr="00A572F9">
        <w:rPr>
          <w:rFonts w:ascii="Simplified Arabic" w:hAnsi="Simplified Arabic" w:cs="Simplified Arabic"/>
          <w:b/>
          <w:bCs/>
          <w:sz w:val="28"/>
          <w:szCs w:val="28"/>
          <w:rtl/>
        </w:rPr>
        <w:t xml:space="preserve"> أطروحة درجة الدكتوراة بالإدارة</w:t>
      </w:r>
    </w:p>
    <w:p w14:paraId="0B874267" w14:textId="77AB59E0" w:rsidR="00D022C9" w:rsidRPr="00A572F9" w:rsidRDefault="002511D2" w:rsidP="002511D2">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A572F9" w:rsidRDefault="00813C16" w:rsidP="00A572F9">
      <w:pPr>
        <w:spacing w:line="360" w:lineRule="auto"/>
        <w:jc w:val="both"/>
        <w:rPr>
          <w:rFonts w:asciiTheme="majorBidi" w:hAnsiTheme="majorBidi" w:cstheme="majorBidi"/>
          <w:sz w:val="28"/>
          <w:szCs w:val="28"/>
        </w:rPr>
      </w:pPr>
      <w:r w:rsidRPr="00A572F9">
        <w:rPr>
          <w:rFonts w:asciiTheme="majorBidi" w:hAnsiTheme="majorBidi" w:cstheme="majorBidi"/>
          <w:b/>
          <w:bCs/>
          <w:sz w:val="28"/>
          <w:szCs w:val="28"/>
        </w:rPr>
        <w:t>The Role of Transformational Leadership on Safety Culture in Government Hospitals: A Field Study in the Al-</w:t>
      </w:r>
      <w:proofErr w:type="spellStart"/>
      <w:r w:rsidRPr="00A572F9">
        <w:rPr>
          <w:rFonts w:asciiTheme="majorBidi" w:hAnsiTheme="majorBidi" w:cstheme="majorBidi"/>
          <w:b/>
          <w:bCs/>
          <w:sz w:val="28"/>
          <w:szCs w:val="28"/>
        </w:rPr>
        <w:t>Jouf</w:t>
      </w:r>
      <w:proofErr w:type="spellEnd"/>
      <w:r w:rsidRPr="00A572F9">
        <w:rPr>
          <w:rFonts w:asciiTheme="majorBidi" w:hAnsiTheme="majorBidi" w:cstheme="majorBidi"/>
          <w:b/>
          <w:bCs/>
          <w:sz w:val="28"/>
          <w:szCs w:val="28"/>
        </w:rPr>
        <w:t xml:space="preserve"> Region of the Kingdom of Saudi Arabia</w:t>
      </w:r>
    </w:p>
    <w:p w14:paraId="3B6EFA17" w14:textId="4110422E" w:rsidR="009A689A" w:rsidRPr="00A572F9" w:rsidRDefault="009A689A" w:rsidP="00A572F9">
      <w:pPr>
        <w:spacing w:line="360" w:lineRule="auto"/>
        <w:jc w:val="both"/>
        <w:rPr>
          <w:rFonts w:asciiTheme="majorBidi" w:hAnsiTheme="majorBidi" w:cstheme="majorBidi"/>
          <w:b/>
          <w:bCs/>
          <w:sz w:val="28"/>
          <w:szCs w:val="28"/>
        </w:rPr>
      </w:pPr>
      <w:r w:rsidRPr="00A572F9">
        <w:rPr>
          <w:rFonts w:asciiTheme="majorBidi" w:hAnsiTheme="majorBidi" w:cstheme="majorBidi"/>
          <w:b/>
          <w:bCs/>
          <w:sz w:val="28"/>
          <w:szCs w:val="28"/>
        </w:rPr>
        <w:t>Submitted to Midocean University in partial fulfilment of the requirements for the degree of Doctor of Philosophy</w:t>
      </w:r>
      <w:r w:rsidR="003D7090" w:rsidRPr="00A572F9">
        <w:rPr>
          <w:rFonts w:asciiTheme="majorBidi" w:hAnsiTheme="majorBidi" w:cstheme="majorBidi"/>
          <w:b/>
          <w:bCs/>
          <w:sz w:val="28"/>
          <w:szCs w:val="28"/>
        </w:rPr>
        <w:t>.</w:t>
      </w:r>
    </w:p>
    <w:p w14:paraId="29E8D536"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45B2A2A0"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20570E2C"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اعداد الباحث: عبد الله مجزع الرويلي</w:t>
      </w:r>
    </w:p>
    <w:p w14:paraId="46C7795D"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 xml:space="preserve"> الرقم الجامعي:242000241</w:t>
      </w:r>
    </w:p>
    <w:p w14:paraId="6D87B448"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المملكة العربية السعودية</w:t>
      </w:r>
    </w:p>
    <w:p w14:paraId="478B338F" w14:textId="27C7B448" w:rsidR="00573910" w:rsidRPr="00A572F9" w:rsidRDefault="003D7090" w:rsidP="003D7090">
      <w:pPr>
        <w:bidi/>
        <w:spacing w:line="360" w:lineRule="auto"/>
        <w:rPr>
          <w:rFonts w:ascii="Simplified Arabic" w:hAnsi="Simplified Arabic" w:cs="Simplified Arabic"/>
          <w:sz w:val="28"/>
          <w:szCs w:val="28"/>
          <w:rtl/>
        </w:rPr>
      </w:pPr>
      <w:r w:rsidRPr="00A572F9">
        <w:rPr>
          <w:rFonts w:ascii="Simplified Arabic" w:hAnsi="Simplified Arabic" w:cs="Simplified Arabic"/>
          <w:b/>
          <w:bCs/>
          <w:sz w:val="28"/>
          <w:szCs w:val="28"/>
          <w:rtl/>
        </w:rPr>
        <w:t>الكلية: الإدارة</w:t>
      </w:r>
    </w:p>
    <w:p w14:paraId="6969F8D0" w14:textId="77777777" w:rsidR="003D7090" w:rsidRPr="00FC62C6" w:rsidRDefault="003D7090" w:rsidP="003D7090">
      <w:pPr>
        <w:bidi/>
        <w:spacing w:line="360" w:lineRule="auto"/>
        <w:jc w:val="center"/>
        <w:rPr>
          <w:rFonts w:ascii="Sakkal Majalla" w:hAnsi="Sakkal Majalla" w:cs="Sakkal Majalla"/>
          <w:sz w:val="28"/>
          <w:szCs w:val="28"/>
          <w:rtl/>
        </w:rPr>
      </w:pPr>
    </w:p>
    <w:p w14:paraId="0A7154B0"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03161FB8"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52D91D90"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5CA8C663" w14:textId="77777777" w:rsidR="00E76DA2" w:rsidRPr="00FC62C6" w:rsidRDefault="00E76DA2" w:rsidP="00E76DA2">
      <w:pPr>
        <w:bidi/>
        <w:spacing w:line="360" w:lineRule="auto"/>
        <w:jc w:val="both"/>
        <w:rPr>
          <w:rFonts w:ascii="Sakkal Majalla" w:hAnsi="Sakkal Majalla" w:cs="Sakkal Majalla" w:hint="cs"/>
          <w:b/>
          <w:bCs/>
          <w:color w:val="EE0000"/>
          <w:sz w:val="28"/>
          <w:szCs w:val="28"/>
          <w:rtl/>
        </w:rPr>
      </w:pPr>
    </w:p>
    <w:p w14:paraId="3924C554" w14:textId="4245CA5E" w:rsidR="00680415" w:rsidRPr="00FC62C6" w:rsidRDefault="00680415" w:rsidP="00573910">
      <w:pPr>
        <w:bidi/>
        <w:spacing w:line="360" w:lineRule="auto"/>
        <w:jc w:val="both"/>
        <w:rPr>
          <w:rFonts w:ascii="Sakkal Majalla" w:eastAsiaTheme="majorEastAsia" w:hAnsi="Sakkal Majalla" w:cs="Sakkal Majalla"/>
          <w:b/>
          <w:bCs/>
          <w:spacing w:val="-10"/>
          <w:kern w:val="28"/>
          <w:sz w:val="28"/>
          <w:szCs w:val="28"/>
          <w:rtl/>
        </w:rPr>
      </w:pPr>
      <w:r w:rsidRPr="00FC62C6">
        <w:rPr>
          <w:rFonts w:ascii="Sakkal Majalla" w:hAnsi="Sakkal Majalla" w:cs="Sakkal Majalla"/>
          <w:b/>
          <w:bCs/>
          <w:sz w:val="28"/>
          <w:szCs w:val="28"/>
          <w:rtl/>
          <w:lang w:bidi="ar-JO"/>
        </w:rPr>
        <w:lastRenderedPageBreak/>
        <w:t>1.</w:t>
      </w:r>
      <w:r w:rsidR="0000479E" w:rsidRPr="00FC62C6">
        <w:rPr>
          <w:rFonts w:ascii="Sakkal Majalla" w:eastAsiaTheme="majorEastAsia" w:hAnsi="Sakkal Majalla" w:cs="Sakkal Majalla"/>
          <w:b/>
          <w:bCs/>
          <w:spacing w:val="-10"/>
          <w:kern w:val="28"/>
          <w:sz w:val="28"/>
          <w:szCs w:val="28"/>
          <w:rtl/>
        </w:rPr>
        <w:t>ال</w:t>
      </w:r>
      <w:r w:rsidR="00E94DD2" w:rsidRPr="00FC62C6">
        <w:rPr>
          <w:rFonts w:ascii="Sakkal Majalla" w:eastAsiaTheme="majorEastAsia" w:hAnsi="Sakkal Majalla" w:cs="Sakkal Majalla"/>
          <w:b/>
          <w:bCs/>
          <w:spacing w:val="-10"/>
          <w:kern w:val="28"/>
          <w:sz w:val="28"/>
          <w:szCs w:val="28"/>
          <w:rtl/>
        </w:rPr>
        <w:t xml:space="preserve">مقدمة </w:t>
      </w:r>
    </w:p>
    <w:p w14:paraId="0CC9936A" w14:textId="67A2A3E5" w:rsidR="00493C51" w:rsidRPr="008E0368" w:rsidRDefault="006E53C5" w:rsidP="00054F0A">
      <w:pPr>
        <w:bidi/>
        <w:spacing w:line="360" w:lineRule="auto"/>
        <w:jc w:val="both"/>
        <w:rPr>
          <w:rFonts w:ascii="Simplified Arabic" w:eastAsiaTheme="majorEastAsia" w:hAnsi="Simplified Arabic" w:cs="Simplified Arabic"/>
          <w:spacing w:val="-10"/>
          <w:kern w:val="28"/>
          <w:sz w:val="24"/>
          <w:szCs w:val="24"/>
        </w:rPr>
      </w:pPr>
      <w:r w:rsidRPr="00FC62C6">
        <w:rPr>
          <w:rFonts w:ascii="Sakkal Majalla" w:eastAsiaTheme="majorEastAsia" w:hAnsi="Sakkal Majalla" w:cs="Sakkal Majalla"/>
          <w:spacing w:val="-10"/>
          <w:kern w:val="28"/>
          <w:sz w:val="28"/>
          <w:szCs w:val="28"/>
          <w:rtl/>
        </w:rPr>
        <w:t xml:space="preserve">يشهد النظام الصحي العالمي تحولات جوهرية تستدعي إعادة النظر في الأساليب التقليدية للرعاية الصحية. وفي ظل هذا السياق المتغير، برزت </w:t>
      </w:r>
      <w:r w:rsidRPr="008E0368">
        <w:rPr>
          <w:rFonts w:ascii="Simplified Arabic" w:eastAsiaTheme="majorEastAsia" w:hAnsi="Simplified Arabic" w:cs="Simplified Arabic"/>
          <w:spacing w:val="-10"/>
          <w:kern w:val="28"/>
          <w:sz w:val="24"/>
          <w:szCs w:val="24"/>
          <w:rtl/>
        </w:rPr>
        <w:t>سلامة المرضى كأحد المعايير الأساسية لقياس جودة الخدمات الصحية وفاعلية الأنظمة الطبية المعاصرة. (</w:t>
      </w:r>
      <w:r w:rsidRPr="008E0368">
        <w:rPr>
          <w:rFonts w:ascii="Simplified Arabic" w:eastAsiaTheme="majorEastAsia" w:hAnsi="Simplified Arabic" w:cs="Simplified Arabic"/>
          <w:spacing w:val="-10"/>
          <w:kern w:val="28"/>
          <w:sz w:val="24"/>
          <w:szCs w:val="24"/>
        </w:rPr>
        <w:t>Shenoy, 2021</w:t>
      </w:r>
      <w:r w:rsidRPr="008E0368">
        <w:rPr>
          <w:rFonts w:ascii="Simplified Arabic" w:eastAsiaTheme="majorEastAsia" w:hAnsi="Simplified Arabic" w:cs="Simplified Arabic"/>
          <w:spacing w:val="-10"/>
          <w:kern w:val="28"/>
          <w:sz w:val="24"/>
          <w:szCs w:val="24"/>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Pr="008E0368">
        <w:rPr>
          <w:rFonts w:ascii="Simplified Arabic" w:eastAsiaTheme="majorEastAsia" w:hAnsi="Simplified Arabic" w:cs="Simplified Arabic"/>
          <w:spacing w:val="-10"/>
          <w:kern w:val="28"/>
          <w:sz w:val="24"/>
          <w:szCs w:val="24"/>
        </w:rPr>
        <w:t>Hamdan et al., 2024</w:t>
      </w:r>
      <w:r w:rsidRPr="008E0368">
        <w:rPr>
          <w:rFonts w:ascii="Simplified Arabic" w:eastAsiaTheme="majorEastAsia" w:hAnsi="Simplified Arabic" w:cs="Simplified Arabic"/>
          <w:spacing w:val="-10"/>
          <w:kern w:val="28"/>
          <w:sz w:val="24"/>
          <w:szCs w:val="24"/>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2C290BD2" w14:textId="7756F1FF" w:rsidR="00493C51" w:rsidRPr="008E0368" w:rsidRDefault="001C2889" w:rsidP="00054F0A">
      <w:pPr>
        <w:bidi/>
        <w:spacing w:line="360" w:lineRule="auto"/>
        <w:jc w:val="both"/>
        <w:rPr>
          <w:rFonts w:ascii="Simplified Arabic" w:eastAsiaTheme="majorEastAsia" w:hAnsi="Simplified Arabic" w:cs="Simplified Arabic"/>
          <w:spacing w:val="-10"/>
          <w:kern w:val="28"/>
          <w:sz w:val="24"/>
          <w:szCs w:val="24"/>
        </w:rPr>
      </w:pPr>
      <w:r w:rsidRPr="008E0368">
        <w:rPr>
          <w:rFonts w:ascii="Simplified Arabic" w:eastAsiaTheme="majorEastAsia" w:hAnsi="Simplified Arabic" w:cs="Simplified Arabic"/>
          <w:spacing w:val="-10"/>
          <w:kern w:val="28"/>
          <w:sz w:val="24"/>
          <w:szCs w:val="24"/>
          <w:rtl/>
        </w:rPr>
        <w:t xml:space="preserve">وفي المملكة العربية السعودية، تعد منطقة الجوف منطقة جغرافية ذات أهمية استراتيجية تمتد عبر خمس محافظات رئيسية: سكاكا، دومة الجندل، </w:t>
      </w:r>
      <w:proofErr w:type="spellStart"/>
      <w:r w:rsidRPr="008E0368">
        <w:rPr>
          <w:rFonts w:ascii="Simplified Arabic" w:eastAsiaTheme="majorEastAsia" w:hAnsi="Simplified Arabic" w:cs="Simplified Arabic"/>
          <w:spacing w:val="-10"/>
          <w:kern w:val="28"/>
          <w:sz w:val="24"/>
          <w:szCs w:val="24"/>
          <w:rtl/>
        </w:rPr>
        <w:t>صوير</w:t>
      </w:r>
      <w:proofErr w:type="spellEnd"/>
      <w:r w:rsidRPr="008E0368">
        <w:rPr>
          <w:rFonts w:ascii="Simplified Arabic" w:eastAsiaTheme="majorEastAsia" w:hAnsi="Simplified Arabic" w:cs="Simplified Arabic"/>
          <w:spacing w:val="-10"/>
          <w:kern w:val="28"/>
          <w:sz w:val="24"/>
          <w:szCs w:val="24"/>
          <w:rtl/>
        </w:rPr>
        <w:t>، طبرجل، والقريات، وتحتوي على تسعة مستشفيات حكومية تقدم الخدمات لأكثر من 595,000 مستفيد (</w:t>
      </w:r>
      <w:r w:rsidRPr="008E0368">
        <w:rPr>
          <w:rFonts w:ascii="Simplified Arabic" w:eastAsiaTheme="majorEastAsia" w:hAnsi="Simplified Arabic" w:cs="Simplified Arabic"/>
          <w:spacing w:val="-10"/>
          <w:kern w:val="28"/>
          <w:sz w:val="24"/>
          <w:szCs w:val="24"/>
        </w:rPr>
        <w:t>Holding, 2025</w:t>
      </w:r>
      <w:r w:rsidRPr="008E0368">
        <w:rPr>
          <w:rFonts w:ascii="Simplified Arabic" w:eastAsiaTheme="majorEastAsia" w:hAnsi="Simplified Arabic" w:cs="Simplified Arabic"/>
          <w:spacing w:val="-10"/>
          <w:kern w:val="28"/>
          <w:sz w:val="24"/>
          <w:szCs w:val="24"/>
          <w:rtl/>
        </w:rPr>
        <w:t>). وتتميز المنطقة بخصائص ديموغرافية وجغرافية فريدة، تشمل التفاوت بين المحافظات وتنوع السكان، مما ينعكس على طبيعة الهياكل الإدارية والتنظيمية للمؤسسات الصحية فيها. وعلى الرغم من الأهمية الكبيرة لمستشفيات المنطقة في تقديم الخدمات الصحية الأساسية، إلا أنها تواجه تحديات ملحوظة في ضمان سلامة المرضى؛ حيث تشير الدراسات الحديثة إلى وجود فجوة بين المعايير المطلوبة والممارسات الفعلية للسلامة (مخدوم، 2019).</w:t>
      </w:r>
    </w:p>
    <w:p w14:paraId="3DB7479D" w14:textId="21D189DC" w:rsidR="00493C51" w:rsidRPr="008E0368" w:rsidRDefault="001C2889" w:rsidP="00054F0A">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وتشمل سلامة المرضى مجموعة من الإجراءات الهادفة إلى الحد من الأخطاء وتقليل الأضرار المحتملة التي قد تنتج عن الرعاية الصحية (</w:t>
      </w:r>
      <w:proofErr w:type="spellStart"/>
      <w:r w:rsidRPr="008E0368">
        <w:rPr>
          <w:rFonts w:ascii="Simplified Arabic" w:eastAsiaTheme="majorEastAsia" w:hAnsi="Simplified Arabic" w:cs="Simplified Arabic"/>
          <w:spacing w:val="-10"/>
          <w:kern w:val="28"/>
          <w:sz w:val="24"/>
          <w:szCs w:val="24"/>
        </w:rPr>
        <w:t>Konlan</w:t>
      </w:r>
      <w:proofErr w:type="spellEnd"/>
      <w:r w:rsidRPr="008E0368">
        <w:rPr>
          <w:rFonts w:ascii="Simplified Arabic" w:eastAsiaTheme="majorEastAsia" w:hAnsi="Simplified Arabic" w:cs="Simplified Arabic"/>
          <w:spacing w:val="-10"/>
          <w:kern w:val="28"/>
          <w:sz w:val="24"/>
          <w:szCs w:val="24"/>
        </w:rPr>
        <w:t xml:space="preserve"> &amp; Shin</w:t>
      </w:r>
      <w:r w:rsidRPr="008E0368">
        <w:rPr>
          <w:rFonts w:ascii="Simplified Arabic" w:eastAsiaTheme="majorEastAsia" w:hAnsi="Simplified Arabic" w:cs="Simplified Arabic"/>
          <w:spacing w:val="-10"/>
          <w:kern w:val="28"/>
          <w:sz w:val="24"/>
          <w:szCs w:val="24"/>
          <w:rtl/>
        </w:rPr>
        <w:t>، 2022).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8E0368">
        <w:rPr>
          <w:rFonts w:ascii="Simplified Arabic" w:eastAsiaTheme="majorEastAsia" w:hAnsi="Simplified Arabic" w:cs="Simplified Arabic"/>
          <w:spacing w:val="-10"/>
          <w:kern w:val="28"/>
          <w:sz w:val="24"/>
          <w:szCs w:val="24"/>
        </w:rPr>
        <w:t>Ahmed et al., 2024</w:t>
      </w:r>
      <w:r w:rsidRPr="008E0368">
        <w:rPr>
          <w:rFonts w:ascii="Simplified Arabic" w:eastAsiaTheme="majorEastAsia" w:hAnsi="Simplified Arabic" w:cs="Simplified Arabic"/>
          <w:spacing w:val="-10"/>
          <w:kern w:val="28"/>
          <w:sz w:val="24"/>
          <w:szCs w:val="24"/>
          <w:rtl/>
        </w:rPr>
        <w:t>). ومن ثم، فإن تعزيز بيئة السلامة يُعد ضروريًا وملحًا، ويسهم في خفض معدل الحوادث الضارة التي يمكن الوقاية منها (</w:t>
      </w:r>
      <w:r w:rsidRPr="008E0368">
        <w:rPr>
          <w:rFonts w:ascii="Simplified Arabic" w:eastAsiaTheme="majorEastAsia" w:hAnsi="Simplified Arabic" w:cs="Simplified Arabic"/>
          <w:spacing w:val="-10"/>
          <w:kern w:val="28"/>
          <w:sz w:val="24"/>
          <w:szCs w:val="24"/>
        </w:rPr>
        <w:t>Mistri et al., 2023</w:t>
      </w:r>
      <w:r w:rsidRPr="008E0368">
        <w:rPr>
          <w:rFonts w:ascii="Simplified Arabic" w:eastAsiaTheme="majorEastAsia" w:hAnsi="Simplified Arabic" w:cs="Simplified Arabic"/>
          <w:spacing w:val="-10"/>
          <w:kern w:val="28"/>
          <w:sz w:val="24"/>
          <w:szCs w:val="24"/>
          <w:rtl/>
        </w:rPr>
        <w:t>).</w:t>
      </w:r>
    </w:p>
    <w:p w14:paraId="75C543F9" w14:textId="4C7FC37A" w:rsidR="00B458CA" w:rsidRPr="008E0368" w:rsidRDefault="001C2889" w:rsidP="00B458CA">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8E0368">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8E0368">
        <w:rPr>
          <w:rFonts w:ascii="Simplified Arabic" w:eastAsiaTheme="majorEastAsia" w:hAnsi="Simplified Arabic" w:cs="Simplified Arabic"/>
          <w:spacing w:val="-10"/>
          <w:kern w:val="28"/>
          <w:sz w:val="24"/>
          <w:szCs w:val="24"/>
          <w:rtl/>
        </w:rPr>
        <w:instrText xml:space="preserve"> </w:instrText>
      </w:r>
      <w:r w:rsidRPr="008E0368">
        <w:rPr>
          <w:rFonts w:ascii="Simplified Arabic" w:eastAsiaTheme="majorEastAsia" w:hAnsi="Simplified Arabic" w:cs="Simplified Arabic"/>
          <w:spacing w:val="-10"/>
          <w:kern w:val="28"/>
          <w:sz w:val="24"/>
          <w:szCs w:val="24"/>
        </w:rPr>
        <w:instrText>ADDIN EN.CITE</w:instrText>
      </w:r>
      <w:r w:rsidRPr="008E0368">
        <w:rPr>
          <w:rFonts w:ascii="Simplified Arabic" w:eastAsiaTheme="majorEastAsia" w:hAnsi="Simplified Arabic" w:cs="Simplified Arabic"/>
          <w:spacing w:val="-10"/>
          <w:kern w:val="28"/>
          <w:sz w:val="24"/>
          <w:szCs w:val="24"/>
          <w:rtl/>
        </w:rPr>
        <w:instrText xml:space="preserve"> </w:instrText>
      </w:r>
      <w:r w:rsidRPr="008E0368">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8E0368">
        <w:rPr>
          <w:rFonts w:ascii="Simplified Arabic" w:eastAsiaTheme="majorEastAsia" w:hAnsi="Simplified Arabic" w:cs="Simplified Arabic"/>
          <w:spacing w:val="-10"/>
          <w:kern w:val="28"/>
          <w:sz w:val="24"/>
          <w:szCs w:val="24"/>
          <w:rtl/>
        </w:rPr>
        <w:instrText xml:space="preserve"> </w:instrText>
      </w:r>
      <w:r w:rsidRPr="008E0368">
        <w:rPr>
          <w:rFonts w:ascii="Simplified Arabic" w:eastAsiaTheme="majorEastAsia" w:hAnsi="Simplified Arabic" w:cs="Simplified Arabic"/>
          <w:spacing w:val="-10"/>
          <w:kern w:val="28"/>
          <w:sz w:val="24"/>
          <w:szCs w:val="24"/>
        </w:rPr>
        <w:instrText>ADDIN EN.CITE.DATA</w:instrText>
      </w:r>
      <w:r w:rsidRPr="008E0368">
        <w:rPr>
          <w:rFonts w:ascii="Simplified Arabic" w:eastAsiaTheme="majorEastAsia" w:hAnsi="Simplified Arabic" w:cs="Simplified Arabic"/>
          <w:spacing w:val="-10"/>
          <w:kern w:val="28"/>
          <w:sz w:val="24"/>
          <w:szCs w:val="24"/>
          <w:rtl/>
        </w:rPr>
        <w:instrText xml:space="preserve"> </w:instrText>
      </w:r>
      <w:r w:rsidRPr="008E0368">
        <w:rPr>
          <w:rFonts w:ascii="Simplified Arabic" w:eastAsiaTheme="majorEastAsia" w:hAnsi="Simplified Arabic" w:cs="Simplified Arabic"/>
          <w:spacing w:val="-10"/>
          <w:kern w:val="28"/>
          <w:sz w:val="24"/>
          <w:szCs w:val="24"/>
          <w:rtl/>
        </w:rPr>
      </w:r>
      <w:r w:rsidRPr="008E0368">
        <w:rPr>
          <w:rFonts w:ascii="Simplified Arabic" w:eastAsiaTheme="majorEastAsia" w:hAnsi="Simplified Arabic" w:cs="Simplified Arabic"/>
          <w:spacing w:val="-10"/>
          <w:kern w:val="28"/>
          <w:sz w:val="24"/>
          <w:szCs w:val="24"/>
          <w:rtl/>
        </w:rPr>
        <w:fldChar w:fldCharType="end"/>
      </w:r>
      <w:r w:rsidRPr="008E0368">
        <w:rPr>
          <w:rFonts w:ascii="Simplified Arabic" w:eastAsiaTheme="majorEastAsia" w:hAnsi="Simplified Arabic" w:cs="Simplified Arabic"/>
          <w:spacing w:val="-10"/>
          <w:kern w:val="28"/>
          <w:sz w:val="24"/>
          <w:szCs w:val="24"/>
          <w:rtl/>
        </w:rPr>
      </w:r>
      <w:r w:rsidRPr="008E0368">
        <w:rPr>
          <w:rFonts w:ascii="Simplified Arabic" w:eastAsiaTheme="majorEastAsia" w:hAnsi="Simplified Arabic" w:cs="Simplified Arabic"/>
          <w:spacing w:val="-10"/>
          <w:kern w:val="28"/>
          <w:sz w:val="24"/>
          <w:szCs w:val="24"/>
          <w:rtl/>
        </w:rPr>
        <w:fldChar w:fldCharType="separate"/>
      </w:r>
      <w:r w:rsidRPr="008E0368">
        <w:rPr>
          <w:rFonts w:ascii="Simplified Arabic" w:eastAsiaTheme="majorEastAsia" w:hAnsi="Simplified Arabic" w:cs="Simplified Arabic"/>
          <w:noProof/>
          <w:spacing w:val="-10"/>
          <w:kern w:val="28"/>
          <w:sz w:val="24"/>
          <w:szCs w:val="24"/>
          <w:rtl/>
        </w:rPr>
        <w:t>(</w:t>
      </w:r>
      <w:r w:rsidRPr="008E0368">
        <w:rPr>
          <w:rFonts w:ascii="Simplified Arabic" w:eastAsiaTheme="majorEastAsia" w:hAnsi="Simplified Arabic" w:cs="Simplified Arabic"/>
          <w:noProof/>
          <w:spacing w:val="-10"/>
          <w:kern w:val="28"/>
          <w:sz w:val="24"/>
          <w:szCs w:val="24"/>
        </w:rPr>
        <w:t>Almalki et al., 2021</w:t>
      </w:r>
      <w:r w:rsidRPr="008E0368">
        <w:rPr>
          <w:rFonts w:ascii="Simplified Arabic" w:eastAsiaTheme="majorEastAsia" w:hAnsi="Simplified Arabic" w:cs="Simplified Arabic"/>
          <w:noProof/>
          <w:spacing w:val="-10"/>
          <w:kern w:val="28"/>
          <w:sz w:val="24"/>
          <w:szCs w:val="24"/>
          <w:rtl/>
        </w:rPr>
        <w:t>)</w:t>
      </w:r>
      <w:r w:rsidRPr="008E0368">
        <w:rPr>
          <w:rFonts w:ascii="Simplified Arabic" w:eastAsiaTheme="majorEastAsia" w:hAnsi="Simplified Arabic" w:cs="Simplified Arabic"/>
          <w:spacing w:val="-10"/>
          <w:kern w:val="28"/>
          <w:sz w:val="24"/>
          <w:szCs w:val="24"/>
          <w:rtl/>
        </w:rPr>
        <w:fldChar w:fldCharType="end"/>
      </w:r>
      <w:r w:rsidRPr="008E0368">
        <w:rPr>
          <w:rFonts w:ascii="Simplified Arabic" w:eastAsiaTheme="majorEastAsia" w:hAnsi="Simplified Arabic" w:cs="Simplified Arabic"/>
          <w:spacing w:val="-10"/>
          <w:kern w:val="28"/>
          <w:sz w:val="24"/>
          <w:szCs w:val="24"/>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8E0368">
        <w:rPr>
          <w:rFonts w:ascii="Simplified Arabic" w:eastAsiaTheme="majorEastAsia" w:hAnsi="Simplified Arabic" w:cs="Simplified Arabic"/>
          <w:spacing w:val="-10"/>
          <w:kern w:val="28"/>
          <w:sz w:val="24"/>
          <w:szCs w:val="24"/>
        </w:rPr>
        <w:t>near misses</w:t>
      </w:r>
      <w:r w:rsidRPr="008E0368">
        <w:rPr>
          <w:rFonts w:ascii="Simplified Arabic" w:eastAsiaTheme="majorEastAsia" w:hAnsi="Simplified Arabic" w:cs="Simplified Arabic"/>
          <w:spacing w:val="-10"/>
          <w:kern w:val="28"/>
          <w:sz w:val="24"/>
          <w:szCs w:val="24"/>
          <w:rtl/>
        </w:rPr>
        <w:t>) نسبة 96.5٪، في حين بلغت الأخطاء الفعلية التي وصلت إلى المرضى 3.4٪ فقط (</w:t>
      </w:r>
      <w:r w:rsidRPr="008E0368">
        <w:rPr>
          <w:rFonts w:ascii="Simplified Arabic" w:eastAsiaTheme="majorEastAsia" w:hAnsi="Simplified Arabic" w:cs="Simplified Arabic"/>
          <w:spacing w:val="-10"/>
          <w:kern w:val="28"/>
          <w:sz w:val="24"/>
          <w:szCs w:val="24"/>
        </w:rPr>
        <w:t>Alahmadi et al., 2022</w:t>
      </w:r>
      <w:r w:rsidRPr="008E0368">
        <w:rPr>
          <w:rFonts w:ascii="Simplified Arabic" w:eastAsiaTheme="majorEastAsia" w:hAnsi="Simplified Arabic" w:cs="Simplified Arabic"/>
          <w:spacing w:val="-10"/>
          <w:kern w:val="28"/>
          <w:sz w:val="24"/>
          <w:szCs w:val="24"/>
          <w:rtl/>
        </w:rPr>
        <w:t>).</w:t>
      </w:r>
    </w:p>
    <w:p w14:paraId="2BCDA87C" w14:textId="066500B1" w:rsidR="00B458CA" w:rsidRPr="008E0368" w:rsidRDefault="009D5A9D" w:rsidP="00B458CA">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كشفت ورقة عمل وطنية صادرة عن مركز السلامة السعودي للمرضى أن الضرر الناتج عن الأدوية والخيارات العلاجية يُشكّل نسبة 18.3% من جميع الأحداث الضارة المبلغ عنها، مع معدل ضرر يمكن تجنبه يبلغ 5% (واحد من كل 20 مريضاً). يُصنَّف ربعها على أنها ضرر شديد أو يهدد الحياة (</w:t>
      </w:r>
      <w:r w:rsidRPr="008E0368">
        <w:rPr>
          <w:rFonts w:ascii="Simplified Arabic" w:eastAsiaTheme="majorEastAsia" w:hAnsi="Simplified Arabic" w:cs="Simplified Arabic"/>
          <w:spacing w:val="-10"/>
          <w:kern w:val="28"/>
          <w:sz w:val="24"/>
          <w:szCs w:val="24"/>
        </w:rPr>
        <w:t>Centre, 2022</w:t>
      </w:r>
      <w:r w:rsidRPr="008E0368">
        <w:rPr>
          <w:rFonts w:ascii="Simplified Arabic" w:eastAsiaTheme="majorEastAsia" w:hAnsi="Simplified Arabic" w:cs="Simplified Arabic"/>
          <w:spacing w:val="-10"/>
          <w:kern w:val="28"/>
          <w:sz w:val="24"/>
          <w:szCs w:val="24"/>
          <w:rtl/>
        </w:rPr>
        <w:t xml:space="preserve">). وفيما يخص العدوى المكتسبة داخل المستشفيات، أي العدوى المرتبطة بالرعاية الصحية، أشارت دراسة وطنية إلى أن معدل الإصابة </w:t>
      </w:r>
      <w:r w:rsidRPr="008E0368">
        <w:rPr>
          <w:rFonts w:ascii="Simplified Arabic" w:eastAsiaTheme="majorEastAsia" w:hAnsi="Simplified Arabic" w:cs="Simplified Arabic"/>
          <w:spacing w:val="-10"/>
          <w:kern w:val="28"/>
          <w:sz w:val="24"/>
          <w:szCs w:val="24"/>
          <w:rtl/>
        </w:rPr>
        <w:lastRenderedPageBreak/>
        <w:t>داخل المستشفيات السعودية يتراوح بين 2.2% و5.5%. مع وجود ارتفاع ملحوظ في وحدات العناية المركزة، حيث يصل المعدل إلى 37.5% (</w:t>
      </w:r>
      <w:r w:rsidRPr="008E0368">
        <w:rPr>
          <w:rFonts w:ascii="Simplified Arabic" w:eastAsiaTheme="majorEastAsia" w:hAnsi="Simplified Arabic" w:cs="Simplified Arabic"/>
          <w:spacing w:val="-10"/>
          <w:kern w:val="28"/>
          <w:sz w:val="24"/>
          <w:szCs w:val="24"/>
        </w:rPr>
        <w:t>Khan et al., 2018</w:t>
      </w:r>
      <w:r w:rsidRPr="008E0368">
        <w:rPr>
          <w:rFonts w:ascii="Simplified Arabic" w:eastAsiaTheme="majorEastAsia" w:hAnsi="Simplified Arabic" w:cs="Simplified Arabic"/>
          <w:spacing w:val="-10"/>
          <w:kern w:val="28"/>
          <w:sz w:val="24"/>
          <w:szCs w:val="24"/>
          <w:rtl/>
        </w:rPr>
        <w:t>).</w:t>
      </w:r>
    </w:p>
    <w:p w14:paraId="0BC56ECC" w14:textId="6ABBE6A4" w:rsidR="00B458CA" w:rsidRPr="008E0368" w:rsidRDefault="009D5A9D" w:rsidP="00B458CA">
      <w:pPr>
        <w:bidi/>
        <w:spacing w:line="360" w:lineRule="auto"/>
        <w:jc w:val="both"/>
        <w:rPr>
          <w:rFonts w:ascii="Simplified Arabic" w:eastAsiaTheme="majorEastAsia" w:hAnsi="Simplified Arabic" w:cs="Simplified Arabic"/>
          <w:spacing w:val="-10"/>
          <w:kern w:val="28"/>
          <w:sz w:val="24"/>
          <w:szCs w:val="24"/>
        </w:rPr>
      </w:pPr>
      <w:r w:rsidRPr="008E0368">
        <w:rPr>
          <w:rFonts w:ascii="Simplified Arabic" w:eastAsiaTheme="majorEastAsia" w:hAnsi="Simplified Arabic" w:cs="Simplified Arabic"/>
          <w:spacing w:val="-10"/>
          <w:kern w:val="28"/>
          <w:sz w:val="24"/>
          <w:szCs w:val="24"/>
          <w:rtl/>
        </w:rPr>
        <w:t xml:space="preserve">أما على مستوى الإبلاغ عن الحوادث، فقد بلغ معدل الإبلاغ في أحد المستشفيات الجامعية 5.8 حادثة لكل 1,000 يوم مريض، وهو معدل منخفض مقارنة بالمعدلات العالمية، مما يشير إلى ضعف واضح في ثقافة الإبلاغ </w:t>
      </w:r>
      <w:r w:rsidR="001C2889" w:rsidRPr="008E0368">
        <w:rPr>
          <w:rFonts w:ascii="Simplified Arabic" w:eastAsiaTheme="majorEastAsia" w:hAnsi="Simplified Arabic" w:cs="Simplified Arabic"/>
          <w:spacing w:val="-10"/>
          <w:kern w:val="28"/>
          <w:sz w:val="24"/>
          <w:szCs w:val="24"/>
          <w:rtl/>
        </w:rPr>
        <w:fldChar w:fldCharType="begin"/>
      </w:r>
      <w:r w:rsidR="001C2889" w:rsidRPr="008E0368">
        <w:rPr>
          <w:rFonts w:ascii="Simplified Arabic" w:eastAsiaTheme="majorEastAsia" w:hAnsi="Simplified Arabic" w:cs="Simplified Arabic"/>
          <w:spacing w:val="-10"/>
          <w:kern w:val="28"/>
          <w:sz w:val="24"/>
          <w:szCs w:val="24"/>
          <w:rtl/>
        </w:rPr>
        <w:instrText xml:space="preserve"> </w:instrText>
      </w:r>
      <w:r w:rsidR="001C2889" w:rsidRPr="008E0368">
        <w:rPr>
          <w:rFonts w:ascii="Simplified Arabic" w:eastAsiaTheme="majorEastAsia" w:hAnsi="Simplified Arabic" w:cs="Simplified Arabic"/>
          <w:spacing w:val="-10"/>
          <w:kern w:val="28"/>
          <w:sz w:val="24"/>
          <w:szCs w:val="24"/>
        </w:rPr>
        <w:instrText>ADDIN EN.CITE &lt;EndNote&gt;&lt;Cite&gt;&lt;Author&gt;Arabi&lt;/Author&gt;&lt;Year&gt;2012&lt;/Year&gt;&lt;RecNum&gt;253&lt;/RecNum&gt;&lt;DisplayText&gt;(Arabi et al., 2012)&lt;/DisplayText&gt;&lt;record&gt;&lt;rec-number&gt;253&lt;/rec-number&gt;&lt;foreign-keys&gt;&lt;key app="EN" db-id="02retxxrerxdxhe9aphvs0z2t9z25p0ew99s" timestamp</w:instrText>
      </w:r>
      <w:r w:rsidR="001C2889" w:rsidRPr="008E0368">
        <w:rPr>
          <w:rFonts w:ascii="Simplified Arabic" w:eastAsiaTheme="majorEastAsia" w:hAnsi="Simplified Arabic" w:cs="Simplified Arabic"/>
          <w:spacing w:val="-10"/>
          <w:kern w:val="28"/>
          <w:sz w:val="24"/>
          <w:szCs w:val="24"/>
          <w:rtl/>
        </w:rPr>
        <w:instrText>="1765540075"&gt;253&lt;/</w:instrText>
      </w:r>
      <w:r w:rsidR="001C2889" w:rsidRPr="008E0368">
        <w:rPr>
          <w:rFonts w:ascii="Simplified Arabic" w:eastAsiaTheme="majorEastAsia" w:hAnsi="Simplified Arabic" w:cs="Simplified Arabic"/>
          <w:spacing w:val="-10"/>
          <w:kern w:val="28"/>
          <w:sz w:val="24"/>
          <w:szCs w:val="24"/>
        </w:rPr>
        <w:instrText>key&gt;&lt;/foreign-keys&gt;&lt;ref-type name="Journal Article"&gt;17&lt;/ref-type&gt;&lt;contributors&gt;&lt;authors&gt;&lt;author&gt;Arabi, Y.&lt;/author&gt;&lt;author&gt;Alamry, A.&lt;/author&gt;&lt;author&gt;Al Owais, S. M.&lt;/author&gt;&lt;author&gt;Al-Dorzi, H.&lt;/author&gt;&lt;author&gt;Noushad, S.&lt;/author&gt;&lt;author</w:instrText>
      </w:r>
      <w:r w:rsidR="001C2889" w:rsidRPr="008E0368">
        <w:rPr>
          <w:rFonts w:ascii="Simplified Arabic" w:eastAsiaTheme="majorEastAsia" w:hAnsi="Simplified Arabic" w:cs="Simplified Arabic"/>
          <w:spacing w:val="-10"/>
          <w:kern w:val="28"/>
          <w:sz w:val="24"/>
          <w:szCs w:val="24"/>
          <w:rtl/>
        </w:rPr>
        <w:instrText>&gt;</w:instrText>
      </w:r>
      <w:r w:rsidR="001C2889" w:rsidRPr="008E0368">
        <w:rPr>
          <w:rFonts w:ascii="Simplified Arabic" w:eastAsiaTheme="majorEastAsia" w:hAnsi="Simplified Arabic" w:cs="Simplified Arabic"/>
          <w:spacing w:val="-10"/>
          <w:kern w:val="28"/>
          <w:sz w:val="24"/>
          <w:szCs w:val="24"/>
        </w:rPr>
        <w:instrText>Taher, S.&lt;/author&gt;&lt;/authors&gt;&lt;/contributors&gt;&lt;auth-address&gt;Intensive Care Department, King Abdulaziz Medical City, King Saud Bin Abdulaziz University for Health Sciences, Riyadh, Saudi Arabia. yaseenarabi@yahoo.com&lt;/auth-address&gt;&lt;titles&gt;&lt;title&gt;Incident reporting at a tertiary care hospital in Saudi Arabia&lt;/title&gt;&lt;secondary-title&gt;J Patient Saf&lt;/secondary-title&gt;&lt;/titles&gt;&lt;periodical&gt;&lt;full-title&gt;J Patient Saf&lt;/full-title&gt;&lt;/periodical&gt;&lt;pages&gt;81-7&lt;/pages&gt;&lt;volume&gt;8&lt;/volume&gt;&lt;number&gt;2&lt;/number&gt;&lt;edition&gt;2012/04/25&lt;/edition&gt;&lt;keywords&gt;&lt;keyword&gt;Communication&lt;/keyword&gt;&lt;keyword&gt;Documentation/*statistics &amp;amp; numerical data&lt;/keyword&gt;&lt;keyword&gt;Hospital Administration/*statistics &amp;amp; numerical data&lt;/keyword&gt;&lt;keyword&gt;Humans&lt;/keyword&gt;&lt;keyword&gt;Intensive Care Units/statistics</w:instrText>
      </w:r>
      <w:r w:rsidR="001C2889" w:rsidRPr="008E0368">
        <w:rPr>
          <w:rFonts w:ascii="Simplified Arabic" w:eastAsiaTheme="majorEastAsia" w:hAnsi="Simplified Arabic" w:cs="Simplified Arabic"/>
          <w:spacing w:val="-10"/>
          <w:kern w:val="28"/>
          <w:sz w:val="24"/>
          <w:szCs w:val="24"/>
          <w:rtl/>
        </w:rPr>
        <w:instrText xml:space="preserve"> &amp;</w:instrText>
      </w:r>
      <w:r w:rsidR="001C2889" w:rsidRPr="008E0368">
        <w:rPr>
          <w:rFonts w:ascii="Simplified Arabic" w:eastAsiaTheme="majorEastAsia" w:hAnsi="Simplified Arabic" w:cs="Simplified Arabic"/>
          <w:spacing w:val="-10"/>
          <w:kern w:val="28"/>
          <w:sz w:val="24"/>
          <w:szCs w:val="24"/>
        </w:rPr>
        <w:instrText>amp; numerical data&lt;/keyword&gt;&lt;keyword&gt;Mandatory Reporting&lt;/keyword&gt;&lt;keyword&gt;Safety Management/methods/*statistics &amp;amp; numerical data&lt;/keyword&gt;&lt;keyword&gt;Saudi Arabia&lt;/keyword&gt;&lt;/keywords&gt;&lt;dates&gt;&lt;year&gt;2012&lt;/year&gt;&lt;pub-dates&gt;&lt;date&gt;Jun&lt;/date&gt;&lt;/pub-dates&gt;&lt;/dates&gt;&lt;isbn&gt;1549-8425 (Electronic)&amp;#xD;1549-8417 (Linking)&lt;/isbn&gt;&lt;accession-num&gt;22525364&lt;/accession-num&gt;&lt;urls&gt;&lt;related-urls&gt;&lt;url&gt;https://www.ncbi.nlm.nih.gov/pubmed/22525364&lt;/url&gt;&lt;/related-urls&gt;&lt;/urls&gt;&lt;electronic-resource-num&gt;10.1097/PTS.0b013e31824badb7&lt;/electronic-resource-num&gt;&lt;/record&gt;&lt;/Cite&gt;&lt;/EndNote</w:instrText>
      </w:r>
      <w:r w:rsidR="001C2889" w:rsidRPr="008E0368">
        <w:rPr>
          <w:rFonts w:ascii="Simplified Arabic" w:eastAsiaTheme="majorEastAsia" w:hAnsi="Simplified Arabic" w:cs="Simplified Arabic"/>
          <w:spacing w:val="-10"/>
          <w:kern w:val="28"/>
          <w:sz w:val="24"/>
          <w:szCs w:val="24"/>
          <w:rtl/>
        </w:rPr>
        <w:instrText>&gt;</w:instrText>
      </w:r>
      <w:r w:rsidR="001C2889" w:rsidRPr="008E0368">
        <w:rPr>
          <w:rFonts w:ascii="Simplified Arabic" w:eastAsiaTheme="majorEastAsia" w:hAnsi="Simplified Arabic" w:cs="Simplified Arabic"/>
          <w:spacing w:val="-10"/>
          <w:kern w:val="28"/>
          <w:sz w:val="24"/>
          <w:szCs w:val="24"/>
          <w:rtl/>
        </w:rPr>
        <w:fldChar w:fldCharType="separate"/>
      </w:r>
      <w:r w:rsidR="001C2889" w:rsidRPr="008E0368">
        <w:rPr>
          <w:rFonts w:ascii="Simplified Arabic" w:eastAsiaTheme="majorEastAsia" w:hAnsi="Simplified Arabic" w:cs="Simplified Arabic"/>
          <w:noProof/>
          <w:spacing w:val="-10"/>
          <w:kern w:val="28"/>
          <w:sz w:val="24"/>
          <w:szCs w:val="24"/>
          <w:rtl/>
        </w:rPr>
        <w:t>(</w:t>
      </w:r>
      <w:r w:rsidR="001C2889" w:rsidRPr="008E0368">
        <w:rPr>
          <w:rFonts w:ascii="Simplified Arabic" w:eastAsiaTheme="majorEastAsia" w:hAnsi="Simplified Arabic" w:cs="Simplified Arabic"/>
          <w:noProof/>
          <w:spacing w:val="-10"/>
          <w:kern w:val="28"/>
          <w:sz w:val="24"/>
          <w:szCs w:val="24"/>
        </w:rPr>
        <w:t>Arabi et al., 2012</w:t>
      </w:r>
      <w:r w:rsidR="001C2889" w:rsidRPr="008E0368">
        <w:rPr>
          <w:rFonts w:ascii="Simplified Arabic" w:eastAsiaTheme="majorEastAsia" w:hAnsi="Simplified Arabic" w:cs="Simplified Arabic"/>
          <w:noProof/>
          <w:spacing w:val="-10"/>
          <w:kern w:val="28"/>
          <w:sz w:val="24"/>
          <w:szCs w:val="24"/>
          <w:rtl/>
        </w:rPr>
        <w:t>)</w:t>
      </w:r>
      <w:r w:rsidR="001C2889" w:rsidRPr="008E0368">
        <w:rPr>
          <w:rFonts w:ascii="Simplified Arabic" w:eastAsiaTheme="majorEastAsia" w:hAnsi="Simplified Arabic" w:cs="Simplified Arabic"/>
          <w:spacing w:val="-10"/>
          <w:kern w:val="28"/>
          <w:sz w:val="24"/>
          <w:szCs w:val="24"/>
          <w:rtl/>
        </w:rPr>
        <w:fldChar w:fldCharType="end"/>
      </w:r>
      <w:r w:rsidRPr="008E0368">
        <w:rPr>
          <w:rFonts w:ascii="Simplified Arabic" w:eastAsiaTheme="majorEastAsia" w:hAnsi="Simplified Arabic" w:cs="Simplified Arabic"/>
          <w:spacing w:val="-10"/>
          <w:kern w:val="28"/>
          <w:sz w:val="24"/>
          <w:szCs w:val="24"/>
          <w:rtl/>
        </w:rPr>
        <w:t xml:space="preserve"> وعلى مستوى منطقة الجوف تحديدًا، أظهرت دراسة مقطعية حديثة شملت 423 ممرضًا وممرضة في خمسة مستشفيات حكومية أن معدل الإبلاغ عن الأحداث الضارة منخفض بشكل ملحوظ، إذ أفاد 94% من المشاركين بعدم الإبلاغ عن أي حادثة خلال العام الماضي، بينما أبلغ 4% فقط عن حادثة واحدة أو حادثتين (</w:t>
      </w:r>
      <w:proofErr w:type="spellStart"/>
      <w:r w:rsidRPr="008E0368">
        <w:rPr>
          <w:rFonts w:ascii="Simplified Arabic" w:eastAsiaTheme="majorEastAsia" w:hAnsi="Simplified Arabic" w:cs="Simplified Arabic"/>
          <w:spacing w:val="-10"/>
          <w:kern w:val="28"/>
          <w:sz w:val="24"/>
          <w:szCs w:val="24"/>
        </w:rPr>
        <w:t>Alrasheiday</w:t>
      </w:r>
      <w:proofErr w:type="spellEnd"/>
      <w:r w:rsidRPr="008E0368">
        <w:rPr>
          <w:rFonts w:ascii="Simplified Arabic" w:eastAsiaTheme="majorEastAsia" w:hAnsi="Simplified Arabic" w:cs="Simplified Arabic"/>
          <w:spacing w:val="-10"/>
          <w:kern w:val="28"/>
          <w:sz w:val="24"/>
          <w:szCs w:val="24"/>
        </w:rPr>
        <w:t xml:space="preserve"> et al., 2024</w:t>
      </w:r>
      <w:r w:rsidRPr="008E0368">
        <w:rPr>
          <w:rFonts w:ascii="Simplified Arabic" w:eastAsiaTheme="majorEastAsia" w:hAnsi="Simplified Arabic" w:cs="Simplified Arabic"/>
          <w:spacing w:val="-10"/>
          <w:kern w:val="28"/>
          <w:sz w:val="24"/>
          <w:szCs w:val="24"/>
          <w:rtl/>
        </w:rPr>
        <w:t>).</w:t>
      </w:r>
    </w:p>
    <w:p w14:paraId="0FB471CE" w14:textId="7CDE375F" w:rsidR="005922C4" w:rsidRPr="008E0368" w:rsidRDefault="009D5A9D" w:rsidP="005922C4">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ثقافة السلامة بأنها منظومة متكاملة من القيم والمعتقدات والسلوكيات المشتركة التي تضع السلامة في مقدمة الأولويات في جميع العمليات التنظيمية (</w:t>
      </w:r>
      <w:r w:rsidRPr="008E0368">
        <w:rPr>
          <w:rFonts w:ascii="Simplified Arabic" w:eastAsiaTheme="majorEastAsia" w:hAnsi="Simplified Arabic" w:cs="Simplified Arabic"/>
          <w:spacing w:val="-10"/>
          <w:kern w:val="28"/>
          <w:sz w:val="24"/>
          <w:szCs w:val="24"/>
        </w:rPr>
        <w:t>Mistri et al., 2023</w:t>
      </w:r>
      <w:r w:rsidRPr="008E0368">
        <w:rPr>
          <w:rFonts w:ascii="Simplified Arabic" w:eastAsiaTheme="majorEastAsia" w:hAnsi="Simplified Arabic" w:cs="Simplified Arabic"/>
          <w:spacing w:val="-10"/>
          <w:kern w:val="28"/>
          <w:sz w:val="24"/>
          <w:szCs w:val="24"/>
          <w:rtl/>
        </w:rPr>
        <w:t>).</w:t>
      </w:r>
    </w:p>
    <w:p w14:paraId="4B4D8988" w14:textId="6F0518FB" w:rsidR="00B81AA9" w:rsidRPr="008E0368" w:rsidRDefault="001C2889" w:rsidP="00B81AA9">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8E0368">
        <w:rPr>
          <w:rFonts w:ascii="Simplified Arabic" w:eastAsiaTheme="majorEastAsia" w:hAnsi="Simplified Arabic" w:cs="Simplified Arabic"/>
          <w:spacing w:val="-10"/>
          <w:kern w:val="28"/>
          <w:sz w:val="24"/>
          <w:szCs w:val="24"/>
          <w:rtl/>
        </w:rPr>
        <w:fldChar w:fldCharType="begin"/>
      </w:r>
      <w:r w:rsidRPr="008E0368">
        <w:rPr>
          <w:rFonts w:ascii="Simplified Arabic" w:eastAsiaTheme="majorEastAsia" w:hAnsi="Simplified Arabic" w:cs="Simplified Arabic"/>
          <w:spacing w:val="-10"/>
          <w:kern w:val="28"/>
          <w:sz w:val="24"/>
          <w:szCs w:val="24"/>
          <w:rtl/>
        </w:rPr>
        <w:instrText xml:space="preserve"> </w:instrText>
      </w:r>
      <w:r w:rsidRPr="008E0368">
        <w:rPr>
          <w:rFonts w:ascii="Simplified Arabic" w:eastAsiaTheme="majorEastAsia" w:hAnsi="Simplified Arabic" w:cs="Simplified Arabic"/>
          <w:spacing w:val="-10"/>
          <w:kern w:val="28"/>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8E0368">
        <w:rPr>
          <w:rFonts w:ascii="Simplified Arabic" w:eastAsiaTheme="majorEastAsia" w:hAnsi="Simplified Arabic" w:cs="Simplified Arabic"/>
          <w:spacing w:val="-10"/>
          <w:kern w:val="28"/>
          <w:sz w:val="24"/>
          <w:szCs w:val="24"/>
          <w:rtl/>
        </w:rPr>
        <w:instrText>.&lt;/</w:instrText>
      </w:r>
      <w:r w:rsidRPr="008E0368">
        <w:rPr>
          <w:rFonts w:ascii="Simplified Arabic" w:eastAsiaTheme="majorEastAsia" w:hAnsi="Simplified Arabic" w:cs="Simplified Arabic"/>
          <w:spacing w:val="-10"/>
          <w:kern w:val="28"/>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8E0368">
        <w:rPr>
          <w:rFonts w:ascii="Simplified Arabic" w:eastAsiaTheme="majorEastAsia" w:hAnsi="Simplified Arabic" w:cs="Simplified Arabic"/>
          <w:spacing w:val="-10"/>
          <w:kern w:val="28"/>
          <w:sz w:val="24"/>
          <w:szCs w:val="24"/>
          <w:rtl/>
        </w:rPr>
        <w:instrText>&gt;&lt;/</w:instrText>
      </w:r>
      <w:r w:rsidRPr="008E0368">
        <w:rPr>
          <w:rFonts w:ascii="Simplified Arabic" w:eastAsiaTheme="majorEastAsia" w:hAnsi="Simplified Arabic" w:cs="Simplified Arabic"/>
          <w:spacing w:val="-10"/>
          <w:kern w:val="28"/>
          <w:sz w:val="24"/>
          <w:szCs w:val="24"/>
        </w:rPr>
        <w:instrText>record&gt;&lt;/Cite&gt;&lt;/EndNote</w:instrText>
      </w:r>
      <w:r w:rsidRPr="008E0368">
        <w:rPr>
          <w:rFonts w:ascii="Simplified Arabic" w:eastAsiaTheme="majorEastAsia" w:hAnsi="Simplified Arabic" w:cs="Simplified Arabic"/>
          <w:spacing w:val="-10"/>
          <w:kern w:val="28"/>
          <w:sz w:val="24"/>
          <w:szCs w:val="24"/>
          <w:rtl/>
        </w:rPr>
        <w:instrText>&gt;</w:instrText>
      </w:r>
      <w:r w:rsidRPr="008E0368">
        <w:rPr>
          <w:rFonts w:ascii="Simplified Arabic" w:eastAsiaTheme="majorEastAsia" w:hAnsi="Simplified Arabic" w:cs="Simplified Arabic"/>
          <w:spacing w:val="-10"/>
          <w:kern w:val="28"/>
          <w:sz w:val="24"/>
          <w:szCs w:val="24"/>
          <w:rtl/>
        </w:rPr>
        <w:fldChar w:fldCharType="separate"/>
      </w:r>
      <w:r w:rsidRPr="008E0368">
        <w:rPr>
          <w:rFonts w:ascii="Simplified Arabic" w:eastAsiaTheme="majorEastAsia" w:hAnsi="Simplified Arabic" w:cs="Simplified Arabic"/>
          <w:noProof/>
          <w:spacing w:val="-10"/>
          <w:kern w:val="28"/>
          <w:sz w:val="24"/>
          <w:szCs w:val="24"/>
          <w:rtl/>
        </w:rPr>
        <w:t>(</w:t>
      </w:r>
      <w:r w:rsidRPr="008E0368">
        <w:rPr>
          <w:rFonts w:ascii="Simplified Arabic" w:eastAsiaTheme="majorEastAsia" w:hAnsi="Simplified Arabic" w:cs="Simplified Arabic"/>
          <w:noProof/>
          <w:spacing w:val="-10"/>
          <w:kern w:val="28"/>
          <w:sz w:val="24"/>
          <w:szCs w:val="24"/>
        </w:rPr>
        <w:t>Konlan &amp; Shin, 2022</w:t>
      </w:r>
      <w:r w:rsidRPr="008E0368">
        <w:rPr>
          <w:rFonts w:ascii="Simplified Arabic" w:eastAsiaTheme="majorEastAsia" w:hAnsi="Simplified Arabic" w:cs="Simplified Arabic"/>
          <w:noProof/>
          <w:spacing w:val="-10"/>
          <w:kern w:val="28"/>
          <w:sz w:val="24"/>
          <w:szCs w:val="24"/>
          <w:rtl/>
        </w:rPr>
        <w:t>)</w:t>
      </w:r>
      <w:r w:rsidRPr="008E0368">
        <w:rPr>
          <w:rFonts w:ascii="Simplified Arabic" w:eastAsiaTheme="majorEastAsia" w:hAnsi="Simplified Arabic" w:cs="Simplified Arabic"/>
          <w:spacing w:val="-10"/>
          <w:kern w:val="28"/>
          <w:sz w:val="24"/>
          <w:szCs w:val="24"/>
          <w:rtl/>
        </w:rPr>
        <w:fldChar w:fldCharType="end"/>
      </w:r>
      <w:r w:rsidRPr="008E0368">
        <w:rPr>
          <w:rFonts w:ascii="Simplified Arabic" w:eastAsiaTheme="majorEastAsia" w:hAnsi="Simplified Arabic" w:cs="Simplified Arabic"/>
          <w:spacing w:val="-10"/>
          <w:kern w:val="28"/>
          <w:sz w:val="24"/>
          <w:szCs w:val="24"/>
          <w:rtl/>
        </w:rPr>
        <w:t>.</w:t>
      </w:r>
    </w:p>
    <w:p w14:paraId="608C9099" w14:textId="38B15675" w:rsidR="009D5A9D" w:rsidRPr="008E0368" w:rsidRDefault="00B81AA9" w:rsidP="009D5A9D">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ت</w:t>
      </w:r>
      <w:r w:rsidR="009D5A9D" w:rsidRPr="008E0368">
        <w:rPr>
          <w:rFonts w:ascii="Simplified Arabic" w:eastAsiaTheme="majorEastAsia" w:hAnsi="Simplified Arabic" w:cs="Simplified Arabic"/>
          <w:spacing w:val="-10"/>
          <w:kern w:val="28"/>
          <w:sz w:val="24"/>
          <w:szCs w:val="24"/>
          <w:rtl/>
        </w:rPr>
        <w:t>قوم تُعد ثقافة السلامة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009D5A9D" w:rsidRPr="008E0368">
        <w:rPr>
          <w:rFonts w:ascii="Simplified Arabic" w:eastAsiaTheme="majorEastAsia" w:hAnsi="Simplified Arabic" w:cs="Simplified Arabic"/>
          <w:spacing w:val="-10"/>
          <w:kern w:val="28"/>
          <w:sz w:val="24"/>
          <w:szCs w:val="24"/>
        </w:rPr>
        <w:t>Ahmed et al., 2024</w:t>
      </w:r>
      <w:r w:rsidR="009D5A9D" w:rsidRPr="008E0368">
        <w:rPr>
          <w:rFonts w:ascii="Simplified Arabic" w:eastAsiaTheme="majorEastAsia" w:hAnsi="Simplified Arabic" w:cs="Simplified Arabic"/>
          <w:spacing w:val="-10"/>
          <w:kern w:val="28"/>
          <w:sz w:val="24"/>
          <w:szCs w:val="24"/>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sidRPr="008E0368">
        <w:rPr>
          <w:rFonts w:ascii="Simplified Arabic" w:eastAsiaTheme="majorEastAsia" w:hAnsi="Simplified Arabic" w:cs="Simplified Arabic"/>
          <w:spacing w:val="-10"/>
          <w:kern w:val="28"/>
          <w:sz w:val="24"/>
          <w:szCs w:val="24"/>
          <w:rtl/>
        </w:rPr>
        <w:fldChar w:fldCharType="begin"/>
      </w:r>
      <w:r w:rsidR="001C2889" w:rsidRPr="008E0368">
        <w:rPr>
          <w:rFonts w:ascii="Simplified Arabic" w:eastAsiaTheme="majorEastAsia" w:hAnsi="Simplified Arabic" w:cs="Simplified Arabic"/>
          <w:spacing w:val="-10"/>
          <w:kern w:val="28"/>
          <w:sz w:val="24"/>
          <w:szCs w:val="24"/>
          <w:rtl/>
        </w:rPr>
        <w:instrText xml:space="preserve"> </w:instrText>
      </w:r>
      <w:r w:rsidR="001C2889" w:rsidRPr="008E0368">
        <w:rPr>
          <w:rFonts w:ascii="Simplified Arabic" w:eastAsiaTheme="majorEastAsia" w:hAnsi="Simplified Arabic" w:cs="Simplified Arabic"/>
          <w:spacing w:val="-10"/>
          <w:kern w:val="28"/>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sidRPr="008E0368">
        <w:rPr>
          <w:rFonts w:ascii="Simplified Arabic" w:eastAsiaTheme="majorEastAsia" w:hAnsi="Simplified Arabic" w:cs="Simplified Arabic"/>
          <w:spacing w:val="-10"/>
          <w:kern w:val="28"/>
          <w:sz w:val="24"/>
          <w:szCs w:val="24"/>
          <w:rtl/>
        </w:rPr>
        <w:instrText>&gt;</w:instrText>
      </w:r>
      <w:r w:rsidR="001C2889" w:rsidRPr="008E0368">
        <w:rPr>
          <w:rFonts w:ascii="Simplified Arabic" w:eastAsiaTheme="majorEastAsia" w:hAnsi="Simplified Arabic" w:cs="Simplified Arabic"/>
          <w:spacing w:val="-10"/>
          <w:kern w:val="28"/>
          <w:sz w:val="24"/>
          <w:szCs w:val="24"/>
          <w:rtl/>
        </w:rPr>
        <w:fldChar w:fldCharType="separate"/>
      </w:r>
      <w:r w:rsidR="001C2889" w:rsidRPr="008E0368">
        <w:rPr>
          <w:rFonts w:ascii="Simplified Arabic" w:eastAsiaTheme="majorEastAsia" w:hAnsi="Simplified Arabic" w:cs="Simplified Arabic"/>
          <w:noProof/>
          <w:spacing w:val="-10"/>
          <w:kern w:val="28"/>
          <w:sz w:val="24"/>
          <w:szCs w:val="24"/>
          <w:rtl/>
        </w:rPr>
        <w:t>(</w:t>
      </w:r>
      <w:r w:rsidR="001C2889" w:rsidRPr="008E0368">
        <w:rPr>
          <w:rFonts w:ascii="Simplified Arabic" w:eastAsiaTheme="majorEastAsia" w:hAnsi="Simplified Arabic" w:cs="Simplified Arabic"/>
          <w:noProof/>
          <w:spacing w:val="-10"/>
          <w:kern w:val="28"/>
          <w:sz w:val="24"/>
          <w:szCs w:val="24"/>
        </w:rPr>
        <w:t>Asante &amp; Novak, 2024</w:t>
      </w:r>
      <w:r w:rsidR="001C2889" w:rsidRPr="008E0368">
        <w:rPr>
          <w:rFonts w:ascii="Simplified Arabic" w:eastAsiaTheme="majorEastAsia" w:hAnsi="Simplified Arabic" w:cs="Simplified Arabic"/>
          <w:noProof/>
          <w:spacing w:val="-10"/>
          <w:kern w:val="28"/>
          <w:sz w:val="24"/>
          <w:szCs w:val="24"/>
          <w:rtl/>
        </w:rPr>
        <w:t>)</w:t>
      </w:r>
      <w:r w:rsidR="001C2889" w:rsidRPr="008E0368">
        <w:rPr>
          <w:rFonts w:ascii="Simplified Arabic" w:eastAsiaTheme="majorEastAsia" w:hAnsi="Simplified Arabic" w:cs="Simplified Arabic"/>
          <w:spacing w:val="-10"/>
          <w:kern w:val="28"/>
          <w:sz w:val="24"/>
          <w:szCs w:val="24"/>
          <w:rtl/>
        </w:rPr>
        <w:fldChar w:fldCharType="end"/>
      </w:r>
      <w:r w:rsidR="009D5A9D" w:rsidRPr="008E0368">
        <w:rPr>
          <w:rFonts w:ascii="Simplified Arabic" w:eastAsiaTheme="majorEastAsia" w:hAnsi="Simplified Arabic" w:cs="Simplified Arabic"/>
          <w:spacing w:val="-10"/>
          <w:kern w:val="28"/>
          <w:sz w:val="24"/>
          <w:szCs w:val="24"/>
          <w:rtl/>
        </w:rPr>
        <w:t xml:space="preserve">. </w:t>
      </w:r>
    </w:p>
    <w:p w14:paraId="0CED196A" w14:textId="2275C241" w:rsidR="00493C51" w:rsidRPr="008E0368" w:rsidRDefault="009D5A9D" w:rsidP="009D5A9D">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وتشير الدراسات إلى أن قوة ثقافة السلامة داخل المؤسسات الصحية ترتبط ارتباطًا مباشرًا بقدرتها على تقليل الحوادث الضارة والالتزام بتطبيق المعايير الأمنية (</w:t>
      </w:r>
      <w:r w:rsidRPr="008E0368">
        <w:rPr>
          <w:rFonts w:ascii="Simplified Arabic" w:eastAsiaTheme="majorEastAsia" w:hAnsi="Simplified Arabic" w:cs="Simplified Arabic"/>
          <w:spacing w:val="-10"/>
          <w:kern w:val="28"/>
          <w:sz w:val="24"/>
          <w:szCs w:val="24"/>
        </w:rPr>
        <w:t>Alsahli et al., 202</w:t>
      </w:r>
      <w:r w:rsidRPr="008E0368">
        <w:rPr>
          <w:rFonts w:ascii="Simplified Arabic" w:eastAsiaTheme="majorEastAsia" w:hAnsi="Simplified Arabic" w:cs="Simplified Arabic"/>
          <w:spacing w:val="-10"/>
          <w:kern w:val="28"/>
          <w:sz w:val="24"/>
          <w:szCs w:val="24"/>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6C80F3AE" w14:textId="77777777" w:rsidR="009D5A9D" w:rsidRPr="008E0368" w:rsidRDefault="009D5A9D" w:rsidP="00BF0A1E">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t>تُعَدُّ القيادة التحويلية من أبرز الأساليب القيادية، إذ تتميز بقدرتها على إحداث تغييرات جوهرية ومستدامة في قيم وممارسات العمل (</w:t>
      </w:r>
      <w:r w:rsidRPr="008E0368">
        <w:rPr>
          <w:rFonts w:ascii="Simplified Arabic" w:eastAsiaTheme="majorEastAsia" w:hAnsi="Simplified Arabic" w:cs="Simplified Arabic"/>
          <w:spacing w:val="-10"/>
          <w:kern w:val="28"/>
          <w:sz w:val="24"/>
          <w:szCs w:val="24"/>
        </w:rPr>
        <w:t>Ahmed et al., 2024</w:t>
      </w:r>
      <w:r w:rsidRPr="008E0368">
        <w:rPr>
          <w:rFonts w:ascii="Simplified Arabic" w:eastAsiaTheme="majorEastAsia" w:hAnsi="Simplified Arabic" w:cs="Simplified Arabic"/>
          <w:spacing w:val="-10"/>
          <w:kern w:val="28"/>
          <w:sz w:val="24"/>
          <w:szCs w:val="24"/>
          <w:rtl/>
        </w:rPr>
        <w:t>). وتُبيِّنُ البحوث أن هذا الأسلوب القيادي يُسهم في تعزيز بيئات العمل الداعمة للسلامة وتطوير التعلم المستمر (البركاني، 2024)، كما يؤثر بشكل مباشر على العناصر التنظيمية التي تُعزز ثقافة السلامة (</w:t>
      </w:r>
      <w:r w:rsidRPr="008E0368">
        <w:rPr>
          <w:rFonts w:ascii="Simplified Arabic" w:eastAsiaTheme="majorEastAsia" w:hAnsi="Simplified Arabic" w:cs="Simplified Arabic"/>
          <w:spacing w:val="-10"/>
          <w:kern w:val="28"/>
          <w:sz w:val="24"/>
          <w:szCs w:val="24"/>
        </w:rPr>
        <w:t>Alotaibi et al., 2015</w:t>
      </w:r>
      <w:r w:rsidRPr="008E0368">
        <w:rPr>
          <w:rFonts w:ascii="Simplified Arabic" w:eastAsiaTheme="majorEastAsia" w:hAnsi="Simplified Arabic" w:cs="Simplified Arabic"/>
          <w:spacing w:val="-10"/>
          <w:kern w:val="28"/>
          <w:sz w:val="24"/>
          <w:szCs w:val="24"/>
          <w:rtl/>
        </w:rPr>
        <w:t>).</w:t>
      </w:r>
    </w:p>
    <w:p w14:paraId="0DF3D8D5" w14:textId="7FE41830" w:rsidR="00493C51" w:rsidRPr="008E0368" w:rsidRDefault="009D5A9D" w:rsidP="009D5A9D">
      <w:pPr>
        <w:bidi/>
        <w:spacing w:line="360" w:lineRule="auto"/>
        <w:jc w:val="both"/>
        <w:rPr>
          <w:rFonts w:ascii="Simplified Arabic" w:eastAsiaTheme="majorEastAsia" w:hAnsi="Simplified Arabic" w:cs="Simplified Arabic"/>
          <w:spacing w:val="-10"/>
          <w:kern w:val="28"/>
          <w:sz w:val="24"/>
          <w:szCs w:val="24"/>
          <w:rtl/>
        </w:rPr>
      </w:pPr>
      <w:r w:rsidRPr="008E0368">
        <w:rPr>
          <w:rFonts w:ascii="Simplified Arabic" w:eastAsiaTheme="majorEastAsia" w:hAnsi="Simplified Arabic" w:cs="Simplified Arabic"/>
          <w:spacing w:val="-10"/>
          <w:kern w:val="28"/>
          <w:sz w:val="24"/>
          <w:szCs w:val="24"/>
          <w:rtl/>
        </w:rPr>
        <w:lastRenderedPageBreak/>
        <w:t xml:space="preserve"> ويستند هذا الأسلوب إلى تحفيز الموظفين وتمكينهم من تجاوز التوقعات التقليدية من خلال رؤية ملهمة تعزز الإبداع والتطوير (الحاج والسفياني، 2024). وأظهرت الدراسات أن تطبيق القيادة التحويلية في الأنظمة الصحية يُسهم في تعزيز مكونات ثقافة السلامة وتحسين الممارسات المرتبطة بها (</w:t>
      </w:r>
      <w:proofErr w:type="spellStart"/>
      <w:r w:rsidRPr="008E0368">
        <w:rPr>
          <w:rFonts w:ascii="Simplified Arabic" w:eastAsiaTheme="majorEastAsia" w:hAnsi="Simplified Arabic" w:cs="Simplified Arabic"/>
          <w:spacing w:val="-10"/>
          <w:kern w:val="28"/>
          <w:sz w:val="24"/>
          <w:szCs w:val="24"/>
        </w:rPr>
        <w:t>Althaibah</w:t>
      </w:r>
      <w:proofErr w:type="spellEnd"/>
      <w:r w:rsidRPr="008E0368">
        <w:rPr>
          <w:rFonts w:ascii="Simplified Arabic" w:eastAsiaTheme="majorEastAsia" w:hAnsi="Simplified Arabic" w:cs="Simplified Arabic"/>
          <w:spacing w:val="-10"/>
          <w:kern w:val="28"/>
          <w:sz w:val="24"/>
          <w:szCs w:val="24"/>
        </w:rPr>
        <w:t xml:space="preserve"> et al., 2022; Mistri et al., 2023</w:t>
      </w:r>
      <w:r w:rsidRPr="008E0368">
        <w:rPr>
          <w:rFonts w:ascii="Simplified Arabic" w:eastAsiaTheme="majorEastAsia" w:hAnsi="Simplified Arabic" w:cs="Simplified Arabic"/>
          <w:spacing w:val="-10"/>
          <w:kern w:val="28"/>
          <w:sz w:val="24"/>
          <w:szCs w:val="24"/>
          <w:rtl/>
        </w:rPr>
        <w:t>).</w:t>
      </w:r>
    </w:p>
    <w:p w14:paraId="5ED20D1D" w14:textId="062CFBF5" w:rsidR="00493C51" w:rsidRPr="008E0368" w:rsidRDefault="00493C51" w:rsidP="00054F0A">
      <w:pPr>
        <w:bidi/>
        <w:spacing w:line="360" w:lineRule="auto"/>
        <w:jc w:val="both"/>
        <w:rPr>
          <w:rFonts w:ascii="Simplified Arabic" w:eastAsiaTheme="majorEastAsia" w:hAnsi="Simplified Arabic" w:cs="Simplified Arabic"/>
          <w:b/>
          <w:bCs/>
          <w:spacing w:val="-10"/>
          <w:kern w:val="28"/>
          <w:sz w:val="28"/>
          <w:szCs w:val="28"/>
          <w:rtl/>
        </w:rPr>
      </w:pPr>
      <w:r w:rsidRPr="008E0368">
        <w:rPr>
          <w:rFonts w:ascii="Simplified Arabic" w:eastAsiaTheme="majorEastAsia" w:hAnsi="Simplified Arabic" w:cs="Simplified Arabic"/>
          <w:b/>
          <w:bCs/>
          <w:spacing w:val="-10"/>
          <w:kern w:val="28"/>
          <w:sz w:val="28"/>
          <w:szCs w:val="28"/>
          <w:rtl/>
        </w:rPr>
        <w:t xml:space="preserve">الأهمية الاستراتيجية للدراسة في السياق السعودي </w:t>
      </w:r>
    </w:p>
    <w:p w14:paraId="3B4DF20B" w14:textId="44DF815B" w:rsidR="00493C51" w:rsidRPr="008E0368" w:rsidRDefault="00FF40E9" w:rsidP="00054F0A">
      <w:pPr>
        <w:bidi/>
        <w:spacing w:line="360" w:lineRule="auto"/>
        <w:jc w:val="both"/>
        <w:rPr>
          <w:rFonts w:ascii="Simplified Arabic" w:eastAsiaTheme="majorEastAsia" w:hAnsi="Simplified Arabic" w:cs="Simplified Arabic"/>
          <w:spacing w:val="-10"/>
          <w:kern w:val="28"/>
          <w:sz w:val="24"/>
          <w:szCs w:val="24"/>
        </w:rPr>
      </w:pPr>
      <w:r w:rsidRPr="008E0368">
        <w:rPr>
          <w:rFonts w:ascii="Simplified Arabic" w:eastAsiaTheme="majorEastAsia" w:hAnsi="Simplified Arabic" w:cs="Simplified Arabic"/>
          <w:spacing w:val="-10"/>
          <w:kern w:val="28"/>
          <w:sz w:val="24"/>
          <w:szCs w:val="24"/>
          <w:rtl/>
        </w:rPr>
        <w:t>تكتسب موضوعية هذه الدراسة أهمية بالغة في السياق السعودي، نظرًا للتحولات الجارية في القطاع الصحي وتوافقًا مع أهداف رؤية المملكة 2030 وبرنامج تحول القطاع الصحي المقصود إليه لتحقيق تحسين جودة الخدمات وتعزيز سلامة المرضى (</w:t>
      </w:r>
      <w:proofErr w:type="spellStart"/>
      <w:r w:rsidRPr="008E0368">
        <w:rPr>
          <w:rFonts w:ascii="Simplified Arabic" w:eastAsiaTheme="majorEastAsia" w:hAnsi="Simplified Arabic" w:cs="Simplified Arabic"/>
          <w:spacing w:val="-10"/>
          <w:kern w:val="28"/>
          <w:sz w:val="24"/>
          <w:szCs w:val="24"/>
        </w:rPr>
        <w:t>Alsari</w:t>
      </w:r>
      <w:proofErr w:type="spellEnd"/>
      <w:r w:rsidRPr="008E0368">
        <w:rPr>
          <w:rFonts w:ascii="Simplified Arabic" w:eastAsiaTheme="majorEastAsia" w:hAnsi="Simplified Arabic" w:cs="Simplified Arabic"/>
          <w:spacing w:val="-10"/>
          <w:kern w:val="28"/>
          <w:sz w:val="24"/>
          <w:szCs w:val="24"/>
        </w:rPr>
        <w:t xml:space="preserve"> et al., 2024; Holding, 2025</w:t>
      </w:r>
      <w:r w:rsidRPr="008E0368">
        <w:rPr>
          <w:rFonts w:ascii="Simplified Arabic" w:eastAsiaTheme="majorEastAsia" w:hAnsi="Simplified Arabic" w:cs="Simplified Arabic"/>
          <w:spacing w:val="-10"/>
          <w:kern w:val="28"/>
          <w:sz w:val="24"/>
          <w:szCs w:val="24"/>
          <w:rtl/>
        </w:rPr>
        <w:t>). وعلى الرغم من الجهود المبذولة، لا تزال المؤسسات الصحية الحكومية تواجه تحديات أساسية تتعلق بسلامة المرضى، حيث تُظهر الدراسات الحديثة قصورًا في ثقافة السلامة وضعفًا في نظم الإبلاغ عن الحوادث، مما يستلزم تدخلات قيادية فعالة.</w:t>
      </w:r>
    </w:p>
    <w:p w14:paraId="3FE30B85" w14:textId="697C8DBD" w:rsidR="00493C51" w:rsidRPr="008E0368" w:rsidRDefault="00FF40E9" w:rsidP="00054F0A">
      <w:pPr>
        <w:bidi/>
        <w:spacing w:line="360" w:lineRule="auto"/>
        <w:jc w:val="both"/>
        <w:rPr>
          <w:rFonts w:ascii="Simplified Arabic" w:eastAsiaTheme="majorEastAsia" w:hAnsi="Simplified Arabic" w:cs="Simplified Arabic"/>
          <w:spacing w:val="-10"/>
          <w:kern w:val="28"/>
          <w:sz w:val="24"/>
          <w:szCs w:val="24"/>
        </w:rPr>
      </w:pPr>
      <w:r w:rsidRPr="008E0368">
        <w:rPr>
          <w:rFonts w:ascii="Simplified Arabic" w:eastAsiaTheme="majorEastAsia" w:hAnsi="Simplified Arabic" w:cs="Simplified Arabic"/>
          <w:spacing w:val="-10"/>
          <w:kern w:val="28"/>
          <w:sz w:val="24"/>
          <w:szCs w:val="24"/>
          <w:rtl/>
        </w:rPr>
        <w:t>تشير التقارير الوطنية إلى وجود تحديات ملحوظة تتعلق بسلامة المرضى، حيث أظهرت المراجعات المنهجية تأثيرًا كبيرًا للأخطاء الدوائية على سلامة المرضى في المستشفيات السعودية (</w:t>
      </w:r>
      <w:proofErr w:type="spellStart"/>
      <w:r w:rsidRPr="008E0368">
        <w:rPr>
          <w:rFonts w:ascii="Simplified Arabic" w:eastAsiaTheme="majorEastAsia" w:hAnsi="Simplified Arabic" w:cs="Simplified Arabic"/>
          <w:spacing w:val="-10"/>
          <w:kern w:val="28"/>
          <w:sz w:val="24"/>
          <w:szCs w:val="24"/>
        </w:rPr>
        <w:t>Alrasheeday</w:t>
      </w:r>
      <w:proofErr w:type="spellEnd"/>
      <w:r w:rsidRPr="008E0368">
        <w:rPr>
          <w:rFonts w:ascii="Simplified Arabic" w:eastAsiaTheme="majorEastAsia" w:hAnsi="Simplified Arabic" w:cs="Simplified Arabic"/>
          <w:spacing w:val="-10"/>
          <w:kern w:val="28"/>
          <w:sz w:val="24"/>
          <w:szCs w:val="24"/>
        </w:rPr>
        <w:t xml:space="preserve"> et al., 2024</w:t>
      </w:r>
      <w:r w:rsidRPr="008E0368">
        <w:rPr>
          <w:rFonts w:ascii="Simplified Arabic" w:eastAsiaTheme="majorEastAsia" w:hAnsi="Simplified Arabic" w:cs="Simplified Arabic"/>
          <w:spacing w:val="-10"/>
          <w:kern w:val="28"/>
          <w:sz w:val="24"/>
          <w:szCs w:val="24"/>
          <w:rtl/>
        </w:rPr>
        <w:t>). وتؤدي هذه الأخطاء إلى وقوع حوادث ضارة تسهم في زيادة معدلات الوفيات وارتفاع مدة الإقامة في المستشفيات. كما أكدت الدراسات المحلية وجود ضعف في ثقافة السلامة بين الكوادر الصحية في عدة مناطق، بالإضافة إلى ارتباط ذلك بارتفاع معدل الحوادث السريرية الضارة.</w:t>
      </w:r>
    </w:p>
    <w:p w14:paraId="043DB686" w14:textId="794096C1" w:rsidR="00493C51" w:rsidRPr="008E0368" w:rsidRDefault="00493C51" w:rsidP="00054F0A">
      <w:pPr>
        <w:bidi/>
        <w:spacing w:line="360" w:lineRule="auto"/>
        <w:jc w:val="both"/>
        <w:rPr>
          <w:rFonts w:ascii="Simplified Arabic" w:eastAsiaTheme="majorEastAsia" w:hAnsi="Simplified Arabic" w:cs="Simplified Arabic"/>
          <w:b/>
          <w:bCs/>
          <w:spacing w:val="-10"/>
          <w:kern w:val="28"/>
          <w:sz w:val="28"/>
          <w:szCs w:val="28"/>
        </w:rPr>
      </w:pPr>
      <w:r w:rsidRPr="008E0368">
        <w:rPr>
          <w:rFonts w:ascii="Simplified Arabic" w:eastAsiaTheme="majorEastAsia" w:hAnsi="Simplified Arabic" w:cs="Simplified Arabic"/>
          <w:b/>
          <w:bCs/>
          <w:spacing w:val="-10"/>
          <w:kern w:val="28"/>
          <w:sz w:val="28"/>
          <w:szCs w:val="28"/>
          <w:rtl/>
        </w:rPr>
        <w:t xml:space="preserve">الفجوة البحثية وتبرير الحاجة للدراسة </w:t>
      </w:r>
    </w:p>
    <w:p w14:paraId="4E8FF7EA" w14:textId="4C89269F" w:rsidR="00493C51" w:rsidRPr="008E0368" w:rsidRDefault="00FF40E9" w:rsidP="00054F0A">
      <w:pPr>
        <w:bidi/>
        <w:spacing w:line="360" w:lineRule="auto"/>
        <w:jc w:val="both"/>
        <w:rPr>
          <w:rFonts w:ascii="Simplified Arabic" w:eastAsiaTheme="majorEastAsia" w:hAnsi="Simplified Arabic" w:cs="Simplified Arabic"/>
          <w:spacing w:val="-10"/>
          <w:kern w:val="28"/>
          <w:sz w:val="24"/>
          <w:szCs w:val="24"/>
        </w:rPr>
      </w:pPr>
      <w:r w:rsidRPr="008E0368">
        <w:rPr>
          <w:rFonts w:ascii="Simplified Arabic" w:eastAsiaTheme="majorEastAsia" w:hAnsi="Simplified Arabic" w:cs="Simplified Arabic"/>
          <w:spacing w:val="-10"/>
          <w:kern w:val="28"/>
          <w:sz w:val="24"/>
          <w:szCs w:val="24"/>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 الشمالية، وجدة، في حين لم تحظَ منطقة الجوف بالاهتمام البحثي الكافي بالرغم من أهميتها الإقليمية وحجم المستفيدين من خدماتها الصحية. بالإضافة إلى ذلك، ركزت معظم الدراسات على العلاقات المباشرة بين المتغيرات، متغاضية عن دراسة الآليات الوسيطة التي يمكن أن تؤثر من خلالها القيادة التحويلية على النتائج المرتبطة بسلامة المرضى.</w:t>
      </w:r>
    </w:p>
    <w:p w14:paraId="70DAE082" w14:textId="79147BFF" w:rsidR="001132D0" w:rsidRPr="008E0368" w:rsidRDefault="00FF40E9" w:rsidP="001132D0">
      <w:pPr>
        <w:bidi/>
        <w:spacing w:line="360" w:lineRule="auto"/>
        <w:jc w:val="both"/>
        <w:rPr>
          <w:rFonts w:ascii="Simplified Arabic" w:hAnsi="Simplified Arabic" w:cs="Simplified Arabic"/>
          <w:b/>
          <w:bCs/>
          <w:sz w:val="24"/>
          <w:szCs w:val="24"/>
        </w:rPr>
      </w:pPr>
      <w:r w:rsidRPr="008E0368">
        <w:rPr>
          <w:rFonts w:ascii="Simplified Arabic" w:eastAsiaTheme="majorEastAsia" w:hAnsi="Simplified Arabic" w:cs="Simplified Arabic"/>
          <w:spacing w:val="-10"/>
          <w:kern w:val="28"/>
          <w:sz w:val="24"/>
          <w:szCs w:val="24"/>
          <w:rtl/>
        </w:rPr>
        <w:t>تعتمد هذه الدراسة على سد الفجوة المعرفية من خلال فهم آلية التأثير المتسلسل للقيادة التحويلية على تقليل الأحداث الضارة، وذلك عبر الدور الوسيط المتتابع لثقافة السلامة وسلوكيات السلامة لدى المهنيين الصحيين في مستشفيات القطاع الحكومي بمنطقة الجوف. وتهدف الدراسة إلى تقديم إطار معرفي وتطبيقي يساهم في توجيه صانعي القرار نحو تطوير استراتيجيات قيادية فعالة تعزز سلامة المرضى وتتوافق مع مستهدفات رؤية 2030 المتعلقة بجودة الرعاية الصحية.</w:t>
      </w:r>
    </w:p>
    <w:p w14:paraId="41F5156A" w14:textId="4597EFE4" w:rsidR="00E624E0" w:rsidRPr="008E0368" w:rsidRDefault="00897949" w:rsidP="001132D0">
      <w:pPr>
        <w:bidi/>
        <w:spacing w:line="360" w:lineRule="auto"/>
        <w:jc w:val="both"/>
        <w:rPr>
          <w:rFonts w:ascii="Simplified Arabic" w:hAnsi="Simplified Arabic" w:cs="Simplified Arabic"/>
          <w:b/>
          <w:bCs/>
          <w:sz w:val="28"/>
          <w:szCs w:val="28"/>
          <w:rtl/>
        </w:rPr>
      </w:pPr>
      <w:r w:rsidRPr="008E0368">
        <w:rPr>
          <w:rFonts w:ascii="Simplified Arabic" w:hAnsi="Simplified Arabic" w:cs="Simplified Arabic"/>
          <w:b/>
          <w:bCs/>
          <w:sz w:val="28"/>
          <w:szCs w:val="28"/>
        </w:rPr>
        <w:t>2</w:t>
      </w:r>
      <w:r w:rsidRPr="008E0368">
        <w:rPr>
          <w:rFonts w:ascii="Simplified Arabic" w:hAnsi="Simplified Arabic" w:cs="Simplified Arabic"/>
          <w:b/>
          <w:bCs/>
          <w:sz w:val="28"/>
          <w:szCs w:val="28"/>
          <w:rtl/>
        </w:rPr>
        <w:t>.</w:t>
      </w:r>
      <w:r w:rsidR="00E624E0" w:rsidRPr="008E0368">
        <w:rPr>
          <w:rFonts w:ascii="Simplified Arabic" w:hAnsi="Simplified Arabic" w:cs="Simplified Arabic"/>
          <w:b/>
          <w:bCs/>
          <w:sz w:val="28"/>
          <w:szCs w:val="28"/>
          <w:rtl/>
        </w:rPr>
        <w:t xml:space="preserve"> مشكلة الدراسة</w:t>
      </w:r>
    </w:p>
    <w:p w14:paraId="702FE33E" w14:textId="3CE2FE08" w:rsidR="00B176F1" w:rsidRPr="008E0368" w:rsidRDefault="00B176F1" w:rsidP="00054F0A">
      <w:pPr>
        <w:bidi/>
        <w:spacing w:line="360" w:lineRule="auto"/>
        <w:jc w:val="both"/>
        <w:rPr>
          <w:rFonts w:ascii="Simplified Arabic" w:hAnsi="Simplified Arabic" w:cs="Simplified Arabic"/>
          <w:b/>
          <w:bCs/>
          <w:sz w:val="28"/>
          <w:szCs w:val="28"/>
        </w:rPr>
      </w:pPr>
      <w:r w:rsidRPr="008E0368">
        <w:rPr>
          <w:rFonts w:ascii="Simplified Arabic" w:hAnsi="Simplified Arabic" w:cs="Simplified Arabic"/>
          <w:b/>
          <w:bCs/>
          <w:sz w:val="28"/>
          <w:szCs w:val="28"/>
        </w:rPr>
        <w:lastRenderedPageBreak/>
        <w:t xml:space="preserve"> 2.1 </w:t>
      </w:r>
      <w:r w:rsidRPr="008E0368">
        <w:rPr>
          <w:rFonts w:ascii="Simplified Arabic" w:hAnsi="Simplified Arabic" w:cs="Simplified Arabic"/>
          <w:b/>
          <w:bCs/>
          <w:sz w:val="28"/>
          <w:szCs w:val="28"/>
          <w:rtl/>
        </w:rPr>
        <w:t>السياق العالمي والتحديات المرتبطة بسلامة المرضى</w:t>
      </w:r>
    </w:p>
    <w:p w14:paraId="6A5D8389" w14:textId="7AB28192" w:rsidR="00FF40E9" w:rsidRPr="008E0368" w:rsidRDefault="00FF40E9" w:rsidP="00054F0A">
      <w:pPr>
        <w:bidi/>
        <w:spacing w:line="360" w:lineRule="auto"/>
        <w:jc w:val="both"/>
        <w:rPr>
          <w:rFonts w:ascii="Simplified Arabic" w:hAnsi="Simplified Arabic" w:cs="Simplified Arabic"/>
          <w:sz w:val="24"/>
          <w:szCs w:val="24"/>
          <w:rtl/>
        </w:rPr>
      </w:pPr>
      <w:r w:rsidRPr="008E0368">
        <w:rPr>
          <w:rFonts w:ascii="Simplified Arabic" w:hAnsi="Simplified Arabic" w:cs="Simplified Arabic"/>
          <w:sz w:val="24"/>
          <w:szCs w:val="24"/>
          <w:rtl/>
        </w:rPr>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001C2889" w:rsidRPr="008E0368">
        <w:rPr>
          <w:rFonts w:ascii="Simplified Arabic" w:hAnsi="Simplified Arabic" w:cs="Simplified Arabic"/>
          <w:sz w:val="24"/>
          <w:szCs w:val="24"/>
          <w:rtl/>
        </w:rPr>
        <w:fldChar w:fldCharType="begin"/>
      </w:r>
      <w:r w:rsidR="001C2889" w:rsidRPr="008E0368">
        <w:rPr>
          <w:rFonts w:ascii="Simplified Arabic" w:hAnsi="Simplified Arabic" w:cs="Simplified Arabic"/>
          <w:sz w:val="24"/>
          <w:szCs w:val="24"/>
          <w:rtl/>
        </w:rPr>
        <w:instrText xml:space="preserve"> </w:instrText>
      </w:r>
      <w:r w:rsidR="001C2889" w:rsidRPr="008E0368">
        <w:rPr>
          <w:rFonts w:ascii="Simplified Arabic" w:hAnsi="Simplified Arabic" w:cs="Simplified Arabic"/>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sidRPr="008E0368">
        <w:rPr>
          <w:rFonts w:ascii="Simplified Arabic" w:hAnsi="Simplified Arabic" w:cs="Simplified Arabic"/>
          <w:sz w:val="24"/>
          <w:szCs w:val="24"/>
          <w:rtl/>
        </w:rPr>
        <w:instrText xml:space="preserve">" </w:instrText>
      </w:r>
      <w:r w:rsidR="001C2889" w:rsidRPr="008E0368">
        <w:rPr>
          <w:rFonts w:ascii="Simplified Arabic" w:hAnsi="Simplified Arabic" w:cs="Simplified Arabic"/>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sidRPr="008E0368">
        <w:rPr>
          <w:rFonts w:ascii="Simplified Arabic" w:hAnsi="Simplified Arabic" w:cs="Simplified Arabic"/>
          <w:sz w:val="24"/>
          <w:szCs w:val="24"/>
          <w:rtl/>
        </w:rPr>
        <w:instrText>&gt;</w:instrText>
      </w:r>
      <w:r w:rsidR="001C2889" w:rsidRPr="008E0368">
        <w:rPr>
          <w:rFonts w:ascii="Simplified Arabic" w:hAnsi="Simplified Arabic" w:cs="Simplified Arabic"/>
          <w:sz w:val="24"/>
          <w:szCs w:val="24"/>
          <w:rtl/>
        </w:rPr>
        <w:fldChar w:fldCharType="separate"/>
      </w:r>
      <w:r w:rsidR="001C2889" w:rsidRPr="008E0368">
        <w:rPr>
          <w:rFonts w:ascii="Simplified Arabic" w:hAnsi="Simplified Arabic" w:cs="Simplified Arabic"/>
          <w:noProof/>
          <w:sz w:val="24"/>
          <w:szCs w:val="24"/>
          <w:rtl/>
        </w:rPr>
        <w:t>(</w:t>
      </w:r>
      <w:r w:rsidR="001C2889" w:rsidRPr="008E0368">
        <w:rPr>
          <w:rFonts w:ascii="Simplified Arabic" w:hAnsi="Simplified Arabic" w:cs="Simplified Arabic"/>
          <w:noProof/>
          <w:sz w:val="24"/>
          <w:szCs w:val="24"/>
        </w:rPr>
        <w:t>Hussain &amp; Khayat, 2021</w:t>
      </w:r>
      <w:r w:rsidR="001C2889" w:rsidRPr="008E0368">
        <w:rPr>
          <w:rFonts w:ascii="Simplified Arabic" w:hAnsi="Simplified Arabic" w:cs="Simplified Arabic"/>
          <w:noProof/>
          <w:sz w:val="24"/>
          <w:szCs w:val="24"/>
          <w:rtl/>
        </w:rPr>
        <w:t>)</w:t>
      </w:r>
      <w:r w:rsidR="001C2889" w:rsidRPr="008E0368">
        <w:rPr>
          <w:rFonts w:ascii="Simplified Arabic" w:hAnsi="Simplified Arabic" w:cs="Simplified Arabic"/>
          <w:sz w:val="24"/>
          <w:szCs w:val="24"/>
          <w:rtl/>
        </w:rPr>
        <w:fldChar w:fldCharType="end"/>
      </w:r>
      <w:r w:rsidRPr="008E0368">
        <w:rPr>
          <w:rFonts w:ascii="Simplified Arabic" w:hAnsi="Simplified Arabic" w:cs="Simplified Arabic"/>
          <w:sz w:val="24"/>
          <w:szCs w:val="24"/>
          <w:rtl/>
        </w:rPr>
        <w:t xml:space="preserve">. </w:t>
      </w:r>
    </w:p>
    <w:p w14:paraId="782DBE17" w14:textId="26AD8895" w:rsidR="00B176F1" w:rsidRPr="008E0368" w:rsidRDefault="00FF40E9" w:rsidP="00FF40E9">
      <w:pPr>
        <w:bidi/>
        <w:spacing w:line="360" w:lineRule="auto"/>
        <w:jc w:val="both"/>
        <w:rPr>
          <w:rFonts w:ascii="Simplified Arabic" w:hAnsi="Simplified Arabic" w:cs="Simplified Arabic"/>
          <w:sz w:val="24"/>
          <w:szCs w:val="24"/>
        </w:rPr>
      </w:pPr>
      <w:r w:rsidRPr="008E0368">
        <w:rPr>
          <w:rFonts w:ascii="Simplified Arabic" w:hAnsi="Simplified Arabic" w:cs="Simplified Arabic"/>
          <w:sz w:val="24"/>
          <w:szCs w:val="24"/>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0DE264A1" w14:textId="2FA742EF" w:rsidR="00B176F1" w:rsidRPr="008E0368" w:rsidRDefault="00B176F1" w:rsidP="00054F0A">
      <w:pPr>
        <w:bidi/>
        <w:spacing w:line="360" w:lineRule="auto"/>
        <w:jc w:val="both"/>
        <w:rPr>
          <w:rFonts w:ascii="Simplified Arabic" w:hAnsi="Simplified Arabic" w:cs="Simplified Arabic"/>
          <w:b/>
          <w:bCs/>
          <w:sz w:val="24"/>
          <w:szCs w:val="24"/>
        </w:rPr>
      </w:pPr>
      <w:r w:rsidRPr="008E0368">
        <w:rPr>
          <w:rFonts w:ascii="Simplified Arabic" w:hAnsi="Simplified Arabic" w:cs="Simplified Arabic"/>
          <w:b/>
          <w:bCs/>
          <w:sz w:val="24"/>
          <w:szCs w:val="24"/>
        </w:rPr>
        <w:t xml:space="preserve">2.2 </w:t>
      </w:r>
      <w:r w:rsidRPr="008E0368">
        <w:rPr>
          <w:rFonts w:ascii="Simplified Arabic" w:hAnsi="Simplified Arabic" w:cs="Simplified Arabic"/>
          <w:b/>
          <w:bCs/>
          <w:sz w:val="24"/>
          <w:szCs w:val="24"/>
          <w:rtl/>
        </w:rPr>
        <w:t>الوضع في المملكة العربية السعودية والحاجة إلى التحول القيادي</w:t>
      </w:r>
    </w:p>
    <w:p w14:paraId="1250E8B0" w14:textId="77777777" w:rsidR="00FF40E9" w:rsidRPr="008E0368" w:rsidRDefault="00FF40E9" w:rsidP="00054F0A">
      <w:pPr>
        <w:bidi/>
        <w:spacing w:line="360" w:lineRule="auto"/>
        <w:jc w:val="both"/>
        <w:rPr>
          <w:rFonts w:ascii="Simplified Arabic" w:hAnsi="Simplified Arabic" w:cs="Simplified Arabic"/>
          <w:sz w:val="24"/>
          <w:szCs w:val="24"/>
          <w:rtl/>
        </w:rPr>
      </w:pPr>
      <w:r w:rsidRPr="008E0368">
        <w:rPr>
          <w:rFonts w:ascii="Simplified Arabic" w:hAnsi="Simplified Arabic" w:cs="Simplified Arabic"/>
          <w:sz w:val="24"/>
          <w:szCs w:val="24"/>
          <w:rtl/>
        </w:rPr>
        <w:t>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(السلمي &amp; شعيبي، 2024).</w:t>
      </w:r>
    </w:p>
    <w:p w14:paraId="413B3A19" w14:textId="64B86D95" w:rsidR="00B176F1" w:rsidRPr="008E0368" w:rsidRDefault="00FF40E9" w:rsidP="00FF40E9">
      <w:pPr>
        <w:bidi/>
        <w:spacing w:line="360" w:lineRule="auto"/>
        <w:jc w:val="both"/>
        <w:rPr>
          <w:rFonts w:ascii="Simplified Arabic" w:hAnsi="Simplified Arabic" w:cs="Simplified Arabic"/>
          <w:sz w:val="24"/>
          <w:szCs w:val="24"/>
          <w:rtl/>
        </w:rPr>
      </w:pPr>
      <w:r w:rsidRPr="008E0368">
        <w:rPr>
          <w:rFonts w:ascii="Simplified Arabic" w:hAnsi="Simplified Arabic" w:cs="Simplified Arabic"/>
          <w:sz w:val="24"/>
          <w:szCs w:val="24"/>
          <w:rtl/>
        </w:rPr>
        <w:t xml:space="preserve">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ثقافة السلامة داخل المستشفيات السعودية، ويعزز التزام العاملين بالممارسات الآمنة (</w:t>
      </w:r>
      <w:r w:rsidRPr="008E0368">
        <w:rPr>
          <w:rFonts w:ascii="Simplified Arabic" w:hAnsi="Simplified Arabic" w:cs="Simplified Arabic"/>
          <w:sz w:val="24"/>
          <w:szCs w:val="24"/>
        </w:rPr>
        <w:t>Hamdan et al., 2024</w:t>
      </w:r>
      <w:r w:rsidRPr="008E0368">
        <w:rPr>
          <w:rFonts w:ascii="Simplified Arabic" w:hAnsi="Simplified Arabic" w:cs="Simplified Arabic"/>
          <w:sz w:val="24"/>
          <w:szCs w:val="24"/>
          <w:rtl/>
        </w:rPr>
        <w:t>). 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p>
    <w:p w14:paraId="1830A11C" w14:textId="04BC827D" w:rsidR="00B176F1" w:rsidRPr="008E0368" w:rsidRDefault="00930E7C" w:rsidP="00054F0A">
      <w:pPr>
        <w:bidi/>
        <w:spacing w:line="360" w:lineRule="auto"/>
        <w:jc w:val="both"/>
        <w:rPr>
          <w:rFonts w:ascii="Simplified Arabic" w:hAnsi="Simplified Arabic" w:cs="Simplified Arabic"/>
          <w:b/>
          <w:bCs/>
          <w:sz w:val="28"/>
          <w:szCs w:val="28"/>
          <w:rtl/>
        </w:rPr>
      </w:pPr>
      <w:r w:rsidRPr="008E0368">
        <w:rPr>
          <w:rFonts w:ascii="Simplified Arabic" w:hAnsi="Simplified Arabic" w:cs="Simplified Arabic"/>
          <w:b/>
          <w:bCs/>
          <w:sz w:val="28"/>
          <w:szCs w:val="28"/>
        </w:rPr>
        <w:t xml:space="preserve">2.3 </w:t>
      </w:r>
      <w:r w:rsidRPr="008E0368">
        <w:rPr>
          <w:rFonts w:ascii="Simplified Arabic" w:hAnsi="Simplified Arabic" w:cs="Simplified Arabic"/>
          <w:b/>
          <w:bCs/>
          <w:sz w:val="28"/>
          <w:szCs w:val="28"/>
          <w:rtl/>
        </w:rPr>
        <w:t>الفجوة</w:t>
      </w:r>
      <w:r w:rsidR="00B176F1" w:rsidRPr="008E0368">
        <w:rPr>
          <w:rFonts w:ascii="Simplified Arabic" w:hAnsi="Simplified Arabic" w:cs="Simplified Arabic"/>
          <w:b/>
          <w:bCs/>
          <w:sz w:val="28"/>
          <w:szCs w:val="28"/>
          <w:rtl/>
        </w:rPr>
        <w:t xml:space="preserve"> البحثية والحاجة المحددة في منطقة الجوف</w:t>
      </w:r>
    </w:p>
    <w:p w14:paraId="7CF40063" w14:textId="77777777" w:rsidR="00FF40E9" w:rsidRPr="008E0368" w:rsidRDefault="00B176F1" w:rsidP="00054F0A">
      <w:pPr>
        <w:bidi/>
        <w:spacing w:line="360" w:lineRule="auto"/>
        <w:jc w:val="both"/>
        <w:rPr>
          <w:rFonts w:ascii="Simplified Arabic" w:hAnsi="Simplified Arabic" w:cs="Simplified Arabic"/>
          <w:sz w:val="24"/>
          <w:szCs w:val="24"/>
          <w:rtl/>
        </w:rPr>
      </w:pPr>
      <w:r w:rsidRPr="008E0368">
        <w:rPr>
          <w:rFonts w:ascii="Simplified Arabic" w:hAnsi="Simplified Arabic" w:cs="Simplified Arabic"/>
          <w:sz w:val="24"/>
          <w:szCs w:val="24"/>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151FE7A6" w14:textId="4D3E8FC0" w:rsidR="00B176F1" w:rsidRPr="008E0368" w:rsidRDefault="00FF40E9" w:rsidP="009C1FA5">
      <w:pPr>
        <w:bidi/>
        <w:spacing w:line="360" w:lineRule="auto"/>
        <w:jc w:val="both"/>
        <w:rPr>
          <w:rFonts w:ascii="Simplified Arabic" w:hAnsi="Simplified Arabic" w:cs="Simplified Arabic"/>
          <w:sz w:val="24"/>
          <w:szCs w:val="24"/>
        </w:rPr>
      </w:pPr>
      <w:r w:rsidRPr="008E0368">
        <w:rPr>
          <w:rFonts w:ascii="Simplified Arabic" w:hAnsi="Simplified Arabic" w:cs="Simplified Arabic"/>
          <w:sz w:val="24"/>
          <w:szCs w:val="24"/>
          <w:rtl/>
        </w:rPr>
        <w:t xml:space="preserve">كما يُظهر عدم التوازن الجغرافي في الدراسات الوطنية، حيث تتركز الأبحاث على مناطق معينة مثل الرياض والحدود الشمالية وجدة، في حين لم تحظَ منطقة الجوف بالاهتمام البحثي الكافي رغم خصوصيتها الجغرافية والديموغرافية. وعليه، تتمثل المشكلة الأساسية لهذه </w:t>
      </w:r>
      <w:r w:rsidRPr="008E0368">
        <w:rPr>
          <w:rFonts w:ascii="Simplified Arabic" w:hAnsi="Simplified Arabic" w:cs="Simplified Arabic"/>
          <w:sz w:val="24"/>
          <w:szCs w:val="24"/>
          <w:rtl/>
        </w:rPr>
        <w:lastRenderedPageBreak/>
        <w:t>الدراسة في فهم آلية التأثير المتسلسل للقيادة التحويلية على تقليل الأحداث الضارة من خلال الدور الوسيط المتتابع لثقافة السلامة وسلوكيات السلامة لدى الممارسين الصحيين في مستشفيات القطاع الحكومي بمنطقة الجوف في المملكة العربية السعودية. 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p>
    <w:p w14:paraId="0406981C" w14:textId="34EDEF42" w:rsidR="00B176F1" w:rsidRPr="008E0368" w:rsidRDefault="00B176F1" w:rsidP="00054F0A">
      <w:pPr>
        <w:bidi/>
        <w:spacing w:line="360" w:lineRule="auto"/>
        <w:jc w:val="both"/>
        <w:rPr>
          <w:rFonts w:ascii="Simplified Arabic" w:hAnsi="Simplified Arabic" w:cs="Simplified Arabic"/>
          <w:b/>
          <w:bCs/>
          <w:sz w:val="28"/>
          <w:szCs w:val="28"/>
        </w:rPr>
      </w:pPr>
      <w:r w:rsidRPr="008E0368">
        <w:rPr>
          <w:rFonts w:ascii="Simplified Arabic" w:hAnsi="Simplified Arabic" w:cs="Simplified Arabic"/>
          <w:b/>
          <w:bCs/>
          <w:sz w:val="28"/>
          <w:szCs w:val="28"/>
          <w:rtl/>
        </w:rPr>
        <w:t>3.</w:t>
      </w:r>
      <w:r w:rsidRPr="008E0368">
        <w:rPr>
          <w:rFonts w:ascii="Simplified Arabic" w:hAnsi="Simplified Arabic" w:cs="Simplified Arabic"/>
          <w:b/>
          <w:bCs/>
          <w:sz w:val="28"/>
          <w:szCs w:val="28"/>
        </w:rPr>
        <w:t xml:space="preserve"> </w:t>
      </w:r>
      <w:r w:rsidRPr="008E0368">
        <w:rPr>
          <w:rFonts w:ascii="Simplified Arabic" w:hAnsi="Simplified Arabic" w:cs="Simplified Arabic"/>
          <w:b/>
          <w:bCs/>
          <w:sz w:val="28"/>
          <w:szCs w:val="28"/>
          <w:rtl/>
        </w:rPr>
        <w:t xml:space="preserve">أسئلة الدراسة </w:t>
      </w:r>
    </w:p>
    <w:p w14:paraId="0C06249F" w14:textId="761CEB5D" w:rsidR="00B176F1" w:rsidRPr="008E0368" w:rsidRDefault="00B176F1" w:rsidP="00054F0A">
      <w:pPr>
        <w:bidi/>
        <w:spacing w:line="360" w:lineRule="auto"/>
        <w:jc w:val="both"/>
        <w:rPr>
          <w:rFonts w:ascii="Simplified Arabic" w:hAnsi="Simplified Arabic" w:cs="Simplified Arabic"/>
          <w:b/>
          <w:bCs/>
          <w:sz w:val="28"/>
          <w:szCs w:val="28"/>
        </w:rPr>
      </w:pPr>
      <w:r w:rsidRPr="008E0368">
        <w:rPr>
          <w:rFonts w:ascii="Simplified Arabic" w:hAnsi="Simplified Arabic" w:cs="Simplified Arabic"/>
          <w:b/>
          <w:bCs/>
          <w:sz w:val="28"/>
          <w:szCs w:val="28"/>
        </w:rPr>
        <w:t xml:space="preserve"> 3.1 </w:t>
      </w:r>
      <w:r w:rsidRPr="008E0368">
        <w:rPr>
          <w:rFonts w:ascii="Simplified Arabic" w:hAnsi="Simplified Arabic" w:cs="Simplified Arabic"/>
          <w:b/>
          <w:bCs/>
          <w:sz w:val="28"/>
          <w:szCs w:val="28"/>
          <w:rtl/>
        </w:rPr>
        <w:t>السؤال الرئيسي</w:t>
      </w:r>
    </w:p>
    <w:p w14:paraId="61FEAD9B" w14:textId="77777777" w:rsidR="006946BE" w:rsidRPr="008E0368" w:rsidRDefault="006946BE" w:rsidP="006946BE">
      <w:pPr>
        <w:bidi/>
        <w:spacing w:line="360" w:lineRule="auto"/>
        <w:jc w:val="both"/>
        <w:rPr>
          <w:rFonts w:ascii="Simplified Arabic" w:hAnsi="Simplified Arabic" w:cs="Simplified Arabic"/>
          <w:sz w:val="24"/>
          <w:szCs w:val="24"/>
        </w:rPr>
      </w:pPr>
      <w:r w:rsidRPr="008E0368">
        <w:rPr>
          <w:rFonts w:ascii="Simplified Arabic" w:hAnsi="Simplified Arabic" w:cs="Simplified Arabic"/>
          <w:sz w:val="24"/>
          <w:szCs w:val="24"/>
          <w:rtl/>
        </w:rPr>
        <w:t>كيف تؤثر القيادة التحويلية بأبعادها المختلفة (التأثير المثالي، التحفيز الملهم، الاستثارة الفكرية، الاعتبار الفردي) على تقليل الأحداث الضارة من خلال الوساطة المتسلسلة لثقافة السلامة وسلوكيات السلامة لدى العاملين في مستشفيات القطاع الحكومي بمنطقة الجوف؟</w:t>
      </w:r>
    </w:p>
    <w:p w14:paraId="36F3DA0B" w14:textId="4E7E58E1" w:rsidR="00B176F1" w:rsidRPr="00FC62C6" w:rsidRDefault="00B176F1" w:rsidP="00054F0A">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 3.2 </w:t>
      </w:r>
      <w:r w:rsidRPr="00FC62C6">
        <w:rPr>
          <w:rFonts w:ascii="Sakkal Majalla" w:hAnsi="Sakkal Majalla" w:cs="Sakkal Majalla"/>
          <w:b/>
          <w:bCs/>
          <w:sz w:val="28"/>
          <w:szCs w:val="28"/>
          <w:rtl/>
        </w:rPr>
        <w:t>الأسئلة الفرعية</w:t>
      </w:r>
    </w:p>
    <w:p w14:paraId="4400A2B3" w14:textId="53C483A1"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هو مستوى تأثير أبعاد القيادة التحويلية (التأثير المثالي، التحفيز الملهم، الاستثارة الفكرية، الاعتبار الفردي) على تعزيز وتطوير أبعاد ثقافة السلامة (دعم الإدارة، التواصل المفتوح، التعلم المستمر، العمل الجماعي) بين العاملين في المستشفيات الحكومية بمنطقة الجوف؟</w:t>
      </w:r>
    </w:p>
    <w:p w14:paraId="676E8A89" w14:textId="11DD887F"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طبيعة العلاقة بين أبعاد ثقافة السلامة، وسلوكيات السلامة، وتقليل معدل وشدة الأحداث الضارة بين العاملين في المستشفيات الحكومية بمنطقة الجوف؟</w:t>
      </w:r>
    </w:p>
    <w:p w14:paraId="16C59DFC" w14:textId="1807F4D3"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ما مدى التأثير المباشر الذي تمارسه القيادة التحويلية على سلوكيات السلامة وتقليل معدل وشدة الأحداث الضارة بين العاملين في المستشفيات الحكومية بمنطقة الجوف؟</w:t>
      </w:r>
    </w:p>
    <w:p w14:paraId="364A9BD2" w14:textId="251A38D4" w:rsidR="00B176F1" w:rsidRPr="00FC62C6" w:rsidRDefault="00FF40E9" w:rsidP="00054F0A">
      <w:pPr>
        <w:numPr>
          <w:ilvl w:val="0"/>
          <w:numId w:val="104"/>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إلى أي مدى تُسهم أبعاد ثقافة السلامة كمتغير وسيط في تفسير العلاقة بين أبعاد القيادة التحويلية وسلوكيات السلامة في المستشفيات الحكومية بمنطقة الجوف؟</w:t>
      </w:r>
    </w:p>
    <w:p w14:paraId="13DB26B1" w14:textId="540064E2" w:rsidR="00B176F1" w:rsidRPr="00FC62C6" w:rsidRDefault="00FF40E9" w:rsidP="003F2D46">
      <w:pPr>
        <w:numPr>
          <w:ilvl w:val="0"/>
          <w:numId w:val="104"/>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ما مدى تأثير أبعاد ثقافة السلامة وسلوكيات السلامة كوسيط متسلسل في العلاقة بين أبعاد القيادة التحويلية وتقليل معدل وشدة الأحداث الضارة في المستشفيات الحكومية بمنطقة الجوف؟</w:t>
      </w:r>
    </w:p>
    <w:p w14:paraId="544DFBC9" w14:textId="23FA7AEA" w:rsidR="001E6447" w:rsidRPr="00FC62C6" w:rsidRDefault="001E6447" w:rsidP="00BE577C">
      <w:pPr>
        <w:pStyle w:val="a8"/>
        <w:bidi/>
        <w:spacing w:line="360" w:lineRule="auto"/>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3. أهمية الدراسة</w:t>
      </w:r>
    </w:p>
    <w:p w14:paraId="3DC61F96" w14:textId="77777777" w:rsidR="00B27C81" w:rsidRPr="00FC62C6" w:rsidRDefault="00B27C81"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lastRenderedPageBreak/>
        <w:t>تكتسب هذه الدراسة أهميتها من تناولها لآلية التأثير المتسلسل للقيادة التحويلية على تقليل الأحداث الضارة من خلال الدور الوسيط المتتابع لثقافة السلامة وسلوكيات السلامة، وهو موضوع حيوي يمس جودة الرعاية الصحية وسلامة المرضى في السياق السعودي. وتقدم الدراسة إطارًا تحليليًا متقدمًا يسهم في فهم العلاقات المعقدة بين القيادة التحويلية وثقافة السلامة وسلوكيات العاملين، بما ينعكس على الحد من الأحداث الضارة في مستشفيات القطاع الحكومي بمنطقة الجوف. وتنقسم أهمية الدراسة إلى محورين رئيسين: الأهمية النظرية (العلمية) والأهمية التطبيقية (العملية)</w:t>
      </w:r>
      <w:r w:rsidRPr="00FC62C6">
        <w:rPr>
          <w:rFonts w:ascii="Sakkal Majalla" w:hAnsi="Sakkal Majalla" w:cs="Sakkal Majalla"/>
          <w:color w:val="000000"/>
          <w:sz w:val="28"/>
          <w:szCs w:val="28"/>
        </w:rPr>
        <w:t>.</w:t>
      </w:r>
    </w:p>
    <w:p w14:paraId="1DE8CFCA" w14:textId="34F1DD5E" w:rsidR="00054F0A" w:rsidRPr="00FC62C6" w:rsidRDefault="00054F0A" w:rsidP="00B27C81">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4.1 </w:t>
      </w:r>
      <w:r w:rsidRPr="00FC62C6">
        <w:rPr>
          <w:rFonts w:ascii="Sakkal Majalla" w:hAnsi="Sakkal Majalla" w:cs="Sakkal Majalla"/>
          <w:b/>
          <w:bCs/>
          <w:color w:val="000000"/>
          <w:sz w:val="28"/>
          <w:szCs w:val="28"/>
          <w:rtl/>
        </w:rPr>
        <w:t>الأهمية النظرية (العلمية)</w:t>
      </w:r>
    </w:p>
    <w:p w14:paraId="07782A24" w14:textId="350EC2C8" w:rsidR="00054F0A" w:rsidRPr="00FC62C6" w:rsidRDefault="00FF40E9" w:rsidP="00125F5F">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تُقدم هذه الدراسة إسهامات معرفية </w:t>
      </w:r>
      <w:proofErr w:type="gramStart"/>
      <w:r w:rsidRPr="00FC62C6">
        <w:rPr>
          <w:rFonts w:ascii="Sakkal Majalla" w:hAnsi="Sakkal Majalla" w:cs="Sakkal Majalla"/>
          <w:color w:val="000000"/>
          <w:sz w:val="28"/>
          <w:szCs w:val="28"/>
          <w:rtl/>
        </w:rPr>
        <w:t>هامة</w:t>
      </w:r>
      <w:proofErr w:type="gramEnd"/>
      <w:r w:rsidRPr="00FC62C6">
        <w:rPr>
          <w:rFonts w:ascii="Sakkal Majalla" w:hAnsi="Sakkal Majalla" w:cs="Sakkal Majalla"/>
          <w:color w:val="000000"/>
          <w:sz w:val="28"/>
          <w:szCs w:val="28"/>
          <w:rtl/>
        </w:rPr>
        <w:t xml:space="preserve"> تسهم في إثراء حقل دراسات القيادة والتنظيم في القطاع الصحي. وتقع هذه الإسهامات ضمن أربعة محاور رئيسية موضحة أدناه.</w:t>
      </w:r>
    </w:p>
    <w:p w14:paraId="7BD304EF" w14:textId="150E8095" w:rsidR="00C55181" w:rsidRPr="00FC62C6" w:rsidRDefault="00FF40E9" w:rsidP="00C55181">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نموذج التوسيط المتسلسل المتكامل: تُعتبر هذه الدراسة من أوائل الأبحاث التي تُقيم نموذجًا متسلسلًا متكاملًا يكشف عن آلية التأثير المتسلسل للقيادة التحويلية على تقليل الأحداث الضارة، من خلال الوساطة المتتابعة لثقافة السلامة ثم سلوكيات السلامة، في السياق السعودي بشكل عام ومنطقة الجوف بشكل خاص. ويسهم هذا النهج في سد الفجوة المعرفية المتعلقة بفهم الآليات الوسيطة التي تنتقل من خلالها تأثيرات القيادة إلى ممارسات السلامة الفعلية، خاصة في البيئات التنظيمية الصحية ذات التعقيد العالي.</w:t>
      </w:r>
    </w:p>
    <w:p w14:paraId="0860E520" w14:textId="4B00BEC4" w:rsidR="00054F0A" w:rsidRPr="00FC62C6" w:rsidRDefault="00FF40E9" w:rsidP="00BE577C">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ثقافة السلامة، مع استكشاف التأثيرات المباشرة وغير المباشرة بينهما </w:t>
      </w:r>
      <w:r w:rsidR="001C2889">
        <w:rPr>
          <w:rFonts w:ascii="Sakkal Majalla" w:hAnsi="Sakkal Majalla" w:cs="Sakkal Majalla"/>
          <w:color w:val="000000"/>
          <w:sz w:val="28"/>
          <w:szCs w:val="28"/>
          <w:rtl/>
        </w:rPr>
        <w:fldChar w:fldCharType="begin"/>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Pr>
          <w:rFonts w:ascii="Sakkal Majalla" w:hAnsi="Sakkal Majalla" w:cs="Sakkal Majalla"/>
          <w:color w:val="000000"/>
          <w:sz w:val="28"/>
          <w:szCs w:val="28"/>
          <w:rtl/>
        </w:rPr>
        <w:instrText>&gt;</w:instrText>
      </w:r>
      <w:r w:rsidR="001C2889">
        <w:rPr>
          <w:rFonts w:ascii="Sakkal Majalla" w:hAnsi="Sakkal Majalla" w:cs="Sakkal Majalla"/>
          <w:color w:val="000000"/>
          <w:sz w:val="28"/>
          <w:szCs w:val="28"/>
          <w:rtl/>
        </w:rPr>
        <w:fldChar w:fldCharType="separate"/>
      </w:r>
      <w:r w:rsidR="001C2889">
        <w:rPr>
          <w:rFonts w:ascii="Sakkal Majalla" w:hAnsi="Sakkal Majalla" w:cs="Sakkal Majalla"/>
          <w:noProof/>
          <w:color w:val="000000"/>
          <w:sz w:val="28"/>
          <w:szCs w:val="28"/>
          <w:rtl/>
        </w:rPr>
        <w:t>(</w:t>
      </w:r>
      <w:r w:rsidR="001C2889">
        <w:rPr>
          <w:rFonts w:ascii="Sakkal Majalla" w:hAnsi="Sakkal Majalla" w:cs="Sakkal Majalla"/>
          <w:noProof/>
          <w:color w:val="000000"/>
          <w:sz w:val="28"/>
          <w:szCs w:val="28"/>
        </w:rPr>
        <w:t>Khirfan &amp; Abd Aziz, 2022</w:t>
      </w:r>
      <w:r w:rsidR="001C2889">
        <w:rPr>
          <w:rFonts w:ascii="Sakkal Majalla" w:hAnsi="Sakkal Majalla" w:cs="Sakkal Majalla"/>
          <w:noProof/>
          <w:color w:val="000000"/>
          <w:sz w:val="28"/>
          <w:szCs w:val="28"/>
          <w:rtl/>
        </w:rPr>
        <w:t>)</w:t>
      </w:r>
      <w:r w:rsidR="001C2889">
        <w:rPr>
          <w:rFonts w:ascii="Sakkal Majalla" w:hAnsi="Sakkal Majalla" w:cs="Sakkal Majalla"/>
          <w:color w:val="000000"/>
          <w:sz w:val="28"/>
          <w:szCs w:val="28"/>
          <w:rtl/>
        </w:rPr>
        <w:fldChar w:fldCharType="end"/>
      </w:r>
      <w:r w:rsidRPr="00FC62C6">
        <w:rPr>
          <w:rFonts w:ascii="Sakkal Majalla" w:hAnsi="Sakkal Majalla" w:cs="Sakkal Majalla"/>
          <w:color w:val="000000"/>
          <w:sz w:val="28"/>
          <w:szCs w:val="28"/>
          <w:rtl/>
        </w:rPr>
        <w:t>.</w:t>
      </w:r>
    </w:p>
    <w:p w14:paraId="0842C23D" w14:textId="52E7FECB"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322A1CD4" w14:textId="23871543" w:rsidR="00054F0A" w:rsidRPr="00FC62C6" w:rsidRDefault="00FF40E9" w:rsidP="00054F0A">
      <w:pPr>
        <w:pStyle w:val="a8"/>
        <w:numPr>
          <w:ilvl w:val="0"/>
          <w:numId w:val="105"/>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14A0CD2E" w14:textId="77777777" w:rsidR="00054F0A" w:rsidRPr="00FC62C6" w:rsidRDefault="00054F0A" w:rsidP="00054F0A">
      <w:pPr>
        <w:pStyle w:val="a8"/>
        <w:bidi/>
        <w:spacing w:line="360" w:lineRule="auto"/>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lastRenderedPageBreak/>
        <w:t xml:space="preserve">4.2 </w:t>
      </w:r>
      <w:r w:rsidRPr="00FC62C6">
        <w:rPr>
          <w:rFonts w:ascii="Sakkal Majalla" w:hAnsi="Sakkal Majalla" w:cs="Sakkal Majalla"/>
          <w:b/>
          <w:bCs/>
          <w:color w:val="000000"/>
          <w:sz w:val="28"/>
          <w:szCs w:val="28"/>
          <w:rtl/>
        </w:rPr>
        <w:t>الأهمية التطبيقية (العملية)</w:t>
      </w:r>
    </w:p>
    <w:p w14:paraId="77EC2138" w14:textId="4A8FF3C1" w:rsidR="00054F0A" w:rsidRPr="00FC62C6" w:rsidRDefault="00FF40E9" w:rsidP="00054F0A">
      <w:pPr>
        <w:pStyle w:val="a8"/>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تُسهم الدراسة في تقديم قيمة عملية ملموسة تُعزز دعم صانعي القرار والقادة في القطاع الصحي من خلال ما يلي:</w:t>
      </w:r>
    </w:p>
    <w:p w14:paraId="38C3546F" w14:textId="77777777" w:rsidR="00054F0A" w:rsidRPr="00FC62C6" w:rsidRDefault="00054F0A"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دعم تحقيق الأهداف الاستراتيجية لرؤية المملكة 2030</w:t>
      </w:r>
      <w:r w:rsidRPr="00FC62C6">
        <w:rPr>
          <w:rFonts w:ascii="Sakkal Majalla" w:hAnsi="Sakkal Majalla" w:cs="Sakkal Majalla"/>
          <w:color w:val="000000"/>
          <w:sz w:val="28"/>
          <w:szCs w:val="28"/>
        </w:rPr>
        <w:t>: </w:t>
      </w:r>
      <w:r w:rsidRPr="00FC62C6">
        <w:rPr>
          <w:rFonts w:ascii="Sakkal Majalla" w:hAnsi="Sakkal Majalla" w:cs="Sakkal Majalla"/>
          <w:color w:val="000000"/>
          <w:sz w:val="28"/>
          <w:szCs w:val="28"/>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FC62C6">
        <w:rPr>
          <w:rFonts w:ascii="Sakkal Majalla" w:hAnsi="Sakkal Majalla" w:cs="Sakkal Majalla"/>
          <w:color w:val="000000"/>
          <w:sz w:val="28"/>
          <w:szCs w:val="28"/>
        </w:rPr>
        <w:t>.</w:t>
      </w:r>
    </w:p>
    <w:p w14:paraId="604DF52E" w14:textId="77777777" w:rsidR="001C2889" w:rsidRDefault="00FF40E9" w:rsidP="00054F0A">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ثقافة السلامة. ويساعد ذلك في توجيه الموارد نحو الممارسات القيادية التي ترتبط بشكل مباشر بالنتائج الإيجابية في مجال سلامة المرضى </w:t>
      </w:r>
      <w:r w:rsidR="001C2889">
        <w:rPr>
          <w:rFonts w:ascii="Sakkal Majalla" w:hAnsi="Sakkal Majalla" w:cs="Sakkal Majalla"/>
          <w:color w:val="000000"/>
          <w:sz w:val="28"/>
          <w:szCs w:val="28"/>
          <w:rtl/>
        </w:rPr>
        <w:fldChar w:fldCharType="begin"/>
      </w:r>
      <w:r w:rsidR="001C2889">
        <w:rPr>
          <w:rFonts w:ascii="Sakkal Majalla" w:hAnsi="Sakkal Majalla" w:cs="Sakkal Majalla"/>
          <w:color w:val="000000"/>
          <w:sz w:val="28"/>
          <w:szCs w:val="28"/>
          <w:rtl/>
        </w:rPr>
        <w:instrText xml:space="preserve"> </w:instrText>
      </w:r>
      <w:r w:rsidR="001C2889">
        <w:rPr>
          <w:rFonts w:ascii="Sakkal Majalla" w:hAnsi="Sakkal Majalla" w:cs="Sakkal Majalla"/>
          <w:color w:val="000000"/>
          <w:sz w:val="28"/>
          <w:szCs w:val="28"/>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Pr>
          <w:rFonts w:ascii="Sakkal Majalla" w:hAnsi="Sakkal Majalla" w:cs="Sakkal Majalla"/>
          <w:color w:val="000000"/>
          <w:sz w:val="28"/>
          <w:szCs w:val="28"/>
          <w:rtl/>
        </w:rPr>
        <w:instrText>="1754596836"&gt;180&lt;/</w:instrText>
      </w:r>
      <w:r w:rsidR="001C2889">
        <w:rPr>
          <w:rFonts w:ascii="Sakkal Majalla" w:hAnsi="Sakkal Majalla" w:cs="Sakkal Majalla"/>
          <w:color w:val="000000"/>
          <w:sz w:val="28"/>
          <w:szCs w:val="28"/>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Pr>
          <w:rFonts w:ascii="Sakkal Majalla" w:hAnsi="Sakkal Majalla" w:cs="Sakkal Majalla"/>
          <w:color w:val="000000"/>
          <w:sz w:val="28"/>
          <w:szCs w:val="28"/>
          <w:rtl/>
        </w:rPr>
        <w:instrText>&gt;</w:instrText>
      </w:r>
      <w:r w:rsidR="001C2889">
        <w:rPr>
          <w:rFonts w:ascii="Sakkal Majalla" w:hAnsi="Sakkal Majalla" w:cs="Sakkal Majalla"/>
          <w:color w:val="000000"/>
          <w:sz w:val="28"/>
          <w:szCs w:val="28"/>
          <w:rtl/>
        </w:rPr>
        <w:fldChar w:fldCharType="separate"/>
      </w:r>
      <w:r w:rsidR="001C2889">
        <w:rPr>
          <w:rFonts w:ascii="Sakkal Majalla" w:hAnsi="Sakkal Majalla" w:cs="Sakkal Majalla"/>
          <w:noProof/>
          <w:color w:val="000000"/>
          <w:sz w:val="28"/>
          <w:szCs w:val="28"/>
          <w:rtl/>
        </w:rPr>
        <w:t>(</w:t>
      </w:r>
      <w:r w:rsidR="001C2889">
        <w:rPr>
          <w:rFonts w:ascii="Sakkal Majalla" w:hAnsi="Sakkal Majalla" w:cs="Sakkal Majalla"/>
          <w:noProof/>
          <w:color w:val="000000"/>
          <w:sz w:val="28"/>
          <w:szCs w:val="28"/>
        </w:rPr>
        <w:t>Jones et al., 2008; Khirfan &amp; Abd Aziz, 2022</w:t>
      </w:r>
      <w:r w:rsidR="001C2889">
        <w:rPr>
          <w:rFonts w:ascii="Sakkal Majalla" w:hAnsi="Sakkal Majalla" w:cs="Sakkal Majalla"/>
          <w:noProof/>
          <w:color w:val="000000"/>
          <w:sz w:val="28"/>
          <w:szCs w:val="28"/>
          <w:rtl/>
        </w:rPr>
        <w:t>)</w:t>
      </w:r>
      <w:r w:rsidR="001C2889">
        <w:rPr>
          <w:rFonts w:ascii="Sakkal Majalla" w:hAnsi="Sakkal Majalla" w:cs="Sakkal Majalla"/>
          <w:color w:val="000000"/>
          <w:sz w:val="28"/>
          <w:szCs w:val="28"/>
          <w:rtl/>
        </w:rPr>
        <w:fldChar w:fldCharType="end"/>
      </w:r>
      <w:r w:rsidR="001C2889">
        <w:rPr>
          <w:rFonts w:ascii="Sakkal Majalla" w:hAnsi="Sakkal Majalla" w:cs="Sakkal Majalla" w:hint="cs"/>
          <w:color w:val="000000"/>
          <w:sz w:val="28"/>
          <w:szCs w:val="28"/>
          <w:rtl/>
        </w:rPr>
        <w:t>.</w:t>
      </w:r>
    </w:p>
    <w:p w14:paraId="47921CEE" w14:textId="0068D0B6" w:rsidR="00054F0A" w:rsidRPr="00FC62C6" w:rsidRDefault="00C8596E" w:rsidP="001C2889">
      <w:pPr>
        <w:pStyle w:val="a8"/>
        <w:numPr>
          <w:ilvl w:val="0"/>
          <w:numId w:val="106"/>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 xml:space="preserve">تحسين سلوكيات الموظفين وتقليل المخاطر الصحية: تبرز نتائج الدراسة الدور الحيوي لثقافة السلامة الإيجابية في تعزيز التزام الموظفين بالإجراءات التنظيمية والإبلاغ عن الحوادث، مما يسهم في خفض معدل وشدة الحوادث الضارة، خاصة تلك التي يمكن الوقاية منها. وتُعد هذه النتائج ذات أهمية بالغة للمؤسسات الصحية التي تسعى إلى رفع جودة الرعاية وتقليل التكاليف المرتبطة بالمخاطر الصحية </w:t>
      </w:r>
      <w:r w:rsidR="00154D4E">
        <w:rPr>
          <w:rFonts w:ascii="Sakkal Majalla" w:hAnsi="Sakkal Majalla" w:cs="Sakkal Majalla"/>
          <w:color w:val="000000"/>
          <w:sz w:val="28"/>
          <w:szCs w:val="28"/>
          <w:rtl/>
        </w:rPr>
        <w:fldChar w:fldCharType="begin"/>
      </w:r>
      <w:r w:rsidR="00154D4E">
        <w:rPr>
          <w:rFonts w:ascii="Sakkal Majalla" w:hAnsi="Sakkal Majalla" w:cs="Sakkal Majalla"/>
          <w:color w:val="000000"/>
          <w:sz w:val="28"/>
          <w:szCs w:val="28"/>
          <w:rtl/>
        </w:rPr>
        <w:instrText xml:space="preserve"> </w:instrText>
      </w:r>
      <w:r w:rsidR="00154D4E">
        <w:rPr>
          <w:rFonts w:ascii="Sakkal Majalla" w:hAnsi="Sakkal Majalla" w:cs="Sakkal Majalla"/>
          <w:color w:val="000000"/>
          <w:sz w:val="28"/>
          <w:szCs w:val="28"/>
        </w:rPr>
        <w:instrText>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w:instrText>
      </w:r>
      <w:r w:rsidR="00154D4E">
        <w:rPr>
          <w:rFonts w:ascii="Sakkal Majalla" w:hAnsi="Sakkal Majalla" w:cs="Sakkal Majalla"/>
          <w:color w:val="000000"/>
          <w:sz w:val="28"/>
          <w:szCs w:val="28"/>
          <w:rtl/>
        </w:rPr>
        <w:instrText>&gt;&lt;</w:instrText>
      </w:r>
      <w:r w:rsidR="00154D4E">
        <w:rPr>
          <w:rFonts w:ascii="Sakkal Majalla" w:hAnsi="Sakkal Majalla" w:cs="Sakkal Majalla"/>
          <w:color w:val="000000"/>
          <w:sz w:val="28"/>
          <w:szCs w:val="28"/>
        </w:rPr>
        <w:instrTex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w:instrText>
      </w:r>
      <w:r w:rsidR="00154D4E">
        <w:rPr>
          <w:rFonts w:ascii="Sakkal Majalla" w:hAnsi="Sakkal Majalla" w:cs="Sakkal Majalla"/>
          <w:color w:val="000000"/>
          <w:sz w:val="28"/>
          <w:szCs w:val="28"/>
          <w:rtl/>
        </w:rPr>
        <w:instrText>&gt;</w:instrText>
      </w:r>
      <w:r w:rsidR="00154D4E">
        <w:rPr>
          <w:rFonts w:ascii="Sakkal Majalla" w:hAnsi="Sakkal Majalla" w:cs="Sakkal Majalla"/>
          <w:color w:val="000000"/>
          <w:sz w:val="28"/>
          <w:szCs w:val="28"/>
          <w:rtl/>
        </w:rPr>
        <w:fldChar w:fldCharType="separate"/>
      </w:r>
      <w:r w:rsidR="00154D4E">
        <w:rPr>
          <w:rFonts w:ascii="Sakkal Majalla" w:hAnsi="Sakkal Majalla" w:cs="Sakkal Majalla"/>
          <w:noProof/>
          <w:color w:val="000000"/>
          <w:sz w:val="28"/>
          <w:szCs w:val="28"/>
          <w:rtl/>
        </w:rPr>
        <w:t>(</w:t>
      </w:r>
      <w:r w:rsidR="00154D4E">
        <w:rPr>
          <w:rFonts w:ascii="Sakkal Majalla" w:hAnsi="Sakkal Majalla" w:cs="Sakkal Majalla"/>
          <w:noProof/>
          <w:color w:val="000000"/>
          <w:sz w:val="28"/>
          <w:szCs w:val="28"/>
        </w:rPr>
        <w:t>Studdert et al., 2005</w:t>
      </w:r>
      <w:r w:rsidR="00154D4E">
        <w:rPr>
          <w:rFonts w:ascii="Sakkal Majalla" w:hAnsi="Sakkal Majalla" w:cs="Sakkal Majalla"/>
          <w:noProof/>
          <w:color w:val="000000"/>
          <w:sz w:val="28"/>
          <w:szCs w:val="28"/>
          <w:rtl/>
        </w:rPr>
        <w:t>)</w:t>
      </w:r>
      <w:r w:rsidR="00154D4E">
        <w:rPr>
          <w:rFonts w:ascii="Sakkal Majalla" w:hAnsi="Sakkal Majalla" w:cs="Sakkal Majalla"/>
          <w:color w:val="000000"/>
          <w:sz w:val="28"/>
          <w:szCs w:val="28"/>
          <w:rtl/>
        </w:rPr>
        <w:fldChar w:fldCharType="end"/>
      </w:r>
      <w:r w:rsidRPr="00FC62C6">
        <w:rPr>
          <w:rFonts w:ascii="Sakkal Majalla" w:hAnsi="Sakkal Majalla" w:cs="Sakkal Majalla"/>
          <w:color w:val="000000"/>
          <w:sz w:val="28"/>
          <w:szCs w:val="28"/>
          <w:rtl/>
        </w:rPr>
        <w:t>.</w:t>
      </w:r>
    </w:p>
    <w:p w14:paraId="157A7BB2" w14:textId="12ED0460" w:rsidR="00C8596E" w:rsidRPr="00FC62C6" w:rsidRDefault="00C8596E" w:rsidP="00BE577C">
      <w:pPr>
        <w:pStyle w:val="a8"/>
        <w:numPr>
          <w:ilvl w:val="0"/>
          <w:numId w:val="106"/>
        </w:numPr>
        <w:bidi/>
        <w:spacing w:line="360" w:lineRule="auto"/>
        <w:jc w:val="both"/>
        <w:rPr>
          <w:rFonts w:ascii="Sakkal Majalla" w:hAnsi="Sakkal Majalla" w:cs="Sakkal Majalla"/>
          <w:b/>
          <w:bCs/>
          <w:color w:val="000000"/>
          <w:sz w:val="28"/>
          <w:szCs w:val="28"/>
        </w:rPr>
      </w:pPr>
      <w:r w:rsidRPr="00FC62C6">
        <w:rPr>
          <w:rFonts w:ascii="Sakkal Majalla" w:hAnsi="Sakkal Majalla" w:cs="Sakkal Majalla"/>
          <w:color w:val="000000"/>
          <w:sz w:val="28"/>
          <w:szCs w:val="28"/>
          <w:rtl/>
        </w:rPr>
        <w:t>تصميم برامج تدريبية موجهة ومبنية على الأدلة: تساهم الدراسة في توجيه المؤسسات الصحية نحو تصميم برامج تدريبية مخصصة تستهدف القادة والعاملين الصحيين في منطقة الجوف، استنادًا إلى الفجوات التي تكشف عنها النتائج. ويؤدي هذا النهج إلى برامج تدريبية أكثر فاعلية مقارنةً بالبرامج العامة، ويضمن تحقيق تحسين مستدام في ثقافة وسلوكيات السلامة.</w:t>
      </w:r>
    </w:p>
    <w:p w14:paraId="2559EE55" w14:textId="12D0F7C1"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5.</w:t>
      </w:r>
      <w:r w:rsidRPr="00FC62C6">
        <w:rPr>
          <w:rFonts w:ascii="Sakkal Majalla" w:hAnsi="Sakkal Majalla" w:cs="Sakkal Majalla"/>
          <w:b/>
          <w:bCs/>
          <w:color w:val="000000"/>
          <w:sz w:val="28"/>
          <w:szCs w:val="28"/>
        </w:rPr>
        <w:t xml:space="preserve"> </w:t>
      </w:r>
      <w:r w:rsidRPr="00FC62C6">
        <w:rPr>
          <w:rFonts w:ascii="Sakkal Majalla" w:hAnsi="Sakkal Majalla" w:cs="Sakkal Majalla"/>
          <w:b/>
          <w:bCs/>
          <w:color w:val="000000"/>
          <w:sz w:val="28"/>
          <w:szCs w:val="28"/>
          <w:rtl/>
        </w:rPr>
        <w:t>أهداف الدراسة</w:t>
      </w:r>
    </w:p>
    <w:p w14:paraId="697CF680" w14:textId="4DD29098" w:rsidR="00435137" w:rsidRPr="00FC62C6" w:rsidRDefault="00C8596E" w:rsidP="00C8596E">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tl/>
        </w:rPr>
        <w:t xml:space="preserve">5.1 الهدف العام: </w:t>
      </w:r>
      <w:r w:rsidRPr="00FC62C6">
        <w:rPr>
          <w:rFonts w:ascii="Sakkal Majalla" w:hAnsi="Sakkal Majalla" w:cs="Sakkal Majalla"/>
          <w:color w:val="000000"/>
          <w:sz w:val="28"/>
          <w:szCs w:val="28"/>
          <w:rtl/>
        </w:rPr>
        <w:t>تهدف هذه الدراسة إلى اختبار آلية التأثير المتسلسل للقيادة التحويلية على تقليل الأحداث الضارة من خلال الوساطة المتتابعة لثقافة السلامة وسلوكيات السلامة لدى الممارسين الصحيين في مستشفيات القطاع الحكومي بمنطقة الجوف في المملكة العربية السعودية خلال عام 2026.</w:t>
      </w:r>
    </w:p>
    <w:p w14:paraId="7EB94DA7" w14:textId="44ED1539" w:rsidR="00ED6763" w:rsidRPr="00FC62C6" w:rsidRDefault="00435137" w:rsidP="0043513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 xml:space="preserve">5.2 </w:t>
      </w:r>
      <w:r w:rsidR="00ED6763" w:rsidRPr="00FC62C6">
        <w:rPr>
          <w:rFonts w:ascii="Sakkal Majalla" w:hAnsi="Sakkal Majalla" w:cs="Sakkal Majalla"/>
          <w:b/>
          <w:bCs/>
          <w:color w:val="000000"/>
          <w:sz w:val="28"/>
          <w:szCs w:val="28"/>
          <w:rtl/>
        </w:rPr>
        <w:t>الأهداف الفرعية</w:t>
      </w:r>
    </w:p>
    <w:p w14:paraId="25E4FCBA"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تحديد مستوى تطبيق القيادة التحويلية بأبعادها الأربعة (التأثير المثالي، التحفيز الملهم، الاستثارة الفكرية، الاعتبار الفردي) في المستشفيات الحكومية بمنطقة الجوف من وجهة نظر العاملين</w:t>
      </w:r>
      <w:r w:rsidRPr="00FC62C6">
        <w:rPr>
          <w:rFonts w:ascii="Sakkal Majalla" w:hAnsi="Sakkal Majalla" w:cs="Sakkal Majalla"/>
          <w:color w:val="000000"/>
          <w:sz w:val="28"/>
          <w:szCs w:val="28"/>
        </w:rPr>
        <w:t>.</w:t>
      </w:r>
    </w:p>
    <w:p w14:paraId="5CC02530"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تقييم مستوى وعي العاملين بثقافة السلامة وأبعادها الرئيسة (دعم الإدارة، التواصل المفتوح، التعلم المستمر، العمل الجماعي) في بيئة المستشفيات الحكومية بمنطقة الجوف</w:t>
      </w:r>
      <w:r w:rsidRPr="00FC62C6">
        <w:rPr>
          <w:rFonts w:ascii="Sakkal Majalla" w:hAnsi="Sakkal Majalla" w:cs="Sakkal Majalla"/>
          <w:color w:val="000000"/>
          <w:sz w:val="28"/>
          <w:szCs w:val="28"/>
        </w:rPr>
        <w:t>.</w:t>
      </w:r>
    </w:p>
    <w:p w14:paraId="525F966D" w14:textId="4FDC71F2" w:rsidR="00ED6763" w:rsidRPr="00FC62C6" w:rsidRDefault="00C8596E"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381AB455" w14:textId="77777777" w:rsidR="00ED6763" w:rsidRPr="00FC62C6" w:rsidRDefault="00ED6763" w:rsidP="00ED676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أثر القيادة التحويلية على ثقافة السلامة لدى العاملين في المستشفيات الحكومية بمنطقة الجوف</w:t>
      </w:r>
      <w:r w:rsidRPr="00FC62C6">
        <w:rPr>
          <w:rFonts w:ascii="Sakkal Majalla" w:hAnsi="Sakkal Majalla" w:cs="Sakkal Majalla"/>
          <w:color w:val="000000"/>
          <w:sz w:val="28"/>
          <w:szCs w:val="28"/>
        </w:rPr>
        <w:t>.</w:t>
      </w:r>
    </w:p>
    <w:p w14:paraId="6FCF7C35" w14:textId="217BFC4E" w:rsidR="00251FD3" w:rsidRPr="00FC62C6" w:rsidRDefault="00C8596E"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اختبار التأثيرات المباشرة لثقافة السلامة على سلوكيات السلامة، بالإضافة إلى الأثر المباشر لسلوكيات السلامة على تقليل الحوادث والأحداث الضارة.</w:t>
      </w:r>
    </w:p>
    <w:p w14:paraId="28EEF185" w14:textId="5EFD63B1" w:rsidR="00ED6763" w:rsidRPr="00FC62C6" w:rsidRDefault="00251FD3" w:rsidP="00251FD3">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 xml:space="preserve"> </w:t>
      </w:r>
      <w:r w:rsidR="00C8596E" w:rsidRPr="00FC62C6">
        <w:rPr>
          <w:rFonts w:ascii="Sakkal Majalla" w:hAnsi="Sakkal Majalla" w:cs="Sakkal Majalla"/>
          <w:color w:val="000000"/>
          <w:sz w:val="28"/>
          <w:szCs w:val="28"/>
          <w:rtl/>
        </w:rPr>
        <w:t>اختبار الأثر غير المباشر (التوسيط) للقيادة التحويلية على سلوكيات السلامة من خلال الدور الوسيط لثقافة السلامة. دراسة آلية التأثير التسلسلي للقيادة التحويلية في تقليل الأحداث الضارة عبر الوساطة المتتالية لثقافة السلامة ثم سلوكيات السلامة لدى العاملين. (</w:t>
      </w:r>
      <w:r w:rsidR="00C8596E" w:rsidRPr="00FC62C6">
        <w:rPr>
          <w:rFonts w:ascii="Sakkal Majalla" w:hAnsi="Sakkal Majalla" w:cs="Sakkal Majalla"/>
          <w:color w:val="000000"/>
          <w:sz w:val="28"/>
          <w:szCs w:val="28"/>
        </w:rPr>
        <w:t>TL</w:t>
      </w:r>
      <w:r w:rsidR="00C8596E" w:rsidRPr="00FC62C6">
        <w:rPr>
          <w:rFonts w:ascii="Sakkal Majalla" w:hAnsi="Sakkal Majalla" w:cs="Sakkal Majalla"/>
          <w:color w:val="000000"/>
          <w:sz w:val="28"/>
          <w:szCs w:val="28"/>
          <w:rtl/>
        </w:rPr>
        <w:t xml:space="preserve"> </w:t>
      </w:r>
      <w:r w:rsidR="00C8596E" w:rsidRPr="00FC62C6">
        <w:rPr>
          <w:rFonts w:hint="cs"/>
          <w:color w:val="000000"/>
          <w:sz w:val="28"/>
          <w:szCs w:val="28"/>
          <w:rtl/>
        </w:rPr>
        <w:t>→</w:t>
      </w:r>
      <w:r w:rsidR="00C8596E" w:rsidRPr="00FC62C6">
        <w:rPr>
          <w:rFonts w:ascii="Sakkal Majalla" w:hAnsi="Sakkal Majalla" w:cs="Sakkal Majalla"/>
          <w:color w:val="000000"/>
          <w:sz w:val="28"/>
          <w:szCs w:val="28"/>
          <w:rtl/>
        </w:rPr>
        <w:t xml:space="preserve"> </w:t>
      </w:r>
      <w:r w:rsidR="00C8596E" w:rsidRPr="00FC62C6">
        <w:rPr>
          <w:rFonts w:ascii="Sakkal Majalla" w:hAnsi="Sakkal Majalla" w:cs="Sakkal Majalla"/>
          <w:color w:val="000000"/>
          <w:sz w:val="28"/>
          <w:szCs w:val="28"/>
        </w:rPr>
        <w:t xml:space="preserve">SC </w:t>
      </w:r>
      <w:r w:rsidR="00C8596E" w:rsidRPr="00FC62C6">
        <w:rPr>
          <w:color w:val="000000"/>
          <w:sz w:val="28"/>
          <w:szCs w:val="28"/>
        </w:rPr>
        <w:t>→</w:t>
      </w:r>
      <w:r w:rsidR="00C8596E" w:rsidRPr="00FC62C6">
        <w:rPr>
          <w:rFonts w:ascii="Sakkal Majalla" w:hAnsi="Sakkal Majalla" w:cs="Sakkal Majalla"/>
          <w:color w:val="000000"/>
          <w:sz w:val="28"/>
          <w:szCs w:val="28"/>
        </w:rPr>
        <w:t xml:space="preserve"> SB </w:t>
      </w:r>
      <w:r w:rsidR="00C8596E" w:rsidRPr="00FC62C6">
        <w:rPr>
          <w:color w:val="000000"/>
          <w:sz w:val="28"/>
          <w:szCs w:val="28"/>
        </w:rPr>
        <w:t>→</w:t>
      </w:r>
      <w:r w:rsidR="00C8596E" w:rsidRPr="00FC62C6">
        <w:rPr>
          <w:rFonts w:ascii="Sakkal Majalla" w:hAnsi="Sakkal Majalla" w:cs="Sakkal Majalla"/>
          <w:color w:val="000000"/>
          <w:sz w:val="28"/>
          <w:szCs w:val="28"/>
        </w:rPr>
        <w:t xml:space="preserve"> AE</w:t>
      </w:r>
      <w:r w:rsidR="00C8596E" w:rsidRPr="00FC62C6">
        <w:rPr>
          <w:rFonts w:ascii="Sakkal Majalla" w:hAnsi="Sakkal Majalla" w:cs="Sakkal Majalla"/>
          <w:color w:val="000000"/>
          <w:sz w:val="28"/>
          <w:szCs w:val="28"/>
          <w:rtl/>
        </w:rPr>
        <w:t>)</w:t>
      </w:r>
    </w:p>
    <w:p w14:paraId="55F16EFD" w14:textId="3C4D023B" w:rsidR="0019387F" w:rsidRPr="00FC62C6" w:rsidRDefault="00C8596E" w:rsidP="003D4C1A">
      <w:pPr>
        <w:pStyle w:val="a8"/>
        <w:numPr>
          <w:ilvl w:val="0"/>
          <w:numId w:val="107"/>
        </w:numPr>
        <w:bidi/>
        <w:spacing w:line="360" w:lineRule="auto"/>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7FA92495" w14:textId="5D96E0B3" w:rsidR="00ED6763" w:rsidRPr="00FC62C6" w:rsidRDefault="00ED6763" w:rsidP="00ED6763">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 </w:t>
      </w:r>
      <w:r w:rsidRPr="00FC62C6">
        <w:rPr>
          <w:rFonts w:ascii="Sakkal Majalla" w:hAnsi="Sakkal Majalla" w:cs="Sakkal Majalla"/>
          <w:b/>
          <w:bCs/>
          <w:color w:val="000000"/>
          <w:sz w:val="28"/>
          <w:szCs w:val="28"/>
          <w:rtl/>
        </w:rPr>
        <w:t>فرضيات الدراسة</w:t>
      </w:r>
    </w:p>
    <w:p w14:paraId="017B97FD" w14:textId="6C685DF9" w:rsidR="009F0B77" w:rsidRPr="009F0B77" w:rsidRDefault="00C8596E" w:rsidP="009F0B77">
      <w:pPr>
        <w:pStyle w:val="a8"/>
        <w:bidi/>
        <w:spacing w:line="360" w:lineRule="auto"/>
        <w:ind w:left="36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tl/>
        </w:rPr>
        <w:t>6.1. الفروض المتعلقة بالتأثيرات المباشرة (</w:t>
      </w:r>
      <w:r w:rsidRPr="00FC62C6">
        <w:rPr>
          <w:rFonts w:ascii="Sakkal Majalla" w:hAnsi="Sakkal Majalla" w:cs="Sakkal Majalla"/>
          <w:b/>
          <w:bCs/>
          <w:color w:val="000000"/>
          <w:sz w:val="28"/>
          <w:szCs w:val="28"/>
        </w:rPr>
        <w:t>Effects</w:t>
      </w:r>
      <w:r w:rsidRPr="00FC62C6">
        <w:rPr>
          <w:rFonts w:ascii="Sakkal Majalla" w:hAnsi="Sakkal Majalla" w:cs="Sakkal Majalla"/>
          <w:b/>
          <w:bCs/>
          <w:color w:val="000000"/>
          <w:sz w:val="28"/>
          <w:szCs w:val="28"/>
          <w:rtl/>
        </w:rPr>
        <w:t xml:space="preserve"> المباشرة)</w:t>
      </w:r>
    </w:p>
    <w:p w14:paraId="7D826533" w14:textId="56FFF751" w:rsidR="009F0B77" w:rsidRPr="009F0B77" w:rsidRDefault="009F0B77"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H1 </w:t>
      </w:r>
      <w:r w:rsidRPr="009F0B77">
        <w:rPr>
          <w:rFonts w:ascii="Sakkal Majalla" w:hAnsi="Sakkal Majalla" w:cs="Sakkal Majalla"/>
          <w:color w:val="000000"/>
          <w:sz w:val="28"/>
          <w:szCs w:val="28"/>
          <w:rtl/>
        </w:rPr>
        <w:t>توجد علاقة ذات دلالة إحصائية بين القيادة التحويلية وثقافة السلامة لدى العاملين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0E7160C0" w14:textId="49102F0E" w:rsidR="009F0B77" w:rsidRPr="009F0B77" w:rsidRDefault="009F0B77"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H2 </w:t>
      </w:r>
      <w:r w:rsidRPr="009F0B77">
        <w:rPr>
          <w:rFonts w:ascii="Sakkal Majalla" w:hAnsi="Sakkal Majalla" w:cs="Sakkal Majalla"/>
          <w:color w:val="000000"/>
          <w:sz w:val="28"/>
          <w:szCs w:val="28"/>
          <w:rtl/>
        </w:rPr>
        <w:t xml:space="preserve">توجد علاقة ذات دلالة إحصائية بين ثقافة السلامة وسلوكيات السلامة لدى العاملين في المستشفيات الحكومية بمنطقة </w:t>
      </w:r>
      <w:proofErr w:type="gramStart"/>
      <w:r w:rsidRPr="009F0B77">
        <w:rPr>
          <w:rFonts w:ascii="Sakkal Majalla" w:hAnsi="Sakkal Majalla" w:cs="Sakkal Majalla"/>
          <w:color w:val="000000"/>
          <w:sz w:val="28"/>
          <w:szCs w:val="28"/>
          <w:rtl/>
        </w:rPr>
        <w:t>الجوف</w:t>
      </w:r>
      <w:r w:rsidRPr="009F0B77">
        <w:rPr>
          <w:rFonts w:ascii="Sakkal Majalla" w:hAnsi="Sakkal Majalla" w:cs="Sakkal Majalla"/>
          <w:color w:val="000000"/>
          <w:sz w:val="28"/>
          <w:szCs w:val="28"/>
        </w:rPr>
        <w:t>.</w:t>
      </w:r>
      <w:r w:rsidR="000A1987" w:rsidRPr="000A1987">
        <w:rPr>
          <w:rFonts w:ascii="Sakkal Majalla" w:hAnsi="Sakkal Majalla" w:cs="Sakkal Majalla"/>
          <w:color w:val="000000"/>
          <w:sz w:val="28"/>
          <w:szCs w:val="28"/>
          <w:rtl/>
        </w:rPr>
        <w:t>أقل</w:t>
      </w:r>
      <w:proofErr w:type="gramEnd"/>
      <w:r w:rsidR="000A1987" w:rsidRPr="000A1987">
        <w:rPr>
          <w:rFonts w:ascii="Sakkal Majalla" w:hAnsi="Sakkal Majalla" w:cs="Sakkal Majalla"/>
          <w:color w:val="000000"/>
          <w:sz w:val="28"/>
          <w:szCs w:val="28"/>
          <w:rtl/>
        </w:rPr>
        <w:t xml:space="preserve"> من أو تساوي0.05</w:t>
      </w:r>
    </w:p>
    <w:p w14:paraId="2E995123" w14:textId="7E9B4441" w:rsidR="009F0B77" w:rsidRPr="009F0B77" w:rsidRDefault="009F0B77" w:rsidP="000A1987">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Pr>
        <w:t>:</w:t>
      </w:r>
      <w:r w:rsidRPr="009F0B77">
        <w:rPr>
          <w:rFonts w:ascii="Sakkal Majalla" w:hAnsi="Sakkal Majalla" w:cs="Sakkal Majalla"/>
          <w:color w:val="000000"/>
          <w:sz w:val="28"/>
          <w:szCs w:val="28"/>
        </w:rPr>
        <w:t xml:space="preserve">H3 </w:t>
      </w:r>
      <w:r w:rsidRPr="009F0B77">
        <w:rPr>
          <w:rFonts w:ascii="Sakkal Majalla" w:hAnsi="Sakkal Majalla" w:cs="Sakkal Majalla"/>
          <w:color w:val="000000"/>
          <w:sz w:val="28"/>
          <w:szCs w:val="28"/>
          <w:rtl/>
        </w:rPr>
        <w:t>توجد علاقة ذات دلالة إحصائية بين سلوكيات السلامة وتقليل الأحداث الضارة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4ACA65B6" w14:textId="63B4F404"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FC62C6">
        <w:rPr>
          <w:rFonts w:ascii="Sakkal Majalla" w:hAnsi="Sakkal Majalla" w:cs="Sakkal Majalla"/>
          <w:b/>
          <w:bCs/>
          <w:color w:val="000000"/>
          <w:sz w:val="28"/>
          <w:szCs w:val="28"/>
        </w:rPr>
        <w:t xml:space="preserve">6.2 </w:t>
      </w:r>
      <w:r w:rsidRPr="00FC62C6">
        <w:rPr>
          <w:rFonts w:ascii="Sakkal Majalla" w:hAnsi="Sakkal Majalla" w:cs="Sakkal Majalla"/>
          <w:b/>
          <w:bCs/>
          <w:color w:val="000000"/>
          <w:sz w:val="28"/>
          <w:szCs w:val="28"/>
          <w:rtl/>
        </w:rPr>
        <w:t>الفروض</w:t>
      </w:r>
      <w:r w:rsidRPr="009F0B77">
        <w:rPr>
          <w:rFonts w:ascii="Sakkal Majalla" w:hAnsi="Sakkal Majalla" w:cs="Sakkal Majalla"/>
          <w:b/>
          <w:bCs/>
          <w:color w:val="000000"/>
          <w:sz w:val="28"/>
          <w:szCs w:val="28"/>
          <w:rtl/>
        </w:rPr>
        <w:t xml:space="preserve"> المتعلقة بالتأثيرات غير المباشرة</w:t>
      </w:r>
      <w:r w:rsidRPr="009F0B77">
        <w:rPr>
          <w:rFonts w:ascii="Sakkal Majalla" w:hAnsi="Sakkal Majalla" w:cs="Sakkal Majalla"/>
          <w:b/>
          <w:bCs/>
          <w:color w:val="000000"/>
          <w:sz w:val="28"/>
          <w:szCs w:val="28"/>
        </w:rPr>
        <w:t xml:space="preserve"> </w:t>
      </w:r>
      <w:r w:rsidR="00451443" w:rsidRPr="00FC62C6">
        <w:rPr>
          <w:rFonts w:ascii="Sakkal Majalla" w:hAnsi="Sakkal Majalla" w:cs="Sakkal Majalla"/>
          <w:b/>
          <w:bCs/>
          <w:color w:val="000000"/>
          <w:sz w:val="28"/>
          <w:szCs w:val="28"/>
          <w:rtl/>
        </w:rPr>
        <w:t>الوساطة</w:t>
      </w:r>
      <w:r w:rsidR="00451443" w:rsidRPr="00FC62C6">
        <w:rPr>
          <w:rFonts w:ascii="Sakkal Majalla" w:hAnsi="Sakkal Majalla" w:cs="Sakkal Majalla"/>
          <w:b/>
          <w:bCs/>
          <w:color w:val="000000"/>
          <w:sz w:val="28"/>
          <w:szCs w:val="28"/>
        </w:rPr>
        <w:t xml:space="preserve"> (</w:t>
      </w:r>
      <w:r w:rsidRPr="009F0B77">
        <w:rPr>
          <w:rFonts w:ascii="Sakkal Majalla" w:hAnsi="Sakkal Majalla" w:cs="Sakkal Majalla"/>
          <w:b/>
          <w:bCs/>
          <w:color w:val="000000"/>
          <w:sz w:val="28"/>
          <w:szCs w:val="28"/>
        </w:rPr>
        <w:t>Mediation)</w:t>
      </w:r>
    </w:p>
    <w:p w14:paraId="51ACC138" w14:textId="65AE7D58" w:rsidR="009F0B77" w:rsidRPr="009F0B77" w:rsidRDefault="009F0B77" w:rsidP="000A1987">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Pr>
        <w:lastRenderedPageBreak/>
        <w:t xml:space="preserve">: </w:t>
      </w:r>
      <w:r w:rsidRPr="009F0B77">
        <w:rPr>
          <w:rFonts w:ascii="Sakkal Majalla" w:hAnsi="Sakkal Majalla" w:cs="Sakkal Majalla"/>
          <w:color w:val="000000"/>
          <w:sz w:val="28"/>
          <w:szCs w:val="28"/>
        </w:rPr>
        <w:t xml:space="preserve">H4 </w:t>
      </w:r>
      <w:r w:rsidRPr="009F0B77">
        <w:rPr>
          <w:rFonts w:ascii="Sakkal Majalla" w:hAnsi="Sakkal Majalla" w:cs="Sakkal Majalla"/>
          <w:color w:val="000000"/>
          <w:sz w:val="28"/>
          <w:szCs w:val="28"/>
          <w:rtl/>
        </w:rPr>
        <w:t>يوجد تأثير غير مباشر ذو دلالة إحصائية للقيادة التحويلية على سلوكيات السلامة من خلال الدور الوسيط لثقافة السلامة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9F0B77">
        <w:rPr>
          <w:rFonts w:ascii="Sakkal Majalla" w:hAnsi="Sakkal Majalla" w:cs="Sakkal Majalla"/>
          <w:color w:val="000000"/>
          <w:sz w:val="28"/>
          <w:szCs w:val="28"/>
        </w:rPr>
        <w:t>.</w:t>
      </w:r>
    </w:p>
    <w:p w14:paraId="6B7D73D5" w14:textId="77777777" w:rsidR="009F0B77" w:rsidRPr="009F0B77" w:rsidRDefault="009F0B77" w:rsidP="009F0B77">
      <w:pPr>
        <w:pStyle w:val="a8"/>
        <w:bidi/>
        <w:spacing w:line="360" w:lineRule="auto"/>
        <w:ind w:left="180"/>
        <w:jc w:val="both"/>
        <w:rPr>
          <w:rFonts w:ascii="Sakkal Majalla" w:hAnsi="Sakkal Majalla" w:cs="Sakkal Majalla"/>
          <w:b/>
          <w:bCs/>
          <w:color w:val="000000"/>
          <w:sz w:val="28"/>
          <w:szCs w:val="28"/>
        </w:rPr>
      </w:pPr>
      <w:r w:rsidRPr="009F0B77">
        <w:rPr>
          <w:rFonts w:ascii="Sakkal Majalla" w:hAnsi="Sakkal Majalla" w:cs="Sakkal Majalla"/>
          <w:b/>
          <w:bCs/>
          <w:color w:val="000000"/>
          <w:sz w:val="28"/>
          <w:szCs w:val="28"/>
        </w:rPr>
        <w:t xml:space="preserve">6.3 </w:t>
      </w:r>
      <w:r w:rsidRPr="009F0B77">
        <w:rPr>
          <w:rFonts w:ascii="Sakkal Majalla" w:hAnsi="Sakkal Majalla" w:cs="Sakkal Majalla"/>
          <w:b/>
          <w:bCs/>
          <w:color w:val="000000"/>
          <w:sz w:val="28"/>
          <w:szCs w:val="28"/>
          <w:rtl/>
        </w:rPr>
        <w:t>الفروض المتعلقة بالوساطة المتسلسلة</w:t>
      </w:r>
      <w:r w:rsidRPr="009F0B77">
        <w:rPr>
          <w:rFonts w:ascii="Sakkal Majalla" w:hAnsi="Sakkal Majalla" w:cs="Sakkal Majalla"/>
          <w:b/>
          <w:bCs/>
          <w:color w:val="000000"/>
          <w:sz w:val="28"/>
          <w:szCs w:val="28"/>
        </w:rPr>
        <w:t xml:space="preserve"> (Serial Mediation)</w:t>
      </w:r>
    </w:p>
    <w:p w14:paraId="46D1A133" w14:textId="1CF6F22E" w:rsidR="009F0B77" w:rsidRPr="009F0B77" w:rsidRDefault="00C8596E" w:rsidP="000A1987">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الفرضية المركزية</w:t>
      </w:r>
      <w:r w:rsidRPr="00FC62C6">
        <w:rPr>
          <w:rFonts w:ascii="Sakkal Majalla" w:hAnsi="Sakkal Majalla" w:cs="Sakkal Majalla"/>
          <w:color w:val="000000"/>
          <w:sz w:val="28"/>
          <w:szCs w:val="28"/>
        </w:rPr>
        <w:t xml:space="preserve"> (h5): </w:t>
      </w:r>
      <w:r w:rsidRPr="00FC62C6">
        <w:rPr>
          <w:rFonts w:ascii="Sakkal Majalla" w:hAnsi="Sakkal Majalla" w:cs="Sakkal Majalla"/>
          <w:color w:val="000000"/>
          <w:sz w:val="28"/>
          <w:szCs w:val="28"/>
          <w:rtl/>
        </w:rPr>
        <w:t xml:space="preserve">يوجد تأثير ذي دلالة إحصائية للقيادة التحويلية على تقليل الأحداث </w:t>
      </w:r>
      <w:r w:rsidR="00BE577C" w:rsidRPr="00FC62C6">
        <w:rPr>
          <w:rFonts w:ascii="Sakkal Majalla" w:hAnsi="Sakkal Majalla" w:cs="Sakkal Majalla"/>
          <w:color w:val="000000"/>
          <w:sz w:val="28"/>
          <w:szCs w:val="28"/>
          <w:rtl/>
        </w:rPr>
        <w:t>الضارة،</w:t>
      </w:r>
      <w:r w:rsidRPr="00FC62C6">
        <w:rPr>
          <w:rFonts w:ascii="Sakkal Majalla" w:hAnsi="Sakkal Majalla" w:cs="Sakkal Majalla"/>
          <w:color w:val="000000"/>
          <w:sz w:val="28"/>
          <w:szCs w:val="28"/>
          <w:rtl/>
        </w:rPr>
        <w:t xml:space="preserve"> من خلال الوساطة المتتابعة لثقافة السلامة وسلوكيات السلامة بين العاملين في المستشفيات الحكومية بمنطقة الجوف</w:t>
      </w:r>
      <w:r w:rsidR="000A1987">
        <w:rPr>
          <w:rFonts w:ascii="Sakkal Majalla" w:hAnsi="Sakkal Majalla" w:cs="Sakkal Majalla" w:hint="cs"/>
          <w:color w:val="000000"/>
          <w:sz w:val="28"/>
          <w:szCs w:val="28"/>
          <w:rtl/>
        </w:rPr>
        <w:t xml:space="preserve"> </w:t>
      </w:r>
      <w:r w:rsidR="000A1987" w:rsidRPr="000A1987">
        <w:rPr>
          <w:rFonts w:ascii="Sakkal Majalla" w:hAnsi="Sakkal Majalla" w:cs="Sakkal Majalla"/>
          <w:color w:val="000000"/>
          <w:sz w:val="28"/>
          <w:szCs w:val="28"/>
          <w:rtl/>
        </w:rPr>
        <w:t>أقل من أو تساوي0.05</w:t>
      </w:r>
      <w:r w:rsidRPr="00FC62C6">
        <w:rPr>
          <w:rFonts w:ascii="Sakkal Majalla" w:hAnsi="Sakkal Majalla" w:cs="Sakkal Majalla"/>
          <w:color w:val="000000"/>
          <w:sz w:val="28"/>
          <w:szCs w:val="28"/>
        </w:rPr>
        <w:t>.</w:t>
      </w:r>
    </w:p>
    <w:p w14:paraId="7321EDE0" w14:textId="77777777" w:rsidR="009F0B77" w:rsidRPr="009F0B77" w:rsidRDefault="009F0B77" w:rsidP="009F0B77">
      <w:pPr>
        <w:pStyle w:val="a8"/>
        <w:bidi/>
        <w:spacing w:line="360" w:lineRule="auto"/>
        <w:ind w:left="180"/>
        <w:jc w:val="both"/>
        <w:rPr>
          <w:rFonts w:ascii="Sakkal Majalla" w:hAnsi="Sakkal Majalla" w:cs="Sakkal Majalla"/>
          <w:color w:val="000000"/>
          <w:sz w:val="28"/>
          <w:szCs w:val="28"/>
        </w:rPr>
      </w:pPr>
      <w:r w:rsidRPr="009F0B77">
        <w:rPr>
          <w:rFonts w:ascii="Sakkal Majalla" w:hAnsi="Sakkal Majalla" w:cs="Sakkal Majalla"/>
          <w:color w:val="000000"/>
          <w:sz w:val="28"/>
          <w:szCs w:val="28"/>
          <w:rtl/>
        </w:rPr>
        <w:t>بمعنى آخر: المسار</w:t>
      </w:r>
      <w:r w:rsidRPr="009F0B77">
        <w:rPr>
          <w:rFonts w:ascii="Sakkal Majalla" w:hAnsi="Sakkal Majalla" w:cs="Sakkal Majalla"/>
          <w:color w:val="000000"/>
          <w:sz w:val="28"/>
          <w:szCs w:val="28"/>
        </w:rPr>
        <w:t xml:space="preserve"> (TL </w:t>
      </w:r>
      <w:r w:rsidRPr="009F0B77">
        <w:rPr>
          <w:color w:val="000000"/>
          <w:sz w:val="28"/>
          <w:szCs w:val="28"/>
        </w:rPr>
        <w:t>→</w:t>
      </w:r>
      <w:r w:rsidRPr="009F0B77">
        <w:rPr>
          <w:rFonts w:ascii="Sakkal Majalla" w:hAnsi="Sakkal Majalla" w:cs="Sakkal Majalla"/>
          <w:color w:val="000000"/>
          <w:sz w:val="28"/>
          <w:szCs w:val="28"/>
        </w:rPr>
        <w:t xml:space="preserve"> SC </w:t>
      </w:r>
      <w:r w:rsidRPr="009F0B77">
        <w:rPr>
          <w:color w:val="000000"/>
          <w:sz w:val="28"/>
          <w:szCs w:val="28"/>
        </w:rPr>
        <w:t>→</w:t>
      </w:r>
      <w:r w:rsidRPr="009F0B77">
        <w:rPr>
          <w:rFonts w:ascii="Sakkal Majalla" w:hAnsi="Sakkal Majalla" w:cs="Sakkal Majalla"/>
          <w:color w:val="000000"/>
          <w:sz w:val="28"/>
          <w:szCs w:val="28"/>
        </w:rPr>
        <w:t xml:space="preserve"> SB </w:t>
      </w:r>
      <w:r w:rsidRPr="009F0B77">
        <w:rPr>
          <w:color w:val="000000"/>
          <w:sz w:val="28"/>
          <w:szCs w:val="28"/>
        </w:rPr>
        <w:t>→</w:t>
      </w:r>
      <w:r w:rsidRPr="009F0B77">
        <w:rPr>
          <w:rFonts w:ascii="Sakkal Majalla" w:hAnsi="Sakkal Majalla" w:cs="Sakkal Majalla"/>
          <w:color w:val="000000"/>
          <w:sz w:val="28"/>
          <w:szCs w:val="28"/>
        </w:rPr>
        <w:t xml:space="preserve"> AE) </w:t>
      </w:r>
      <w:r w:rsidRPr="009F0B77">
        <w:rPr>
          <w:rFonts w:ascii="Sakkal Majalla" w:hAnsi="Sakkal Majalla" w:cs="Sakkal Majalla"/>
          <w:color w:val="000000"/>
          <w:sz w:val="28"/>
          <w:szCs w:val="28"/>
          <w:rtl/>
        </w:rPr>
        <w:t>يحمل تأثيرًا إحصائيًا ذا معنى</w:t>
      </w:r>
      <w:r w:rsidRPr="009F0B77">
        <w:rPr>
          <w:rFonts w:ascii="Sakkal Majalla" w:hAnsi="Sakkal Majalla" w:cs="Sakkal Majalla"/>
          <w:color w:val="000000"/>
          <w:sz w:val="28"/>
          <w:szCs w:val="28"/>
        </w:rPr>
        <w:t>.</w:t>
      </w:r>
    </w:p>
    <w:p w14:paraId="7874CEEB" w14:textId="27773A72" w:rsidR="00ED6763" w:rsidRPr="00FC62C6" w:rsidRDefault="00ED6763" w:rsidP="003D4C1A">
      <w:pPr>
        <w:pStyle w:val="a8"/>
        <w:bidi/>
        <w:spacing w:line="360" w:lineRule="auto"/>
        <w:ind w:left="180"/>
        <w:jc w:val="both"/>
        <w:rPr>
          <w:rFonts w:ascii="Sakkal Majalla" w:hAnsi="Sakkal Majalla" w:cs="Sakkal Majalla"/>
          <w:b/>
          <w:bCs/>
          <w:color w:val="000000"/>
          <w:sz w:val="28"/>
          <w:szCs w:val="28"/>
          <w:rtl/>
        </w:rPr>
      </w:pPr>
      <w:r w:rsidRPr="00FC62C6">
        <w:rPr>
          <w:rFonts w:ascii="Sakkal Majalla" w:hAnsi="Sakkal Majalla" w:cs="Sakkal Majalla"/>
          <w:b/>
          <w:bCs/>
          <w:color w:val="000000"/>
          <w:sz w:val="28"/>
          <w:szCs w:val="28"/>
        </w:rPr>
        <w:t xml:space="preserve">6.3 </w:t>
      </w:r>
      <w:r w:rsidRPr="00FC62C6">
        <w:rPr>
          <w:rFonts w:ascii="Sakkal Majalla" w:hAnsi="Sakkal Majalla" w:cs="Sakkal Majalla"/>
          <w:b/>
          <w:bCs/>
          <w:color w:val="000000"/>
          <w:sz w:val="28"/>
          <w:szCs w:val="28"/>
          <w:rtl/>
        </w:rPr>
        <w:t>المتغيرات الضابطة</w:t>
      </w:r>
    </w:p>
    <w:p w14:paraId="3432F96B" w14:textId="6922DAEF" w:rsidR="00ED6763" w:rsidRPr="00FC62C6" w:rsidRDefault="00C8596E" w:rsidP="00BE577C">
      <w:pPr>
        <w:pStyle w:val="a8"/>
        <w:bidi/>
        <w:spacing w:line="360" w:lineRule="auto"/>
        <w:ind w:left="180"/>
        <w:jc w:val="both"/>
        <w:rPr>
          <w:rFonts w:ascii="Sakkal Majalla" w:hAnsi="Sakkal Majalla" w:cs="Sakkal Majalla"/>
          <w:color w:val="000000"/>
          <w:sz w:val="28"/>
          <w:szCs w:val="28"/>
          <w:rtl/>
        </w:rPr>
      </w:pPr>
      <w:r w:rsidRPr="00FC62C6">
        <w:rPr>
          <w:rFonts w:ascii="Sakkal Majalla" w:hAnsi="Sakkal Majalla" w:cs="Sakkal Majalla"/>
          <w:color w:val="000000"/>
          <w:sz w:val="28"/>
          <w:szCs w:val="28"/>
          <w:rtl/>
        </w:rPr>
        <w:t>سيتم استخدام المتغيرات الضابطة التالية لضمان تعزيز موثوقية القياس وتقليل احتمالية التحيزات المؤثرة على العلاقات الإحصائية:</w:t>
      </w:r>
    </w:p>
    <w:p w14:paraId="4E817375" w14:textId="4575681C" w:rsidR="00ED6763" w:rsidRPr="00FC62C6" w:rsidRDefault="00BE577C" w:rsidP="00BE577C">
      <w:pPr>
        <w:pStyle w:val="a8"/>
        <w:bidi/>
        <w:spacing w:line="360" w:lineRule="auto"/>
        <w:ind w:left="180"/>
        <w:jc w:val="both"/>
        <w:rPr>
          <w:rFonts w:ascii="Sakkal Majalla" w:hAnsi="Sakkal Majalla" w:cs="Sakkal Majalla"/>
          <w:color w:val="000000"/>
          <w:sz w:val="28"/>
          <w:szCs w:val="28"/>
        </w:rPr>
      </w:pPr>
      <w:r w:rsidRPr="00FC62C6">
        <w:rPr>
          <w:rFonts w:ascii="Sakkal Majalla" w:hAnsi="Sakkal Majalla" w:cs="Sakkal Majalla"/>
          <w:color w:val="000000"/>
          <w:sz w:val="28"/>
          <w:szCs w:val="28"/>
          <w:rtl/>
        </w:rPr>
        <w:t>1- سنوات الخبرة الوظيفية 2- القسم أو التخصص الطبي 3- نوع المناوبة (نهاري/ليلي) 4- المرتبة أو الفئة الوظيفية</w:t>
      </w:r>
    </w:p>
    <w:p w14:paraId="29D3F3B9" w14:textId="5F740943" w:rsidR="00E07AD8" w:rsidRPr="00E07AD8" w:rsidRDefault="00820A0F" w:rsidP="008B5C39">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7</w:t>
      </w:r>
      <w:r w:rsidR="007E5BA4" w:rsidRPr="00FC62C6">
        <w:rPr>
          <w:rFonts w:ascii="Sakkal Majalla" w:hAnsi="Sakkal Majalla" w:cs="Sakkal Majalla"/>
          <w:b/>
          <w:bCs/>
          <w:sz w:val="28"/>
          <w:szCs w:val="28"/>
          <w:rtl/>
        </w:rPr>
        <w:t>. مفاهيم الدراسة ومصطلحاتها</w:t>
      </w:r>
      <w:r w:rsidR="00E07AD8">
        <w:rPr>
          <w:rFonts w:ascii="Sakkal Majalla" w:hAnsi="Sakkal Majalla" w:cs="Sakkal Majalla"/>
          <w:b/>
          <w:bCs/>
          <w:sz w:val="28"/>
          <w:szCs w:val="28"/>
          <w:rtl/>
        </w:rPr>
        <w:br/>
      </w:r>
      <w:r w:rsidR="00E07AD8" w:rsidRPr="00E07AD8">
        <w:rPr>
          <w:rFonts w:ascii="Sakkal Majalla" w:hAnsi="Sakkal Majalla" w:cs="Sakkal Majalla"/>
          <w:b/>
          <w:bCs/>
          <w:sz w:val="24"/>
          <w:szCs w:val="24"/>
          <w:rtl/>
        </w:rPr>
        <w:t>جدول موجز لتعريفات المتغيرات وقياسها</w:t>
      </w:r>
      <w:r w:rsidR="00E07AD8" w:rsidRPr="00E07AD8">
        <w:rPr>
          <w:rFonts w:ascii="Sakkal Majalla" w:hAnsi="Sakkal Majalla" w:cs="Sakkal Majalla" w:hint="cs"/>
          <w:b/>
          <w:bCs/>
          <w:sz w:val="24"/>
          <w:szCs w:val="24"/>
          <w:rtl/>
        </w:rPr>
        <w:t>:</w:t>
      </w:r>
    </w:p>
    <w:p w14:paraId="53C674C8" w14:textId="4018055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7.1 </w:t>
      </w:r>
      <w:r w:rsidRPr="00FC62C6">
        <w:rPr>
          <w:rFonts w:ascii="Sakkal Majalla" w:hAnsi="Sakkal Majalla" w:cs="Sakkal Majalla"/>
          <w:b/>
          <w:bCs/>
          <w:sz w:val="28"/>
          <w:szCs w:val="28"/>
          <w:rtl/>
        </w:rPr>
        <w:t>القيادة التحويلية</w:t>
      </w:r>
      <w:r w:rsidRPr="00FC62C6">
        <w:rPr>
          <w:rFonts w:ascii="Sakkal Majalla" w:hAnsi="Sakkal Majalla" w:cs="Sakkal Majalla"/>
          <w:b/>
          <w:bCs/>
          <w:sz w:val="28"/>
          <w:szCs w:val="28"/>
        </w:rPr>
        <w:t xml:space="preserve"> (Transformational Leadership – TL)</w:t>
      </w:r>
    </w:p>
    <w:p w14:paraId="7F7B0F38"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2F03CD22" w14:textId="73E77985"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تُعرف القيادة التحويلية بأنها أسلوب قيادي يستهدف إلهام وتحفيز العاملين لتبني أهداف المنظمة وتقديمها على المصالح الشخصية، من خلال التأثير النموذجي، والتحفيز الملهم، والاستثارة الفكرية، والاعتبار الفردي، مما يساهم في تعزيز مستوى الالتزام والتحول الإيجابي داخل المؤسسات (</w:t>
      </w:r>
      <w:r w:rsidRPr="00FC62C6">
        <w:rPr>
          <w:rFonts w:ascii="Sakkal Majalla" w:hAnsi="Sakkal Majalla" w:cs="Sakkal Majalla"/>
          <w:sz w:val="28"/>
          <w:szCs w:val="28"/>
        </w:rPr>
        <w:t>Bass &amp; Avolio</w:t>
      </w:r>
      <w:r w:rsidRPr="00FC62C6">
        <w:rPr>
          <w:rFonts w:ascii="Sakkal Majalla" w:hAnsi="Sakkal Majalla" w:cs="Sakkal Majalla"/>
          <w:sz w:val="28"/>
          <w:szCs w:val="28"/>
          <w:rtl/>
        </w:rPr>
        <w:t>، 1996).</w:t>
      </w:r>
    </w:p>
    <w:p w14:paraId="3FE15982"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الإجرائي</w:t>
      </w:r>
    </w:p>
    <w:p w14:paraId="4333A6FE" w14:textId="05EB7227"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هي المستوى الذي يعكسه تصور العاملين والممارسين الصحيين في مستشفيات القطاع الحكومي بمنطقة الجوف بشأن مدى تطبيق القيادات الإدارية والطبية لأبعاد القيادة التحويلية، وذلك استنادًا إلى نتائج الاستبانة المعتمدة (</w:t>
      </w:r>
      <w:r w:rsidRPr="00FC62C6">
        <w:rPr>
          <w:rFonts w:ascii="Sakkal Majalla" w:hAnsi="Sakkal Majalla" w:cs="Sakkal Majalla"/>
          <w:sz w:val="28"/>
          <w:szCs w:val="28"/>
        </w:rPr>
        <w:t>Multifactor Leadership Questionnaire – MLQ</w:t>
      </w:r>
      <w:r w:rsidRPr="00FC62C6">
        <w:rPr>
          <w:rFonts w:ascii="Sakkal Majalla" w:hAnsi="Sakkal Majalla" w:cs="Sakkal Majalla"/>
          <w:sz w:val="28"/>
          <w:szCs w:val="28"/>
          <w:rtl/>
        </w:rPr>
        <w:t>).</w:t>
      </w:r>
    </w:p>
    <w:p w14:paraId="2F9A4527"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الأبعاد الرئيسة</w:t>
      </w:r>
    </w:p>
    <w:p w14:paraId="73D6FD9E" w14:textId="538A608B"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التأثير المثالي</w:t>
      </w:r>
      <w:r w:rsidRPr="00FC62C6">
        <w:rPr>
          <w:rFonts w:ascii="Sakkal Majalla" w:hAnsi="Sakkal Majalla" w:cs="Sakkal Majalla"/>
          <w:sz w:val="28"/>
          <w:szCs w:val="28"/>
        </w:rPr>
        <w:t xml:space="preserve"> (Idealized Influence)</w:t>
      </w:r>
    </w:p>
    <w:p w14:paraId="55422BBA" w14:textId="2E417899"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التحفيز الملهم</w:t>
      </w:r>
      <w:r w:rsidRPr="00FC62C6">
        <w:rPr>
          <w:rFonts w:ascii="Sakkal Majalla" w:hAnsi="Sakkal Majalla" w:cs="Sakkal Majalla"/>
          <w:sz w:val="28"/>
          <w:szCs w:val="28"/>
        </w:rPr>
        <w:t xml:space="preserve"> (Inspirational Motivation)</w:t>
      </w:r>
    </w:p>
    <w:p w14:paraId="673281BB" w14:textId="78B77168" w:rsidR="00820A0F" w:rsidRPr="00FC62C6" w:rsidRDefault="00820A0F" w:rsidP="00820A0F">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الاستثارة الفكرية</w:t>
      </w:r>
      <w:r w:rsidRPr="00FC62C6">
        <w:rPr>
          <w:rFonts w:ascii="Sakkal Majalla" w:hAnsi="Sakkal Majalla" w:cs="Sakkal Majalla"/>
          <w:sz w:val="28"/>
          <w:szCs w:val="28"/>
        </w:rPr>
        <w:t xml:space="preserve"> (Intellectual Stimulation)</w:t>
      </w:r>
    </w:p>
    <w:p w14:paraId="50D046BB" w14:textId="669BD78F" w:rsidR="0019387F" w:rsidRPr="00FC62C6" w:rsidRDefault="00820A0F" w:rsidP="00C8596E">
      <w:pPr>
        <w:numPr>
          <w:ilvl w:val="0"/>
          <w:numId w:val="109"/>
        </w:num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الاعتبار الفردي</w:t>
      </w:r>
      <w:r w:rsidRPr="00FC62C6">
        <w:rPr>
          <w:rFonts w:ascii="Sakkal Majalla" w:hAnsi="Sakkal Majalla" w:cs="Sakkal Majalla"/>
          <w:sz w:val="28"/>
          <w:szCs w:val="28"/>
        </w:rPr>
        <w:t xml:space="preserve"> (Individualized Consideration)</w:t>
      </w:r>
    </w:p>
    <w:p w14:paraId="61ED735E" w14:textId="0CD8C6E5"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 7.2 </w:t>
      </w:r>
      <w:r w:rsidRPr="00FC62C6">
        <w:rPr>
          <w:rFonts w:ascii="Sakkal Majalla" w:hAnsi="Sakkal Majalla" w:cs="Sakkal Majalla"/>
          <w:b/>
          <w:bCs/>
          <w:sz w:val="28"/>
          <w:szCs w:val="28"/>
          <w:rtl/>
        </w:rPr>
        <w:t>ثقافة السلامة</w:t>
      </w:r>
      <w:r w:rsidRPr="00FC62C6">
        <w:rPr>
          <w:rFonts w:ascii="Sakkal Majalla" w:hAnsi="Sakkal Majalla" w:cs="Sakkal Majalla"/>
          <w:b/>
          <w:bCs/>
          <w:sz w:val="28"/>
          <w:szCs w:val="28"/>
        </w:rPr>
        <w:t xml:space="preserve"> (Safety Culture – SC)</w:t>
      </w:r>
    </w:p>
    <w:p w14:paraId="6D6FD51B"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764F6597" w14:textId="3836B2A7" w:rsidR="00820A0F" w:rsidRPr="00FC62C6" w:rsidRDefault="00C8596E"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Pr>
          <w:rFonts w:ascii="Sakkal Majalla" w:hAnsi="Sakkal Majalla" w:cs="Sakkal Majalla"/>
          <w:sz w:val="28"/>
          <w:szCs w:val="28"/>
          <w:rtl/>
        </w:rPr>
        <w:fldChar w:fldCharType="begin"/>
      </w:r>
      <w:r w:rsidR="00154D4E">
        <w:rPr>
          <w:rFonts w:ascii="Sakkal Majalla" w:hAnsi="Sakkal Majalla" w:cs="Sakkal Majalla"/>
          <w:sz w:val="28"/>
          <w:szCs w:val="28"/>
          <w:rtl/>
        </w:rPr>
        <w:instrText xml:space="preserve"> </w:instrText>
      </w:r>
      <w:r w:rsidR="00154D4E">
        <w:rPr>
          <w:rFonts w:ascii="Sakkal Majalla" w:hAnsi="Sakkal Majalla" w:cs="Sakkal Majalla"/>
          <w:sz w:val="28"/>
          <w:szCs w:val="28"/>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Pr>
          <w:rFonts w:ascii="Sakkal Majalla" w:hAnsi="Sakkal Majalla" w:cs="Sakkal Majalla"/>
          <w:sz w:val="28"/>
          <w:szCs w:val="28"/>
          <w:rtl/>
        </w:rPr>
        <w:instrText>&gt;</w:instrText>
      </w:r>
      <w:r w:rsidR="00154D4E">
        <w:rPr>
          <w:rFonts w:ascii="Sakkal Majalla" w:hAnsi="Sakkal Majalla" w:cs="Sakkal Majalla"/>
          <w:sz w:val="28"/>
          <w:szCs w:val="28"/>
          <w:rtl/>
        </w:rPr>
        <w:fldChar w:fldCharType="separate"/>
      </w:r>
      <w:r w:rsidR="00154D4E">
        <w:rPr>
          <w:rFonts w:ascii="Sakkal Majalla" w:hAnsi="Sakkal Majalla" w:cs="Sakkal Majalla"/>
          <w:noProof/>
          <w:sz w:val="28"/>
          <w:szCs w:val="28"/>
          <w:rtl/>
        </w:rPr>
        <w:t>(</w:t>
      </w:r>
      <w:r w:rsidR="00154D4E">
        <w:rPr>
          <w:rFonts w:ascii="Sakkal Majalla" w:hAnsi="Sakkal Majalla" w:cs="Sakkal Majalla"/>
          <w:noProof/>
          <w:sz w:val="28"/>
          <w:szCs w:val="28"/>
        </w:rPr>
        <w:t>Asante &amp; Novak, 2024</w:t>
      </w:r>
      <w:r w:rsidR="00154D4E">
        <w:rPr>
          <w:rFonts w:ascii="Sakkal Majalla" w:hAnsi="Sakkal Majalla" w:cs="Sakkal Majalla"/>
          <w:noProof/>
          <w:sz w:val="28"/>
          <w:szCs w:val="28"/>
          <w:rtl/>
        </w:rPr>
        <w:t>)</w:t>
      </w:r>
      <w:r w:rsidR="00154D4E">
        <w:rPr>
          <w:rFonts w:ascii="Sakkal Majalla" w:hAnsi="Sakkal Majalla" w:cs="Sakkal Majalla"/>
          <w:sz w:val="28"/>
          <w:szCs w:val="28"/>
          <w:rtl/>
        </w:rPr>
        <w:fldChar w:fldCharType="end"/>
      </w:r>
      <w:r w:rsidRPr="00FC62C6">
        <w:rPr>
          <w:rFonts w:ascii="Sakkal Majalla" w:hAnsi="Sakkal Majalla" w:cs="Sakkal Majalla"/>
          <w:sz w:val="28"/>
          <w:szCs w:val="28"/>
          <w:rtl/>
        </w:rPr>
        <w:t>.</w:t>
      </w:r>
    </w:p>
    <w:p w14:paraId="5EF94A90"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CAE6822" w14:textId="4401B06D" w:rsidR="00820A0F" w:rsidRPr="00FC62C6" w:rsidRDefault="00C8596E"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p w14:paraId="69DD907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الأبعاد الرئيسة</w:t>
      </w:r>
    </w:p>
    <w:p w14:paraId="3F7F37DA" w14:textId="4AA707CA" w:rsidR="00820A0F" w:rsidRPr="00FC62C6" w:rsidRDefault="00FC62C6" w:rsidP="00974AA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دعم الإدارة للسلامة؛ 2- التواصل المفتوح بشأن الأخطاء؛ 3- التعلم المستمر من الحوادث؛ 4- العمل الجماعي والتعاون.</w:t>
      </w:r>
    </w:p>
    <w:p w14:paraId="0E8E71CD" w14:textId="64DCAF94"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Pr>
        <w:t xml:space="preserve">7.3 </w:t>
      </w:r>
      <w:r w:rsidRPr="00FC62C6">
        <w:rPr>
          <w:rFonts w:ascii="Sakkal Majalla" w:hAnsi="Sakkal Majalla" w:cs="Sakkal Majalla"/>
          <w:b/>
          <w:bCs/>
          <w:sz w:val="28"/>
          <w:szCs w:val="28"/>
          <w:rtl/>
        </w:rPr>
        <w:t>سلوكيات السلامة</w:t>
      </w:r>
      <w:r w:rsidRPr="00FC62C6">
        <w:rPr>
          <w:rFonts w:ascii="Sakkal Majalla" w:hAnsi="Sakkal Majalla" w:cs="Sakkal Majalla"/>
          <w:b/>
          <w:bCs/>
          <w:sz w:val="28"/>
          <w:szCs w:val="28"/>
        </w:rPr>
        <w:t xml:space="preserve"> (Safety Behaviors – SB)</w:t>
      </w:r>
      <w:r w:rsidR="00EE4069" w:rsidRPr="00FC62C6">
        <w:rPr>
          <w:rFonts w:ascii="Sakkal Majalla" w:hAnsi="Sakkal Majalla" w:cs="Sakkal Majalla"/>
          <w:b/>
          <w:bCs/>
          <w:sz w:val="28"/>
          <w:szCs w:val="28"/>
        </w:rPr>
        <w:t xml:space="preserve"> </w:t>
      </w:r>
    </w:p>
    <w:p w14:paraId="09B08384"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التعريف النظري</w:t>
      </w:r>
    </w:p>
    <w:p w14:paraId="53B221B7" w14:textId="61821606"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FC62C6">
        <w:rPr>
          <w:rFonts w:ascii="Sakkal Majalla" w:hAnsi="Sakkal Majalla" w:cs="Sakkal Majalla"/>
          <w:sz w:val="28"/>
          <w:szCs w:val="28"/>
        </w:rPr>
        <w:t>Mohammed</w:t>
      </w:r>
      <w:r w:rsidRPr="00FC62C6">
        <w:rPr>
          <w:rFonts w:ascii="Sakkal Majalla" w:hAnsi="Sakkal Majalla" w:cs="Sakkal Majalla"/>
          <w:sz w:val="28"/>
          <w:szCs w:val="28"/>
          <w:rtl/>
        </w:rPr>
        <w:t>، 2025).</w:t>
      </w:r>
    </w:p>
    <w:p w14:paraId="73C43D3F"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الإجرائي</w:t>
      </w:r>
    </w:p>
    <w:p w14:paraId="10877131" w14:textId="7F0634F1" w:rsidR="00820A0F" w:rsidRPr="00FC62C6" w:rsidRDefault="00C92050" w:rsidP="00820A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lastRenderedPageBreak/>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370E1BA6" w14:textId="77777777" w:rsidR="00820A0F" w:rsidRPr="00FC62C6" w:rsidRDefault="00820A0F" w:rsidP="00820A0F">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Pr>
        <w:t xml:space="preserve">7.4 </w:t>
      </w:r>
      <w:r w:rsidRPr="00FC62C6">
        <w:rPr>
          <w:rFonts w:ascii="Sakkal Majalla" w:hAnsi="Sakkal Majalla" w:cs="Sakkal Majalla"/>
          <w:b/>
          <w:bCs/>
          <w:sz w:val="28"/>
          <w:szCs w:val="28"/>
          <w:rtl/>
        </w:rPr>
        <w:t>الأحداث الضارة</w:t>
      </w:r>
      <w:r w:rsidRPr="00FC62C6">
        <w:rPr>
          <w:rFonts w:ascii="Sakkal Majalla" w:hAnsi="Sakkal Majalla" w:cs="Sakkal Majalla"/>
          <w:b/>
          <w:bCs/>
          <w:sz w:val="28"/>
          <w:szCs w:val="28"/>
        </w:rPr>
        <w:t xml:space="preserve"> (Adverse Events – AE)</w:t>
      </w:r>
    </w:p>
    <w:p w14:paraId="334787A5" w14:textId="77777777" w:rsidR="00820A0F" w:rsidRPr="00FC62C6" w:rsidRDefault="00820A0F" w:rsidP="00820A0F">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التعريف النظري</w:t>
      </w:r>
    </w:p>
    <w:p w14:paraId="5A2BA4B3" w14:textId="0DCD6993" w:rsidR="00820A0F" w:rsidRPr="00FC62C6" w:rsidRDefault="00C92050" w:rsidP="00820A0F">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الأحداث الضارة تمثل إصابات أو نتائج سلبية غير مقصودة يتعرض لها المريض نتيجة للرعاية الطبية المقدمة، وليست لها علاقة بالمرض الأساسي، وقد تؤدي إلى ضرر وظيفي، أو إطالة مدة الإقامة، أو الوفاة. وغالبًا ما تكون قابلة للوقاية (</w:t>
      </w:r>
      <w:r w:rsidRPr="00FC62C6">
        <w:rPr>
          <w:rFonts w:ascii="Sakkal Majalla" w:hAnsi="Sakkal Majalla" w:cs="Sakkal Majalla"/>
          <w:sz w:val="28"/>
          <w:szCs w:val="28"/>
        </w:rPr>
        <w:t>Shenoy, 2021</w:t>
      </w:r>
      <w:r w:rsidRPr="00FC62C6">
        <w:rPr>
          <w:rFonts w:ascii="Sakkal Majalla" w:hAnsi="Sakkal Majalla" w:cs="Sakkal Majalla"/>
          <w:sz w:val="28"/>
          <w:szCs w:val="28"/>
          <w:rtl/>
        </w:rPr>
        <w:t>).</w:t>
      </w:r>
    </w:p>
    <w:p w14:paraId="60562575" w14:textId="04553981" w:rsidR="001E5385" w:rsidRPr="001E5385" w:rsidRDefault="001E5385" w:rsidP="001E5385">
      <w:pPr>
        <w:bidi/>
        <w:spacing w:line="360" w:lineRule="auto"/>
        <w:rPr>
          <w:rFonts w:ascii="Sakkal Majalla" w:hAnsi="Sakkal Majalla" w:cs="Sakkal Majalla"/>
          <w:b/>
          <w:bCs/>
          <w:sz w:val="28"/>
          <w:szCs w:val="28"/>
        </w:rPr>
      </w:pPr>
      <w:r w:rsidRPr="001E5385">
        <w:rPr>
          <w:rFonts w:ascii="Sakkal Majalla" w:hAnsi="Sakkal Majalla" w:cs="Sakkal Majalla"/>
          <w:b/>
          <w:bCs/>
          <w:sz w:val="28"/>
          <w:szCs w:val="28"/>
          <w:rtl/>
        </w:rPr>
        <w:t>لتعريف الإجرائي</w:t>
      </w:r>
    </w:p>
    <w:p w14:paraId="63E7E0E7" w14:textId="79B212E7" w:rsidR="001E5385" w:rsidRPr="001E5385" w:rsidRDefault="00C92050" w:rsidP="001E5385">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22CD91B2" w14:textId="77777777"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وتحديداً، يقيس هذا المتغير مدى فهم العاملين بشأن:</w:t>
      </w:r>
    </w:p>
    <w:p w14:paraId="17059066" w14:textId="52ED021F"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1. مدى تطبيق إجراءات الوقاية الفعالة من الأخطاء الشائعة، مثل أخطاء الأدوية، أخطاء الهوية، والعدوى المكتسبة داخل المستشفى.</w:t>
      </w:r>
    </w:p>
    <w:p w14:paraId="3D670C4A" w14:textId="17CAF934" w:rsidR="00C92050" w:rsidRPr="00FC62C6" w:rsidRDefault="00C92050" w:rsidP="00C92050">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2.فعالية أنظمة الإبلاغ والاستجابة للحوادث الضارة التي تم تسجيلها.</w:t>
      </w:r>
    </w:p>
    <w:p w14:paraId="7D588754" w14:textId="20D65043" w:rsidR="001E5385" w:rsidRPr="001E5385" w:rsidRDefault="00C92050" w:rsidP="00C92050">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3. المستوى المدرك للتحسن في سلامة المرضى نتيجة الإجراءات المتخذة.</w:t>
      </w:r>
    </w:p>
    <w:p w14:paraId="3B9207DF" w14:textId="4EE35D5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طريقة القياس</w:t>
      </w:r>
      <w:r w:rsidRPr="001E5385">
        <w:rPr>
          <w:rFonts w:ascii="Sakkal Majalla" w:hAnsi="Sakkal Majalla" w:cs="Sakkal Majalla"/>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 xml:space="preserve">يتم جمع البيانات من خلال الاستبانة المعتمدة في الدراسة، حيث يعبر المستجيبون عن درجة اتفاقهم مع عبارات تعكس مستوى تقليل الأحداث الضارة باستخدام مقياس </w:t>
      </w:r>
      <w:proofErr w:type="spellStart"/>
      <w:r w:rsidRPr="001E5385">
        <w:rPr>
          <w:rFonts w:ascii="Sakkal Majalla" w:hAnsi="Sakkal Majalla" w:cs="Sakkal Majalla"/>
          <w:sz w:val="28"/>
          <w:szCs w:val="28"/>
          <w:rtl/>
        </w:rPr>
        <w:t>ليكرت</w:t>
      </w:r>
      <w:proofErr w:type="spellEnd"/>
      <w:r w:rsidRPr="001E5385">
        <w:rPr>
          <w:rFonts w:ascii="Sakkal Majalla" w:hAnsi="Sakkal Majalla" w:cs="Sakkal Majalla"/>
          <w:sz w:val="28"/>
          <w:szCs w:val="28"/>
          <w:rtl/>
        </w:rPr>
        <w:t xml:space="preserve"> الخماسي</w:t>
      </w:r>
      <w:r w:rsidRPr="001E5385">
        <w:rPr>
          <w:rFonts w:ascii="Sakkal Majalla" w:hAnsi="Sakkal Majalla" w:cs="Sakkal Majalla"/>
          <w:sz w:val="28"/>
          <w:szCs w:val="28"/>
        </w:rPr>
        <w:t xml:space="preserve">. </w:t>
      </w:r>
      <w:r w:rsidRPr="001E5385">
        <w:rPr>
          <w:rFonts w:ascii="Sakkal Majalla" w:hAnsi="Sakkal Majalla" w:cs="Sakkal Majalla"/>
          <w:sz w:val="28"/>
          <w:szCs w:val="28"/>
          <w:rtl/>
        </w:rPr>
        <w:t>وبالتالي، فإن القياس يعتمد على الإدراك الذاتي المباشر للعاملين (وليس على مراجعة السجلات الفعلية للحوادث)</w:t>
      </w:r>
      <w:r w:rsidRPr="001E5385">
        <w:rPr>
          <w:rFonts w:ascii="Sakkal Majalla" w:hAnsi="Sakkal Majalla" w:cs="Sakkal Majalla"/>
          <w:sz w:val="28"/>
          <w:szCs w:val="28"/>
        </w:rPr>
        <w:t>.</w:t>
      </w:r>
    </w:p>
    <w:p w14:paraId="26B5D211" w14:textId="762B93B6" w:rsidR="001E5385" w:rsidRPr="001E5385" w:rsidRDefault="001E5385" w:rsidP="00C34E8B">
      <w:pPr>
        <w:bidi/>
        <w:spacing w:line="360" w:lineRule="auto"/>
        <w:rPr>
          <w:rFonts w:ascii="Sakkal Majalla" w:hAnsi="Sakkal Majalla" w:cs="Sakkal Majalla"/>
          <w:sz w:val="28"/>
          <w:szCs w:val="28"/>
        </w:rPr>
      </w:pPr>
      <w:r w:rsidRPr="001E5385">
        <w:rPr>
          <w:rFonts w:ascii="Sakkal Majalla" w:hAnsi="Sakkal Majalla" w:cs="Sakkal Majalla"/>
          <w:b/>
          <w:bCs/>
          <w:sz w:val="28"/>
          <w:szCs w:val="28"/>
          <w:rtl/>
        </w:rPr>
        <w:t>ملاحظة منهجية مهمة</w:t>
      </w:r>
      <w:r w:rsidRPr="001E5385">
        <w:rPr>
          <w:rFonts w:ascii="Sakkal Majalla" w:hAnsi="Sakkal Majalla" w:cs="Sakkal Majalla"/>
          <w:b/>
          <w:bCs/>
          <w:sz w:val="28"/>
          <w:szCs w:val="28"/>
        </w:rPr>
        <w:t>:</w:t>
      </w:r>
      <w:r w:rsidR="00C34E8B" w:rsidRPr="00FC62C6">
        <w:rPr>
          <w:rFonts w:ascii="Sakkal Majalla" w:hAnsi="Sakkal Majalla" w:cs="Sakkal Majalla"/>
          <w:sz w:val="28"/>
          <w:szCs w:val="28"/>
          <w:rtl/>
        </w:rPr>
        <w:t xml:space="preserve"> </w:t>
      </w:r>
      <w:r w:rsidRPr="001E5385">
        <w:rPr>
          <w:rFonts w:ascii="Sakkal Majalla" w:hAnsi="Sakkal Majalla" w:cs="Sakkal Majalla"/>
          <w:sz w:val="28"/>
          <w:szCs w:val="28"/>
          <w:rtl/>
        </w:rPr>
        <w:t>اختيار القياس الإدراكي (بدلاً من البيانات الموضوعية من السجلات الرسمية) يُبرره</w:t>
      </w:r>
      <w:r w:rsidRPr="001E5385">
        <w:rPr>
          <w:rFonts w:ascii="Sakkal Majalla" w:hAnsi="Sakkal Majalla" w:cs="Sakkal Majalla"/>
          <w:sz w:val="28"/>
          <w:szCs w:val="28"/>
        </w:rPr>
        <w:t>:</w:t>
      </w:r>
    </w:p>
    <w:p w14:paraId="2848A8F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أولاً</w:t>
      </w:r>
      <w:r w:rsidRPr="001E5385">
        <w:rPr>
          <w:rFonts w:ascii="Sakkal Majalla" w:hAnsi="Sakkal Majalla" w:cs="Sakkal Majalla"/>
          <w:sz w:val="28"/>
          <w:szCs w:val="28"/>
        </w:rPr>
        <w:t>: </w:t>
      </w:r>
      <w:r w:rsidRPr="001E5385">
        <w:rPr>
          <w:rFonts w:ascii="Sakkal Majalla" w:hAnsi="Sakkal Majalla" w:cs="Sakkal Majalla"/>
          <w:sz w:val="28"/>
          <w:szCs w:val="28"/>
          <w:rtl/>
        </w:rPr>
        <w:t>توفر البيانات الإدراكية منظوراً شاملاً عن ثقة العاملين (وهم المنفذون الأساسيون) في فعالية التدابير الوقائية</w:t>
      </w:r>
    </w:p>
    <w:p w14:paraId="06872749"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ثانياً</w:t>
      </w:r>
      <w:r w:rsidRPr="001E5385">
        <w:rPr>
          <w:rFonts w:ascii="Sakkal Majalla" w:hAnsi="Sakkal Majalla" w:cs="Sakkal Majalla"/>
          <w:sz w:val="28"/>
          <w:szCs w:val="28"/>
        </w:rPr>
        <w:t>: </w:t>
      </w:r>
      <w:r w:rsidRPr="001E5385">
        <w:rPr>
          <w:rFonts w:ascii="Sakkal Majalla" w:hAnsi="Sakkal Majalla" w:cs="Sakkal Majalla"/>
          <w:sz w:val="28"/>
          <w:szCs w:val="28"/>
          <w:rtl/>
        </w:rPr>
        <w:t>ارتباط مباشر بين إدراك فعالية الإجراءات والامتثال الفعلي للممارسات الآمنة</w:t>
      </w:r>
    </w:p>
    <w:p w14:paraId="09FAD24C" w14:textId="77777777" w:rsidR="001E5385" w:rsidRPr="001E5385" w:rsidRDefault="001E5385" w:rsidP="001E5385">
      <w:pPr>
        <w:bidi/>
        <w:spacing w:line="360" w:lineRule="auto"/>
        <w:rPr>
          <w:rFonts w:ascii="Sakkal Majalla" w:hAnsi="Sakkal Majalla" w:cs="Sakkal Majalla"/>
          <w:sz w:val="28"/>
          <w:szCs w:val="28"/>
        </w:rPr>
      </w:pPr>
      <w:r w:rsidRPr="001E5385">
        <w:rPr>
          <w:rFonts w:ascii="Sakkal Majalla" w:hAnsi="Sakkal Majalla" w:cs="Sakkal Majalla"/>
          <w:sz w:val="28"/>
          <w:szCs w:val="28"/>
          <w:rtl/>
        </w:rPr>
        <w:t>ثالثاً</w:t>
      </w:r>
      <w:r w:rsidRPr="001E5385">
        <w:rPr>
          <w:rFonts w:ascii="Sakkal Majalla" w:hAnsi="Sakkal Majalla" w:cs="Sakkal Majalla"/>
          <w:sz w:val="28"/>
          <w:szCs w:val="28"/>
        </w:rPr>
        <w:t>: </w:t>
      </w:r>
      <w:r w:rsidRPr="001E5385">
        <w:rPr>
          <w:rFonts w:ascii="Sakkal Majalla" w:hAnsi="Sakkal Majalla" w:cs="Sakkal Majalla"/>
          <w:sz w:val="28"/>
          <w:szCs w:val="28"/>
          <w:rtl/>
        </w:rPr>
        <w:t>عملياً، السجلات الرسمية للحوادث قد تكون غير كاملة أو غير متاحة للباحث، بينما الاستبانة توفر بيانات مباشرة وموحدة</w:t>
      </w:r>
    </w:p>
    <w:p w14:paraId="42C4936D" w14:textId="7B5DF16D" w:rsidR="00336EAC" w:rsidRPr="00FC62C6" w:rsidRDefault="00392B50" w:rsidP="00EE32C9">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7</w:t>
      </w:r>
      <w:r w:rsidR="00336EAC" w:rsidRPr="00FC62C6">
        <w:rPr>
          <w:rFonts w:ascii="Sakkal Majalla" w:hAnsi="Sakkal Majalla" w:cs="Sakkal Majalla"/>
          <w:b/>
          <w:bCs/>
          <w:sz w:val="28"/>
          <w:szCs w:val="28"/>
          <w:rtl/>
        </w:rPr>
        <w:t xml:space="preserve">. الدراسات السابقة </w:t>
      </w:r>
    </w:p>
    <w:p w14:paraId="1A23A352" w14:textId="052F6619" w:rsidR="007718B7" w:rsidRPr="00FC62C6" w:rsidRDefault="00C92050" w:rsidP="000636E4">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تتناول هذه الفقرة مراجعة نقدية وتحليلية معمقة للأدبيات ذات الصلة بالمتغيرات الأساسية للدراسة، والتي تشمل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وتقليل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تم تنظيم العرض وفقاً لمحاور تُبرز التسلسل السببي للنموذج المقترح، مع مراعاة الترتيب الزمني بدءًا من الأحدث وصولاً إلى الأقدم، مع التركيز على التحليل المنهجي لدعم فهم الموضوع بشكل شامل.</w:t>
      </w:r>
    </w:p>
    <w:p w14:paraId="380CB4B9" w14:textId="1D6CC78D"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 xml:space="preserve">7.1. المحور الأول: العلاقة بين القيادة التحويلية وثقافة وسلامة المريض </w:t>
      </w:r>
    </w:p>
    <w:p w14:paraId="06EE6E53" w14:textId="61F2CA8B" w:rsidR="008C3F9B" w:rsidRPr="00FC62C6" w:rsidRDefault="00C92050" w:rsidP="008C3F9B">
      <w:pPr>
        <w:bidi/>
        <w:spacing w:line="360" w:lineRule="auto"/>
        <w:jc w:val="both"/>
        <w:rPr>
          <w:rFonts w:ascii="Sakkal Majalla" w:hAnsi="Sakkal Majalla" w:cs="Sakkal Majalla"/>
          <w:noProof/>
          <w:sz w:val="28"/>
          <w:szCs w:val="28"/>
          <w:rtl/>
          <w:lang w:val="ar-SA"/>
        </w:rPr>
      </w:pPr>
      <w:r w:rsidRPr="00FC62C6">
        <w:rPr>
          <w:rFonts w:ascii="Sakkal Majalla" w:hAnsi="Sakkal Majalla" w:cs="Sakkal Majalla"/>
          <w:noProof/>
          <w:sz w:val="28"/>
          <w:szCs w:val="28"/>
          <w:rtl/>
          <w:lang w:val="ar-SA"/>
        </w:rPr>
        <w:t>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وأشارت المراجعة السردية التي قام بها أحمد وآخرون (2024) إلى أن القيادة تمثل عاملاً رئيسياً في تعزيز النتائج الإيجابية في منظومات الرعاية الصحية، مما يدعم اختيار القيادة التحويلية كنموذج مستقل يساهم في تحفيز التغيير.</w:t>
      </w:r>
    </w:p>
    <w:p w14:paraId="42DF868B" w14:textId="50D1A87E" w:rsidR="00624B1F" w:rsidRPr="00FC62C6" w:rsidRDefault="00C92050" w:rsidP="008C3F9B">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 السياق السعودي، فقد عززت الدراسات الكمية صحة هذا الارتباط. استعرضت دراسة تحليلية أجراها</w:t>
      </w:r>
      <w:r w:rsidRPr="00FC62C6">
        <w:rPr>
          <w:rFonts w:ascii="Sakkal Majalla" w:hAnsi="Sakkal Majalla" w:cs="Sakkal Majalla"/>
          <w:noProof/>
          <w:sz w:val="28"/>
          <w:szCs w:val="28"/>
        </w:rPr>
        <w:t xml:space="preserve"> Althaibah et al. (2022) </w:t>
      </w:r>
      <w:r w:rsidRPr="00FC62C6">
        <w:rPr>
          <w:rFonts w:ascii="Sakkal Majalla" w:hAnsi="Sakkal Majalla" w:cs="Sakkal Majalla"/>
          <w:noProof/>
          <w:sz w:val="28"/>
          <w:szCs w:val="28"/>
          <w:rtl/>
        </w:rPr>
        <w:t>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 وهذا القصور يمنع فهماً معمقاً لآليات تحويل رؤية القائد إلى نتائج واقعية وملموسة</w:t>
      </w:r>
      <w:r w:rsidRPr="00FC62C6">
        <w:rPr>
          <w:rFonts w:ascii="Sakkal Majalla" w:hAnsi="Sakkal Majalla" w:cs="Sakkal Majalla"/>
          <w:noProof/>
          <w:sz w:val="28"/>
          <w:szCs w:val="28"/>
        </w:rPr>
        <w:t>.</w:t>
      </w:r>
    </w:p>
    <w:p w14:paraId="23FEF257" w14:textId="4EA5FE81" w:rsidR="007718B7" w:rsidRPr="00FC62C6" w:rsidRDefault="00C92050" w:rsidP="007718B7">
      <w:pPr>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 xml:space="preserve">لمعالجة جزء من الآلية، أجرى </w:t>
      </w:r>
      <w:r w:rsidRPr="00FC62C6">
        <w:rPr>
          <w:rFonts w:ascii="Sakkal Majalla" w:hAnsi="Sakkal Majalla" w:cs="Sakkal Majalla"/>
          <w:noProof/>
          <w:sz w:val="28"/>
          <w:szCs w:val="28"/>
          <w:lang w:val="ar-SA"/>
        </w:rPr>
        <w:t>Amal Ali Almuntasheri</w:t>
      </w:r>
      <w:r w:rsidRPr="00FC62C6">
        <w:rPr>
          <w:rFonts w:ascii="Sakkal Majalla" w:hAnsi="Sakkal Majalla" w:cs="Sakkal Majalla"/>
          <w:noProof/>
          <w:sz w:val="28"/>
          <w:szCs w:val="28"/>
          <w:rtl/>
          <w:lang w:val="ar-SA"/>
        </w:rPr>
        <w:t xml:space="preserve"> (2022) دراسة مقطعية في أحد مستشفيات جدة شملت عينة مكونة من 195 موظفاً. أشارت نتائج الدراسة إلى وجود علاقة إيجابية ذات دلالة إحصائية بين سلوكيات القيادة وثقافة السلامة. ومع ذلك، تُعد إحدى نقاط الضعف في هذه الدراسة التوقف عند المتغير الوسيط الأول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فقط، دون استكمال تتبع المسار السببي للوصول إلى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أو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وهذا القصور يترك فجوة واضحة في فهم السلسلة السببية بشكل متكامل.</w:t>
      </w:r>
    </w:p>
    <w:p w14:paraId="3031E128" w14:textId="368D5F49" w:rsidR="00624B1F" w:rsidRPr="00FC62C6" w:rsidRDefault="00624B1F" w:rsidP="00624B1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 xml:space="preserve">7.2. المحور الثاني: العلاقة بين ثقافة السلامة، سلوكيات العاملين، وتقليل الأحداث الضارة </w:t>
      </w:r>
    </w:p>
    <w:p w14:paraId="502B1EC6" w14:textId="4BAC2E18" w:rsidR="00F93590" w:rsidRPr="00FC62C6" w:rsidRDefault="00C92050" w:rsidP="000636E4">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tl/>
          <w:lang w:val="ar-SA"/>
        </w:rPr>
        <w:t xml:space="preserve">يتناول هذا المحور العلاقة بين المتغيرات الوسيطة والتابعة، مع التركيز على نقص الأدبيات في وجود نموذج يربط بين جميع العناصر ضمن إطار تسلسلي شامل. بناءً على ذلك، تؤكد الدراسات على أهمية ثقافة السلامة كعامل أساسي يؤثر في السلوكيات، حيث أظهرت دراسة </w:t>
      </w:r>
      <w:r w:rsidRPr="00FC62C6">
        <w:rPr>
          <w:rFonts w:ascii="Sakkal Majalla" w:hAnsi="Sakkal Majalla" w:cs="Sakkal Majalla"/>
          <w:noProof/>
          <w:sz w:val="28"/>
          <w:szCs w:val="28"/>
          <w:lang w:val="ar-SA"/>
        </w:rPr>
        <w:t>Alsahli et</w:t>
      </w:r>
      <w:r w:rsidRPr="00FC62C6">
        <w:rPr>
          <w:rFonts w:ascii="Sakkal Majalla" w:hAnsi="Sakkal Majalla" w:cs="Sakkal Majalla"/>
          <w:noProof/>
          <w:sz w:val="28"/>
          <w:szCs w:val="28"/>
          <w:rtl/>
          <w:lang w:val="ar-SA"/>
        </w:rPr>
        <w:t xml:space="preserve"> </w:t>
      </w:r>
      <w:r w:rsidRPr="00FC62C6">
        <w:rPr>
          <w:rFonts w:ascii="Sakkal Majalla" w:hAnsi="Sakkal Majalla" w:cs="Sakkal Majalla"/>
          <w:noProof/>
          <w:sz w:val="28"/>
          <w:szCs w:val="28"/>
          <w:lang w:val="ar-SA"/>
        </w:rPr>
        <w:t>al</w:t>
      </w:r>
      <w:r w:rsidRPr="00FC62C6">
        <w:rPr>
          <w:rFonts w:ascii="Sakkal Majalla" w:hAnsi="Sakkal Majalla" w:cs="Sakkal Majalla"/>
          <w:noProof/>
          <w:sz w:val="28"/>
          <w:szCs w:val="28"/>
          <w:rtl/>
          <w:lang w:val="ar-SA"/>
        </w:rPr>
        <w:t xml:space="preserve">. (2024) في السياق السعودي أن ثقافة السلامة تُعد العنصر الرئيسي في تعزيز سلوكيات السلامة مثل الإبلاغ </w:t>
      </w:r>
      <w:r w:rsidRPr="00FC62C6">
        <w:rPr>
          <w:rFonts w:ascii="Sakkal Majalla" w:hAnsi="Sakkal Majalla" w:cs="Sakkal Majalla"/>
          <w:noProof/>
          <w:sz w:val="28"/>
          <w:szCs w:val="28"/>
          <w:rtl/>
          <w:lang w:val="ar-SA"/>
        </w:rPr>
        <w:lastRenderedPageBreak/>
        <w:t>عن الحوادث، في حين تُشكل الثقافة السلبية عائقاً كبيراً أمام تحقيق هذه السلوكيات. وتدعم هذه النتائج وجود علاقة منهجية بين هذه المتغيرات (</w:t>
      </w:r>
      <w:r w:rsidRPr="00FC62C6">
        <w:rPr>
          <w:rFonts w:ascii="Sakkal Majalla" w:hAnsi="Sakkal Majalla" w:cs="Sakkal Majalla"/>
          <w:noProof/>
          <w:sz w:val="28"/>
          <w:szCs w:val="28"/>
          <w:lang w:val="ar-SA"/>
        </w:rPr>
        <w:t xml:space="preserve">SC </w:t>
      </w:r>
      <w:r w:rsidRPr="00FC62C6">
        <w:rPr>
          <w:rFonts w:ascii="Times New Roman" w:hAnsi="Times New Roman" w:cs="Times New Roman"/>
          <w:noProof/>
          <w:sz w:val="28"/>
          <w:szCs w:val="28"/>
          <w:lang w:val="ar-SA"/>
        </w:rPr>
        <w:t>→</w:t>
      </w:r>
      <w:r w:rsidRPr="00FC62C6">
        <w:rPr>
          <w:rFonts w:ascii="Sakkal Majalla" w:hAnsi="Sakkal Majalla" w:cs="Sakkal Majalla"/>
          <w:noProof/>
          <w:sz w:val="28"/>
          <w:szCs w:val="28"/>
          <w:lang w:val="ar-SA"/>
        </w:rPr>
        <w:t xml:space="preserve"> SB</w:t>
      </w:r>
      <w:r w:rsidRPr="00FC62C6">
        <w:rPr>
          <w:rFonts w:ascii="Sakkal Majalla" w:hAnsi="Sakkal Majalla" w:cs="Sakkal Majalla"/>
          <w:noProof/>
          <w:sz w:val="28"/>
          <w:szCs w:val="28"/>
          <w:rtl/>
          <w:lang w:val="ar-SA"/>
        </w:rPr>
        <w:t>) كخطوة جوهرية ضمن النموذج المقترح.</w:t>
      </w:r>
    </w:p>
    <w:p w14:paraId="758540D9" w14:textId="77777777" w:rsidR="00C92050" w:rsidRPr="00FC62C6" w:rsidRDefault="00C92050" w:rsidP="00BB6CAF">
      <w:pPr>
        <w:bidi/>
        <w:spacing w:line="360" w:lineRule="auto"/>
        <w:jc w:val="both"/>
        <w:rPr>
          <w:rFonts w:ascii="Sakkal Majalla" w:hAnsi="Sakkal Majalla" w:cs="Sakkal Majalla"/>
          <w:noProof/>
          <w:sz w:val="28"/>
          <w:szCs w:val="28"/>
          <w:rtl/>
        </w:rPr>
      </w:pP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أما فيما يتعلق بالنتائج الأوسع نطاقاً، فقد تناولت أطروحة الدكتوراه</w:t>
      </w:r>
      <w:r w:rsidRPr="00FC62C6">
        <w:rPr>
          <w:rFonts w:ascii="Sakkal Majalla" w:hAnsi="Sakkal Majalla" w:cs="Sakkal Majalla"/>
          <w:noProof/>
          <w:sz w:val="28"/>
          <w:szCs w:val="28"/>
        </w:rPr>
        <w:t xml:space="preserve"> (Mohammed, 2025) </w:t>
      </w:r>
      <w:r w:rsidRPr="00FC62C6">
        <w:rPr>
          <w:rFonts w:ascii="Sakkal Majalla" w:hAnsi="Sakkal Majalla" w:cs="Sakkal Majalla"/>
          <w:noProof/>
          <w:sz w:val="28"/>
          <w:szCs w:val="28"/>
          <w:rtl/>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العلاقة. بالإضافة إلى ذلك، أكدت المراجعات المنهجية تلك العلاقة، حيث خلصت مراجعة</w:t>
      </w:r>
      <w:r w:rsidRPr="00FC62C6">
        <w:rPr>
          <w:rFonts w:ascii="Sakkal Majalla" w:hAnsi="Sakkal Majalla" w:cs="Sakkal Majalla"/>
          <w:noProof/>
          <w:sz w:val="28"/>
          <w:szCs w:val="28"/>
        </w:rPr>
        <w:t xml:space="preserve"> (Mistri et al., 2023) </w:t>
      </w:r>
      <w:r w:rsidRPr="00FC62C6">
        <w:rPr>
          <w:rFonts w:ascii="Sakkal Majalla" w:hAnsi="Sakkal Majalla" w:cs="Sakkal Majalla"/>
          <w:noProof/>
          <w:sz w:val="28"/>
          <w:szCs w:val="28"/>
          <w:rtl/>
        </w:rPr>
        <w:t xml:space="preserve">إلى أن وجود بيئة إيجابية للسلامة يساهم في تقليل احتمالية حدوث المضاعفات أو الأحداث الضارة. </w:t>
      </w:r>
    </w:p>
    <w:p w14:paraId="5654C611" w14:textId="071603F2" w:rsidR="00F93590" w:rsidRPr="00FC62C6" w:rsidRDefault="00C92050" w:rsidP="00C92050">
      <w:pPr>
        <w:bidi/>
        <w:spacing w:line="360" w:lineRule="auto"/>
        <w:jc w:val="both"/>
        <w:rPr>
          <w:rFonts w:ascii="Sakkal Majalla" w:hAnsi="Sakkal Majalla" w:cs="Sakkal Majalla"/>
          <w:b/>
          <w:bCs/>
          <w:noProof/>
          <w:sz w:val="28"/>
          <w:szCs w:val="28"/>
        </w:rPr>
      </w:pPr>
      <w:r w:rsidRPr="00FC62C6">
        <w:rPr>
          <w:rFonts w:ascii="Sakkal Majalla" w:hAnsi="Sakkal Majalla" w:cs="Sakkal Majalla"/>
          <w:noProof/>
          <w:sz w:val="28"/>
          <w:szCs w:val="28"/>
          <w:rtl/>
        </w:rPr>
        <w:t>كما أوضحت</w:t>
      </w:r>
      <w:r w:rsidRPr="00FC62C6">
        <w:rPr>
          <w:rFonts w:ascii="Sakkal Majalla" w:hAnsi="Sakkal Majalla" w:cs="Sakkal Majalla"/>
          <w:noProof/>
          <w:sz w:val="28"/>
          <w:szCs w:val="28"/>
        </w:rPr>
        <w:t xml:space="preserve"> (Shenoy, 2021) </w:t>
      </w:r>
      <w:r w:rsidRPr="00FC62C6">
        <w:rPr>
          <w:rFonts w:ascii="Sakkal Majalla" w:hAnsi="Sakkal Majalla" w:cs="Sakkal Majalla"/>
          <w:noProof/>
          <w:sz w:val="28"/>
          <w:szCs w:val="28"/>
          <w:rtl/>
        </w:rPr>
        <w:t>أن تحسين سلامة المريض يعتمد بشكل كبير على</w:t>
      </w:r>
      <w:r w:rsidRPr="00FC62C6">
        <w:rPr>
          <w:rFonts w:ascii="Sakkal Majalla" w:hAnsi="Sakkal Majalla" w:cs="Sakkal Majalla"/>
          <w:noProof/>
          <w:sz w:val="28"/>
          <w:szCs w:val="28"/>
        </w:rPr>
        <w:t xml:space="preserve"> </w:t>
      </w:r>
      <w:r w:rsidRPr="00FC62C6">
        <w:rPr>
          <w:rFonts w:ascii="Sakkal Majalla" w:hAnsi="Sakkal Majalla" w:cs="Sakkal Majalla"/>
          <w:noProof/>
          <w:sz w:val="28"/>
          <w:szCs w:val="28"/>
          <w:rtl/>
        </w:rPr>
        <w:t>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من النموذج، مثل العلاقات</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Sakkal Majalla" w:hAnsi="Sakkal Majalla" w:cs="Sakkal Majalla"/>
          <w:noProof/>
          <w:sz w:val="28"/>
          <w:szCs w:val="28"/>
          <w:rtl/>
        </w:rPr>
        <w:t>أو</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دون تضمين المتغير المستقل الأساسي وهو القيادة التحويلية في اختبار سببي متكامل يربط جميع العناصر ضمن سياق تسلسلي شمولي</w:t>
      </w:r>
      <w:r w:rsidRPr="00FC62C6">
        <w:rPr>
          <w:rFonts w:ascii="Sakkal Majalla" w:hAnsi="Sakkal Majalla" w:cs="Sakkal Majalla"/>
          <w:noProof/>
          <w:sz w:val="28"/>
          <w:szCs w:val="28"/>
        </w:rPr>
        <w:t>.</w:t>
      </w:r>
    </w:p>
    <w:p w14:paraId="6876EAAD" w14:textId="19C5DA4F" w:rsidR="00624B1F" w:rsidRPr="00FC62C6" w:rsidRDefault="009A6041" w:rsidP="00F93590">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7</w:t>
      </w:r>
      <w:r w:rsidR="00624B1F" w:rsidRPr="00FC62C6">
        <w:rPr>
          <w:rFonts w:ascii="Sakkal Majalla" w:hAnsi="Sakkal Majalla" w:cs="Sakkal Majalla"/>
          <w:b/>
          <w:bCs/>
          <w:noProof/>
          <w:sz w:val="28"/>
          <w:szCs w:val="28"/>
          <w:rtl/>
          <w:lang w:val="ar-SA"/>
        </w:rPr>
        <w:t>.3. التعليق النقدي، الفجوة البحثية، والقيمة المضافة للدراسة</w:t>
      </w:r>
    </w:p>
    <w:p w14:paraId="229DD8A2" w14:textId="771D9DD4" w:rsidR="00624B1F" w:rsidRPr="00FC62C6" w:rsidRDefault="00624B1F" w:rsidP="009A6041">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lang w:val="ar-SA"/>
        </w:rPr>
        <w:t>أولاً: التعليق النقدي وأوجه الاتفاق والاختلاف</w:t>
      </w:r>
    </w:p>
    <w:p w14:paraId="1C8C892F" w14:textId="4AD73F77" w:rsidR="00624B1F" w:rsidRPr="00FC62C6" w:rsidRDefault="004E54EA" w:rsidP="000636E4">
      <w:pPr>
        <w:numPr>
          <w:ilvl w:val="0"/>
          <w:numId w:val="51"/>
        </w:numPr>
        <w:tabs>
          <w:tab w:val="num" w:pos="720"/>
        </w:tabs>
        <w:bidi/>
        <w:spacing w:line="360" w:lineRule="auto"/>
        <w:jc w:val="both"/>
        <w:rPr>
          <w:rFonts w:ascii="Sakkal Majalla" w:hAnsi="Sakkal Majalla" w:cs="Sakkal Majalla"/>
          <w:noProof/>
          <w:sz w:val="28"/>
          <w:szCs w:val="28"/>
        </w:rPr>
      </w:pPr>
      <w:r w:rsidRPr="00FC62C6">
        <w:rPr>
          <w:rFonts w:ascii="Sakkal Majalla" w:hAnsi="Sakkal Majalla" w:cs="Sakkal Majalla"/>
          <w:noProof/>
          <w:sz w:val="28"/>
          <w:szCs w:val="28"/>
          <w:rtl/>
          <w:lang w:val="ar-SA"/>
        </w:rPr>
        <w:t>تتفق جميع الدراسات على أن القيادة التحويلية (</w:t>
      </w:r>
      <w:r w:rsidRPr="00FC62C6">
        <w:rPr>
          <w:rFonts w:ascii="Sakkal Majalla" w:hAnsi="Sakkal Majalla" w:cs="Sakkal Majalla"/>
          <w:noProof/>
          <w:sz w:val="28"/>
          <w:szCs w:val="28"/>
          <w:lang w:val="ar-SA"/>
        </w:rPr>
        <w:t>TL</w:t>
      </w:r>
      <w:r w:rsidRPr="00FC62C6">
        <w:rPr>
          <w:rFonts w:ascii="Sakkal Majalla" w:hAnsi="Sakkal Majalla" w:cs="Sakkal Majalla"/>
          <w:noProof/>
          <w:sz w:val="28"/>
          <w:szCs w:val="28"/>
          <w:rtl/>
          <w:lang w:val="ar-SA"/>
        </w:rPr>
        <w:t>) تمثل محفزاً أساسياً، وأن ثقافة السلامة (</w:t>
      </w:r>
      <w:r w:rsidRPr="00FC62C6">
        <w:rPr>
          <w:rFonts w:ascii="Sakkal Majalla" w:hAnsi="Sakkal Majalla" w:cs="Sakkal Majalla"/>
          <w:noProof/>
          <w:sz w:val="28"/>
          <w:szCs w:val="28"/>
          <w:lang w:val="ar-SA"/>
        </w:rPr>
        <w:t>SC</w:t>
      </w:r>
      <w:r w:rsidRPr="00FC62C6">
        <w:rPr>
          <w:rFonts w:ascii="Sakkal Majalla" w:hAnsi="Sakkal Majalla" w:cs="Sakkal Majalla"/>
          <w:noProof/>
          <w:sz w:val="28"/>
          <w:szCs w:val="28"/>
          <w:rtl/>
          <w:lang w:val="ar-SA"/>
        </w:rPr>
        <w:t>) تشكل وسيطاً ضرورياً، وأن سلوكيات السلامة (</w:t>
      </w:r>
      <w:r w:rsidRPr="00FC62C6">
        <w:rPr>
          <w:rFonts w:ascii="Sakkal Majalla" w:hAnsi="Sakkal Majalla" w:cs="Sakkal Majalla"/>
          <w:noProof/>
          <w:sz w:val="28"/>
          <w:szCs w:val="28"/>
          <w:lang w:val="ar-SA"/>
        </w:rPr>
        <w:t>SB</w:t>
      </w:r>
      <w:r w:rsidRPr="00FC62C6">
        <w:rPr>
          <w:rFonts w:ascii="Sakkal Majalla" w:hAnsi="Sakkal Majalla" w:cs="Sakkal Majalla"/>
          <w:noProof/>
          <w:sz w:val="28"/>
          <w:szCs w:val="28"/>
          <w:rtl/>
          <w:lang w:val="ar-SA"/>
        </w:rPr>
        <w:t>) تعتبر العامل المباشر الذي يُسهم في تقليل الأحداث الضارة (</w:t>
      </w:r>
      <w:r w:rsidRPr="00FC62C6">
        <w:rPr>
          <w:rFonts w:ascii="Sakkal Majalla" w:hAnsi="Sakkal Majalla" w:cs="Sakkal Majalla"/>
          <w:noProof/>
          <w:sz w:val="28"/>
          <w:szCs w:val="28"/>
          <w:lang w:val="ar-SA"/>
        </w:rPr>
        <w:t>AE</w:t>
      </w:r>
      <w:r w:rsidRPr="00FC62C6">
        <w:rPr>
          <w:rFonts w:ascii="Sakkal Majalla" w:hAnsi="Sakkal Majalla" w:cs="Sakkal Majalla"/>
          <w:noProof/>
          <w:sz w:val="28"/>
          <w:szCs w:val="28"/>
          <w:rtl/>
          <w:lang w:val="ar-SA"/>
        </w:rPr>
        <w:t>). يُعد هذا الاتفاق بمثابة الأساس النظري القوي لفرضيات الدراسة.</w:t>
      </w:r>
    </w:p>
    <w:p w14:paraId="6B440215" w14:textId="77777777" w:rsidR="0094435C" w:rsidRPr="00FC62C6" w:rsidRDefault="00624B1F" w:rsidP="0094435C">
      <w:pPr>
        <w:numPr>
          <w:ilvl w:val="0"/>
          <w:numId w:val="51"/>
        </w:numPr>
        <w:tabs>
          <w:tab w:val="num" w:pos="720"/>
        </w:tabs>
        <w:bidi/>
        <w:spacing w:line="360" w:lineRule="auto"/>
        <w:rPr>
          <w:rFonts w:ascii="Sakkal Majalla" w:hAnsi="Sakkal Majalla" w:cs="Sakkal Majalla"/>
          <w:noProof/>
          <w:sz w:val="28"/>
          <w:szCs w:val="28"/>
          <w:lang w:val="ar-SA"/>
        </w:rPr>
      </w:pPr>
      <w:r w:rsidRPr="00FC62C6">
        <w:rPr>
          <w:rFonts w:ascii="Sakkal Majalla" w:hAnsi="Sakkal Majalla" w:cs="Sakkal Majalla"/>
          <w:b/>
          <w:bCs/>
          <w:noProof/>
          <w:sz w:val="28"/>
          <w:szCs w:val="28"/>
          <w:rtl/>
          <w:lang w:val="ar-SA"/>
        </w:rPr>
        <w:t>أوجه الاختلاف ونقاط الضعف (النقد الموجه):</w:t>
      </w:r>
    </w:p>
    <w:p w14:paraId="5E42A61F" w14:textId="37F08B5E" w:rsidR="0094435C" w:rsidRPr="00FC62C6" w:rsidRDefault="004E54EA" w:rsidP="0094435C">
      <w:pPr>
        <w:bidi/>
        <w:spacing w:line="360" w:lineRule="auto"/>
        <w:rPr>
          <w:rFonts w:ascii="Sakkal Majalla" w:hAnsi="Sakkal Majalla" w:cs="Sakkal Majalla"/>
          <w:noProof/>
          <w:sz w:val="28"/>
          <w:szCs w:val="28"/>
          <w:lang w:val="ar-SA"/>
        </w:rPr>
      </w:pPr>
      <w:r w:rsidRPr="00FC62C6">
        <w:rPr>
          <w:rFonts w:ascii="Sakkal Majalla" w:hAnsi="Sakkal Majalla" w:cs="Sakkal Majalla"/>
          <w:color w:val="000000"/>
          <w:sz w:val="28"/>
          <w:szCs w:val="28"/>
          <w:rtl/>
        </w:rPr>
        <w:t xml:space="preserve"> المشكلة المنهجية الرئيسية تتمثل في أن النقد الجذري للأدبيات السابقة يُبرز أن أكبر مشكلة منهجية تتعلق بتقسيم النموذج السببي. لم تُجرِ أي دراسة سابقة اختبار نموذج متكامل يتسلسل بشكل شامل، ويشرح كيفية انتقال تأثير القيادة التحويلية عبر وسيطين متتاليين.</w:t>
      </w:r>
    </w:p>
    <w:p w14:paraId="76B0FD22" w14:textId="02A9518C" w:rsidR="0094435C" w:rsidRPr="00FC62C6" w:rsidRDefault="004E54EA" w:rsidP="00FC62C6">
      <w:pPr>
        <w:pStyle w:val="a8"/>
        <w:bidi/>
        <w:spacing w:line="360" w:lineRule="auto"/>
        <w:rPr>
          <w:rFonts w:ascii="Sakkal Majalla" w:hAnsi="Sakkal Majalla" w:cs="Sakkal Majalla"/>
          <w:color w:val="000000"/>
          <w:sz w:val="28"/>
          <w:szCs w:val="28"/>
          <w:rtl/>
        </w:rPr>
      </w:pPr>
      <w:r w:rsidRPr="00FC62C6">
        <w:rPr>
          <w:rFonts w:ascii="Sakkal Majalla" w:hAnsi="Sakkal Majalla" w:cs="Sakkal Majalla"/>
          <w:color w:val="000000"/>
          <w:sz w:val="28"/>
          <w:szCs w:val="28"/>
          <w:rtl/>
        </w:rPr>
        <w:t>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دقيقة من خلال تبني نموذج تحليلي متكامل.</w:t>
      </w:r>
    </w:p>
    <w:p w14:paraId="60DECAAC" w14:textId="373B7FC8" w:rsidR="0094435C" w:rsidRPr="00FC62C6" w:rsidRDefault="0094435C" w:rsidP="0094435C">
      <w:pPr>
        <w:pStyle w:val="a8"/>
        <w:bidi/>
        <w:spacing w:line="360" w:lineRule="auto"/>
        <w:rPr>
          <w:rFonts w:ascii="Sakkal Majalla" w:hAnsi="Sakkal Majalla" w:cs="Sakkal Majalla"/>
          <w:color w:val="000000"/>
          <w:sz w:val="28"/>
          <w:szCs w:val="28"/>
        </w:rPr>
      </w:pPr>
      <w:r w:rsidRPr="00FC62C6">
        <w:rPr>
          <w:rFonts w:ascii="Sakkal Majalla" w:hAnsi="Sakkal Majalla" w:cs="Sakkal Majalla"/>
          <w:color w:val="000000"/>
          <w:sz w:val="28"/>
          <w:szCs w:val="28"/>
          <w:rtl/>
        </w:rPr>
        <w:lastRenderedPageBreak/>
        <w:t xml:space="preserve"> 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5AEE3ABC" w14:textId="7E8535B7" w:rsidR="00A0340F" w:rsidRPr="00FC62C6" w:rsidRDefault="00240308"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lang w:val="ar-SA"/>
        </w:rPr>
        <w:t>توضح الدراسة الحالية سبب وجودها بوضوح من خلال معالجة الفجوات التالية</w:t>
      </w:r>
      <w:r w:rsidRPr="00FC62C6">
        <w:rPr>
          <w:rFonts w:ascii="Sakkal Majalla" w:hAnsi="Sakkal Majalla" w:cs="Sakkal Majalla"/>
          <w:noProof/>
          <w:sz w:val="28"/>
          <w:szCs w:val="28"/>
        </w:rPr>
        <w:t>:</w:t>
      </w:r>
      <w:r w:rsidRPr="00FC62C6">
        <w:rPr>
          <w:rFonts w:ascii="Sakkal Majalla" w:hAnsi="Sakkal Majalla" w:cs="Sakkal Majalla"/>
          <w:noProof/>
          <w:sz w:val="28"/>
          <w:szCs w:val="28"/>
        </w:rPr>
        <w:br/>
      </w:r>
      <w:r w:rsidR="00A0340F" w:rsidRPr="00FC62C6">
        <w:rPr>
          <w:rFonts w:ascii="Sakkal Majalla" w:hAnsi="Sakkal Majalla" w:cs="Sakkal Majalla"/>
          <w:b/>
          <w:bCs/>
          <w:noProof/>
          <w:sz w:val="28"/>
          <w:szCs w:val="28"/>
          <w:rtl/>
        </w:rPr>
        <w:t>1.</w:t>
      </w:r>
      <w:r w:rsidR="00A0340F" w:rsidRPr="00FC62C6">
        <w:rPr>
          <w:rFonts w:ascii="Sakkal Majalla" w:hAnsi="Sakkal Majalla" w:cs="Sakkal Majalla"/>
          <w:b/>
          <w:bCs/>
          <w:noProof/>
          <w:sz w:val="28"/>
          <w:szCs w:val="28"/>
        </w:rPr>
        <w:t xml:space="preserve"> </w:t>
      </w:r>
      <w:r w:rsidR="00A0340F" w:rsidRPr="00FC62C6">
        <w:rPr>
          <w:rFonts w:ascii="Sakkal Majalla" w:hAnsi="Sakkal Majalla" w:cs="Sakkal Majalla"/>
          <w:b/>
          <w:bCs/>
          <w:noProof/>
          <w:sz w:val="28"/>
          <w:szCs w:val="28"/>
          <w:rtl/>
        </w:rPr>
        <w:t>معالجة الفجوة المنهجية (اختبار التوسيط المتسلسل)</w:t>
      </w:r>
      <w:r w:rsidR="00A0340F" w:rsidRPr="00FC62C6">
        <w:rPr>
          <w:rFonts w:ascii="Sakkal Majalla" w:hAnsi="Sakkal Majalla" w:cs="Sakkal Majalla"/>
          <w:b/>
          <w:bCs/>
          <w:noProof/>
          <w:sz w:val="28"/>
          <w:szCs w:val="28"/>
        </w:rPr>
        <w:t>:</w:t>
      </w:r>
    </w:p>
    <w:p w14:paraId="484B4880" w14:textId="24C3D34E" w:rsidR="00A0340F" w:rsidRPr="00FC62C6" w:rsidRDefault="00566743" w:rsidP="00A0340F">
      <w:pPr>
        <w:bidi/>
        <w:spacing w:line="360" w:lineRule="auto"/>
        <w:rPr>
          <w:rFonts w:ascii="Sakkal Majalla" w:hAnsi="Sakkal Majalla" w:cs="Sakkal Majalla"/>
          <w:noProof/>
          <w:sz w:val="28"/>
          <w:szCs w:val="28"/>
        </w:rPr>
      </w:pPr>
      <w:r w:rsidRPr="00FC62C6">
        <w:rPr>
          <w:rFonts w:ascii="Sakkal Majalla" w:hAnsi="Sakkal Majalla" w:cs="Sakkal Majalla"/>
          <w:noProof/>
          <w:sz w:val="28"/>
          <w:szCs w:val="28"/>
          <w:rtl/>
        </w:rPr>
        <w:t>تُقدّم هذه الدراسة اختبارًا شاملًا أوليًا في السياق السعودي لآلية التأثير المتسلسل للقيادة التحويلية على تقليل الأحداث الضارة، من خلال الوساطة المتتابعة لثقافة السلامة وسلوكيات السلامة (</w:t>
      </w:r>
      <w:r w:rsidRPr="00FC62C6">
        <w:rPr>
          <w:rFonts w:ascii="Sakkal Majalla" w:hAnsi="Sakkal Majalla" w:cs="Sakkal Majalla"/>
          <w:noProof/>
          <w:sz w:val="28"/>
          <w:szCs w:val="28"/>
        </w:rPr>
        <w:t xml:space="preserve">TL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SC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SB </w:t>
      </w:r>
      <w:r w:rsidRPr="00FC62C6">
        <w:rPr>
          <w:rFonts w:ascii="Times New Roman" w:hAnsi="Times New Roman" w:cs="Times New Roman"/>
          <w:noProof/>
          <w:sz w:val="28"/>
          <w:szCs w:val="28"/>
        </w:rPr>
        <w:t>→</w:t>
      </w:r>
      <w:r w:rsidRPr="00FC62C6">
        <w:rPr>
          <w:rFonts w:ascii="Sakkal Majalla" w:hAnsi="Sakkal Majalla" w:cs="Sakkal Majalla"/>
          <w:noProof/>
          <w:sz w:val="28"/>
          <w:szCs w:val="28"/>
        </w:rPr>
        <w:t xml:space="preserve"> AE</w:t>
      </w:r>
      <w:r w:rsidRPr="00FC62C6">
        <w:rPr>
          <w:rFonts w:ascii="Sakkal Majalla" w:hAnsi="Sakkal Majalla" w:cs="Sakkal Majalla"/>
          <w:noProof/>
          <w:sz w:val="28"/>
          <w:szCs w:val="28"/>
          <w:rtl/>
        </w:rPr>
        <w:t>).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w:t>
      </w:r>
      <w:r w:rsidRPr="00FC62C6">
        <w:rPr>
          <w:rFonts w:ascii="Sakkal Majalla" w:hAnsi="Sakkal Majalla" w:cs="Sakkal Majalla"/>
          <w:noProof/>
          <w:sz w:val="28"/>
          <w:szCs w:val="28"/>
        </w:rPr>
        <w:t>H5</w:t>
      </w:r>
      <w:r w:rsidRPr="00FC62C6">
        <w:rPr>
          <w:rFonts w:ascii="Sakkal Majalla" w:hAnsi="Sakkal Majalla" w:cs="Sakkal Majalla"/>
          <w:noProof/>
          <w:sz w:val="28"/>
          <w:szCs w:val="28"/>
          <w:rtl/>
        </w:rPr>
        <w:t>).</w:t>
      </w:r>
    </w:p>
    <w:p w14:paraId="1EEB23A9" w14:textId="465B6956" w:rsidR="00A0340F" w:rsidRPr="00A0340F" w:rsidRDefault="00A0340F" w:rsidP="00A0340F">
      <w:pPr>
        <w:bidi/>
        <w:spacing w:line="360" w:lineRule="auto"/>
        <w:rPr>
          <w:rFonts w:ascii="Sakkal Majalla" w:hAnsi="Sakkal Majalla" w:cs="Sakkal Majalla"/>
          <w:b/>
          <w:bCs/>
          <w:noProof/>
          <w:sz w:val="28"/>
          <w:szCs w:val="28"/>
          <w:rtl/>
        </w:rPr>
      </w:pPr>
      <w:r w:rsidRPr="00FC62C6">
        <w:rPr>
          <w:rFonts w:ascii="Sakkal Majalla" w:hAnsi="Sakkal Majalla" w:cs="Sakkal Majalla"/>
          <w:b/>
          <w:bCs/>
          <w:noProof/>
          <w:sz w:val="28"/>
          <w:szCs w:val="28"/>
          <w:rtl/>
        </w:rPr>
        <w:t>2.</w:t>
      </w:r>
      <w:r w:rsidRPr="00A0340F">
        <w:rPr>
          <w:rFonts w:ascii="Sakkal Majalla" w:hAnsi="Sakkal Majalla" w:cs="Sakkal Majalla"/>
          <w:b/>
          <w:bCs/>
          <w:noProof/>
          <w:sz w:val="28"/>
          <w:szCs w:val="28"/>
        </w:rPr>
        <w:t xml:space="preserve"> </w:t>
      </w:r>
      <w:r w:rsidRPr="00A0340F">
        <w:rPr>
          <w:rFonts w:ascii="Sakkal Majalla" w:hAnsi="Sakkal Majalla" w:cs="Sakkal Majalla"/>
          <w:b/>
          <w:bCs/>
          <w:noProof/>
          <w:sz w:val="28"/>
          <w:szCs w:val="28"/>
          <w:rtl/>
        </w:rPr>
        <w:t>معالجة الفجوة السياقية (التخصيص الإقليمي)</w:t>
      </w:r>
      <w:r w:rsidRPr="00A0340F">
        <w:rPr>
          <w:rFonts w:ascii="Sakkal Majalla" w:hAnsi="Sakkal Majalla" w:cs="Sakkal Majalla"/>
          <w:b/>
          <w:bCs/>
          <w:noProof/>
          <w:sz w:val="28"/>
          <w:szCs w:val="28"/>
        </w:rPr>
        <w:t>:</w:t>
      </w:r>
    </w:p>
    <w:p w14:paraId="3DC3D04E" w14:textId="77777777" w:rsidR="00A0340F" w:rsidRPr="00A0340F" w:rsidRDefault="00A0340F" w:rsidP="00A0340F">
      <w:pPr>
        <w:bidi/>
        <w:spacing w:line="360" w:lineRule="auto"/>
        <w:rPr>
          <w:rFonts w:ascii="Sakkal Majalla" w:hAnsi="Sakkal Majalla" w:cs="Sakkal Majalla"/>
          <w:noProof/>
          <w:sz w:val="28"/>
          <w:szCs w:val="28"/>
        </w:rPr>
      </w:pPr>
      <w:r w:rsidRPr="00A0340F">
        <w:rPr>
          <w:rFonts w:ascii="Sakkal Majalla" w:hAnsi="Sakkal Majalla" w:cs="Sakkal Majalla"/>
          <w:noProof/>
          <w:sz w:val="28"/>
          <w:szCs w:val="28"/>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A0340F">
        <w:rPr>
          <w:rFonts w:ascii="Sakkal Majalla" w:hAnsi="Sakkal Majalla" w:cs="Sakkal Majalla"/>
          <w:noProof/>
          <w:sz w:val="28"/>
          <w:szCs w:val="28"/>
        </w:rPr>
        <w:t>.</w:t>
      </w:r>
    </w:p>
    <w:p w14:paraId="4A9CD30D" w14:textId="1C1B1442" w:rsidR="00624B1F" w:rsidRPr="00FC62C6" w:rsidRDefault="00624B1F" w:rsidP="00A0340F">
      <w:pPr>
        <w:bidi/>
        <w:spacing w:line="360" w:lineRule="auto"/>
        <w:rPr>
          <w:rFonts w:ascii="Sakkal Majalla" w:hAnsi="Sakkal Majalla" w:cs="Sakkal Majalla"/>
          <w:noProof/>
          <w:sz w:val="28"/>
          <w:szCs w:val="28"/>
          <w:rtl/>
        </w:rPr>
      </w:pPr>
      <w:r w:rsidRPr="00FC62C6">
        <w:rPr>
          <w:rFonts w:ascii="Sakkal Majalla" w:hAnsi="Sakkal Majalla" w:cs="Sakkal Majalla"/>
          <w:b/>
          <w:bCs/>
          <w:noProof/>
          <w:sz w:val="28"/>
          <w:szCs w:val="28"/>
          <w:rtl/>
          <w:lang w:val="ar-SA"/>
        </w:rPr>
        <w:t>ثالثاً: الاستفادة العملية والمنهجية من الدراسات السابقة</w:t>
      </w:r>
    </w:p>
    <w:p w14:paraId="30E22760" w14:textId="2E3D2EE4" w:rsidR="00240308" w:rsidRPr="00FC62C6" w:rsidRDefault="00566743" w:rsidP="00DE2642">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FC62C6">
        <w:rPr>
          <w:rFonts w:ascii="Sakkal Majalla" w:hAnsi="Sakkal Majalla" w:cs="Sakkal Majalla"/>
          <w:noProof/>
          <w:sz w:val="28"/>
          <w:szCs w:val="28"/>
          <w:lang w:val="ar-SA"/>
        </w:rPr>
        <w:t>SEM</w:t>
      </w:r>
      <w:r w:rsidRPr="00FC62C6">
        <w:rPr>
          <w:rFonts w:ascii="Sakkal Majalla" w:hAnsi="Sakkal Majalla" w:cs="Sakkal Majalla"/>
          <w:noProof/>
          <w:sz w:val="28"/>
          <w:szCs w:val="28"/>
          <w:rtl/>
          <w:lang w:val="ar-SA"/>
        </w:rPr>
        <w:t>) لاختبار الوساطة التسلسلية، بهدف التغلب على العيوب المنهجية المرتبطة بالاستخدام الحصري للإحصاءات الوصفية أو الارتباطات البسيطة.</w:t>
      </w:r>
    </w:p>
    <w:p w14:paraId="4537BE86" w14:textId="26B08363" w:rsidR="00240308" w:rsidRPr="00FC62C6" w:rsidRDefault="00566743" w:rsidP="00240308">
      <w:pPr>
        <w:pStyle w:val="a3"/>
        <w:numPr>
          <w:ilvl w:val="0"/>
          <w:numId w:val="101"/>
        </w:numPr>
        <w:bidi/>
        <w:spacing w:line="360" w:lineRule="auto"/>
        <w:rPr>
          <w:rFonts w:ascii="Sakkal Majalla" w:hAnsi="Sakkal Majalla" w:cs="Sakkal Majalla"/>
          <w:b/>
          <w:bCs/>
          <w:sz w:val="28"/>
          <w:szCs w:val="28"/>
        </w:rPr>
      </w:pPr>
      <w:r w:rsidRPr="00FC62C6">
        <w:rPr>
          <w:rFonts w:ascii="Sakkal Majalla" w:hAnsi="Sakkal Majalla" w:cs="Sakkal Majalla"/>
          <w:noProof/>
          <w:sz w:val="28"/>
          <w:szCs w:val="28"/>
          <w:rtl/>
          <w:lang w:val="ar-SA"/>
        </w:rPr>
        <w:t xml:space="preserve">الاستفادة من الأدوات: الاعتماد على الأدوات والمقاييس التي تتمتع بمصداقية وثبات عالٍ، والتي أُستخدمت بنجاح سابقًا في السياق السعودي (كما هو مذكور في </w:t>
      </w:r>
      <w:r w:rsidRPr="00FC62C6">
        <w:rPr>
          <w:rFonts w:ascii="Sakkal Majalla" w:hAnsi="Sakkal Majalla" w:cs="Sakkal Majalla"/>
          <w:noProof/>
          <w:sz w:val="28"/>
          <w:szCs w:val="28"/>
          <w:lang w:val="ar-SA"/>
        </w:rPr>
        <w:t>(Amal Ali Almuntasheri, 2022; Mohammed, 2025)</w:t>
      </w:r>
      <w:r w:rsidRPr="00FC62C6">
        <w:rPr>
          <w:rFonts w:ascii="Sakkal Majalla" w:hAnsi="Sakkal Majalla" w:cs="Sakkal Majalla"/>
          <w:noProof/>
          <w:sz w:val="28"/>
          <w:szCs w:val="28"/>
          <w:rtl/>
          <w:lang w:val="ar-SA"/>
        </w:rPr>
        <w:t>) لضمان دقة قياس المتغيرات.</w:t>
      </w:r>
    </w:p>
    <w:p w14:paraId="1461DBD6" w14:textId="1ED1B3DC" w:rsidR="00004971" w:rsidRPr="00FC62C6" w:rsidRDefault="00566743" w:rsidP="0019244B">
      <w:pPr>
        <w:pStyle w:val="a3"/>
        <w:numPr>
          <w:ilvl w:val="0"/>
          <w:numId w:val="101"/>
        </w:numPr>
        <w:bidi/>
        <w:spacing w:line="360" w:lineRule="auto"/>
        <w:jc w:val="both"/>
        <w:rPr>
          <w:rFonts w:ascii="Sakkal Majalla" w:hAnsi="Sakkal Majalla" w:cs="Sakkal Majalla"/>
          <w:b/>
          <w:bCs/>
          <w:sz w:val="28"/>
          <w:szCs w:val="28"/>
        </w:rPr>
      </w:pPr>
      <w:r w:rsidRPr="00FC62C6">
        <w:rPr>
          <w:rFonts w:ascii="Sakkal Majalla" w:hAnsi="Sakkal Majalla" w:cs="Sakkal Majalla"/>
          <w:noProof/>
          <w:sz w:val="28"/>
          <w:szCs w:val="28"/>
          <w:rtl/>
          <w:lang w:val="ar-SA"/>
        </w:rPr>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20F530B9" w14:textId="74079F32" w:rsidR="00443F33" w:rsidRPr="00FC62C6" w:rsidRDefault="00443F33" w:rsidP="00240308">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8.حدود الدراسة </w:t>
      </w:r>
    </w:p>
    <w:p w14:paraId="42E14141" w14:textId="34FD356F"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sz w:val="28"/>
          <w:szCs w:val="28"/>
        </w:rPr>
        <w:t xml:space="preserve"> </w:t>
      </w:r>
      <w:r w:rsidR="00EE32C9" w:rsidRPr="00FC62C6">
        <w:rPr>
          <w:rFonts w:ascii="Sakkal Majalla" w:hAnsi="Sakkal Majalla" w:cs="Sakkal Majalla"/>
          <w:b/>
          <w:bCs/>
          <w:sz w:val="28"/>
          <w:szCs w:val="28"/>
        </w:rPr>
        <w:t xml:space="preserve">8.1 </w:t>
      </w:r>
      <w:r w:rsidR="00EE32C9" w:rsidRPr="00FC62C6">
        <w:rPr>
          <w:rFonts w:ascii="Sakkal Majalla" w:hAnsi="Sakkal Majalla" w:cs="Sakkal Majalla"/>
          <w:b/>
          <w:bCs/>
          <w:sz w:val="28"/>
          <w:szCs w:val="28"/>
          <w:rtl/>
        </w:rPr>
        <w:t>الحدود الموضوعية</w:t>
      </w:r>
    </w:p>
    <w:p w14:paraId="56913B45" w14:textId="1E6A99F2" w:rsidR="00EE32C9" w:rsidRPr="00FC62C6" w:rsidRDefault="00566743" w:rsidP="00373F04">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تركز الدراسة على اختبار الآلية المتسلسلة لتأثير القيادة التحويلية في تقليل الأحداث الضارة، من خلال متغيرين وسطيين متتابعين، هما ثقافة السلامة وسلوكيات السلامة. ولا تتناول الدراسة تحليل أنماط قيادية بديلة أو مقارنة بين مدارس القيادة المختلفة. كما أنها لا تغطي متغيرات سياقية إضافية قد تساهم في تفسير النتائج، مثل مستوى الموارد المالية، أو تقنيات المعلومات الصحية، أو طبيعة البنية التحتية للمؤسسات الصحية. وعليه، فإن الإطار الموضوعي يقتصر على العلاقات المحددة بين المتغيرات الأربعة الرئيسية للدراسة.</w:t>
      </w:r>
    </w:p>
    <w:p w14:paraId="1C9BAC0C" w14:textId="4EA0D155" w:rsidR="00EE32C9" w:rsidRPr="00FC62C6" w:rsidRDefault="000E254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8.2 </w:t>
      </w:r>
      <w:r w:rsidRPr="00FC62C6">
        <w:rPr>
          <w:rFonts w:ascii="Sakkal Majalla" w:hAnsi="Sakkal Majalla" w:cs="Sakkal Majalla"/>
          <w:b/>
          <w:bCs/>
          <w:sz w:val="28"/>
          <w:szCs w:val="28"/>
          <w:rtl/>
        </w:rPr>
        <w:t>الحدود</w:t>
      </w:r>
      <w:r w:rsidR="00EE32C9" w:rsidRPr="00FC62C6">
        <w:rPr>
          <w:rFonts w:ascii="Sakkal Majalla" w:hAnsi="Sakkal Majalla" w:cs="Sakkal Majalla"/>
          <w:b/>
          <w:bCs/>
          <w:sz w:val="28"/>
          <w:szCs w:val="28"/>
          <w:rtl/>
        </w:rPr>
        <w:t xml:space="preserve"> المكانية</w:t>
      </w:r>
    </w:p>
    <w:p w14:paraId="1B240401"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تُجرى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w:t>
      </w:r>
      <w:proofErr w:type="spellStart"/>
      <w:r w:rsidRPr="00FC62C6">
        <w:rPr>
          <w:rFonts w:ascii="Sakkal Majalla" w:hAnsi="Sakkal Majalla" w:cs="Sakkal Majalla"/>
          <w:sz w:val="28"/>
          <w:szCs w:val="28"/>
          <w:rtl/>
        </w:rPr>
        <w:t>صوير</w:t>
      </w:r>
      <w:proofErr w:type="spellEnd"/>
      <w:r w:rsidRPr="00FC62C6">
        <w:rPr>
          <w:rFonts w:ascii="Sakkal Majalla" w:hAnsi="Sakkal Majalla" w:cs="Sakkal Majalla"/>
          <w:sz w:val="28"/>
          <w:szCs w:val="28"/>
          <w:rtl/>
        </w:rPr>
        <w:t>، طبرجل، والقريات. وقد تم اختيار هذه المنطقة لكونها بيئة بحثية لم تحظَ بالاهتمام الكافي في الأدبيات السابقة، مما يثري المعرفة حول واقع السلامة في المناطق الطرفية. وبناءً على ذلك، قد تكون قابلية تعميم النتائج محدودة عند تطبيقها على مناطق أخرى أو على قطاعات صحية غير حكومية (الخاص/العسكري)</w:t>
      </w:r>
      <w:r w:rsidRPr="00FC62C6">
        <w:rPr>
          <w:rFonts w:ascii="Sakkal Majalla" w:hAnsi="Sakkal Majalla" w:cs="Sakkal Majalla"/>
          <w:sz w:val="28"/>
          <w:szCs w:val="28"/>
        </w:rPr>
        <w:t>.</w:t>
      </w:r>
    </w:p>
    <w:p w14:paraId="4FBA6451" w14:textId="77777777" w:rsidR="00EE32C9" w:rsidRPr="00FC62C6" w:rsidRDefault="00EE32C9" w:rsidP="00EE32C9">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Pr>
        <w:t xml:space="preserve">8.3 </w:t>
      </w:r>
      <w:r w:rsidRPr="00FC62C6">
        <w:rPr>
          <w:rFonts w:ascii="Sakkal Majalla" w:hAnsi="Sakkal Majalla" w:cs="Sakkal Majalla"/>
          <w:b/>
          <w:bCs/>
          <w:sz w:val="28"/>
          <w:szCs w:val="28"/>
          <w:rtl/>
        </w:rPr>
        <w:t>الحدود الزمانية</w:t>
      </w:r>
    </w:p>
    <w:p w14:paraId="3CA75BFB" w14:textId="0BEAC1A8"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يقتصر الإطار الزمني للدراسة على عام 2026، وهو العام المحدد لجمع البيانات الميدانية. وتأتي هذه الفترة متوافقة مع تنفيذ مبادرات وطنية في مجالات الجودة وسلامة المرضى، مما قد يؤثر على مستوى استجابات المشاركين. وبناءً عليه، فإن نتائج الدراسة تنطبق على الفترة الزمنية المذكورة، ولا يمكن الافتراض باستمرار العلاقات السببية أو ثباتها عبر فترات زمنية مختلفة.</w:t>
      </w:r>
    </w:p>
    <w:p w14:paraId="7B807CE1" w14:textId="77777777" w:rsidR="00EE32C9" w:rsidRPr="00FC62C6" w:rsidRDefault="00EE32C9" w:rsidP="00EE32C9">
      <w:pPr>
        <w:bidi/>
        <w:spacing w:line="360" w:lineRule="auto"/>
        <w:jc w:val="both"/>
        <w:rPr>
          <w:rFonts w:ascii="Sakkal Majalla" w:hAnsi="Sakkal Majalla" w:cs="Sakkal Majalla"/>
          <w:b/>
          <w:bCs/>
          <w:sz w:val="28"/>
          <w:szCs w:val="28"/>
        </w:rPr>
      </w:pPr>
      <w:r w:rsidRPr="00FC62C6">
        <w:rPr>
          <w:rFonts w:ascii="Sakkal Majalla" w:hAnsi="Sakkal Majalla" w:cs="Sakkal Majalla"/>
          <w:b/>
          <w:bCs/>
          <w:sz w:val="28"/>
          <w:szCs w:val="28"/>
        </w:rPr>
        <w:t xml:space="preserve">8.4 </w:t>
      </w:r>
      <w:r w:rsidRPr="00FC62C6">
        <w:rPr>
          <w:rFonts w:ascii="Sakkal Majalla" w:hAnsi="Sakkal Majalla" w:cs="Sakkal Majalla"/>
          <w:b/>
          <w:bCs/>
          <w:sz w:val="28"/>
          <w:szCs w:val="28"/>
          <w:rtl/>
        </w:rPr>
        <w:t>الحدود البشرية</w:t>
      </w:r>
    </w:p>
    <w:p w14:paraId="0B43B5A2" w14:textId="77777777" w:rsidR="00EE32C9" w:rsidRPr="00FC62C6" w:rsidRDefault="00EE32C9"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تستهدف الدراسة عينة محددة من العاملين في المستشفيات الحكومية ضمن الفئات التالية</w:t>
      </w:r>
      <w:r w:rsidRPr="00FC62C6">
        <w:rPr>
          <w:rFonts w:ascii="Sakkal Majalla" w:hAnsi="Sakkal Majalla" w:cs="Sakkal Majalla"/>
          <w:sz w:val="28"/>
          <w:szCs w:val="28"/>
        </w:rPr>
        <w:t>:</w:t>
      </w:r>
    </w:p>
    <w:p w14:paraId="54F850FB" w14:textId="568C0291" w:rsidR="00EE32C9" w:rsidRPr="00FC62C6" w:rsidRDefault="00EE32C9" w:rsidP="00EE32C9">
      <w:pPr>
        <w:numPr>
          <w:ilvl w:val="0"/>
          <w:numId w:val="111"/>
        </w:numPr>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الأطباء على اختلاف تخصصاتهم</w:t>
      </w:r>
    </w:p>
    <w:p w14:paraId="331C8DFA" w14:textId="089496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الممرضون والممرضات</w:t>
      </w:r>
    </w:p>
    <w:p w14:paraId="585E9D47" w14:textId="4A8BB4DC"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فنيو الرعاية الصحية</w:t>
      </w:r>
    </w:p>
    <w:p w14:paraId="40C49ADD" w14:textId="77777777" w:rsidR="00EE32C9" w:rsidRPr="00FC62C6" w:rsidRDefault="00EE32C9" w:rsidP="00EE32C9">
      <w:pPr>
        <w:numPr>
          <w:ilvl w:val="0"/>
          <w:numId w:val="111"/>
        </w:num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الإداريون الصحيون</w:t>
      </w:r>
    </w:p>
    <w:p w14:paraId="5175E39B" w14:textId="4E720324" w:rsidR="00EE32C9" w:rsidRPr="00FC62C6" w:rsidRDefault="00566743" w:rsidP="00EE32C9">
      <w:pPr>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ويُستبعَد من العينةُ العاملون في خدمات الدعم مثل النظافة والصيانة والأمن، نظرًا للاختلاف في طبيعة مهامهم ودرجة انخراطهم في العمليات السريرية التي تؤثر مباشرة على سلامة المرضى.</w:t>
      </w:r>
    </w:p>
    <w:p w14:paraId="2835236C" w14:textId="052EDB94" w:rsidR="00443F33" w:rsidRPr="00FC62C6" w:rsidRDefault="00F72A5E" w:rsidP="0086026A">
      <w:pPr>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8</w:t>
      </w:r>
      <w:r w:rsidR="00443F33" w:rsidRPr="00FC62C6">
        <w:rPr>
          <w:rFonts w:ascii="Sakkal Majalla" w:hAnsi="Sakkal Majalla" w:cs="Sakkal Majalla"/>
          <w:b/>
          <w:bCs/>
          <w:sz w:val="28"/>
          <w:szCs w:val="28"/>
          <w:rtl/>
        </w:rPr>
        <w:t xml:space="preserve">.5. القيود على التعميم </w:t>
      </w:r>
      <w:r w:rsidR="0078042C" w:rsidRPr="00FC62C6">
        <w:rPr>
          <w:rFonts w:ascii="Sakkal Majalla" w:hAnsi="Sakkal Majalla" w:cs="Sakkal Majalla"/>
          <w:b/>
          <w:bCs/>
          <w:sz w:val="28"/>
          <w:szCs w:val="28"/>
          <w:rtl/>
        </w:rPr>
        <w:t>وارتباطها</w:t>
      </w:r>
      <w:r w:rsidR="00443F33" w:rsidRPr="00FC62C6">
        <w:rPr>
          <w:rFonts w:ascii="Sakkal Majalla" w:hAnsi="Sakkal Majalla" w:cs="Sakkal Majalla"/>
          <w:b/>
          <w:bCs/>
          <w:sz w:val="28"/>
          <w:szCs w:val="28"/>
          <w:rtl/>
        </w:rPr>
        <w:t xml:space="preserve"> </w:t>
      </w:r>
      <w:r w:rsidR="0078042C" w:rsidRPr="00FC62C6">
        <w:rPr>
          <w:rFonts w:ascii="Sakkal Majalla" w:hAnsi="Sakkal Majalla" w:cs="Sakkal Majalla"/>
          <w:b/>
          <w:bCs/>
          <w:sz w:val="28"/>
          <w:szCs w:val="28"/>
          <w:rtl/>
        </w:rPr>
        <w:t>بالدراسة</w:t>
      </w:r>
    </w:p>
    <w:p w14:paraId="6176DBE7" w14:textId="0F10B34E" w:rsidR="00443F33" w:rsidRPr="00FC62C6" w:rsidRDefault="00443F33" w:rsidP="00F72A5E">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 القيود وإمكانية التعميم</w:t>
      </w:r>
      <w:r w:rsidR="00F72A5E" w:rsidRPr="00FC62C6">
        <w:rPr>
          <w:rFonts w:ascii="Sakkal Majalla" w:hAnsi="Sakkal Majalla" w:cs="Sakkal Majalla"/>
          <w:b/>
          <w:bCs/>
          <w:sz w:val="28"/>
          <w:szCs w:val="28"/>
          <w:rtl/>
        </w:rPr>
        <w:t xml:space="preserve"> و</w:t>
      </w:r>
      <w:r w:rsidRPr="00FC62C6">
        <w:rPr>
          <w:rFonts w:ascii="Sakkal Majalla" w:hAnsi="Sakkal Majalla" w:cs="Sakkal Majalla"/>
          <w:sz w:val="28"/>
          <w:szCs w:val="28"/>
          <w:rtl/>
        </w:rPr>
        <w:t>تخضع إمكانية تعميم نتائج الدراسة للقيود التالية:</w:t>
      </w:r>
    </w:p>
    <w:p w14:paraId="47CF1C8F" w14:textId="49DE3525" w:rsidR="00F72A5E" w:rsidRPr="00FC62C6" w:rsidRDefault="00566743" w:rsidP="00566743">
      <w:pPr>
        <w:pStyle w:val="a3"/>
        <w:numPr>
          <w:ilvl w:val="0"/>
          <w:numId w:val="75"/>
        </w:numPr>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 xml:space="preserve">أ‌- القيود المكانية والبشرية: </w:t>
      </w:r>
      <w:r w:rsidRPr="00FC62C6">
        <w:rPr>
          <w:rFonts w:ascii="Sakkal Majalla" w:hAnsi="Sakkal Majalla" w:cs="Sakkal Majalla"/>
          <w:sz w:val="28"/>
          <w:szCs w:val="28"/>
          <w:rtl/>
        </w:rPr>
        <w:t>لا يمكن تعميم النتائج بشكل مطلق على مستشفيات القطاع الخاص، أو المستشفيات التخصصية، أو المراكز الصحية الأولية، أو مستشفيات وزارة الدفاع والسُّـلُطات العسكرية، نظراً لاختلاف الهيكل الإداري والثقافة التنظيمية وأنماط القيادة السائدة فيها.</w:t>
      </w:r>
    </w:p>
    <w:p w14:paraId="3A3F75C6" w14:textId="1FC023AB" w:rsidR="00443F33" w:rsidRPr="00FC62C6" w:rsidRDefault="00566743" w:rsidP="00566743">
      <w:pPr>
        <w:pStyle w:val="a3"/>
        <w:numPr>
          <w:ilvl w:val="0"/>
          <w:numId w:val="75"/>
        </w:numPr>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 xml:space="preserve">ب‌- القيود المنهجية: </w:t>
      </w:r>
      <w:r w:rsidRPr="00FC62C6">
        <w:rPr>
          <w:rFonts w:ascii="Sakkal Majalla" w:hAnsi="Sakkal Majalla" w:cs="Sakkal Majalla"/>
          <w:sz w:val="28"/>
          <w:szCs w:val="28"/>
          <w:rtl/>
        </w:rPr>
        <w:t>نظرًا لاعتماد الدراسة على بيانات ذاتية الإبلاغ (</w:t>
      </w:r>
      <w:r w:rsidRPr="00FC62C6">
        <w:rPr>
          <w:rFonts w:ascii="Sakkal Majalla" w:hAnsi="Sakkal Majalla" w:cs="Sakkal Majalla"/>
          <w:sz w:val="28"/>
          <w:szCs w:val="28"/>
        </w:rPr>
        <w:t>Self-Reported Data</w:t>
      </w:r>
      <w:r w:rsidRPr="00FC62C6">
        <w:rPr>
          <w:rFonts w:ascii="Sakkal Majalla" w:hAnsi="Sakkal Majalla" w:cs="Sakkal Majalla"/>
          <w:sz w:val="28"/>
          <w:szCs w:val="28"/>
          <w:rtl/>
        </w:rPr>
        <w:t>)، فهي تخضع لتحيز الرغبة الاجتماعية (</w:t>
      </w:r>
      <w:r w:rsidRPr="00FC62C6">
        <w:rPr>
          <w:rFonts w:ascii="Sakkal Majalla" w:hAnsi="Sakkal Majalla" w:cs="Sakkal Majalla"/>
          <w:sz w:val="28"/>
          <w:szCs w:val="28"/>
        </w:rPr>
        <w:t>Social Desirability Bias</w:t>
      </w:r>
      <w:r w:rsidRPr="00FC62C6">
        <w:rPr>
          <w:rFonts w:ascii="Sakkal Majalla" w:hAnsi="Sakkal Majalla" w:cs="Sakkal Majalla"/>
          <w:sz w:val="28"/>
          <w:szCs w:val="28"/>
          <w:rtl/>
        </w:rPr>
        <w:t>)، مما يقيد إمكانية تعميم النتائج المتعلقة بالسلوكيات بدقة دون الاعتماد على بيانات موضوعية.</w:t>
      </w:r>
    </w:p>
    <w:p w14:paraId="288BD0E1" w14:textId="00DE89E2" w:rsidR="00443F33" w:rsidRPr="00FC62C6" w:rsidRDefault="00443F33" w:rsidP="00F72A5E">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2. ربط</w:t>
      </w:r>
      <w:r w:rsidR="00F72A5E" w:rsidRPr="00FC62C6">
        <w:rPr>
          <w:rFonts w:ascii="Sakkal Majalla" w:hAnsi="Sakkal Majalla" w:cs="Sakkal Majalla"/>
          <w:b/>
          <w:bCs/>
          <w:sz w:val="28"/>
          <w:szCs w:val="28"/>
          <w:rtl/>
        </w:rPr>
        <w:t>ها</w:t>
      </w:r>
      <w:r w:rsidRPr="00FC62C6">
        <w:rPr>
          <w:rFonts w:ascii="Sakkal Majalla" w:hAnsi="Sakkal Majalla" w:cs="Sakkal Majalla"/>
          <w:b/>
          <w:bCs/>
          <w:sz w:val="28"/>
          <w:szCs w:val="28"/>
          <w:rtl/>
        </w:rPr>
        <w:t xml:space="preserve"> بعنوان ا</w:t>
      </w:r>
      <w:r w:rsidR="00F72A5E" w:rsidRPr="00FC62C6">
        <w:rPr>
          <w:rFonts w:ascii="Sakkal Majalla" w:hAnsi="Sakkal Majalla" w:cs="Sakkal Majalla"/>
          <w:b/>
          <w:bCs/>
          <w:sz w:val="28"/>
          <w:szCs w:val="28"/>
          <w:rtl/>
        </w:rPr>
        <w:t>لدراسة</w:t>
      </w:r>
    </w:p>
    <w:p w14:paraId="16D91465" w14:textId="77777777" w:rsidR="00443F33" w:rsidRPr="00FC62C6" w:rsidRDefault="00443F33" w:rsidP="00443F33">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تعمل هذه الحدود على تعزيز وضوح عنوان البحث، حيث تؤكد أن الدراسة هي:</w:t>
      </w:r>
    </w:p>
    <w:p w14:paraId="0D67C1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موضوعياً:</w:t>
      </w:r>
      <w:r w:rsidRPr="00FC62C6">
        <w:rPr>
          <w:rFonts w:ascii="Sakkal Majalla" w:hAnsi="Sakkal Majalla" w:cs="Sakkal Majalla"/>
          <w:sz w:val="28"/>
          <w:szCs w:val="28"/>
          <w:rtl/>
        </w:rPr>
        <w:t xml:space="preserve"> دراسة تحليلية للعلاقات المعقدة بين المتغيرات الأربعة.</w:t>
      </w:r>
    </w:p>
    <w:p w14:paraId="490C1A44" w14:textId="77777777" w:rsidR="00F72A5E" w:rsidRPr="00FC62C6" w:rsidRDefault="00443F33" w:rsidP="00F72A5E">
      <w:pPr>
        <w:pStyle w:val="a3"/>
        <w:numPr>
          <w:ilvl w:val="0"/>
          <w:numId w:val="76"/>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مكانياً:</w:t>
      </w:r>
      <w:r w:rsidRPr="00FC62C6">
        <w:rPr>
          <w:rFonts w:ascii="Sakkal Majalla" w:hAnsi="Sakkal Majalla" w:cs="Sakkal Majalla"/>
          <w:sz w:val="28"/>
          <w:szCs w:val="28"/>
          <w:rtl/>
        </w:rPr>
        <w:t xml:space="preserve"> محصورة في "مستشفيات القطاع الحكومي في منطقة الجوف".</w:t>
      </w:r>
    </w:p>
    <w:p w14:paraId="6A590588" w14:textId="2A5BD197" w:rsidR="000B0FA3" w:rsidRPr="00FC62C6" w:rsidRDefault="00443F33" w:rsidP="009A0B22">
      <w:pPr>
        <w:pStyle w:val="a3"/>
        <w:numPr>
          <w:ilvl w:val="0"/>
          <w:numId w:val="76"/>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بشرياً:</w:t>
      </w:r>
      <w:r w:rsidRPr="00FC62C6">
        <w:rPr>
          <w:rFonts w:ascii="Sakkal Majalla" w:hAnsi="Sakkal Majalla" w:cs="Sakkal Majalla"/>
          <w:sz w:val="28"/>
          <w:szCs w:val="28"/>
          <w:rtl/>
        </w:rPr>
        <w:t xml:space="preserve"> موجهة نحو "الممارسين الصحيين والإداريين" الذين هم جوهر سلامة المريض.</w:t>
      </w:r>
    </w:p>
    <w:p w14:paraId="29BC65A7" w14:textId="1227BDCB"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 xml:space="preserve">9. الإطار المنهجي للدراسة </w:t>
      </w:r>
    </w:p>
    <w:p w14:paraId="4B1DF6BD" w14:textId="4FF3B66F" w:rsidR="00615235" w:rsidRPr="00FC62C6" w:rsidRDefault="00566743" w:rsidP="00615235">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تتبنى هذه الدراسة منهجية بحثية كمية تحليلية، تهدف إلى فحص العلاقات السببية </w:t>
      </w:r>
      <w:proofErr w:type="spellStart"/>
      <w:r w:rsidRPr="00FC62C6">
        <w:rPr>
          <w:rFonts w:ascii="Sakkal Majalla" w:hAnsi="Sakkal Majalla" w:cs="Sakkal Majalla"/>
          <w:sz w:val="28"/>
          <w:szCs w:val="28"/>
          <w:rtl/>
        </w:rPr>
        <w:t>والوسيطية</w:t>
      </w:r>
      <w:proofErr w:type="spellEnd"/>
      <w:r w:rsidRPr="00FC62C6">
        <w:rPr>
          <w:rFonts w:ascii="Sakkal Majalla" w:hAnsi="Sakkal Majalla" w:cs="Sakkal Majalla"/>
          <w:sz w:val="28"/>
          <w:szCs w:val="28"/>
          <w:rtl/>
        </w:rPr>
        <w:t xml:space="preserve"> المعقدة بين المتغيرات.</w:t>
      </w:r>
    </w:p>
    <w:p w14:paraId="386DC5EC" w14:textId="0A23FFEF"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9.1. الأساليب والطرق البحثية</w:t>
      </w:r>
    </w:p>
    <w:p w14:paraId="7809DA38" w14:textId="265CB2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1. المنهج البحثي (</w:t>
      </w:r>
      <w:r w:rsidRPr="00FC62C6">
        <w:rPr>
          <w:rFonts w:ascii="Sakkal Majalla" w:hAnsi="Sakkal Majalla" w:cs="Sakkal Majalla"/>
          <w:b/>
          <w:bCs/>
          <w:sz w:val="28"/>
          <w:szCs w:val="28"/>
        </w:rPr>
        <w:t>Research Approach</w:t>
      </w:r>
      <w:r w:rsidRPr="00FC62C6">
        <w:rPr>
          <w:rFonts w:ascii="Sakkal Majalla" w:hAnsi="Sakkal Majalla" w:cs="Sakkal Majalla"/>
          <w:b/>
          <w:bCs/>
          <w:sz w:val="28"/>
          <w:szCs w:val="28"/>
          <w:rtl/>
        </w:rPr>
        <w:t>)</w:t>
      </w:r>
    </w:p>
    <w:p w14:paraId="66B498BD" w14:textId="07E413DC" w:rsidR="00A0340F" w:rsidRPr="00A0340F" w:rsidRDefault="00566743" w:rsidP="00A0340F">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المنهج المعتمد هو المنهج الوصفي التحليلي الكمي (</w:t>
      </w:r>
      <w:r w:rsidRPr="00FC62C6">
        <w:rPr>
          <w:rFonts w:ascii="Sakkal Majalla" w:hAnsi="Sakkal Majalla" w:cs="Sakkal Majalla"/>
          <w:sz w:val="28"/>
          <w:szCs w:val="28"/>
        </w:rPr>
        <w:t>Quantitative Descriptive-Analytical Approach</w:t>
      </w:r>
      <w:r w:rsidRPr="00FC62C6">
        <w:rPr>
          <w:rFonts w:ascii="Sakkal Majalla" w:hAnsi="Sakkal Majalla" w:cs="Sakkal Majalla"/>
          <w:sz w:val="28"/>
          <w:szCs w:val="28"/>
          <w:rtl/>
        </w:rPr>
        <w:t>). مبررات الاختيار تتلخص في أن هذا المنهج يتناسب مع طبيعة الأهداف التي تهدف إلى قياس إدراكات الممارسين الصحيين للمتغيرات الأساسية، وهي: القيادة التحويلية، ثقافة السلامة، سلوكيات السلامة، والأحداث الضارة. بالإضافة إلى ذلك، فإنه يوفر إمكانية اختبار آلية التأثير المتسلسل للقيادة التحويلية في تقليل الحوادث الضارة، من خلال الوساطة المستمرة لثقافة السلامة وسلوكياتها، باستخدام أدوات إحصائية استنتاجية متقدمة مثل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2F609F8" w14:textId="04FB8685"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lastRenderedPageBreak/>
        <w:t>2. أداة جمع البيانات</w:t>
      </w:r>
    </w:p>
    <w:p w14:paraId="5DDB08B5" w14:textId="7013D9A1" w:rsidR="00615235" w:rsidRPr="00FC62C6" w:rsidRDefault="00566743" w:rsidP="00615235">
      <w:pPr>
        <w:pStyle w:val="a3"/>
        <w:numPr>
          <w:ilvl w:val="0"/>
          <w:numId w:val="89"/>
        </w:numPr>
        <w:bidi/>
        <w:spacing w:line="360" w:lineRule="auto"/>
        <w:rPr>
          <w:rFonts w:ascii="Sakkal Majalla" w:hAnsi="Sakkal Majalla" w:cs="Sakkal Majalla"/>
          <w:sz w:val="28"/>
          <w:szCs w:val="28"/>
        </w:rPr>
      </w:pPr>
      <w:r w:rsidRPr="00FC62C6">
        <w:rPr>
          <w:rFonts w:ascii="Sakkal Majalla" w:hAnsi="Sakkal Majalla" w:cs="Sakkal Majalla"/>
          <w:b/>
          <w:bCs/>
          <w:sz w:val="28"/>
          <w:szCs w:val="28"/>
          <w:rtl/>
        </w:rPr>
        <w:t xml:space="preserve">الأداة الرئيسية: </w:t>
      </w:r>
      <w:r w:rsidRPr="00FC62C6">
        <w:rPr>
          <w:rFonts w:ascii="Sakkal Majalla" w:hAnsi="Sakkal Majalla" w:cs="Sakkal Majalla"/>
          <w:sz w:val="28"/>
          <w:szCs w:val="28"/>
          <w:rtl/>
        </w:rPr>
        <w:t>الاستبانة المغلقة كوسيلة أساسية لجمع البيانات، بهدف ضمان التوحيد الكمي للاستجابات وتسهيل التحليل الإحصائي.</w:t>
      </w:r>
    </w:p>
    <w:p w14:paraId="04933ECB" w14:textId="18C81909" w:rsidR="00615235" w:rsidRPr="00FC62C6" w:rsidRDefault="00615235" w:rsidP="00615235">
      <w:pPr>
        <w:pStyle w:val="a3"/>
        <w:numPr>
          <w:ilvl w:val="0"/>
          <w:numId w:val="89"/>
        </w:num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t>الاستخدام:</w:t>
      </w:r>
      <w:r w:rsidRPr="00FC62C6">
        <w:rPr>
          <w:rFonts w:ascii="Sakkal Majalla" w:hAnsi="Sakkal Majalla" w:cs="Sakkal Majalla"/>
          <w:sz w:val="28"/>
          <w:szCs w:val="28"/>
          <w:rtl/>
        </w:rPr>
        <w:t xml:space="preserve"> </w:t>
      </w:r>
      <w:r w:rsidR="00566743" w:rsidRPr="00FC62C6">
        <w:rPr>
          <w:rFonts w:ascii="Sakkal Majalla" w:hAnsi="Sakkal Majalla" w:cs="Sakkal Majalla"/>
          <w:sz w:val="28"/>
          <w:szCs w:val="28"/>
          <w:rtl/>
        </w:rPr>
        <w:t xml:space="preserve">تم تصميم الاستبانة لتشمل أقسامًا لقياس كل متغير من متغيرات الدراسة الأربعة، اعتمادًا على مقياس </w:t>
      </w:r>
      <w:proofErr w:type="spellStart"/>
      <w:r w:rsidR="00566743" w:rsidRPr="00FC62C6">
        <w:rPr>
          <w:rFonts w:ascii="Sakkal Majalla" w:hAnsi="Sakkal Majalla" w:cs="Sakkal Majalla"/>
          <w:sz w:val="28"/>
          <w:szCs w:val="28"/>
          <w:rtl/>
        </w:rPr>
        <w:t>ليكرت</w:t>
      </w:r>
      <w:proofErr w:type="spellEnd"/>
      <w:r w:rsidR="00566743" w:rsidRPr="00FC62C6">
        <w:rPr>
          <w:rFonts w:ascii="Sakkal Majalla" w:hAnsi="Sakkal Majalla" w:cs="Sakkal Majalla"/>
          <w:sz w:val="28"/>
          <w:szCs w:val="28"/>
          <w:rtl/>
        </w:rPr>
        <w:t xml:space="preserve"> الخماسي لتحديد الدرجة.</w:t>
      </w:r>
      <w:r w:rsidRPr="00FC62C6">
        <w:rPr>
          <w:rFonts w:ascii="Sakkal Majalla" w:hAnsi="Sakkal Majalla" w:cs="Sakkal Majalla"/>
          <w:sz w:val="28"/>
          <w:szCs w:val="28"/>
          <w:rtl/>
        </w:rPr>
        <w:t>.</w:t>
      </w:r>
    </w:p>
    <w:p w14:paraId="6E9E8EAB" w14:textId="6BCB0357" w:rsidR="00615235" w:rsidRPr="00FC62C6" w:rsidRDefault="00615235" w:rsidP="00615235">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9.2. مجتمع وعينة الدراسة</w:t>
      </w:r>
    </w:p>
    <w:p w14:paraId="1F2EC100" w14:textId="4EEC6EC5" w:rsidR="00394424" w:rsidRPr="00394424" w:rsidRDefault="00394424" w:rsidP="00394424">
      <w:pPr>
        <w:tabs>
          <w:tab w:val="num" w:pos="720"/>
        </w:tabs>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w:t>
      </w:r>
      <w:r w:rsidRPr="00394424">
        <w:rPr>
          <w:rFonts w:ascii="Sakkal Majalla" w:hAnsi="Sakkal Majalla" w:cs="Sakkal Majalla"/>
          <w:b/>
          <w:bCs/>
          <w:sz w:val="28"/>
          <w:szCs w:val="28"/>
          <w:rtl/>
        </w:rPr>
        <w:t>مجتمع الدراسة</w:t>
      </w:r>
    </w:p>
    <w:p w14:paraId="440ACEA1" w14:textId="192FDA53" w:rsidR="008146AC" w:rsidRPr="008146AC" w:rsidRDefault="007956F0" w:rsidP="008146AC">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يشمل مجتمع الدراسة جميع العاملين الصحيين والإداريين الذين لهم دور مباشر في ضمان سلامة المرضى والقيادة داخل مستشفيات القطاع الحكومي في منطقة الجوف بالمملكة العربية السعودية. تم اختيار هذه الفئة نظراً لكونها الأكثر تعرضاً لتأثيرات عوامل القيادة التحويلية وثقافة السلامة، فضلاً عن مسؤوليتها الرئيسية في تطبيق ممارسات السلامة وتقليل الحوادث الضارة.</w:t>
      </w:r>
    </w:p>
    <w:p w14:paraId="548B7B6F" w14:textId="69C4D263" w:rsidR="00394424" w:rsidRPr="00394424" w:rsidRDefault="00394424" w:rsidP="00394424">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2.</w:t>
      </w:r>
      <w:r w:rsidRPr="00394424">
        <w:rPr>
          <w:rFonts w:ascii="Sakkal Majalla" w:hAnsi="Sakkal Majalla" w:cs="Sakkal Majalla"/>
          <w:b/>
          <w:bCs/>
          <w:sz w:val="28"/>
          <w:szCs w:val="28"/>
          <w:rtl/>
        </w:rPr>
        <w:t>عينة الدراسة</w:t>
      </w:r>
    </w:p>
    <w:p w14:paraId="060B374E"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أ. طريقة الاختيار</w:t>
      </w:r>
      <w:r w:rsidRPr="00394424">
        <w:rPr>
          <w:rFonts w:ascii="Sakkal Majalla" w:hAnsi="Sakkal Majalla" w:cs="Sakkal Majalla"/>
          <w:b/>
          <w:bCs/>
          <w:sz w:val="28"/>
          <w:szCs w:val="28"/>
        </w:rPr>
        <w:t>:</w:t>
      </w:r>
    </w:p>
    <w:p w14:paraId="775566FA" w14:textId="4CB3670B"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سيتم الاعتماد على تقنية العينة الطبقية العشوائية لضمان تمثيل جميع الفئات المهنية (الأطباء، التمريض، الإداريين الصحيين، المهن الصحية المساعدة) وفق نسبها الحقيقية. هذا الإجراء يهدف إلى تقليل التحيز وتعزيز إمكانية تعميم النتائج بشكل دقيق.</w:t>
      </w:r>
    </w:p>
    <w:p w14:paraId="225C7524"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ب. تحديد حجم العينة</w:t>
      </w:r>
      <w:r w:rsidRPr="00394424">
        <w:rPr>
          <w:rFonts w:ascii="Sakkal Majalla" w:hAnsi="Sakkal Majalla" w:cs="Sakkal Majalla"/>
          <w:b/>
          <w:bCs/>
          <w:sz w:val="28"/>
          <w:szCs w:val="28"/>
        </w:rPr>
        <w:t>:</w:t>
      </w:r>
    </w:p>
    <w:p w14:paraId="5006A458" w14:textId="50BA02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يعتمد تحديد حجم العينة على متطلبات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التي تتطلب حجم عينة كافياً لضمان دقة تقدير المعاملات الإحصائية واختبار جودة ملاءمة النموذج. وقد تم تحديد حجم العينة استناداً إلى القواعد المنهجية التالية.</w:t>
      </w:r>
    </w:p>
    <w:p w14:paraId="29DB9BA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الأولى: الحد الأدنى المطلق</w:t>
      </w:r>
    </w:p>
    <w:p w14:paraId="68EE839F" w14:textId="2EAD55A1" w:rsidR="00394424" w:rsidRPr="00394424" w:rsidRDefault="007956F0" w:rsidP="00394424">
      <w:pPr>
        <w:bidi/>
        <w:spacing w:line="360" w:lineRule="auto"/>
        <w:rPr>
          <w:rFonts w:ascii="Sakkal Majalla" w:hAnsi="Sakkal Majalla" w:cs="Sakkal Majalla"/>
          <w:sz w:val="28"/>
          <w:szCs w:val="28"/>
        </w:rPr>
      </w:pPr>
      <w:r w:rsidRPr="00FC62C6">
        <w:rPr>
          <w:rFonts w:ascii="Sakkal Majalla" w:hAnsi="Sakkal Majalla" w:cs="Sakkal Majalla"/>
          <w:sz w:val="28"/>
          <w:szCs w:val="28"/>
          <w:rtl/>
        </w:rPr>
        <w:t>وفقاً لـ (</w:t>
      </w:r>
      <w:r w:rsidRPr="00FC62C6">
        <w:rPr>
          <w:rFonts w:ascii="Sakkal Majalla" w:hAnsi="Sakkal Majalla" w:cs="Sakkal Majalla"/>
          <w:sz w:val="28"/>
          <w:szCs w:val="28"/>
        </w:rPr>
        <w:t>Hair</w:t>
      </w:r>
      <w:r w:rsidRPr="00FC62C6">
        <w:rPr>
          <w:rFonts w:ascii="Sakkal Majalla" w:hAnsi="Sakkal Majalla" w:cs="Sakkal Majalla"/>
          <w:sz w:val="28"/>
          <w:szCs w:val="28"/>
          <w:rtl/>
        </w:rPr>
        <w:t xml:space="preserve"> وآخرون، 2019)، فإن الحد الأدنى لنمذجة المعادلات الهيكلية هو 200 حالة، بينما يُنصح بحد أدنى يتراوح بين 300 و400 حالة لضمان استقرار التقديرات وموثوقية النتائج.</w:t>
      </w:r>
    </w:p>
    <w:p w14:paraId="213C4893" w14:textId="77777777" w:rsidR="00394424" w:rsidRPr="00394424" w:rsidRDefault="00394424" w:rsidP="00394424">
      <w:pPr>
        <w:bidi/>
        <w:spacing w:line="360" w:lineRule="auto"/>
        <w:rPr>
          <w:rFonts w:ascii="Sakkal Majalla" w:hAnsi="Sakkal Majalla" w:cs="Sakkal Majalla"/>
          <w:b/>
          <w:bCs/>
          <w:sz w:val="28"/>
          <w:szCs w:val="28"/>
        </w:rPr>
      </w:pPr>
      <w:r w:rsidRPr="00394424">
        <w:rPr>
          <w:rFonts w:ascii="Sakkal Majalla" w:hAnsi="Sakkal Majalla" w:cs="Sakkal Majalla"/>
          <w:b/>
          <w:bCs/>
          <w:sz w:val="28"/>
          <w:szCs w:val="28"/>
          <w:rtl/>
        </w:rPr>
        <w:t>القاعدة المنهجية الثانية: قاعدة النسبة</w:t>
      </w:r>
      <w:r w:rsidRPr="00394424">
        <w:rPr>
          <w:rFonts w:ascii="Sakkal Majalla" w:hAnsi="Sakkal Majalla" w:cs="Sakkal Majalla"/>
          <w:b/>
          <w:bCs/>
          <w:sz w:val="28"/>
          <w:szCs w:val="28"/>
        </w:rPr>
        <w:t xml:space="preserve"> (Ratio Rule)</w:t>
      </w:r>
    </w:p>
    <w:p w14:paraId="16358C51" w14:textId="77777777" w:rsidR="007D2FCC" w:rsidRPr="00FC62C6" w:rsidRDefault="00A807E7" w:rsidP="007D2FCC">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يُوصي (</w:t>
      </w:r>
      <w:r w:rsidRPr="00FC62C6">
        <w:rPr>
          <w:rFonts w:ascii="Sakkal Majalla" w:hAnsi="Sakkal Majalla" w:cs="Sakkal Majalla"/>
          <w:sz w:val="28"/>
          <w:szCs w:val="28"/>
        </w:rPr>
        <w:t>Kline</w:t>
      </w:r>
      <w:r w:rsidRPr="00FC62C6">
        <w:rPr>
          <w:rFonts w:ascii="Sakkal Majalla" w:hAnsi="Sakkal Majalla" w:cs="Sakkal Majalla"/>
          <w:sz w:val="28"/>
          <w:szCs w:val="28"/>
          <w:rtl/>
        </w:rPr>
        <w:t>، 2023) بتطبيق قاعدة 10:1 (عشر حالات لكل معامل مُقدّر في النموذج). وبما أن النموذج الحالي يحتوي على:</w:t>
      </w:r>
    </w:p>
    <w:p w14:paraId="0D07A23C" w14:textId="3013F942" w:rsidR="00A807E7" w:rsidRPr="00FC62C6" w:rsidRDefault="007D2FCC" w:rsidP="007D2FCC">
      <w:pPr>
        <w:bidi/>
        <w:spacing w:line="360" w:lineRule="auto"/>
        <w:rPr>
          <w:rFonts w:ascii="Sakkal Majalla" w:hAnsi="Sakkal Majalla" w:cs="Sakkal Majalla"/>
          <w:sz w:val="28"/>
          <w:szCs w:val="28"/>
          <w:rtl/>
        </w:rPr>
      </w:pPr>
      <w:r w:rsidRPr="00FC62C6">
        <w:rPr>
          <w:rFonts w:ascii="Sakkal Majalla" w:hAnsi="Sakkal Majalla" w:cs="Sakkal Majalla"/>
          <w:b/>
          <w:bCs/>
          <w:sz w:val="28"/>
          <w:szCs w:val="28"/>
          <w:rtl/>
        </w:rPr>
        <w:lastRenderedPageBreak/>
        <w:t xml:space="preserve"> </w:t>
      </w:r>
      <w:r w:rsidRPr="00FC62C6">
        <w:rPr>
          <w:rFonts w:ascii="Sakkal Majalla" w:hAnsi="Sakkal Majalla" w:cs="Sakkal Majalla"/>
          <w:sz w:val="28"/>
          <w:szCs w:val="28"/>
          <w:rtl/>
        </w:rPr>
        <w:t>أولاً: متغيرات رئيسة (</w:t>
      </w:r>
      <w:r w:rsidRPr="00FC62C6">
        <w:rPr>
          <w:rFonts w:ascii="Sakkal Majalla" w:hAnsi="Sakkal Majalla" w:cs="Sakkal Majalla"/>
          <w:sz w:val="28"/>
          <w:szCs w:val="28"/>
        </w:rPr>
        <w:t>TL</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SC</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SB</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AE</w:t>
      </w:r>
      <w:r w:rsidRPr="00FC62C6">
        <w:rPr>
          <w:rFonts w:ascii="Sakkal Majalla" w:hAnsi="Sakkal Majalla" w:cs="Sakkal Majalla"/>
          <w:sz w:val="28"/>
          <w:szCs w:val="28"/>
          <w:rtl/>
        </w:rPr>
        <w:t>)، ثانياً: فرضيات (3 مباشرة + 2 وساطة)، وذلك يمثل حوالي 50-60 عبارة إجمالية في الاستبانة، فإن عدد المعاملات المُقدرة يتراوح بين 50-60 معاملًا. وباستخدام القاعدة</w:t>
      </w:r>
      <w:r w:rsidRPr="00FC62C6">
        <w:rPr>
          <w:rFonts w:ascii="Sakkal Majalla" w:hAnsi="Sakkal Majalla" w:cs="Sakkal Majalla"/>
          <w:b/>
          <w:bCs/>
          <w:sz w:val="28"/>
          <w:szCs w:val="28"/>
          <w:rtl/>
        </w:rPr>
        <w:t>:</w:t>
      </w:r>
    </w:p>
    <w:p w14:paraId="219D31FC" w14:textId="60A6150B" w:rsidR="00EA2EBA" w:rsidRPr="00FC62C6" w:rsidRDefault="00A807E7" w:rsidP="00394424">
      <w:pPr>
        <w:bidi/>
        <w:spacing w:line="360" w:lineRule="auto"/>
        <w:rPr>
          <w:rFonts w:ascii="Sakkal Majalla" w:hAnsi="Sakkal Majalla" w:cs="Sakkal Majalla"/>
          <w:b/>
          <w:bCs/>
          <w:sz w:val="28"/>
          <w:szCs w:val="28"/>
          <w:rtl/>
        </w:rPr>
      </w:pPr>
      <w:r w:rsidRPr="00FC62C6">
        <w:rPr>
          <w:rFonts w:ascii="Sakkal Majalla" w:hAnsi="Sakkal Majalla" w:cs="Sakkal Majalla"/>
          <w:sz w:val="28"/>
          <w:szCs w:val="28"/>
          <w:rtl/>
        </w:rPr>
        <w:t xml:space="preserve">                             حجم العينة المطلوب = 10 × 60 = 600 حالة</w:t>
      </w:r>
    </w:p>
    <w:p w14:paraId="34680961" w14:textId="7BCD7E87" w:rsidR="00615235" w:rsidRPr="00FC62C6" w:rsidRDefault="00394424" w:rsidP="00EA2EBA">
      <w:pPr>
        <w:bidi/>
        <w:spacing w:line="360" w:lineRule="auto"/>
        <w:rPr>
          <w:rFonts w:ascii="Sakkal Majalla" w:hAnsi="Sakkal Majalla" w:cs="Sakkal Majalla"/>
          <w:b/>
          <w:bCs/>
          <w:sz w:val="28"/>
          <w:szCs w:val="28"/>
          <w:rtl/>
        </w:rPr>
      </w:pPr>
      <w:r w:rsidRPr="00394424">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9.3. تصميم واختيار أدوات البحث والمقاييس</w:t>
      </w:r>
    </w:p>
    <w:p w14:paraId="1202DF3E" w14:textId="3E1BA627" w:rsidR="00CD2E00" w:rsidRPr="00FC62C6" w:rsidRDefault="00615235" w:rsidP="009D7A47">
      <w:pPr>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لضمان الدقة والمصداقية العلمية، تم اعتماد مقاييس دولية موثوقة ومعدلة للسياق العربي والسعودي: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FC62C6"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FC62C6" w:rsidRDefault="00615235" w:rsidP="00615235">
            <w:pPr>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الملاءمة والتحقق</w:t>
            </w:r>
          </w:p>
        </w:tc>
      </w:tr>
      <w:tr w:rsidR="00615235" w:rsidRPr="00FC62C6"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القيادة التحويلية (</w:t>
            </w:r>
            <w:r w:rsidRPr="00FC62C6">
              <w:rPr>
                <w:rFonts w:ascii="Sakkal Majalla" w:hAnsi="Sakkal Majalla" w:cs="Sakkal Majalla"/>
                <w:b/>
                <w:bCs/>
                <w:sz w:val="28"/>
                <w:szCs w:val="28"/>
              </w:rPr>
              <w:t>TL</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القيادة متعدد العوامل (</w:t>
            </w:r>
            <w:r w:rsidRPr="00FC62C6">
              <w:rPr>
                <w:rFonts w:ascii="Sakkal Majalla" w:hAnsi="Sakkal Majalla" w:cs="Sakkal Majalla"/>
                <w:sz w:val="28"/>
                <w:szCs w:val="28"/>
              </w:rPr>
              <w:t>MLQ</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FC62C6" w:rsidRDefault="00004971"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fldChar w:fldCharType="begin"/>
            </w:r>
            <w:r w:rsidRPr="00FC62C6">
              <w:rPr>
                <w:rFonts w:ascii="Sakkal Majalla" w:hAnsi="Sakkal Majalla" w:cs="Sakkal Majalla"/>
                <w:sz w:val="28"/>
                <w:szCs w:val="28"/>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Pr="00FC62C6">
              <w:rPr>
                <w:rFonts w:ascii="Sakkal Majalla" w:hAnsi="Sakkal Majalla" w:cs="Sakkal Majalla"/>
                <w:sz w:val="28"/>
                <w:szCs w:val="28"/>
              </w:rPr>
              <w:fldChar w:fldCharType="separate"/>
            </w:r>
            <w:r w:rsidRPr="00FC62C6">
              <w:rPr>
                <w:rFonts w:ascii="Sakkal Majalla" w:hAnsi="Sakkal Majalla" w:cs="Sakkal Majalla"/>
                <w:noProof/>
                <w:sz w:val="28"/>
                <w:szCs w:val="28"/>
              </w:rPr>
              <w:t>(Bass &amp; Avolio, 1996)</w:t>
            </w:r>
            <w:r w:rsidRPr="00FC62C6">
              <w:rPr>
                <w:rFonts w:ascii="Sakkal Majalla" w:hAnsi="Sakkal Majalla" w:cs="Sakkal Majalla"/>
                <w:sz w:val="28"/>
                <w:szCs w:val="28"/>
              </w:rPr>
              <w:fldChar w:fldCharType="end"/>
            </w:r>
            <w:r w:rsidR="00615235"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استخدام الأبعاد الأربعة الرئيسية للقيادة التحويلية.</w:t>
            </w:r>
          </w:p>
        </w:tc>
      </w:tr>
      <w:tr w:rsidR="00615235" w:rsidRPr="00FC62C6"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ثقافة السلامة (</w:t>
            </w:r>
            <w:r w:rsidRPr="00FC62C6">
              <w:rPr>
                <w:rFonts w:ascii="Sakkal Majalla" w:hAnsi="Sakkal Majalla" w:cs="Sakkal Majalla"/>
                <w:b/>
                <w:bCs/>
                <w:sz w:val="28"/>
                <w:szCs w:val="28"/>
              </w:rPr>
              <w:t>SC</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ثقافة السلامة بالمستشفيات (</w:t>
            </w:r>
            <w:r w:rsidRPr="00FC62C6">
              <w:rPr>
                <w:rFonts w:ascii="Sakkal Majalla" w:hAnsi="Sakkal Majalla" w:cs="Sakkal Majalla"/>
                <w:sz w:val="28"/>
                <w:szCs w:val="28"/>
              </w:rPr>
              <w:t>HSOPSC</w:t>
            </w:r>
            <w:r w:rsidRPr="00FC62C6">
              <w:rPr>
                <w:rFonts w:ascii="Sakkal Majalla" w:hAnsi="Sakkal Majalla" w:cs="Sakkal Majalla"/>
                <w:sz w:val="28"/>
                <w:szCs w:val="28"/>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اختيار الأبعاد الأكثر صلة بالقيادة والإبلاغ (مثل دعم الإدارة، والتغذية الراجعة).</w:t>
            </w:r>
          </w:p>
        </w:tc>
      </w:tr>
      <w:tr w:rsidR="00615235" w:rsidRPr="00FC62C6"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سلوكيات السلامة (</w:t>
            </w:r>
            <w:r w:rsidRPr="00FC62C6">
              <w:rPr>
                <w:rFonts w:ascii="Sakkal Majalla" w:hAnsi="Sakkal Majalla" w:cs="Sakkal Majalla"/>
                <w:b/>
                <w:bCs/>
                <w:sz w:val="28"/>
                <w:szCs w:val="28"/>
              </w:rPr>
              <w:t>SB</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011462AD" w:rsidR="00615235" w:rsidRPr="00FC62C6" w:rsidRDefault="00615235" w:rsidP="00984A64">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 xml:space="preserve"> </w:t>
            </w:r>
            <w:r w:rsidR="00984A64" w:rsidRPr="00FC62C6">
              <w:rPr>
                <w:rFonts w:ascii="Sakkal Majalla" w:hAnsi="Sakkal Majalla" w:cs="Sakkal Majalla"/>
                <w:sz w:val="28"/>
                <w:szCs w:val="28"/>
                <w:rtl/>
              </w:rPr>
              <w:fldChar w:fldCharType="begin"/>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sidRPr="00FC62C6">
              <w:rPr>
                <w:rFonts w:ascii="Sakkal Majalla" w:hAnsi="Sakkal Majalla" w:cs="Sakkal Majalla"/>
                <w:sz w:val="28"/>
                <w:szCs w:val="28"/>
                <w:rtl/>
              </w:rPr>
              <w:instrText>&gt;</w:instrText>
            </w:r>
            <w:r w:rsidR="003F7AF9" w:rsidRPr="00FC62C6">
              <w:rPr>
                <w:rFonts w:ascii="Sakkal Majalla" w:hAnsi="Sakkal Majalla" w:cs="Sakkal Majalla"/>
                <w:sz w:val="28"/>
                <w:szCs w:val="28"/>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sidRPr="00FC62C6">
              <w:rPr>
                <w:rFonts w:ascii="Sakkal Majalla" w:hAnsi="Sakkal Majalla" w:cs="Sakkal Majalla"/>
                <w:sz w:val="28"/>
                <w:szCs w:val="28"/>
                <w:rtl/>
              </w:rPr>
              <w:instrText xml:space="preserve"> </w:instrText>
            </w:r>
            <w:r w:rsidR="003F7AF9" w:rsidRPr="00FC62C6">
              <w:rPr>
                <w:rFonts w:ascii="Sakkal Majalla" w:hAnsi="Sakkal Majalla" w:cs="Sakkal Majalla"/>
                <w:sz w:val="28"/>
                <w:szCs w:val="28"/>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sidRPr="00FC62C6">
              <w:rPr>
                <w:rFonts w:ascii="Sakkal Majalla" w:hAnsi="Sakkal Majalla" w:cs="Sakkal Majalla"/>
                <w:sz w:val="28"/>
                <w:szCs w:val="28"/>
                <w:rtl/>
              </w:rPr>
              <w:instrText>&gt;</w:instrText>
            </w:r>
            <w:r w:rsidR="00984A64" w:rsidRPr="00FC62C6">
              <w:rPr>
                <w:rFonts w:ascii="Sakkal Majalla" w:hAnsi="Sakkal Majalla" w:cs="Sakkal Majalla"/>
                <w:sz w:val="28"/>
                <w:szCs w:val="28"/>
                <w:rtl/>
              </w:rPr>
              <w:fldChar w:fldCharType="separate"/>
            </w:r>
            <w:r w:rsidR="00984A64" w:rsidRPr="00FC62C6">
              <w:rPr>
                <w:rFonts w:ascii="Sakkal Majalla" w:hAnsi="Sakkal Majalla" w:cs="Sakkal Majalla"/>
                <w:noProof/>
                <w:sz w:val="28"/>
                <w:szCs w:val="28"/>
                <w:rtl/>
              </w:rPr>
              <w:t>(</w:t>
            </w:r>
            <w:r w:rsidR="00984A64" w:rsidRPr="00FC62C6">
              <w:rPr>
                <w:rFonts w:ascii="Sakkal Majalla" w:hAnsi="Sakkal Majalla" w:cs="Sakkal Majalla"/>
                <w:noProof/>
                <w:sz w:val="28"/>
                <w:szCs w:val="28"/>
              </w:rPr>
              <w:t>Elhihi et al., 2025</w:t>
            </w:r>
            <w:r w:rsidR="00984A64" w:rsidRPr="00FC62C6">
              <w:rPr>
                <w:rFonts w:ascii="Sakkal Majalla" w:hAnsi="Sakkal Majalla" w:cs="Sakkal Majalla"/>
                <w:noProof/>
                <w:sz w:val="28"/>
                <w:szCs w:val="28"/>
                <w:rtl/>
              </w:rPr>
              <w:t>)</w:t>
            </w:r>
            <w:r w:rsidR="00984A64" w:rsidRPr="00FC62C6">
              <w:rPr>
                <w:rFonts w:ascii="Sakkal Majalla" w:hAnsi="Sakkal Majalla" w:cs="Sakkal Majalla"/>
                <w:sz w:val="28"/>
                <w:szCs w:val="28"/>
                <w:rtl/>
              </w:rPr>
              <w:fldChar w:fldCharType="end"/>
            </w:r>
            <w:r w:rsidRPr="00FC62C6">
              <w:rPr>
                <w:rFonts w:ascii="Sakkal Majalla" w:hAnsi="Sakkal Majalla" w:cs="Sakkal Majalla"/>
                <w:sz w:val="28"/>
                <w:szCs w:val="28"/>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قياس مدى التزام الممارسين الصحيين بالإجراءات الوقائية.</w:t>
            </w:r>
          </w:p>
        </w:tc>
      </w:tr>
      <w:tr w:rsidR="00615235" w:rsidRPr="00FC62C6"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FC62C6" w:rsidRDefault="00615235" w:rsidP="002F53C6">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b/>
                <w:bCs/>
                <w:sz w:val="28"/>
                <w:szCs w:val="28"/>
                <w:rtl/>
              </w:rPr>
              <w:t>تقليل الأحداث الضارة (</w:t>
            </w:r>
            <w:r w:rsidRPr="00FC62C6">
              <w:rPr>
                <w:rFonts w:ascii="Sakkal Majalla" w:hAnsi="Sakkal Majalla" w:cs="Sakkal Majalla"/>
                <w:b/>
                <w:bCs/>
                <w:sz w:val="28"/>
                <w:szCs w:val="28"/>
              </w:rPr>
              <w:t>AE</w:t>
            </w:r>
            <w:r w:rsidRPr="00FC62C6">
              <w:rPr>
                <w:rFonts w:ascii="Sakkal Majalla" w:hAnsi="Sakkal Majalla" w:cs="Sakkal Majalla"/>
                <w:b/>
                <w:bCs/>
                <w:sz w:val="28"/>
                <w:szCs w:val="28"/>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FC62C6" w:rsidRDefault="00615235" w:rsidP="008B1883">
            <w:pPr>
              <w:shd w:val="clear" w:color="auto" w:fill="FFFFFF" w:themeFill="background1"/>
              <w:bidi/>
              <w:spacing w:line="360" w:lineRule="auto"/>
              <w:jc w:val="center"/>
              <w:rPr>
                <w:rFonts w:ascii="Sakkal Majalla" w:hAnsi="Sakkal Majalla" w:cs="Sakkal Majalla"/>
                <w:sz w:val="28"/>
                <w:szCs w:val="28"/>
                <w:rtl/>
              </w:rPr>
            </w:pPr>
            <w:r w:rsidRPr="00FC62C6">
              <w:rPr>
                <w:rFonts w:ascii="Sakkal Majalla" w:hAnsi="Sakkal Majalla" w:cs="Sakkal Majalla"/>
                <w:sz w:val="28"/>
                <w:szCs w:val="28"/>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FC62C6" w:rsidRDefault="00615235" w:rsidP="008B1883">
            <w:pPr>
              <w:shd w:val="clear" w:color="auto" w:fill="FFFFFF" w:themeFill="background1"/>
              <w:bidi/>
              <w:spacing w:line="360" w:lineRule="auto"/>
              <w:rPr>
                <w:rFonts w:ascii="Sakkal Majalla" w:hAnsi="Sakkal Majalla" w:cs="Sakkal Majalla"/>
                <w:sz w:val="28"/>
                <w:szCs w:val="28"/>
                <w:rtl/>
              </w:rPr>
            </w:pPr>
            <w:r w:rsidRPr="00FC62C6">
              <w:rPr>
                <w:rFonts w:ascii="Sakkal Majalla" w:hAnsi="Sakkal Majalla" w:cs="Sakkal Majalla"/>
                <w:sz w:val="28"/>
                <w:szCs w:val="28"/>
                <w:rtl/>
              </w:rPr>
              <w:t>يقيس إدراك العاملين لفعالية التدابير المتبعة للحد من الأخطاء والحوادث القابلة للوقاية.</w:t>
            </w:r>
          </w:p>
        </w:tc>
      </w:tr>
    </w:tbl>
    <w:p w14:paraId="5064EA6B" w14:textId="2FAB50FF" w:rsidR="00615235" w:rsidRPr="00FC62C6" w:rsidRDefault="0086026A" w:rsidP="002A7050">
      <w:pPr>
        <w:bidi/>
        <w:spacing w:line="360" w:lineRule="auto"/>
        <w:rPr>
          <w:rFonts w:ascii="Sakkal Majalla" w:hAnsi="Sakkal Majalla" w:cs="Sakkal Majalla"/>
          <w:b/>
          <w:bCs/>
          <w:sz w:val="28"/>
          <w:szCs w:val="28"/>
          <w:rtl/>
        </w:rPr>
      </w:pPr>
      <w:r w:rsidRPr="00FC62C6">
        <w:rPr>
          <w:rFonts w:ascii="Sakkal Majalla" w:hAnsi="Sakkal Majalla" w:cs="Sakkal Majalla"/>
          <w:b/>
          <w:bCs/>
          <w:sz w:val="28"/>
          <w:szCs w:val="28"/>
          <w:rtl/>
        </w:rPr>
        <w:t>9.3.1</w:t>
      </w:r>
      <w:r w:rsidR="00B01477" w:rsidRPr="00FC62C6">
        <w:rPr>
          <w:rFonts w:ascii="Sakkal Majalla" w:hAnsi="Sakkal Majalla" w:cs="Sakkal Majalla"/>
          <w:b/>
          <w:bCs/>
          <w:sz w:val="28"/>
          <w:szCs w:val="28"/>
          <w:rtl/>
        </w:rPr>
        <w:t xml:space="preserve"> </w:t>
      </w:r>
      <w:r w:rsidR="00615235" w:rsidRPr="00FC62C6">
        <w:rPr>
          <w:rFonts w:ascii="Sakkal Majalla" w:hAnsi="Sakkal Majalla" w:cs="Sakkal Majalla"/>
          <w:b/>
          <w:bCs/>
          <w:sz w:val="28"/>
          <w:szCs w:val="28"/>
          <w:rtl/>
        </w:rPr>
        <w:t>إجراءات التحقق من الأدوات (الصدق والثبات)</w:t>
      </w:r>
    </w:p>
    <w:p w14:paraId="4A81F8B7" w14:textId="7AD99ACB"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b/>
          <w:bCs/>
          <w:sz w:val="28"/>
          <w:szCs w:val="28"/>
          <w:rtl/>
        </w:rPr>
        <w:t>الصدق الظاهري (</w:t>
      </w:r>
      <w:r w:rsidRPr="00FC62C6">
        <w:rPr>
          <w:rFonts w:ascii="Sakkal Majalla" w:hAnsi="Sakkal Majalla" w:cs="Sakkal Majalla"/>
          <w:b/>
          <w:bCs/>
          <w:sz w:val="28"/>
          <w:szCs w:val="28"/>
        </w:rPr>
        <w:t>Face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عرض الاستبانة على مجموعة من المختصين، من أعضاء هيئة التدريس والإداريين ذوي الخبرة، بهدف التأكد من وضوح العبارات وملاءمتها للسياق الثقافي والمؤسسي.</w:t>
      </w:r>
    </w:p>
    <w:p w14:paraId="772F6942" w14:textId="2CD3457C" w:rsidR="00615235" w:rsidRPr="00FC62C6" w:rsidRDefault="00100E3E" w:rsidP="000B0FA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lastRenderedPageBreak/>
        <w:t>الصدق البنائي (</w:t>
      </w:r>
      <w:r w:rsidRPr="00FC62C6">
        <w:rPr>
          <w:rFonts w:ascii="Sakkal Majalla" w:hAnsi="Sakkal Majalla" w:cs="Sakkal Majalla"/>
          <w:b/>
          <w:bCs/>
          <w:sz w:val="28"/>
          <w:szCs w:val="28"/>
        </w:rPr>
        <w:t>Construct Validity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يتم استخدام تحليل العوامل التوكيدي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في المرحلة الإحصائية للتحقق من أن العبارات تقيس فعليًا البناء النظري المعين لها.</w:t>
      </w:r>
    </w:p>
    <w:p w14:paraId="5B6CCBA5" w14:textId="11B8244D" w:rsidR="003A00C3" w:rsidRPr="00FC62C6" w:rsidRDefault="00100E3E" w:rsidP="003A00C3">
      <w:pPr>
        <w:numPr>
          <w:ilvl w:val="0"/>
          <w:numId w:val="83"/>
        </w:num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b/>
          <w:bCs/>
          <w:sz w:val="28"/>
          <w:szCs w:val="28"/>
          <w:rtl/>
        </w:rPr>
        <w:t>الثبات (</w:t>
      </w:r>
      <w:r w:rsidRPr="00FC62C6">
        <w:rPr>
          <w:rFonts w:ascii="Sakkal Majalla" w:hAnsi="Sakkal Majalla" w:cs="Sakkal Majalla"/>
          <w:b/>
          <w:bCs/>
          <w:sz w:val="28"/>
          <w:szCs w:val="28"/>
        </w:rPr>
        <w:t>Reliability</w:t>
      </w:r>
      <w:r w:rsidRPr="00FC62C6">
        <w:rPr>
          <w:rFonts w:ascii="Sakkal Majalla" w:hAnsi="Sakkal Majalla" w:cs="Sakkal Majalla"/>
          <w:b/>
          <w:bCs/>
          <w:sz w:val="28"/>
          <w:szCs w:val="28"/>
          <w:rtl/>
        </w:rPr>
        <w:t xml:space="preserve">): </w:t>
      </w:r>
      <w:r w:rsidRPr="00FC62C6">
        <w:rPr>
          <w:rFonts w:ascii="Sakkal Majalla" w:hAnsi="Sakkal Majalla" w:cs="Sakkal Majalla"/>
          <w:sz w:val="28"/>
          <w:szCs w:val="28"/>
          <w:rtl/>
        </w:rPr>
        <w:t>إجراء دراسة استكشافية (</w:t>
      </w:r>
      <w:r w:rsidRPr="00FC62C6">
        <w:rPr>
          <w:rFonts w:ascii="Sakkal Majalla" w:hAnsi="Sakkal Majalla" w:cs="Sakkal Majalla"/>
          <w:sz w:val="28"/>
          <w:szCs w:val="28"/>
        </w:rPr>
        <w:t>Pilot Study</w:t>
      </w:r>
      <w:r w:rsidRPr="00FC62C6">
        <w:rPr>
          <w:rFonts w:ascii="Sakkal Majalla" w:hAnsi="Sakkal Majalla" w:cs="Sakkal Majalla"/>
          <w:sz w:val="28"/>
          <w:szCs w:val="28"/>
          <w:rtl/>
        </w:rPr>
        <w:t xml:space="preserve">) على عينة خارج إطار الدراسة النهائية تتراوح تقريبًا بين 30 و50 مستجيبًا، بهدف حساب معامل ألفا </w:t>
      </w:r>
      <w:proofErr w:type="spellStart"/>
      <w:r w:rsidRPr="00FC62C6">
        <w:rPr>
          <w:rFonts w:ascii="Sakkal Majalla" w:hAnsi="Sakkal Majalla" w:cs="Sakkal Majalla"/>
          <w:sz w:val="28"/>
          <w:szCs w:val="28"/>
          <w:rtl/>
        </w:rPr>
        <w:t>كرونباخ</w:t>
      </w:r>
      <w:proofErr w:type="spellEnd"/>
      <w:r w:rsidRPr="00FC62C6">
        <w:rPr>
          <w:rFonts w:ascii="Sakkal Majalla" w:hAnsi="Sakkal Majalla" w:cs="Sakkal Majalla"/>
          <w:sz w:val="28"/>
          <w:szCs w:val="28"/>
          <w:rtl/>
        </w:rPr>
        <w:t xml:space="preserve"> (</w:t>
      </w:r>
      <w:r w:rsidRPr="00FC62C6">
        <w:rPr>
          <w:rFonts w:ascii="Sakkal Majalla" w:hAnsi="Sakkal Majalla" w:cs="Sakkal Majalla"/>
          <w:sz w:val="28"/>
          <w:szCs w:val="28"/>
        </w:rPr>
        <w:t>Cronbach's Alpha</w:t>
      </w:r>
      <w:r w:rsidRPr="00FC62C6">
        <w:rPr>
          <w:rFonts w:ascii="Sakkal Majalla" w:hAnsi="Sakkal Majalla" w:cs="Sakkal Majalla"/>
          <w:sz w:val="28"/>
          <w:szCs w:val="28"/>
          <w:rtl/>
        </w:rPr>
        <w:t>) لجميع أبعاد الاستبانة، والتأكد من أن قيم الثبات تتراوح ضمن المستويات المقبولة، أي أكثر من 0.70.</w:t>
      </w:r>
    </w:p>
    <w:p w14:paraId="4018CDD1"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 </w:t>
      </w:r>
      <w:r w:rsidRPr="003A00C3">
        <w:rPr>
          <w:rFonts w:ascii="Sakkal Majalla" w:hAnsi="Sakkal Majalla" w:cs="Sakkal Majalla"/>
          <w:b/>
          <w:bCs/>
          <w:sz w:val="28"/>
          <w:szCs w:val="28"/>
          <w:rtl/>
        </w:rPr>
        <w:t xml:space="preserve">الأساليب الإحصائية لتحليل النتائج </w:t>
      </w:r>
    </w:p>
    <w:p w14:paraId="764CA4C0" w14:textId="49019E58"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تعتمد هذه الدراسة على منهج تحليلي متقدم يجمع بين الأساليب الإحصائية الوصفية والاستنتاجية، تماشياً مع طبيعة الأهداف البحثية والفروض المعقدة التي يتم اختبارها. وقد تم انتقاء الأساليب الإحصائية بعناية دقيقة لضمان إجابة موثوقة وشديدة الدقة على أسئلة الدراسة، بما يحقق أعلى معايير الصرامة العلمية.</w:t>
      </w:r>
    </w:p>
    <w:p w14:paraId="59ED5F3A"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9.4.1 </w:t>
      </w:r>
      <w:r w:rsidRPr="003A00C3">
        <w:rPr>
          <w:rFonts w:ascii="Sakkal Majalla" w:hAnsi="Sakkal Majalla" w:cs="Sakkal Majalla"/>
          <w:b/>
          <w:bCs/>
          <w:sz w:val="28"/>
          <w:szCs w:val="28"/>
          <w:rtl/>
        </w:rPr>
        <w:t>الإحصاء الوصفي</w:t>
      </w:r>
      <w:r w:rsidRPr="003A00C3">
        <w:rPr>
          <w:rFonts w:ascii="Sakkal Majalla" w:hAnsi="Sakkal Majalla" w:cs="Sakkal Majalla"/>
          <w:b/>
          <w:bCs/>
          <w:sz w:val="28"/>
          <w:szCs w:val="28"/>
        </w:rPr>
        <w:t xml:space="preserve"> (Descriptive Statistics)</w:t>
      </w:r>
    </w:p>
    <w:p w14:paraId="75594126" w14:textId="6177E6AE"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في المرحلة الأولى من التحليل، سيتم استخدام برنامج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التحليلات الوصفية الأساسية. وتشمل هذه المرحلة حساب التوزيعات التكرارية والنسب المئوية لوصف الخصائص الديموغرافية للعينة، بما يتضمن متغيرات مثل الجنس والعمر والمؤهل التعليمي وسنوات الخبرة والمرتبة الوظيفية والقسم الطبي. كما سيتم حساب المتوسطات الحسابية والانحرافات المعيارية لجميع متغيرات الدراسة الرئيسية (القيادة التحويلية، ثقافة السلامة، سلوكيات السلامة، وتقليل الأحداث الضارة)، مما يوفر وصفًا شاملًا لمستويات إدراك العاملين لكل متغير على حدة.</w:t>
      </w:r>
    </w:p>
    <w:p w14:paraId="663A20AE" w14:textId="77777777" w:rsidR="003A00C3" w:rsidRPr="00FC62C6" w:rsidRDefault="003A00C3" w:rsidP="003A00C3">
      <w:pPr>
        <w:tabs>
          <w:tab w:val="num" w:pos="720"/>
        </w:tabs>
        <w:bidi/>
        <w:spacing w:line="360" w:lineRule="auto"/>
        <w:jc w:val="both"/>
        <w:rPr>
          <w:rFonts w:ascii="Sakkal Majalla" w:hAnsi="Sakkal Majalla" w:cs="Sakkal Majalla"/>
          <w:b/>
          <w:bCs/>
          <w:sz w:val="28"/>
          <w:szCs w:val="28"/>
          <w:rtl/>
        </w:rPr>
      </w:pPr>
      <w:r w:rsidRPr="003A00C3">
        <w:rPr>
          <w:rFonts w:ascii="Sakkal Majalla" w:hAnsi="Sakkal Majalla" w:cs="Sakkal Majalla"/>
          <w:b/>
          <w:bCs/>
          <w:sz w:val="28"/>
          <w:szCs w:val="28"/>
        </w:rPr>
        <w:t xml:space="preserve">9.4.2 </w:t>
      </w:r>
      <w:r w:rsidRPr="003A00C3">
        <w:rPr>
          <w:rFonts w:ascii="Sakkal Majalla" w:hAnsi="Sakkal Majalla" w:cs="Sakkal Majalla"/>
          <w:b/>
          <w:bCs/>
          <w:sz w:val="28"/>
          <w:szCs w:val="28"/>
          <w:rtl/>
        </w:rPr>
        <w:t>الإحصاء الاستدلالي واختبار الفروض</w:t>
      </w:r>
    </w:p>
    <w:p w14:paraId="7C25421E" w14:textId="1A6EB7FA"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الأداة الأساسية: نمذجة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w:t>
      </w:r>
    </w:p>
    <w:p w14:paraId="6F57435D" w14:textId="01C043D8" w:rsidR="00100E3E" w:rsidRPr="003A00C3" w:rsidRDefault="00100E3E" w:rsidP="00100E3E">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تم اختيار نموذج المعادلات الهيكلية (</w:t>
      </w:r>
      <w:r w:rsidRPr="00FC62C6">
        <w:rPr>
          <w:rFonts w:ascii="Sakkal Majalla" w:hAnsi="Sakkal Majalla" w:cs="Sakkal Majalla"/>
          <w:sz w:val="28"/>
          <w:szCs w:val="28"/>
        </w:rPr>
        <w:t>SEM</w:t>
      </w:r>
      <w:r w:rsidRPr="00FC62C6">
        <w:rPr>
          <w:rFonts w:ascii="Sakkal Majalla" w:hAnsi="Sakkal Majalla" w:cs="Sakkal Majalla"/>
          <w:sz w:val="28"/>
          <w:szCs w:val="28"/>
          <w:rtl/>
        </w:rPr>
        <w:t>) كأداة تحليلية موحدة وشاملة لاختبار جميع فرضيات الدراسة (</w:t>
      </w:r>
      <w:r w:rsidRPr="00FC62C6">
        <w:rPr>
          <w:rFonts w:ascii="Sakkal Majalla" w:hAnsi="Sakkal Majalla" w:cs="Sakkal Majalla"/>
          <w:sz w:val="28"/>
          <w:szCs w:val="28"/>
        </w:rPr>
        <w:t>H1-H5</w:t>
      </w:r>
      <w:r w:rsidRPr="00FC62C6">
        <w:rPr>
          <w:rFonts w:ascii="Sakkal Majalla" w:hAnsi="Sakkal Majalla" w:cs="Sakkal Majalla"/>
          <w:sz w:val="28"/>
          <w:szCs w:val="28"/>
          <w:rtl/>
        </w:rPr>
        <w:t>). ويعود هذا الاختيار إلى طبيعة النموذج المقترح الذي يتضمن علاقات معقدة ومتعددة المستويات تجمع بين التأثيرات المباشرة وغير المباشرة والمسارات المتسلسلة. وتظهر مميزات نمذجة المعادلات الهيكلية في قدرتها الفريدة على معالجة هذا التعقيد المنهجي بطريقة متكاملة، حيث توفر إطارًا موحدًا لاختبار جميع العلاقات السببية ضمن نموذج شامل واحد، بدلاً من الاعتماد على تحليلات متعددة منفصلة قد تؤدي إلى نتائج متضاربة أو غير موثوقة.</w:t>
      </w:r>
    </w:p>
    <w:p w14:paraId="3FA5CA32" w14:textId="1220ED9C" w:rsidR="003A00C3" w:rsidRPr="003A00C3" w:rsidRDefault="00100E3E"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2 و</w:t>
      </w:r>
      <w:r w:rsidRPr="00FC62C6">
        <w:rPr>
          <w:rFonts w:ascii="Sakkal Majalla" w:hAnsi="Sakkal Majalla" w:cs="Sakkal Majalla"/>
          <w:sz w:val="28"/>
          <w:szCs w:val="28"/>
        </w:rPr>
        <w:t>H3</w:t>
      </w:r>
      <w:r w:rsidRPr="00FC62C6">
        <w:rPr>
          <w:rFonts w:ascii="Sakkal Majalla" w:hAnsi="Sakkal Majalla" w:cs="Sakkal Majalla"/>
          <w:sz w:val="28"/>
          <w:szCs w:val="28"/>
          <w:rtl/>
        </w:rPr>
        <w:t>)، حيث يتم تقدير معاملات المسار (</w:t>
      </w:r>
      <w:r w:rsidRPr="00FC62C6">
        <w:rPr>
          <w:rFonts w:ascii="Sakkal Majalla" w:hAnsi="Sakkal Majalla" w:cs="Sakkal Majalla"/>
          <w:sz w:val="28"/>
          <w:szCs w:val="28"/>
        </w:rPr>
        <w:t>Path Coefficients</w:t>
      </w:r>
      <w:r w:rsidRPr="00FC62C6">
        <w:rPr>
          <w:rFonts w:ascii="Sakkal Majalla" w:hAnsi="Sakkal Majalla" w:cs="Sakkal Majalla"/>
          <w:sz w:val="28"/>
          <w:szCs w:val="28"/>
          <w:rtl/>
        </w:rPr>
        <w:t>) وقيم الإحصاء الاختباري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ومستويات الدلالة الإحصائية (</w:t>
      </w:r>
      <w:r w:rsidRPr="00FC62C6">
        <w:rPr>
          <w:rFonts w:ascii="Sakkal Majalla" w:hAnsi="Sakkal Majalla" w:cs="Sakkal Majalla"/>
          <w:sz w:val="28"/>
          <w:szCs w:val="28"/>
        </w:rPr>
        <w:t>p-values</w:t>
      </w:r>
      <w:r w:rsidRPr="00FC62C6">
        <w:rPr>
          <w:rFonts w:ascii="Sakkal Majalla" w:hAnsi="Sakkal Majalla" w:cs="Sakkal Majalla"/>
          <w:sz w:val="28"/>
          <w:szCs w:val="28"/>
          <w:rtl/>
        </w:rPr>
        <w:t>) لكل مسار مباشر. ثانيًا، ومن الأهمية بمكان، توفر قدرة فريدة على قياس التأثيرات غير المباشرة (</w:t>
      </w:r>
      <w:r w:rsidRPr="00FC62C6">
        <w:rPr>
          <w:rFonts w:ascii="Sakkal Majalla" w:hAnsi="Sakkal Majalla" w:cs="Sakkal Majalla"/>
          <w:sz w:val="28"/>
          <w:szCs w:val="28"/>
        </w:rPr>
        <w:t>Indirect Effects</w:t>
      </w:r>
      <w:r w:rsidRPr="00FC62C6">
        <w:rPr>
          <w:rFonts w:ascii="Sakkal Majalla" w:hAnsi="Sakkal Majalla" w:cs="Sakkal Majalla"/>
          <w:sz w:val="28"/>
          <w:szCs w:val="28"/>
          <w:rtl/>
        </w:rPr>
        <w:t>) والمتسلسلة (</w:t>
      </w:r>
      <w:r w:rsidRPr="00FC62C6">
        <w:rPr>
          <w:rFonts w:ascii="Sakkal Majalla" w:hAnsi="Sakkal Majalla" w:cs="Sakkal Majalla"/>
          <w:sz w:val="28"/>
          <w:szCs w:val="28"/>
        </w:rPr>
        <w:t>Sequential Effects</w:t>
      </w:r>
      <w:r w:rsidRPr="00FC62C6">
        <w:rPr>
          <w:rFonts w:ascii="Sakkal Majalla" w:hAnsi="Sakkal Majalla" w:cs="Sakkal Majalla"/>
          <w:sz w:val="28"/>
          <w:szCs w:val="28"/>
          <w:rtl/>
        </w:rPr>
        <w:t>)، مما يسهم في اختبار الفروض الوسيطة المعقدة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w:t>
      </w:r>
      <w:r w:rsidRPr="00FC62C6">
        <w:rPr>
          <w:rFonts w:ascii="Sakkal Majalla" w:hAnsi="Sakkal Majalla" w:cs="Sakkal Majalla"/>
          <w:sz w:val="28"/>
          <w:szCs w:val="28"/>
          <w:rtl/>
        </w:rPr>
        <w:t>5) بدقة عالية. ثالثًا، تقدم مؤشرات شاملة لجودة النموذج الكامل (</w:t>
      </w:r>
      <w:r w:rsidRPr="00FC62C6">
        <w:rPr>
          <w:rFonts w:ascii="Sakkal Majalla" w:hAnsi="Sakkal Majalla" w:cs="Sakkal Majalla"/>
          <w:sz w:val="28"/>
          <w:szCs w:val="28"/>
        </w:rPr>
        <w:t>Model Fit Indices</w:t>
      </w:r>
      <w:r w:rsidRPr="00FC62C6">
        <w:rPr>
          <w:rFonts w:ascii="Sakkal Majalla" w:hAnsi="Sakkal Majalla" w:cs="Sakkal Majalla"/>
          <w:sz w:val="28"/>
          <w:szCs w:val="28"/>
          <w:rtl/>
        </w:rPr>
        <w:t>)، مما يسمح بتقييم مدى ملاءمة النموذج المقترح للبيانات الحقيقية.</w:t>
      </w:r>
    </w:p>
    <w:p w14:paraId="564ABD8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مراحل التحليل</w:t>
      </w:r>
      <w:r w:rsidRPr="003A00C3">
        <w:rPr>
          <w:rFonts w:ascii="Sakkal Majalla" w:hAnsi="Sakkal Majalla" w:cs="Sakkal Majalla"/>
          <w:b/>
          <w:bCs/>
          <w:sz w:val="28"/>
          <w:szCs w:val="28"/>
        </w:rPr>
        <w:t>:</w:t>
      </w:r>
    </w:p>
    <w:p w14:paraId="0C55A3F6"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الأولى: نموذج القياس</w:t>
      </w:r>
      <w:r w:rsidRPr="003A00C3">
        <w:rPr>
          <w:rFonts w:ascii="Sakkal Majalla" w:hAnsi="Sakkal Majalla" w:cs="Sakkal Majalla"/>
          <w:b/>
          <w:bCs/>
          <w:sz w:val="28"/>
          <w:szCs w:val="28"/>
        </w:rPr>
        <w:t xml:space="preserve"> (Measurement Model)</w:t>
      </w:r>
    </w:p>
    <w:p w14:paraId="7D1EDAED" w14:textId="18CB5C63" w:rsidR="008812B3" w:rsidRPr="00FC62C6" w:rsidRDefault="00100E3E"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FC62C6">
        <w:rPr>
          <w:rFonts w:ascii="Sakkal Majalla" w:hAnsi="Sakkal Majalla" w:cs="Sakkal Majalla"/>
          <w:sz w:val="28"/>
          <w:szCs w:val="28"/>
        </w:rPr>
        <w:t>Confirmatory Factor Analysis - CFA</w:t>
      </w:r>
      <w:r w:rsidRPr="00FC62C6">
        <w:rPr>
          <w:rFonts w:ascii="Sakkal Majalla" w:hAnsi="Sakkal Majalla" w:cs="Sakkal Majalla"/>
          <w:sz w:val="28"/>
          <w:szCs w:val="28"/>
          <w:rtl/>
        </w:rPr>
        <w:t xml:space="preserve">) لاختبار مدى دقة العبارات المستخدمة في </w:t>
      </w:r>
      <w:proofErr w:type="gramStart"/>
      <w:r w:rsidRPr="00FC62C6">
        <w:rPr>
          <w:rFonts w:ascii="Sakkal Majalla" w:hAnsi="Sakkal Majalla" w:cs="Sakkal Majalla"/>
          <w:sz w:val="28"/>
          <w:szCs w:val="28"/>
          <w:rtl/>
        </w:rPr>
        <w:t>الاستبيان</w:t>
      </w:r>
      <w:proofErr w:type="gramEnd"/>
      <w:r w:rsidRPr="00FC62C6">
        <w:rPr>
          <w:rFonts w:ascii="Sakkal Majalla" w:hAnsi="Sakkal Majalla" w:cs="Sakkal Majalla"/>
          <w:sz w:val="28"/>
          <w:szCs w:val="28"/>
          <w:rtl/>
        </w:rPr>
        <w:t xml:space="preserve"> في قياس الأبعاد النظرية المقصودة لكل متغير. وتتضمن هذه المرحلة التحقق من: أولاً، الثبات التركيبي (</w:t>
      </w:r>
      <w:r w:rsidRPr="00FC62C6">
        <w:rPr>
          <w:rFonts w:ascii="Sakkal Majalla" w:hAnsi="Sakkal Majalla" w:cs="Sakkal Majalla"/>
          <w:sz w:val="28"/>
          <w:szCs w:val="28"/>
        </w:rPr>
        <w:t>Composite Reliability - CR</w:t>
      </w:r>
      <w:r w:rsidRPr="00FC62C6">
        <w:rPr>
          <w:rFonts w:ascii="Sakkal Majalla" w:hAnsi="Sakkal Majalla" w:cs="Sakkal Majalla"/>
          <w:sz w:val="28"/>
          <w:szCs w:val="28"/>
          <w:rtl/>
        </w:rPr>
        <w:t xml:space="preserve">)، بحيث يجب أن تكون قيم الثبات لجميع المتغيّرات أكبر من 0.70. </w:t>
      </w:r>
    </w:p>
    <w:p w14:paraId="19972C89" w14:textId="364DB4EC" w:rsidR="003A00C3" w:rsidRPr="003A00C3" w:rsidRDefault="00100E3E" w:rsidP="008812B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ثانياً، يُحقق الصدق </w:t>
      </w:r>
      <w:proofErr w:type="spellStart"/>
      <w:r w:rsidRPr="00FC62C6">
        <w:rPr>
          <w:rFonts w:ascii="Sakkal Majalla" w:hAnsi="Sakkal Majalla" w:cs="Sakkal Majalla"/>
          <w:sz w:val="28"/>
          <w:szCs w:val="28"/>
          <w:rtl/>
        </w:rPr>
        <w:t>التقاربي</w:t>
      </w:r>
      <w:proofErr w:type="spellEnd"/>
      <w:r w:rsidRPr="00FC62C6">
        <w:rPr>
          <w:rFonts w:ascii="Sakkal Majalla" w:hAnsi="Sakkal Majalla" w:cs="Sakkal Majalla"/>
          <w:sz w:val="28"/>
          <w:szCs w:val="28"/>
          <w:rtl/>
        </w:rPr>
        <w:t xml:space="preserve"> (</w:t>
      </w:r>
      <w:r w:rsidRPr="00FC62C6">
        <w:rPr>
          <w:rFonts w:ascii="Sakkal Majalla" w:hAnsi="Sakkal Majalla" w:cs="Sakkal Majalla"/>
          <w:sz w:val="28"/>
          <w:szCs w:val="28"/>
        </w:rPr>
        <w:t>Convergent Validity</w:t>
      </w:r>
      <w:r w:rsidRPr="00FC62C6">
        <w:rPr>
          <w:rFonts w:ascii="Sakkal Majalla" w:hAnsi="Sakkal Majalla" w:cs="Sakkal Majalla"/>
          <w:sz w:val="28"/>
          <w:szCs w:val="28"/>
          <w:rtl/>
        </w:rPr>
        <w:t>) من خلال متوسط التباين المستخرج (</w:t>
      </w:r>
      <w:r w:rsidRPr="00FC62C6">
        <w:rPr>
          <w:rFonts w:ascii="Sakkal Majalla" w:hAnsi="Sakkal Majalla" w:cs="Sakkal Majalla"/>
          <w:sz w:val="28"/>
          <w:szCs w:val="28"/>
        </w:rPr>
        <w:t>Average Variance Extracted - AVE</w:t>
      </w:r>
      <w:r w:rsidRPr="00FC62C6">
        <w:rPr>
          <w:rFonts w:ascii="Sakkal Majalla" w:hAnsi="Sakkal Majalla" w:cs="Sakkal Majalla"/>
          <w:sz w:val="28"/>
          <w:szCs w:val="28"/>
          <w:rtl/>
        </w:rPr>
        <w:t>)، حيث ينبغي أن تتجاوز قيمته الحد الأدنى البالغ 0.50. ثالثاً، يُحقق الصدق التمييزي (</w:t>
      </w:r>
      <w:r w:rsidRPr="00FC62C6">
        <w:rPr>
          <w:rFonts w:ascii="Sakkal Majalla" w:hAnsi="Sakkal Majalla" w:cs="Sakkal Majalla"/>
          <w:sz w:val="28"/>
          <w:szCs w:val="28"/>
        </w:rPr>
        <w:t>Discriminant Validity</w:t>
      </w:r>
      <w:r w:rsidRPr="00FC62C6">
        <w:rPr>
          <w:rFonts w:ascii="Sakkal Majalla" w:hAnsi="Sakkal Majalla" w:cs="Sakkal Majalla"/>
          <w:sz w:val="28"/>
          <w:szCs w:val="28"/>
          <w:rtl/>
        </w:rPr>
        <w:t xml:space="preserve">)، الذي يؤكد تميُّز كل متغير عن الآخر بفعالية، من خلال مقارنة الجذر التربيعي لقيمة </w:t>
      </w:r>
      <w:r w:rsidRPr="00FC62C6">
        <w:rPr>
          <w:rFonts w:ascii="Sakkal Majalla" w:hAnsi="Sakkal Majalla" w:cs="Sakkal Majalla"/>
          <w:sz w:val="28"/>
          <w:szCs w:val="28"/>
        </w:rPr>
        <w:t>AVE</w:t>
      </w:r>
      <w:r w:rsidRPr="00FC62C6">
        <w:rPr>
          <w:rFonts w:ascii="Sakkal Majalla" w:hAnsi="Sakkal Majalla" w:cs="Sakkal Majalla"/>
          <w:sz w:val="28"/>
          <w:szCs w:val="28"/>
          <w:rtl/>
        </w:rPr>
        <w:t xml:space="preserve"> مع الارتباطات بين المتغيرات.</w:t>
      </w:r>
    </w:p>
    <w:p w14:paraId="5794499A"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الثانية: النموذج الهيكلي</w:t>
      </w:r>
      <w:r w:rsidRPr="003A00C3">
        <w:rPr>
          <w:rFonts w:ascii="Sakkal Majalla" w:hAnsi="Sakkal Majalla" w:cs="Sakkal Majalla"/>
          <w:b/>
          <w:bCs/>
          <w:sz w:val="28"/>
          <w:szCs w:val="28"/>
        </w:rPr>
        <w:t xml:space="preserve"> (Structural Model)</w:t>
      </w:r>
    </w:p>
    <w:p w14:paraId="6897CA10" w14:textId="4F41F30A" w:rsidR="008812B3"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التأكد من صحة المقاييس، يُجرى اختبار العلاقات السببية بين المتغيرات. في هذه المرحلة، سيتم فحص الفرضيات الثلاث الأولى (</w:t>
      </w:r>
      <w:r w:rsidRPr="00FC62C6">
        <w:rPr>
          <w:rFonts w:ascii="Sakkal Majalla" w:hAnsi="Sakkal Majalla" w:cs="Sakkal Majalla"/>
          <w:sz w:val="28"/>
          <w:szCs w:val="28"/>
        </w:rPr>
        <w:t>H1</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H2</w:t>
      </w:r>
      <w:r w:rsidRPr="00FC62C6">
        <w:rPr>
          <w:rFonts w:ascii="Sakkal Majalla" w:hAnsi="Sakkal Majalla" w:cs="Sakkal Majalla"/>
          <w:sz w:val="28"/>
          <w:szCs w:val="28"/>
          <w:rtl/>
        </w:rPr>
        <w:t xml:space="preserve">، </w:t>
      </w:r>
      <w:r w:rsidRPr="00FC62C6">
        <w:rPr>
          <w:rFonts w:ascii="Sakkal Majalla" w:hAnsi="Sakkal Majalla" w:cs="Sakkal Majalla"/>
          <w:sz w:val="28"/>
          <w:szCs w:val="28"/>
        </w:rPr>
        <w:t>H3</w:t>
      </w:r>
      <w:r w:rsidRPr="00FC62C6">
        <w:rPr>
          <w:rFonts w:ascii="Sakkal Majalla" w:hAnsi="Sakkal Majalla" w:cs="Sakkal Majalla"/>
          <w:sz w:val="28"/>
          <w:szCs w:val="28"/>
          <w:rtl/>
        </w:rPr>
        <w:t>)، المتعلقة بالعلاقات المباشرة بين المتغيرات.</w:t>
      </w:r>
    </w:p>
    <w:p w14:paraId="1D3E9CF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H1</w:t>
      </w:r>
      <w:r w:rsidRPr="00FC62C6">
        <w:rPr>
          <w:rFonts w:ascii="Sakkal Majalla" w:hAnsi="Sakkal Majalla" w:cs="Sakkal Majalla"/>
          <w:sz w:val="28"/>
          <w:szCs w:val="28"/>
          <w:rtl/>
        </w:rPr>
        <w:t>: يوجد تأثير مباشر ذو دلالة إحصائية للقيادة التحويلية على ثقافة السلامة</w:t>
      </w:r>
    </w:p>
    <w:p w14:paraId="2D9045E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H2</w:t>
      </w:r>
      <w:r w:rsidRPr="00FC62C6">
        <w:rPr>
          <w:rFonts w:ascii="Sakkal Majalla" w:hAnsi="Sakkal Majalla" w:cs="Sakkal Majalla"/>
          <w:sz w:val="28"/>
          <w:szCs w:val="28"/>
          <w:rtl/>
        </w:rPr>
        <w:t>: يوجد تأثير مباشر ذو دلالة إحصائية لثقافة السلامة على سلوكيات السلامة</w:t>
      </w:r>
    </w:p>
    <w:p w14:paraId="64EBC4E5"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Pr>
        <w:t>H3</w:t>
      </w:r>
      <w:r w:rsidRPr="00FC62C6">
        <w:rPr>
          <w:rFonts w:ascii="Sakkal Majalla" w:hAnsi="Sakkal Majalla" w:cs="Sakkal Majalla"/>
          <w:sz w:val="28"/>
          <w:szCs w:val="28"/>
          <w:rtl/>
        </w:rPr>
        <w:t>: يوجد تأثير مباشر ذو دلالة إحصائية لسلوكيات السلامة على تقليل الأحداث الضارة</w:t>
      </w:r>
    </w:p>
    <w:p w14:paraId="7C625143" w14:textId="26925A51" w:rsidR="003A00C3" w:rsidRPr="003A00C3" w:rsidRDefault="00BE577C"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يُقيم معاملات المسار لكل علاقة مباشرة، ويتم فحص قيم الإحصاء الاختبارية (</w:t>
      </w:r>
      <w:r w:rsidRPr="00FC62C6">
        <w:rPr>
          <w:rFonts w:ascii="Sakkal Majalla" w:hAnsi="Sakkal Majalla" w:cs="Sakkal Majalla"/>
          <w:sz w:val="28"/>
          <w:szCs w:val="28"/>
        </w:rPr>
        <w:t>t-statistics</w:t>
      </w:r>
      <w:r w:rsidRPr="00FC62C6">
        <w:rPr>
          <w:rFonts w:ascii="Sakkal Majalla" w:hAnsi="Sakkal Majalla" w:cs="Sakkal Majalla"/>
          <w:sz w:val="28"/>
          <w:szCs w:val="28"/>
          <w:rtl/>
        </w:rPr>
        <w:t>) والدلالة الإحصائية للتأكد من أن كل معاملة مسار تمتلك دلالة إحصائية عند مستوى 0.05.</w:t>
      </w:r>
    </w:p>
    <w:p w14:paraId="62D47BD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lastRenderedPageBreak/>
        <w:t>المرحلة الثالثة: اختبار التأثيرات غير المباشرة والمسارات المتسلسلة</w:t>
      </w:r>
    </w:p>
    <w:p w14:paraId="1ABF68CC" w14:textId="469E6524" w:rsidR="00BE577C" w:rsidRPr="00FC62C6" w:rsidRDefault="00BE577C"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تمثل هذه المرحلة أعماق مستويات التحليل، حيث يتم اختبار الفروض الوسيطة (</w:t>
      </w:r>
      <w:r w:rsidRPr="00FC62C6">
        <w:rPr>
          <w:rFonts w:ascii="Sakkal Majalla" w:hAnsi="Sakkal Majalla" w:cs="Sakkal Majalla"/>
          <w:sz w:val="28"/>
          <w:szCs w:val="28"/>
        </w:rPr>
        <w:t>H4</w:t>
      </w:r>
      <w:r w:rsidRPr="00FC62C6">
        <w:rPr>
          <w:rFonts w:ascii="Sakkal Majalla" w:hAnsi="Sakkal Majalla" w:cs="Sakkal Majalla"/>
          <w:sz w:val="28"/>
          <w:szCs w:val="28"/>
          <w:rtl/>
        </w:rPr>
        <w:t xml:space="preserve"> و</w:t>
      </w:r>
      <w:r w:rsidRPr="00FC62C6">
        <w:rPr>
          <w:rFonts w:ascii="Sakkal Majalla" w:hAnsi="Sakkal Majalla" w:cs="Sakkal Majalla"/>
          <w:sz w:val="28"/>
          <w:szCs w:val="28"/>
        </w:rPr>
        <w:t>H5</w:t>
      </w:r>
      <w:r w:rsidRPr="00FC62C6">
        <w:rPr>
          <w:rFonts w:ascii="Sakkal Majalla" w:hAnsi="Sakkal Majalla" w:cs="Sakkal Majalla"/>
          <w:sz w:val="28"/>
          <w:szCs w:val="28"/>
          <w:rtl/>
        </w:rPr>
        <w:t>). وتختبر الفرضية الرابعة (</w:t>
      </w:r>
      <w:r w:rsidRPr="00FC62C6">
        <w:rPr>
          <w:rFonts w:ascii="Sakkal Majalla" w:hAnsi="Sakkal Majalla" w:cs="Sakkal Majalla"/>
          <w:sz w:val="28"/>
          <w:szCs w:val="28"/>
        </w:rPr>
        <w:t>H4</w:t>
      </w:r>
      <w:r w:rsidRPr="00FC62C6">
        <w:rPr>
          <w:rFonts w:ascii="Sakkal Majalla" w:hAnsi="Sakkal Majalla" w:cs="Sakkal Majalla"/>
          <w:sz w:val="28"/>
          <w:szCs w:val="28"/>
          <w:rtl/>
        </w:rPr>
        <w:t>) ما إذا كانت ثقافة السلامة تلعب دور الوسيط في العلاقة بين القيادة التحويلية وسلوكيات السلامة، في حين تقوم الفرضية الخامسة (</w:t>
      </w:r>
      <w:r w:rsidRPr="00FC62C6">
        <w:rPr>
          <w:rFonts w:ascii="Sakkal Majalla" w:hAnsi="Sakkal Majalla" w:cs="Sakkal Majalla"/>
          <w:sz w:val="28"/>
          <w:szCs w:val="28"/>
        </w:rPr>
        <w:t>H5</w:t>
      </w:r>
      <w:r w:rsidRPr="00FC62C6">
        <w:rPr>
          <w:rFonts w:ascii="Sakkal Majalla" w:hAnsi="Sakkal Majalla" w:cs="Sakkal Majalla"/>
          <w:sz w:val="28"/>
          <w:szCs w:val="28"/>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FC62C6">
        <w:rPr>
          <w:rFonts w:ascii="Sakkal Majalla" w:hAnsi="Sakkal Majalla" w:cs="Sakkal Majalla"/>
          <w:sz w:val="28"/>
          <w:szCs w:val="28"/>
        </w:rPr>
        <w:t>Bootstrapping</w:t>
      </w:r>
      <w:r w:rsidRPr="00FC62C6">
        <w:rPr>
          <w:rFonts w:ascii="Sakkal Majalla" w:hAnsi="Sakkal Majalla" w:cs="Sakkal Majalla"/>
          <w:sz w:val="28"/>
          <w:szCs w:val="28"/>
          <w:rtl/>
        </w:rPr>
        <w:t>).</w:t>
      </w:r>
    </w:p>
    <w:p w14:paraId="404A9BC7" w14:textId="3E484DBA" w:rsidR="003A00C3" w:rsidRPr="003A00C3" w:rsidRDefault="00BE577C" w:rsidP="00BE577C">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FC62C6">
        <w:rPr>
          <w:rFonts w:ascii="Sakkal Majalla" w:hAnsi="Sakkal Majalla" w:cs="Sakkal Majalla"/>
          <w:sz w:val="28"/>
          <w:szCs w:val="28"/>
        </w:rPr>
        <w:t>Resamples</w:t>
      </w:r>
      <w:r w:rsidRPr="00FC62C6">
        <w:rPr>
          <w:rFonts w:ascii="Sakkal Majalla" w:hAnsi="Sakkal Majalla" w:cs="Sakkal Majalla"/>
          <w:sz w:val="28"/>
          <w:szCs w:val="28"/>
          <w:rtl/>
        </w:rPr>
        <w:t>) لتقدير التأثيرات غير المباشرة، مما يضمن توزيعات احتمالية قوية وموثوقة. كما سيتم حساب فترات الثقة (</w:t>
      </w:r>
      <w:r w:rsidRPr="00FC62C6">
        <w:rPr>
          <w:rFonts w:ascii="Sakkal Majalla" w:hAnsi="Sakkal Majalla" w:cs="Sakkal Majalla"/>
          <w:sz w:val="28"/>
          <w:szCs w:val="28"/>
        </w:rPr>
        <w:t>Confidence Intervals</w:t>
      </w:r>
      <w:r w:rsidRPr="00FC62C6">
        <w:rPr>
          <w:rFonts w:ascii="Sakkal Majalla" w:hAnsi="Sakkal Majalla" w:cs="Sakkal Majalla"/>
          <w:sz w:val="28"/>
          <w:szCs w:val="28"/>
          <w:rtl/>
        </w:rPr>
        <w:t>) بنسبة 95%، حيث إن عدم احتواء فترة الثقة على الصفر يدل على وجود تأثير غير مباشر ذو دلالة إحصائية.</w:t>
      </w:r>
    </w:p>
    <w:p w14:paraId="094704E0"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tl/>
        </w:rPr>
        <w:t>المرحلة الرابعة: تقييم جودة النموذج الكلي</w:t>
      </w:r>
    </w:p>
    <w:p w14:paraId="6E6337B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بعد إتمام اختبار جميع الفروض، يتم تقييم جودة النموذج الكلي من خلال مجموعة شاملة من مؤشرات التوفيق، وهي كما يلي:</w:t>
      </w:r>
    </w:p>
    <w:p w14:paraId="0CF84A67"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حسن المطابقة (</w:t>
      </w:r>
      <w:r w:rsidRPr="00FC62C6">
        <w:rPr>
          <w:rFonts w:ascii="Sakkal Majalla" w:hAnsi="Sakkal Majalla" w:cs="Sakkal Majalla"/>
          <w:sz w:val="28"/>
          <w:szCs w:val="28"/>
        </w:rPr>
        <w:t>GFI</w:t>
      </w:r>
      <w:r w:rsidRPr="00FC62C6">
        <w:rPr>
          <w:rFonts w:ascii="Sakkal Majalla" w:hAnsi="Sakkal Majalla" w:cs="Sakkal Majalla"/>
          <w:sz w:val="28"/>
          <w:szCs w:val="28"/>
          <w:rtl/>
        </w:rPr>
        <w:t>): ينبغي أن تكون القيمة أكبر من 0.90.</w:t>
      </w:r>
    </w:p>
    <w:p w14:paraId="5460DE5D"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المقارنة (</w:t>
      </w:r>
      <w:r w:rsidRPr="00FC62C6">
        <w:rPr>
          <w:rFonts w:ascii="Sakkal Majalla" w:hAnsi="Sakkal Majalla" w:cs="Sakkal Majalla"/>
          <w:sz w:val="28"/>
          <w:szCs w:val="28"/>
        </w:rPr>
        <w:t>CFI</w:t>
      </w:r>
      <w:r w:rsidRPr="00FC62C6">
        <w:rPr>
          <w:rFonts w:ascii="Sakkal Majalla" w:hAnsi="Sakkal Majalla" w:cs="Sakkal Majalla"/>
          <w:sz w:val="28"/>
          <w:szCs w:val="28"/>
          <w:rtl/>
        </w:rPr>
        <w:t>): ينبغي أن تكون القيمة أكبر من 0.95.</w:t>
      </w:r>
    </w:p>
    <w:p w14:paraId="7F3AA540"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مؤشر توكر-لويس (</w:t>
      </w:r>
      <w:r w:rsidRPr="00FC62C6">
        <w:rPr>
          <w:rFonts w:ascii="Sakkal Majalla" w:hAnsi="Sakkal Majalla" w:cs="Sakkal Majalla"/>
          <w:sz w:val="28"/>
          <w:szCs w:val="28"/>
        </w:rPr>
        <w:t>TLI</w:t>
      </w:r>
      <w:r w:rsidRPr="00FC62C6">
        <w:rPr>
          <w:rFonts w:ascii="Sakkal Majalla" w:hAnsi="Sakkal Majalla" w:cs="Sakkal Majalla"/>
          <w:sz w:val="28"/>
          <w:szCs w:val="28"/>
          <w:rtl/>
        </w:rPr>
        <w:t>): ينبغي أن تكون القيمة أكبر من 0.95.</w:t>
      </w:r>
    </w:p>
    <w:p w14:paraId="7EEB002B" w14:textId="777F56C4" w:rsidR="008812B3" w:rsidRPr="00FC62C6" w:rsidRDefault="008812B3" w:rsidP="008812B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جذر متوسط مربعات الخطأ (</w:t>
      </w:r>
      <w:r w:rsidRPr="00FC62C6">
        <w:rPr>
          <w:rFonts w:ascii="Sakkal Majalla" w:hAnsi="Sakkal Majalla" w:cs="Sakkal Majalla"/>
          <w:sz w:val="28"/>
          <w:szCs w:val="28"/>
        </w:rPr>
        <w:t>RMSEA</w:t>
      </w:r>
      <w:r w:rsidRPr="00FC62C6">
        <w:rPr>
          <w:rFonts w:ascii="Sakkal Majalla" w:hAnsi="Sakkal Majalla" w:cs="Sakkal Majalla"/>
          <w:sz w:val="28"/>
          <w:szCs w:val="28"/>
          <w:rtl/>
        </w:rPr>
        <w:t>): ينبغي أن تكون القيمة أقل من 0.08.</w:t>
      </w:r>
    </w:p>
    <w:p w14:paraId="76638167" w14:textId="77777777" w:rsidR="008812B3" w:rsidRPr="00FC62C6" w:rsidRDefault="008812B3" w:rsidP="003A00C3">
      <w:pPr>
        <w:tabs>
          <w:tab w:val="num" w:pos="720"/>
        </w:tabs>
        <w:bidi/>
        <w:spacing w:line="360" w:lineRule="auto"/>
        <w:jc w:val="both"/>
        <w:rPr>
          <w:rFonts w:ascii="Sakkal Majalla" w:hAnsi="Sakkal Majalla" w:cs="Sakkal Majalla"/>
          <w:b/>
          <w:bCs/>
          <w:sz w:val="28"/>
          <w:szCs w:val="28"/>
          <w:rtl/>
        </w:rPr>
      </w:pPr>
      <w:r w:rsidRPr="00FC62C6">
        <w:rPr>
          <w:rFonts w:ascii="Sakkal Majalla" w:hAnsi="Sakkal Majalla" w:cs="Sakkal Majalla"/>
          <w:b/>
          <w:bCs/>
          <w:sz w:val="28"/>
          <w:szCs w:val="28"/>
          <w:rtl/>
        </w:rPr>
        <w:t>9.4.3 البرامج والأدوات المستخدمة</w:t>
      </w:r>
    </w:p>
    <w:p w14:paraId="7F05BD7A"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سيتم الاعتماد على برامج موثوقة ومعترف بها دولياً، ومنها:</w:t>
      </w:r>
    </w:p>
    <w:p w14:paraId="15581215" w14:textId="61666D19"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IBM SPSS</w:t>
      </w:r>
      <w:r w:rsidRPr="00FC62C6">
        <w:rPr>
          <w:rFonts w:ascii="Sakkal Majalla" w:hAnsi="Sakkal Majalla" w:cs="Sakkal Majalla"/>
          <w:sz w:val="28"/>
          <w:szCs w:val="28"/>
          <w:rtl/>
        </w:rPr>
        <w:t xml:space="preserve"> (الإصدار 28 أو أحدث): لإجراء التحاليل الوصفية والإحصائية الأساسية.</w:t>
      </w:r>
    </w:p>
    <w:p w14:paraId="0072E93C" w14:textId="77777777" w:rsidR="008812B3" w:rsidRPr="00FC62C6" w:rsidRDefault="008812B3" w:rsidP="003A00C3">
      <w:pPr>
        <w:tabs>
          <w:tab w:val="num" w:pos="720"/>
        </w:tabs>
        <w:bidi/>
        <w:spacing w:line="360" w:lineRule="auto"/>
        <w:jc w:val="both"/>
        <w:rPr>
          <w:rFonts w:ascii="Sakkal Majalla" w:hAnsi="Sakkal Majalla" w:cs="Sakkal Majalla"/>
          <w:sz w:val="28"/>
          <w:szCs w:val="28"/>
          <w:rtl/>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AMOS Graphics</w:t>
      </w:r>
      <w:r w:rsidRPr="00FC62C6">
        <w:rPr>
          <w:rFonts w:ascii="Sakkal Majalla" w:hAnsi="Sakkal Majalla" w:cs="Sakkal Majalla"/>
          <w:sz w:val="28"/>
          <w:szCs w:val="28"/>
          <w:rtl/>
        </w:rPr>
        <w:t>: لنمذجة المعادلات الهيكلية، ويتميز بواجهة رسومية وقدرات حسابية متقدمة.</w:t>
      </w:r>
    </w:p>
    <w:p w14:paraId="4676FA15" w14:textId="2F7164A4" w:rsidR="003A00C3" w:rsidRPr="003A00C3" w:rsidRDefault="008812B3" w:rsidP="003A00C3">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t xml:space="preserve">- </w:t>
      </w:r>
      <w:r w:rsidRPr="00FC62C6">
        <w:rPr>
          <w:rFonts w:ascii="Sakkal Majalla" w:hAnsi="Sakkal Majalla" w:cs="Sakkal Majalla"/>
          <w:sz w:val="28"/>
          <w:szCs w:val="28"/>
        </w:rPr>
        <w:t>Smart PLS</w:t>
      </w:r>
      <w:r w:rsidRPr="00FC62C6">
        <w:rPr>
          <w:rFonts w:ascii="Sakkal Majalla" w:hAnsi="Sakkal Majalla" w:cs="Sakkal Majalla"/>
          <w:sz w:val="28"/>
          <w:szCs w:val="28"/>
          <w:rtl/>
        </w:rPr>
        <w:t xml:space="preserve"> (اختياري كبديل): يوفر مرونة إضافية عند العمل مع عينات صغيرة وبيانات غير طبيعية.</w:t>
      </w:r>
    </w:p>
    <w:p w14:paraId="5D64C494" w14:textId="77777777" w:rsidR="003A00C3" w:rsidRPr="003A00C3" w:rsidRDefault="003A00C3" w:rsidP="003A00C3">
      <w:pPr>
        <w:tabs>
          <w:tab w:val="num" w:pos="720"/>
        </w:tabs>
        <w:bidi/>
        <w:spacing w:line="360" w:lineRule="auto"/>
        <w:jc w:val="both"/>
        <w:rPr>
          <w:rFonts w:ascii="Sakkal Majalla" w:hAnsi="Sakkal Majalla" w:cs="Sakkal Majalla"/>
          <w:b/>
          <w:bCs/>
          <w:sz w:val="28"/>
          <w:szCs w:val="28"/>
        </w:rPr>
      </w:pPr>
      <w:r w:rsidRPr="003A00C3">
        <w:rPr>
          <w:rFonts w:ascii="Sakkal Majalla" w:hAnsi="Sakkal Majalla" w:cs="Sakkal Majalla"/>
          <w:b/>
          <w:bCs/>
          <w:sz w:val="28"/>
          <w:szCs w:val="28"/>
        </w:rPr>
        <w:t xml:space="preserve">9.4.4 </w:t>
      </w:r>
      <w:r w:rsidRPr="003A00C3">
        <w:rPr>
          <w:rFonts w:ascii="Sakkal Majalla" w:hAnsi="Sakkal Majalla" w:cs="Sakkal Majalla"/>
          <w:b/>
          <w:bCs/>
          <w:sz w:val="28"/>
          <w:szCs w:val="28"/>
          <w:rtl/>
        </w:rPr>
        <w:t>معايير الحكم على النتائج تُقبل الفروض إذا توفرت المعايير التالية</w:t>
      </w:r>
      <w:r w:rsidRPr="003A00C3">
        <w:rPr>
          <w:rFonts w:ascii="Sakkal Majalla" w:hAnsi="Sakkal Majalla" w:cs="Sakkal Majalla"/>
          <w:b/>
          <w:bCs/>
          <w:sz w:val="28"/>
          <w:szCs w:val="28"/>
        </w:rPr>
        <w:t>:</w:t>
      </w:r>
    </w:p>
    <w:p w14:paraId="7F9C2A80" w14:textId="1EE86EB4" w:rsidR="00FC62C6" w:rsidRPr="00FC62C6" w:rsidRDefault="008812B3" w:rsidP="00A572F9">
      <w:pPr>
        <w:tabs>
          <w:tab w:val="num" w:pos="720"/>
        </w:tabs>
        <w:bidi/>
        <w:spacing w:line="360" w:lineRule="auto"/>
        <w:jc w:val="both"/>
        <w:rPr>
          <w:rFonts w:ascii="Sakkal Majalla" w:hAnsi="Sakkal Majalla" w:cs="Sakkal Majalla"/>
          <w:sz w:val="28"/>
          <w:szCs w:val="28"/>
        </w:rPr>
      </w:pPr>
      <w:r w:rsidRPr="00FC62C6">
        <w:rPr>
          <w:rFonts w:ascii="Sakkal Majalla" w:hAnsi="Sakkal Majalla" w:cs="Sakkal Majalla"/>
          <w:sz w:val="28"/>
          <w:szCs w:val="28"/>
          <w:rtl/>
        </w:rPr>
        <w:lastRenderedPageBreak/>
        <w:t xml:space="preserve">الدلالة الإحصائية: </w:t>
      </w:r>
      <w:r w:rsidRPr="00FC62C6">
        <w:rPr>
          <w:rFonts w:ascii="Sakkal Majalla" w:hAnsi="Sakkal Majalla" w:cs="Sakkal Majalla"/>
          <w:sz w:val="28"/>
          <w:szCs w:val="28"/>
        </w:rPr>
        <w:t>p &lt; 0.05</w:t>
      </w:r>
      <w:r w:rsidRPr="00FC62C6">
        <w:rPr>
          <w:rFonts w:ascii="Sakkal Majalla" w:hAnsi="Sakkal Majalla" w:cs="Sakkal Majalla"/>
          <w:sz w:val="28"/>
          <w:szCs w:val="28"/>
          <w:rtl/>
        </w:rPr>
        <w:t xml:space="preserve"> (أو أقل من 0.01 للدقة الأعلى). حجم التأثير: معاملات المسار يُفضل أن تكون أكبر من 0.10. فترات الثقة: بالنسبة للتأثيرات غير المباشرة، يجب ألا تتضمن الصفر. جودة النموذج: ينبغي استيفاء جميع مؤشرات التوفيق المذكورة أعلاه.</w:t>
      </w:r>
    </w:p>
    <w:p w14:paraId="5EADE2E9" w14:textId="642AD364" w:rsidR="000B0FA3" w:rsidRPr="00FC62C6" w:rsidRDefault="008B1883" w:rsidP="000B0FA3">
      <w:pPr>
        <w:bidi/>
        <w:spacing w:line="360" w:lineRule="auto"/>
        <w:rPr>
          <w:rFonts w:ascii="Sakkal Majalla" w:hAnsi="Sakkal Majalla" w:cs="Sakkal Majalla"/>
          <w:b/>
          <w:bCs/>
          <w:sz w:val="28"/>
          <w:szCs w:val="28"/>
        </w:rPr>
      </w:pPr>
      <w:r w:rsidRPr="00FC62C6">
        <w:rPr>
          <w:rFonts w:ascii="Sakkal Majalla" w:hAnsi="Sakkal Majalla" w:cs="Sakkal Majalla"/>
          <w:b/>
          <w:bCs/>
          <w:sz w:val="28"/>
          <w:szCs w:val="28"/>
          <w:rtl/>
        </w:rPr>
        <w:t>10.</w:t>
      </w:r>
      <w:r w:rsidR="001C72AD" w:rsidRPr="00FC62C6">
        <w:rPr>
          <w:rFonts w:ascii="Sakkal Majalla" w:hAnsi="Sakkal Majalla" w:cs="Sakkal Majalla"/>
          <w:b/>
          <w:bCs/>
          <w:sz w:val="28"/>
          <w:szCs w:val="28"/>
          <w:rtl/>
        </w:rPr>
        <w:t xml:space="preserve">الموذج المفاهيمي للدراسة </w:t>
      </w:r>
    </w:p>
    <w:p w14:paraId="4F1D35C5" w14:textId="1E74FA03" w:rsidR="00390B53" w:rsidRDefault="00022214" w:rsidP="00702784">
      <w:pPr>
        <w:bidi/>
        <w:spacing w:line="360" w:lineRule="auto"/>
        <w:rPr>
          <w:rFonts w:ascii="Sakkal Majalla" w:hAnsi="Sakkal Majalla" w:cs="Sakkal Majalla"/>
          <w:b/>
          <w:bCs/>
          <w:sz w:val="28"/>
          <w:szCs w:val="28"/>
          <w:rtl/>
        </w:rPr>
      </w:pPr>
      <w:r w:rsidRPr="00FC62C6">
        <w:rPr>
          <w:rFonts w:ascii="Sakkal Majalla" w:hAnsi="Sakkal Majalla" w:cs="Sakkal Majalla"/>
          <w:noProof/>
          <w:sz w:val="28"/>
          <w:szCs w:val="28"/>
        </w:rPr>
        <w:lastRenderedPageBreak/>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FC62C6">
        <w:rPr>
          <w:rFonts w:ascii="Sakkal Majalla" w:hAnsi="Sakkal Majalla" w:cs="Sakkal Majalla"/>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sidRPr="00FC62C6">
        <w:rPr>
          <w:rFonts w:ascii="Sakkal Majalla" w:hAnsi="Sakkal Majalla" w:cs="Sakkal Majalla"/>
          <w:sz w:val="28"/>
          <w:szCs w:val="28"/>
          <w:rtl/>
        </w:rPr>
        <w:t>ت ا</w:t>
      </w:r>
      <w:r w:rsidR="001C72AD" w:rsidRPr="00FC62C6">
        <w:rPr>
          <w:rFonts w:ascii="Sakkal Majalla" w:hAnsi="Sakkal Majalla" w:cs="Sakkal Majalla"/>
          <w:sz w:val="28"/>
          <w:szCs w:val="28"/>
          <w:rtl/>
        </w:rPr>
        <w:t>لهيكلية (</w:t>
      </w:r>
      <w:r w:rsidR="001C72AD" w:rsidRPr="00FC62C6">
        <w:rPr>
          <w:rFonts w:ascii="Sakkal Majalla" w:hAnsi="Sakkal Majalla" w:cs="Sakkal Majalla"/>
          <w:sz w:val="28"/>
          <w:szCs w:val="28"/>
        </w:rPr>
        <w:t>SEM</w:t>
      </w:r>
      <w:r w:rsidR="001C72AD" w:rsidRPr="00FC62C6">
        <w:rPr>
          <w:rFonts w:ascii="Sakkal Majalla" w:hAnsi="Sakkal Majalla" w:cs="Sakkal Majalla"/>
          <w:sz w:val="28"/>
          <w:szCs w:val="28"/>
          <w:rtl/>
        </w:rPr>
        <w:t>).</w:t>
      </w:r>
    </w:p>
    <w:p w14:paraId="7C4624C7" w14:textId="7DBF9E3A" w:rsidR="0021013A" w:rsidRPr="0021013A" w:rsidRDefault="00D962B3"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tl/>
        </w:rPr>
        <w:lastRenderedPageBreak/>
        <w:t>الفصل الثاني: الإطار النظري والدراسات السابقة</w:t>
      </w:r>
    </w:p>
    <w:p w14:paraId="29FDD078"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 </w:t>
      </w:r>
      <w:r w:rsidRPr="0021013A">
        <w:rPr>
          <w:rFonts w:ascii="Simplified Arabic" w:hAnsi="Simplified Arabic" w:cs="Simplified Arabic"/>
          <w:b/>
          <w:bCs/>
          <w:noProof/>
          <w:sz w:val="24"/>
          <w:szCs w:val="24"/>
          <w:rtl/>
        </w:rPr>
        <w:t>الإطار النظري للدراسة</w:t>
      </w:r>
    </w:p>
    <w:p w14:paraId="09334DE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2.1.1 </w:t>
      </w:r>
      <w:r w:rsidRPr="0021013A">
        <w:rPr>
          <w:rFonts w:ascii="Simplified Arabic" w:hAnsi="Simplified Arabic" w:cs="Simplified Arabic"/>
          <w:b/>
          <w:bCs/>
          <w:noProof/>
          <w:sz w:val="24"/>
          <w:szCs w:val="24"/>
          <w:rtl/>
        </w:rPr>
        <w:t>نظرية القيادة التحويلية</w:t>
      </w:r>
    </w:p>
    <w:p w14:paraId="10408D9C" w14:textId="63F6A676" w:rsidR="0021013A" w:rsidRPr="0021013A" w:rsidRDefault="0021013A" w:rsidP="0021013A">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تعتمد هذه الدراسة في شرح المتغير المستقل على نظرية القيادة التحويلية، التي تؤكد أن القائد لا يقتصر على إدارة المهام الروتينية، بل يمتد دوره إلى إلهام الأتباع وزيادة التزامهم التنظيمي عبر تأثيرات قيمي ورمزية، وتعزيز الدافعية الداخلية، وتشجيع التفكير الإبداعي، وتقديم دعم فردي مخصص. يتجلى ذلك في أربعة أبعاد رئيسية: التأثير المثالي، الحافزية الإلهامية، الاستثارة الفكرية، والاعتبار الفردي. وأظهرت دراسات متعددة في المجال الصحي أن اعتماد هذا النوع من القيادة يرتبط ببيئة عمل أفضل، وزيادة رضا الموظفين، وتعزيز التزامهم بمبادئ الجودة وسلامة المرضى.</w:t>
      </w:r>
    </w:p>
    <w:p w14:paraId="1785425C"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2.1.2 </w:t>
      </w:r>
      <w:r w:rsidRPr="0021013A">
        <w:rPr>
          <w:rFonts w:ascii="Simplified Arabic" w:hAnsi="Simplified Arabic" w:cs="Simplified Arabic"/>
          <w:b/>
          <w:bCs/>
          <w:noProof/>
          <w:sz w:val="24"/>
          <w:szCs w:val="24"/>
          <w:rtl/>
        </w:rPr>
        <w:t>إطار ثقافة سلامة المرضى</w:t>
      </w:r>
    </w:p>
    <w:p w14:paraId="6E4F8F19" w14:textId="32F88A3A" w:rsidR="0021013A" w:rsidRPr="0021013A" w:rsidRDefault="0021013A"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تُعبر ثقافة سلامة المرضى عن مجموعة من القيم والمعتقدات والمواقف والسلوكيات المشتركة التي تجعل السلامة أولوية في جميع مستويات المنظمة الصحية. يتجلى هذا الإطار من خلال عناصر مثل دعم الإدارة العليا للسلامة، العدالة في التعامل مع الأخطاء، التواصل المفتوح، التعلم من الحوادث، العمل الجماعي داخل الوحدات وبينها، وتوفر الموارد الضرورية لتنفيذ ممارسات آمنة. تشير الأدبيات إلى أن المؤسسات التي تتمتع بثقافة سلامة قوية تسجل معدلات أقل من الأخطاء والأحداث الضارة، مع ارتفاع في مستوى الإبلاغ عن الحوادث والاستجابة لأنظمة الإنذار المبكر.</w:t>
      </w:r>
    </w:p>
    <w:p w14:paraId="7D319D73"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2.1.3 </w:t>
      </w:r>
      <w:r w:rsidRPr="0021013A">
        <w:rPr>
          <w:rFonts w:ascii="Simplified Arabic" w:hAnsi="Simplified Arabic" w:cs="Simplified Arabic"/>
          <w:b/>
          <w:bCs/>
          <w:noProof/>
          <w:sz w:val="24"/>
          <w:szCs w:val="24"/>
          <w:rtl/>
        </w:rPr>
        <w:t>الإطار النظري المتكامل لمسار</w:t>
      </w:r>
      <w:r w:rsidRPr="0021013A">
        <w:rPr>
          <w:rFonts w:ascii="Simplified Arabic" w:hAnsi="Simplified Arabic" w:cs="Simplified Arabic"/>
          <w:b/>
          <w:bCs/>
          <w:noProof/>
          <w:sz w:val="24"/>
          <w:szCs w:val="24"/>
        </w:rPr>
        <w:t xml:space="preserve"> TL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SC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SB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AE</w:t>
      </w:r>
    </w:p>
    <w:p w14:paraId="037C4F89" w14:textId="21BB2BDA" w:rsidR="0021013A" w:rsidRPr="0021013A" w:rsidRDefault="0021013A" w:rsidP="0021013A">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تدمج الدراسة بين نظرية القيادة التحويلية وإطار ثقافة سلامة المرضى في نموذج واحد يوضح كيف تؤثر القيادة بشكل غير مباشر ومتسلسل على نتائج سلامة المرضى. يفترض أن ممارسة المديرين في المستشفيات الحكومية لنمط القيادة التحويلية تساهم أولاً في تشكيل ثقافة سلامة إيجابية عبر توجيه رؤية واضحة للسلامة، وتمكين العاملين، وتعزيز التواصل المفتوح حول الأخطاء والحوادث. ثم تتجلى هذه الثقافة في سلوكيات سلامة يومية يمارسها العاملون، مثل الالتزام بالبروتوكولات، والإبلاغ عن الحوادث والأخطاء شبه المميتة، والمشاركة في أنشطة التحسين. وأخيرًا، تسهم هذه السلوكيات في تقليل معدلات الأحداث الضارة التي يمكن تجنبها، مثل الأخطاء الدوائية، والعدوى المكتسبة في المستشفيات، والحوادث المرتبطة بالإجراءات. يربط الإطار النظري العلاقات بين المتغيرات عبر مسار سببي متسلسل من القيادة التحويلية (</w:t>
      </w:r>
      <w:r>
        <w:rPr>
          <w:rFonts w:ascii="Simplified Arabic" w:hAnsi="Simplified Arabic" w:cs="Simplified Arabic"/>
          <w:noProof/>
          <w:sz w:val="24"/>
          <w:szCs w:val="24"/>
        </w:rPr>
        <w:t>TL</w:t>
      </w:r>
      <w:r>
        <w:rPr>
          <w:rFonts w:ascii="Simplified Arabic" w:hAnsi="Simplified Arabic" w:cs="Simplified Arabic"/>
          <w:noProof/>
          <w:sz w:val="24"/>
          <w:szCs w:val="24"/>
          <w:rtl/>
        </w:rPr>
        <w:t>) إلى 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والأحداث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مع التركيز على التأثيرات غير المباشرة والكلية للقيادة على المستويين الثقافي والسلوكي.</w:t>
      </w:r>
    </w:p>
    <w:p w14:paraId="5303F07E"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lastRenderedPageBreak/>
        <w:t xml:space="preserve">2.2 </w:t>
      </w:r>
      <w:r w:rsidRPr="0021013A">
        <w:rPr>
          <w:rFonts w:ascii="Simplified Arabic" w:hAnsi="Simplified Arabic" w:cs="Simplified Arabic"/>
          <w:b/>
          <w:bCs/>
          <w:noProof/>
          <w:sz w:val="24"/>
          <w:szCs w:val="24"/>
          <w:rtl/>
        </w:rPr>
        <w:t>منهج مراجعة الأدبيات</w:t>
      </w:r>
    </w:p>
    <w:p w14:paraId="77AF0B9B" w14:textId="77777777" w:rsidR="0021013A" w:rsidRDefault="0021013A" w:rsidP="0021013A">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 xml:space="preserve">تم إجراء مراجعة أدبية تكاملية بهدف تحليل وتوليف الدراسات الكمية المتعلقة بعلاقة القيادة التحويلية بثقافة السلامة وسلوكيات السلامة والأحداث الضارة في المجال الصحي. تم البحث في قواعد بيانات عالمية مثل </w:t>
      </w:r>
      <w:r>
        <w:rPr>
          <w:rFonts w:ascii="Simplified Arabic" w:hAnsi="Simplified Arabic" w:cs="Simplified Arabic"/>
          <w:noProof/>
          <w:sz w:val="24"/>
          <w:szCs w:val="24"/>
        </w:rPr>
        <w:t>Web of Science</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Scopus</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PubMed</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Google Scholar</w:t>
      </w:r>
      <w:r>
        <w:rPr>
          <w:rFonts w:ascii="Simplified Arabic" w:hAnsi="Simplified Arabic" w:cs="Simplified Arabic"/>
          <w:noProof/>
          <w:sz w:val="24"/>
          <w:szCs w:val="24"/>
          <w:rtl/>
        </w:rPr>
        <w:t xml:space="preserve"> خلال الفترة من 2010 إلى 2025، باستخدام كلمات مفتاحية باللغتين العربية والإنجليزية، مثل: </w:t>
      </w:r>
      <w:r>
        <w:rPr>
          <w:rFonts w:ascii="Simplified Arabic" w:hAnsi="Simplified Arabic" w:cs="Simplified Arabic"/>
          <w:noProof/>
          <w:sz w:val="24"/>
          <w:szCs w:val="24"/>
        </w:rPr>
        <w:t>Transformational Leadership</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Patient Safety Culture</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Safety Behaviors</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Adverse Events</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Saudi Hospitals</w:t>
      </w:r>
      <w:r>
        <w:rPr>
          <w:rFonts w:ascii="Simplified Arabic" w:hAnsi="Simplified Arabic" w:cs="Simplified Arabic"/>
          <w:noProof/>
          <w:sz w:val="24"/>
          <w:szCs w:val="24"/>
          <w:rtl/>
        </w:rPr>
        <w:t>، إلى جانب المرادفات العربية.</w:t>
      </w:r>
    </w:p>
    <w:p w14:paraId="5310880F" w14:textId="5FEF3AC9" w:rsidR="0021013A" w:rsidRPr="0021013A" w:rsidRDefault="0021013A" w:rsidP="0021013A">
      <w:pPr>
        <w:bidi/>
        <w:spacing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br/>
        <w:t xml:space="preserve">شملت معايير الاشتمال الدراسات المنشورة في مجلات محكَّمة، المكتوبة بالعربية أو الإنجليزية، والتي تناولت واحداً أو أكثر من المتغيرات الأربعة في سياقات صحية، مع تفضيل الدراسات التي أُجريت في المملكة العربية السعودية أو سياقات قريبة. أما معايير الاستبعاد فشملت الدراسات النظرية غير المدعومة ببيانات ميدانية، والأبحاث التي أُجريت خارج القطاع الصحي، والدراسات التي لا توفر معلومات كافية عن المنهجية أو أدوات القياس. بعد فحص العناوين والملخصات وقراءة النصوص الكاملة، تم اختيار حوالي أربعين دراسة تجريبية تناولت واحداً أو أكثر من المتغيرات الأربعة ضمن سياقات صحية متنوعة. نُظمت الدراسات في محاور رئيسة تعكس المسارات في النموذج المفاهيمي المقترح (القيادة التحويلية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ثقافة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ثقافة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الأحداث</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الضارة،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المسار</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الكامل</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مما</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ساهم</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بناء</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توليف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نقدي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يوضح</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أوجه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التشابه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والاختلاف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والقيود</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المنهجية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والسياقية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الأدبيات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السابقة</w:t>
      </w:r>
      <w:r>
        <w:rPr>
          <w:rFonts w:ascii="Simplified Arabic" w:hAnsi="Simplified Arabic" w:cs="Simplified Arabic"/>
          <w:noProof/>
          <w:sz w:val="24"/>
          <w:szCs w:val="24"/>
          <w:rtl/>
        </w:rPr>
        <w:t>.</w:t>
      </w:r>
    </w:p>
    <w:p w14:paraId="3C4080EA"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 </w:t>
      </w:r>
      <w:r w:rsidRPr="0021013A">
        <w:rPr>
          <w:rFonts w:ascii="Simplified Arabic" w:hAnsi="Simplified Arabic" w:cs="Simplified Arabic"/>
          <w:b/>
          <w:bCs/>
          <w:noProof/>
          <w:sz w:val="24"/>
          <w:szCs w:val="24"/>
          <w:rtl/>
        </w:rPr>
        <w:t>الدراسات السابقة وفق مسارات النموذج</w:t>
      </w:r>
    </w:p>
    <w:p w14:paraId="119E6634"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2.3.1 </w:t>
      </w:r>
      <w:r w:rsidRPr="0021013A">
        <w:rPr>
          <w:rFonts w:ascii="Simplified Arabic" w:hAnsi="Simplified Arabic" w:cs="Simplified Arabic"/>
          <w:b/>
          <w:bCs/>
          <w:noProof/>
          <w:sz w:val="24"/>
          <w:szCs w:val="24"/>
          <w:rtl/>
        </w:rPr>
        <w:t>دراسات العلاقة بين القيادة التحويلية وثقافة السلامة</w:t>
      </w:r>
      <w:r w:rsidRPr="0021013A">
        <w:rPr>
          <w:rFonts w:ascii="Simplified Arabic" w:hAnsi="Simplified Arabic" w:cs="Simplified Arabic"/>
          <w:b/>
          <w:bCs/>
          <w:noProof/>
          <w:sz w:val="24"/>
          <w:szCs w:val="24"/>
        </w:rPr>
        <w:t xml:space="preserve"> (TL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SC)</w:t>
      </w:r>
    </w:p>
    <w:p w14:paraId="04C3A087" w14:textId="74734BB1" w:rsidR="0021013A" w:rsidRPr="0021013A" w:rsidRDefault="0021013A"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أظهرت عدة دراسات في المجال الصحي أن القيادة التحويلية ترتبط بشكل إيجابي بمدى وعي العاملين بثقافة سلامة المرضى. تشير هذه الدراسات إلى أن القادة الذين يمارسون التأثير المثالي ويقدمون رؤية واضحة للتعامل مع السلامة مع دعم دائم للعاملين يساهمون في خلق بيئة منفتحة تشجع على الإبلاغ عن الأخطاء والتعلم منها. وأيضًا، أظهرت دراسات عربية وسعودية أن وجود نمط القيادة التحويلية في المستشفيات يرتبط بارتفاع مستويات الثقة في الإدارة وتحسين مؤشرات ثقافة السلامة، مثل التعاون بين الفرق، وتبادل المعلومات، والشعور بالعدل عند التعامل مع الأخطاء. وتدعم هذه النتائج الفكرة بأن القيادة التحويلية تعد عنصرًا حاسمًا في بناء ثقافة سلامة إيجابية داخل المستشفيات الحكومية.</w:t>
      </w:r>
    </w:p>
    <w:p w14:paraId="5FF20108"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2.3.2 </w:t>
      </w:r>
      <w:r w:rsidRPr="0021013A">
        <w:rPr>
          <w:rFonts w:ascii="Simplified Arabic" w:hAnsi="Simplified Arabic" w:cs="Simplified Arabic"/>
          <w:b/>
          <w:bCs/>
          <w:noProof/>
          <w:sz w:val="24"/>
          <w:szCs w:val="24"/>
          <w:rtl/>
        </w:rPr>
        <w:t>دراسات العلاقة بين ثقافة السلامة وسلوكيات السلامة</w:t>
      </w:r>
      <w:r w:rsidRPr="0021013A">
        <w:rPr>
          <w:rFonts w:ascii="Simplified Arabic" w:hAnsi="Simplified Arabic" w:cs="Simplified Arabic"/>
          <w:b/>
          <w:bCs/>
          <w:noProof/>
          <w:sz w:val="24"/>
          <w:szCs w:val="24"/>
        </w:rPr>
        <w:t xml:space="preserve"> (SC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SB)</w:t>
      </w:r>
    </w:p>
    <w:p w14:paraId="621E6D44" w14:textId="26F73B09" w:rsidR="0021013A" w:rsidRPr="0021013A" w:rsidRDefault="0021013A"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lastRenderedPageBreak/>
        <w:t>تشير الأبحاث إلى أن ثقافة السلامة ليست مجرد مفهوم نظري على المستوى التنظيمي، بل تجسّد في سلوكيات العاملين في الممارسة اليومية. أظهرت الدراسات التي قيّمت ثقافة السلامة أن الوحدات التي تتسم بثقافة إيجابية تُظهر التزاماً أعلى بالبروتوكولات، واستعداداً أكبر للإبلاغ عن الأخطاء، ومشاركة فاعلة في برامج التحسين المستمر. كما كشفت أن تصور الموظفين لدعم الإدارة العليا للسلامة، وعدالة التعامل مع الأخطاء، يساهمان في تعزيز السلوكيات الآمنة وتقليص رغبة إخفاء الحوادث. بناءً عليه، يمكن اعتبار ثقافة السلامة كشرط أساسي للسلوكيات الآمنة، ووسيط محتمل بين القيادة ونتائج سلامة المرضى.</w:t>
      </w:r>
    </w:p>
    <w:p w14:paraId="4452AFFB"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2.3.3 </w:t>
      </w:r>
      <w:r w:rsidRPr="0021013A">
        <w:rPr>
          <w:rFonts w:ascii="Simplified Arabic" w:hAnsi="Simplified Arabic" w:cs="Simplified Arabic"/>
          <w:b/>
          <w:bCs/>
          <w:noProof/>
          <w:sz w:val="24"/>
          <w:szCs w:val="24"/>
          <w:rtl/>
        </w:rPr>
        <w:t>دراسات العلاقة بين سلوكيات السلامة والأحداث الضارة</w:t>
      </w:r>
      <w:r w:rsidRPr="0021013A">
        <w:rPr>
          <w:rFonts w:ascii="Simplified Arabic" w:hAnsi="Simplified Arabic" w:cs="Simplified Arabic"/>
          <w:b/>
          <w:bCs/>
          <w:noProof/>
          <w:sz w:val="24"/>
          <w:szCs w:val="24"/>
        </w:rPr>
        <w:t xml:space="preserve"> (SB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AE)</w:t>
      </w:r>
    </w:p>
    <w:p w14:paraId="333607B3" w14:textId="1390ACAE" w:rsidR="0021013A" w:rsidRPr="0021013A" w:rsidRDefault="0021013A" w:rsidP="0021013A">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تؤكد الدراسات أن سلوكيات السلامة التي يتبعها مقدمو الرعاية الصحية تعتبر من العوامل الأساسية التي تتنبأ بمستوى حدوث الحوادث الضارة في المستشفيات، مثل الأخطاء الدوائية، والعدوى المرتبطة بالرعاية، والحوادث الناتجة عن إجراءات التمريض أو التدخلات الطبية. أظهرت الدراسات الوطنية والإقليمية أن الالتزام العالي بإجراءات السلامة، كالتأكد المزدوج من الأدوية، واتباع إجراءات مكافحة العدوى، والإبلاغ عن الحوادث شبه المميتة، يرتبط بانخفاض ملحوظ في معدلات الضرر القابل للوقاية. هذه الدراسات تشير أيضاً إلى أن غياب أو ضعف سلوكيات السلامة يخلق فجوة بين السياسات الرسمية والتطبيق العملي، مما يفسر استمرار بعض الأخطاء والحوادث رغم وجود أنظمة وإرشادات مكتوبة.</w:t>
      </w:r>
    </w:p>
    <w:p w14:paraId="3AD23DDC" w14:textId="09B30DA5"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2.3.4 </w:t>
      </w:r>
      <w:r w:rsidRPr="0021013A">
        <w:rPr>
          <w:rFonts w:ascii="Simplified Arabic" w:hAnsi="Simplified Arabic" w:cs="Simplified Arabic"/>
          <w:b/>
          <w:bCs/>
          <w:noProof/>
          <w:sz w:val="24"/>
          <w:szCs w:val="24"/>
          <w:rtl/>
        </w:rPr>
        <w:t>دراسات المسارات المباشرة والمتسلسلة للقيادة على الأحداث الضارة</w:t>
      </w:r>
      <w:r w:rsidR="001F3F7F" w:rsidRPr="00EA597B">
        <w:rPr>
          <w:rFonts w:ascii="Simplified Arabic" w:hAnsi="Simplified Arabic" w:cs="Simplified Arabic"/>
          <w:b/>
          <w:bCs/>
          <w:noProof/>
          <w:sz w:val="24"/>
          <w:szCs w:val="24"/>
        </w:rPr>
        <w:t xml:space="preserv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SC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SB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w:t>
      </w:r>
    </w:p>
    <w:p w14:paraId="32C4676F" w14:textId="521E0039" w:rsidR="0021013A" w:rsidRPr="0021013A" w:rsidRDefault="00EA597B" w:rsidP="00EA597B">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قامت بعض الأبحاث بدراسة العلاقة المباشرة بين أنماط القيادة ونتائج سلامة المرضى، وأكدت أن القيادة الداعمة والتحويلية مرتبطة بانخفاض معدلات الأخطاء والأحداث الضارة. ومع ذلك، تكشف مراجعة نقدية للأدبيات أن معظم الدراسات ركزت على علاقات ثنائية؛ فبعضها درس تأثير القيادة التحويلية على ثقافة السلامة فقط، وآخرون ركزوا على علاقة ثقافة السلامة بالأحداث الضارة أو سلوكيات السلامة، دون اختبار نموذج سببي كامل يدمج جميع المتغيرات في مسار واحد. من هنا تظهر الفجوة المنهجية التي تسعى هذه الدراسة لمعالجتها عبر اختبار نموذج وساطة متسلسلة يربط بين القيادة التحويلية، ثقافة السلامة، سلوكيات السلامة، والأحداث الضارة، في سياق المستشفيات الحكومية بمنطقة الجوف، باستخدام نمذجة المعادلات الهيكلية لتقييم التأثيرات المباشرة وغير المباشرة.</w:t>
      </w:r>
    </w:p>
    <w:p w14:paraId="33C0D32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 </w:t>
      </w:r>
      <w:r w:rsidRPr="0021013A">
        <w:rPr>
          <w:rFonts w:ascii="Simplified Arabic" w:hAnsi="Simplified Arabic" w:cs="Simplified Arabic"/>
          <w:b/>
          <w:bCs/>
          <w:noProof/>
          <w:sz w:val="24"/>
          <w:szCs w:val="24"/>
          <w:rtl/>
        </w:rPr>
        <w:t>تعريفات المتغيرات الرئيسة وأدوات القياس</w:t>
      </w:r>
    </w:p>
    <w:p w14:paraId="07718A77"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2.4.1 </w:t>
      </w:r>
      <w:r w:rsidRPr="0021013A">
        <w:rPr>
          <w:rFonts w:ascii="Simplified Arabic" w:hAnsi="Simplified Arabic" w:cs="Simplified Arabic"/>
          <w:b/>
          <w:bCs/>
          <w:noProof/>
          <w:sz w:val="24"/>
          <w:szCs w:val="24"/>
          <w:rtl/>
        </w:rPr>
        <w:t>تعريفات المتغيرات الرئيسة</w:t>
      </w:r>
    </w:p>
    <w:p w14:paraId="29D99E0C" w14:textId="504E5107" w:rsidR="0021013A" w:rsidRPr="0021013A" w:rsidRDefault="00EA597B"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يمكنك هنا إدراج جدول (داخل الرسالة) يتضمن الأعمدة التالية: اسم المتغير، التعريف الإجرائي في الدراسة، أهم الأبعاد، وملاحظات حدود المفهوم. كمثال (نص مقترح لكل متغير):</w:t>
      </w:r>
    </w:p>
    <w:p w14:paraId="1C90E949" w14:textId="72584C32"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lastRenderedPageBreak/>
        <w:t xml:space="preserve">1. </w:t>
      </w:r>
      <w:r>
        <w:rPr>
          <w:rFonts w:ascii="Simplified Arabic" w:hAnsi="Simplified Arabic" w:cs="Simplified Arabic"/>
          <w:noProof/>
          <w:sz w:val="24"/>
          <w:szCs w:val="24"/>
          <w:rtl/>
        </w:rPr>
        <w:t>القيادة التحويلية (</w:t>
      </w:r>
      <w:r>
        <w:rPr>
          <w:rFonts w:ascii="Simplified Arabic" w:hAnsi="Simplified Arabic" w:cs="Simplified Arabic"/>
          <w:noProof/>
          <w:sz w:val="24"/>
          <w:szCs w:val="24"/>
        </w:rPr>
        <w:t>TL</w:t>
      </w:r>
      <w:r>
        <w:rPr>
          <w:rFonts w:ascii="Simplified Arabic" w:hAnsi="Simplified Arabic" w:cs="Simplified Arabic"/>
          <w:noProof/>
          <w:sz w:val="24"/>
          <w:szCs w:val="24"/>
          <w:rtl/>
        </w:rPr>
        <w:t>) هي نمط من القيادة يمارسه المديرون في المستشفيات الحكومية، ويتجلى في قدرتهم على إلهام العاملين، وتقديم نموذج يُحتذى، وتحفيز التفكير الإبداعي، وتقديم الدعم الفردي. ويتم قياسها من خلال استجابات العاملين على أبعاد مقياس القيادة التحويلية المعتمد في الدراسة.</w:t>
      </w:r>
    </w:p>
    <w:p w14:paraId="7E524E76" w14:textId="70D6322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2. </w:t>
      </w:r>
      <w:r>
        <w:rPr>
          <w:rFonts w:ascii="Simplified Arabic" w:hAnsi="Simplified Arabic" w:cs="Simplified Arabic"/>
          <w:noProof/>
          <w:sz w:val="24"/>
          <w:szCs w:val="24"/>
          <w:rtl/>
        </w:rPr>
        <w:t>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وعي العاملين في المستشفيات الحكومية بقيم وممارسات واتجاهات تؤكد أن سلامة المرضى تأتي في مقدمة أولويات المؤسسة، ويُقاس ذلك بناءً على الأبعاد الأساسية لمقياس ثقافة سلامة المرضى المستخدم في الدراسة.</w:t>
      </w:r>
    </w:p>
    <w:p w14:paraId="369906DE" w14:textId="31D0E1C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3.</w:t>
      </w:r>
      <w:r>
        <w:rPr>
          <w:rFonts w:ascii="Simplified Arabic" w:hAnsi="Simplified Arabic" w:cs="Simplified Arabic"/>
          <w:noProof/>
          <w:sz w:val="24"/>
          <w:szCs w:val="24"/>
          <w:rtl/>
        </w:rPr>
        <w:t>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التصرفات والممارسات اليومية المتعلقة بالسلامة التي يقوم بها العاملون في المستشفيات، مثل الالتزام بالبروتوكولات والإبلاغ عن الحوادث، وتقاس باستخدام مقياس سلوكيات السلامة المعتمد.</w:t>
      </w:r>
    </w:p>
    <w:p w14:paraId="27A9522F" w14:textId="7130FF9F" w:rsidR="0021013A" w:rsidRDefault="00EA597B" w:rsidP="00EA597B">
      <w:pPr>
        <w:bidi/>
        <w:spacing w:before="210" w:after="0" w:line="360" w:lineRule="auto"/>
        <w:rPr>
          <w:rFonts w:ascii="Simplified Arabic" w:hAnsi="Simplified Arabic" w:cs="Simplified Arabic"/>
          <w:noProof/>
          <w:sz w:val="24"/>
          <w:szCs w:val="24"/>
          <w:rtl/>
        </w:rPr>
      </w:pPr>
      <w:r>
        <w:rPr>
          <w:rFonts w:ascii="Simplified Arabic" w:hAnsi="Simplified Arabic" w:cs="Simplified Arabic" w:hint="cs"/>
          <w:noProof/>
          <w:sz w:val="24"/>
          <w:szCs w:val="24"/>
          <w:rtl/>
        </w:rPr>
        <w:t>4.</w:t>
      </w:r>
      <w:r>
        <w:rPr>
          <w:rFonts w:ascii="Simplified Arabic" w:hAnsi="Simplified Arabic" w:cs="Simplified Arabic"/>
          <w:noProof/>
          <w:sz w:val="24"/>
          <w:szCs w:val="24"/>
          <w:rtl/>
        </w:rPr>
        <w:t>الأحداث الآثار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الحالات أو النتائج غير المرغوبة التي قد يتعرض لها المرضى نتيجة الرعاية الصحية أو أثناءها. يمكن تقليل بعضها من خلال تعزيز الثقافة والسلوكيات المتعلقة بالسلامة. تُقاس استجابة للمشاركين من خلال تكرار أنواع معينة من الأحداث الضارة أو مؤشرات مرتبطة بها.</w:t>
      </w:r>
    </w:p>
    <w:p w14:paraId="2EE4769A" w14:textId="065813C2" w:rsidR="008B5C39" w:rsidRPr="008B5C39" w:rsidRDefault="008B5C39" w:rsidP="008B5C39">
      <w:pPr>
        <w:bidi/>
        <w:spacing w:before="210" w:after="0" w:line="360" w:lineRule="auto"/>
        <w:rPr>
          <w:rFonts w:ascii="Simplified Arabic" w:hAnsi="Simplified Arabic" w:cs="Simplified Arabic"/>
          <w:b/>
          <w:bCs/>
          <w:noProof/>
          <w:sz w:val="24"/>
          <w:szCs w:val="24"/>
          <w:rtl/>
        </w:rPr>
      </w:pPr>
      <w:r w:rsidRPr="008B5C3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2</w:t>
      </w:r>
      <w:r w:rsidRPr="008B5C39">
        <w:rPr>
          <w:rFonts w:ascii="Simplified Arabic" w:hAnsi="Simplified Arabic" w:cs="Simplified Arabic"/>
          <w:b/>
          <w:bCs/>
          <w:noProof/>
          <w:sz w:val="24"/>
          <w:szCs w:val="24"/>
          <w:rtl/>
        </w:rPr>
        <w:t>): تعريفات المتغيرات وحدودها المفاهيمية</w:t>
      </w:r>
      <w:r>
        <w:rPr>
          <w:rFonts w:ascii="Simplified Arabic" w:hAnsi="Simplified Arabic" w:cs="Simplified Arabic" w:hint="cs"/>
          <w:b/>
          <w:bCs/>
          <w:noProof/>
          <w:sz w:val="24"/>
          <w:szCs w:val="24"/>
          <w:rtl/>
        </w:rPr>
        <w:t>:</w:t>
      </w:r>
    </w:p>
    <w:tbl>
      <w:tblPr>
        <w:tblStyle w:val="10"/>
        <w:bidiVisual/>
        <w:tblW w:w="10152" w:type="dxa"/>
        <w:tblLook w:val="04A0" w:firstRow="1" w:lastRow="0" w:firstColumn="1" w:lastColumn="0" w:noHBand="0" w:noVBand="1"/>
      </w:tblPr>
      <w:tblGrid>
        <w:gridCol w:w="1338"/>
        <w:gridCol w:w="2340"/>
        <w:gridCol w:w="1800"/>
        <w:gridCol w:w="2160"/>
        <w:gridCol w:w="2514"/>
      </w:tblGrid>
      <w:tr w:rsidR="008B5C39" w:rsidRPr="00E07AD8" w14:paraId="3DAAF8A3" w14:textId="77777777" w:rsidTr="008A45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43802261" w14:textId="77777777" w:rsidR="008B5C39" w:rsidRPr="00E07AD8" w:rsidRDefault="008B5C39" w:rsidP="008A4558">
            <w:pPr>
              <w:bidi/>
              <w:spacing w:line="360" w:lineRule="auto"/>
              <w:jc w:val="center"/>
              <w:rPr>
                <w:rFonts w:ascii="Sakkal Majalla" w:hAnsi="Sakkal Majalla" w:cs="Sakkal Majalla"/>
                <w:b w:val="0"/>
                <w:bCs w:val="0"/>
                <w:sz w:val="20"/>
                <w:szCs w:val="20"/>
                <w:rtl/>
              </w:rPr>
            </w:pPr>
            <w:r w:rsidRPr="00E07AD8">
              <w:rPr>
                <w:rFonts w:ascii="Sakkal Majalla" w:hAnsi="Sakkal Majalla" w:cs="Sakkal Majalla"/>
                <w:sz w:val="20"/>
                <w:szCs w:val="20"/>
                <w:rtl/>
              </w:rPr>
              <w:t>المتغير</w:t>
            </w:r>
          </w:p>
        </w:tc>
        <w:tc>
          <w:tcPr>
            <w:tcW w:w="2340" w:type="dxa"/>
          </w:tcPr>
          <w:p w14:paraId="25B3CAC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التعريف المعتمد</w:t>
            </w:r>
          </w:p>
        </w:tc>
        <w:tc>
          <w:tcPr>
            <w:tcW w:w="1800" w:type="dxa"/>
          </w:tcPr>
          <w:p w14:paraId="7D76124B"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الأبعاد الرئيسة</w:t>
            </w:r>
          </w:p>
        </w:tc>
        <w:tc>
          <w:tcPr>
            <w:tcW w:w="2160" w:type="dxa"/>
          </w:tcPr>
          <w:p w14:paraId="35A8D2B0"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التمييز عن مفهوم قريب</w:t>
            </w:r>
          </w:p>
        </w:tc>
        <w:tc>
          <w:tcPr>
            <w:tcW w:w="2514" w:type="dxa"/>
          </w:tcPr>
          <w:p w14:paraId="28A7852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أداة القياس/المصدر</w:t>
            </w:r>
          </w:p>
        </w:tc>
      </w:tr>
      <w:tr w:rsidR="008B5C39" w:rsidRPr="00E07AD8" w14:paraId="6AF28E58" w14:textId="77777777" w:rsidTr="008A4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6311612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القيادة التحويلية</w:t>
            </w:r>
            <w:r w:rsidRPr="00E07AD8">
              <w:rPr>
                <w:rFonts w:ascii="Sakkal Majalla" w:hAnsi="Sakkal Majalla" w:cs="Sakkal Majalla"/>
                <w:sz w:val="20"/>
                <w:szCs w:val="20"/>
              </w:rPr>
              <w:t xml:space="preserve"> (TL)</w:t>
            </w:r>
          </w:p>
        </w:tc>
        <w:tc>
          <w:tcPr>
            <w:tcW w:w="2340" w:type="dxa"/>
          </w:tcPr>
          <w:p w14:paraId="2CC8EA23"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أسلوب قيادي يلهم ويحفز الموظفين لتبني أهداف المنظمة على المصالح الشخصية عبر التأثير، والتحفيز، وتنشيط الفكر، والاعتراف بالفردية.</w:t>
            </w:r>
          </w:p>
        </w:tc>
        <w:tc>
          <w:tcPr>
            <w:tcW w:w="1800" w:type="dxa"/>
          </w:tcPr>
          <w:p w14:paraId="32CB19CE"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التأثير المثالي، التحفيز الملهم، الإثارة الفكرية، الاعتبار الفردي.</w:t>
            </w:r>
          </w:p>
        </w:tc>
        <w:tc>
          <w:tcPr>
            <w:tcW w:w="2160" w:type="dxa"/>
          </w:tcPr>
          <w:p w14:paraId="34A9CC8D"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تتميَّز عن القيادة التبادلية التي تركز على الحوافز والعقوبات قصيرة الأجل، وعن القيادة الخدمية التي تركز أساسًا على خدمة التابعين لا على تغيير المنظومة.</w:t>
            </w:r>
          </w:p>
        </w:tc>
        <w:tc>
          <w:tcPr>
            <w:tcW w:w="2514" w:type="dxa"/>
          </w:tcPr>
          <w:p w14:paraId="71191975"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 xml:space="preserve">استبانة </w:t>
            </w:r>
            <w:r>
              <w:rPr>
                <w:rFonts w:ascii="Sakkal Majalla" w:hAnsi="Sakkal Majalla" w:cs="Sakkal Majalla"/>
                <w:b/>
                <w:bCs/>
                <w:sz w:val="20"/>
                <w:szCs w:val="20"/>
              </w:rPr>
              <w:t>Multifactor Leadership Questionnaire (MLQ)</w:t>
            </w:r>
            <w:r>
              <w:rPr>
                <w:rFonts w:ascii="Sakkal Majalla" w:hAnsi="Sakkal Majalla" w:cs="Sakkal Majalla"/>
                <w:b/>
                <w:bCs/>
                <w:sz w:val="20"/>
                <w:szCs w:val="20"/>
                <w:rtl/>
              </w:rPr>
              <w:t xml:space="preserve"> التي وضعها </w:t>
            </w:r>
            <w:r>
              <w:rPr>
                <w:rFonts w:ascii="Sakkal Majalla" w:hAnsi="Sakkal Majalla" w:cs="Sakkal Majalla"/>
                <w:b/>
                <w:bCs/>
                <w:sz w:val="20"/>
                <w:szCs w:val="20"/>
              </w:rPr>
              <w:t>Bass &amp; Avolio</w:t>
            </w:r>
            <w:r>
              <w:rPr>
                <w:rFonts w:ascii="Sakkal Majalla" w:hAnsi="Sakkal Majalla" w:cs="Sakkal Majalla"/>
                <w:b/>
                <w:bCs/>
                <w:sz w:val="20"/>
                <w:szCs w:val="20"/>
                <w:rtl/>
              </w:rPr>
              <w:t xml:space="preserve"> عام 1996، مع تعديل لغوي وسياقي ليناسب البيئة السعودية.</w:t>
            </w:r>
          </w:p>
        </w:tc>
      </w:tr>
      <w:tr w:rsidR="008B5C39" w:rsidRPr="00E07AD8" w14:paraId="73CC4CA4" w14:textId="77777777" w:rsidTr="008A4558">
        <w:tc>
          <w:tcPr>
            <w:cnfStyle w:val="001000000000" w:firstRow="0" w:lastRow="0" w:firstColumn="1" w:lastColumn="0" w:oddVBand="0" w:evenVBand="0" w:oddHBand="0" w:evenHBand="0" w:firstRowFirstColumn="0" w:firstRowLastColumn="0" w:lastRowFirstColumn="0" w:lastRowLastColumn="0"/>
            <w:tcW w:w="1338" w:type="dxa"/>
          </w:tcPr>
          <w:p w14:paraId="764BB51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ثقافة السلامة</w:t>
            </w:r>
            <w:r w:rsidRPr="00E07AD8">
              <w:rPr>
                <w:rFonts w:ascii="Sakkal Majalla" w:hAnsi="Sakkal Majalla" w:cs="Sakkal Majalla"/>
                <w:sz w:val="20"/>
                <w:szCs w:val="20"/>
              </w:rPr>
              <w:t xml:space="preserve"> (SC)</w:t>
            </w:r>
          </w:p>
        </w:tc>
        <w:tc>
          <w:tcPr>
            <w:tcW w:w="2340" w:type="dxa"/>
          </w:tcPr>
          <w:p w14:paraId="516EF537"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نظام من القيم والاتجاهات والسلوكيات لضمان سلامة المرضى في الممارسات والقرارات.</w:t>
            </w:r>
          </w:p>
        </w:tc>
        <w:tc>
          <w:tcPr>
            <w:tcW w:w="1800" w:type="dxa"/>
          </w:tcPr>
          <w:p w14:paraId="28C2324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دعم الإدارة للسلامة، التواصل المفتوح، التعلم من الحوادث، والعمل الجماعي.</w:t>
            </w:r>
          </w:p>
        </w:tc>
        <w:tc>
          <w:tcPr>
            <w:tcW w:w="2160" w:type="dxa"/>
          </w:tcPr>
          <w:p w14:paraId="3D1055FE"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تُميز الثقافة عن سلوكيات السلامة التي هي الأفعال الفردية اليومية؛ فالثقافة تمثل الإطار القيمي أو المناخي، بينما السلوك هو ترجمة عملية لهذا الإطار.</w:t>
            </w:r>
          </w:p>
        </w:tc>
        <w:tc>
          <w:tcPr>
            <w:tcW w:w="2514" w:type="dxa"/>
          </w:tcPr>
          <w:p w14:paraId="36BFB695"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proofErr w:type="gramStart"/>
            <w:r>
              <w:rPr>
                <w:rFonts w:ascii="Sakkal Majalla" w:hAnsi="Sakkal Majalla" w:cs="Sakkal Majalla"/>
                <w:b/>
                <w:bCs/>
                <w:sz w:val="20"/>
                <w:szCs w:val="20"/>
                <w:rtl/>
              </w:rPr>
              <w:t>استبيان</w:t>
            </w:r>
            <w:proofErr w:type="gramEnd"/>
            <w:r>
              <w:rPr>
                <w:rFonts w:ascii="Sakkal Majalla" w:hAnsi="Sakkal Majalla" w:cs="Sakkal Majalla"/>
                <w:b/>
                <w:bCs/>
                <w:sz w:val="20"/>
                <w:szCs w:val="20"/>
                <w:rtl/>
              </w:rPr>
              <w:t xml:space="preserve"> المستشفى حول ثقافة سلامة المرضى (</w:t>
            </w:r>
            <w:r>
              <w:rPr>
                <w:rFonts w:ascii="Sakkal Majalla" w:hAnsi="Sakkal Majalla" w:cs="Sakkal Majalla"/>
                <w:b/>
                <w:bCs/>
                <w:sz w:val="20"/>
                <w:szCs w:val="20"/>
              </w:rPr>
              <w:t>HSOPSC</w:t>
            </w:r>
            <w:r>
              <w:rPr>
                <w:rFonts w:ascii="Sakkal Majalla" w:hAnsi="Sakkal Majalla" w:cs="Sakkal Majalla"/>
                <w:b/>
                <w:bCs/>
                <w:sz w:val="20"/>
                <w:szCs w:val="20"/>
                <w:rtl/>
              </w:rPr>
              <w:t xml:space="preserve">) كما أقرّته </w:t>
            </w:r>
            <w:r>
              <w:rPr>
                <w:rFonts w:ascii="Sakkal Majalla" w:hAnsi="Sakkal Majalla" w:cs="Sakkal Majalla"/>
                <w:b/>
                <w:bCs/>
                <w:sz w:val="20"/>
                <w:szCs w:val="20"/>
              </w:rPr>
              <w:t>AHRQ</w:t>
            </w:r>
            <w:r>
              <w:rPr>
                <w:rFonts w:ascii="Sakkal Majalla" w:hAnsi="Sakkal Majalla" w:cs="Sakkal Majalla"/>
                <w:b/>
                <w:bCs/>
                <w:sz w:val="20"/>
                <w:szCs w:val="20"/>
                <w:rtl/>
              </w:rPr>
              <w:t xml:space="preserve"> مع التكييف للسياق</w:t>
            </w:r>
            <w:r w:rsidRPr="00E07AD8">
              <w:rPr>
                <w:rFonts w:ascii="Sakkal Majalla" w:hAnsi="Sakkal Majalla" w:cs="Sakkal Majalla"/>
                <w:b/>
                <w:bCs/>
                <w:sz w:val="20"/>
                <w:szCs w:val="20"/>
              </w:rPr>
              <w:t>.</w:t>
            </w:r>
          </w:p>
        </w:tc>
      </w:tr>
      <w:tr w:rsidR="008B5C39" w:rsidRPr="00E07AD8" w14:paraId="5C464651" w14:textId="77777777" w:rsidTr="008A4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7FA51999"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سلوكيات السلامة</w:t>
            </w:r>
            <w:r w:rsidRPr="00E07AD8">
              <w:rPr>
                <w:rFonts w:ascii="Sakkal Majalla" w:hAnsi="Sakkal Majalla" w:cs="Sakkal Majalla"/>
                <w:sz w:val="20"/>
                <w:szCs w:val="20"/>
              </w:rPr>
              <w:t xml:space="preserve"> (SB)</w:t>
            </w:r>
          </w:p>
        </w:tc>
        <w:tc>
          <w:tcPr>
            <w:tcW w:w="2340" w:type="dxa"/>
          </w:tcPr>
          <w:p w14:paraId="7BD403AE"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 xml:space="preserve">مجموعة الإجراءات التطبيقية التي يلتزم بها الممارسون الصحيون لحماية المرضى ومنع الأخطاء، مثل غسل </w:t>
            </w:r>
            <w:r w:rsidRPr="00E07AD8">
              <w:rPr>
                <w:rFonts w:ascii="Sakkal Majalla" w:hAnsi="Sakkal Majalla" w:cs="Sakkal Majalla"/>
                <w:b/>
                <w:bCs/>
                <w:sz w:val="20"/>
                <w:szCs w:val="20"/>
                <w:rtl/>
              </w:rPr>
              <w:lastRenderedPageBreak/>
              <w:t>اليدين، والتحقق من الهوية، والالتزام بقوائم التدقيق</w:t>
            </w:r>
            <w:r w:rsidRPr="00E07AD8">
              <w:rPr>
                <w:rFonts w:ascii="Sakkal Majalla" w:hAnsi="Sakkal Majalla" w:cs="Sakkal Majalla"/>
                <w:b/>
                <w:bCs/>
                <w:sz w:val="20"/>
                <w:szCs w:val="20"/>
              </w:rPr>
              <w:t>.</w:t>
            </w:r>
          </w:p>
        </w:tc>
        <w:tc>
          <w:tcPr>
            <w:tcW w:w="1800" w:type="dxa"/>
          </w:tcPr>
          <w:p w14:paraId="0F9E2938"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lastRenderedPageBreak/>
              <w:t xml:space="preserve">يمكن تصنيفها إلى سلوكيات </w:t>
            </w:r>
            <w:r w:rsidRPr="00E07AD8">
              <w:rPr>
                <w:rFonts w:ascii="Sakkal Majalla" w:hAnsi="Sakkal Majalla" w:cs="Sakkal Majalla" w:hint="cs"/>
                <w:b/>
                <w:bCs/>
                <w:sz w:val="20"/>
                <w:szCs w:val="20"/>
                <w:rtl/>
              </w:rPr>
              <w:t>التزاميه</w:t>
            </w:r>
            <w:r w:rsidRPr="00E07AD8">
              <w:rPr>
                <w:rFonts w:ascii="Sakkal Majalla" w:hAnsi="Sakkal Majalla" w:cs="Sakkal Majalla"/>
                <w:b/>
                <w:bCs/>
                <w:sz w:val="20"/>
                <w:szCs w:val="20"/>
                <w:rtl/>
              </w:rPr>
              <w:t xml:space="preserve"> وسلوكيات استباقية</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160" w:type="dxa"/>
          </w:tcPr>
          <w:p w14:paraId="419FF853"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t>تُميَّز عن ثقافة السلامة (الإطار القيمي)، وعن نتائج الجودة مثل معدلات الوفيات أو طول الإقامة، التي تُعد نتائج نهائية لا سلوكيات</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514" w:type="dxa"/>
          </w:tcPr>
          <w:p w14:paraId="31065DB9"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مقياس مبني على بنود سلوكيات السلامة في الأدبيات الحديثة</w:t>
            </w:r>
            <w:r w:rsidRPr="00E07AD8">
              <w:rPr>
                <w:rFonts w:ascii="Sakkal Majalla" w:hAnsi="Sakkal Majalla" w:cs="Sakkal Majalla"/>
                <w:b/>
                <w:bCs/>
                <w:sz w:val="20"/>
                <w:szCs w:val="20"/>
              </w:rPr>
              <w:t xml:space="preserve"> (</w:t>
            </w:r>
            <w:r w:rsidRPr="00E07AD8">
              <w:rPr>
                <w:rFonts w:ascii="Sakkal Majalla" w:hAnsi="Sakkal Majalla" w:cs="Sakkal Majalla"/>
                <w:b/>
                <w:bCs/>
                <w:sz w:val="20"/>
                <w:szCs w:val="20"/>
                <w:rtl/>
              </w:rPr>
              <w:t>مثل</w:t>
            </w:r>
            <w:r w:rsidRPr="00E07AD8">
              <w:rPr>
                <w:rFonts w:ascii="Sakkal Majalla" w:hAnsi="Sakkal Majalla" w:cs="Sakkal Majalla"/>
                <w:b/>
                <w:bCs/>
                <w:sz w:val="20"/>
                <w:szCs w:val="20"/>
              </w:rPr>
              <w:t xml:space="preserve"> Mohammed, 2025) </w:t>
            </w:r>
            <w:r w:rsidRPr="00E07AD8">
              <w:rPr>
                <w:rFonts w:ascii="Sakkal Majalla" w:hAnsi="Sakkal Majalla" w:cs="Sakkal Majalla"/>
                <w:b/>
                <w:bCs/>
                <w:sz w:val="20"/>
                <w:szCs w:val="20"/>
                <w:rtl/>
              </w:rPr>
              <w:t xml:space="preserve">مع تكييف للبنود </w:t>
            </w:r>
            <w:r w:rsidRPr="00E07AD8">
              <w:rPr>
                <w:rFonts w:ascii="Sakkal Majalla" w:hAnsi="Sakkal Majalla" w:cs="Sakkal Majalla"/>
                <w:b/>
                <w:bCs/>
                <w:sz w:val="20"/>
                <w:szCs w:val="20"/>
                <w:rtl/>
              </w:rPr>
              <w:lastRenderedPageBreak/>
              <w:t>الأكثر ارتباطًا بسياق المستشفيات الحكومية</w:t>
            </w:r>
            <w:r w:rsidRPr="00E07AD8">
              <w:rPr>
                <w:rFonts w:ascii="Sakkal Majalla" w:hAnsi="Sakkal Majalla" w:cs="Sakkal Majalla"/>
                <w:b/>
                <w:bCs/>
                <w:sz w:val="20"/>
                <w:szCs w:val="20"/>
              </w:rPr>
              <w:t>.</w:t>
            </w:r>
          </w:p>
        </w:tc>
      </w:tr>
      <w:tr w:rsidR="008B5C39" w:rsidRPr="00E07AD8" w14:paraId="4E3618A0" w14:textId="77777777" w:rsidTr="008A4558">
        <w:tc>
          <w:tcPr>
            <w:cnfStyle w:val="001000000000" w:firstRow="0" w:lastRow="0" w:firstColumn="1" w:lastColumn="0" w:oddVBand="0" w:evenVBand="0" w:oddHBand="0" w:evenHBand="0" w:firstRowFirstColumn="0" w:firstRowLastColumn="0" w:lastRowFirstColumn="0" w:lastRowLastColumn="0"/>
            <w:tcW w:w="1338" w:type="dxa"/>
          </w:tcPr>
          <w:p w14:paraId="0F046F8A"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lastRenderedPageBreak/>
              <w:t>الأحداث الضارة</w:t>
            </w:r>
            <w:r w:rsidRPr="00E07AD8">
              <w:rPr>
                <w:rFonts w:ascii="Sakkal Majalla" w:hAnsi="Sakkal Majalla" w:cs="Sakkal Majalla"/>
                <w:sz w:val="20"/>
                <w:szCs w:val="20"/>
              </w:rPr>
              <w:t xml:space="preserve"> (AE)</w:t>
            </w:r>
          </w:p>
        </w:tc>
        <w:tc>
          <w:tcPr>
            <w:tcW w:w="2340" w:type="dxa"/>
          </w:tcPr>
          <w:p w14:paraId="3837BA01"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الإصابات أو النتائج السلبية غير المقصودة التي يتعرض لها المريض نتيجة الرعاية الطبية، وليست مرتبطة بالمرض الأساسي، وغالبًا يمكن الوقاية منها.</w:t>
            </w:r>
          </w:p>
        </w:tc>
        <w:tc>
          <w:tcPr>
            <w:tcW w:w="1800" w:type="dxa"/>
          </w:tcPr>
          <w:p w14:paraId="4CE78D08"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هنا، لا تُقسَّم إلى أبعاد، وإنما تُقاس كمفهوم موحد يعبّر عن مستوى تقليل أو السيطرة على الأحداث الضارة.</w:t>
            </w:r>
          </w:p>
        </w:tc>
        <w:tc>
          <w:tcPr>
            <w:tcW w:w="2160" w:type="dxa"/>
          </w:tcPr>
          <w:p w14:paraId="6A1A4F7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تركز الدراسة على تقييم فعالية الإجراءات في تقليل الأحداث الفعلية، بخلاف "مؤشرات الجودة" الأوسع مثل رضا المرضى و"المحاولات الفاشلة" التي لا تصل للمريض.</w:t>
            </w:r>
          </w:p>
        </w:tc>
        <w:tc>
          <w:tcPr>
            <w:tcW w:w="2514" w:type="dxa"/>
          </w:tcPr>
          <w:p w14:paraId="0E683140"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 xml:space="preserve">مقياس إدراكي يعتمد على بنود تقيم فعالية إجراءات تقليل الأحداث الضارة باستخدام مقياس </w:t>
            </w:r>
            <w:proofErr w:type="spellStart"/>
            <w:r>
              <w:rPr>
                <w:rFonts w:ascii="Sakkal Majalla" w:hAnsi="Sakkal Majalla" w:cs="Sakkal Majalla"/>
                <w:b/>
                <w:bCs/>
                <w:sz w:val="20"/>
                <w:szCs w:val="20"/>
                <w:rtl/>
              </w:rPr>
              <w:t>ليكرت</w:t>
            </w:r>
            <w:proofErr w:type="spellEnd"/>
            <w:r>
              <w:rPr>
                <w:rFonts w:ascii="Sakkal Majalla" w:hAnsi="Sakkal Majalla" w:cs="Sakkal Majalla"/>
                <w:b/>
                <w:bCs/>
                <w:sz w:val="20"/>
                <w:szCs w:val="20"/>
                <w:rtl/>
              </w:rPr>
              <w:t xml:space="preserve"> خماسي، كما هو موضح في التعريف الإجرائي.</w:t>
            </w:r>
          </w:p>
        </w:tc>
      </w:tr>
    </w:tbl>
    <w:p w14:paraId="2FD96EE5" w14:textId="77777777" w:rsidR="008B5C39" w:rsidRPr="008B5C39" w:rsidRDefault="008B5C39" w:rsidP="008B5C39">
      <w:pPr>
        <w:bidi/>
        <w:spacing w:before="210" w:after="0" w:line="360" w:lineRule="auto"/>
        <w:rPr>
          <w:rFonts w:ascii="Simplified Arabic" w:hAnsi="Simplified Arabic" w:cs="Simplified Arabic" w:hint="cs"/>
          <w:noProof/>
          <w:sz w:val="24"/>
          <w:szCs w:val="24"/>
          <w:rtl/>
        </w:rPr>
      </w:pPr>
    </w:p>
    <w:p w14:paraId="5C2F1107" w14:textId="77777777" w:rsidR="003E1959" w:rsidRPr="003E1959" w:rsidRDefault="003E1959" w:rsidP="00A572F9">
      <w:pPr>
        <w:bidi/>
        <w:spacing w:after="0" w:line="360" w:lineRule="auto"/>
        <w:rPr>
          <w:rFonts w:ascii="Simplified Arabic" w:hAnsi="Simplified Arabic" w:cs="Simplified Arabic"/>
          <w:b/>
          <w:bCs/>
          <w:noProof/>
          <w:sz w:val="24"/>
          <w:szCs w:val="24"/>
        </w:rPr>
      </w:pPr>
      <w:r w:rsidRPr="003E1959">
        <w:rPr>
          <w:rFonts w:ascii="Simplified Arabic" w:hAnsi="Simplified Arabic" w:cs="Simplified Arabic"/>
          <w:b/>
          <w:bCs/>
          <w:noProof/>
          <w:sz w:val="24"/>
          <w:szCs w:val="24"/>
        </w:rPr>
        <w:t xml:space="preserve">2.4.2 </w:t>
      </w:r>
      <w:r w:rsidRPr="003E1959">
        <w:rPr>
          <w:rFonts w:ascii="Simplified Arabic" w:hAnsi="Simplified Arabic" w:cs="Simplified Arabic"/>
          <w:b/>
          <w:bCs/>
          <w:noProof/>
          <w:sz w:val="24"/>
          <w:szCs w:val="24"/>
          <w:rtl/>
        </w:rPr>
        <w:t>أدوات القياس والأبعاد</w:t>
      </w:r>
    </w:p>
    <w:p w14:paraId="65137CAA" w14:textId="77777777" w:rsidR="00C53D9D" w:rsidRDefault="003E1959" w:rsidP="003E1959">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استندت الدراسة إلى أدوات قياس تم اختبارها مسبقًا في سياقات صحية مشابهة، مع إجراء التعديلات اللازمة لتتناسب مع البيئة المحلية. شمل ذلك مقياسًا للقيادة التحويلية يعتمد على الأبعاد الأربعة الأساسية للنظرية، ومقياسًا لثقافة سلامة المرضى مبنيًا على أداة استقصائية معروفة في المجال، بالإضافة إلى مقاييس لسلوكيات السلامة والأحداث الضارة التي يراها العاملون. تم التحقق من صدق وثبات هذه الأدوات في سياق الدراسة الحالية عبر عمليات الترجمة العكسية، والتحكيم، والدراسة المسبقة، وتحليل الصدق البنائي والاتساق الداخلي.</w:t>
      </w:r>
    </w:p>
    <w:p w14:paraId="4105F68C" w14:textId="1C8F9CEF" w:rsidR="00C53D9D" w:rsidRPr="006B6F89" w:rsidRDefault="006B6F89" w:rsidP="006B6F89">
      <w:pPr>
        <w:bidi/>
        <w:spacing w:before="210" w:after="0" w:line="360" w:lineRule="auto"/>
        <w:jc w:val="both"/>
        <w:rPr>
          <w:rFonts w:ascii="Simplified Arabic" w:hAnsi="Simplified Arabic" w:cs="Simplified Arabic"/>
          <w:b/>
          <w:bCs/>
          <w:noProof/>
          <w:sz w:val="24"/>
          <w:szCs w:val="24"/>
          <w:rtl/>
        </w:rPr>
      </w:pPr>
      <w:r w:rsidRPr="006B6F8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3</w:t>
      </w:r>
      <w:r w:rsidRPr="006B6F89">
        <w:rPr>
          <w:rFonts w:ascii="Simplified Arabic" w:hAnsi="Simplified Arabic" w:cs="Simplified Arabic"/>
          <w:b/>
          <w:bCs/>
          <w:noProof/>
          <w:sz w:val="24"/>
          <w:szCs w:val="24"/>
          <w:rtl/>
        </w:rPr>
        <w:t>): أدوات القياس والأبعاد ومصادرها</w:t>
      </w:r>
    </w:p>
    <w:tbl>
      <w:tblPr>
        <w:tblStyle w:val="10"/>
        <w:bidiVisual/>
        <w:tblW w:w="10158" w:type="dxa"/>
        <w:tblInd w:w="-264" w:type="dxa"/>
        <w:tblLook w:val="04A0" w:firstRow="1" w:lastRow="0" w:firstColumn="1" w:lastColumn="0" w:noHBand="0" w:noVBand="1"/>
      </w:tblPr>
      <w:tblGrid>
        <w:gridCol w:w="1260"/>
        <w:gridCol w:w="1440"/>
        <w:gridCol w:w="1530"/>
        <w:gridCol w:w="1734"/>
        <w:gridCol w:w="1398"/>
        <w:gridCol w:w="1398"/>
        <w:gridCol w:w="1398"/>
      </w:tblGrid>
      <w:tr w:rsidR="00C53D9D" w:rsidRPr="00C53D9D" w14:paraId="1CA2629E" w14:textId="77777777" w:rsidTr="00137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B711826" w14:textId="09C70BBB"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المتغير</w:t>
            </w:r>
          </w:p>
        </w:tc>
        <w:tc>
          <w:tcPr>
            <w:tcW w:w="1440" w:type="dxa"/>
          </w:tcPr>
          <w:p w14:paraId="623E5F6F" w14:textId="147CA68A"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اسم الأداة</w:t>
            </w:r>
          </w:p>
        </w:tc>
        <w:tc>
          <w:tcPr>
            <w:tcW w:w="1530" w:type="dxa"/>
          </w:tcPr>
          <w:p w14:paraId="1F5A6700" w14:textId="19E9A49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المرجع الأصلي</w:t>
            </w:r>
          </w:p>
        </w:tc>
        <w:tc>
          <w:tcPr>
            <w:tcW w:w="1734" w:type="dxa"/>
          </w:tcPr>
          <w:p w14:paraId="1A44222B" w14:textId="5A1C8B1F"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الأبعاد الفرعية المستخدمة</w:t>
            </w:r>
          </w:p>
        </w:tc>
        <w:tc>
          <w:tcPr>
            <w:tcW w:w="1398" w:type="dxa"/>
          </w:tcPr>
          <w:p w14:paraId="6DE22D2A" w14:textId="2D6D46C7"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الفقرات بعد التكييف</w:t>
            </w:r>
          </w:p>
        </w:tc>
        <w:tc>
          <w:tcPr>
            <w:tcW w:w="1398" w:type="dxa"/>
          </w:tcPr>
          <w:p w14:paraId="75F0F5B0" w14:textId="5362CE0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نوع مقياس الاستجابة</w:t>
            </w:r>
          </w:p>
        </w:tc>
        <w:tc>
          <w:tcPr>
            <w:tcW w:w="1398" w:type="dxa"/>
          </w:tcPr>
          <w:p w14:paraId="25DBD6B1" w14:textId="73D6782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مثال على بعد/فقرة</w:t>
            </w:r>
          </w:p>
        </w:tc>
      </w:tr>
      <w:tr w:rsidR="00C53D9D" w:rsidRPr="00C53D9D" w14:paraId="571F8BDC"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6228497" w14:textId="70455328" w:rsidR="00C53D9D" w:rsidRPr="00C53D9D" w:rsidRDefault="00C53D9D" w:rsidP="00137F65">
            <w:pPr>
              <w:bidi/>
              <w:spacing w:before="210" w:after="0" w:line="360" w:lineRule="auto"/>
              <w:rPr>
                <w:rFonts w:ascii="Simplified Arabic" w:hAnsi="Simplified Arabic" w:cs="Simplified Arabic"/>
                <w:b w:val="0"/>
                <w:bCs w:val="0"/>
                <w:noProof/>
                <w:sz w:val="20"/>
                <w:szCs w:val="20"/>
                <w:rtl/>
              </w:rPr>
            </w:pPr>
            <w:r w:rsidRPr="00C53D9D">
              <w:rPr>
                <w:rFonts w:ascii="Simplified Arabic" w:hAnsi="Simplified Arabic" w:cs="Simplified Arabic"/>
                <w:noProof/>
                <w:sz w:val="20"/>
                <w:szCs w:val="20"/>
                <w:rtl/>
              </w:rPr>
              <w:t>القيادة التحويلية</w:t>
            </w:r>
            <w:r w:rsidRPr="00C53D9D">
              <w:rPr>
                <w:rFonts w:ascii="Simplified Arabic" w:hAnsi="Simplified Arabic" w:cs="Simplified Arabic"/>
                <w:noProof/>
                <w:sz w:val="20"/>
                <w:szCs w:val="20"/>
              </w:rPr>
              <w:t xml:space="preserve"> (TL)</w:t>
            </w:r>
          </w:p>
        </w:tc>
        <w:tc>
          <w:tcPr>
            <w:tcW w:w="1440" w:type="dxa"/>
          </w:tcPr>
          <w:p w14:paraId="65F3786D" w14:textId="153B6215"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القيادة متعددة العوامل (</w:t>
            </w:r>
            <w:r>
              <w:rPr>
                <w:rFonts w:ascii="Simplified Arabic" w:hAnsi="Simplified Arabic" w:cs="Simplified Arabic"/>
                <w:noProof/>
                <w:sz w:val="18"/>
                <w:szCs w:val="18"/>
              </w:rPr>
              <w:t>MLQ</w:t>
            </w:r>
            <w:r>
              <w:rPr>
                <w:rFonts w:ascii="Simplified Arabic" w:hAnsi="Simplified Arabic" w:cs="Simplified Arabic"/>
                <w:noProof/>
                <w:sz w:val="18"/>
                <w:szCs w:val="18"/>
                <w:rtl/>
              </w:rPr>
              <w:t>) – النسخة المختصرة أو المعدلة</w:t>
            </w:r>
          </w:p>
        </w:tc>
        <w:tc>
          <w:tcPr>
            <w:tcW w:w="1530" w:type="dxa"/>
          </w:tcPr>
          <w:p w14:paraId="09B53912" w14:textId="0D2CB47C"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Pr>
              <w:t xml:space="preserve">Bass &amp; Avolio (1996) </w:t>
            </w:r>
            <w:r>
              <w:rPr>
                <w:rFonts w:ascii="Simplified Arabic" w:hAnsi="Simplified Arabic" w:cs="Simplified Arabic"/>
                <w:noProof/>
                <w:sz w:val="18"/>
                <w:szCs w:val="18"/>
                <w:rtl/>
              </w:rPr>
              <w:t>أو النسخة التي اعتمدتها أنت عمليًا</w:t>
            </w:r>
            <w:r>
              <w:rPr>
                <w:rFonts w:ascii="Simplified Arabic" w:hAnsi="Simplified Arabic" w:cs="Simplified Arabic"/>
                <w:noProof/>
                <w:sz w:val="18"/>
                <w:szCs w:val="18"/>
              </w:rPr>
              <w:t>.</w:t>
            </w:r>
          </w:p>
        </w:tc>
        <w:tc>
          <w:tcPr>
            <w:tcW w:w="1734" w:type="dxa"/>
          </w:tcPr>
          <w:p w14:paraId="16EFE7A8" w14:textId="28593754"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أربعة أبعاد (التأثير المثالي، الحافزية الإلهامية، الاستثارة الفكرية، الاعتبار الفردي) أو حسب الاستخدام الفعلي لها</w:t>
            </w:r>
            <w:r>
              <w:rPr>
                <w:rFonts w:ascii="Simplified Arabic" w:hAnsi="Simplified Arabic" w:cs="Simplified Arabic"/>
                <w:noProof/>
                <w:sz w:val="18"/>
                <w:szCs w:val="18"/>
              </w:rPr>
              <w:t>.</w:t>
            </w:r>
          </w:p>
        </w:tc>
        <w:tc>
          <w:tcPr>
            <w:tcW w:w="1398" w:type="dxa"/>
          </w:tcPr>
          <w:p w14:paraId="206D92EF" w14:textId="78BBD2A1"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 العدد الفعلي بعد الحذف/التعديل (20 فقرة)</w:t>
            </w:r>
          </w:p>
        </w:tc>
        <w:tc>
          <w:tcPr>
            <w:tcW w:w="1398" w:type="dxa"/>
          </w:tcPr>
          <w:p w14:paraId="1BB70822" w14:textId="64307015"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يتراوح من (1 = لا ينطبق إطلاقًا) إلى (5 = ينطبق بدرجة كبيرة) أو ما يعادله.</w:t>
            </w:r>
          </w:p>
        </w:tc>
        <w:tc>
          <w:tcPr>
            <w:tcW w:w="1398" w:type="dxa"/>
          </w:tcPr>
          <w:p w14:paraId="7CD24F71" w14:textId="4ABE8317"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«يحفزنا المدير على التفكير بطرق جديدة لحل المشكلات».</w:t>
            </w:r>
          </w:p>
        </w:tc>
      </w:tr>
      <w:tr w:rsidR="00C53D9D" w:rsidRPr="00C53D9D" w14:paraId="6F53E335"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2206BB3C" w14:textId="00406324" w:rsidR="00C53D9D" w:rsidRPr="00C53D9D" w:rsidRDefault="00C53D9D" w:rsidP="00137F65">
            <w:pPr>
              <w:bidi/>
              <w:spacing w:before="210" w:after="0" w:line="360" w:lineRule="auto"/>
              <w:rPr>
                <w:rFonts w:ascii="Simplified Arabic" w:hAnsi="Simplified Arabic" w:cs="Simplified Arabic"/>
                <w:noProof/>
                <w:sz w:val="20"/>
                <w:szCs w:val="20"/>
                <w:rtl/>
              </w:rPr>
            </w:pPr>
            <w:r w:rsidRPr="00C53D9D">
              <w:rPr>
                <w:rFonts w:ascii="Simplified Arabic" w:hAnsi="Simplified Arabic" w:cs="Simplified Arabic"/>
                <w:noProof/>
                <w:sz w:val="20"/>
                <w:szCs w:val="20"/>
                <w:rtl/>
              </w:rPr>
              <w:t>ثقافة السلامة</w:t>
            </w:r>
            <w:r w:rsidRPr="00C53D9D">
              <w:rPr>
                <w:rFonts w:ascii="Simplified Arabic" w:hAnsi="Simplified Arabic" w:cs="Simplified Arabic"/>
                <w:noProof/>
                <w:sz w:val="20"/>
                <w:szCs w:val="20"/>
              </w:rPr>
              <w:t xml:space="preserve"> (SC)</w:t>
            </w:r>
          </w:p>
        </w:tc>
        <w:tc>
          <w:tcPr>
            <w:tcW w:w="1440" w:type="dxa"/>
          </w:tcPr>
          <w:p w14:paraId="21CE332F" w14:textId="76A924C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Pr>
            </w:pPr>
            <w:r>
              <w:rPr>
                <w:rFonts w:ascii="Simplified Arabic" w:hAnsi="Simplified Arabic" w:cs="Simplified Arabic"/>
                <w:noProof/>
                <w:sz w:val="18"/>
                <w:szCs w:val="18"/>
                <w:rtl/>
              </w:rPr>
              <w:t xml:space="preserve">مقياس ثقافة سلامة المرضى القائم على أداة </w:t>
            </w:r>
            <w:r>
              <w:rPr>
                <w:rFonts w:ascii="Simplified Arabic" w:hAnsi="Simplified Arabic" w:cs="Simplified Arabic"/>
                <w:noProof/>
                <w:sz w:val="18"/>
                <w:szCs w:val="18"/>
              </w:rPr>
              <w:t>HSOPSC</w:t>
            </w:r>
          </w:p>
        </w:tc>
        <w:tc>
          <w:tcPr>
            <w:tcW w:w="1530" w:type="dxa"/>
          </w:tcPr>
          <w:p w14:paraId="282B7104" w14:textId="032697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Pr>
              <w:t>HSOPSC – AHRQ</w:t>
            </w:r>
            <w:r>
              <w:rPr>
                <w:rFonts w:ascii="Simplified Arabic" w:hAnsi="Simplified Arabic" w:cs="Simplified Arabic"/>
                <w:noProof/>
                <w:sz w:val="18"/>
                <w:szCs w:val="18"/>
                <w:rtl/>
              </w:rPr>
              <w:t xml:space="preserve">، بالإشارة إلى الدراسات التي استخدمت النسخة في </w:t>
            </w:r>
            <w:r>
              <w:rPr>
                <w:rFonts w:ascii="Simplified Arabic" w:hAnsi="Simplified Arabic" w:cs="Simplified Arabic"/>
                <w:noProof/>
                <w:sz w:val="18"/>
                <w:szCs w:val="18"/>
                <w:rtl/>
              </w:rPr>
              <w:lastRenderedPageBreak/>
              <w:t>السياق السعودي أو الإقليمي، مثل</w:t>
            </w:r>
            <w:r>
              <w:rPr>
                <w:rFonts w:ascii="Simplified Arabic" w:hAnsi="Simplified Arabic" w:cs="Simplified Arabic"/>
                <w:noProof/>
                <w:sz w:val="18"/>
                <w:szCs w:val="18"/>
              </w:rPr>
              <w:t xml:space="preserve"> Pai (2024) </w:t>
            </w:r>
            <w:r>
              <w:rPr>
                <w:rFonts w:ascii="Simplified Arabic" w:hAnsi="Simplified Arabic" w:cs="Simplified Arabic"/>
                <w:noProof/>
                <w:sz w:val="18"/>
                <w:szCs w:val="18"/>
                <w:rtl/>
              </w:rPr>
              <w:t>وغيرها</w:t>
            </w:r>
            <w:r>
              <w:rPr>
                <w:rFonts w:ascii="Simplified Arabic" w:hAnsi="Simplified Arabic" w:cs="Simplified Arabic"/>
                <w:noProof/>
                <w:sz w:val="18"/>
                <w:szCs w:val="18"/>
              </w:rPr>
              <w:t>.</w:t>
            </w:r>
          </w:p>
        </w:tc>
        <w:tc>
          <w:tcPr>
            <w:tcW w:w="1734" w:type="dxa"/>
          </w:tcPr>
          <w:p w14:paraId="1218143C" w14:textId="6F1A2BD5"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lastRenderedPageBreak/>
              <w:t>عدد الأبعاد حسب النسخة المعتمدة، مثل: 4–8 أبعاد مختصرة من الأداة الأصلية.</w:t>
            </w:r>
          </w:p>
        </w:tc>
        <w:tc>
          <w:tcPr>
            <w:tcW w:w="1398" w:type="dxa"/>
          </w:tcPr>
          <w:p w14:paraId="79780240" w14:textId="1E4A48A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عدد الفقرات الكلي بعد التكييف (30)</w:t>
            </w:r>
          </w:p>
        </w:tc>
        <w:tc>
          <w:tcPr>
            <w:tcW w:w="1398" w:type="dxa"/>
          </w:tcPr>
          <w:p w14:paraId="73B29789" w14:textId="3672F2DF" w:rsidR="00C53D9D" w:rsidRPr="00C53D9D" w:rsidRDefault="00137F65" w:rsidP="00137F65">
            <w:pPr>
              <w:bidi/>
              <w:spacing w:before="210" w:after="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مقياس ليكرت خماسي يعبر من «أعارض بشدة» إلى «أوافق بشدة»، أو </w:t>
            </w:r>
            <w:r>
              <w:rPr>
                <w:rFonts w:ascii="Simplified Arabic" w:hAnsi="Simplified Arabic" w:cs="Simplified Arabic"/>
                <w:noProof/>
                <w:sz w:val="18"/>
                <w:szCs w:val="18"/>
                <w:rtl/>
              </w:rPr>
              <w:lastRenderedPageBreak/>
              <w:t>من «نادرًا» إلى «دائمًا»، حسب طبيعة البنود.</w:t>
            </w:r>
          </w:p>
        </w:tc>
        <w:tc>
          <w:tcPr>
            <w:tcW w:w="1398" w:type="dxa"/>
          </w:tcPr>
          <w:p w14:paraId="1D78E2A3" w14:textId="2A5CDB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lastRenderedPageBreak/>
              <w:t xml:space="preserve">فقرة نموذجية: «الأخطاء التي تحدث في القسم تُستخدم لتحسين العمل، </w:t>
            </w:r>
            <w:r>
              <w:rPr>
                <w:rFonts w:ascii="Simplified Arabic" w:hAnsi="Simplified Arabic" w:cs="Simplified Arabic"/>
                <w:noProof/>
                <w:sz w:val="18"/>
                <w:szCs w:val="18"/>
                <w:rtl/>
              </w:rPr>
              <w:lastRenderedPageBreak/>
              <w:t>وليست لمعاقبة الأفراد».</w:t>
            </w:r>
          </w:p>
        </w:tc>
      </w:tr>
      <w:tr w:rsidR="00C53D9D" w:rsidRPr="00C53D9D" w14:paraId="02B608B7"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AF835B5" w14:textId="1C7902B7"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lastRenderedPageBreak/>
              <w:t>سلوكيات السلامة</w:t>
            </w:r>
            <w:r w:rsidRPr="00C53D9D">
              <w:rPr>
                <w:rFonts w:ascii="Simplified Arabic" w:hAnsi="Simplified Arabic" w:cs="Simplified Arabic"/>
                <w:noProof/>
                <w:sz w:val="20"/>
                <w:szCs w:val="20"/>
              </w:rPr>
              <w:t xml:space="preserve"> (SB)</w:t>
            </w:r>
          </w:p>
        </w:tc>
        <w:tc>
          <w:tcPr>
            <w:tcW w:w="1440" w:type="dxa"/>
          </w:tcPr>
          <w:p w14:paraId="34D52F76" w14:textId="1D66FE6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سلوكيات السلامة (مستند إلى أدوات مستخدمة في أحدث دراسات سلامة المرضى والتي أعتمدها في الرسالة)</w:t>
            </w:r>
          </w:p>
        </w:tc>
        <w:tc>
          <w:tcPr>
            <w:tcW w:w="1530" w:type="dxa"/>
          </w:tcPr>
          <w:p w14:paraId="59986ECA" w14:textId="7EF5BB0F"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مثل</w:t>
            </w:r>
            <w:r w:rsidRPr="00C53D9D">
              <w:rPr>
                <w:rFonts w:ascii="Simplified Arabic" w:hAnsi="Simplified Arabic" w:cs="Simplified Arabic"/>
                <w:noProof/>
                <w:sz w:val="18"/>
                <w:szCs w:val="18"/>
              </w:rPr>
              <w:t xml:space="preserve"> Mohammed (2025) </w:t>
            </w:r>
            <w:r w:rsidRPr="00C53D9D">
              <w:rPr>
                <w:rFonts w:ascii="Simplified Arabic" w:hAnsi="Simplified Arabic" w:cs="Simplified Arabic"/>
                <w:noProof/>
                <w:sz w:val="18"/>
                <w:szCs w:val="18"/>
                <w:rtl/>
              </w:rPr>
              <w:t>أو غيره من المراجع التي استندت إليها في بناء مقياس السلوكيات</w:t>
            </w:r>
            <w:r w:rsidRPr="00C53D9D">
              <w:rPr>
                <w:rFonts w:ascii="Simplified Arabic" w:hAnsi="Simplified Arabic" w:cs="Simplified Arabic"/>
                <w:noProof/>
                <w:sz w:val="18"/>
                <w:szCs w:val="18"/>
              </w:rPr>
              <w:t>.</w:t>
            </w:r>
            <w:r w:rsidRPr="00C53D9D">
              <w:rPr>
                <w:rFonts w:ascii="Times New Roman" w:hAnsi="Times New Roman" w:cs="Times New Roman"/>
                <w:noProof/>
                <w:sz w:val="18"/>
                <w:szCs w:val="18"/>
              </w:rPr>
              <w:t>​</w:t>
            </w:r>
          </w:p>
        </w:tc>
        <w:tc>
          <w:tcPr>
            <w:tcW w:w="1734" w:type="dxa"/>
          </w:tcPr>
          <w:p w14:paraId="13D01A40" w14:textId="233ACDAF"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عدد الأبعاد، مثل: الالتزام بالإجراءات، الإبلاغ عن الأخطاء، والمشاركة في عمليات التحسين.</w:t>
            </w:r>
          </w:p>
        </w:tc>
        <w:tc>
          <w:tcPr>
            <w:tcW w:w="1398" w:type="dxa"/>
          </w:tcPr>
          <w:p w14:paraId="449E733C" w14:textId="05BD6B7A"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الكلي (15–20 فقرة)</w:t>
            </w:r>
          </w:p>
        </w:tc>
        <w:tc>
          <w:tcPr>
            <w:tcW w:w="1398" w:type="dxa"/>
          </w:tcPr>
          <w:p w14:paraId="4615CA8F" w14:textId="3C3023C0"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(من «أبدًا» إلى «دائمًا»)</w:t>
            </w:r>
          </w:p>
        </w:tc>
        <w:tc>
          <w:tcPr>
            <w:tcW w:w="1398" w:type="dxa"/>
          </w:tcPr>
          <w:p w14:paraId="7E82E34D" w14:textId="67BAE1C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«أحرص دائمًا على التحقق من هوية المريض قبل إعطاء الدواء».</w:t>
            </w:r>
          </w:p>
        </w:tc>
      </w:tr>
      <w:tr w:rsidR="00C53D9D" w:rsidRPr="00C53D9D" w14:paraId="4E6AF530"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073C355E" w14:textId="784D1BC9"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الأحداث الضارة</w:t>
            </w:r>
            <w:r w:rsidRPr="00C53D9D">
              <w:rPr>
                <w:rFonts w:ascii="Simplified Arabic" w:hAnsi="Simplified Arabic" w:cs="Simplified Arabic"/>
                <w:noProof/>
                <w:sz w:val="20"/>
                <w:szCs w:val="20"/>
              </w:rPr>
              <w:t xml:space="preserve"> (AE)</w:t>
            </w:r>
          </w:p>
        </w:tc>
        <w:tc>
          <w:tcPr>
            <w:tcW w:w="1440" w:type="dxa"/>
          </w:tcPr>
          <w:p w14:paraId="6D9B3F64" w14:textId="5F08D8A8"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لتقييم مدى تكرار وقوع الأحداث الضارة حسب إدراك العاملين</w:t>
            </w:r>
          </w:p>
        </w:tc>
        <w:tc>
          <w:tcPr>
            <w:tcW w:w="1530" w:type="dxa"/>
          </w:tcPr>
          <w:p w14:paraId="538EA544" w14:textId="17659AB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مستند إلى الأدبيات حول الأخطاء الدوائية والعدوى وحوادث المرضى، مع تعديل البنود استنادًا إلى مصادر مثل </w:t>
            </w:r>
            <w:r>
              <w:rPr>
                <w:rFonts w:ascii="Simplified Arabic" w:hAnsi="Simplified Arabic" w:cs="Simplified Arabic"/>
                <w:noProof/>
                <w:sz w:val="18"/>
                <w:szCs w:val="18"/>
              </w:rPr>
              <w:t>Shenoy</w:t>
            </w:r>
            <w:r>
              <w:rPr>
                <w:rFonts w:ascii="Simplified Arabic" w:hAnsi="Simplified Arabic" w:cs="Simplified Arabic"/>
                <w:noProof/>
                <w:sz w:val="18"/>
                <w:szCs w:val="18"/>
                <w:rtl/>
              </w:rPr>
              <w:t xml:space="preserve"> (2021) ودراسات سعودية.</w:t>
            </w:r>
          </w:p>
        </w:tc>
        <w:tc>
          <w:tcPr>
            <w:tcW w:w="1734" w:type="dxa"/>
          </w:tcPr>
          <w:p w14:paraId="57DFA83C" w14:textId="18792EC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يمكن أن يُعامل كمُتغير أحادي البُعد يُمثِل تكرار مجموعة من الأحداث الضارة</w:t>
            </w:r>
          </w:p>
        </w:tc>
        <w:tc>
          <w:tcPr>
            <w:tcW w:w="1398" w:type="dxa"/>
          </w:tcPr>
          <w:p w14:paraId="56A15828" w14:textId="1DEFD8F7" w:rsidR="00C53D9D" w:rsidRPr="00C53D9D" w:rsidRDefault="00C53D9D"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( 6–10 بنود تغطي أنواع الحوادث الرئيسة)</w:t>
            </w:r>
          </w:p>
        </w:tc>
        <w:tc>
          <w:tcPr>
            <w:tcW w:w="1398" w:type="dxa"/>
          </w:tcPr>
          <w:p w14:paraId="5DD439AB" w14:textId="1CF9779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التكراري (من «أبدًا» إلى «أكثر من عدة مرات في الشهر»)</w:t>
            </w:r>
          </w:p>
        </w:tc>
        <w:tc>
          <w:tcPr>
            <w:tcW w:w="1398" w:type="dxa"/>
          </w:tcPr>
          <w:p w14:paraId="6A1455AF" w14:textId="22DE671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«خلال الأشهر الـ 12 الماضية، كم مرة لاحظت خطأ دوائيًا وصل إلى المريض؟».</w:t>
            </w:r>
          </w:p>
        </w:tc>
      </w:tr>
    </w:tbl>
    <w:p w14:paraId="6412DC3A" w14:textId="0DE7A00A" w:rsidR="00390B53" w:rsidRPr="00EA597B" w:rsidRDefault="00C53D9D"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b/>
          <w:bCs/>
          <w:noProof/>
          <w:sz w:val="24"/>
          <w:szCs w:val="24"/>
        </w:rPr>
        <w:t xml:space="preserve">2.5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القيادة التحويلية في القطاع الصحي</w:t>
      </w:r>
    </w:p>
    <w:p w14:paraId="42978DFD" w14:textId="77777777" w:rsidR="00390B53" w:rsidRPr="00EA597B" w:rsidRDefault="00390B53" w:rsidP="00390B53">
      <w:pPr>
        <w:bidi/>
        <w:spacing w:before="240" w:line="360" w:lineRule="auto"/>
        <w:jc w:val="both"/>
        <w:rPr>
          <w:rFonts w:ascii="Simplified Arabic" w:hAnsi="Simplified Arabic" w:cs="Simplified Arabic"/>
          <w:noProof/>
          <w:sz w:val="24"/>
          <w:szCs w:val="24"/>
        </w:rPr>
      </w:pPr>
      <w:r w:rsidRPr="00EA597B">
        <w:rPr>
          <w:rFonts w:ascii="Simplified Arabic" w:hAnsi="Simplified Arabic" w:cs="Simplified Arabic"/>
          <w:noProof/>
          <w:sz w:val="24"/>
          <w:szCs w:val="24"/>
          <w:rtl/>
        </w:rPr>
        <w:t>تعتبر القيادة التحولية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وتمكينهم من تحقيق أداء يفوق التوقعات من خلال التأثير النموذجي، والتحفيز الملهم، والتفكير الإبداعي، والاهتمام بالفرد</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  وتشير الدراسات في بيئة المستشفيات إلى أن القيادة التحولية ترتبط بشكل إيجابي بعدة مؤشرات، مثل الرضا الوظيفي، والالتزام بالمؤسسة، والتعاون بين الفرق، وجودة الرعاية، وسلامة المرضى</w:t>
      </w:r>
      <w:r w:rsidRPr="00EA597B">
        <w:rPr>
          <w:rFonts w:ascii="Simplified Arabic" w:hAnsi="Simplified Arabic" w:cs="Simplified Arabic"/>
          <w:noProof/>
          <w:sz w:val="24"/>
          <w:szCs w:val="24"/>
          <w:rtl/>
        </w:rPr>
        <w:fldChar w:fldCharType="begin"/>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 &lt;EndNote&gt;&lt;Cite&gt;&lt;Author</w:instrText>
      </w:r>
      <w:r w:rsidRPr="00EA597B">
        <w:rPr>
          <w:rFonts w:ascii="Simplified Arabic" w:hAnsi="Simplified Arabic" w:cs="Simplified Arabic"/>
          <w:noProof/>
          <w:sz w:val="24"/>
          <w:szCs w:val="24"/>
          <w:rtl/>
        </w:rPr>
        <w:instrText>&gt;اسماعيل محمد الشيخ&lt;/</w:instrText>
      </w:r>
      <w:r w:rsidRPr="00EA597B">
        <w:rPr>
          <w:rFonts w:ascii="Simplified Arabic" w:hAnsi="Simplified Arabic" w:cs="Simplified Arabic"/>
          <w:noProof/>
          <w:sz w:val="24"/>
          <w:szCs w:val="24"/>
        </w:rPr>
        <w:instrText>Author&gt;&lt;Year&gt;2024&lt;/Year&gt;&lt;RecNum&gt;177&lt;/RecNum&gt;&lt;DisplayText</w:instrText>
      </w:r>
      <w:r w:rsidRPr="00EA597B">
        <w:rPr>
          <w:rFonts w:ascii="Simplified Arabic" w:hAnsi="Simplified Arabic" w:cs="Simplified Arabic"/>
          <w:noProof/>
          <w:sz w:val="24"/>
          <w:szCs w:val="24"/>
          <w:rtl/>
        </w:rPr>
        <w:instrText xml:space="preserve">&gt;(اسماعيل محمد الشيخ </w:instrText>
      </w:r>
      <w:r w:rsidRPr="00EA597B">
        <w:rPr>
          <w:rFonts w:ascii="Simplified Arabic" w:hAnsi="Simplified Arabic" w:cs="Simplified Arabic"/>
          <w:noProof/>
          <w:sz w:val="24"/>
          <w:szCs w:val="24"/>
        </w:rPr>
        <w:instrText>et al., 2024</w:instrText>
      </w:r>
      <w:r w:rsidRPr="00EA597B">
        <w:rPr>
          <w:rFonts w:ascii="Simplified Arabic" w:hAnsi="Simplified Arabic" w:cs="Simplified Arabic"/>
          <w:noProof/>
          <w:sz w:val="24"/>
          <w:szCs w:val="24"/>
          <w:rtl/>
        </w:rPr>
        <w:instrText>)&lt;/</w:instrText>
      </w:r>
      <w:r w:rsidRPr="00EA597B">
        <w:rPr>
          <w:rFonts w:ascii="Simplified Arabic" w:hAnsi="Simplified Arabic" w:cs="Simplified Arabic"/>
          <w:noProof/>
          <w:sz w:val="24"/>
          <w:szCs w:val="24"/>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EA597B">
        <w:rPr>
          <w:rFonts w:ascii="Simplified Arabic" w:hAnsi="Simplified Arabic" w:cs="Simplified Arabic"/>
          <w:noProof/>
          <w:sz w:val="24"/>
          <w:szCs w:val="24"/>
          <w:rtl/>
        </w:rPr>
        <w:instrText>&gt;اسماعيل محمد الشيخ, مني&lt;/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&gt;بكرى عبد العليم إسماعيل, محمد&lt;/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&gt;محمد عامر, أمانى&lt;/</w:instrText>
      </w:r>
      <w:r w:rsidRPr="00EA597B">
        <w:rPr>
          <w:rFonts w:ascii="Simplified Arabic" w:hAnsi="Simplified Arabic" w:cs="Simplified Arabic"/>
          <w:noProof/>
          <w:sz w:val="24"/>
          <w:szCs w:val="24"/>
        </w:rPr>
        <w:instrText>author&gt;&lt;/authors&gt;&lt;/contributors&gt;&lt;titles&gt;&lt;title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title&gt;&lt;secondary-title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secondary-title&gt;&lt;short-title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short-title&gt;&lt;/titles&gt;&lt;periodical&gt;&lt;full-title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full-title&gt;&lt;/periodical&gt;&lt;pages&gt;137-168&lt;/pages&gt;&lt;volume&gt;3&lt;/volume&gt;&lt;number&gt;2&lt;/number&gt;&lt;keywords&gt;&lt;keyword</w:instrText>
      </w:r>
      <w:r w:rsidRPr="00EA597B">
        <w:rPr>
          <w:rFonts w:ascii="Simplified Arabic" w:hAnsi="Simplified Arabic" w:cs="Simplified Arabic"/>
          <w:noProof/>
          <w:sz w:val="24"/>
          <w:szCs w:val="24"/>
          <w:rtl/>
        </w:rPr>
        <w:instrText>&gt;الانتهاك الايجابى لقواعد المنظمة&lt;/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&gt;القيادة التحويلية&lt;/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&gt;الابداع التنظيمى&lt;/</w:instrText>
      </w:r>
      <w:r w:rsidRPr="00EA597B">
        <w:rPr>
          <w:rFonts w:ascii="Simplified Arabic" w:hAnsi="Simplified Arabic" w:cs="Simplified Arabic"/>
          <w:noProof/>
          <w:sz w:val="24"/>
          <w:szCs w:val="24"/>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EA597B">
        <w:rPr>
          <w:rFonts w:ascii="Simplified Arabic" w:hAnsi="Simplified Arabic" w:cs="Simplified Arabic"/>
          <w:noProof/>
          <w:sz w:val="24"/>
          <w:szCs w:val="24"/>
          <w:rtl/>
        </w:rPr>
        <w:instrText>&gt;</w:instrText>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 xml:space="preserve">(اسماعيل محمد الشيخ </w:t>
      </w:r>
      <w:r w:rsidRPr="00EA597B">
        <w:rPr>
          <w:rFonts w:ascii="Simplified Arabic" w:hAnsi="Simplified Arabic" w:cs="Simplified Arabic"/>
          <w:noProof/>
          <w:sz w:val="24"/>
          <w:szCs w:val="24"/>
        </w:rPr>
        <w:t>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w:t>
      </w:r>
    </w:p>
    <w:p w14:paraId="4B2EF27C"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EA597B">
        <w:rPr>
          <w:rFonts w:ascii="Simplified Arabic" w:hAnsi="Simplified Arabic" w:cs="Simplified Arabic"/>
          <w:noProof/>
          <w:sz w:val="24"/>
          <w:szCs w:val="24"/>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 Alotaibi et al., 2015; Hamdan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154D4E">
        <w:rPr>
          <w:rFonts w:ascii="Sakkal Majalla" w:hAnsi="Sakkal Majalla" w:cs="Sakkal Majalla"/>
          <w:noProof/>
          <w:sz w:val="28"/>
          <w:szCs w:val="28"/>
          <w:rtl/>
        </w:rPr>
        <w:t>.</w:t>
      </w:r>
    </w:p>
    <w:p w14:paraId="63195523" w14:textId="72ECFFC1" w:rsidR="00390B53" w:rsidRPr="00EA597B" w:rsidRDefault="00B601BC" w:rsidP="00390B53">
      <w:pPr>
        <w:bidi/>
        <w:spacing w:before="210" w:after="0" w:line="360" w:lineRule="auto"/>
        <w:jc w:val="both"/>
        <w:rPr>
          <w:rFonts w:ascii="Simplified Arabic" w:hAnsi="Simplified Arabic" w:cs="Simplified Arabic"/>
          <w:b/>
          <w:bCs/>
          <w:noProof/>
          <w:sz w:val="24"/>
          <w:szCs w:val="24"/>
          <w:rtl/>
        </w:rPr>
      </w:pPr>
      <w:r w:rsidRPr="00EA597B">
        <w:rPr>
          <w:rFonts w:ascii="Simplified Arabic" w:hAnsi="Simplified Arabic" w:cs="Simplified Arabic"/>
          <w:b/>
          <w:bCs/>
          <w:noProof/>
          <w:sz w:val="24"/>
          <w:szCs w:val="24"/>
        </w:rPr>
        <w:lastRenderedPageBreak/>
        <w:t xml:space="preserve"> </w:t>
      </w:r>
      <w:r w:rsidR="00EA597B">
        <w:rPr>
          <w:rFonts w:ascii="Simplified Arabic" w:hAnsi="Simplified Arabic" w:cs="Simplified Arabic"/>
          <w:b/>
          <w:bCs/>
          <w:noProof/>
          <w:sz w:val="24"/>
          <w:szCs w:val="24"/>
        </w:rPr>
        <w:t>2.5</w:t>
      </w:r>
      <w:r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أبعاد القيادة التحويلية</w:t>
      </w:r>
    </w:p>
    <w:p w14:paraId="1ACF6393" w14:textId="77777777" w:rsidR="00B601BC" w:rsidRDefault="00390B53" w:rsidP="00B601BC">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يبنى نموذج القيادة التحويلية، كما وضعه باس وأفوليو، على أربعة أبعاد مترابطة تشكل الإطار المفاهيمي الأساسي للدراسة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445155F" w14:textId="7C078BFB" w:rsidR="00B601BC" w:rsidRPr="00B601BC" w:rsidRDefault="00EA597B" w:rsidP="00B601BC">
      <w:pPr>
        <w:bidi/>
        <w:spacing w:before="210" w:after="0" w:line="360" w:lineRule="auto"/>
        <w:jc w:val="both"/>
        <w:rPr>
          <w:rFonts w:ascii="Simplified Arabic" w:hAnsi="Simplified Arabic" w:cs="Simplified Arabic"/>
          <w:b/>
          <w:bCs/>
          <w:noProof/>
          <w:sz w:val="24"/>
          <w:szCs w:val="24"/>
        </w:rPr>
      </w:pPr>
      <w:r>
        <w:rPr>
          <w:rFonts w:ascii="Simplified Arabic" w:hAnsi="Simplified Arabic" w:cs="Simplified Arabic" w:hint="cs"/>
          <w:noProof/>
          <w:sz w:val="24"/>
          <w:szCs w:val="24"/>
          <w:rtl/>
        </w:rPr>
        <w:t xml:space="preserve">2.5.1 </w:t>
      </w:r>
      <w:r w:rsidR="00390B53" w:rsidRPr="00B601BC">
        <w:rPr>
          <w:rFonts w:ascii="Simplified Arabic" w:hAnsi="Simplified Arabic" w:cs="Simplified Arabic"/>
          <w:b/>
          <w:bCs/>
          <w:noProof/>
          <w:sz w:val="24"/>
          <w:szCs w:val="24"/>
          <w:rtl/>
        </w:rPr>
        <w:t>التأثير المثالي</w:t>
      </w:r>
      <w:r w:rsidR="00390B53" w:rsidRPr="00B601BC">
        <w:rPr>
          <w:rFonts w:ascii="Simplified Arabic" w:hAnsi="Simplified Arabic" w:cs="Simplified Arabic"/>
          <w:b/>
          <w:bCs/>
          <w:noProof/>
          <w:sz w:val="24"/>
          <w:szCs w:val="24"/>
        </w:rPr>
        <w:t xml:space="preserve"> (Idealized Influence)</w:t>
      </w:r>
    </w:p>
    <w:p w14:paraId="11F73F93" w14:textId="3BD061CF" w:rsidR="00390B53" w:rsidRPr="00DE1F7A" w:rsidRDefault="00390B53" w:rsidP="00B601BC">
      <w:pPr>
        <w:bidi/>
        <w:spacing w:before="210" w:after="0" w:line="360" w:lineRule="auto"/>
        <w:jc w:val="both"/>
        <w:rPr>
          <w:rFonts w:ascii="Simplified Arabic" w:hAnsi="Simplified Arabic" w:cs="Simplified Arabic"/>
          <w:noProof/>
          <w:sz w:val="24"/>
          <w:szCs w:val="24"/>
        </w:rPr>
      </w:pPr>
      <w:r w:rsidRPr="00154D4E">
        <w:rPr>
          <w:rFonts w:ascii="Sakkal Majalla" w:hAnsi="Sakkal Majalla" w:cs="Sakkal Majalla"/>
          <w:noProof/>
          <w:sz w:val="28"/>
          <w:szCs w:val="28"/>
          <w:rtl/>
        </w:rPr>
        <w:t xml:space="preserve">يشير التأثير المثالي إلى قدرة القائد على أن يكون قدوة أخلاقية ومهنية يحتذى بها، من خلال الاتساق بين القول والفعل، وتحمل المسؤولية، وإعلاء المصلحة العامة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.اما في بيئة المستشفيات، يسهم هذا البعد في تعزيز ثقة العاملين بقياداتهم، مما يزيد من استعدادهم لتبني قيم السلامة والمساهمة في برامج تحسينها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Author&gt;&lt;Year&gt;2024&lt;/Year&gt;&lt;RecNum&gt;175&lt;/RecNum&gt;&lt;DisplayText</w:instrText>
      </w:r>
      <w:r w:rsidRPr="00154D4E">
        <w:rPr>
          <w:rFonts w:ascii="Sakkal Majalla" w:hAnsi="Sakkal Majalla" w:cs="Sakkal Majalla"/>
          <w:noProof/>
          <w:sz w:val="28"/>
          <w:szCs w:val="28"/>
          <w:rtl/>
        </w:rPr>
        <w:instrText>&gt;(البركاني, 2024)&lt;/</w:instrText>
      </w:r>
      <w:r w:rsidRPr="00154D4E">
        <w:rPr>
          <w:rFonts w:ascii="Sakkal Majalla" w:hAnsi="Sakkal Majalla" w:cs="Sakkal Majalla"/>
          <w:noProof/>
          <w:sz w:val="28"/>
          <w:szCs w:val="28"/>
        </w:rPr>
        <w:instrText>DisplayText&gt;&lt;record&gt;&lt;rec-number&gt;175&lt;/rec-number&gt;&lt;foreign-keys&gt;&lt;key app="EN" db-id="02retxxrerxdxhe9aphvs0z2t9z25p0ew99s" timestamp</w:instrText>
      </w:r>
      <w:r w:rsidRPr="00154D4E">
        <w:rPr>
          <w:rFonts w:ascii="Sakkal Majalla" w:hAnsi="Sakkal Majalla" w:cs="Sakkal Majalla"/>
          <w:noProof/>
          <w:sz w:val="28"/>
          <w:szCs w:val="28"/>
          <w:rtl/>
        </w:rPr>
        <w:instrText>="1754213809"&gt;175&lt;/</w:instrText>
      </w:r>
      <w:r w:rsidRPr="00154D4E">
        <w:rPr>
          <w:rFonts w:ascii="Sakkal Majalla" w:hAnsi="Sakkal Majalla" w:cs="Sakkal Majalla"/>
          <w:noProof/>
          <w:sz w:val="28"/>
          <w:szCs w:val="28"/>
        </w:rPr>
        <w:instrText>key&gt;&lt;/foreign-keys&gt;&lt;ref-type name="Journal Article"&gt;17&lt;/ref-type&gt;&lt;contributors&gt;&lt;authors&gt;&lt;author&gt;&lt;style face="normal" font="default" charset="178" size="100%</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style&gt;&lt;style face="normal" font="default" size="100%"&gt;, &lt;/style&gt;&lt;style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face="normal" font="default" charset="178" size="100%</w:instrText>
      </w:r>
      <w:r w:rsidRPr="00154D4E">
        <w:rPr>
          <w:rFonts w:ascii="Sakkal Majalla" w:hAnsi="Sakkal Majalla" w:cs="Sakkal Majalla"/>
          <w:noProof/>
          <w:sz w:val="28"/>
          <w:szCs w:val="28"/>
          <w:rtl/>
        </w:rPr>
        <w:instrText>"&gt;يوسف ضويحي&lt;/</w:instrText>
      </w:r>
      <w:r w:rsidRPr="00154D4E">
        <w:rPr>
          <w:rFonts w:ascii="Sakkal Majalla" w:hAnsi="Sakkal Majalla" w:cs="Sakkal Majalla"/>
          <w:noProof/>
          <w:sz w:val="28"/>
          <w:szCs w:val="28"/>
        </w:rPr>
        <w:instrText>style&gt;&lt;/author&gt;&lt;/authors&gt;&lt;/contributors&gt;&lt;titles&gt;&lt;title&gt;&lt;style face="normal" font="default" charset="178" size="100%</w:instrText>
      </w:r>
      <w:r w:rsidRPr="00154D4E">
        <w:rPr>
          <w:rFonts w:ascii="Sakkal Majalla" w:hAnsi="Sakkal Majalla" w:cs="Sakkal Majalla"/>
          <w:noProof/>
          <w:sz w:val="28"/>
          <w:szCs w:val="28"/>
          <w:rtl/>
        </w:rPr>
        <w:instrText>"&gt;أثر القيادة التحويلية على فاعلية اتخاذ القرارات&lt;/</w:instrText>
      </w:r>
      <w:r w:rsidRPr="00154D4E">
        <w:rPr>
          <w:rFonts w:ascii="Sakkal Majalla" w:hAnsi="Sakkal Majalla" w:cs="Sakkal Majalla"/>
          <w:noProof/>
          <w:sz w:val="28"/>
          <w:szCs w:val="28"/>
        </w:rPr>
        <w:instrText>style&gt;&lt;style face="normal" font="default" size="100%"&gt;: &lt;/style&gt;&lt;style face="normal" font="default" charset="178" size="100%</w:instrText>
      </w:r>
      <w:r w:rsidRPr="00154D4E">
        <w:rPr>
          <w:rFonts w:ascii="Sakkal Majalla" w:hAnsi="Sakkal Majalla" w:cs="Sakkal Majalla"/>
          <w:noProof/>
          <w:sz w:val="28"/>
          <w:szCs w:val="28"/>
          <w:rtl/>
        </w:rPr>
        <w:instrText>"&gt;دراسة تطبيقية على مستشفى العام&lt;/</w:instrText>
      </w:r>
      <w:r w:rsidRPr="00154D4E">
        <w:rPr>
          <w:rFonts w:ascii="Sakkal Majalla" w:hAnsi="Sakkal Majalla" w:cs="Sakkal Majalla"/>
          <w:noProof/>
          <w:sz w:val="28"/>
          <w:szCs w:val="28"/>
        </w:rPr>
        <w:instrText>style&gt;&lt;/title&gt;&lt;secondary-title&gt;&lt;style face="normal" font="default" charset="178" size="100%</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style&gt;&lt;/secondary-title&gt;&lt;/titles&gt;&lt;periodical&gt;&lt;full-title</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full-title&gt;&lt;/periodical&gt;&lt;dates&gt;&lt;year&gt;2024&lt;/year&gt;&lt;/dates&gt;&lt;urls&gt;&lt;/urls&gt;&lt;electronic-resource-num&gt;10.26389/AJSRP.K270923&lt;/electronic</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(البركاني</w:t>
      </w:r>
      <w:r w:rsidR="00F51AF9">
        <w:rPr>
          <w:rFonts w:ascii="Sakkal Majalla" w:hAnsi="Sakkal Majalla" w:cs="Sakkal Majalla" w:hint="cs"/>
          <w:noProof/>
          <w:sz w:val="28"/>
          <w:szCs w:val="28"/>
          <w:rtl/>
        </w:rPr>
        <w:t>،</w:t>
      </w:r>
      <w:r w:rsidRPr="00154D4E">
        <w:rPr>
          <w:rFonts w:ascii="Sakkal Majalla" w:hAnsi="Sakkal Majalla" w:cs="Sakkal Majalla"/>
          <w:noProof/>
          <w:sz w:val="28"/>
          <w:szCs w:val="28"/>
          <w:rtl/>
        </w:rPr>
        <w:t xml:space="preserve"> 2024)</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FB70A4B" w14:textId="5B428538" w:rsidR="00DE1F7A" w:rsidRPr="00DE1F7A" w:rsidRDefault="00EA597B" w:rsidP="00DE1F7A">
      <w:pPr>
        <w:bidi/>
        <w:spacing w:before="210" w:after="0" w:line="360" w:lineRule="auto"/>
        <w:jc w:val="both"/>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 xml:space="preserve">2.5.2 </w:t>
      </w:r>
      <w:r w:rsidR="00390B53" w:rsidRPr="00DE1F7A">
        <w:rPr>
          <w:rFonts w:ascii="Simplified Arabic" w:hAnsi="Simplified Arabic" w:cs="Simplified Arabic"/>
          <w:b/>
          <w:bCs/>
          <w:noProof/>
          <w:sz w:val="24"/>
          <w:szCs w:val="24"/>
          <w:rtl/>
        </w:rPr>
        <w:t>التحفيز الملهم</w:t>
      </w:r>
      <w:r w:rsidR="00390B53" w:rsidRPr="00DE1F7A">
        <w:rPr>
          <w:rFonts w:ascii="Simplified Arabic" w:hAnsi="Simplified Arabic" w:cs="Simplified Arabic"/>
          <w:b/>
          <w:bCs/>
          <w:noProof/>
          <w:sz w:val="24"/>
          <w:szCs w:val="24"/>
        </w:rPr>
        <w:t xml:space="preserve"> (Inspirational Motivation)</w:t>
      </w:r>
    </w:p>
    <w:p w14:paraId="554EA5E5" w14:textId="4EC7BD53"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يعبر التحفيز الملهم عن قدرة القائد على تطوير رؤية واضحة ومشتركة للمستقبل، والتعبير عنها بطريقة تحفز الحماس وتضفي على العمل معنى وقيمة أكبر</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&lt;EndNote&gt;&lt;Cite&gt;&lt;Author&gt;Avolio&lt;/Author&gt;&lt;Year&gt;1999&lt;/Year&gt;&lt;RecNum&gt;178&lt;/RecNum&gt;&lt;DisplayText&gt;(Avolio et al., 1999)&lt;/DisplayText&gt;&lt;record&gt;&lt;rec-number&gt;178&lt;/rec-number&gt;&lt;foreign-keys&gt;&lt;key app="EN" db-id="02retxxrerxdxhe9aphvs0z2t9z25p0ew99s" timestamp="1754595315"&gt;178&lt;/key&gt;&lt;/foreign-keys&gt;&lt;ref-type name="Journal Article"&gt;17&lt;/ref-type&gt;&lt;contributors&gt;&lt;authors&gt;&lt;author&gt;Avolio, B.&lt;/author&gt;&lt;author&gt;Bass, Bernard M.&lt;/author&gt;&lt;author&gt;Jung, Dong Il&lt;/author&gt;&lt;/authors&gt;&lt;/contributors&gt;&lt;titles&gt;&lt;title&gt;Re</w:instrText>
      </w:r>
      <w:r w:rsidRPr="00DE1F7A">
        <w:rPr>
          <w:rFonts w:ascii="Cambria Math" w:hAnsi="Cambria Math" w:cs="Cambria Math"/>
          <w:noProof/>
          <w:sz w:val="24"/>
          <w:szCs w:val="24"/>
        </w:rPr>
        <w:instrText>‐</w:instrText>
      </w:r>
      <w:r w:rsidRPr="00DE1F7A">
        <w:rPr>
          <w:rFonts w:ascii="Simplified Arabic" w:hAnsi="Simplified Arabic" w:cs="Simplified Arabic"/>
          <w:noProof/>
          <w:sz w:val="24"/>
          <w:szCs w:val="24"/>
        </w:rPr>
        <w:instrText>examining the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components of transformational and transactional leadership using the Multifactor Leadership&lt;/title&gt;&lt;secondary-title&gt;Journal of Occupational and Organizational Psychology&lt;/secondary-title&gt;&lt;/titles&gt;&lt;periodical&gt;&lt;full-title&gt;Journal of Occupational and Organizational Psychology&lt;/full-title&gt;&lt;/periodical&gt;&lt;pages&gt;441-462&lt;/pages&gt;&lt;volume&gt;72&lt;/volume&gt;&lt;dates&gt;&lt;year&gt;1999&lt;/year&gt;&lt;/dates&gt;&lt;urls&gt;&lt;/urls&gt;&lt;electronic-resource-num&gt;10.1348/096317999166789&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Avolio et al., 1999</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وذلك عندما يربط القائد رسالة المستشفى بهدف حماية المرضى من الأذى، يتولد لدى العاملين إحساس بالمسؤولية الأخلاقية للالتزام بسلوكيات السلامة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F372A12" w14:textId="77777777" w:rsidR="00DE1F7A" w:rsidRDefault="00DE1F7A"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2.3.3</w:t>
      </w:r>
      <w:r w:rsidR="00390B53" w:rsidRPr="00DE1F7A">
        <w:rPr>
          <w:rFonts w:ascii="Simplified Arabic" w:hAnsi="Simplified Arabic" w:cs="Simplified Arabic"/>
          <w:b/>
          <w:bCs/>
          <w:noProof/>
          <w:sz w:val="24"/>
          <w:szCs w:val="24"/>
          <w:rtl/>
        </w:rPr>
        <w:t>الاستثارة الفكرية</w:t>
      </w:r>
      <w:r w:rsidR="00390B53" w:rsidRPr="00DE1F7A">
        <w:rPr>
          <w:rFonts w:ascii="Simplified Arabic" w:hAnsi="Simplified Arabic" w:cs="Simplified Arabic"/>
          <w:b/>
          <w:bCs/>
          <w:noProof/>
          <w:sz w:val="24"/>
          <w:szCs w:val="24"/>
        </w:rPr>
        <w:t xml:space="preserve"> (Intellectual Stimulation)</w:t>
      </w:r>
    </w:p>
    <w:p w14:paraId="453F2492" w14:textId="3BF488F6"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تتجلى الاستثارة الفكرية عندما يحفز القائد العاملين معه على التفكير النقدي، وإعادة تقييم الطرق التقليدية للعمل، واقتراح حلول جديدة للمشكلات التنظيمية والسريرية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Bass &amp; Avolio, 1996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في المجال الصحي، يربط هذا البعد بتشجيع الموظفين على إعادة النظر في البروتوكولات، واستكشاف أسباب الأخطاء، والمشاركة في مبادرات تحسين جودة وسلامة المرضى(</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p>
    <w:p w14:paraId="707B7F2A" w14:textId="77777777" w:rsidR="00DE1F7A" w:rsidRPr="00DE1F7A" w:rsidRDefault="00DE1F7A"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2.3.4</w:t>
      </w:r>
      <w:r w:rsidR="00390B53" w:rsidRPr="00DE1F7A">
        <w:rPr>
          <w:rFonts w:ascii="Simplified Arabic" w:hAnsi="Simplified Arabic" w:cs="Simplified Arabic"/>
          <w:b/>
          <w:bCs/>
          <w:noProof/>
          <w:sz w:val="24"/>
          <w:szCs w:val="24"/>
          <w:rtl/>
        </w:rPr>
        <w:t>الاعتبار الفردي</w:t>
      </w:r>
      <w:r w:rsidR="00390B53" w:rsidRPr="00DE1F7A">
        <w:rPr>
          <w:rFonts w:ascii="Simplified Arabic" w:hAnsi="Simplified Arabic" w:cs="Simplified Arabic"/>
          <w:b/>
          <w:bCs/>
          <w:noProof/>
          <w:sz w:val="24"/>
          <w:szCs w:val="24"/>
        </w:rPr>
        <w:t xml:space="preserve"> (Individualized Consideration)</w:t>
      </w:r>
    </w:p>
    <w:p w14:paraId="79669EB0" w14:textId="149D4562"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يعبر الاعتبار الفردي عن اهتمام القائد بالاحتياجات الفردية للعاملين من دعم وإرشاد وتطوير مهني، من خلال الاستماع الفعّال والمتابعة الشخصية والتغذية الراجعة البنّاءة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&gt;الحاج&lt;/</w:instrText>
      </w:r>
      <w:r w:rsidRPr="00DE1F7A">
        <w:rPr>
          <w:rFonts w:ascii="Simplified Arabic" w:hAnsi="Simplified Arabic" w:cs="Simplified Arabic"/>
          <w:noProof/>
          <w:sz w:val="24"/>
          <w:szCs w:val="24"/>
        </w:rPr>
        <w:instrText>Author&gt;&lt;Year&gt;2024&lt;/Year&gt;&lt;RecNum&gt;176&lt;/RecNum&gt;&lt;DisplayText</w:instrText>
      </w:r>
      <w:r w:rsidRPr="00DE1F7A">
        <w:rPr>
          <w:rFonts w:ascii="Simplified Arabic" w:hAnsi="Simplified Arabic" w:cs="Simplified Arabic"/>
          <w:noProof/>
          <w:sz w:val="24"/>
          <w:szCs w:val="24"/>
          <w:rtl/>
        </w:rPr>
        <w:instrText>&gt;(الحاج &amp;</w:instrText>
      </w:r>
      <w:r w:rsidRPr="00DE1F7A">
        <w:rPr>
          <w:rFonts w:ascii="Simplified Arabic" w:hAnsi="Simplified Arabic" w:cs="Simplified Arabic"/>
          <w:noProof/>
          <w:sz w:val="24"/>
          <w:szCs w:val="24"/>
        </w:rPr>
        <w:instrText>amp</w:instrText>
      </w:r>
      <w:r w:rsidRPr="00DE1F7A">
        <w:rPr>
          <w:rFonts w:ascii="Simplified Arabic" w:hAnsi="Simplified Arabic" w:cs="Simplified Arabic"/>
          <w:noProof/>
          <w:sz w:val="24"/>
          <w:szCs w:val="24"/>
          <w:rtl/>
        </w:rPr>
        <w:instrText>; السفياني, 2024)&lt;/</w:instrText>
      </w:r>
      <w:r w:rsidRPr="00DE1F7A">
        <w:rPr>
          <w:rFonts w:ascii="Simplified Arabic" w:hAnsi="Simplified Arabic" w:cs="Simplified Arabic"/>
          <w:noProof/>
          <w:sz w:val="24"/>
          <w:szCs w:val="24"/>
        </w:rPr>
        <w:instrText>DisplayText&gt;&lt;record&gt;&lt;rec-number&gt;176&lt;/rec-number&gt;&lt;foreign-keys&gt;&lt;key app="EN" db-id="02retxxrerxdxhe9aphvs0z2t9z25p0ew99s" timestamp="1754214025"&gt;176&lt;/key&gt;&lt;/foreign-keys&gt;&lt;ref-type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"&gt;الحاج&lt;/</w:instrText>
      </w:r>
      <w:r w:rsidRPr="00DE1F7A">
        <w:rPr>
          <w:rFonts w:ascii="Simplified Arabic" w:hAnsi="Simplified Arabic" w:cs="Simplified Arabic"/>
          <w:noProof/>
          <w:sz w:val="24"/>
          <w:szCs w:val="24"/>
        </w:rPr>
        <w:instrText>style&gt;&lt;style face="normal" font="default" size="100%"&gt;, &lt;/style</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style face="normal" font="default" charset="178" size="100%</w:instrText>
      </w:r>
      <w:r w:rsidRPr="00DE1F7A">
        <w:rPr>
          <w:rFonts w:ascii="Simplified Arabic" w:hAnsi="Simplified Arabic" w:cs="Simplified Arabic"/>
          <w:noProof/>
          <w:sz w:val="24"/>
          <w:szCs w:val="24"/>
          <w:rtl/>
        </w:rPr>
        <w:instrText>"&gt;عبدالملك خالد نصر&lt;/</w:instrText>
      </w:r>
      <w:r w:rsidRPr="00DE1F7A">
        <w:rPr>
          <w:rFonts w:ascii="Simplified Arabic" w:hAnsi="Simplified Arabic" w:cs="Simplified Arabic"/>
          <w:noProof/>
          <w:sz w:val="24"/>
          <w:szCs w:val="24"/>
        </w:rPr>
        <w:instrText>style&gt;&lt;/author&gt;&lt;author&gt;&lt;style face="normal" font="default" charset="178" size="100%</w:instrText>
      </w:r>
      <w:r w:rsidRPr="00DE1F7A">
        <w:rPr>
          <w:rFonts w:ascii="Simplified Arabic" w:hAnsi="Simplified Arabic" w:cs="Simplified Arabic"/>
          <w:noProof/>
          <w:sz w:val="24"/>
          <w:szCs w:val="24"/>
          <w:rtl/>
        </w:rPr>
        <w:instrText>"&gt;السفياني&lt;/</w:instrText>
      </w:r>
      <w:r w:rsidRPr="00DE1F7A">
        <w:rPr>
          <w:rFonts w:ascii="Simplified Arabic" w:hAnsi="Simplified Arabic" w:cs="Simplified Arabic"/>
          <w:noProof/>
          <w:sz w:val="24"/>
          <w:szCs w:val="24"/>
        </w:rPr>
        <w:instrText>style&gt;&lt;style face="normal" font="default" size="100%"&gt;, &lt;/style&gt;&lt;style face="normal" font="default" charset="178" size="100%</w:instrText>
      </w:r>
      <w:r w:rsidRPr="00DE1F7A">
        <w:rPr>
          <w:rFonts w:ascii="Simplified Arabic" w:hAnsi="Simplified Arabic" w:cs="Simplified Arabic"/>
          <w:noProof/>
          <w:sz w:val="24"/>
          <w:szCs w:val="24"/>
          <w:rtl/>
        </w:rPr>
        <w:instrText>"&gt;عبدالرحمن محمد&lt;/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القيادة التحويلية في الارتباط الوظيفي&lt;/</w:instrText>
      </w:r>
      <w:r w:rsidRPr="00DE1F7A">
        <w:rPr>
          <w:rFonts w:ascii="Simplified Arabic" w:hAnsi="Simplified Arabic" w:cs="Simplified Arabic"/>
          <w:noProof/>
          <w:sz w:val="24"/>
          <w:szCs w:val="24"/>
        </w:rPr>
        <w:instrText>style&gt;&lt;style face="normal" font</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default" size="100%"&gt;: &lt;/style&gt;&lt;style face="normal" font="default" charset="178" size="100%</w:instrText>
      </w:r>
      <w:r w:rsidRPr="00DE1F7A">
        <w:rPr>
          <w:rFonts w:ascii="Simplified Arabic" w:hAnsi="Simplified Arabic" w:cs="Simplified Arabic"/>
          <w:noProof/>
          <w:sz w:val="24"/>
          <w:szCs w:val="24"/>
          <w:rtl/>
        </w:rPr>
        <w:instrText>"&gt;دراسة ميدانية في المستشفيات الأهلية بمحافظة تعز&lt;/</w:instrText>
      </w:r>
      <w:r w:rsidRPr="00DE1F7A">
        <w:rPr>
          <w:rFonts w:ascii="Simplified Arabic" w:hAnsi="Simplified Arabic" w:cs="Simplified Arabic"/>
          <w:noProof/>
          <w:sz w:val="24"/>
          <w:szCs w:val="24"/>
        </w:rPr>
        <w:instrText>style&gt;&lt;/title&gt;&lt;secondary-title&gt;&lt;style face="normal" font="default" charset="178" size="100%</w:instrText>
      </w:r>
      <w:r w:rsidRPr="00DE1F7A">
        <w:rPr>
          <w:rFonts w:ascii="Simplified Arabic" w:hAnsi="Simplified Arabic" w:cs="Simplified Arabic"/>
          <w:noProof/>
          <w:sz w:val="24"/>
          <w:szCs w:val="24"/>
          <w:rtl/>
        </w:rPr>
        <w:instrText>"&gt;مجلة جامعة صنعاء للعلوم الإنسانية&lt;/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&gt;مجلة جامعة صنعاء للعلوم الإنسانية&lt;/</w:instrText>
      </w:r>
      <w:r w:rsidRPr="00DE1F7A">
        <w:rPr>
          <w:rFonts w:ascii="Simplified Arabic" w:hAnsi="Simplified Arabic" w:cs="Simplified Arabic"/>
          <w:noProof/>
          <w:sz w:val="24"/>
          <w:szCs w:val="24"/>
        </w:rPr>
        <w:instrText>full-title&gt;&lt;/periodical&gt;&lt;dates&gt;&lt;year&gt;2024&lt;/year&gt;&lt;/dates&gt;&lt;urls&gt;&lt;/urls&gt;&lt;electronic-resource-num&gt;10.59628/jhs.v2i1.666&lt;/electronic-resource-num&gt;&lt;/record&gt;&lt;/Cite&gt;&lt;/EndNote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(الحاج &amp; السفياني</w:t>
      </w:r>
      <w:r w:rsidR="00061954"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t xml:space="preserve"> 2024)</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وقد بيّنت الدراسات أن وجود بيئة قيادية تظهر تقديرًا واحترامًا للعاملين يسهم في رفع مستويات الإبلاغ عن الحوادث، والتقليل من ثقافة اللوم والخوف</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w:instrText>
      </w:r>
      <w:r w:rsidRPr="00DE1F7A">
        <w:rPr>
          <w:rFonts w:ascii="Simplified Arabic" w:hAnsi="Simplified Arabic" w:cs="Simplified Arabic"/>
          <w:noProof/>
          <w:sz w:val="24"/>
          <w:szCs w:val="24"/>
          <w:rtl/>
        </w:rPr>
        <w:instrText>&gt;10.2147/</w:instrText>
      </w:r>
      <w:r w:rsidRPr="00DE1F7A">
        <w:rPr>
          <w:rFonts w:ascii="Simplified Arabic" w:hAnsi="Simplified Arabic" w:cs="Simplified Arabic"/>
          <w:noProof/>
          <w:sz w:val="24"/>
          <w:szCs w:val="24"/>
        </w:rPr>
        <w:instrText>JMDH.S458718&lt;/electronic-resource-num&gt;&lt;/record&gt;&lt;/Cite&gt;&lt;/EndNote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36C86A54" w14:textId="77777777" w:rsidR="00DE1F7A" w:rsidRPr="00DE1F7A" w:rsidRDefault="00DE1F7A"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b/>
          <w:bCs/>
          <w:noProof/>
          <w:sz w:val="24"/>
          <w:szCs w:val="24"/>
          <w:rtl/>
        </w:rPr>
        <w:t>2.4</w:t>
      </w:r>
      <w:r w:rsidR="00390B53" w:rsidRPr="00DE1F7A">
        <w:rPr>
          <w:rFonts w:ascii="Simplified Arabic" w:hAnsi="Simplified Arabic" w:cs="Simplified Arabic"/>
          <w:b/>
          <w:bCs/>
          <w:noProof/>
          <w:sz w:val="24"/>
          <w:szCs w:val="24"/>
          <w:rtl/>
        </w:rPr>
        <w:t xml:space="preserve">ثقافة سلامة المرضى: المفهوم والأهمية </w:t>
      </w:r>
    </w:p>
    <w:p w14:paraId="70E2BEDE" w14:textId="4041C8FD" w:rsidR="00390B53" w:rsidRPr="00DE1F7A" w:rsidRDefault="00390B53"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noProof/>
          <w:sz w:val="24"/>
          <w:szCs w:val="24"/>
          <w:rtl/>
        </w:rPr>
        <w:lastRenderedPageBreak/>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 أسياساتها و في جميع أنشطتها وقراراتها</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&gt;الحمري&lt;/</w:instrText>
      </w:r>
      <w:r w:rsidRPr="00DE1F7A">
        <w:rPr>
          <w:rFonts w:ascii="Simplified Arabic" w:hAnsi="Simplified Arabic" w:cs="Simplified Arabic"/>
          <w:noProof/>
          <w:sz w:val="24"/>
          <w:szCs w:val="24"/>
        </w:rPr>
        <w:instrText>Author&gt;&lt;Year&gt;2025&lt;/Year&gt;&lt;RecNum&gt;183&lt;/RecNum&gt;&lt;DisplayText</w:instrText>
      </w:r>
      <w:r w:rsidRPr="00DE1F7A">
        <w:rPr>
          <w:rFonts w:ascii="Simplified Arabic" w:hAnsi="Simplified Arabic" w:cs="Simplified Arabic"/>
          <w:noProof/>
          <w:sz w:val="24"/>
          <w:szCs w:val="24"/>
          <w:rtl/>
        </w:rPr>
        <w:instrText>&gt;(الحمري, 2025)&lt;/</w:instrText>
      </w:r>
      <w:r w:rsidRPr="00DE1F7A">
        <w:rPr>
          <w:rFonts w:ascii="Simplified Arabic" w:hAnsi="Simplified Arabic" w:cs="Simplified Arabic"/>
          <w:noProof/>
          <w:sz w:val="24"/>
          <w:szCs w:val="24"/>
        </w:rPr>
        <w:instrText>DisplayText&gt;&lt;record&gt;&lt;rec-number&gt;183&lt;/rec-number&gt;&lt;foreign-keys&gt;&lt;key app="EN" db-id="02retxxrerxdxhe9aphvs0z2t9z25p0ew99s" timestamp="1754</w:instrText>
      </w:r>
      <w:r w:rsidRPr="00DE1F7A">
        <w:rPr>
          <w:rFonts w:ascii="Simplified Arabic" w:hAnsi="Simplified Arabic" w:cs="Simplified Arabic"/>
          <w:noProof/>
          <w:sz w:val="24"/>
          <w:szCs w:val="24"/>
          <w:rtl/>
        </w:rPr>
        <w:instrText>598889"&gt;183&lt;/</w:instrText>
      </w:r>
      <w:r w:rsidRPr="00DE1F7A">
        <w:rPr>
          <w:rFonts w:ascii="Simplified Arabic" w:hAnsi="Simplified Arabic" w:cs="Simplified Arabic"/>
          <w:noProof/>
          <w:sz w:val="24"/>
          <w:szCs w:val="24"/>
        </w:rPr>
        <w:instrTex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"&gt;منصور المطيري،عبد الله الحمري&lt;/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السلامة المهنية على أداء العاملين بالمنظمات الصحية (دراسة تطبيقية على مستشفى الملك فهد العام بمحافظة جدة)&lt;/</w:instrText>
      </w:r>
      <w:r w:rsidRPr="00DE1F7A">
        <w:rPr>
          <w:rFonts w:ascii="Simplified Arabic" w:hAnsi="Simplified Arabic" w:cs="Simplified Arabic"/>
          <w:noProof/>
          <w:sz w:val="24"/>
          <w:szCs w:val="24"/>
        </w:rPr>
        <w:instrText>style&gt;&lt;/title&gt;&lt;secondary-title&gt;&lt;style face="normal" font="default" charset="178</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size="100%</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(الحمري, 2025)</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45C15172"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وفي المملكة العربية السعودية، كشفت الدراسات عن تفاوت في مدى قوة ثقافة السلامة بين المستشفيات، مع وجود عناصر مثل دعم الإدارة، والعمل الجماعي في الاقسام، والرد غير العقابي على الأخطاء كعوامل رئيسية في تعزيز سلامة المرضى</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245E5390" w14:textId="6AC5CF8A"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معدلات الأحداث الضارة داخل المستشفيات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Mistri et al., 2023</w:t>
      </w:r>
      <w:r w:rsidRPr="00DE1F7A">
        <w:rPr>
          <w:rFonts w:ascii="Simplified Arabic" w:hAnsi="Simplified Arabic" w:cs="Simplified Arabic"/>
          <w:noProof/>
          <w:sz w:val="24"/>
          <w:szCs w:val="24"/>
          <w:rtl/>
        </w:rPr>
        <w:t>; مخدوم</w:t>
      </w:r>
      <w:r w:rsidR="008F4280"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t>2019)</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1B88A49" w14:textId="535A9A7F" w:rsidR="00390B53" w:rsidRPr="00DE1F7A" w:rsidRDefault="00DE1F7A" w:rsidP="00390B53">
      <w:pPr>
        <w:bidi/>
        <w:spacing w:before="210" w:after="0" w:line="360" w:lineRule="auto"/>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2.5</w:t>
      </w:r>
      <w:r w:rsidR="00390B53" w:rsidRPr="00DE1F7A">
        <w:rPr>
          <w:rFonts w:ascii="Simplified Arabic" w:hAnsi="Simplified Arabic" w:cs="Simplified Arabic"/>
          <w:b/>
          <w:bCs/>
          <w:noProof/>
          <w:sz w:val="24"/>
          <w:szCs w:val="24"/>
          <w:rtl/>
        </w:rPr>
        <w:t>أبعاد ثقافة السلامة في الدراسة الحالية</w:t>
      </w:r>
    </w:p>
    <w:p w14:paraId="2F9DFD98" w14:textId="440EF4EE" w:rsidR="00390B53" w:rsidRPr="00DE1F7A" w:rsidRDefault="00390B53" w:rsidP="00390B53">
      <w:pPr>
        <w:bidi/>
        <w:spacing w:before="210" w:after="0" w:line="360" w:lineRule="auto"/>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تستخدم الدراسة الحالية استبيا «ثقافة سلامة المرضى في المستشفيات» (</w:t>
      </w:r>
      <w:r w:rsidRPr="00DE1F7A">
        <w:rPr>
          <w:rFonts w:ascii="Simplified Arabic" w:hAnsi="Simplified Arabic" w:cs="Simplified Arabic"/>
          <w:noProof/>
          <w:sz w:val="24"/>
          <w:szCs w:val="24"/>
        </w:rPr>
        <w:t>HSOPSC</w:t>
      </w:r>
      <w:r w:rsidRPr="00DE1F7A">
        <w:rPr>
          <w:rFonts w:ascii="Simplified Arabic" w:hAnsi="Simplified Arabic" w:cs="Simplified Arabic"/>
          <w:noProof/>
          <w:sz w:val="24"/>
          <w:szCs w:val="24"/>
          <w:rtl/>
        </w:rPr>
        <w:t xml:space="preserve">) لقياس ثقافة السلامة، مع التركيز على أربعة أبعاد رئيسة تتعلق مباشرة بالقيادة وسلوكيات السلامة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B167959" w14:textId="77777777" w:rsidR="00390B53" w:rsidRPr="00DE1F7A" w:rsidRDefault="00390B53" w:rsidP="00390B53">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دعم الإدارة للسلامة</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يعكس مدى التزام الإدارة العليا والمتوسطة بإعطاء الأولوية لسلامة المرضى من خلال عمليات التخطيط، إدارة الموارد، وضع 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83A2FF7" w14:textId="77777777" w:rsidR="00390B53" w:rsidRPr="00DE1F7A" w:rsidRDefault="00390B53" w:rsidP="00390B53">
      <w:pPr>
        <w:numPr>
          <w:ilvl w:val="0"/>
          <w:numId w:val="147"/>
        </w:numPr>
        <w:bidi/>
        <w:spacing w:after="12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التواصل المفتوح بشأن الأخطاء</w:t>
      </w:r>
      <w:r w:rsidRPr="00DE1F7A">
        <w:rPr>
          <w:rFonts w:ascii="Simplified Arabic" w:hAnsi="Simplified Arabic" w:cs="Simplified Arabic"/>
          <w:b/>
          <w:bCs/>
          <w:noProof/>
          <w:sz w:val="24"/>
          <w:szCs w:val="24"/>
          <w:rtl/>
        </w:rPr>
        <w:br/>
      </w:r>
      <w:r w:rsidRPr="00DE1F7A">
        <w:rPr>
          <w:rFonts w:ascii="Simplified Arabic" w:hAnsi="Simplified Arabic" w:cs="Simplified Arabic"/>
          <w:noProof/>
          <w:sz w:val="24"/>
          <w:szCs w:val="24"/>
          <w:rtl/>
        </w:rPr>
        <w:t xml:space="preserve">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الاحداث الجسيمة ، ويعتبر مؤشرًا على بيئة تعليمية حيوية </w:t>
      </w:r>
      <w:r w:rsidRPr="00DE1F7A">
        <w:rPr>
          <w:rFonts w:ascii="Simplified Arabic" w:hAnsi="Simplified Arabic" w:cs="Simplified Arabic"/>
          <w:noProof/>
          <w:sz w:val="24"/>
          <w:szCs w:val="24"/>
          <w:rtl/>
        </w:rPr>
        <w:lastRenderedPageBreak/>
        <w:t xml:space="preserve">وديناميكية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وهذا قطعا يُساهم في تعزيز ثقافة السلامة وتوجيه الممارسين الصحيين نحو تحسين جودة الرعاية الصحية</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B4EC809" w14:textId="77777777" w:rsidR="00390B53" w:rsidRPr="00DE1F7A" w:rsidRDefault="00390B53" w:rsidP="00390B53">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التعلم المستمر من الحوادث</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يشير إلى مدى اعتماد المستشفيات في القطاع الصحي على الحوادث والأخطاء كمصادر للتعلم والتحسين، من خلال تحليل الأسباب الجذرية، وتنفيذ إجراءات تصحيحية، ومتابعة نتائجها ويعد هذا الجانب محورًا رئيسيًا في نماذج إدارة الجودة التي تهدف إلى تحسين سلامة المرضى .</w:t>
      </w:r>
    </w:p>
    <w:p w14:paraId="585CC8AD" w14:textId="77777777" w:rsidR="00390B53" w:rsidRPr="00DE1F7A" w:rsidRDefault="00390B53" w:rsidP="00154D4E">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العمل الجماعي والتعاون</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7A8B72A8" w14:textId="0EF0F416" w:rsidR="00390B53" w:rsidRPr="00DE1F7A" w:rsidRDefault="00DE1F7A" w:rsidP="00390B53">
      <w:pPr>
        <w:bidi/>
        <w:spacing w:before="210" w:after="0" w:line="360" w:lineRule="auto"/>
        <w:rPr>
          <w:rFonts w:ascii="Simplified Arabic" w:hAnsi="Simplified Arabic" w:cs="Simplified Arabic"/>
          <w:b/>
          <w:bCs/>
          <w:noProof/>
          <w:sz w:val="24"/>
          <w:szCs w:val="24"/>
          <w:rtl/>
        </w:rPr>
      </w:pPr>
      <w:r w:rsidRPr="00DE1F7A">
        <w:rPr>
          <w:rFonts w:ascii="Simplified Arabic" w:hAnsi="Simplified Arabic" w:cs="Simplified Arabic"/>
          <w:b/>
          <w:bCs/>
          <w:noProof/>
          <w:sz w:val="24"/>
          <w:szCs w:val="24"/>
          <w:rtl/>
        </w:rPr>
        <w:t>2.6</w:t>
      </w:r>
      <w:r w:rsidR="00390B53" w:rsidRPr="00DE1F7A">
        <w:rPr>
          <w:rFonts w:ascii="Simplified Arabic" w:hAnsi="Simplified Arabic" w:cs="Simplified Arabic"/>
          <w:b/>
          <w:bCs/>
          <w:noProof/>
          <w:sz w:val="24"/>
          <w:szCs w:val="24"/>
          <w:rtl/>
        </w:rPr>
        <w:t>سلوكيات السلامة لدى الممارسين الصحيين</w:t>
      </w:r>
    </w:p>
    <w:p w14:paraId="52BA80C1"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وتعد هذه السلوكيات تجسيدًا عمليًا لقيم وثقافة السلامة السائدة في المستشفى، إذ تعكس مدى استعداد العاملين لترجمة التوجهات التنظيمية إلى ممارسات ملموسة في بيئة العمل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Konlan &amp; Shin,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7EA5157"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 البروتكولات المنظمة لذلك، والتحقق المزدوج من الأدوية وجرعاتها، واتباع تعليمات الوقاية من العدوى</w: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Khan et al., 2018; Shenoy, 2021</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DE1F7A">
        <w:rPr>
          <w:rFonts w:ascii="Simplified Arabic" w:hAnsi="Simplified Arabic" w:cs="Simplified Arabic"/>
          <w:noProof/>
          <w:sz w:val="24"/>
          <w:szCs w:val="24"/>
          <w:rtl/>
        </w:rPr>
        <w:instrText>="1772385543"&gt;262&lt;/</w:instrText>
      </w:r>
      <w:r w:rsidRPr="00DE1F7A">
        <w:rPr>
          <w:rFonts w:ascii="Simplified Arabic" w:hAnsi="Simplified Arabic" w:cs="Simplified Arabic"/>
          <w:noProof/>
          <w:sz w:val="24"/>
          <w:szCs w:val="24"/>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DE1F7A">
        <w:rPr>
          <w:rFonts w:ascii="Simplified Arabic" w:hAnsi="Simplified Arabic" w:cs="Simplified Arabic"/>
          <w:noProof/>
          <w:sz w:val="24"/>
          <w:szCs w:val="24"/>
          <w:rtl/>
        </w:rPr>
        <w:instrText xml:space="preserve">&gt;1658-3175 </w:instrText>
      </w:r>
      <w:r w:rsidRPr="00DE1F7A">
        <w:rPr>
          <w:rFonts w:ascii="Simplified Arabic" w:hAnsi="Simplified Arabic" w:cs="Simplified Arabic"/>
          <w:noProof/>
          <w:sz w:val="24"/>
          <w:szCs w:val="24"/>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Alghamdi, 2026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كما بينت الدراسات أن وجود ثقافة سلامة إيجابية </w:t>
      </w:r>
      <w:r w:rsidRPr="00DE1F7A">
        <w:rPr>
          <w:rFonts w:ascii="Simplified Arabic" w:hAnsi="Simplified Arabic" w:cs="Simplified Arabic"/>
          <w:noProof/>
          <w:sz w:val="24"/>
          <w:szCs w:val="24"/>
          <w:rtl/>
        </w:rPr>
        <w:lastRenderedPageBreak/>
        <w:t>وداعمة يرتبط بزيادة تبني هذه السلوكيات، بينما تساهم ثقافة اللوم والخوف في تقليل مدى استعداد العاملين للإبلاغ والمبادرة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33F5FA7"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 مما يؤدي إلى ارتفاع الالتزام بسلوكيات السلامة وخفض حدوث الأحداث الضارة</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 Alotaibi et al., 2015; Althaibah et al.,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وبناءً على ذلك، تتناول الدراسة الحالية سلوكيات السلامة كمتغير وسيط رئيسي يربط بين القيادة التحويلية وثقافة السلامة من جهة، وبين معدل الأحداث الضارة من جهة أخرى، وذلك عن طريق قياس مدى التزام العاملين بالممارسات الأساسية المتعلقة بسلامة المرضى</w: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41457CD5"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ثقافة السلامة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1D2D830" w14:textId="43920303" w:rsidR="00390B53" w:rsidRPr="0045254E" w:rsidRDefault="00330031" w:rsidP="00390B53">
      <w:pPr>
        <w:bidi/>
        <w:spacing w:before="210" w:after="0" w:line="360" w:lineRule="auto"/>
        <w:rPr>
          <w:rFonts w:ascii="Simplified Arabic" w:hAnsi="Simplified Arabic" w:cs="Simplified Arabic"/>
          <w:b/>
          <w:bCs/>
          <w:noProof/>
          <w:sz w:val="24"/>
          <w:szCs w:val="24"/>
          <w:rtl/>
        </w:rPr>
      </w:pPr>
      <w:r w:rsidRPr="0045254E">
        <w:rPr>
          <w:rFonts w:ascii="Simplified Arabic" w:hAnsi="Simplified Arabic" w:cs="Simplified Arabic"/>
          <w:b/>
          <w:bCs/>
          <w:noProof/>
          <w:sz w:val="24"/>
          <w:szCs w:val="24"/>
        </w:rPr>
        <w:t>2.7</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الأحداث الضارة في المستشفيات</w:t>
      </w:r>
    </w:p>
    <w:p w14:paraId="30BC76F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تعرف الأحداث الضارة في المستشفيات بأنها نتائج سلبية غير متعمدة يتعرض لها المريض أثناء تلقيه الرعاية الصحية، ولا تعود عادةً للمرض أو الحالة الأساسية، وإنما ترتبط بعوامل يمكن تجنبها داخل النظام الصحي</w:t>
      </w:r>
      <w:r w:rsidRPr="0045254E">
        <w:rPr>
          <w:rFonts w:ascii="Simplified Arabic" w:hAnsi="Simplified Arabic" w:cs="Simplified Arabic"/>
          <w:noProof/>
          <w:sz w:val="24"/>
          <w:szCs w:val="24"/>
          <w:rtl/>
        </w:rPr>
        <w:fldChar w:fldCharType="begin"/>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Pr="0045254E">
        <w:rPr>
          <w:rFonts w:ascii="Simplified Arabic" w:hAnsi="Simplified Arabic" w:cs="Simplified Arabic"/>
          <w:noProof/>
          <w:sz w:val="24"/>
          <w:szCs w:val="24"/>
          <w:rtl/>
        </w:rPr>
        <w:instrText>&gt;</w:instrText>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Hussain &amp; Khayat,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Almalki et al.,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تعتبر معدلات الأحداث الضارة من المؤشرات الأساسية التي تعكس مستوى سلامة المرضى وجودة الرعاية الصحية المقدمة .</w:t>
      </w:r>
    </w:p>
    <w:p w14:paraId="492DA1A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نظم التوثيق بين المؤسسات، إلى تقليل معدلات الإبلاغ عن الحوادث أو تأخير الإبلاغ عنها</w: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 xml:space="preserve">Alahmadi et al., 2022; Alghamdi, </w:t>
      </w:r>
      <w:r w:rsidRPr="0045254E">
        <w:rPr>
          <w:rFonts w:ascii="Simplified Arabic" w:hAnsi="Simplified Arabic" w:cs="Simplified Arabic"/>
          <w:noProof/>
          <w:sz w:val="24"/>
          <w:szCs w:val="24"/>
        </w:rPr>
        <w:lastRenderedPageBreak/>
        <w:t>2026</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76A0348C" w14:textId="77777777" w:rsidR="00390B53" w:rsidRPr="0045254E" w:rsidRDefault="00390B53" w:rsidP="00390B53">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توضح الأدبيات أن العلاقة بين العوامل التنظيمية، مثل القيادة وثقافة السلامة، ومستوى الأحداث الضارة غالبًا ما تكون غير مباشرة، حيث تمر عبر متغيرات وسيطة، خاصة سلوكيات السلامة لدى الممارسين الصحيين</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(Mistri et al.,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،إذ إن المستشفيات التي تتوفر فيها قيادة داعمة وبيئة سلامة إيجابية تميل إلى تعزيز السلوكيات الوقائية والاستباقية، مما يقلل من احتمالية حدوث الأخطاء ويحولها إلى أحداث 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 </w:instrTex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EN.CITE.DATA </w:instrText>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(Ahmed et al., 2024; Mohammed et al., 2025)</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بناءً على ذلك، تتبنى الدراسة الحالية مفهوم «تقليل الأحداث الضارة» كمجال نهائي يعكس تأثير القيادة التحويلية، وثقافة وسلوكيات السلامة مجتمعة، ويقاس من خلال تصور العاملين حول مدى فاعلية الممارسات والإجراءات المعتمدة في تقليل تكرار الحوادث وشدتها في المستشفيات الحكومية بمنطقة الجوف في المملكة العربية السعودية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&lt;EndNote&gt;&lt;Cite&gt;&lt;Author&gt;Mohammed&lt;/Author&gt;&lt;Year&gt;2025&lt;/Year&gt;&lt;RecNum&gt;144&lt;/RecNum&gt;&lt;DisplayText&gt;(Holding, 2025; 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Mandak&lt;/author&gt;&lt;/authors&gt;&lt;/contributors&gt;&lt;titles&gt;&lt;title&gt;The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electronic-resource-num&gt;10.5204/thesis.eprints.258274&lt;/electronic-resource-num&gt;&lt;/record&gt;&lt;/Cite&gt;&lt;Cite&gt;&lt;Author&gt;Holding&lt;/Author&gt;&lt;Year&gt;2025&lt;/Year&gt;&lt;RecNum&gt;218&lt;/RecNum&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(Holding, 2025; Mohammed et al., 2025)</w:t>
      </w:r>
      <w:r w:rsidRPr="0045254E">
        <w:rPr>
          <w:rFonts w:ascii="Simplified Arabic" w:hAnsi="Simplified Arabic" w:cs="Simplified Arabic"/>
          <w:noProof/>
          <w:sz w:val="24"/>
          <w:szCs w:val="24"/>
        </w:rPr>
        <w:fldChar w:fldCharType="end"/>
      </w:r>
    </w:p>
    <w:p w14:paraId="7B0CE2BB"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وبالنظر إلى التحديات المرتبطة بالاعتماد الحصري على السجلات الرسمية للحوادث، تتجه الدراسة الحالية لقياس الأحداث الضارة من منظور إدراكي يراه الممارسون الصحيون، بوصفه مؤشرًا يعكس التجربة الفعلية للعاملين في بيئة العمل اليومية. كما يعتبر هذا المتغير المخرج النهائي للنموذج السببي المقترح، حيث يتوقع أن تساهم القيادة التحويلية في تعزيز ثقافة سلامة إيجابية ورفع سلوكيات السلامة، مما يقلل من تكرار وشدة الأحداث كما يدركها العاملون في المستشفيات الحكومية بمنطقة الجوف.</w:t>
      </w:r>
    </w:p>
    <w:p w14:paraId="38631426" w14:textId="1C89BCBD" w:rsidR="00390B53" w:rsidRPr="0045254E" w:rsidRDefault="0045254E" w:rsidP="00390B53">
      <w:pPr>
        <w:bidi/>
        <w:spacing w:before="210" w:after="0" w:line="360" w:lineRule="auto"/>
        <w:jc w:val="both"/>
        <w:rPr>
          <w:rFonts w:ascii="Simplified Arabic" w:hAnsi="Simplified Arabic" w:cs="Simplified Arabic"/>
          <w:b/>
          <w:bCs/>
          <w:noProof/>
          <w:sz w:val="24"/>
          <w:szCs w:val="24"/>
        </w:rPr>
      </w:pPr>
      <w:r w:rsidRPr="0045254E">
        <w:rPr>
          <w:rFonts w:ascii="Simplified Arabic" w:hAnsi="Simplified Arabic" w:cs="Simplified Arabic"/>
          <w:b/>
          <w:bCs/>
          <w:noProof/>
          <w:sz w:val="24"/>
          <w:szCs w:val="24"/>
        </w:rPr>
        <w:t>2.8</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النموذج النظري للدراسة</w:t>
      </w:r>
      <w:r w:rsidR="00390B53" w:rsidRPr="0045254E">
        <w:rPr>
          <w:rFonts w:ascii="Simplified Arabic" w:hAnsi="Simplified Arabic" w:cs="Simplified Arabic"/>
          <w:b/>
          <w:bCs/>
          <w:noProof/>
          <w:sz w:val="24"/>
          <w:szCs w:val="24"/>
        </w:rPr>
        <w:t xml:space="preserve"> (TL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SC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SB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AE)</w:t>
      </w:r>
    </w:p>
    <w:p w14:paraId="32B50FC5" w14:textId="77777777" w:rsidR="001E525F" w:rsidRPr="0045254E" w:rsidRDefault="00390B53" w:rsidP="00154D4E">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يعتمد الأساس النظري للدراسة الحالية على دمج عدة أطر ونماذج معروفة في مجالات القيادة والتنظيم وسلامة المرضى. في مجال القيادة، يعتبر نموذج القيادة التحويلية، الذي وضعه باس وأفوليو، من النماذج الأكثر استخدامًا لشرح كيف يؤثر القائد في أتباعه عبر أربعة أبعاد رئيسية: التأثير المثالي، والتحفيز الملهم، والاستثارة الفكرية، والاعتبار الفردي (</w:t>
      </w:r>
      <w:r w:rsidRPr="0045254E">
        <w:rPr>
          <w:rFonts w:ascii="Simplified Arabic" w:hAnsi="Simplified Arabic" w:cs="Simplified Arabic"/>
          <w:noProof/>
          <w:sz w:val="24"/>
          <w:szCs w:val="24"/>
        </w:rPr>
        <w:t>Bass &amp; Avolio</w:t>
      </w:r>
      <w:r w:rsidRPr="0045254E">
        <w:rPr>
          <w:rFonts w:ascii="Simplified Arabic" w:hAnsi="Simplified Arabic" w:cs="Simplified Arabic"/>
          <w:noProof/>
          <w:sz w:val="24"/>
          <w:szCs w:val="24"/>
          <w:rtl/>
        </w:rPr>
        <w:t>، 1996). وتشير الدراسات إلى أن هذه الأبعاد تساعد في غرس قيم تنظيمية إيجابية، وتعزيز الالتزام، وتحفيز المبادرة والتفكير النقدي بين الموظفين، مما يجعل القيادة التحويلية إطارًا ملائمًا لدراسة العوامل القيادية التي تؤثر على سلامة المرضى (</w:t>
      </w:r>
      <w:r w:rsidRPr="0045254E">
        <w:rPr>
          <w:rFonts w:ascii="Simplified Arabic" w:hAnsi="Simplified Arabic" w:cs="Simplified Arabic"/>
          <w:noProof/>
          <w:sz w:val="24"/>
          <w:szCs w:val="24"/>
        </w:rPr>
        <w:t>Ahmed et al., 2024</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Althaibah et al., 2022</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Amal Ali Almuntasheri</w:t>
      </w:r>
      <w:r w:rsidRPr="0045254E">
        <w:rPr>
          <w:rFonts w:ascii="Simplified Arabic" w:hAnsi="Simplified Arabic" w:cs="Simplified Arabic"/>
          <w:noProof/>
          <w:sz w:val="24"/>
          <w:szCs w:val="24"/>
          <w:rtl/>
        </w:rPr>
        <w:t>، 2022).</w:t>
      </w:r>
    </w:p>
    <w:p w14:paraId="078050B9" w14:textId="48E92173" w:rsidR="00390B53" w:rsidRPr="0045254E" w:rsidRDefault="00390B53" w:rsidP="001E525F">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في مجال سلامة المرضى، يعتبر استبيان ثقافة سلامة المرضى في المستشفيات</w:t>
      </w:r>
      <w:r w:rsidRPr="0045254E">
        <w:rPr>
          <w:rFonts w:ascii="Simplified Arabic" w:hAnsi="Simplified Arabic" w:cs="Simplified Arabic"/>
          <w:noProof/>
          <w:sz w:val="24"/>
          <w:szCs w:val="24"/>
        </w:rPr>
        <w:t xml:space="preserve"> (HSOPSC) </w:t>
      </w:r>
      <w:r w:rsidRPr="0045254E">
        <w:rPr>
          <w:rFonts w:ascii="Simplified Arabic" w:hAnsi="Simplified Arabic" w:cs="Simplified Arabic"/>
          <w:noProof/>
          <w:sz w:val="24"/>
          <w:szCs w:val="24"/>
          <w:rtl/>
        </w:rPr>
        <w:t xml:space="preserve">أداة قياسية لقياس مختلف جوانب ثقافة السلامة داخل المؤسسات الصحية، مثل دعم الإدارة، والعمل الجماعي، والتعلم من الأخطاء، والاستجابة غير العقابية للحوادث، والتواصل </w:t>
      </w:r>
      <w:r w:rsidRPr="0045254E">
        <w:rPr>
          <w:rFonts w:ascii="Simplified Arabic" w:hAnsi="Simplified Arabic" w:cs="Simplified Arabic"/>
          <w:noProof/>
          <w:sz w:val="24"/>
          <w:szCs w:val="24"/>
          <w:rtl/>
        </w:rPr>
        <w:lastRenderedPageBreak/>
        <w:t>المفتوح بشأن الأخطاء</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&lt;EndNote&gt;&lt;Cite&gt;&lt;Author&gt;Pai&lt;/Author&gt;&lt;Year&gt;2024&lt;/Year&gt;&lt;RecNum&gt;261&lt;/RecNum&gt;&lt;DisplayText&gt;(Pai et al., 2024)&lt;/DisplayText&gt;&lt;record&gt;&lt;rec-number&gt;261&lt;/rec-number&gt;&lt;foreign-keys&gt;&lt;key app="EN" db-id="02retxxrerxdxhe9aphvs0z2t9z25p0ew99s" timestamp="1772383789"&gt;261&lt;/key&gt;&lt;/foreign-keys&gt;&lt;ref-type name="Journal Article"&gt;17&lt;/ref-type&gt;&lt;contributors&gt;&lt;authors&gt;&lt;author&gt;Pai, Reifanli M.&lt;/author&gt;&lt;author&gt;Wahongan, Greta J. P.&lt;/author&gt;&lt;author&gt;Manampiring, Aaltje Ellen&lt;/author&gt;&lt;/authors&gt;&lt;/contributors&gt;&lt;titles&gt;&lt;title&gt;ANALISIS PERAN TENAGA KESEHATAN DI RS BUDI SETIA LANGOWAN TAHUN 2023 BERDASARKAN HOSPITAL SURVEY ON PATIENT SAFETY CULTURE (HSOPSC)&lt;/title&gt;&lt;secondary-title&gt;PREPOTIF : JURNAL KESEHATAN MASYARAKAT&lt;/secondary-title&gt;&lt;/titles&gt;&lt;periodical&gt;&lt;full-title&gt;PREPOTIF : JURNAL KESEHATAN MASYARAKAT&lt;/full-title&gt;&lt;/periodical&gt;&lt;dates&gt;&lt;year&gt;2024&lt;/year&gt;&lt;/dates&gt;&lt;urls&gt;&lt;/urls&gt;&lt;/record&gt;&lt;/Cite&gt;&lt;/EndNote&gt;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(Pai et al., 2024)</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تفترض النماذج التنظيمية أن هذه الأبعاد تشكل البيئة التي يحتضن فيها السلوكيات اليومية للسلامة لموظفي الرعاية الصحية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(Konlan &amp; Shin, 2022)</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بناءً على ذلك، تعتمد الدراسة الحالية على فرضية تقول إن القيادة التحويلية تؤثر على ثقافة السلامة، وأن هذه الثقافة تؤثر بدورها على سلوكيات السلامة لدى العاملين، مما يساهم في تقليل الأحداث الضارة.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ومن ثم، يتم الاعتماد على مسار وساطة متسلسل يربط بين القيادة التحويلية، ثقافة السلامة، سلوكيات السلامة، وتقليل الأحداث الضارة، باستخدام نمذجة المعادلات الهيكلية كنموذج منهجي لاختبار قوة المسارات المباشرة وغير المباشرة ضمن السياق السعودي للمستشفيات الحكومية</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&lt;EndNote&gt;&lt;Cite&gt;&lt;Author&gt;Kline&lt;/Author&gt;&lt;Year&gt;2023&lt;/Year&gt;&lt;RecNum&gt;258&lt;/RecNum&gt;&lt;DisplayText&gt;(Kline, 2023)&lt;/DisplayText&gt;&lt;record&gt;&lt;rec-number&gt;258&lt;/rec-number&gt;&lt;foreign-keys&gt;&lt;key app="EN" db-id="02retxxrerxdxhe9aphvs0z2t9z25p0ew99s" timestamp="1765544823"&gt;258&lt;/key&gt;&lt;/foreign-keys&gt;&lt;ref-type name="Book"&gt;6&lt;/ref-type&gt;&lt;contributors&gt;&lt;authors&gt;&lt;author&gt;Kline, Rex B&lt;/author&gt;&lt;/authors&gt;&lt;/contributors&gt;&lt;titles&gt;&lt;title&gt;Principles and practice of structural equation modeling&lt;/title&gt;&lt;/titles&gt;&lt;dates&gt;&lt;year&gt;2023&lt;/year&gt;&lt;/dates&gt;&lt;publisher&gt;Guilford publications&lt;/publisher&gt;&lt;isbn&gt;1462551912&lt;/isbn&gt;&lt;urls&gt;&lt;/urls&gt;&lt;/record&gt;&lt;/Cite&gt;&lt;/EndNote&gt;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(Kline,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 xml:space="preserve"> </w:t>
      </w:r>
    </w:p>
    <w:p w14:paraId="60A57DBB"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يمكن تمثيل هذا التسلسل في المسار السببي الآتي</w:t>
      </w:r>
      <w:r w:rsidRPr="0045254E">
        <w:rPr>
          <w:rFonts w:ascii="Simplified Arabic" w:hAnsi="Simplified Arabic" w:cs="Simplified Arabic"/>
          <w:noProof/>
          <w:sz w:val="24"/>
          <w:szCs w:val="24"/>
        </w:rPr>
        <w:t>:</w:t>
      </w:r>
    </w:p>
    <w:p w14:paraId="47D5556F" w14:textId="4C10A4DF" w:rsidR="00390B53" w:rsidRPr="0045254E" w:rsidRDefault="00390B53" w:rsidP="00390B53">
      <w:pPr>
        <w:bidi/>
        <w:spacing w:before="210" w:after="0" w:line="360" w:lineRule="auto"/>
        <w:rPr>
          <w:rFonts w:ascii="Simplified Arabic" w:hAnsi="Simplified Arabic" w:cs="Simplified Arabic"/>
          <w:noProof/>
          <w:sz w:val="24"/>
          <w:szCs w:val="24"/>
          <w:rtl/>
        </w:rPr>
      </w:pPr>
      <m:oMathPara>
        <m:oMath>
          <m:r>
            <w:rPr>
              <w:rFonts w:ascii="Cambria Math" w:hAnsi="Cambria Math" w:cs="Simplified Arabic"/>
              <w:noProof/>
              <w:sz w:val="24"/>
              <w:szCs w:val="24"/>
            </w:rPr>
            <m:t>TL→SC→SB→AE</m:t>
          </m:r>
        </m:oMath>
      </m:oMathPara>
    </w:p>
    <w:p w14:paraId="5E3B6FBE"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تدعم الأدبيات هذا المسار من خلال عدة أدلة:</w:t>
      </w:r>
    </w:p>
    <w:p w14:paraId="293AC5DC"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1. إثبات وجود علاقة إيجابية بين القيادة التحويلية وثقافة السلامة في سياقات صحية مختلفة، بما في ذلك المستشفيات السعودية</w: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Ahmed et al., 2024; Alotaibi et al., 2015; Althaibah et al., 2022</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4EC549BC"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2. يوثّق كيف تؤثر ثقافة السلامة على سلوكيات السلامة، خاصة في مجالات تبليغ الحوادث والالتزام بالبروتوكولات الوقائية</w: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Alsaedi et al., 2024; Mohammed et al., 2025</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1AA8FB6"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3. إبراز أهمية سلوكيات السلامة في تفسير الاختلافات في معدلات الأحداث الضارة والجودة السريرية من خلال دراسات تعتمد على نماذج سببية متقدمة</w: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Konlan &amp; Shin, 2022; Mistri et al., 2023</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757E780"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Pr>
      </w:pPr>
      <w:r w:rsidRPr="0045254E">
        <w:rPr>
          <w:rFonts w:ascii="Simplified Arabic" w:hAnsi="Simplified Arabic" w:cs="Simplified Arabic"/>
          <w:noProof/>
          <w:sz w:val="24"/>
          <w:szCs w:val="24"/>
          <w:rtl/>
        </w:rPr>
        <w:t xml:space="preserve">تعد الدراسة الحالية، من خلال تطبيق نموذج المعادلات الهيكلية على هذا المسار المتسلسل، محاولة لمعالجة الفجوة المنهجية المرتبطة بعدم وجود نماذج متكاملة تربط بين القيادة التحويلية، ثقافة السلامة، سلوكيات السلامة، وتقليل الحوادث الضارة في السياق السعودي، خاصة في منطقة الجوف </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5258DDB0" w14:textId="491B3213"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bookmarkStart w:id="1" w:name="bm_4_2_الفجوة_المنهجية_والسياقية"/>
      <w:r w:rsidRPr="0045254E">
        <w:rPr>
          <w:rFonts w:ascii="Simplified Arabic" w:eastAsia="Georgia" w:hAnsi="Simplified Arabic" w:cs="Simplified Arabic"/>
          <w:b/>
          <w:bCs/>
          <w:color w:val="000000"/>
          <w:sz w:val="24"/>
          <w:szCs w:val="24"/>
          <w:rtl/>
        </w:rPr>
        <w:t>2.9</w:t>
      </w:r>
      <w:r w:rsidR="00390B53" w:rsidRPr="0045254E">
        <w:rPr>
          <w:rFonts w:ascii="Simplified Arabic" w:eastAsia="Georgia" w:hAnsi="Simplified Arabic" w:cs="Simplified Arabic"/>
          <w:b/>
          <w:bCs/>
          <w:color w:val="000000"/>
          <w:sz w:val="24"/>
          <w:szCs w:val="24"/>
          <w:rtl/>
        </w:rPr>
        <w:t xml:space="preserve"> الدراسات السابقة</w:t>
      </w:r>
    </w:p>
    <w:p w14:paraId="363D7EA6" w14:textId="23AA07E0"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r w:rsidRPr="0045254E">
        <w:rPr>
          <w:rFonts w:ascii="Simplified Arabic" w:eastAsia="Georgia" w:hAnsi="Simplified Arabic" w:cs="Simplified Arabic"/>
          <w:b/>
          <w:bCs/>
          <w:color w:val="000000"/>
          <w:sz w:val="24"/>
          <w:szCs w:val="24"/>
          <w:rtl/>
        </w:rPr>
        <w:t>2.9.1</w:t>
      </w:r>
      <w:r w:rsidR="00390B53" w:rsidRPr="0045254E">
        <w:rPr>
          <w:rFonts w:ascii="Simplified Arabic" w:eastAsia="Georgia" w:hAnsi="Simplified Arabic" w:cs="Simplified Arabic"/>
          <w:b/>
          <w:bCs/>
          <w:color w:val="000000"/>
          <w:sz w:val="24"/>
          <w:szCs w:val="24"/>
        </w:rPr>
        <w:t xml:space="preserve"> </w:t>
      </w:r>
      <w:r w:rsidR="00390B53" w:rsidRPr="0045254E">
        <w:rPr>
          <w:rFonts w:ascii="Simplified Arabic" w:eastAsia="Georgia" w:hAnsi="Simplified Arabic" w:cs="Simplified Arabic"/>
          <w:b/>
          <w:bCs/>
          <w:color w:val="000000"/>
          <w:sz w:val="24"/>
          <w:szCs w:val="24"/>
          <w:rtl/>
        </w:rPr>
        <w:t>مدخل عام إلى الدراسات السابقة</w:t>
      </w:r>
    </w:p>
    <w:p w14:paraId="0BE09E5E" w14:textId="2AD0F2AD" w:rsidR="00065CC3" w:rsidRPr="00736666" w:rsidRDefault="00065CC3" w:rsidP="00065CC3">
      <w:pPr>
        <w:bidi/>
        <w:spacing w:before="315" w:after="105" w:line="360" w:lineRule="auto"/>
        <w:ind w:left="-30"/>
        <w:jc w:val="both"/>
        <w:rPr>
          <w:rFonts w:ascii="Simplified Arabic" w:eastAsia="Georgia" w:hAnsi="Simplified Arabic" w:cs="Simplified Arabic"/>
          <w:b/>
          <w:color w:val="000000"/>
          <w:sz w:val="24"/>
          <w:szCs w:val="24"/>
          <w:rtl/>
        </w:rPr>
      </w:pPr>
      <w:r w:rsidRPr="00736666">
        <w:rPr>
          <w:rFonts w:ascii="Simplified Arabic" w:eastAsia="Georgia" w:hAnsi="Simplified Arabic" w:cs="Simplified Arabic"/>
          <w:b/>
          <w:color w:val="000000"/>
          <w:sz w:val="24"/>
          <w:szCs w:val="24"/>
          <w:rtl/>
        </w:rPr>
        <w:lastRenderedPageBreak/>
        <w:t>اعتمدت مراجعة الدراسات السابقة في هذا الفصل على منهجية منظمة شملت البحث في قواعد بيانات علمية معتمدة مثل </w:t>
      </w:r>
      <w:r w:rsidRPr="006E60E7">
        <w:rPr>
          <w:rFonts w:ascii="Simplified Arabic" w:eastAsia="Georgia" w:hAnsi="Simplified Arabic" w:cs="Simplified Arabic"/>
          <w:bCs/>
          <w:color w:val="000000"/>
          <w:sz w:val="24"/>
          <w:szCs w:val="24"/>
        </w:rPr>
        <w:t>PubMed</w:t>
      </w:r>
      <w:r w:rsidRPr="00736666">
        <w:rPr>
          <w:rFonts w:ascii="Simplified Arabic" w:eastAsia="Georgia" w:hAnsi="Simplified Arabic" w:cs="Simplified Arabic"/>
          <w:b/>
          <w:color w:val="000000"/>
          <w:sz w:val="24"/>
          <w:szCs w:val="24"/>
          <w:rtl/>
        </w:rPr>
        <w:t>، و</w:t>
      </w:r>
      <w:r w:rsidRPr="006E60E7">
        <w:rPr>
          <w:rFonts w:ascii="Simplified Arabic" w:eastAsia="Georgia" w:hAnsi="Simplified Arabic" w:cs="Simplified Arabic"/>
          <w:bCs/>
          <w:color w:val="000000"/>
          <w:sz w:val="24"/>
          <w:szCs w:val="24"/>
        </w:rPr>
        <w:t>Web of Science</w:t>
      </w:r>
      <w:r w:rsidRPr="00736666">
        <w:rPr>
          <w:rFonts w:ascii="Simplified Arabic" w:eastAsia="Georgia" w:hAnsi="Simplified Arabic" w:cs="Simplified Arabic"/>
          <w:b/>
          <w:color w:val="000000"/>
          <w:sz w:val="24"/>
          <w:szCs w:val="24"/>
          <w:rtl/>
        </w:rPr>
        <w:t xml:space="preserve">، </w:t>
      </w:r>
      <w:r w:rsidRPr="006E60E7">
        <w:rPr>
          <w:rFonts w:ascii="Simplified Arabic" w:eastAsia="Georgia" w:hAnsi="Simplified Arabic" w:cs="Simplified Arabic"/>
          <w:bCs/>
          <w:color w:val="000000"/>
          <w:sz w:val="24"/>
          <w:szCs w:val="24"/>
          <w:rtl/>
        </w:rPr>
        <w:t>و</w:t>
      </w:r>
      <w:r w:rsidRPr="006E60E7">
        <w:rPr>
          <w:rFonts w:ascii="Simplified Arabic" w:eastAsia="Georgia" w:hAnsi="Simplified Arabic" w:cs="Simplified Arabic"/>
          <w:bCs/>
          <w:color w:val="000000"/>
          <w:sz w:val="24"/>
          <w:szCs w:val="24"/>
        </w:rPr>
        <w:t>Scopus</w:t>
      </w:r>
      <w:r w:rsidRPr="00736666">
        <w:rPr>
          <w:rFonts w:ascii="Simplified Arabic" w:eastAsia="Georgia" w:hAnsi="Simplified Arabic" w:cs="Simplified Arabic"/>
          <w:b/>
          <w:color w:val="000000"/>
          <w:sz w:val="24"/>
          <w:szCs w:val="24"/>
          <w:rtl/>
        </w:rPr>
        <w:t>، بالإضافة إلى قواعد عربية مثل منصة المنهل و</w:t>
      </w:r>
      <w:r w:rsidRPr="006E60E7">
        <w:rPr>
          <w:rFonts w:ascii="Simplified Arabic" w:eastAsia="Georgia" w:hAnsi="Simplified Arabic" w:cs="Simplified Arabic"/>
          <w:bCs/>
          <w:color w:val="000000"/>
          <w:sz w:val="24"/>
          <w:szCs w:val="24"/>
        </w:rPr>
        <w:t>Google Scholar</w:t>
      </w:r>
      <w:r w:rsidRPr="006E60E7">
        <w:rPr>
          <w:rFonts w:ascii="Simplified Arabic" w:eastAsia="Georgia" w:hAnsi="Simplified Arabic" w:cs="Simplified Arabic"/>
          <w:bCs/>
          <w:color w:val="000000"/>
          <w:sz w:val="24"/>
          <w:szCs w:val="24"/>
          <w:rtl/>
        </w:rPr>
        <w:t>،</w:t>
      </w:r>
      <w:r w:rsidRPr="00736666">
        <w:rPr>
          <w:rFonts w:ascii="Simplified Arabic" w:eastAsia="Georgia" w:hAnsi="Simplified Arabic" w:cs="Simplified Arabic"/>
          <w:b/>
          <w:color w:val="000000"/>
          <w:sz w:val="24"/>
          <w:szCs w:val="24"/>
          <w:rtl/>
        </w:rPr>
        <w:t xml:space="preserve"> وذلك باستخدام كلمات مفتاحية تجمع بين مفاهيم القيادة التحويلية، وثقافة السلامة، وسلوكيات السلامة، والأحداث الضارة في المستشفيات. وشملت عملية البحث الدراسات المنشورة خلال الفترة من عام 20</w:t>
      </w:r>
      <w:r w:rsidR="00824096" w:rsidRPr="00736666">
        <w:rPr>
          <w:rFonts w:ascii="Simplified Arabic" w:eastAsia="Georgia" w:hAnsi="Simplified Arabic" w:cs="Simplified Arabic"/>
          <w:b/>
          <w:color w:val="000000"/>
          <w:sz w:val="24"/>
          <w:szCs w:val="24"/>
          <w:rtl/>
        </w:rPr>
        <w:t>21</w:t>
      </w:r>
      <w:r w:rsidRPr="00736666">
        <w:rPr>
          <w:rFonts w:ascii="Simplified Arabic" w:eastAsia="Georgia" w:hAnsi="Simplified Arabic" w:cs="Simplified Arabic"/>
          <w:b/>
          <w:color w:val="000000"/>
          <w:sz w:val="24"/>
          <w:szCs w:val="24"/>
          <w:rtl/>
        </w:rPr>
        <w:t xml:space="preserve"> إلى عام 2025، مع التركيز على الأبحاث المنشورة في السياق الصحي، وبشكل خاص الدراسات التي تناولت المستشفيات السعودية أو بيئات صحية مشابهة. وتم اعتماد معايير محددة للإدراج، تضمنت: أن تكون الدراسة منشورة في مجلة محكّمة، وأن تتناول واحدًا أو أكثر من متغيرات النموذج الحالي (</w:t>
      </w:r>
      <w:r w:rsidRPr="006E60E7">
        <w:rPr>
          <w:rFonts w:ascii="Simplified Arabic" w:eastAsia="Georgia" w:hAnsi="Simplified Arabic" w:cs="Simplified Arabic"/>
          <w:bCs/>
          <w:color w:val="000000"/>
          <w:sz w:val="24"/>
          <w:szCs w:val="24"/>
        </w:rPr>
        <w:t>TL</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SC</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SB</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AE</w:t>
      </w:r>
      <w:r w:rsidRPr="00736666">
        <w:rPr>
          <w:rFonts w:ascii="Simplified Arabic" w:eastAsia="Georgia" w:hAnsi="Simplified Arabic" w:cs="Simplified Arabic"/>
          <w:b/>
          <w:color w:val="000000"/>
          <w:sz w:val="24"/>
          <w:szCs w:val="24"/>
          <w:rtl/>
        </w:rPr>
        <w:t xml:space="preserve">)، وأن تقدم بيانات كمية أو مراجعات منهجية يمكن الاستفادة منها في بناء النموذج النظري. أما الدراسات التي لم تتوفر فيها هذه الشروط، أو التي ركزت على سياقات غير صحية بحتة، فقد تم استبعادها من التحليل التفصيلي مع الاكتفاء بذكر بعضها عند الحاجة لأغراض التوضيح النظري. </w:t>
      </w:r>
    </w:p>
    <w:p w14:paraId="70306910" w14:textId="58A7F579" w:rsidR="00390B53" w:rsidRPr="00736666" w:rsidRDefault="00736666" w:rsidP="00736666">
      <w:pPr>
        <w:bidi/>
        <w:spacing w:before="315" w:after="105" w:line="360" w:lineRule="auto"/>
        <w:ind w:left="-30"/>
        <w:jc w:val="both"/>
        <w:rPr>
          <w:rFonts w:ascii="Simplified Arabic" w:eastAsia="Georgia" w:hAnsi="Simplified Arabic" w:cs="Simplified Arabic"/>
          <w:b/>
          <w:color w:val="000000"/>
          <w:sz w:val="24"/>
          <w:szCs w:val="24"/>
          <w:rtl/>
        </w:rPr>
      </w:pPr>
      <w:r w:rsidRPr="00736666">
        <w:rPr>
          <w:rFonts w:ascii="Simplified Arabic" w:eastAsia="Georgia" w:hAnsi="Simplified Arabic" w:cs="Simplified Arabic"/>
          <w:b/>
          <w:color w:val="000000"/>
          <w:sz w:val="24"/>
          <w:szCs w:val="24"/>
          <w:rtl/>
        </w:rPr>
        <w:t>تعتبر مراجعة الدراسات السابقة خطوة أساسية لبناء أساس علمي قوي للدراسة الحالية، حيث تساعد على التعرف على الإنجازات في مجالات القيادة التحويلية، ثقافة سلامة المرضى، سلوكيات السلامة، والأحداث الضارة في المستشفيات، مع إبراز نقاط الاتفاق والاختلاف، وتحديد المناطق التي تحتاج إلى تحسين والتي تعمل الدراسة على معالجتها. تم تنظيم هذا الجزء من الدراسة إلى عدة محاور رئيسة تعكس العلاقات بين متغيرات النموذج النظري، حيث يركز كل محور على نوع معين من العلاقات (مثل العلاقة بين القيادة وثقافة السلامة، أو بين الثقافة والسلوكيات، أو بين السلوكيات والأحداث الضارة)، ويختتم كل محور بفقرة تلخص أبرز النتائج وتوضح الفجوات البحثية الباقية.</w:t>
      </w:r>
    </w:p>
    <w:p w14:paraId="60F9536D" w14:textId="0AB0FB7A" w:rsidR="00717BD6" w:rsidRPr="00C35121" w:rsidRDefault="0045254E" w:rsidP="00717BD6">
      <w:pPr>
        <w:bidi/>
        <w:spacing w:before="315" w:after="105" w:line="360" w:lineRule="auto"/>
        <w:ind w:left="-30"/>
        <w:rPr>
          <w:rFonts w:ascii="Simplified Arabic" w:eastAsia="Georgia" w:hAnsi="Simplified Arabic" w:cs="Simplified Arabic"/>
          <w:b/>
          <w:bCs/>
          <w:color w:val="000000"/>
          <w:sz w:val="24"/>
          <w:szCs w:val="24"/>
        </w:rPr>
      </w:pPr>
      <w:r w:rsidRPr="00C35121">
        <w:rPr>
          <w:rFonts w:ascii="Simplified Arabic" w:eastAsia="Georgia" w:hAnsi="Simplified Arabic" w:cs="Simplified Arabic"/>
          <w:b/>
          <w:bCs/>
          <w:color w:val="000000"/>
          <w:sz w:val="24"/>
          <w:szCs w:val="24"/>
          <w:rtl/>
        </w:rPr>
        <w:t>2.9.2</w:t>
      </w:r>
      <w:r w:rsidR="00717BD6" w:rsidRPr="00C35121">
        <w:rPr>
          <w:rFonts w:ascii="Simplified Arabic" w:eastAsia="Georgia" w:hAnsi="Simplified Arabic" w:cs="Simplified Arabic"/>
          <w:b/>
          <w:bCs/>
          <w:color w:val="000000"/>
          <w:sz w:val="24"/>
          <w:szCs w:val="24"/>
          <w:rtl/>
        </w:rPr>
        <w:t>المحور الأول: العلاقة بين القيادة التحويلية وثقافة وسلامة المريض</w:t>
      </w:r>
      <w:r w:rsidR="00717BD6" w:rsidRPr="00C35121">
        <w:rPr>
          <w:rFonts w:ascii="Simplified Arabic" w:eastAsia="Georgia" w:hAnsi="Simplified Arabic" w:cs="Simplified Arabic"/>
          <w:b/>
          <w:bCs/>
          <w:color w:val="000000"/>
          <w:sz w:val="24"/>
          <w:szCs w:val="24"/>
        </w:rPr>
        <w:t xml:space="preserve"> (TL </w:t>
      </w:r>
      <w:r w:rsidR="00717BD6" w:rsidRPr="00C35121">
        <w:rPr>
          <w:rFonts w:ascii="Times New Roman" w:eastAsia="Georgia" w:hAnsi="Times New Roman" w:cs="Times New Roman"/>
          <w:b/>
          <w:bCs/>
          <w:color w:val="000000"/>
          <w:sz w:val="24"/>
          <w:szCs w:val="24"/>
        </w:rPr>
        <w:t>→</w:t>
      </w:r>
      <w:r w:rsidR="00717BD6" w:rsidRPr="00C35121">
        <w:rPr>
          <w:rFonts w:ascii="Simplified Arabic" w:eastAsia="Georgia" w:hAnsi="Simplified Arabic" w:cs="Simplified Arabic"/>
          <w:b/>
          <w:bCs/>
          <w:color w:val="000000"/>
          <w:sz w:val="24"/>
          <w:szCs w:val="24"/>
        </w:rPr>
        <w:t xml:space="preserve"> SC)</w:t>
      </w:r>
    </w:p>
    <w:p w14:paraId="58027322" w14:textId="738274A1"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sidRPr="00717BD6">
        <w:rPr>
          <w:rFonts w:ascii="Simplified Arabic" w:eastAsia="Georgia" w:hAnsi="Simplified Arabic" w:cs="Simplified Arabic"/>
          <w:b/>
          <w:bCs/>
          <w:color w:val="000000"/>
          <w:sz w:val="24"/>
          <w:szCs w:val="24"/>
        </w:rPr>
        <w:t xml:space="preserve"> </w:t>
      </w:r>
      <w:r w:rsidRPr="00717BD6">
        <w:rPr>
          <w:rFonts w:ascii="Simplified Arabic" w:eastAsia="Georgia" w:hAnsi="Simplified Arabic" w:cs="Simplified Arabic" w:hint="cs"/>
          <w:b/>
          <w:bCs/>
          <w:color w:val="000000"/>
          <w:sz w:val="24"/>
          <w:szCs w:val="24"/>
          <w:rtl/>
        </w:rPr>
        <w:t>الادعاء</w:t>
      </w:r>
      <w:r>
        <w:rPr>
          <w:rFonts w:ascii="Simplified Arabic" w:eastAsia="Georgia" w:hAnsi="Simplified Arabic" w:cs="Simplified Arabic" w:hint="cs"/>
          <w:color w:val="000000"/>
          <w:sz w:val="24"/>
          <w:szCs w:val="24"/>
          <w:rtl/>
        </w:rPr>
        <w:t>:</w:t>
      </w:r>
      <w:r>
        <w:rPr>
          <w:rFonts w:ascii="Simplified Arabic" w:eastAsia="Georgia" w:hAnsi="Simplified Arabic" w:cs="Simplified Arabic"/>
          <w:color w:val="000000"/>
          <w:sz w:val="24"/>
          <w:szCs w:val="24"/>
        </w:rPr>
        <w:t> </w:t>
      </w:r>
      <w:r>
        <w:rPr>
          <w:rFonts w:ascii="Simplified Arabic" w:eastAsia="Georgia" w:hAnsi="Simplified Arabic" w:cs="Simplified Arabic"/>
          <w:color w:val="000000"/>
          <w:sz w:val="24"/>
          <w:szCs w:val="24"/>
          <w:rtl/>
        </w:rPr>
        <w:t>تشير الدراسات النظرية والتطبيقية إلى أن القيادة التحويلية تُعد من أبرز أنماط القيادة التي تُمكن من تشكيل ثقافة تنظيمية تدعم سلامة المرضى، من خلال التأثير على قيم العاملين وتوجهاتهم وسلوكياتهم في بيئة المستشفيات</w:t>
      </w:r>
      <w:r>
        <w:rPr>
          <w:rFonts w:ascii="Simplified Arabic" w:eastAsia="Georgia" w:hAnsi="Simplified Arabic" w:cs="Simplified Arabic"/>
          <w:color w:val="000000"/>
          <w:sz w:val="24"/>
          <w:szCs w:val="24"/>
        </w:rPr>
        <w:t xml:space="preserve">. </w:t>
      </w:r>
    </w:p>
    <w:p w14:paraId="7107C6D3" w14:textId="427CE78A"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الدليل</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من الناحية النظرية، تؤكد نماذج </w:t>
      </w:r>
      <w:r w:rsidRPr="00717BD6">
        <w:rPr>
          <w:rFonts w:ascii="Simplified Arabic" w:eastAsia="Georgia" w:hAnsi="Simplified Arabic" w:cs="Simplified Arabic"/>
          <w:color w:val="000000"/>
          <w:sz w:val="24"/>
          <w:szCs w:val="24"/>
        </w:rPr>
        <w:t>Bass &amp; Avolio</w:t>
      </w:r>
      <w:r w:rsidRPr="00717BD6">
        <w:rPr>
          <w:rFonts w:ascii="Simplified Arabic" w:eastAsia="Georgia" w:hAnsi="Simplified Arabic" w:cs="Simplified Arabic"/>
          <w:color w:val="000000"/>
          <w:sz w:val="24"/>
          <w:szCs w:val="24"/>
          <w:rtl/>
        </w:rPr>
        <w:t xml:space="preserve"> أن القائد التحويلي يغير بيئة العمل من خلال التأثير المثالي، التحفيز الملهم، الاستثارة الفكرية، والاعتبار الشخصي، مما يعزز الثقة والتزام الموظفين برؤية المنظمة. دعمت مراجعات حديثة في مجال الصحة هذا المفه</w:t>
      </w:r>
      <w:r w:rsidRPr="00717BD6">
        <w:rPr>
          <w:rFonts w:ascii="Simplified Arabic" w:eastAsia="Georgia" w:hAnsi="Simplified Arabic" w:cs="Simplified Arabic" w:hint="cs"/>
          <w:color w:val="000000"/>
          <w:sz w:val="24"/>
          <w:szCs w:val="24"/>
          <w:rtl/>
        </w:rPr>
        <w:t>وم،</w:t>
      </w:r>
      <w:r w:rsidRPr="00717BD6">
        <w:rPr>
          <w:rFonts w:ascii="Simplified Arabic" w:eastAsia="Georgia" w:hAnsi="Simplified Arabic" w:cs="Simplified Arabic"/>
          <w:color w:val="000000"/>
          <w:sz w:val="24"/>
          <w:szCs w:val="24"/>
          <w:rtl/>
        </w:rPr>
        <w:t xml:space="preserve"> حيث أشار </w:t>
      </w:r>
      <w:r w:rsidRPr="00717BD6">
        <w:rPr>
          <w:rFonts w:ascii="Simplified Arabic" w:eastAsia="Georgia" w:hAnsi="Simplified Arabic" w:cs="Simplified Arabic"/>
          <w:color w:val="000000"/>
          <w:sz w:val="24"/>
          <w:szCs w:val="24"/>
        </w:rPr>
        <w:t>Ahmed et al</w:t>
      </w:r>
      <w:r w:rsidRPr="00717BD6">
        <w:rPr>
          <w:rFonts w:ascii="Simplified Arabic" w:eastAsia="Georgia" w:hAnsi="Simplified Arabic" w:cs="Simplified Arabic"/>
          <w:color w:val="000000"/>
          <w:sz w:val="24"/>
          <w:szCs w:val="24"/>
          <w:rtl/>
        </w:rPr>
        <w:t>. (2024) إلى أن أنماط القيادة التي تركز على التمكين والتحفيز، خاصة القيادة التحويلية، ترتبط بشكل إيجابي بنتائج الجودة وسلامة المرضى في أنظمة الرعاية الصحية.</w:t>
      </w:r>
    </w:p>
    <w:p w14:paraId="526386EF" w14:textId="6C605D0F"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color w:val="000000"/>
          <w:sz w:val="24"/>
          <w:szCs w:val="24"/>
          <w:rtl/>
        </w:rPr>
        <w:lastRenderedPageBreak/>
        <w:t xml:space="preserve">في السياق السعودي، أظهرت دراسة كمية لـ </w:t>
      </w:r>
      <w:proofErr w:type="spellStart"/>
      <w:r>
        <w:rPr>
          <w:rFonts w:ascii="Simplified Arabic" w:eastAsia="Georgia" w:hAnsi="Simplified Arabic" w:cs="Simplified Arabic"/>
          <w:color w:val="000000"/>
          <w:sz w:val="24"/>
          <w:szCs w:val="24"/>
        </w:rPr>
        <w:t>Althaibah</w:t>
      </w:r>
      <w:proofErr w:type="spellEnd"/>
      <w:r>
        <w:rPr>
          <w:rFonts w:ascii="Simplified Arabic" w:eastAsia="Georgia" w:hAnsi="Simplified Arabic" w:cs="Simplified Arabic"/>
          <w:color w:val="000000"/>
          <w:sz w:val="24"/>
          <w:szCs w:val="24"/>
        </w:rPr>
        <w:t xml:space="preserve"> et al</w:t>
      </w:r>
      <w:r>
        <w:rPr>
          <w:rFonts w:ascii="Simplified Arabic" w:eastAsia="Georgia" w:hAnsi="Simplified Arabic" w:cs="Simplified Arabic"/>
          <w:color w:val="000000"/>
          <w:sz w:val="24"/>
          <w:szCs w:val="24"/>
          <w:rtl/>
        </w:rPr>
        <w:t xml:space="preserve">. (2022) على عينة من 251 من الكوادر الصحية أن القيادة التحويلية لها علاقة مباشرة وذات دلالة إحصائية بمستوى سلامة المرضى المدرك في المستشفيات، مما يعزز فرضية أن القائد التحويلي يساهم في خلق بيئة عمل أكثر أمانًا. كما أظهرت دراسة </w:t>
      </w:r>
      <w:r>
        <w:rPr>
          <w:rFonts w:ascii="Simplified Arabic" w:eastAsia="Georgia" w:hAnsi="Simplified Arabic" w:cs="Simplified Arabic"/>
          <w:color w:val="000000"/>
          <w:sz w:val="24"/>
          <w:szCs w:val="24"/>
        </w:rPr>
        <w:t xml:space="preserve">Amal Ali </w:t>
      </w:r>
      <w:proofErr w:type="spellStart"/>
      <w:r>
        <w:rPr>
          <w:rFonts w:ascii="Simplified Arabic" w:eastAsia="Georgia" w:hAnsi="Simplified Arabic" w:cs="Simplified Arabic"/>
          <w:color w:val="000000"/>
          <w:sz w:val="24"/>
          <w:szCs w:val="24"/>
        </w:rPr>
        <w:t>Almuntasheri</w:t>
      </w:r>
      <w:proofErr w:type="spellEnd"/>
      <w:r>
        <w:rPr>
          <w:rFonts w:ascii="Simplified Arabic" w:eastAsia="Georgia" w:hAnsi="Simplified Arabic" w:cs="Simplified Arabic"/>
          <w:color w:val="000000"/>
          <w:sz w:val="24"/>
          <w:szCs w:val="24"/>
          <w:rtl/>
        </w:rPr>
        <w:t xml:space="preserve"> (2022) في أحد مستشفيات جدة أن سلوكيات القيادة الإيجابية ترتبط إيجابيًا بثقافة سلامة المرضى، كما يقيسها </w:t>
      </w:r>
      <w:proofErr w:type="gramStart"/>
      <w:r>
        <w:rPr>
          <w:rFonts w:ascii="Simplified Arabic" w:eastAsia="Georgia" w:hAnsi="Simplified Arabic" w:cs="Simplified Arabic"/>
          <w:color w:val="000000"/>
          <w:sz w:val="24"/>
          <w:szCs w:val="24"/>
          <w:rtl/>
        </w:rPr>
        <w:t>استبيان</w:t>
      </w:r>
      <w:proofErr w:type="gramEnd"/>
      <w:r>
        <w:rPr>
          <w:rFonts w:ascii="Simplified Arabic" w:eastAsia="Georgia" w:hAnsi="Simplified Arabic" w:cs="Simplified Arabic"/>
          <w:color w:val="000000"/>
          <w:sz w:val="24"/>
          <w:szCs w:val="24"/>
          <w:rtl/>
        </w:rPr>
        <w:t xml:space="preserve"> </w:t>
      </w:r>
      <w:r>
        <w:rPr>
          <w:rFonts w:ascii="Simplified Arabic" w:eastAsia="Georgia" w:hAnsi="Simplified Arabic" w:cs="Simplified Arabic"/>
          <w:color w:val="000000"/>
          <w:sz w:val="24"/>
          <w:szCs w:val="24"/>
        </w:rPr>
        <w:t>HSOPSC</w:t>
      </w:r>
      <w:r>
        <w:rPr>
          <w:rFonts w:ascii="Simplified Arabic" w:eastAsia="Georgia" w:hAnsi="Simplified Arabic" w:cs="Simplified Arabic"/>
          <w:color w:val="000000"/>
          <w:sz w:val="24"/>
          <w:szCs w:val="24"/>
          <w:rtl/>
        </w:rPr>
        <w:t>، مما يشير إلى أن نمط القيادة يعد مدخلاً رئيسًا لبناء ثقافة سلامة قوية.</w:t>
      </w:r>
    </w:p>
    <w:p w14:paraId="4F3C6972" w14:textId="6D3105E0"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التركيب</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تشير الأدلة مجتمعة إلى أن القيادة التحويلية لا تؤثر على سلامة المرضى بشكل مباشر فحسب، بل تعمل بشكل أساسي من خلال تشكيل مناخ تنظيمي وقيمي يُبرز مفهوم ثقافة السلامة. فالقائد التحويلي، من خلال وضوح الرؤية، ودعم الإبلاغ عن الأخطاء، وتشجيع التعلم من ا</w:t>
      </w:r>
      <w:r w:rsidRPr="00717BD6">
        <w:rPr>
          <w:rFonts w:ascii="Simplified Arabic" w:eastAsia="Georgia" w:hAnsi="Simplified Arabic" w:cs="Simplified Arabic" w:hint="cs"/>
          <w:color w:val="000000"/>
          <w:sz w:val="24"/>
          <w:szCs w:val="24"/>
          <w:rtl/>
        </w:rPr>
        <w:t>لحوادث،</w:t>
      </w:r>
      <w:r w:rsidRPr="00717BD6">
        <w:rPr>
          <w:rFonts w:ascii="Simplified Arabic" w:eastAsia="Georgia" w:hAnsi="Simplified Arabic" w:cs="Simplified Arabic"/>
          <w:color w:val="000000"/>
          <w:sz w:val="24"/>
          <w:szCs w:val="24"/>
          <w:rtl/>
        </w:rPr>
        <w:t xml:space="preserve"> يسهم في ترسيخ القيم التي تعتبر السلامة أولوية قصوى في القرارات والممارسات اليومية. مع ذلك، تكشف مراجعة الدراسات عن بعض القيود المنهجية؛ إذ ركّزت العديد منها على العلاقات المباشرة الثنائية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SC</w:t>
      </w:r>
      <w:r w:rsidRPr="00717BD6">
        <w:rPr>
          <w:rFonts w:ascii="Simplified Arabic" w:eastAsia="Georgia" w:hAnsi="Simplified Arabic" w:cs="Simplified Arabic"/>
          <w:color w:val="000000"/>
          <w:sz w:val="24"/>
          <w:szCs w:val="24"/>
          <w:rtl/>
        </w:rPr>
        <w:t xml:space="preserve"> أو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Safety Outcomes</w:t>
      </w:r>
      <w:r w:rsidRPr="00717BD6">
        <w:rPr>
          <w:rFonts w:ascii="Simplified Arabic" w:eastAsia="Georgia" w:hAnsi="Simplified Arabic" w:cs="Simplified Arabic"/>
          <w:color w:val="000000"/>
          <w:sz w:val="24"/>
          <w:szCs w:val="24"/>
          <w:rtl/>
        </w:rPr>
        <w:t>) دون اختبار الأدوار الوسيط</w:t>
      </w:r>
      <w:r w:rsidRPr="00717BD6">
        <w:rPr>
          <w:rFonts w:ascii="Simplified Arabic" w:eastAsia="Georgia" w:hAnsi="Simplified Arabic" w:cs="Simplified Arabic" w:hint="cs"/>
          <w:color w:val="000000"/>
          <w:sz w:val="24"/>
          <w:szCs w:val="24"/>
          <w:rtl/>
        </w:rPr>
        <w:t>ة</w:t>
      </w:r>
      <w:r w:rsidRPr="00717BD6">
        <w:rPr>
          <w:rFonts w:ascii="Simplified Arabic" w:eastAsia="Georgia" w:hAnsi="Simplified Arabic" w:cs="Simplified Arabic"/>
          <w:color w:val="000000"/>
          <w:sz w:val="24"/>
          <w:szCs w:val="24"/>
          <w:rtl/>
        </w:rPr>
        <w:t xml:space="preserve"> التالية، مثل سلوكيات السلامة أو الأحداث الضارة، ضمن نموذج سببي متكامل، كما أن معظم الدراسات أُجريت خارج منطقة الجوف أو في قطاعات صحية غير حكومية، الأمر الذي يُقيّد إمكانية تطبيق نتائجها على سياق الدراسة الحالية.</w:t>
      </w:r>
    </w:p>
    <w:p w14:paraId="5BA62676" w14:textId="10354B40" w:rsidR="00717BD6" w:rsidRPr="00717BD6" w:rsidRDefault="00D91637" w:rsidP="00717BD6">
      <w:pPr>
        <w:bidi/>
        <w:spacing w:before="315" w:after="105" w:line="360" w:lineRule="auto"/>
        <w:ind w:left="-30"/>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الرابط</w:t>
      </w:r>
      <w:r>
        <w:rPr>
          <w:rFonts w:ascii="Simplified Arabic" w:eastAsia="Georgia" w:hAnsi="Simplified Arabic" w:cs="Simplified Arabic"/>
          <w:b/>
          <w:bCs/>
          <w:color w:val="000000"/>
          <w:sz w:val="24"/>
          <w:szCs w:val="24"/>
          <w:rtl/>
        </w:rPr>
        <w:t>: </w:t>
      </w:r>
      <w:r w:rsidRPr="00D91637">
        <w:rPr>
          <w:rFonts w:ascii="Simplified Arabic" w:eastAsia="Georgia" w:hAnsi="Simplified Arabic" w:cs="Simplified Arabic"/>
          <w:color w:val="000000"/>
          <w:sz w:val="24"/>
          <w:szCs w:val="24"/>
          <w:rtl/>
        </w:rPr>
        <w:t>بناءً على ذلك، تفترض الدراسة الحالية أن القيادة التحويلية هي نقطة انطلاق المسار السببي المقترح، حيث تؤثر بشكل مباشر على ثقافة سلامة المرضى في المستشفيات الحكومية بمنطقة الجوف، ويعكس هذا في الفرضية الأولى (</w:t>
      </w:r>
      <w:r w:rsidRPr="00D91637">
        <w:rPr>
          <w:rFonts w:ascii="Simplified Arabic" w:eastAsia="Georgia" w:hAnsi="Simplified Arabic" w:cs="Simplified Arabic"/>
          <w:color w:val="000000"/>
          <w:sz w:val="24"/>
          <w:szCs w:val="24"/>
        </w:rPr>
        <w:t>H1</w:t>
      </w:r>
      <w:r w:rsidRPr="00D91637">
        <w:rPr>
          <w:rFonts w:ascii="Simplified Arabic" w:eastAsia="Georgia" w:hAnsi="Simplified Arabic" w:cs="Simplified Arabic"/>
          <w:color w:val="000000"/>
          <w:sz w:val="24"/>
          <w:szCs w:val="24"/>
          <w:rtl/>
        </w:rPr>
        <w:t>) التي تختبر وجود تأثير مباشر ذو دلالة إ</w:t>
      </w:r>
      <w:r w:rsidRPr="00D91637">
        <w:rPr>
          <w:rFonts w:ascii="Simplified Arabic" w:eastAsia="Georgia" w:hAnsi="Simplified Arabic" w:cs="Simplified Arabic" w:hint="cs"/>
          <w:color w:val="000000"/>
          <w:sz w:val="24"/>
          <w:szCs w:val="24"/>
          <w:rtl/>
        </w:rPr>
        <w:t>حصائية</w:t>
      </w:r>
      <w:r w:rsidRPr="00D91637">
        <w:rPr>
          <w:rFonts w:ascii="Simplified Arabic" w:eastAsia="Georgia" w:hAnsi="Simplified Arabic" w:cs="Simplified Arabic"/>
          <w:color w:val="000000"/>
          <w:sz w:val="24"/>
          <w:szCs w:val="24"/>
          <w:rtl/>
        </w:rPr>
        <w:t xml:space="preserve"> للقيادة التحويلية على ثقافة السلامة.</w:t>
      </w:r>
    </w:p>
    <w:p w14:paraId="0DE7362A" w14:textId="29E80CCC" w:rsidR="00390B53" w:rsidRPr="00154D4E" w:rsidRDefault="0045254E" w:rsidP="00717BD6">
      <w:pPr>
        <w:bidi/>
        <w:spacing w:before="315" w:after="105" w:line="360" w:lineRule="auto"/>
        <w:ind w:left="-30"/>
        <w:rPr>
          <w:rFonts w:ascii="Sakkal Majalla" w:eastAsia="Georgia" w:hAnsi="Sakkal Majalla" w:cs="Sakkal Majalla"/>
          <w:b/>
          <w:bCs/>
          <w:color w:val="000000"/>
          <w:sz w:val="28"/>
          <w:szCs w:val="28"/>
        </w:rPr>
      </w:pPr>
      <w:r>
        <w:rPr>
          <w:rFonts w:ascii="Sakkal Majalla" w:eastAsia="Georgia" w:hAnsi="Sakkal Majalla" w:cs="Sakkal Majalla" w:hint="cs"/>
          <w:b/>
          <w:bCs/>
          <w:color w:val="000000"/>
          <w:sz w:val="28"/>
          <w:szCs w:val="28"/>
          <w:rtl/>
        </w:rPr>
        <w:t>2.9.2.1</w:t>
      </w:r>
      <w:r w:rsidR="00390B53" w:rsidRPr="00154D4E">
        <w:rPr>
          <w:rFonts w:ascii="Sakkal Majalla" w:eastAsia="Georgia" w:hAnsi="Sakkal Majalla" w:cs="Sakkal Majalla"/>
          <w:b/>
          <w:bCs/>
          <w:color w:val="000000"/>
          <w:sz w:val="28"/>
          <w:szCs w:val="28"/>
          <w:rtl/>
        </w:rPr>
        <w:t>تعقيب على المحور الأول</w:t>
      </w:r>
    </w:p>
    <w:p w14:paraId="7A15AEB7" w14:textId="77777777" w:rsidR="00390B53" w:rsidRPr="00154D4E" w:rsidRDefault="00390B53" w:rsidP="00390B53">
      <w:pPr>
        <w:bidi/>
        <w:spacing w:before="315" w:after="105" w:line="360" w:lineRule="auto"/>
        <w:ind w:left="-30"/>
        <w:jc w:val="both"/>
        <w:rPr>
          <w:rFonts w:ascii="Sakkal Majalla" w:eastAsia="Georgia" w:hAnsi="Sakkal Majalla" w:cs="Sakkal Majalla"/>
          <w:b/>
          <w:color w:val="000000"/>
          <w:sz w:val="28"/>
          <w:szCs w:val="28"/>
        </w:rPr>
      </w:pPr>
      <w:r w:rsidRPr="00154D4E">
        <w:rPr>
          <w:rFonts w:ascii="Sakkal Majalla" w:eastAsia="Georgia" w:hAnsi="Sakkal Majalla" w:cs="Sakkal Majalla"/>
          <w:b/>
          <w:color w:val="000000"/>
          <w:sz w:val="28"/>
          <w:szCs w:val="28"/>
          <w:rtl/>
        </w:rPr>
        <w:t>تبرز الدراسات في هذا المحور أن القيادة التحويلية تعد من العوامل المهمة التي تساهم في تعزيز ثقافة السلامة الإيجابية في المستشفيات، حيث توفق معظم الأبحاث على وجود علاقة إيجابية ذات دلالة إحصائية بين سلوكيات القادة التحويلية وأبعاد ثقافة السلامة،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r w:rsidRPr="00154D4E">
        <w:rPr>
          <w:rFonts w:ascii="Sakkal Majalla" w:eastAsia="Georgia" w:hAnsi="Sakkal Majalla" w:cs="Sakkal Majalla"/>
          <w:b/>
          <w:color w:val="000000"/>
          <w:sz w:val="28"/>
          <w:szCs w:val="28"/>
          <w:rtl/>
        </w:rPr>
        <w:br/>
        <w:t xml:space="preserve">ومع ذلك، يظهر التحليل النقدي أن غالبية الدراسات تركز على العلاقات المباشرة بين القيادة وثقافة السلامة أو بين القيادة وبعض مؤشرات سلامة المرضى الجزئية، دون دراسة المسارات التي تنتقل عبرها تأثيرات القيادة إلى النتائج السريرية النهائية، كما أن نماذجها </w:t>
      </w:r>
      <w:r w:rsidRPr="00154D4E">
        <w:rPr>
          <w:rFonts w:ascii="Sakkal Majalla" w:eastAsia="Georgia" w:hAnsi="Sakkal Majalla" w:cs="Sakkal Majalla"/>
          <w:b/>
          <w:color w:val="000000"/>
          <w:sz w:val="28"/>
          <w:szCs w:val="28"/>
          <w:rtl/>
        </w:rPr>
        <w:lastRenderedPageBreak/>
        <w:t>لم تدمج سلوكيات السلامة أو الأحداث الضارة في إطار متكامل. بالإضافة إلى ذلك، فإن الكثير من هذه الدراسات جاءت من مستشفيات تقع في مناطق حضرية كبرى، مما يقيد من تعميم النتائج على مناطق أخرى. لذلك، تبرز الحاجة إلى دراسة تربط بين القيادة التحويلية، وثقافة سلامة المرضى، وسلوكيات السلامة، والأحداث الضارة، ضمن نموذج سببي متكامل وفي سياقات جغرافية متنوعة، وهو ما تسعى الدراسة الحالية لتحقيقه.</w:t>
      </w:r>
    </w:p>
    <w:p w14:paraId="0F65A9B7" w14:textId="41A7BCAB" w:rsidR="00006A1F" w:rsidRPr="00006A1F" w:rsidRDefault="00006A1F" w:rsidP="00006A1F">
      <w:pPr>
        <w:bidi/>
        <w:spacing w:after="0" w:line="360" w:lineRule="auto"/>
        <w:ind w:left="-29"/>
        <w:jc w:val="both"/>
        <w:rPr>
          <w:rFonts w:ascii="Sakkal Majalla" w:eastAsia="Georgia" w:hAnsi="Sakkal Majalla" w:cs="Sakkal Majalla"/>
          <w:b/>
          <w:bCs/>
          <w:color w:val="000000"/>
          <w:sz w:val="28"/>
          <w:szCs w:val="28"/>
        </w:rPr>
      </w:pPr>
      <w:r>
        <w:rPr>
          <w:rFonts w:ascii="Sakkal Majalla" w:eastAsia="Georgia" w:hAnsi="Sakkal Majalla" w:cs="Sakkal Majalla" w:hint="cs"/>
          <w:b/>
          <w:bCs/>
          <w:color w:val="000000"/>
          <w:sz w:val="28"/>
          <w:szCs w:val="28"/>
          <w:rtl/>
        </w:rPr>
        <w:t>2.3</w:t>
      </w:r>
      <w:r w:rsidRPr="00006A1F">
        <w:rPr>
          <w:rFonts w:ascii="Sakkal Majalla" w:eastAsia="Georgia" w:hAnsi="Sakkal Majalla" w:cs="Sakkal Majalla"/>
          <w:b/>
          <w:bCs/>
          <w:color w:val="000000"/>
          <w:sz w:val="28"/>
          <w:szCs w:val="28"/>
        </w:rPr>
        <w:t xml:space="preserve"> </w:t>
      </w:r>
      <w:r w:rsidRPr="00006A1F">
        <w:rPr>
          <w:rFonts w:ascii="Sakkal Majalla" w:eastAsia="Georgia" w:hAnsi="Sakkal Majalla" w:cs="Sakkal Majalla"/>
          <w:b/>
          <w:bCs/>
          <w:color w:val="000000"/>
          <w:sz w:val="28"/>
          <w:szCs w:val="28"/>
          <w:rtl/>
        </w:rPr>
        <w:t>المحور الثاني: العلاقة بين ثقافة السلامة، سلوكيات العاملين، وتقليل الأحداث الضارة</w:t>
      </w:r>
      <w:r w:rsidRPr="00006A1F">
        <w:rPr>
          <w:rFonts w:ascii="Sakkal Majalla" w:eastAsia="Georgia" w:hAnsi="Sakkal Majalla" w:cs="Sakkal Majalla"/>
          <w:b/>
          <w:bCs/>
          <w:color w:val="000000"/>
          <w:sz w:val="28"/>
          <w:szCs w:val="28"/>
        </w:rPr>
        <w:t xml:space="preserve"> (SC </w:t>
      </w:r>
      <w:r w:rsidRPr="00006A1F">
        <w:rPr>
          <w:rFonts w:ascii="Times New Roman" w:eastAsia="Georgia" w:hAnsi="Times New Roman" w:cs="Times New Roman"/>
          <w:b/>
          <w:bCs/>
          <w:color w:val="000000"/>
          <w:sz w:val="28"/>
          <w:szCs w:val="28"/>
        </w:rPr>
        <w:t>→</w:t>
      </w:r>
      <w:r w:rsidRPr="00006A1F">
        <w:rPr>
          <w:rFonts w:ascii="Sakkal Majalla" w:eastAsia="Georgia" w:hAnsi="Sakkal Majalla" w:cs="Sakkal Majalla"/>
          <w:b/>
          <w:bCs/>
          <w:color w:val="000000"/>
          <w:sz w:val="28"/>
          <w:szCs w:val="28"/>
        </w:rPr>
        <w:t xml:space="preserve"> SB </w:t>
      </w:r>
      <w:r w:rsidRPr="00006A1F">
        <w:rPr>
          <w:rFonts w:ascii="Times New Roman" w:eastAsia="Georgia" w:hAnsi="Times New Roman" w:cs="Times New Roman"/>
          <w:b/>
          <w:bCs/>
          <w:color w:val="000000"/>
          <w:sz w:val="28"/>
          <w:szCs w:val="28"/>
        </w:rPr>
        <w:t>→</w:t>
      </w:r>
      <w:r w:rsidRPr="00006A1F">
        <w:rPr>
          <w:rFonts w:ascii="Sakkal Majalla" w:eastAsia="Georgia" w:hAnsi="Sakkal Majalla" w:cs="Sakkal Majalla"/>
          <w:b/>
          <w:bCs/>
          <w:color w:val="000000"/>
          <w:sz w:val="28"/>
          <w:szCs w:val="28"/>
        </w:rPr>
        <w:t xml:space="preserve"> AE)</w:t>
      </w:r>
    </w:p>
    <w:p w14:paraId="4A2C7E70" w14:textId="342177FA" w:rsidR="00006A1F" w:rsidRPr="00006A1F" w:rsidRDefault="00006A1F" w:rsidP="00006A1F">
      <w:pPr>
        <w:bidi/>
        <w:spacing w:after="0" w:line="360" w:lineRule="auto"/>
        <w:ind w:left="-29"/>
        <w:jc w:val="both"/>
        <w:rPr>
          <w:rFonts w:ascii="Simplified Arabic" w:eastAsia="Georgia" w:hAnsi="Simplified Arabic" w:cs="Simplified Arabic"/>
          <w:color w:val="000000"/>
          <w:sz w:val="24"/>
          <w:szCs w:val="24"/>
        </w:rPr>
      </w:pPr>
      <w:r w:rsidRPr="00006A1F">
        <w:rPr>
          <w:rFonts w:ascii="Simplified Arabic" w:eastAsia="Georgia" w:hAnsi="Simplified Arabic" w:cs="Simplified Arabic" w:hint="cs"/>
          <w:b/>
          <w:bCs/>
          <w:color w:val="000000"/>
          <w:sz w:val="24"/>
          <w:szCs w:val="24"/>
          <w:rtl/>
        </w:rPr>
        <w:t>الادعاء:</w:t>
      </w:r>
      <w:r w:rsidRPr="00006A1F">
        <w:rPr>
          <w:rFonts w:ascii="Simplified Arabic" w:eastAsia="Georgia" w:hAnsi="Simplified Arabic" w:cs="Simplified Arabic" w:hint="cs"/>
          <w:color w:val="000000"/>
          <w:sz w:val="24"/>
          <w:szCs w:val="24"/>
          <w:rtl/>
        </w:rPr>
        <w:t xml:space="preserve"> تشير</w:t>
      </w:r>
      <w:r w:rsidRPr="00006A1F">
        <w:rPr>
          <w:rFonts w:ascii="Simplified Arabic" w:eastAsia="Georgia" w:hAnsi="Simplified Arabic" w:cs="Simplified Arabic"/>
          <w:color w:val="000000"/>
          <w:sz w:val="24"/>
          <w:szCs w:val="24"/>
          <w:rtl/>
        </w:rPr>
        <w:t xml:space="preserve"> الأدبيات الحديثة إلى أن ثقافة السلامة الإيجابية في المستشفيات ضرورية لتعزيز سلوكيات السلامة بين العاملين. وتُعد هذه السلوكيات العامل الأكثر تأثيرًا في تقليل معدلات وشدة الأحداث الضارة المتعلقة بالرعاية الصحية.</w:t>
      </w:r>
    </w:p>
    <w:p w14:paraId="27FB67EE" w14:textId="519DE377" w:rsidR="00006A1F" w:rsidRPr="00006A1F" w:rsidRDefault="00006A1F" w:rsidP="00006A1F">
      <w:pPr>
        <w:bidi/>
        <w:spacing w:after="0" w:line="360" w:lineRule="auto"/>
        <w:ind w:left="-29"/>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الدليل</w:t>
      </w:r>
      <w:r>
        <w:rPr>
          <w:rFonts w:ascii="Simplified Arabic" w:eastAsia="Georgia" w:hAnsi="Simplified Arabic" w:cs="Simplified Arabic"/>
          <w:b/>
          <w:bCs/>
          <w:color w:val="000000"/>
          <w:sz w:val="24"/>
          <w:szCs w:val="24"/>
          <w:rtl/>
        </w:rPr>
        <w:t xml:space="preserve">: </w:t>
      </w:r>
      <w:r w:rsidRPr="00006A1F">
        <w:rPr>
          <w:rFonts w:ascii="Simplified Arabic" w:eastAsia="Georgia" w:hAnsi="Simplified Arabic" w:cs="Simplified Arabic"/>
          <w:color w:val="000000"/>
          <w:sz w:val="24"/>
          <w:szCs w:val="24"/>
          <w:rtl/>
        </w:rPr>
        <w:t xml:space="preserve">أظهرت دراسة </w:t>
      </w:r>
      <w:r w:rsidRPr="00006A1F">
        <w:rPr>
          <w:rFonts w:ascii="Simplified Arabic" w:eastAsia="Georgia" w:hAnsi="Simplified Arabic" w:cs="Simplified Arabic"/>
          <w:color w:val="000000"/>
          <w:sz w:val="24"/>
          <w:szCs w:val="24"/>
        </w:rPr>
        <w:t>Alsahli et al</w:t>
      </w:r>
      <w:r w:rsidRPr="00006A1F">
        <w:rPr>
          <w:rFonts w:ascii="Simplified Arabic" w:eastAsia="Georgia" w:hAnsi="Simplified Arabic" w:cs="Simplified Arabic"/>
          <w:color w:val="000000"/>
          <w:sz w:val="24"/>
          <w:szCs w:val="24"/>
          <w:rtl/>
        </w:rPr>
        <w:t>. (2024) في بيئة المستشفيات السعودية أن الإدراك الإيجابي لثقافة السلامة يرتبط بزيادة الإبلاغ عن الحوادث وتحسين الالتزام بالبروتوكولات، في حين أن الثقافة السلبية تؤدي إلى تردد العاملين في الإبلاغ وخشيتهم من العقاب. تدعم نتا</w:t>
      </w:r>
      <w:r w:rsidRPr="00006A1F">
        <w:rPr>
          <w:rFonts w:ascii="Simplified Arabic" w:eastAsia="Georgia" w:hAnsi="Simplified Arabic" w:cs="Simplified Arabic" w:hint="cs"/>
          <w:color w:val="000000"/>
          <w:sz w:val="24"/>
          <w:szCs w:val="24"/>
          <w:rtl/>
        </w:rPr>
        <w:t>ئج</w:t>
      </w:r>
      <w:r w:rsidRPr="00006A1F">
        <w:rPr>
          <w:rFonts w:ascii="Simplified Arabic" w:eastAsia="Georgia" w:hAnsi="Simplified Arabic" w:cs="Simplified Arabic"/>
          <w:color w:val="000000"/>
          <w:sz w:val="24"/>
          <w:szCs w:val="24"/>
          <w:rtl/>
        </w:rPr>
        <w:t xml:space="preserve"> الدراسة أطروحة </w:t>
      </w:r>
      <w:r w:rsidRPr="00006A1F">
        <w:rPr>
          <w:rFonts w:ascii="Simplified Arabic" w:eastAsia="Georgia" w:hAnsi="Simplified Arabic" w:cs="Simplified Arabic"/>
          <w:color w:val="000000"/>
          <w:sz w:val="24"/>
          <w:szCs w:val="24"/>
        </w:rPr>
        <w:t>Mohammed</w:t>
      </w:r>
      <w:r w:rsidRPr="00006A1F">
        <w:rPr>
          <w:rFonts w:ascii="Simplified Arabic" w:eastAsia="Georgia" w:hAnsi="Simplified Arabic" w:cs="Simplified Arabic"/>
          <w:color w:val="000000"/>
          <w:sz w:val="24"/>
          <w:szCs w:val="24"/>
          <w:rtl/>
        </w:rPr>
        <w:t xml:space="preserve"> (2025)، التي أشارت إلى أن المستويات العالية من فهم ثقافة سلامة المريض ترتبط بسلوكيات سلامة أفضل وتقليل الممارسات الخطرة في مستشفيات مكة والمدينة.</w:t>
      </w:r>
    </w:p>
    <w:p w14:paraId="72CED5BF" w14:textId="1947D121" w:rsidR="00006A1F" w:rsidRPr="00006A1F" w:rsidRDefault="00006A1F" w:rsidP="00006A1F">
      <w:pPr>
        <w:bidi/>
        <w:spacing w:after="0" w:line="360" w:lineRule="auto"/>
        <w:ind w:left="-29"/>
        <w:jc w:val="both"/>
        <w:rPr>
          <w:rFonts w:ascii="Simplified Arabic" w:eastAsia="Georgia" w:hAnsi="Simplified Arabic" w:cs="Simplified Arabic"/>
          <w:color w:val="000000"/>
          <w:sz w:val="24"/>
          <w:szCs w:val="24"/>
        </w:rPr>
      </w:pPr>
      <w:r>
        <w:rPr>
          <w:rFonts w:ascii="Simplified Arabic" w:eastAsia="Georgia" w:hAnsi="Simplified Arabic" w:cs="Simplified Arabic"/>
          <w:color w:val="000000"/>
          <w:sz w:val="24"/>
          <w:szCs w:val="24"/>
          <w:rtl/>
        </w:rPr>
        <w:t>أما على مستوى العلاقة بين ثقافة السلامة والأحداث الضارة (</w:t>
      </w:r>
      <w:r>
        <w:rPr>
          <w:rFonts w:ascii="Simplified Arabic" w:eastAsia="Georgia" w:hAnsi="Simplified Arabic" w:cs="Simplified Arabic"/>
          <w:color w:val="000000"/>
          <w:sz w:val="24"/>
          <w:szCs w:val="24"/>
        </w:rPr>
        <w:t xml:space="preserve">SC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AE</w:t>
      </w:r>
      <w:r>
        <w:rPr>
          <w:rFonts w:ascii="Simplified Arabic" w:eastAsia="Georgia" w:hAnsi="Simplified Arabic" w:cs="Simplified Arabic"/>
          <w:color w:val="000000"/>
          <w:sz w:val="24"/>
          <w:szCs w:val="24"/>
          <w:rtl/>
        </w:rPr>
        <w:t xml:space="preserve">)، فقد أظهرت مراجعة منهجية حديثة لـ </w:t>
      </w:r>
      <w:r>
        <w:rPr>
          <w:rFonts w:ascii="Simplified Arabic" w:eastAsia="Georgia" w:hAnsi="Simplified Arabic" w:cs="Simplified Arabic"/>
          <w:color w:val="000000"/>
          <w:sz w:val="24"/>
          <w:szCs w:val="24"/>
        </w:rPr>
        <w:t>Mistri et al</w:t>
      </w:r>
      <w:r>
        <w:rPr>
          <w:rFonts w:ascii="Simplified Arabic" w:eastAsia="Georgia" w:hAnsi="Simplified Arabic" w:cs="Simplified Arabic"/>
          <w:color w:val="000000"/>
          <w:sz w:val="24"/>
          <w:szCs w:val="24"/>
          <w:rtl/>
        </w:rPr>
        <w:t xml:space="preserve">. (2023) أن المستشفيات التي تتمتع بثقافة سلامة قوية تحقق معدلات أقل من المضاعفات السريرية والأحداث الضارة التي يمكن الوقاية منها، مما يعكس دور الثقافة كدرع حماية على مستوى النظام. كما أظهرت مراجعة </w:t>
      </w:r>
      <w:r>
        <w:rPr>
          <w:rFonts w:ascii="Simplified Arabic" w:eastAsia="Georgia" w:hAnsi="Simplified Arabic" w:cs="Simplified Arabic"/>
          <w:color w:val="000000"/>
          <w:sz w:val="24"/>
          <w:szCs w:val="24"/>
        </w:rPr>
        <w:t>Shenoy</w:t>
      </w:r>
      <w:r>
        <w:rPr>
          <w:rFonts w:ascii="Simplified Arabic" w:eastAsia="Georgia" w:hAnsi="Simplified Arabic" w:cs="Simplified Arabic"/>
          <w:color w:val="000000"/>
          <w:sz w:val="24"/>
          <w:szCs w:val="24"/>
          <w:rtl/>
        </w:rPr>
        <w:t xml:space="preserve"> (2021) أن تطبيق أطر إدارة الجودة الموجهة لسلامة المرضى يعتمد بشكل كبير على وجود ثقافة تنظيمية تدعم التعليم من الأخطاء وتبني الممارسات الوقائية، وهو ما يتجلى في تقليل العدوى المكتسبة والأحداث غير المرغوب فيها.</w:t>
      </w:r>
    </w:p>
    <w:p w14:paraId="03EAFAC0" w14:textId="672C36D6" w:rsidR="00006A1F" w:rsidRPr="00006A1F" w:rsidRDefault="00FE7308" w:rsidP="00006A1F">
      <w:pPr>
        <w:bidi/>
        <w:spacing w:after="0" w:line="360" w:lineRule="auto"/>
        <w:ind w:left="-29"/>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التركيب</w:t>
      </w:r>
      <w:r>
        <w:rPr>
          <w:rFonts w:ascii="Simplified Arabic" w:eastAsia="Georgia" w:hAnsi="Simplified Arabic" w:cs="Simplified Arabic"/>
          <w:b/>
          <w:bCs/>
          <w:color w:val="000000"/>
          <w:sz w:val="24"/>
          <w:szCs w:val="24"/>
          <w:rtl/>
        </w:rPr>
        <w:t xml:space="preserve">: </w:t>
      </w:r>
      <w:r w:rsidRPr="00FE7308">
        <w:rPr>
          <w:rFonts w:ascii="Simplified Arabic" w:eastAsia="Georgia" w:hAnsi="Simplified Arabic" w:cs="Simplified Arabic"/>
          <w:color w:val="000000"/>
          <w:sz w:val="24"/>
          <w:szCs w:val="24"/>
          <w:rtl/>
        </w:rPr>
        <w:t>تظهر هذه النتائج نمطًا ثابتًا يُفيد بأن ثقافة السلامة تشكل بيئة داعمة تُحفز أو تعيق سلوكيات السلامة؛ فعندما يشعر العاملون بأن الإدارة تشجع على الإبلاغ وأن الأخطاء تُعتبر فرصًا للتعلم بدلاً من مبررات للعقاب، فإنهم يميلون إلى الالتزام بإجراءات السل</w:t>
      </w:r>
      <w:r w:rsidRPr="00FE7308">
        <w:rPr>
          <w:rFonts w:ascii="Simplified Arabic" w:eastAsia="Georgia" w:hAnsi="Simplified Arabic" w:cs="Simplified Arabic" w:hint="cs"/>
          <w:color w:val="000000"/>
          <w:sz w:val="24"/>
          <w:szCs w:val="24"/>
          <w:rtl/>
        </w:rPr>
        <w:t>امة</w:t>
      </w:r>
      <w:r w:rsidRPr="00FE7308">
        <w:rPr>
          <w:rFonts w:ascii="Simplified Arabic" w:eastAsia="Georgia" w:hAnsi="Simplified Arabic" w:cs="Simplified Arabic"/>
          <w:color w:val="000000"/>
          <w:sz w:val="24"/>
          <w:szCs w:val="24"/>
          <w:rtl/>
        </w:rPr>
        <w:t xml:space="preserve"> والإبلاغ عن الحوادث، مما يساهم في تقليل الحوادث الضارة. ومع ذلك، تُشير المراجعة إلى أن معظم الدراسات السابقة تناولت جزأين فقط من النموذج (</w:t>
      </w:r>
      <w:r w:rsidRPr="00FE7308">
        <w:rPr>
          <w:rFonts w:ascii="Simplified Arabic" w:eastAsia="Georgia" w:hAnsi="Simplified Arabic" w:cs="Simplified Arabic"/>
          <w:color w:val="000000"/>
          <w:sz w:val="24"/>
          <w:szCs w:val="24"/>
        </w:rPr>
        <w:t xml:space="preserve">SC </w:t>
      </w:r>
      <w:r w:rsidRPr="00FE7308">
        <w:rPr>
          <w:rFonts w:ascii="Times New Roman" w:eastAsia="Georgia" w:hAnsi="Times New Roman" w:cs="Times New Roman"/>
          <w:color w:val="000000"/>
          <w:sz w:val="24"/>
          <w:szCs w:val="24"/>
        </w:rPr>
        <w:t>→</w:t>
      </w:r>
      <w:r w:rsidRPr="00FE7308">
        <w:rPr>
          <w:rFonts w:ascii="Simplified Arabic" w:eastAsia="Georgia" w:hAnsi="Simplified Arabic" w:cs="Simplified Arabic"/>
          <w:color w:val="000000"/>
          <w:sz w:val="24"/>
          <w:szCs w:val="24"/>
        </w:rPr>
        <w:t xml:space="preserve"> SB</w:t>
      </w:r>
      <w:r w:rsidRPr="00FE7308">
        <w:rPr>
          <w:rFonts w:ascii="Simplified Arabic" w:eastAsia="Georgia" w:hAnsi="Simplified Arabic" w:cs="Simplified Arabic"/>
          <w:color w:val="000000"/>
          <w:sz w:val="24"/>
          <w:szCs w:val="24"/>
          <w:rtl/>
        </w:rPr>
        <w:t>) أو (</w:t>
      </w:r>
      <w:r w:rsidRPr="00FE7308">
        <w:rPr>
          <w:rFonts w:ascii="Simplified Arabic" w:eastAsia="Georgia" w:hAnsi="Simplified Arabic" w:cs="Simplified Arabic"/>
          <w:color w:val="000000"/>
          <w:sz w:val="24"/>
          <w:szCs w:val="24"/>
        </w:rPr>
        <w:t xml:space="preserve">SC </w:t>
      </w:r>
      <w:r w:rsidRPr="00FE7308">
        <w:rPr>
          <w:rFonts w:ascii="Times New Roman" w:eastAsia="Georgia" w:hAnsi="Times New Roman" w:cs="Times New Roman"/>
          <w:color w:val="000000"/>
          <w:sz w:val="24"/>
          <w:szCs w:val="24"/>
        </w:rPr>
        <w:t>→</w:t>
      </w:r>
      <w:r w:rsidRPr="00FE7308">
        <w:rPr>
          <w:rFonts w:ascii="Simplified Arabic" w:eastAsia="Georgia" w:hAnsi="Simplified Arabic" w:cs="Simplified Arabic"/>
          <w:color w:val="000000"/>
          <w:sz w:val="24"/>
          <w:szCs w:val="24"/>
        </w:rPr>
        <w:t xml:space="preserve"> AE</w:t>
      </w:r>
      <w:r w:rsidRPr="00FE7308">
        <w:rPr>
          <w:rFonts w:ascii="Simplified Arabic" w:eastAsia="Georgia" w:hAnsi="Simplified Arabic" w:cs="Simplified Arabic"/>
          <w:color w:val="000000"/>
          <w:sz w:val="24"/>
          <w:szCs w:val="24"/>
          <w:rtl/>
        </w:rPr>
        <w:t>) دون اختبار المسار الكامل الذي يمر عبر سلوكيات السلامة كوسيط قريب بين الثقافة والنتائج السري</w:t>
      </w:r>
      <w:r w:rsidRPr="00FE7308">
        <w:rPr>
          <w:rFonts w:ascii="Simplified Arabic" w:eastAsia="Georgia" w:hAnsi="Simplified Arabic" w:cs="Simplified Arabic" w:hint="cs"/>
          <w:color w:val="000000"/>
          <w:sz w:val="24"/>
          <w:szCs w:val="24"/>
          <w:rtl/>
        </w:rPr>
        <w:t>رية،</w:t>
      </w:r>
      <w:r w:rsidRPr="00FE7308">
        <w:rPr>
          <w:rFonts w:ascii="Simplified Arabic" w:eastAsia="Georgia" w:hAnsi="Simplified Arabic" w:cs="Simplified Arabic"/>
          <w:color w:val="000000"/>
          <w:sz w:val="24"/>
          <w:szCs w:val="24"/>
          <w:rtl/>
        </w:rPr>
        <w:t xml:space="preserve"> ولم يتم دمج هذا المسار مع تأثير القيادة التحويلية في نموذج وساطة متسلسلة موحد.</w:t>
      </w:r>
    </w:p>
    <w:p w14:paraId="3360C73B" w14:textId="4E45CDBD" w:rsidR="001E525F" w:rsidRPr="00131F17" w:rsidRDefault="00FE7308" w:rsidP="00FE7308">
      <w:pPr>
        <w:bidi/>
        <w:spacing w:after="0" w:line="360" w:lineRule="auto"/>
        <w:ind w:left="-29"/>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الرابط</w:t>
      </w:r>
      <w:r>
        <w:rPr>
          <w:rFonts w:ascii="Simplified Arabic" w:eastAsia="Georgia" w:hAnsi="Simplified Arabic" w:cs="Simplified Arabic"/>
          <w:b/>
          <w:bCs/>
          <w:color w:val="000000"/>
          <w:sz w:val="24"/>
          <w:szCs w:val="24"/>
          <w:rtl/>
        </w:rPr>
        <w:t xml:space="preserve">: </w:t>
      </w:r>
      <w:r w:rsidRPr="00FE7308">
        <w:rPr>
          <w:rFonts w:ascii="Simplified Arabic" w:eastAsia="Georgia" w:hAnsi="Simplified Arabic" w:cs="Simplified Arabic"/>
          <w:color w:val="000000"/>
          <w:sz w:val="24"/>
          <w:szCs w:val="24"/>
          <w:rtl/>
        </w:rPr>
        <w:t>انطلاقًا من هذا التوليف، تفترض الدراسة الحالية أن ثقافة السلامة تؤثر بشكل مزدوج: مباشرة على سلوكيات السلامة، وغير مباشرة على الحوادث الضارة من خلال هذه السلوكيات. يُعبر عن ذلك في الفرضيتين الثانية والثالثة (</w:t>
      </w:r>
      <w:r w:rsidRPr="00FE7308">
        <w:rPr>
          <w:rFonts w:ascii="Simplified Arabic" w:eastAsia="Georgia" w:hAnsi="Simplified Arabic" w:cs="Simplified Arabic"/>
          <w:color w:val="000000"/>
          <w:sz w:val="24"/>
          <w:szCs w:val="24"/>
        </w:rPr>
        <w:t>H2</w:t>
      </w:r>
      <w:r w:rsidRPr="00FE7308">
        <w:rPr>
          <w:rFonts w:ascii="Simplified Arabic" w:eastAsia="Georgia" w:hAnsi="Simplified Arabic" w:cs="Simplified Arabic"/>
          <w:color w:val="000000"/>
          <w:sz w:val="24"/>
          <w:szCs w:val="24"/>
          <w:rtl/>
        </w:rPr>
        <w:t xml:space="preserve">، </w:t>
      </w:r>
      <w:r w:rsidRPr="00FE7308">
        <w:rPr>
          <w:rFonts w:ascii="Simplified Arabic" w:eastAsia="Georgia" w:hAnsi="Simplified Arabic" w:cs="Simplified Arabic"/>
          <w:color w:val="000000"/>
          <w:sz w:val="24"/>
          <w:szCs w:val="24"/>
        </w:rPr>
        <w:t>H3</w:t>
      </w:r>
      <w:r w:rsidRPr="00FE7308">
        <w:rPr>
          <w:rFonts w:ascii="Simplified Arabic" w:eastAsia="Georgia" w:hAnsi="Simplified Arabic" w:cs="Simplified Arabic"/>
          <w:color w:val="000000"/>
          <w:sz w:val="24"/>
          <w:szCs w:val="24"/>
          <w:rtl/>
        </w:rPr>
        <w:t>)، التي تختبر العلاقة بين ثقافة ال</w:t>
      </w:r>
      <w:r w:rsidRPr="00FE7308">
        <w:rPr>
          <w:rFonts w:ascii="Simplified Arabic" w:eastAsia="Georgia" w:hAnsi="Simplified Arabic" w:cs="Simplified Arabic" w:hint="cs"/>
          <w:color w:val="000000"/>
          <w:sz w:val="24"/>
          <w:szCs w:val="24"/>
          <w:rtl/>
        </w:rPr>
        <w:t>سلامة</w:t>
      </w:r>
      <w:r w:rsidRPr="00FE7308">
        <w:rPr>
          <w:rFonts w:ascii="Simplified Arabic" w:eastAsia="Georgia" w:hAnsi="Simplified Arabic" w:cs="Simplified Arabic"/>
          <w:color w:val="000000"/>
          <w:sz w:val="24"/>
          <w:szCs w:val="24"/>
          <w:rtl/>
        </w:rPr>
        <w:t xml:space="preserve"> وسلوكيات السلامة، وبين سلوكيات السلامة وتقليل الحوادث الضارة. كما يظهر ذلك في الفرضيتين الرابعة والخامسة </w:t>
      </w:r>
      <w:r w:rsidRPr="00FE7308">
        <w:rPr>
          <w:rFonts w:ascii="Simplified Arabic" w:eastAsia="Georgia" w:hAnsi="Simplified Arabic" w:cs="Simplified Arabic"/>
          <w:color w:val="000000"/>
          <w:sz w:val="24"/>
          <w:szCs w:val="24"/>
          <w:rtl/>
        </w:rPr>
        <w:lastRenderedPageBreak/>
        <w:t>(</w:t>
      </w:r>
      <w:r w:rsidRPr="00FE7308">
        <w:rPr>
          <w:rFonts w:ascii="Simplified Arabic" w:eastAsia="Georgia" w:hAnsi="Simplified Arabic" w:cs="Simplified Arabic"/>
          <w:color w:val="000000"/>
          <w:sz w:val="24"/>
          <w:szCs w:val="24"/>
        </w:rPr>
        <w:t>H4</w:t>
      </w:r>
      <w:r w:rsidRPr="00FE7308">
        <w:rPr>
          <w:rFonts w:ascii="Simplified Arabic" w:eastAsia="Georgia" w:hAnsi="Simplified Arabic" w:cs="Simplified Arabic"/>
          <w:color w:val="000000"/>
          <w:sz w:val="24"/>
          <w:szCs w:val="24"/>
          <w:rtl/>
        </w:rPr>
        <w:t xml:space="preserve">، </w:t>
      </w:r>
      <w:r w:rsidRPr="00FE7308">
        <w:rPr>
          <w:rFonts w:ascii="Simplified Arabic" w:eastAsia="Georgia" w:hAnsi="Simplified Arabic" w:cs="Simplified Arabic"/>
          <w:color w:val="000000"/>
          <w:sz w:val="24"/>
          <w:szCs w:val="24"/>
        </w:rPr>
        <w:t>H5</w:t>
      </w:r>
      <w:r w:rsidRPr="00FE7308">
        <w:rPr>
          <w:rFonts w:ascii="Simplified Arabic" w:eastAsia="Georgia" w:hAnsi="Simplified Arabic" w:cs="Simplified Arabic"/>
          <w:color w:val="000000"/>
          <w:sz w:val="24"/>
          <w:szCs w:val="24"/>
          <w:rtl/>
        </w:rPr>
        <w:t xml:space="preserve">)، اللتين تدرسان دور ثقافة السلامة وسلوكيات السلامة كوسيطين (مباشرين ومتسلسلين) لنقل تأثير القيادة التحويلية إلى مستوى الحوادث الضارة في </w:t>
      </w:r>
      <w:r w:rsidRPr="00FE7308">
        <w:rPr>
          <w:rFonts w:ascii="Simplified Arabic" w:eastAsia="Georgia" w:hAnsi="Simplified Arabic" w:cs="Simplified Arabic" w:hint="cs"/>
          <w:color w:val="000000"/>
          <w:sz w:val="24"/>
          <w:szCs w:val="24"/>
          <w:rtl/>
        </w:rPr>
        <w:t>مستشفيات</w:t>
      </w:r>
      <w:r w:rsidRPr="00FE7308">
        <w:rPr>
          <w:rFonts w:ascii="Simplified Arabic" w:eastAsia="Georgia" w:hAnsi="Simplified Arabic" w:cs="Simplified Arabic"/>
          <w:color w:val="000000"/>
          <w:sz w:val="24"/>
          <w:szCs w:val="24"/>
          <w:rtl/>
        </w:rPr>
        <w:t xml:space="preserve"> القطاع الحكومي في منطقة الجوف.</w:t>
      </w:r>
    </w:p>
    <w:p w14:paraId="09B4D39C" w14:textId="1B79C995" w:rsidR="00390B53" w:rsidRPr="00131F17" w:rsidRDefault="00AC4332" w:rsidP="00390B53">
      <w:pPr>
        <w:bidi/>
        <w:spacing w:before="315" w:after="105" w:line="360" w:lineRule="auto"/>
        <w:ind w:left="-30"/>
        <w:rPr>
          <w:rFonts w:ascii="Simplified Arabic" w:eastAsia="Georgia" w:hAnsi="Simplified Arabic" w:cs="Simplified Arabic"/>
          <w:b/>
          <w:bCs/>
          <w:color w:val="000000"/>
          <w:sz w:val="24"/>
          <w:szCs w:val="24"/>
        </w:rPr>
      </w:pPr>
      <w:r w:rsidRPr="00131F17">
        <w:rPr>
          <w:rFonts w:ascii="Simplified Arabic" w:eastAsia="Georgia" w:hAnsi="Simplified Arabic" w:cs="Simplified Arabic"/>
          <w:b/>
          <w:bCs/>
          <w:color w:val="000000"/>
          <w:sz w:val="24"/>
          <w:szCs w:val="24"/>
          <w:rtl/>
        </w:rPr>
        <w:t>2.9.3.1</w:t>
      </w:r>
      <w:r w:rsidR="00390B53" w:rsidRPr="00131F17">
        <w:rPr>
          <w:rFonts w:ascii="Simplified Arabic" w:eastAsia="Georgia" w:hAnsi="Simplified Arabic" w:cs="Simplified Arabic"/>
          <w:b/>
          <w:bCs/>
          <w:color w:val="000000"/>
          <w:sz w:val="24"/>
          <w:szCs w:val="24"/>
          <w:rtl/>
        </w:rPr>
        <w:t>تعقيب على المحور الثاني</w:t>
      </w:r>
    </w:p>
    <w:p w14:paraId="7926C9E8" w14:textId="77777777" w:rsidR="00390B53" w:rsidRPr="00131F17" w:rsidRDefault="00390B53" w:rsidP="00390B53">
      <w:pPr>
        <w:bidi/>
        <w:spacing w:after="100" w:afterAutospacing="1" w:line="360" w:lineRule="auto"/>
        <w:ind w:left="-29"/>
        <w:jc w:val="both"/>
        <w:rPr>
          <w:rFonts w:ascii="Simplified Arabic" w:eastAsia="Georgia" w:hAnsi="Simplified Arabic" w:cs="Simplified Arabic"/>
          <w:b/>
          <w:color w:val="000000"/>
          <w:sz w:val="24"/>
          <w:szCs w:val="24"/>
          <w:rtl/>
        </w:rPr>
      </w:pPr>
      <w:r w:rsidRPr="00131F17">
        <w:rPr>
          <w:rFonts w:ascii="Simplified Arabic" w:eastAsia="Georgia" w:hAnsi="Simplified Arabic" w:cs="Simplified Arabic"/>
          <w:b/>
          <w:color w:val="000000"/>
          <w:sz w:val="24"/>
          <w:szCs w:val="24"/>
          <w:rtl/>
        </w:rPr>
        <w:t>يظهر استعراض الدراسات في هذا المجال أن ثقافة سلامة المرضى وسلوكيات السلامة تعتبران حلقتين رئيسيتين تربطان العوامل التنظيمية في المستشفى مع النتائج السريرية المتعلقة بسلامة المرضى. حيث يتفق الباحثون على أن ارتفاع مستوى ثقافة السلامة المدركة بين العاملين يرتبط بزيادة تقارير الحوادث والحوادث القريبة، وتحسين التصورات حول جودة الرعاية، وتقليل الأخطاء والحوادث الضارة. كما تؤكد المراجعات المنهجية أن وجود ثقافة سلامة إيجابية تساهم في تقليل معدلات العدوى المكتسبة، والأخطاء الدوائية، وتحسين مخرجات المرضى، وأن هذا التأثير غالبًا ما ينجم عن سلوكيات العاملين والتزامهم بالممارسات الوقائية.</w:t>
      </w:r>
    </w:p>
    <w:p w14:paraId="601CCFFE" w14:textId="77777777" w:rsidR="00390B53" w:rsidRPr="00131F17" w:rsidRDefault="00390B53" w:rsidP="00390B53">
      <w:pPr>
        <w:bidi/>
        <w:spacing w:before="315" w:after="100" w:afterAutospacing="1" w:line="360" w:lineRule="auto"/>
        <w:ind w:left="-29"/>
        <w:jc w:val="both"/>
        <w:rPr>
          <w:rFonts w:ascii="Simplified Arabic" w:eastAsia="Georgia" w:hAnsi="Simplified Arabic" w:cs="Simplified Arabic"/>
          <w:b/>
          <w:color w:val="000000"/>
          <w:sz w:val="24"/>
          <w:szCs w:val="24"/>
          <w:rtl/>
        </w:rPr>
      </w:pPr>
      <w:r w:rsidRPr="00131F17">
        <w:rPr>
          <w:rFonts w:ascii="Simplified Arabic" w:eastAsia="Georgia" w:hAnsi="Simplified Arabic" w:cs="Simplified Arabic"/>
          <w:b/>
          <w:color w:val="000000"/>
          <w:sz w:val="24"/>
          <w:szCs w:val="24"/>
          <w:rtl/>
        </w:rPr>
        <w:t>ومع ذلك، يتركز العديد من الدراسات على العلاقة المباشرة بين الثقافة وسلوكيات السلامة، أو بين الثقافة ومؤشرات سلامة المرضى، دون النظر إلى المسار الكامل الذي يربط بين القيادة التحويلية، وثقافة السلامة، وسلوكيات السلامة، وتقليل الأحداث الضارة ضمن إطار شامل. بالإضافة إلى ذلك، فإن القليل منها تناول دور القيادة بشكل مباشر، أو استخدم أساليب تحليل متقدمة لاختبار الأدوار الوسيطة والمتسلسلة. لذلك، تهدف الدراسة الحالية إلى ملء هذه الفجوة من خلال دمج ثقافة سلامة المرضى وسلوكيات السلامة كمرحلتين وسيطتين في المسار الذي يربط القيادة التحويلية وتقليل الأحداث الضارة.</w:t>
      </w:r>
    </w:p>
    <w:p w14:paraId="4C64249B" w14:textId="79679C9B" w:rsidR="00390B53" w:rsidRPr="00131F17" w:rsidRDefault="00AC4332" w:rsidP="00390B53">
      <w:pPr>
        <w:bidi/>
        <w:spacing w:before="315" w:after="105" w:line="360" w:lineRule="auto"/>
        <w:ind w:left="-30"/>
        <w:rPr>
          <w:rFonts w:ascii="Simplified Arabic" w:eastAsia="Georgia" w:hAnsi="Simplified Arabic" w:cs="Simplified Arabic"/>
          <w:b/>
          <w:bCs/>
          <w:color w:val="000000"/>
          <w:sz w:val="24"/>
          <w:szCs w:val="24"/>
          <w:rtl/>
        </w:rPr>
      </w:pPr>
      <w:r w:rsidRPr="00131F17">
        <w:rPr>
          <w:rFonts w:ascii="Simplified Arabic" w:eastAsia="Georgia" w:hAnsi="Simplified Arabic" w:cs="Simplified Arabic"/>
          <w:b/>
          <w:bCs/>
          <w:color w:val="000000"/>
          <w:sz w:val="24"/>
          <w:szCs w:val="24"/>
          <w:rtl/>
        </w:rPr>
        <w:t>2.9.4</w:t>
      </w:r>
      <w:r w:rsidR="00390B53" w:rsidRPr="00131F17">
        <w:rPr>
          <w:rFonts w:ascii="Simplified Arabic" w:eastAsia="Georgia" w:hAnsi="Simplified Arabic" w:cs="Simplified Arabic"/>
          <w:b/>
          <w:bCs/>
          <w:color w:val="000000"/>
          <w:sz w:val="24"/>
          <w:szCs w:val="24"/>
          <w:rtl/>
        </w:rPr>
        <w:t>المحور الثالث: دراسات نماذج العلاقات المتسلسلة والوساطة</w:t>
      </w:r>
    </w:p>
    <w:p w14:paraId="38DD2646" w14:textId="77777777" w:rsidR="00390B53" w:rsidRPr="00131F17" w:rsidRDefault="00390B53" w:rsidP="00390B53">
      <w:pPr>
        <w:bidi/>
        <w:spacing w:before="315" w:after="105" w:line="360" w:lineRule="auto"/>
        <w:ind w:left="-30"/>
        <w:rPr>
          <w:rFonts w:ascii="Simplified Arabic" w:eastAsia="Georgia" w:hAnsi="Simplified Arabic" w:cs="Simplified Arabic"/>
          <w:b/>
          <w:bCs/>
          <w:color w:val="000000"/>
          <w:sz w:val="24"/>
          <w:szCs w:val="24"/>
        </w:rPr>
      </w:pPr>
      <w:r w:rsidRPr="00131F17">
        <w:rPr>
          <w:rFonts w:ascii="Simplified Arabic" w:eastAsia="Georgia" w:hAnsi="Simplified Arabic" w:cs="Simplified Arabic"/>
          <w:b/>
          <w:color w:val="000000"/>
          <w:sz w:val="24"/>
          <w:szCs w:val="24"/>
          <w:rtl/>
        </w:rPr>
        <w:t xml:space="preserve">يركز هذا المحور على الدراسات التي استخدمت نماذج سببية أو </w:t>
      </w:r>
      <w:proofErr w:type="spellStart"/>
      <w:r w:rsidRPr="00131F17">
        <w:rPr>
          <w:rFonts w:ascii="Simplified Arabic" w:eastAsia="Georgia" w:hAnsi="Simplified Arabic" w:cs="Simplified Arabic"/>
          <w:b/>
          <w:color w:val="000000"/>
          <w:sz w:val="24"/>
          <w:szCs w:val="24"/>
          <w:rtl/>
        </w:rPr>
        <w:t>وساطية</w:t>
      </w:r>
      <w:proofErr w:type="spellEnd"/>
      <w:r w:rsidRPr="00131F17">
        <w:rPr>
          <w:rFonts w:ascii="Simplified Arabic" w:eastAsia="Georgia" w:hAnsi="Simplified Arabic" w:cs="Simplified Arabic"/>
          <w:b/>
          <w:color w:val="000000"/>
          <w:sz w:val="24"/>
          <w:szCs w:val="24"/>
          <w:rtl/>
        </w:rPr>
        <w:t xml:space="preserve"> متقدمة لتحليل العلاقة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17122EB6" w14:textId="08706A2C" w:rsidR="00390B53" w:rsidRPr="00131F17" w:rsidRDefault="00AC4332" w:rsidP="00390B53">
      <w:pPr>
        <w:bidi/>
        <w:spacing w:after="105" w:line="360" w:lineRule="auto"/>
        <w:ind w:left="-29"/>
        <w:rPr>
          <w:rFonts w:ascii="Simplified Arabic" w:eastAsia="Georgia" w:hAnsi="Simplified Arabic" w:cs="Simplified Arabic"/>
          <w:b/>
          <w:color w:val="000000"/>
          <w:sz w:val="24"/>
          <w:szCs w:val="24"/>
          <w:rtl/>
        </w:rPr>
      </w:pPr>
      <w:r w:rsidRPr="00131F17">
        <w:rPr>
          <w:rFonts w:ascii="Simplified Arabic" w:eastAsia="Georgia" w:hAnsi="Simplified Arabic" w:cs="Simplified Arabic"/>
          <w:b/>
          <w:bCs/>
          <w:color w:val="000000"/>
          <w:sz w:val="24"/>
          <w:szCs w:val="24"/>
          <w:rtl/>
        </w:rPr>
        <w:t xml:space="preserve">2.9.4.1 </w:t>
      </w:r>
      <w:r w:rsidR="00390B53" w:rsidRPr="00131F17">
        <w:rPr>
          <w:rFonts w:ascii="Simplified Arabic" w:eastAsia="Georgia" w:hAnsi="Simplified Arabic" w:cs="Simplified Arabic"/>
          <w:b/>
          <w:bCs/>
          <w:color w:val="000000"/>
          <w:sz w:val="24"/>
          <w:szCs w:val="24"/>
          <w:rtl/>
        </w:rPr>
        <w:t>دراسات دولية حول الوساطة والوساطة المتسلسلة</w:t>
      </w:r>
      <w:r w:rsidR="00390B53" w:rsidRPr="00131F17">
        <w:rPr>
          <w:rFonts w:ascii="Simplified Arabic" w:eastAsia="Georgia" w:hAnsi="Simplified Arabic" w:cs="Simplified Arabic"/>
          <w:b/>
          <w:bCs/>
          <w:color w:val="000000"/>
          <w:sz w:val="24"/>
          <w:szCs w:val="24"/>
        </w:rPr>
        <w:t>:</w:t>
      </w:r>
    </w:p>
    <w:p w14:paraId="2F96C972" w14:textId="77777777" w:rsidR="00390B53" w:rsidRPr="00131F17" w:rsidRDefault="00390B53" w:rsidP="00390B53">
      <w:pPr>
        <w:bidi/>
        <w:spacing w:after="0" w:line="360" w:lineRule="auto"/>
        <w:ind w:left="-29"/>
        <w:jc w:val="both"/>
        <w:rPr>
          <w:rFonts w:ascii="Simplified Arabic" w:eastAsia="Georgia" w:hAnsi="Simplified Arabic" w:cs="Simplified Arabic"/>
          <w:b/>
          <w:color w:val="000000"/>
          <w:sz w:val="24"/>
          <w:szCs w:val="24"/>
        </w:rPr>
      </w:pPr>
      <w:r w:rsidRPr="00131F17">
        <w:rPr>
          <w:rFonts w:ascii="Simplified Arabic" w:eastAsia="Georgia" w:hAnsi="Simplified Arabic" w:cs="Simplified Arabic"/>
          <w:b/>
          <w:color w:val="000000"/>
          <w:sz w:val="24"/>
          <w:szCs w:val="24"/>
          <w:rtl/>
        </w:rPr>
        <w:t xml:space="preserve">خلصت مراجعة </w:t>
      </w:r>
      <w:proofErr w:type="spellStart"/>
      <w:r w:rsidRPr="00131F17">
        <w:rPr>
          <w:rFonts w:ascii="Simplified Arabic" w:eastAsia="Georgia" w:hAnsi="Simplified Arabic" w:cs="Simplified Arabic"/>
          <w:b/>
          <w:color w:val="000000"/>
          <w:sz w:val="24"/>
          <w:szCs w:val="24"/>
          <w:rtl/>
        </w:rPr>
        <w:t>ميستري</w:t>
      </w:r>
      <w:proofErr w:type="spellEnd"/>
      <w:r w:rsidRPr="00131F17">
        <w:rPr>
          <w:rFonts w:ascii="Simplified Arabic" w:eastAsia="Georgia" w:hAnsi="Simplified Arabic" w:cs="Simplified Arabic"/>
          <w:b/>
          <w:color w:val="000000"/>
          <w:sz w:val="24"/>
          <w:szCs w:val="24"/>
          <w:rtl/>
        </w:rPr>
        <w:t xml:space="preserve">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w:t>
      </w:r>
      <w:r w:rsidRPr="00131F17">
        <w:rPr>
          <w:rFonts w:ascii="Simplified Arabic" w:eastAsia="Georgia" w:hAnsi="Simplified Arabic" w:cs="Simplified Arabic"/>
          <w:b/>
          <w:color w:val="000000"/>
          <w:sz w:val="24"/>
          <w:szCs w:val="24"/>
          <w:rtl/>
        </w:rPr>
        <w:lastRenderedPageBreak/>
        <w:t>تتضمن مسارات غير مباشرة ومتسلسلة تربط بين الثقافة والسلوكيات، مما يعكس أهمية تبني نماذج سببية أكثر تعقيدًا في الأبحاث المستقبلية</w:t>
      </w:r>
      <w:r w:rsidRPr="00131F17">
        <w:rPr>
          <w:rFonts w:ascii="Simplified Arabic" w:eastAsia="Georgia" w:hAnsi="Simplified Arabic" w:cs="Simplified Arabic"/>
          <w:bCs/>
          <w:color w:val="000000"/>
          <w:sz w:val="24"/>
          <w:szCs w:val="24"/>
          <w:rtl/>
        </w:rPr>
        <w:fldChar w:fldCharType="begin"/>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31F17">
        <w:rPr>
          <w:rFonts w:ascii="Simplified Arabic" w:eastAsia="Georgia" w:hAnsi="Simplified Arabic" w:cs="Simplified Arabic"/>
          <w:bCs/>
          <w:color w:val="000000"/>
          <w:sz w:val="24"/>
          <w:szCs w:val="24"/>
          <w:rtl/>
        </w:rPr>
        <w:instrText>&lt;/</w:instrText>
      </w:r>
      <w:r w:rsidRPr="00131F17">
        <w:rPr>
          <w:rFonts w:ascii="Simplified Arabic" w:eastAsia="Georgia" w:hAnsi="Simplified Arabic" w:cs="Simplified Arabic"/>
          <w:bCs/>
          <w:color w:val="000000"/>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31F17">
        <w:rPr>
          <w:rFonts w:ascii="Simplified Arabic" w:eastAsia="Georgia" w:hAnsi="Simplified Arabic" w:cs="Simplified Arabic"/>
          <w:bCs/>
          <w:color w:val="000000"/>
          <w:sz w:val="24"/>
          <w:szCs w:val="24"/>
          <w:rtl/>
        </w:rPr>
        <w:instrText>&gt;&lt;/</w:instrText>
      </w:r>
      <w:r w:rsidRPr="00131F17">
        <w:rPr>
          <w:rFonts w:ascii="Simplified Arabic" w:eastAsia="Georgia" w:hAnsi="Simplified Arabic" w:cs="Simplified Arabic"/>
          <w:bCs/>
          <w:color w:val="000000"/>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31F17">
        <w:rPr>
          <w:rFonts w:ascii="Simplified Arabic" w:eastAsia="Georgia" w:hAnsi="Simplified Arabic" w:cs="Simplified Arabic"/>
          <w:bCs/>
          <w:color w:val="000000"/>
          <w:sz w:val="24"/>
          <w:szCs w:val="24"/>
          <w:rtl/>
        </w:rPr>
        <w:instrText>/</w:instrText>
      </w:r>
      <w:r w:rsidRPr="00131F17">
        <w:rPr>
          <w:rFonts w:ascii="Simplified Arabic" w:eastAsia="Georgia" w:hAnsi="Simplified Arabic" w:cs="Simplified Arabic"/>
          <w:bCs/>
          <w:color w:val="000000"/>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31F17">
        <w:rPr>
          <w:rFonts w:ascii="Simplified Arabic" w:eastAsia="Georgia" w:hAnsi="Simplified Arabic" w:cs="Simplified Arabic"/>
          <w:bCs/>
          <w:color w:val="000000"/>
          <w:sz w:val="24"/>
          <w:szCs w:val="24"/>
          <w:rtl/>
        </w:rPr>
        <w:instrText>&gt;</w:instrText>
      </w:r>
      <w:r w:rsidRPr="00131F17">
        <w:rPr>
          <w:rFonts w:ascii="Simplified Arabic" w:eastAsia="Georgia" w:hAnsi="Simplified Arabic" w:cs="Simplified Arabic"/>
          <w:bCs/>
          <w:color w:val="000000"/>
          <w:sz w:val="24"/>
          <w:szCs w:val="24"/>
          <w:rtl/>
        </w:rPr>
        <w:fldChar w:fldCharType="separate"/>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noProof/>
          <w:color w:val="000000"/>
          <w:sz w:val="24"/>
          <w:szCs w:val="24"/>
        </w:rPr>
        <w:t>Mistri et al., 2023</w:t>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
          <w:color w:val="000000"/>
          <w:sz w:val="24"/>
          <w:szCs w:val="24"/>
          <w:rtl/>
        </w:rPr>
        <w:t>.</w:t>
      </w:r>
    </w:p>
    <w:p w14:paraId="46BADF46" w14:textId="77777777" w:rsidR="00390B53" w:rsidRPr="00131F17"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1F17">
        <w:rPr>
          <w:rFonts w:ascii="Simplified Arabic" w:eastAsia="Georgia" w:hAnsi="Simplified Arabic" w:cs="Simplified Arabic"/>
          <w:b/>
          <w:color w:val="000000"/>
          <w:sz w:val="24"/>
          <w:szCs w:val="24"/>
          <w:rtl/>
        </w:rPr>
        <w:t xml:space="preserve">وفي سياق مماثل، أظهرت دراسة </w:t>
      </w:r>
      <w:proofErr w:type="spellStart"/>
      <w:r w:rsidRPr="00131F17">
        <w:rPr>
          <w:rFonts w:ascii="Simplified Arabic" w:eastAsia="Georgia" w:hAnsi="Simplified Arabic" w:cs="Simplified Arabic"/>
          <w:b/>
          <w:color w:val="000000"/>
          <w:sz w:val="24"/>
          <w:szCs w:val="24"/>
          <w:rtl/>
        </w:rPr>
        <w:t>كونلان</w:t>
      </w:r>
      <w:proofErr w:type="spellEnd"/>
      <w:r w:rsidRPr="00131F17">
        <w:rPr>
          <w:rFonts w:ascii="Simplified Arabic" w:eastAsia="Georgia" w:hAnsi="Simplified Arabic" w:cs="Simplified Arabic"/>
          <w:b/>
          <w:color w:val="000000"/>
          <w:sz w:val="24"/>
          <w:szCs w:val="24"/>
          <w:rtl/>
        </w:rPr>
        <w:t xml:space="preserve">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31F17">
        <w:rPr>
          <w:rFonts w:ascii="Simplified Arabic" w:eastAsia="Georgia" w:hAnsi="Simplified Arabic" w:cs="Simplified Arabic"/>
          <w:bCs/>
          <w:color w:val="000000"/>
          <w:sz w:val="24"/>
          <w:szCs w:val="24"/>
          <w:rtl/>
        </w:rPr>
        <w:fldChar w:fldCharType="begin"/>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31F17">
        <w:rPr>
          <w:rFonts w:ascii="Simplified Arabic" w:eastAsia="Georgia" w:hAnsi="Simplified Arabic" w:cs="Simplified Arabic"/>
          <w:bCs/>
          <w:color w:val="000000"/>
          <w:sz w:val="24"/>
          <w:szCs w:val="24"/>
          <w:rtl/>
        </w:rPr>
        <w:instrText>.&lt;/</w:instrText>
      </w:r>
      <w:r w:rsidRPr="00131F17">
        <w:rPr>
          <w:rFonts w:ascii="Simplified Arabic" w:eastAsia="Georgia" w:hAnsi="Simplified Arabic" w:cs="Simplified Arabic"/>
          <w:bCs/>
          <w:color w:val="000000"/>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31F17">
        <w:rPr>
          <w:rFonts w:ascii="Simplified Arabic" w:eastAsia="Georgia" w:hAnsi="Simplified Arabic" w:cs="Simplified Arabic"/>
          <w:bCs/>
          <w:color w:val="000000"/>
          <w:sz w:val="24"/>
          <w:szCs w:val="24"/>
          <w:rtl/>
        </w:rPr>
        <w:instrText>&gt;&lt;/</w:instrText>
      </w:r>
      <w:r w:rsidRPr="00131F17">
        <w:rPr>
          <w:rFonts w:ascii="Simplified Arabic" w:eastAsia="Georgia" w:hAnsi="Simplified Arabic" w:cs="Simplified Arabic"/>
          <w:bCs/>
          <w:color w:val="000000"/>
          <w:sz w:val="24"/>
          <w:szCs w:val="24"/>
        </w:rPr>
        <w:instrText>record&gt;&lt;/Cite&gt;&lt;/EndNote</w:instrText>
      </w:r>
      <w:r w:rsidRPr="00131F17">
        <w:rPr>
          <w:rFonts w:ascii="Simplified Arabic" w:eastAsia="Georgia" w:hAnsi="Simplified Arabic" w:cs="Simplified Arabic"/>
          <w:bCs/>
          <w:color w:val="000000"/>
          <w:sz w:val="24"/>
          <w:szCs w:val="24"/>
          <w:rtl/>
        </w:rPr>
        <w:instrText>&gt;</w:instrText>
      </w:r>
      <w:r w:rsidRPr="00131F17">
        <w:rPr>
          <w:rFonts w:ascii="Simplified Arabic" w:eastAsia="Georgia" w:hAnsi="Simplified Arabic" w:cs="Simplified Arabic"/>
          <w:bCs/>
          <w:color w:val="000000"/>
          <w:sz w:val="24"/>
          <w:szCs w:val="24"/>
          <w:rtl/>
        </w:rPr>
        <w:fldChar w:fldCharType="separate"/>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noProof/>
          <w:color w:val="000000"/>
          <w:sz w:val="24"/>
          <w:szCs w:val="24"/>
        </w:rPr>
        <w:t>Konlan &amp; Shin, 2022</w:t>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Cs/>
          <w:color w:val="000000"/>
          <w:sz w:val="24"/>
          <w:szCs w:val="24"/>
          <w:rtl/>
        </w:rPr>
        <w:t>.</w:t>
      </w:r>
      <w:r w:rsidRPr="00131F17">
        <w:rPr>
          <w:rFonts w:ascii="Simplified Arabic" w:eastAsia="Georgia" w:hAnsi="Simplified Arabic" w:cs="Simplified Arabic"/>
          <w:b/>
          <w:color w:val="000000"/>
          <w:sz w:val="24"/>
          <w:szCs w:val="24"/>
          <w:rtl/>
        </w:rPr>
        <w:t xml:space="preserve"> </w:t>
      </w:r>
    </w:p>
    <w:p w14:paraId="0A145780" w14:textId="77777777" w:rsidR="00390B53" w:rsidRPr="00131F17"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1F17">
        <w:rPr>
          <w:rFonts w:ascii="Simplified Arabic" w:eastAsia="Georgia" w:hAnsi="Simplified Arabic" w:cs="Simplified Arabic"/>
          <w:b/>
          <w:color w:val="000000"/>
          <w:sz w:val="24"/>
          <w:szCs w:val="24"/>
          <w:rtl/>
        </w:rPr>
        <w:t>بينت الدراسات أن سلوكيات السلامة عادةً ما تكون عاملًا متوسطًا في نماذج السبب والتأثير، حيث تتأثر بثقافة السلامة ودعم القيادة، ثم تؤثر على الأحداث الضارة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496D7F86" w14:textId="7DB3F1B6" w:rsidR="00390B53" w:rsidRPr="00131F17" w:rsidRDefault="00AC4332" w:rsidP="00390B53">
      <w:pPr>
        <w:bidi/>
        <w:spacing w:before="240" w:after="0" w:line="360" w:lineRule="auto"/>
        <w:ind w:left="-30"/>
        <w:rPr>
          <w:rFonts w:ascii="Simplified Arabic" w:eastAsia="Georgia" w:hAnsi="Simplified Arabic" w:cs="Simplified Arabic"/>
          <w:b/>
          <w:color w:val="000000"/>
          <w:sz w:val="24"/>
          <w:szCs w:val="24"/>
          <w:rtl/>
        </w:rPr>
      </w:pPr>
      <w:r w:rsidRPr="00131F17">
        <w:rPr>
          <w:rFonts w:ascii="Simplified Arabic" w:eastAsia="Georgia" w:hAnsi="Simplified Arabic" w:cs="Simplified Arabic"/>
          <w:b/>
          <w:bCs/>
          <w:color w:val="000000"/>
          <w:sz w:val="24"/>
          <w:szCs w:val="24"/>
          <w:rtl/>
        </w:rPr>
        <w:t>2.9.4.2 الدراسات</w:t>
      </w:r>
      <w:r w:rsidR="00390B53" w:rsidRPr="00131F17">
        <w:rPr>
          <w:rFonts w:ascii="Simplified Arabic" w:eastAsia="Georgia" w:hAnsi="Simplified Arabic" w:cs="Simplified Arabic"/>
          <w:b/>
          <w:bCs/>
          <w:color w:val="000000"/>
          <w:sz w:val="24"/>
          <w:szCs w:val="24"/>
          <w:rtl/>
        </w:rPr>
        <w:t xml:space="preserve"> السعودية وأساليب التحليل</w:t>
      </w:r>
      <w:r w:rsidR="00390B53" w:rsidRPr="00131F17">
        <w:rPr>
          <w:rFonts w:ascii="Simplified Arabic" w:eastAsia="Georgia" w:hAnsi="Simplified Arabic" w:cs="Simplified Arabic"/>
          <w:b/>
          <w:bCs/>
          <w:color w:val="000000"/>
          <w:sz w:val="24"/>
          <w:szCs w:val="24"/>
        </w:rPr>
        <w:t>:</w:t>
      </w:r>
    </w:p>
    <w:p w14:paraId="08C21019" w14:textId="77777777" w:rsidR="00390B53" w:rsidRPr="00131F17" w:rsidRDefault="00390B53" w:rsidP="00390B53">
      <w:pPr>
        <w:bidi/>
        <w:spacing w:after="100" w:afterAutospacing="1" w:line="360" w:lineRule="auto"/>
        <w:ind w:left="-30"/>
        <w:jc w:val="both"/>
        <w:rPr>
          <w:rFonts w:ascii="Simplified Arabic" w:eastAsia="Georgia" w:hAnsi="Simplified Arabic" w:cs="Simplified Arabic"/>
          <w:b/>
          <w:color w:val="000000"/>
          <w:sz w:val="24"/>
          <w:szCs w:val="24"/>
        </w:rPr>
      </w:pPr>
      <w:r w:rsidRPr="00131F17">
        <w:rPr>
          <w:rFonts w:ascii="Simplified Arabic" w:eastAsia="Georgia" w:hAnsi="Simplified Arabic" w:cs="Simplified Arabic"/>
          <w:b/>
          <w:color w:val="000000"/>
          <w:sz w:val="24"/>
          <w:szCs w:val="24"/>
          <w:rtl/>
        </w:rPr>
        <w:t xml:space="preserve">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w:t>
      </w:r>
      <w:proofErr w:type="spellStart"/>
      <w:r w:rsidRPr="00131F17">
        <w:rPr>
          <w:rFonts w:ascii="Simplified Arabic" w:eastAsia="Georgia" w:hAnsi="Simplified Arabic" w:cs="Simplified Arabic"/>
          <w:b/>
          <w:color w:val="000000"/>
          <w:sz w:val="24"/>
          <w:szCs w:val="24"/>
          <w:rtl/>
        </w:rPr>
        <w:t>المنتشري</w:t>
      </w:r>
      <w:proofErr w:type="spellEnd"/>
      <w:r w:rsidRPr="00131F17">
        <w:rPr>
          <w:rFonts w:ascii="Simplified Arabic" w:eastAsia="Georgia" w:hAnsi="Simplified Arabic" w:cs="Simplified Arabic"/>
          <w:bCs/>
          <w:color w:val="000000"/>
          <w:sz w:val="24"/>
          <w:szCs w:val="24"/>
          <w:rtl/>
        </w:rPr>
        <w:t xml:space="preserve"> </w:t>
      </w:r>
      <w:r w:rsidRPr="00131F17">
        <w:rPr>
          <w:rFonts w:ascii="Simplified Arabic" w:eastAsia="Georgia" w:hAnsi="Simplified Arabic" w:cs="Simplified Arabic"/>
          <w:b/>
          <w:color w:val="000000"/>
          <w:sz w:val="24"/>
          <w:szCs w:val="24"/>
          <w:rtl/>
        </w:rPr>
        <w:t>التي ركزت على فحص العلاقة بين القيادة التحويلية أو سلوكيات القيادة من جهة، وثقافة سلامة المرضى من جهة أخرى، دون دمج سلوكيات السلامة أو الأحداث الضارة في نموذج وساطة متسلسلة</w:t>
      </w:r>
      <w:r w:rsidRPr="00131F17">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w:instrText>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EN.CITE.DATA</w:instrText>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tl/>
        </w:rPr>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Cs/>
          <w:color w:val="000000"/>
          <w:sz w:val="24"/>
          <w:szCs w:val="24"/>
          <w:rtl/>
        </w:rPr>
      </w:r>
      <w:r w:rsidRPr="00131F17">
        <w:rPr>
          <w:rFonts w:ascii="Simplified Arabic" w:eastAsia="Georgia" w:hAnsi="Simplified Arabic" w:cs="Simplified Arabic"/>
          <w:bCs/>
          <w:color w:val="000000"/>
          <w:sz w:val="24"/>
          <w:szCs w:val="24"/>
          <w:rtl/>
        </w:rPr>
        <w:fldChar w:fldCharType="separate"/>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noProof/>
          <w:color w:val="000000"/>
          <w:sz w:val="24"/>
          <w:szCs w:val="24"/>
        </w:rPr>
        <w:t>Alotaibi et al., 2015; Amal Ali Almuntasheri, 2022</w:t>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
          <w:color w:val="000000"/>
          <w:sz w:val="24"/>
          <w:szCs w:val="24"/>
          <w:rtl/>
        </w:rPr>
        <w:t xml:space="preserve">. من ناحية أخرى، تشير بعض الدراسات 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31F17">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w:instrText>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Pr>
        <w:instrText>ADDIN EN.CITE.DATA</w:instrText>
      </w:r>
      <w:r w:rsidRPr="00131F17">
        <w:rPr>
          <w:rFonts w:ascii="Simplified Arabic" w:eastAsia="Georgia" w:hAnsi="Simplified Arabic" w:cs="Simplified Arabic"/>
          <w:bCs/>
          <w:color w:val="000000"/>
          <w:sz w:val="24"/>
          <w:szCs w:val="24"/>
          <w:rtl/>
        </w:rPr>
        <w:instrText xml:space="preserve"> </w:instrText>
      </w:r>
      <w:r w:rsidRPr="00131F17">
        <w:rPr>
          <w:rFonts w:ascii="Simplified Arabic" w:eastAsia="Georgia" w:hAnsi="Simplified Arabic" w:cs="Simplified Arabic"/>
          <w:bCs/>
          <w:color w:val="000000"/>
          <w:sz w:val="24"/>
          <w:szCs w:val="24"/>
          <w:rtl/>
        </w:rPr>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Cs/>
          <w:color w:val="000000"/>
          <w:sz w:val="24"/>
          <w:szCs w:val="24"/>
          <w:rtl/>
        </w:rPr>
      </w:r>
      <w:r w:rsidRPr="00131F17">
        <w:rPr>
          <w:rFonts w:ascii="Simplified Arabic" w:eastAsia="Georgia" w:hAnsi="Simplified Arabic" w:cs="Simplified Arabic"/>
          <w:bCs/>
          <w:color w:val="000000"/>
          <w:sz w:val="24"/>
          <w:szCs w:val="24"/>
          <w:rtl/>
        </w:rPr>
        <w:fldChar w:fldCharType="separate"/>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noProof/>
          <w:color w:val="000000"/>
          <w:sz w:val="24"/>
          <w:szCs w:val="24"/>
        </w:rPr>
        <w:t>Kline, 2023; Mistri et al., 2023</w:t>
      </w:r>
      <w:r w:rsidRPr="00131F17">
        <w:rPr>
          <w:rFonts w:ascii="Simplified Arabic" w:eastAsia="Georgia" w:hAnsi="Simplified Arabic" w:cs="Simplified Arabic"/>
          <w:bCs/>
          <w:noProof/>
          <w:color w:val="000000"/>
          <w:sz w:val="24"/>
          <w:szCs w:val="24"/>
          <w:rtl/>
        </w:rPr>
        <w:t>)</w:t>
      </w:r>
      <w:r w:rsidRPr="00131F17">
        <w:rPr>
          <w:rFonts w:ascii="Simplified Arabic" w:eastAsia="Georgia" w:hAnsi="Simplified Arabic" w:cs="Simplified Arabic"/>
          <w:bCs/>
          <w:color w:val="000000"/>
          <w:sz w:val="24"/>
          <w:szCs w:val="24"/>
          <w:rtl/>
        </w:rPr>
        <w:fldChar w:fldCharType="end"/>
      </w:r>
      <w:r w:rsidRPr="00131F17">
        <w:rPr>
          <w:rFonts w:ascii="Simplified Arabic" w:eastAsia="Georgia" w:hAnsi="Simplified Arabic" w:cs="Simplified Arabic"/>
          <w:bCs/>
          <w:color w:val="000000"/>
          <w:sz w:val="24"/>
          <w:szCs w:val="24"/>
          <w:rtl/>
        </w:rPr>
        <w:t>.</w:t>
      </w:r>
    </w:p>
    <w:bookmarkEnd w:id="1"/>
    <w:p w14:paraId="6DF6390D" w14:textId="27151805" w:rsidR="00487338" w:rsidRPr="00AC4332" w:rsidRDefault="00AC4332" w:rsidP="00487338">
      <w:pPr>
        <w:bidi/>
        <w:spacing w:before="315" w:after="105" w:line="360" w:lineRule="auto"/>
        <w:ind w:left="-30"/>
        <w:rPr>
          <w:rFonts w:ascii="Simplified Arabic" w:eastAsia="Georgia" w:hAnsi="Simplified Arabic" w:cs="Simplified Arabic"/>
          <w:b/>
          <w:bCs/>
          <w:color w:val="000000"/>
          <w:sz w:val="24"/>
          <w:szCs w:val="24"/>
        </w:rPr>
      </w:pPr>
      <w:r w:rsidRPr="00AC4332">
        <w:rPr>
          <w:rFonts w:ascii="Simplified Arabic" w:eastAsia="Georgia" w:hAnsi="Simplified Arabic" w:cs="Simplified Arabic" w:hint="cs"/>
          <w:b/>
          <w:bCs/>
          <w:color w:val="000000"/>
          <w:sz w:val="24"/>
          <w:szCs w:val="24"/>
          <w:rtl/>
        </w:rPr>
        <w:t xml:space="preserve">2.9.5 </w:t>
      </w:r>
      <w:r w:rsidR="00487338" w:rsidRPr="00AC4332">
        <w:rPr>
          <w:rFonts w:ascii="Simplified Arabic" w:eastAsia="Georgia" w:hAnsi="Simplified Arabic" w:cs="Simplified Arabic"/>
          <w:b/>
          <w:bCs/>
          <w:color w:val="000000"/>
          <w:sz w:val="24"/>
          <w:szCs w:val="24"/>
          <w:rtl/>
        </w:rPr>
        <w:t>التعليق النقدي، الفجوة البحثية، والقيمة المضافة للدراسة</w:t>
      </w:r>
    </w:p>
    <w:p w14:paraId="19F7A561" w14:textId="77777777" w:rsidR="00487338" w:rsidRPr="00487338"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487338">
        <w:rPr>
          <w:rFonts w:ascii="Simplified Arabic" w:eastAsia="Georgia" w:hAnsi="Simplified Arabic" w:cs="Simplified Arabic"/>
          <w:b/>
          <w:bCs/>
          <w:color w:val="000000"/>
          <w:sz w:val="24"/>
          <w:szCs w:val="24"/>
          <w:rtl/>
        </w:rPr>
        <w:t>أولًا: التعليق النقدي وأوجه الاتفاق والاختلاف</w:t>
      </w:r>
    </w:p>
    <w:p w14:paraId="4C90453E" w14:textId="470D5D4A" w:rsidR="00487338" w:rsidRPr="00487338" w:rsidRDefault="00487338" w:rsidP="00487338">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color w:val="000000"/>
          <w:sz w:val="24"/>
          <w:szCs w:val="24"/>
          <w:rtl/>
        </w:rPr>
        <w:t xml:space="preserve">تُظهر مراجعة الأدبيات وجود توافق واسع على الدور الأساسي للقيادة التحويلية في تشكيل ثقافة تنظيمية إيجابية، وأن ثقافة السلامة تمثل الإطار القيمي الذي يوجه سلوكيات السلامة، والتي تُعتبر أكثر العوامل تأثيرًا في تقليل الأحداث الضارة داخل المستشفيات. بالمقابل، توجد بعض النواقص؛ إذ ركزت العديد من الدراسات على علاقات ثنائية محددة (مثل </w:t>
      </w:r>
      <w:r>
        <w:rPr>
          <w:rFonts w:ascii="Simplified Arabic" w:eastAsia="Georgia" w:hAnsi="Simplified Arabic" w:cs="Simplified Arabic"/>
          <w:color w:val="000000"/>
          <w:sz w:val="24"/>
          <w:szCs w:val="24"/>
        </w:rPr>
        <w:t xml:space="preserve">TL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SC</w:t>
      </w:r>
      <w:r>
        <w:rPr>
          <w:rFonts w:ascii="Simplified Arabic" w:eastAsia="Georgia" w:hAnsi="Simplified Arabic" w:cs="Simplified Arabic"/>
          <w:color w:val="000000"/>
          <w:sz w:val="24"/>
          <w:szCs w:val="24"/>
          <w:rtl/>
        </w:rPr>
        <w:t xml:space="preserve"> أو </w:t>
      </w:r>
      <w:r>
        <w:rPr>
          <w:rFonts w:ascii="Simplified Arabic" w:eastAsia="Georgia" w:hAnsi="Simplified Arabic" w:cs="Simplified Arabic"/>
          <w:color w:val="000000"/>
          <w:sz w:val="24"/>
          <w:szCs w:val="24"/>
        </w:rPr>
        <w:t xml:space="preserve">SC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SB</w:t>
      </w:r>
      <w:r>
        <w:rPr>
          <w:rFonts w:ascii="Simplified Arabic" w:eastAsia="Georgia" w:hAnsi="Simplified Arabic" w:cs="Simplified Arabic"/>
          <w:color w:val="000000"/>
          <w:sz w:val="24"/>
          <w:szCs w:val="24"/>
          <w:rtl/>
        </w:rPr>
        <w:t xml:space="preserve"> أو </w:t>
      </w:r>
      <w:r>
        <w:rPr>
          <w:rFonts w:ascii="Simplified Arabic" w:eastAsia="Georgia" w:hAnsi="Simplified Arabic" w:cs="Simplified Arabic"/>
          <w:color w:val="000000"/>
          <w:sz w:val="24"/>
          <w:szCs w:val="24"/>
        </w:rPr>
        <w:t xml:space="preserve">SC </w:t>
      </w:r>
      <w:r>
        <w:rPr>
          <w:rFonts w:ascii="Times New Roman" w:eastAsia="Georgia" w:hAnsi="Times New Roman" w:cs="Times New Roman"/>
          <w:color w:val="000000"/>
          <w:sz w:val="24"/>
          <w:szCs w:val="24"/>
        </w:rPr>
        <w:lastRenderedPageBreak/>
        <w:t>→</w:t>
      </w:r>
      <w:r>
        <w:rPr>
          <w:rFonts w:ascii="Simplified Arabic" w:eastAsia="Georgia" w:hAnsi="Simplified Arabic" w:cs="Simplified Arabic"/>
          <w:color w:val="000000"/>
          <w:sz w:val="24"/>
          <w:szCs w:val="24"/>
        </w:rPr>
        <w:t xml:space="preserve"> AE</w:t>
      </w:r>
      <w:r>
        <w:rPr>
          <w:rFonts w:ascii="Simplified Arabic" w:eastAsia="Georgia" w:hAnsi="Simplified Arabic" w:cs="Simplified Arabic"/>
          <w:color w:val="000000"/>
          <w:sz w:val="24"/>
          <w:szCs w:val="24"/>
          <w:rtl/>
        </w:rPr>
        <w:t>)، دون اختبار مسار سببي شامل يوضح كيف تنتقل تأثيرات القيادة من خلال الثقافة والسلوك إلى النتائج السريرية، بالإضافة إلى أن جزءًا من الأدبيات الوطنية يقتصر على سياقات جغرافية وتنظيمية تختلف عن مستشفيات القطاع الحكومي في منطقة الجوف.</w:t>
      </w:r>
    </w:p>
    <w:p w14:paraId="4C11617E" w14:textId="77777777" w:rsidR="00487338" w:rsidRDefault="00487338" w:rsidP="00487338">
      <w:pPr>
        <w:bidi/>
        <w:spacing w:before="315" w:after="105" w:line="360" w:lineRule="auto"/>
        <w:ind w:left="-30"/>
        <w:rPr>
          <w:rFonts w:ascii="Simplified Arabic" w:eastAsia="Georgia" w:hAnsi="Simplified Arabic" w:cs="Simplified Arabic"/>
          <w:b/>
          <w:bCs/>
          <w:color w:val="000000"/>
          <w:sz w:val="24"/>
          <w:szCs w:val="24"/>
          <w:rtl/>
        </w:rPr>
      </w:pPr>
      <w:r w:rsidRPr="00487338">
        <w:rPr>
          <w:rFonts w:ascii="Simplified Arabic" w:eastAsia="Georgia" w:hAnsi="Simplified Arabic" w:cs="Simplified Arabic"/>
          <w:b/>
          <w:bCs/>
          <w:color w:val="000000"/>
          <w:sz w:val="24"/>
          <w:szCs w:val="24"/>
          <w:rtl/>
        </w:rPr>
        <w:t>ثانيًا: الفجوة البحثية متعددة الأبعاد</w:t>
      </w:r>
    </w:p>
    <w:p w14:paraId="55AF6E3A" w14:textId="0C6CFC22" w:rsidR="00487338" w:rsidRPr="00487338" w:rsidRDefault="00487338" w:rsidP="00487338">
      <w:pPr>
        <w:bidi/>
        <w:spacing w:before="315" w:after="105" w:line="360" w:lineRule="auto"/>
        <w:ind w:left="-30"/>
        <w:rPr>
          <w:rFonts w:ascii="Simplified Arabic" w:eastAsia="Georgia" w:hAnsi="Simplified Arabic" w:cs="Simplified Arabic"/>
          <w:b/>
          <w:bCs/>
          <w:color w:val="000000"/>
          <w:sz w:val="24"/>
          <w:szCs w:val="24"/>
        </w:rPr>
      </w:pPr>
      <w:r>
        <w:rPr>
          <w:rFonts w:ascii="Simplified Arabic" w:eastAsia="Georgia" w:hAnsi="Simplified Arabic" w:cs="Simplified Arabic"/>
          <w:color w:val="000000"/>
          <w:sz w:val="24"/>
          <w:szCs w:val="24"/>
          <w:rtl/>
        </w:rPr>
        <w:t>يمكن تلخيص الفجوة البحثية في بعدين متكاملين: الأول منهجي، ويتعلق بغياب نماذج وساطة متسلسلة تُختبر بشكل صريح بطريقة (</w:t>
      </w:r>
      <w:r>
        <w:rPr>
          <w:rFonts w:ascii="Simplified Arabic" w:eastAsia="Georgia" w:hAnsi="Simplified Arabic" w:cs="Simplified Arabic"/>
          <w:color w:val="000000"/>
          <w:sz w:val="24"/>
          <w:szCs w:val="24"/>
        </w:rPr>
        <w:t xml:space="preserve">TL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SC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SB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AE</w:t>
      </w:r>
      <w:r>
        <w:rPr>
          <w:rFonts w:ascii="Simplified Arabic" w:eastAsia="Georgia" w:hAnsi="Simplified Arabic" w:cs="Simplified Arabic"/>
          <w:color w:val="000000"/>
          <w:sz w:val="24"/>
          <w:szCs w:val="24"/>
          <w:rtl/>
        </w:rPr>
        <w:t>) باستخدام تقنيات تحليل متقدمة مثل نمذجة المعادلات الهيكلية، مما يسمح بقياس التأثيرات المباشرة وغير المباشرة معاً. أما البعد الثاني فهو سياقي، ويشير إلى قلة الأدلة التجريبية المستقاة من مستشفيات القطاع الحكومي في منطقة الجوف، على الرغم من خصوصية هذه المنطقة ووضوح التحديات المتعلقة بسلامة المرضى فيها، مقارنة بمناطق أخرى في السعودية تلقت حضوراً بحثياً أكبر.</w:t>
      </w:r>
    </w:p>
    <w:p w14:paraId="462477D8" w14:textId="77777777" w:rsidR="00487338" w:rsidRPr="00487338"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487338">
        <w:rPr>
          <w:rFonts w:ascii="Simplified Arabic" w:eastAsia="Georgia" w:hAnsi="Simplified Arabic" w:cs="Simplified Arabic"/>
          <w:b/>
          <w:bCs/>
          <w:color w:val="000000"/>
          <w:sz w:val="24"/>
          <w:szCs w:val="24"/>
          <w:rtl/>
        </w:rPr>
        <w:t>ثالثًا: القيمة المضافة المتوقعة للدراسة الحالية</w:t>
      </w:r>
    </w:p>
    <w:p w14:paraId="00166BF8" w14:textId="77F64DC8" w:rsidR="00487338" w:rsidRDefault="00487338" w:rsidP="00487338">
      <w:pPr>
        <w:bidi/>
        <w:spacing w:before="315" w:after="105" w:line="360" w:lineRule="auto"/>
        <w:ind w:left="-30"/>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تستجيب هذه الدراسة للفجوة المنهجية من خلال بناء واختبار نموذج مفاهيمي شامل يفحص تأثير القيادة التحويلية على ثقافة السلامة بشكل مباشر، ثم تأثيرها غير المباشر عبر سلوكيات السلامة وصولاً إلى الأحداث الضارة، ضمن إطار وساطة متسلسلة يُحول هذا المسار إلى فرضيات (</w:t>
      </w:r>
      <w:r>
        <w:rPr>
          <w:rFonts w:ascii="Simplified Arabic" w:eastAsia="Georgia" w:hAnsi="Simplified Arabic" w:cs="Simplified Arabic"/>
          <w:color w:val="000000"/>
          <w:sz w:val="24"/>
          <w:szCs w:val="24"/>
        </w:rPr>
        <w:t>H1–H5</w:t>
      </w:r>
      <w:r>
        <w:rPr>
          <w:rFonts w:ascii="Simplified Arabic" w:eastAsia="Georgia" w:hAnsi="Simplified Arabic" w:cs="Simplified Arabic"/>
          <w:color w:val="000000"/>
          <w:sz w:val="24"/>
          <w:szCs w:val="24"/>
          <w:rtl/>
        </w:rPr>
        <w:t xml:space="preserve">) تُختبر باستخدام </w:t>
      </w:r>
      <w:r>
        <w:rPr>
          <w:rFonts w:ascii="Simplified Arabic" w:eastAsia="Georgia" w:hAnsi="Simplified Arabic" w:cs="Simplified Arabic"/>
          <w:color w:val="000000"/>
          <w:sz w:val="24"/>
          <w:szCs w:val="24"/>
        </w:rPr>
        <w:t>SEM</w:t>
      </w:r>
      <w:r>
        <w:rPr>
          <w:rFonts w:ascii="Simplified Arabic" w:eastAsia="Georgia" w:hAnsi="Simplified Arabic" w:cs="Simplified Arabic"/>
          <w:color w:val="000000"/>
          <w:sz w:val="24"/>
          <w:szCs w:val="24"/>
          <w:rtl/>
        </w:rPr>
        <w:t>. كما تساهم الدراسة في سد الفجوة السياقية من خلال تقديم بيانات ميدانية من مستشفيات القطاع الحكومي في منطقة الجوف، مما يزود صانعي القرار والقادة في هذه المستشفيات بأدلة محلية يمكن استخدامها في تصميم تدخلات قيادية وتنظيمية تهدف إلى تعزيز ثقافة السلامة وتقليل الأحداث الضارة، بما يتوافق مع أهداف رؤية 2030.</w:t>
      </w:r>
    </w:p>
    <w:p w14:paraId="0662FD5B" w14:textId="0A45DD39" w:rsidR="00C367CA" w:rsidRPr="00487338" w:rsidRDefault="00C367CA" w:rsidP="00C367CA">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color w:val="000000"/>
          <w:sz w:val="24"/>
          <w:szCs w:val="24"/>
          <w:rtl/>
        </w:rPr>
        <w:t>وبذلك، يمثل النموذج المقترح (</w:t>
      </w:r>
      <w:r>
        <w:rPr>
          <w:rFonts w:ascii="Simplified Arabic" w:eastAsia="Georgia" w:hAnsi="Simplified Arabic" w:cs="Simplified Arabic"/>
          <w:color w:val="000000"/>
          <w:sz w:val="24"/>
          <w:szCs w:val="24"/>
        </w:rPr>
        <w:t xml:space="preserve">TL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SC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SB </w:t>
      </w:r>
      <w:r>
        <w:rPr>
          <w:rFonts w:ascii="Times New Roman" w:eastAsia="Georgia" w:hAnsi="Times New Roman" w:cs="Times New Roman"/>
          <w:color w:val="000000"/>
          <w:sz w:val="24"/>
          <w:szCs w:val="24"/>
        </w:rPr>
        <w:t>→</w:t>
      </w:r>
      <w:r>
        <w:rPr>
          <w:rFonts w:ascii="Simplified Arabic" w:eastAsia="Georgia" w:hAnsi="Simplified Arabic" w:cs="Simplified Arabic"/>
          <w:color w:val="000000"/>
          <w:sz w:val="24"/>
          <w:szCs w:val="24"/>
        </w:rPr>
        <w:t xml:space="preserve"> AE</w:t>
      </w:r>
      <w:r>
        <w:rPr>
          <w:rFonts w:ascii="Simplified Arabic" w:eastAsia="Georgia" w:hAnsi="Simplified Arabic" w:cs="Simplified Arabic"/>
          <w:color w:val="000000"/>
          <w:sz w:val="24"/>
          <w:szCs w:val="24"/>
          <w:rtl/>
        </w:rPr>
        <w:t>) ترجمة مباشرة لما أظهرته الأدبيات من الحاجة إلى اختبار المسارات غير المباشرة والمتتابعة بين القيادة ونتائج سلامة المرضى في السياق السعودي.</w:t>
      </w:r>
    </w:p>
    <w:p w14:paraId="61EB6BC1" w14:textId="2AC5C2FC" w:rsidR="00003AD7" w:rsidRPr="00003AD7" w:rsidRDefault="00487338" w:rsidP="00487338">
      <w:pPr>
        <w:bidi/>
        <w:spacing w:before="315" w:after="105" w:line="360" w:lineRule="auto"/>
        <w:ind w:left="-30"/>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رابعا:</w:t>
      </w:r>
      <w:r w:rsidR="00003AD7" w:rsidRPr="00487338">
        <w:rPr>
          <w:rFonts w:ascii="Simplified Arabic" w:eastAsia="Georgia" w:hAnsi="Simplified Arabic" w:cs="Simplified Arabic"/>
          <w:b/>
          <w:bCs/>
          <w:color w:val="000000"/>
          <w:sz w:val="24"/>
          <w:szCs w:val="24"/>
          <w:rtl/>
        </w:rPr>
        <w:t xml:space="preserve"> </w:t>
      </w:r>
      <w:r w:rsidR="00003AD7" w:rsidRPr="00003AD7">
        <w:rPr>
          <w:rFonts w:ascii="Simplified Arabic" w:eastAsia="Georgia" w:hAnsi="Simplified Arabic" w:cs="Simplified Arabic"/>
          <w:b/>
          <w:bCs/>
          <w:color w:val="000000"/>
          <w:sz w:val="24"/>
          <w:szCs w:val="24"/>
          <w:rtl/>
        </w:rPr>
        <w:t>خلاصة الفجوة البحثية وربطها بفرضيات الدراسة</w:t>
      </w:r>
    </w:p>
    <w:p w14:paraId="1F91AEC5" w14:textId="65D8CEB2" w:rsidR="00003AD7" w:rsidRPr="004F513A" w:rsidRDefault="00003AD7" w:rsidP="00003AD7">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t>يتبيّن من التحليل النقدي للأدبيات أن غالبية الدراسات تناولت أجزاءً منفصلة من النموذج، حيث ركّز بعضها على العلاقة بين القيادة التحويلية وثقافة السلامة، بينما اختصّت دراسات أخرى بالعلاقة بين الثقافة وسلوكيات السلامة أو الأحداث الضارة، دون إجراء اختبار مسار شامل يُوضح كيفية انتقال تأثير القيادة عبر الثقافة والسلوك إلى النتائج السريرية في المستشفيات الحكومية السعودية.</w:t>
      </w:r>
    </w:p>
    <w:p w14:paraId="32EA855F" w14:textId="22477DC1" w:rsidR="00003AD7" w:rsidRPr="004F513A" w:rsidRDefault="00003AD7" w:rsidP="00003AD7">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lastRenderedPageBreak/>
        <w:t>تميل الدراسات الوطنية المتاحة إلى التركيز على مناطق محددة مثل الرياض وجدة والحدود الشمالية، مع وجود نقص واضح في الأدلة التجريبية من منطقة الجوف، على الرغم من خصوصيتها التنظيمية والديموغرافية. تتجلى الفجوة البحثية في بعدين متكاملين: الأول منهجي، ويتمثل في غياب نماذج وساطة متسلسلة (</w:t>
      </w:r>
      <w:r w:rsidRPr="004F513A">
        <w:rPr>
          <w:rFonts w:ascii="Simplified Arabic" w:eastAsia="Georgia" w:hAnsi="Simplified Arabic" w:cs="Simplified Arabic"/>
          <w:color w:val="000000"/>
          <w:sz w:val="24"/>
          <w:szCs w:val="24"/>
        </w:rPr>
        <w:t xml:space="preserve">TL </w:t>
      </w:r>
      <w:r w:rsidRPr="004F513A">
        <w:rPr>
          <w:rFonts w:ascii="Times New Roman" w:eastAsia="Georgia" w:hAnsi="Times New Roman" w:cs="Times New Roman"/>
          <w:color w:val="000000"/>
          <w:sz w:val="24"/>
          <w:szCs w:val="24"/>
        </w:rPr>
        <w:t>→</w:t>
      </w:r>
      <w:r w:rsidRPr="004F513A">
        <w:rPr>
          <w:rFonts w:ascii="Simplified Arabic" w:eastAsia="Georgia" w:hAnsi="Simplified Arabic" w:cs="Simplified Arabic"/>
          <w:color w:val="000000"/>
          <w:sz w:val="24"/>
          <w:szCs w:val="24"/>
        </w:rPr>
        <w:t xml:space="preserve"> SC </w:t>
      </w:r>
      <w:r w:rsidRPr="004F513A">
        <w:rPr>
          <w:rFonts w:ascii="Times New Roman" w:eastAsia="Georgia" w:hAnsi="Times New Roman" w:cs="Times New Roman"/>
          <w:color w:val="000000"/>
          <w:sz w:val="24"/>
          <w:szCs w:val="24"/>
        </w:rPr>
        <w:t>→</w:t>
      </w:r>
      <w:r w:rsidRPr="004F513A">
        <w:rPr>
          <w:rFonts w:ascii="Simplified Arabic" w:eastAsia="Georgia" w:hAnsi="Simplified Arabic" w:cs="Simplified Arabic"/>
          <w:color w:val="000000"/>
          <w:sz w:val="24"/>
          <w:szCs w:val="24"/>
        </w:rPr>
        <w:t xml:space="preserve"> SB </w:t>
      </w:r>
      <w:r w:rsidRPr="004F513A">
        <w:rPr>
          <w:rFonts w:ascii="Times New Roman" w:eastAsia="Georgia" w:hAnsi="Times New Roman" w:cs="Times New Roman"/>
          <w:color w:val="000000"/>
          <w:sz w:val="24"/>
          <w:szCs w:val="24"/>
        </w:rPr>
        <w:t>→</w:t>
      </w:r>
      <w:r w:rsidRPr="004F513A">
        <w:rPr>
          <w:rFonts w:ascii="Simplified Arabic" w:eastAsia="Georgia" w:hAnsi="Simplified Arabic" w:cs="Simplified Arabic"/>
          <w:color w:val="000000"/>
          <w:sz w:val="24"/>
          <w:szCs w:val="24"/>
        </w:rPr>
        <w:t xml:space="preserve"> AE</w:t>
      </w:r>
      <w:r w:rsidRPr="004F513A">
        <w:rPr>
          <w:rFonts w:ascii="Simplified Arabic" w:eastAsia="Georgia" w:hAnsi="Simplified Arabic" w:cs="Simplified Arabic"/>
          <w:color w:val="000000"/>
          <w:sz w:val="24"/>
          <w:szCs w:val="24"/>
          <w:rtl/>
        </w:rPr>
        <w:t>) تُختبر بواسطة نمذجة المعادلات الهيكلية، والثاني سياقي، ويتمثل في قلة الدراسات التي تستهدف مستشفيات القطاع الحكومي في منطقة الجوف.</w:t>
      </w:r>
    </w:p>
    <w:p w14:paraId="7D6BD976" w14:textId="1BCB8685" w:rsidR="00003AD7" w:rsidRPr="004F513A" w:rsidRDefault="00003AD7" w:rsidP="00003AD7">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t>تستجيب هذه الدراسة لهذه الفجوة من خلال بناء واختبار نموذج سببي متسلسل، يدرس التأثير المباشر للقيادة التحويلية على ثقافة السلامة، والتأثير غير المباشر على سلوكيات السلامة، وأخيرًا تأثيرها على تقليل الأحداث الضارة، مع تحويل هذه الفجوة إلى أسئلة وفرضيات محددة (</w:t>
      </w:r>
      <w:r w:rsidRPr="004F513A">
        <w:rPr>
          <w:rFonts w:ascii="Simplified Arabic" w:eastAsia="Georgia" w:hAnsi="Simplified Arabic" w:cs="Simplified Arabic"/>
          <w:color w:val="000000"/>
          <w:sz w:val="24"/>
          <w:szCs w:val="24"/>
        </w:rPr>
        <w:t>H1–H5</w:t>
      </w:r>
      <w:r w:rsidRPr="004F513A">
        <w:rPr>
          <w:rFonts w:ascii="Simplified Arabic" w:eastAsia="Georgia" w:hAnsi="Simplified Arabic" w:cs="Simplified Arabic"/>
          <w:color w:val="000000"/>
          <w:sz w:val="24"/>
          <w:szCs w:val="24"/>
          <w:rtl/>
        </w:rPr>
        <w:t>) ونموذج مفاهيمي واضح سيتم اختباره إحصائيًا في الفصول القادمة.</w:t>
      </w:r>
    </w:p>
    <w:p w14:paraId="371DBE4C" w14:textId="2850F829" w:rsidR="00390B53" w:rsidRPr="004F513A" w:rsidRDefault="00AC4332" w:rsidP="00390B53">
      <w:pPr>
        <w:bidi/>
        <w:spacing w:after="210" w:line="360" w:lineRule="auto"/>
        <w:rPr>
          <w:rFonts w:ascii="Simplified Arabic" w:eastAsia="Georgia" w:hAnsi="Simplified Arabic" w:cs="Simplified Arabic"/>
          <w:b/>
          <w:bCs/>
          <w:color w:val="000000"/>
          <w:sz w:val="24"/>
          <w:szCs w:val="24"/>
        </w:rPr>
      </w:pPr>
      <w:r w:rsidRPr="004F513A">
        <w:rPr>
          <w:rFonts w:ascii="Simplified Arabic" w:eastAsia="Georgia" w:hAnsi="Simplified Arabic" w:cs="Simplified Arabic"/>
          <w:b/>
          <w:bCs/>
          <w:color w:val="000000"/>
          <w:sz w:val="24"/>
          <w:szCs w:val="24"/>
          <w:rtl/>
        </w:rPr>
        <w:t>2.9.6</w:t>
      </w:r>
      <w:r w:rsidR="00390B53" w:rsidRPr="004F513A">
        <w:rPr>
          <w:rFonts w:ascii="Simplified Arabic" w:eastAsia="Georgia" w:hAnsi="Simplified Arabic" w:cs="Simplified Arabic"/>
          <w:b/>
          <w:bCs/>
          <w:color w:val="000000"/>
          <w:sz w:val="24"/>
          <w:szCs w:val="24"/>
          <w:rtl/>
        </w:rPr>
        <w:t xml:space="preserve"> الإسهام النظري</w:t>
      </w:r>
    </w:p>
    <w:p w14:paraId="0B1A385D" w14:textId="77777777" w:rsidR="00390B53" w:rsidRPr="004F513A" w:rsidRDefault="00390B53" w:rsidP="00390B53">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t>تتمثل الإضافة النظرية الأساسية لهذه الدراسة في اقتراح واختبار نموذج شامل للتوسيط المتسلسل يربط بين القيادة التحويلية، وثقافة سلامة المرضى، وسلوكيات السلامة، وتقليل الأحداث الضارة في مستشفيات القطاع الحكومي في منطقة الجوف. كما يعالج النموذج ثقافة السلامة وسلوكيات السلامة كحلقتين وسطيتين تتبعان بعضها في المسار السببي من القيادة إلى النتائج السريرية. لذا يمثل هذا النموذج استجابة لما أظهرته المراجعات السابقة من نقص النماذج التي تدمج هذه المتغيرات في إطار واحد، خاصة في السياق السعودي، حيث اقتصرت معظم الدراسات على دراسة العلاقة بين القيادة والثقافة، أو بين الثقافة وسلامة المرضى، دون تتبع المسار الكامل لآليات التأثير.</w:t>
      </w:r>
    </w:p>
    <w:p w14:paraId="07F0F798" w14:textId="1F129D08" w:rsidR="00390B53" w:rsidRPr="004F513A" w:rsidRDefault="00AC4332" w:rsidP="00390B53">
      <w:pPr>
        <w:bidi/>
        <w:spacing w:after="210" w:line="360" w:lineRule="auto"/>
        <w:rPr>
          <w:rFonts w:ascii="Simplified Arabic" w:eastAsia="Georgia" w:hAnsi="Simplified Arabic" w:cs="Simplified Arabic"/>
          <w:b/>
          <w:bCs/>
          <w:color w:val="000000"/>
          <w:sz w:val="24"/>
          <w:szCs w:val="24"/>
        </w:rPr>
      </w:pPr>
      <w:r w:rsidRPr="004F513A">
        <w:rPr>
          <w:rFonts w:ascii="Simplified Arabic" w:eastAsia="Georgia" w:hAnsi="Simplified Arabic" w:cs="Simplified Arabic"/>
          <w:b/>
          <w:bCs/>
          <w:color w:val="000000"/>
          <w:sz w:val="24"/>
          <w:szCs w:val="24"/>
          <w:rtl/>
        </w:rPr>
        <w:t>2.9.7</w:t>
      </w:r>
      <w:r w:rsidR="00390B53" w:rsidRPr="004F513A">
        <w:rPr>
          <w:rFonts w:ascii="Simplified Arabic" w:eastAsia="Georgia" w:hAnsi="Simplified Arabic" w:cs="Simplified Arabic"/>
          <w:b/>
          <w:bCs/>
          <w:color w:val="000000"/>
          <w:sz w:val="24"/>
          <w:szCs w:val="24"/>
          <w:rtl/>
        </w:rPr>
        <w:t xml:space="preserve"> الإسهام المنهجي</w:t>
      </w:r>
    </w:p>
    <w:p w14:paraId="42573159" w14:textId="77777777" w:rsidR="00390B53" w:rsidRPr="004F513A" w:rsidRDefault="00390B53" w:rsidP="00390B53">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t>تحرص الدراسة الحالية على تقديم إسهام منهجي من خلال استخدام نماذج تحليل متقدمة، مثل نمذجة المعادلات الهيكلية، كأداة رئيسة لاختبار الفروض المباشرة وغير المباشرة والمتسلسلة في النموذج المقترح. لذلك يعد هذا أحد التطورات مقارنة بعدد كبير من الدراسات السابقة في البيئة السعودية التي اعتمدت على أساليب تحليل تقليدية مثل الارتباط والانحدار المتعدد. علاوة على ذلك، تعتمد الدراسة على مقاييس معترف بها دوليًا لقياس القيادة التحويلية، ثقافة سلامة المرضى، سلوكيات السلامة، والنتائج المدركة، مع تكييفها للسياق السعودي والتحقق من صدقها وثباتها، مما يعزز من دقة التصميم المنهجي ويسهل المقارنة مع نتائج الدراسات الإقليمية والعالمية.</w:t>
      </w:r>
    </w:p>
    <w:p w14:paraId="260D06D7" w14:textId="452552C1" w:rsidR="00390B53" w:rsidRPr="004F513A" w:rsidRDefault="0083411F" w:rsidP="00390B53">
      <w:pPr>
        <w:bidi/>
        <w:spacing w:after="210" w:line="360" w:lineRule="auto"/>
        <w:rPr>
          <w:rFonts w:ascii="Simplified Arabic" w:eastAsia="Georgia" w:hAnsi="Simplified Arabic" w:cs="Simplified Arabic"/>
          <w:b/>
          <w:bCs/>
          <w:color w:val="000000"/>
          <w:sz w:val="24"/>
          <w:szCs w:val="24"/>
        </w:rPr>
      </w:pPr>
      <w:r w:rsidRPr="004F513A">
        <w:rPr>
          <w:rFonts w:ascii="Simplified Arabic" w:eastAsia="Georgia" w:hAnsi="Simplified Arabic" w:cs="Simplified Arabic"/>
          <w:b/>
          <w:bCs/>
          <w:color w:val="000000"/>
          <w:sz w:val="24"/>
          <w:szCs w:val="24"/>
          <w:rtl/>
        </w:rPr>
        <w:t>2.9.8 الإسهام</w:t>
      </w:r>
      <w:r w:rsidR="00390B53" w:rsidRPr="004F513A">
        <w:rPr>
          <w:rFonts w:ascii="Simplified Arabic" w:eastAsia="Georgia" w:hAnsi="Simplified Arabic" w:cs="Simplified Arabic"/>
          <w:b/>
          <w:bCs/>
          <w:color w:val="000000"/>
          <w:sz w:val="24"/>
          <w:szCs w:val="24"/>
          <w:rtl/>
        </w:rPr>
        <w:t xml:space="preserve"> التطبيقي </w:t>
      </w:r>
      <w:proofErr w:type="spellStart"/>
      <w:r w:rsidR="00390B53" w:rsidRPr="004F513A">
        <w:rPr>
          <w:rFonts w:ascii="Simplified Arabic" w:eastAsia="Georgia" w:hAnsi="Simplified Arabic" w:cs="Simplified Arabic"/>
          <w:b/>
          <w:bCs/>
          <w:color w:val="000000"/>
          <w:sz w:val="24"/>
          <w:szCs w:val="24"/>
          <w:rtl/>
        </w:rPr>
        <w:t>والسياقي</w:t>
      </w:r>
      <w:proofErr w:type="spellEnd"/>
    </w:p>
    <w:p w14:paraId="5CCC21F9" w14:textId="77777777" w:rsidR="00390B53" w:rsidRPr="004F513A" w:rsidRDefault="00390B53" w:rsidP="00390B53">
      <w:pPr>
        <w:bidi/>
        <w:spacing w:after="210" w:line="360" w:lineRule="auto"/>
        <w:jc w:val="both"/>
        <w:rPr>
          <w:rFonts w:ascii="Simplified Arabic" w:eastAsia="Georgia" w:hAnsi="Simplified Arabic" w:cs="Simplified Arabic"/>
          <w:color w:val="000000"/>
          <w:sz w:val="24"/>
          <w:szCs w:val="24"/>
        </w:rPr>
      </w:pPr>
      <w:r w:rsidRPr="004F513A">
        <w:rPr>
          <w:rFonts w:ascii="Simplified Arabic" w:eastAsia="Georgia" w:hAnsi="Simplified Arabic" w:cs="Simplified Arabic"/>
          <w:color w:val="000000"/>
          <w:sz w:val="24"/>
          <w:szCs w:val="24"/>
          <w:rtl/>
        </w:rPr>
        <w:t xml:space="preserve">على الصعيد التطبيقي </w:t>
      </w:r>
      <w:proofErr w:type="spellStart"/>
      <w:r w:rsidRPr="004F513A">
        <w:rPr>
          <w:rFonts w:ascii="Simplified Arabic" w:eastAsia="Georgia" w:hAnsi="Simplified Arabic" w:cs="Simplified Arabic"/>
          <w:color w:val="000000"/>
          <w:sz w:val="24"/>
          <w:szCs w:val="24"/>
          <w:rtl/>
        </w:rPr>
        <w:t>والسياقي</w:t>
      </w:r>
      <w:proofErr w:type="spellEnd"/>
      <w:r w:rsidRPr="004F513A">
        <w:rPr>
          <w:rFonts w:ascii="Simplified Arabic" w:eastAsia="Georgia" w:hAnsi="Simplified Arabic" w:cs="Simplified Arabic"/>
          <w:color w:val="000000"/>
          <w:sz w:val="24"/>
          <w:szCs w:val="24"/>
          <w:rtl/>
        </w:rPr>
        <w:t xml:space="preserve">، تقدم الدراسة بيانات حديثة من الميدان حول مستوى القيادة التحويلية، والثقافة المتعلقة بسلامة المرضى، وسلوكيات السلامة، والأحداث الضارة كما يدركها العاملون في المستشفيات الحكومية في منطقة الجوف. حيث إن هذه المنطقة لم تأخذ </w:t>
      </w:r>
      <w:r w:rsidRPr="004F513A">
        <w:rPr>
          <w:rFonts w:ascii="Simplified Arabic" w:eastAsia="Georgia" w:hAnsi="Simplified Arabic" w:cs="Simplified Arabic"/>
          <w:color w:val="000000"/>
          <w:sz w:val="24"/>
          <w:szCs w:val="24"/>
          <w:rtl/>
        </w:rPr>
        <w:lastRenderedPageBreak/>
        <w:t>حظها بعد بالاهتمام الكافي في الأدبيات المتعلقة بسلامة المرضى مقارنة بالمناطق الحضرية الكبرى في المملكة العربية السعودية. كما يمكن أن تساعد نتائج الدراسة صناع القرار في وزارة الصحة وفروعها بالإضافة إلى التجمعات الصحية في المناطق على تصميم برامج تدريبية وتدخلات قيادية مستهدفة لتعزيز القيادة التحويلية، وتقوية عناصر ثقافة السلامة، ودعم سلوكيات السلامة بين الممارسين الصحيين، مما يساهم في تقليل الأحداث الضارة وتحسين جودة الرعاية، متوافقة مع أهداف رؤية المملكة 2030 في القطاع الصحي.</w:t>
      </w:r>
    </w:p>
    <w:p w14:paraId="1E402C52" w14:textId="54335973" w:rsidR="00390B53" w:rsidRPr="004F513A" w:rsidRDefault="00B25657" w:rsidP="00390B53">
      <w:pPr>
        <w:bidi/>
        <w:spacing w:after="210" w:line="360" w:lineRule="auto"/>
        <w:rPr>
          <w:rFonts w:ascii="Simplified Arabic" w:hAnsi="Simplified Arabic" w:cs="Simplified Arabic"/>
          <w:b/>
          <w:bCs/>
          <w:sz w:val="24"/>
          <w:szCs w:val="24"/>
          <w:rtl/>
        </w:rPr>
      </w:pPr>
      <w:r w:rsidRPr="004F513A">
        <w:rPr>
          <w:rFonts w:ascii="Simplified Arabic" w:hAnsi="Simplified Arabic" w:cs="Simplified Arabic"/>
          <w:b/>
          <w:bCs/>
          <w:sz w:val="24"/>
          <w:szCs w:val="24"/>
          <w:rtl/>
        </w:rPr>
        <w:t>2.10</w:t>
      </w:r>
      <w:r w:rsidR="00390B53" w:rsidRPr="004F513A">
        <w:rPr>
          <w:rFonts w:ascii="Simplified Arabic" w:hAnsi="Simplified Arabic" w:cs="Simplified Arabic"/>
          <w:b/>
          <w:bCs/>
          <w:sz w:val="24"/>
          <w:szCs w:val="24"/>
          <w:rtl/>
        </w:rPr>
        <w:t>خاتمة الفصل الثاني</w:t>
      </w:r>
    </w:p>
    <w:p w14:paraId="1EF0F79E" w14:textId="77777777" w:rsidR="00390B53" w:rsidRPr="004F513A" w:rsidRDefault="00390B53" w:rsidP="00390B53">
      <w:pPr>
        <w:bidi/>
        <w:spacing w:after="210" w:line="360" w:lineRule="auto"/>
        <w:jc w:val="both"/>
        <w:rPr>
          <w:rFonts w:ascii="Simplified Arabic" w:hAnsi="Simplified Arabic" w:cs="Simplified Arabic"/>
          <w:sz w:val="24"/>
          <w:szCs w:val="24"/>
          <w:rtl/>
        </w:rPr>
      </w:pPr>
      <w:r w:rsidRPr="004F513A">
        <w:rPr>
          <w:rFonts w:ascii="Simplified Arabic" w:hAnsi="Simplified Arabic" w:cs="Simplified Arabic"/>
          <w:sz w:val="24"/>
          <w:szCs w:val="24"/>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1D583A39" w14:textId="77777777" w:rsidR="00390B53" w:rsidRPr="004F513A" w:rsidRDefault="00390B53" w:rsidP="00390B53">
      <w:pPr>
        <w:bidi/>
        <w:spacing w:after="210" w:line="360" w:lineRule="auto"/>
        <w:jc w:val="both"/>
        <w:rPr>
          <w:rFonts w:ascii="Simplified Arabic" w:hAnsi="Simplified Arabic" w:cs="Simplified Arabic"/>
          <w:sz w:val="24"/>
          <w:szCs w:val="24"/>
          <w:rtl/>
        </w:rPr>
      </w:pPr>
      <w:r w:rsidRPr="004F513A">
        <w:rPr>
          <w:rFonts w:ascii="Simplified Arabic" w:hAnsi="Simplified Arabic" w:cs="Simplified Arabic"/>
          <w:sz w:val="24"/>
          <w:szCs w:val="24"/>
          <w:rtl/>
        </w:rPr>
        <w:t>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الأحداث الضارة في المستشفيات، مع عرض أنواعه وتأثيراته، موضحًا الصلة غير المباشرة بين القيادة، والثقافة، والسلوكيات من جهة، ومستوى هذه الأحداث من جهة أخرى. لذا استخدم ذلك لبناء نموذج نظري يربط بين القيادة التحويلية، ثقافة سلامة المرضى، سلوكيات السلامة، وتقليل الأحداث الضارة عبر مسار وساطة متسلسل، مستندًا إلى الأدبيات والنماذج الدولية المعاصرة.</w:t>
      </w:r>
    </w:p>
    <w:p w14:paraId="5CBE5DAB" w14:textId="77777777" w:rsidR="00390B53" w:rsidRPr="004F513A" w:rsidRDefault="00390B53" w:rsidP="00390B53">
      <w:pPr>
        <w:bidi/>
        <w:spacing w:after="210" w:line="360" w:lineRule="auto"/>
        <w:jc w:val="both"/>
        <w:rPr>
          <w:rFonts w:ascii="Simplified Arabic" w:hAnsi="Simplified Arabic" w:cs="Simplified Arabic"/>
          <w:sz w:val="24"/>
          <w:szCs w:val="24"/>
          <w:rtl/>
        </w:rPr>
      </w:pPr>
      <w:r w:rsidRPr="004F513A">
        <w:rPr>
          <w:rFonts w:ascii="Simplified Arabic" w:hAnsi="Simplified Arabic" w:cs="Simplified Arabic"/>
          <w:sz w:val="24"/>
          <w:szCs w:val="24"/>
          <w:rtl/>
        </w:rPr>
        <w:t xml:space="preserve">في الجزء الثاني من الفصل، تم عرض الدراسات السابقة مع التركيز على علاقات متغيرات النموذج، مع إبراز نقاط الاتفاق والاختلاف، وتحديد القصور المنهجي </w:t>
      </w:r>
      <w:proofErr w:type="spellStart"/>
      <w:r w:rsidRPr="004F513A">
        <w:rPr>
          <w:rFonts w:ascii="Simplified Arabic" w:hAnsi="Simplified Arabic" w:cs="Simplified Arabic"/>
          <w:sz w:val="24"/>
          <w:szCs w:val="24"/>
          <w:rtl/>
        </w:rPr>
        <w:t>والسياقي</w:t>
      </w:r>
      <w:proofErr w:type="spellEnd"/>
      <w:r w:rsidRPr="004F513A">
        <w:rPr>
          <w:rFonts w:ascii="Simplified Arabic" w:hAnsi="Simplified Arabic" w:cs="Simplified Arabic"/>
          <w:sz w:val="24"/>
          <w:szCs w:val="24"/>
          <w:rtl/>
        </w:rPr>
        <w:t>، مثل قلة الدراسات التي اختبرت نماذج وساطة متسلسلة في البيئة السعودية، وتركز معظم الأبحاث على المناطق الحضرية الكبرى، واعتمادها على طرق تحليل تقليدية لفهم العلاقات السببية. حيث أدى هذا التحليل إلى توضيح الفجوة البحثية التي تهدف الدراسة الحالية إلى ملئها، مع بيان القيمة المضافة في المستويات النظرية والمنهجية والتطبيقية.</w:t>
      </w:r>
    </w:p>
    <w:p w14:paraId="0E1C5579"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7007A918"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70EEE903"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186E1C7E" w14:textId="77777777" w:rsidR="00390B53" w:rsidRPr="00154D4E" w:rsidRDefault="00390B53" w:rsidP="00390B53">
      <w:pPr>
        <w:bidi/>
        <w:spacing w:after="210" w:line="360" w:lineRule="auto"/>
        <w:jc w:val="both"/>
        <w:rPr>
          <w:rFonts w:ascii="Sakkal Majalla" w:hAnsi="Sakkal Majalla" w:cs="Sakkal Majalla"/>
          <w:sz w:val="28"/>
          <w:szCs w:val="28"/>
          <w:rtl/>
        </w:rPr>
      </w:pPr>
    </w:p>
    <w:p w14:paraId="24F6CF4E" w14:textId="06F032E2" w:rsidR="00390B53" w:rsidRPr="00154D4E" w:rsidRDefault="00390B53" w:rsidP="00390B53">
      <w:pPr>
        <w:rPr>
          <w:rFonts w:ascii="Sakkal Majalla" w:hAnsi="Sakkal Majalla" w:cs="Sakkal Majalla"/>
          <w:sz w:val="28"/>
          <w:szCs w:val="28"/>
        </w:rPr>
      </w:pPr>
    </w:p>
    <w:p w14:paraId="7E6253AA" w14:textId="77777777" w:rsidR="00390B53" w:rsidRDefault="00390B53" w:rsidP="00390B53">
      <w:pPr>
        <w:bidi/>
        <w:spacing w:after="200" w:line="276" w:lineRule="auto"/>
        <w:rPr>
          <w:rFonts w:ascii="Sakkal Majalla" w:hAnsi="Sakkal Majalla" w:cs="Sakkal Majalla"/>
          <w:b/>
          <w:bCs/>
          <w:sz w:val="28"/>
          <w:szCs w:val="28"/>
          <w:rtl/>
        </w:rPr>
      </w:pPr>
    </w:p>
    <w:p w14:paraId="27A0ED18" w14:textId="77777777" w:rsidR="00EC5360" w:rsidRDefault="00EC5360" w:rsidP="00EC5360">
      <w:pPr>
        <w:bidi/>
        <w:spacing w:after="200" w:line="276" w:lineRule="auto"/>
        <w:rPr>
          <w:rFonts w:ascii="Sakkal Majalla" w:hAnsi="Sakkal Majalla" w:cs="Sakkal Majalla"/>
          <w:b/>
          <w:bCs/>
          <w:sz w:val="28"/>
          <w:szCs w:val="28"/>
          <w:rtl/>
        </w:rPr>
      </w:pPr>
    </w:p>
    <w:p w14:paraId="1E04D986" w14:textId="77777777" w:rsidR="00EC5360" w:rsidRDefault="00EC5360" w:rsidP="00EC5360">
      <w:pPr>
        <w:bidi/>
        <w:spacing w:after="200" w:line="276" w:lineRule="auto"/>
        <w:rPr>
          <w:rFonts w:ascii="Sakkal Majalla" w:hAnsi="Sakkal Majalla" w:cs="Sakkal Majalla"/>
          <w:b/>
          <w:bCs/>
          <w:sz w:val="28"/>
          <w:szCs w:val="28"/>
          <w:rtl/>
        </w:rPr>
      </w:pPr>
    </w:p>
    <w:p w14:paraId="62978337" w14:textId="77777777" w:rsidR="00EC5360" w:rsidRDefault="00EC5360" w:rsidP="00EC5360">
      <w:pPr>
        <w:bidi/>
        <w:spacing w:after="200" w:line="276" w:lineRule="auto"/>
        <w:rPr>
          <w:rFonts w:ascii="Sakkal Majalla" w:hAnsi="Sakkal Majalla" w:cs="Sakkal Majalla"/>
          <w:b/>
          <w:bCs/>
          <w:sz w:val="28"/>
          <w:szCs w:val="28"/>
          <w:rtl/>
        </w:rPr>
      </w:pPr>
    </w:p>
    <w:p w14:paraId="70944121" w14:textId="77777777" w:rsidR="00EC5360" w:rsidRDefault="00EC5360" w:rsidP="00EC5360">
      <w:pPr>
        <w:bidi/>
        <w:spacing w:after="200" w:line="276" w:lineRule="auto"/>
        <w:rPr>
          <w:rFonts w:ascii="Sakkal Majalla" w:hAnsi="Sakkal Majalla" w:cs="Sakkal Majalla"/>
          <w:b/>
          <w:bCs/>
          <w:sz w:val="28"/>
          <w:szCs w:val="28"/>
          <w:rtl/>
        </w:rPr>
      </w:pPr>
    </w:p>
    <w:p w14:paraId="6EF23EB0" w14:textId="77777777" w:rsidR="00EC5360" w:rsidRDefault="00EC5360" w:rsidP="00EC5360">
      <w:pPr>
        <w:bidi/>
        <w:spacing w:after="200" w:line="276" w:lineRule="auto"/>
        <w:rPr>
          <w:rFonts w:ascii="Sakkal Majalla" w:hAnsi="Sakkal Majalla" w:cs="Sakkal Majalla"/>
          <w:b/>
          <w:bCs/>
          <w:sz w:val="28"/>
          <w:szCs w:val="28"/>
          <w:rtl/>
        </w:rPr>
      </w:pPr>
    </w:p>
    <w:p w14:paraId="03E41B00" w14:textId="77777777" w:rsidR="00EC5360" w:rsidRDefault="00EC5360" w:rsidP="00EC5360">
      <w:pPr>
        <w:bidi/>
        <w:spacing w:after="200" w:line="276" w:lineRule="auto"/>
        <w:rPr>
          <w:rFonts w:ascii="Sakkal Majalla" w:hAnsi="Sakkal Majalla" w:cs="Sakkal Majalla"/>
          <w:b/>
          <w:bCs/>
          <w:sz w:val="28"/>
          <w:szCs w:val="28"/>
          <w:rtl/>
        </w:rPr>
      </w:pPr>
    </w:p>
    <w:p w14:paraId="1919CFDB" w14:textId="77777777" w:rsidR="00EC5360" w:rsidRDefault="00EC5360" w:rsidP="00EC5360">
      <w:pPr>
        <w:bidi/>
        <w:spacing w:after="200" w:line="276" w:lineRule="auto"/>
        <w:rPr>
          <w:rFonts w:ascii="Sakkal Majalla" w:hAnsi="Sakkal Majalla" w:cs="Sakkal Majalla"/>
          <w:b/>
          <w:bCs/>
          <w:sz w:val="28"/>
          <w:szCs w:val="28"/>
          <w:rtl/>
        </w:rPr>
      </w:pPr>
    </w:p>
    <w:p w14:paraId="6B50BFC2" w14:textId="77777777" w:rsidR="00EC5360" w:rsidRDefault="00EC5360" w:rsidP="00EC5360">
      <w:pPr>
        <w:bidi/>
        <w:spacing w:after="200" w:line="276" w:lineRule="auto"/>
        <w:rPr>
          <w:rFonts w:ascii="Sakkal Majalla" w:hAnsi="Sakkal Majalla" w:cs="Sakkal Majalla"/>
          <w:b/>
          <w:bCs/>
          <w:sz w:val="28"/>
          <w:szCs w:val="28"/>
          <w:rtl/>
        </w:rPr>
      </w:pPr>
    </w:p>
    <w:p w14:paraId="172895AF" w14:textId="77777777" w:rsidR="00EC5360" w:rsidRDefault="00EC5360" w:rsidP="00EC5360">
      <w:pPr>
        <w:bidi/>
        <w:spacing w:after="200" w:line="276" w:lineRule="auto"/>
        <w:rPr>
          <w:rFonts w:ascii="Sakkal Majalla" w:hAnsi="Sakkal Majalla" w:cs="Sakkal Majalla"/>
          <w:b/>
          <w:bCs/>
          <w:sz w:val="28"/>
          <w:szCs w:val="28"/>
          <w:rtl/>
        </w:rPr>
      </w:pPr>
    </w:p>
    <w:p w14:paraId="6F49BE26" w14:textId="77777777" w:rsidR="00EC5360" w:rsidRDefault="00EC5360" w:rsidP="00EC5360">
      <w:pPr>
        <w:bidi/>
        <w:spacing w:after="200" w:line="276" w:lineRule="auto"/>
        <w:rPr>
          <w:rFonts w:ascii="Sakkal Majalla" w:hAnsi="Sakkal Majalla" w:cs="Sakkal Majalla"/>
          <w:b/>
          <w:bCs/>
          <w:sz w:val="28"/>
          <w:szCs w:val="28"/>
          <w:rtl/>
        </w:rPr>
      </w:pPr>
    </w:p>
    <w:p w14:paraId="46D84B71" w14:textId="77777777" w:rsidR="00EC5360" w:rsidRDefault="00EC5360" w:rsidP="00EC5360">
      <w:pPr>
        <w:bidi/>
        <w:spacing w:after="200" w:line="276" w:lineRule="auto"/>
        <w:rPr>
          <w:rFonts w:ascii="Sakkal Majalla" w:hAnsi="Sakkal Majalla" w:cs="Sakkal Majalla"/>
          <w:b/>
          <w:bCs/>
          <w:sz w:val="28"/>
          <w:szCs w:val="28"/>
          <w:rtl/>
        </w:rPr>
      </w:pPr>
    </w:p>
    <w:p w14:paraId="11416340" w14:textId="77777777" w:rsidR="00EC5360" w:rsidRPr="00154D4E" w:rsidRDefault="00EC5360" w:rsidP="00EC5360">
      <w:pPr>
        <w:bidi/>
        <w:spacing w:after="200" w:line="276" w:lineRule="auto"/>
        <w:rPr>
          <w:rFonts w:ascii="Sakkal Majalla" w:hAnsi="Sakkal Majalla" w:cs="Sakkal Majalla"/>
          <w:b/>
          <w:bCs/>
          <w:sz w:val="28"/>
          <w:szCs w:val="28"/>
          <w:rtl/>
        </w:rPr>
      </w:pPr>
    </w:p>
    <w:p w14:paraId="5F49D818" w14:textId="4C927B09" w:rsidR="006758A1" w:rsidRPr="006758A1" w:rsidRDefault="00B25657" w:rsidP="00E76DA2">
      <w:pPr>
        <w:bidi/>
        <w:spacing w:after="200" w:line="276" w:lineRule="auto"/>
        <w:rPr>
          <w:rFonts w:ascii="Sakkal Majalla" w:hAnsi="Sakkal Majalla" w:cs="Sakkal Majalla"/>
          <w:b/>
          <w:bCs/>
          <w:sz w:val="28"/>
          <w:szCs w:val="28"/>
          <w:rtl/>
        </w:rPr>
      </w:pPr>
      <w:r>
        <w:rPr>
          <w:rFonts w:ascii="Sakkal Majalla" w:hAnsi="Sakkal Majalla" w:cs="Sakkal Majalla" w:hint="cs"/>
          <w:b/>
          <w:bCs/>
          <w:sz w:val="28"/>
          <w:szCs w:val="28"/>
          <w:rtl/>
        </w:rPr>
        <w:t>2.11. المراجع</w:t>
      </w:r>
      <w:r w:rsidR="00C07820" w:rsidRPr="00FC62C6">
        <w:rPr>
          <w:rFonts w:ascii="Sakkal Majalla" w:hAnsi="Sakkal Majalla" w:cs="Sakkal Majalla"/>
          <w:b/>
          <w:bCs/>
          <w:sz w:val="28"/>
          <w:szCs w:val="28"/>
          <w:rtl/>
        </w:rPr>
        <w:t>:</w:t>
      </w:r>
      <w:r w:rsidR="00C07820" w:rsidRPr="00FC62C6">
        <w:rPr>
          <w:rFonts w:ascii="Sakkal Majalla" w:hAnsi="Sakkal Majalla" w:cs="Sakkal Majalla"/>
          <w:b/>
          <w:bCs/>
          <w:sz w:val="28"/>
          <w:szCs w:val="28"/>
        </w:rPr>
        <w:br/>
      </w:r>
      <w:bookmarkEnd w:id="0"/>
      <w:r w:rsidR="006758A1" w:rsidRPr="006758A1">
        <w:rPr>
          <w:rFonts w:ascii="Sakkal Majalla" w:hAnsi="Sakkal Majalla" w:cs="Sakkal Majalla"/>
          <w:b/>
          <w:bCs/>
          <w:sz w:val="28"/>
          <w:szCs w:val="28"/>
          <w:rtl/>
        </w:rPr>
        <w:t xml:space="preserve">المراجع الإنجليزية:                                                                                                                                                  </w:t>
      </w:r>
    </w:p>
    <w:p w14:paraId="182F6C53" w14:textId="6E5B6C5D" w:rsidR="001E525F" w:rsidRPr="00154D4E" w:rsidRDefault="006758A1" w:rsidP="001E525F">
      <w:pPr>
        <w:pStyle w:val="EndNoteCategoryHeading"/>
      </w:pPr>
      <w:r w:rsidRPr="006758A1">
        <w:rPr>
          <w:rFonts w:ascii="Sakkal Majalla" w:hAnsi="Sakkal Majalla" w:cs="Sakkal Majalla"/>
          <w:sz w:val="28"/>
          <w:szCs w:val="28"/>
        </w:rPr>
        <w:fldChar w:fldCharType="begin"/>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instrText>ADDIN EN.REFLIST</w:instrText>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fldChar w:fldCharType="separate"/>
      </w:r>
    </w:p>
    <w:p w14:paraId="18B06D41" w14:textId="77605300" w:rsidR="00154D4E" w:rsidRPr="00154D4E" w:rsidRDefault="00154D4E" w:rsidP="001E525F">
      <w:pPr>
        <w:pStyle w:val="EndNoteBibliography"/>
        <w:ind w:left="720" w:hanging="720"/>
        <w:jc w:val="left"/>
      </w:pPr>
      <w:r w:rsidRPr="00154D4E">
        <w:t xml:space="preserve">Ahmed, Z., Ellahham, S., Soomro, M., Shams, S., &amp; Latif, K. (2024, May 7). Exploring the impact of compassion and leadership on patient safety and quality in healthcare systems: a narrative review. </w:t>
      </w:r>
      <w:r w:rsidRPr="00154D4E">
        <w:rPr>
          <w:i/>
        </w:rPr>
        <w:t>BMJ Open Qual, 13</w:t>
      </w:r>
      <w:r w:rsidRPr="00154D4E">
        <w:t xml:space="preserve">(Suppl 2). </w:t>
      </w:r>
      <w:hyperlink r:id="rId10" w:history="1">
        <w:r w:rsidRPr="00154D4E">
          <w:rPr>
            <w:rStyle w:val="Hyperlink"/>
          </w:rPr>
          <w:t>https://doi.org/10.1136/bmjoq-2023-002651</w:t>
        </w:r>
      </w:hyperlink>
      <w:r w:rsidRPr="00154D4E">
        <w:t xml:space="preserve"> </w:t>
      </w:r>
    </w:p>
    <w:p w14:paraId="3E1E38F7" w14:textId="77777777" w:rsidR="00154D4E" w:rsidRPr="00154D4E" w:rsidRDefault="00154D4E" w:rsidP="001E525F">
      <w:pPr>
        <w:pStyle w:val="EndNoteBibliography"/>
        <w:spacing w:after="0"/>
        <w:jc w:val="left"/>
      </w:pPr>
    </w:p>
    <w:p w14:paraId="40EC0A87" w14:textId="77777777" w:rsidR="00154D4E" w:rsidRPr="00154D4E" w:rsidRDefault="00154D4E" w:rsidP="001E525F">
      <w:pPr>
        <w:pStyle w:val="EndNoteBibliography"/>
        <w:ind w:left="720" w:hanging="720"/>
        <w:jc w:val="left"/>
      </w:pPr>
      <w:r w:rsidRPr="00154D4E">
        <w:t xml:space="preserve">Alahmadi, Y. M., Alharbi, M. A., Almusallam, A. J., Alahmadi, R. Y., &amp; Alolayan, S. O. (2022). Incidence of Medication Errors in King Fahad Hospital Madina Saudi Arabia. </w:t>
      </w:r>
      <w:r w:rsidRPr="00154D4E">
        <w:rPr>
          <w:i/>
        </w:rPr>
        <w:t>Brazilian Journal of Pharmaceutical Sciences, 58</w:t>
      </w:r>
      <w:r w:rsidRPr="00154D4E">
        <w:t xml:space="preserve">, e201196. </w:t>
      </w:r>
    </w:p>
    <w:p w14:paraId="13F495DA" w14:textId="77777777" w:rsidR="00154D4E" w:rsidRPr="00154D4E" w:rsidRDefault="00154D4E" w:rsidP="001E525F">
      <w:pPr>
        <w:pStyle w:val="EndNoteBibliography"/>
        <w:spacing w:after="0"/>
        <w:jc w:val="left"/>
      </w:pPr>
    </w:p>
    <w:p w14:paraId="5B162E78" w14:textId="57395D74" w:rsidR="00154D4E" w:rsidRPr="00154D4E" w:rsidRDefault="00154D4E" w:rsidP="001E525F">
      <w:pPr>
        <w:pStyle w:val="EndNoteBibliography"/>
        <w:ind w:left="720" w:hanging="720"/>
        <w:jc w:val="left"/>
      </w:pPr>
      <w:r w:rsidRPr="00154D4E">
        <w:t xml:space="preserve">Alghamdi, S. A. (2026, Jan). Medication Errors Reporting and Analysis: A Comparative Study for Advancing Medication Safety Practices in Ministry of Health Hospitals in Saudi Arabia. </w:t>
      </w:r>
      <w:r w:rsidRPr="00154D4E">
        <w:rPr>
          <w:i/>
        </w:rPr>
        <w:t>Saudi Med J, 47</w:t>
      </w:r>
      <w:r w:rsidRPr="00154D4E">
        <w:t xml:space="preserve">(1), 102-113. </w:t>
      </w:r>
      <w:hyperlink r:id="rId11" w:history="1">
        <w:r w:rsidRPr="00154D4E">
          <w:rPr>
            <w:rStyle w:val="Hyperlink"/>
          </w:rPr>
          <w:t>https://doi.org/10.15537/smj.2026.47.1.20250755</w:t>
        </w:r>
      </w:hyperlink>
      <w:r w:rsidRPr="00154D4E">
        <w:t xml:space="preserve"> </w:t>
      </w:r>
    </w:p>
    <w:p w14:paraId="40E160E4" w14:textId="77777777" w:rsidR="00154D4E" w:rsidRPr="00154D4E" w:rsidRDefault="00154D4E" w:rsidP="001E525F">
      <w:pPr>
        <w:pStyle w:val="EndNoteBibliography"/>
        <w:spacing w:after="0"/>
        <w:jc w:val="left"/>
      </w:pPr>
    </w:p>
    <w:p w14:paraId="4D26C613" w14:textId="15815B56" w:rsidR="00154D4E" w:rsidRPr="00154D4E" w:rsidRDefault="00154D4E" w:rsidP="001E525F">
      <w:pPr>
        <w:pStyle w:val="EndNoteBibliography"/>
        <w:ind w:left="720" w:hanging="720"/>
        <w:jc w:val="left"/>
      </w:pPr>
      <w:r w:rsidRPr="00154D4E">
        <w:t xml:space="preserve">Almalki, Z. S., Alqahtani, N., Salway, N. T., Alharbi, M. M., Alqahtani, A., Alotaibi, N., Alotaibi, T. M., &amp; Alshammari, T. (2021, Mar 5). Evaluation of medication error rates in Saudi Arabia: A protocol for </w:t>
      </w:r>
      <w:r w:rsidRPr="00154D4E">
        <w:lastRenderedPageBreak/>
        <w:t xml:space="preserve">systematic review and meta-analysis. </w:t>
      </w:r>
      <w:r w:rsidRPr="00154D4E">
        <w:rPr>
          <w:i/>
        </w:rPr>
        <w:t>Medicine (Baltimore), 100</w:t>
      </w:r>
      <w:r w:rsidRPr="00154D4E">
        <w:t xml:space="preserve">(9), e24956. </w:t>
      </w:r>
      <w:hyperlink r:id="rId12" w:history="1">
        <w:r w:rsidRPr="00154D4E">
          <w:rPr>
            <w:rStyle w:val="Hyperlink"/>
          </w:rPr>
          <w:t>https://doi.org/10.1097/MD.0000000000024956</w:t>
        </w:r>
      </w:hyperlink>
      <w:r w:rsidRPr="00154D4E">
        <w:t xml:space="preserve"> </w:t>
      </w:r>
    </w:p>
    <w:p w14:paraId="30F6F58F" w14:textId="77777777" w:rsidR="00154D4E" w:rsidRPr="00154D4E" w:rsidRDefault="00154D4E" w:rsidP="001E525F">
      <w:pPr>
        <w:pStyle w:val="EndNoteBibliography"/>
        <w:spacing w:after="0"/>
        <w:jc w:val="left"/>
      </w:pPr>
    </w:p>
    <w:p w14:paraId="5D5650D1" w14:textId="494E9265" w:rsidR="00154D4E" w:rsidRPr="00154D4E" w:rsidRDefault="00154D4E" w:rsidP="001E525F">
      <w:pPr>
        <w:pStyle w:val="EndNoteBibliography"/>
        <w:ind w:left="720" w:hanging="720"/>
        <w:jc w:val="left"/>
      </w:pPr>
      <w:r w:rsidRPr="00154D4E">
        <w:t xml:space="preserve">Alotaibi, E. A., ZienYusoff, R., Al-Swidi, A. K., Al-Matari, E. M., &amp; AlSharqi, O. Z. (2015, 03/01). The Mediating Effect of Organizational Climate on the Relationship between Transformational Leadership and Patient Safety: A Study on Saudi Hospitals. </w:t>
      </w:r>
      <w:r w:rsidRPr="00154D4E">
        <w:rPr>
          <w:i/>
        </w:rPr>
        <w:t>Mediterranean Journal of Social Sciences, 6</w:t>
      </w:r>
      <w:r w:rsidRPr="00154D4E">
        <w:t xml:space="preserve">. </w:t>
      </w:r>
      <w:hyperlink r:id="rId13" w:history="1">
        <w:r w:rsidRPr="00154D4E">
          <w:rPr>
            <w:rStyle w:val="Hyperlink"/>
          </w:rPr>
          <w:t>https://doi.org/10.5901/mjss.2015.v6n2s1p117</w:t>
        </w:r>
      </w:hyperlink>
      <w:r w:rsidRPr="00154D4E">
        <w:t xml:space="preserve"> </w:t>
      </w:r>
    </w:p>
    <w:p w14:paraId="3EC50DD4" w14:textId="77777777" w:rsidR="00154D4E" w:rsidRPr="00154D4E" w:rsidRDefault="00154D4E" w:rsidP="001E525F">
      <w:pPr>
        <w:pStyle w:val="EndNoteBibliography"/>
        <w:spacing w:after="0"/>
        <w:jc w:val="left"/>
      </w:pPr>
    </w:p>
    <w:p w14:paraId="39A15E40" w14:textId="21075E54" w:rsidR="00154D4E" w:rsidRPr="00154D4E" w:rsidRDefault="00154D4E" w:rsidP="001E525F">
      <w:pPr>
        <w:pStyle w:val="EndNoteBibliography"/>
        <w:ind w:left="720" w:hanging="720"/>
        <w:jc w:val="left"/>
      </w:pPr>
      <w:r w:rsidRPr="00154D4E">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154D4E">
        <w:rPr>
          <w:i/>
        </w:rPr>
        <w:t>BMJ open, 14</w:t>
      </w:r>
      <w:r w:rsidRPr="00154D4E">
        <w:t xml:space="preserve">(9), e084741. </w:t>
      </w:r>
      <w:hyperlink r:id="rId14" w:history="1">
        <w:r w:rsidRPr="00154D4E">
          <w:rPr>
            <w:rStyle w:val="Hyperlink"/>
          </w:rPr>
          <w:t>https://doi.org/10.1136/bmjopen-2024-084741</w:t>
        </w:r>
      </w:hyperlink>
      <w:r w:rsidRPr="00154D4E">
        <w:t xml:space="preserve"> </w:t>
      </w:r>
    </w:p>
    <w:p w14:paraId="4B8C081C" w14:textId="77777777" w:rsidR="00154D4E" w:rsidRPr="00154D4E" w:rsidRDefault="00154D4E" w:rsidP="001E525F">
      <w:pPr>
        <w:pStyle w:val="EndNoteBibliography"/>
        <w:spacing w:after="0"/>
        <w:jc w:val="left"/>
      </w:pPr>
    </w:p>
    <w:p w14:paraId="5237F86D" w14:textId="77777777" w:rsidR="00154D4E" w:rsidRPr="00154D4E" w:rsidRDefault="00154D4E" w:rsidP="001E525F">
      <w:pPr>
        <w:pStyle w:val="EndNoteBibliography"/>
        <w:ind w:left="720" w:hanging="720"/>
        <w:jc w:val="left"/>
      </w:pPr>
      <w:r w:rsidRPr="00154D4E">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154D4E">
        <w:rPr>
          <w:i/>
        </w:rPr>
        <w:t>Journal of International Crisis and Risk Communication Research, 7</w:t>
      </w:r>
      <w:r w:rsidRPr="00154D4E">
        <w:t xml:space="preserve">(S6), 2003. </w:t>
      </w:r>
    </w:p>
    <w:p w14:paraId="31BE453B" w14:textId="77777777" w:rsidR="00154D4E" w:rsidRPr="00154D4E" w:rsidRDefault="00154D4E" w:rsidP="001E525F">
      <w:pPr>
        <w:pStyle w:val="EndNoteBibliography"/>
        <w:spacing w:after="0"/>
        <w:jc w:val="left"/>
      </w:pPr>
    </w:p>
    <w:p w14:paraId="75CF8894" w14:textId="56FE51B3" w:rsidR="00154D4E" w:rsidRPr="00154D4E" w:rsidRDefault="00154D4E" w:rsidP="001E525F">
      <w:pPr>
        <w:pStyle w:val="EndNoteBibliography"/>
        <w:ind w:left="720" w:hanging="720"/>
        <w:jc w:val="left"/>
      </w:pPr>
      <w:r w:rsidRPr="00154D4E">
        <w:t xml:space="preserve">Alsahli, H., Al-Wathinani, A., Althobaiti, T., Abahussain, M., &amp; Goniewicz, K. (2024, 08/05). Shaping Safety: Unveiling the Dynamics of Incident Reporting and Safety Culture in Saudi Arabian Healthcare. </w:t>
      </w:r>
      <w:r w:rsidRPr="00154D4E">
        <w:rPr>
          <w:i/>
        </w:rPr>
        <w:t>Journal of Multidisciplinary Healthcare, 17</w:t>
      </w:r>
      <w:r w:rsidRPr="00154D4E">
        <w:t xml:space="preserve">, 3775-3789. </w:t>
      </w:r>
      <w:hyperlink r:id="rId15" w:history="1">
        <w:r w:rsidRPr="00154D4E">
          <w:rPr>
            <w:rStyle w:val="Hyperlink"/>
          </w:rPr>
          <w:t>https://doi.org/10.2147/JMDH.S458718</w:t>
        </w:r>
      </w:hyperlink>
      <w:r w:rsidRPr="00154D4E">
        <w:t xml:space="preserve"> </w:t>
      </w:r>
    </w:p>
    <w:p w14:paraId="5AE22C3A" w14:textId="77777777" w:rsidR="00154D4E" w:rsidRPr="00154D4E" w:rsidRDefault="00154D4E" w:rsidP="001E525F">
      <w:pPr>
        <w:pStyle w:val="EndNoteBibliography"/>
        <w:spacing w:after="0"/>
        <w:jc w:val="left"/>
      </w:pPr>
    </w:p>
    <w:p w14:paraId="066A00F0" w14:textId="24F17D02" w:rsidR="00154D4E" w:rsidRPr="00154D4E" w:rsidRDefault="00154D4E" w:rsidP="001E525F">
      <w:pPr>
        <w:pStyle w:val="EndNoteBibliography"/>
        <w:ind w:left="720" w:hanging="720"/>
        <w:jc w:val="left"/>
      </w:pPr>
      <w:r w:rsidRPr="00154D4E">
        <w:t xml:space="preserve">Alsari, S. M., Alzamanan, M. M. M., Salem, H. A., Almutyif, Q. H., Al-Masad, A. M. S., Alabbas, M. S., Alfuhayd, G. N. M., Aldwees, H. S. H., Al Regheeb, Y. A. M., &amp; Al Musri, D. A. J. (2024). The impact of vision 2030 on the healthcare system in Saudi Arabia. </w:t>
      </w:r>
      <w:r w:rsidRPr="00154D4E">
        <w:rPr>
          <w:i/>
        </w:rPr>
        <w:t>Journal of International Crisis and Risk Communication Research, 7</w:t>
      </w:r>
      <w:r w:rsidRPr="00154D4E">
        <w:t xml:space="preserve">(S10), 2262. </w:t>
      </w:r>
      <w:hyperlink r:id="rId16" w:history="1">
        <w:r w:rsidRPr="00154D4E">
          <w:rPr>
            <w:rStyle w:val="Hyperlink"/>
          </w:rPr>
          <w:t>https://jicrcr.com/index.php/jicrcr/article/view/1393/1152</w:t>
        </w:r>
      </w:hyperlink>
      <w:r w:rsidRPr="00154D4E">
        <w:t xml:space="preserve"> </w:t>
      </w:r>
    </w:p>
    <w:p w14:paraId="01CE1BFA" w14:textId="77777777" w:rsidR="00154D4E" w:rsidRPr="00154D4E" w:rsidRDefault="00154D4E" w:rsidP="001E525F">
      <w:pPr>
        <w:pStyle w:val="EndNoteBibliography"/>
        <w:spacing w:after="0"/>
        <w:jc w:val="left"/>
      </w:pPr>
    </w:p>
    <w:p w14:paraId="48EDB34E" w14:textId="123C9147" w:rsidR="00154D4E" w:rsidRPr="00154D4E" w:rsidRDefault="00154D4E" w:rsidP="001E525F">
      <w:pPr>
        <w:pStyle w:val="EndNoteBibliography"/>
        <w:ind w:left="720" w:hanging="720"/>
        <w:jc w:val="left"/>
      </w:pPr>
      <w:r w:rsidRPr="00154D4E">
        <w:t xml:space="preserve">Althaibah, T. S. A., Alalhareth, N. D. N., Alyami, A. S. A., Al Jaraib, S. H. M., Al Bataj, I. A. M., Alsharif, A. K. M., Alsarf, W. S. S., Al-Qannass, A. M., Alyami, A. M. A., &amp; Alyami, N. H. (2022). Transformational leadership and its impact on organizational creativity and patient safety in hospitals in the Kingdom of Saudi Arabia BY. </w:t>
      </w:r>
      <w:hyperlink r:id="rId17" w:history="1">
        <w:r w:rsidRPr="00154D4E">
          <w:rPr>
            <w:rStyle w:val="Hyperlink"/>
          </w:rPr>
          <w:t>https://doi.org/10.33953/1371-000-073-027</w:t>
        </w:r>
      </w:hyperlink>
      <w:r w:rsidRPr="00154D4E">
        <w:t xml:space="preserve"> </w:t>
      </w:r>
    </w:p>
    <w:p w14:paraId="63A42421" w14:textId="77777777" w:rsidR="00154D4E" w:rsidRPr="00154D4E" w:rsidRDefault="00154D4E" w:rsidP="001E525F">
      <w:pPr>
        <w:pStyle w:val="EndNoteBibliography"/>
        <w:spacing w:after="0"/>
        <w:jc w:val="left"/>
      </w:pPr>
    </w:p>
    <w:p w14:paraId="01D107D1" w14:textId="28BBC27E" w:rsidR="00154D4E" w:rsidRPr="00154D4E" w:rsidRDefault="00154D4E" w:rsidP="001E525F">
      <w:pPr>
        <w:pStyle w:val="EndNoteBibliography"/>
        <w:ind w:left="720" w:hanging="720"/>
        <w:jc w:val="left"/>
      </w:pPr>
      <w:r w:rsidRPr="00154D4E">
        <w:t>Amal Ali Almuntasheri, S. M. A. A. A. A. S. M. A. (2022</w:t>
      </w:r>
      <w:r w:rsidR="00EC4E74">
        <w:t>)</w:t>
      </w:r>
      <w:r w:rsidRPr="00154D4E">
        <w:t xml:space="preserve"> Leadership Behavior Impact on Safety Culture in Jeddah Eye Hospital: </w:t>
      </w:r>
      <w:r w:rsidRPr="00154D4E">
        <w:rPr>
          <w:rtl/>
        </w:rPr>
        <w:t xml:space="preserve">أثر السلوك القيادي على ثقافة السلامة في مستشفى العيون بجدة. </w:t>
      </w:r>
      <w:r w:rsidRPr="00154D4E">
        <w:rPr>
          <w:i/>
          <w:rtl/>
        </w:rPr>
        <w:t>مجلة العلوم الإقتصادية و الإدارية و القانونية, 6</w:t>
      </w:r>
      <w:r w:rsidRPr="00154D4E">
        <w:rPr>
          <w:rtl/>
        </w:rPr>
        <w:t>(10), 161-180</w:t>
      </w:r>
      <w:r w:rsidRPr="00154D4E">
        <w:t xml:space="preserve">. </w:t>
      </w:r>
      <w:hyperlink r:id="rId18" w:history="1">
        <w:r w:rsidRPr="00154D4E">
          <w:rPr>
            <w:rStyle w:val="Hyperlink"/>
          </w:rPr>
          <w:t>https://doi.org/10.26389/ajsrp.M191021</w:t>
        </w:r>
      </w:hyperlink>
      <w:r w:rsidRPr="00154D4E">
        <w:t xml:space="preserve"> </w:t>
      </w:r>
    </w:p>
    <w:p w14:paraId="783ED253" w14:textId="77777777" w:rsidR="00154D4E" w:rsidRPr="00154D4E" w:rsidRDefault="00154D4E" w:rsidP="001E525F">
      <w:pPr>
        <w:pStyle w:val="EndNoteBibliography"/>
        <w:spacing w:after="0"/>
        <w:jc w:val="left"/>
      </w:pPr>
    </w:p>
    <w:p w14:paraId="337479E0" w14:textId="0D3BE8CE" w:rsidR="00154D4E" w:rsidRPr="00154D4E" w:rsidRDefault="00154D4E" w:rsidP="001E525F">
      <w:pPr>
        <w:pStyle w:val="EndNoteBibliography"/>
        <w:ind w:left="720" w:hanging="720"/>
        <w:jc w:val="left"/>
      </w:pPr>
      <w:r w:rsidRPr="00154D4E">
        <w:t xml:space="preserve">Arabi, Y., Alamry, A., Al Owais, S. M., Al-Dorzi, H., Noushad, S., &amp; Taher, S. (2012, Jun). Incident reporting at a tertiary care hospital in Saudi Arabia. </w:t>
      </w:r>
      <w:r w:rsidRPr="00154D4E">
        <w:rPr>
          <w:i/>
        </w:rPr>
        <w:t>J Patient Saf, 8</w:t>
      </w:r>
      <w:r w:rsidRPr="00154D4E">
        <w:t xml:space="preserve">(2), 81-87. </w:t>
      </w:r>
      <w:hyperlink r:id="rId19" w:history="1">
        <w:r w:rsidRPr="00154D4E">
          <w:rPr>
            <w:rStyle w:val="Hyperlink"/>
          </w:rPr>
          <w:t>https://doi.org/10.1097/PTS.0b013e31824badb7</w:t>
        </w:r>
      </w:hyperlink>
      <w:r w:rsidRPr="00154D4E">
        <w:t xml:space="preserve"> </w:t>
      </w:r>
    </w:p>
    <w:p w14:paraId="0651B58C" w14:textId="77777777" w:rsidR="00154D4E" w:rsidRPr="00154D4E" w:rsidRDefault="00154D4E" w:rsidP="001E525F">
      <w:pPr>
        <w:pStyle w:val="EndNoteBibliography"/>
        <w:spacing w:after="0"/>
        <w:jc w:val="left"/>
      </w:pPr>
    </w:p>
    <w:p w14:paraId="7C567D7B" w14:textId="7954BD65" w:rsidR="00154D4E" w:rsidRPr="00154D4E" w:rsidRDefault="00154D4E" w:rsidP="001E525F">
      <w:pPr>
        <w:pStyle w:val="EndNoteBibliography"/>
        <w:ind w:left="720" w:hanging="720"/>
        <w:jc w:val="left"/>
      </w:pPr>
      <w:r w:rsidRPr="00154D4E">
        <w:t xml:space="preserve">Asante, K., &amp; Novak, P. (2024). Predicting nurses’ safety compliance behaviour in a developing economy, using the theory of planned behaviour: A configurational approach. </w:t>
      </w:r>
      <w:r w:rsidRPr="00154D4E">
        <w:rPr>
          <w:i/>
        </w:rPr>
        <w:t>Journal of Advanced Nursing, 80</w:t>
      </w:r>
      <w:r w:rsidRPr="00154D4E">
        <w:t xml:space="preserve">(3), 1097-1110. </w:t>
      </w:r>
      <w:r w:rsidRPr="002B3E1B">
        <w:t>https://doi.org/10.1111/jan.15846</w:t>
      </w:r>
      <w:r w:rsidRPr="00154D4E">
        <w:t xml:space="preserve"> </w:t>
      </w:r>
    </w:p>
    <w:p w14:paraId="5D30306F" w14:textId="77777777" w:rsidR="00154D4E" w:rsidRPr="00154D4E" w:rsidRDefault="00154D4E" w:rsidP="001E525F">
      <w:pPr>
        <w:pStyle w:val="EndNoteBibliography"/>
        <w:spacing w:after="0"/>
        <w:jc w:val="left"/>
      </w:pPr>
    </w:p>
    <w:p w14:paraId="416A4070" w14:textId="12FD2A77" w:rsidR="00154D4E" w:rsidRPr="00154D4E" w:rsidRDefault="00154D4E" w:rsidP="001E525F">
      <w:pPr>
        <w:pStyle w:val="EndNoteBibliography"/>
        <w:ind w:left="720" w:hanging="720"/>
        <w:jc w:val="left"/>
      </w:pPr>
      <w:r w:rsidRPr="00154D4E">
        <w:t xml:space="preserve">Avolio, B., Bass, B. M., &amp; Jung, D. I. (1999). Re‐examining the components of transformational and transactional leadership using the Multifactor Leadership. </w:t>
      </w:r>
      <w:r w:rsidRPr="00154D4E">
        <w:rPr>
          <w:i/>
        </w:rPr>
        <w:t>Journal of Occupational and Organizational Psychology, 72</w:t>
      </w:r>
      <w:r w:rsidRPr="00154D4E">
        <w:t xml:space="preserve">, 441-462. </w:t>
      </w:r>
      <w:hyperlink r:id="rId20" w:history="1">
        <w:r w:rsidRPr="00154D4E">
          <w:rPr>
            <w:rStyle w:val="Hyperlink"/>
          </w:rPr>
          <w:t>https://doi.org/10.1348/096317999166789</w:t>
        </w:r>
      </w:hyperlink>
      <w:r w:rsidRPr="00154D4E">
        <w:t xml:space="preserve"> </w:t>
      </w:r>
    </w:p>
    <w:p w14:paraId="6A7A513F" w14:textId="77777777" w:rsidR="00154D4E" w:rsidRPr="00154D4E" w:rsidRDefault="00154D4E" w:rsidP="001E525F">
      <w:pPr>
        <w:pStyle w:val="EndNoteBibliography"/>
        <w:spacing w:after="0"/>
        <w:jc w:val="left"/>
      </w:pPr>
    </w:p>
    <w:p w14:paraId="18FA21E6" w14:textId="0CD25902" w:rsidR="00154D4E" w:rsidRPr="00154D4E" w:rsidRDefault="00154D4E" w:rsidP="001E525F">
      <w:pPr>
        <w:pStyle w:val="EndNoteBibliography"/>
        <w:ind w:left="720" w:hanging="720"/>
        <w:jc w:val="left"/>
      </w:pPr>
      <w:r w:rsidRPr="00154D4E">
        <w:lastRenderedPageBreak/>
        <w:t xml:space="preserve">Bass, B. M., &amp; Avolio, B. J. (1996). Multifactor leadership questionnaire. </w:t>
      </w:r>
      <w:r w:rsidRPr="00154D4E">
        <w:rPr>
          <w:i/>
        </w:rPr>
        <w:t>Western Journal of Nursing Research</w:t>
      </w:r>
      <w:r w:rsidRPr="00154D4E">
        <w:t xml:space="preserve">. </w:t>
      </w:r>
      <w:hyperlink r:id="rId21" w:history="1">
        <w:r w:rsidRPr="00154D4E">
          <w:rPr>
            <w:rStyle w:val="Hyperlink"/>
          </w:rPr>
          <w:t>https://www.mindgarden.com/documents/MLQGermanPsychometric.pdf</w:t>
        </w:r>
      </w:hyperlink>
      <w:r w:rsidRPr="00154D4E">
        <w:t xml:space="preserve"> </w:t>
      </w:r>
    </w:p>
    <w:p w14:paraId="639DF232" w14:textId="77777777" w:rsidR="00154D4E" w:rsidRPr="00154D4E" w:rsidRDefault="00154D4E" w:rsidP="001E525F">
      <w:pPr>
        <w:pStyle w:val="EndNoteBibliography"/>
        <w:spacing w:after="0"/>
        <w:jc w:val="left"/>
      </w:pPr>
    </w:p>
    <w:p w14:paraId="74CB3552" w14:textId="4FB23102" w:rsidR="00154D4E" w:rsidRPr="00154D4E" w:rsidRDefault="00154D4E" w:rsidP="001E525F">
      <w:pPr>
        <w:pStyle w:val="EndNoteBibliography"/>
        <w:ind w:left="720" w:hanging="720"/>
        <w:jc w:val="left"/>
      </w:pPr>
      <w:r w:rsidRPr="00154D4E">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154D4E">
        <w:rPr>
          <w:i/>
        </w:rPr>
        <w:t>BMC nursing, 24</w:t>
      </w:r>
      <w:r w:rsidRPr="00154D4E">
        <w:t xml:space="preserve">(1), 392. </w:t>
      </w:r>
      <w:hyperlink r:id="rId22" w:history="1">
        <w:r w:rsidRPr="00154D4E">
          <w:rPr>
            <w:rStyle w:val="Hyperlink"/>
          </w:rPr>
          <w:t>https://doi.org/10.1186/s12912-025-03043-7</w:t>
        </w:r>
      </w:hyperlink>
      <w:r w:rsidRPr="00154D4E">
        <w:t xml:space="preserve"> </w:t>
      </w:r>
    </w:p>
    <w:p w14:paraId="79C07A30" w14:textId="77777777" w:rsidR="00154D4E" w:rsidRPr="00154D4E" w:rsidRDefault="00154D4E" w:rsidP="001E525F">
      <w:pPr>
        <w:pStyle w:val="EndNoteBibliography"/>
        <w:spacing w:after="0"/>
        <w:jc w:val="left"/>
      </w:pPr>
    </w:p>
    <w:p w14:paraId="579CFA0D" w14:textId="321229A7" w:rsidR="00154D4E" w:rsidRPr="00154D4E" w:rsidRDefault="00154D4E" w:rsidP="001E525F">
      <w:pPr>
        <w:pStyle w:val="EndNoteBibliography"/>
        <w:ind w:left="720" w:hanging="720"/>
        <w:jc w:val="left"/>
      </w:pPr>
      <w:r w:rsidRPr="00154D4E">
        <w:t xml:space="preserve">Hamdan, M., Jaaffar, A. H., Khraisat, O., Issa, M. R., &amp; Jarrar, M. t. (2024). The association of transformational leadership on safety practices among nurses: the mediating role of patient safety culture. </w:t>
      </w:r>
      <w:r w:rsidRPr="00154D4E">
        <w:rPr>
          <w:i/>
        </w:rPr>
        <w:t>Risk Management and Healthcare Policy</w:t>
      </w:r>
      <w:r w:rsidRPr="00154D4E">
        <w:t xml:space="preserve">, 1687-1700. </w:t>
      </w:r>
      <w:hyperlink r:id="rId23" w:history="1">
        <w:r w:rsidRPr="00154D4E">
          <w:rPr>
            <w:rStyle w:val="Hyperlink"/>
          </w:rPr>
          <w:t>https://pdfs.semanticscholar.org/ba60/afd49d25f3a6df551bb3826d6c098202c00d.pdf</w:t>
        </w:r>
      </w:hyperlink>
      <w:r w:rsidRPr="00154D4E">
        <w:t xml:space="preserve"> </w:t>
      </w:r>
    </w:p>
    <w:p w14:paraId="598DEA1A" w14:textId="77777777" w:rsidR="00154D4E" w:rsidRPr="00154D4E" w:rsidRDefault="00154D4E" w:rsidP="001E525F">
      <w:pPr>
        <w:pStyle w:val="EndNoteBibliography"/>
        <w:spacing w:after="0"/>
        <w:jc w:val="left"/>
      </w:pPr>
    </w:p>
    <w:p w14:paraId="1E3F1CF1" w14:textId="461CB6A5" w:rsidR="00154D4E" w:rsidRPr="00154D4E" w:rsidRDefault="00154D4E" w:rsidP="001E525F">
      <w:pPr>
        <w:pStyle w:val="EndNoteBibliography"/>
        <w:ind w:left="720" w:hanging="720"/>
        <w:jc w:val="left"/>
      </w:pPr>
      <w:r w:rsidRPr="00154D4E">
        <w:t xml:space="preserve">Holding, H. (2025). Al Jouf Health Cluster. </w:t>
      </w:r>
      <w:hyperlink r:id="rId24" w:history="1">
        <w:r w:rsidRPr="00154D4E">
          <w:rPr>
            <w:rStyle w:val="Hyperlink"/>
          </w:rPr>
          <w:t>https://www.health.sa/ar/clusters/al-jouf_health_cluster</w:t>
        </w:r>
      </w:hyperlink>
      <w:r w:rsidRPr="00154D4E">
        <w:t xml:space="preserve"> </w:t>
      </w:r>
    </w:p>
    <w:p w14:paraId="758D2CC6" w14:textId="77777777" w:rsidR="00154D4E" w:rsidRPr="00154D4E" w:rsidRDefault="00154D4E" w:rsidP="001E525F">
      <w:pPr>
        <w:pStyle w:val="EndNoteBibliography"/>
        <w:spacing w:after="0"/>
        <w:jc w:val="left"/>
      </w:pPr>
    </w:p>
    <w:p w14:paraId="75EACF4E" w14:textId="44515EDE" w:rsidR="00154D4E" w:rsidRPr="00154D4E" w:rsidRDefault="00154D4E" w:rsidP="001E525F">
      <w:pPr>
        <w:pStyle w:val="EndNoteBibliography"/>
        <w:ind w:left="720" w:hanging="720"/>
        <w:jc w:val="left"/>
      </w:pPr>
      <w:r w:rsidRPr="00154D4E">
        <w:t xml:space="preserve">Hussain, M. K., &amp; Khayat, R. A. M. (2021). The impact of transformational leadership on job satisfaction and organisational commitment among hospital staff: a systematic review. </w:t>
      </w:r>
      <w:r w:rsidRPr="00154D4E">
        <w:rPr>
          <w:i/>
        </w:rPr>
        <w:t>Journal of Health Management, 23</w:t>
      </w:r>
      <w:r w:rsidRPr="00154D4E">
        <w:t xml:space="preserve">(4), 614-630. </w:t>
      </w:r>
      <w:hyperlink r:id="rId25" w:history="1">
        <w:r w:rsidRPr="00154D4E">
          <w:rPr>
            <w:rStyle w:val="Hyperlink"/>
          </w:rPr>
          <w:t>https://doi.org/10.1177/09720634211050463</w:t>
        </w:r>
      </w:hyperlink>
      <w:r w:rsidRPr="00154D4E">
        <w:t xml:space="preserve"> </w:t>
      </w:r>
    </w:p>
    <w:p w14:paraId="7C524EEE" w14:textId="77777777" w:rsidR="00154D4E" w:rsidRPr="00154D4E" w:rsidRDefault="00154D4E" w:rsidP="001E525F">
      <w:pPr>
        <w:pStyle w:val="EndNoteBibliography"/>
        <w:spacing w:after="0"/>
        <w:jc w:val="left"/>
      </w:pPr>
    </w:p>
    <w:p w14:paraId="4822A179" w14:textId="77777777" w:rsidR="00154D4E" w:rsidRPr="00154D4E" w:rsidRDefault="00154D4E" w:rsidP="001E525F">
      <w:pPr>
        <w:pStyle w:val="EndNoteBibliography"/>
        <w:ind w:left="720" w:hanging="720"/>
        <w:jc w:val="left"/>
      </w:pPr>
      <w:r w:rsidRPr="00154D4E">
        <w:t xml:space="preserve">Jones, K. J., Skinner, A., Xu, L., Sun, J., &amp; Mueller, K. (2008). The AHRQ Hospital Survey on Patient Safety Culture: A Tool to Plan and Evaluate Patient Safety Programs. </w:t>
      </w:r>
    </w:p>
    <w:p w14:paraId="601E0E67" w14:textId="77777777" w:rsidR="00154D4E" w:rsidRPr="00154D4E" w:rsidRDefault="00154D4E" w:rsidP="001E525F">
      <w:pPr>
        <w:pStyle w:val="EndNoteBibliography"/>
        <w:spacing w:after="0"/>
        <w:jc w:val="left"/>
      </w:pPr>
    </w:p>
    <w:p w14:paraId="01CDB00B" w14:textId="77777777" w:rsidR="00154D4E" w:rsidRPr="00154D4E" w:rsidRDefault="00154D4E" w:rsidP="001E525F">
      <w:pPr>
        <w:pStyle w:val="EndNoteBibliography"/>
        <w:ind w:left="720" w:hanging="720"/>
        <w:jc w:val="left"/>
      </w:pPr>
      <w:r w:rsidRPr="00154D4E">
        <w:t xml:space="preserve">Khan, M. A., Al-Motair, K. A., Alenezi, M. M., Altheban, A. S., Hammam, S. A., &amp; Al-Mogbel, M. S. (2018). Nosocomial Pathogens-A Single Center Study in Saudi Arabia. </w:t>
      </w:r>
      <w:r w:rsidRPr="00154D4E">
        <w:rPr>
          <w:i/>
        </w:rPr>
        <w:t>J. Pure Appl. Microbiol, 12</w:t>
      </w:r>
      <w:r w:rsidRPr="00154D4E">
        <w:t xml:space="preserve">, 1411-1416. </w:t>
      </w:r>
    </w:p>
    <w:p w14:paraId="28140073" w14:textId="77777777" w:rsidR="00154D4E" w:rsidRPr="00154D4E" w:rsidRDefault="00154D4E" w:rsidP="001E525F">
      <w:pPr>
        <w:pStyle w:val="EndNoteBibliography"/>
        <w:spacing w:after="0"/>
        <w:jc w:val="left"/>
      </w:pPr>
    </w:p>
    <w:p w14:paraId="2F4547EC" w14:textId="085F0D54" w:rsidR="00154D4E" w:rsidRPr="00154D4E" w:rsidRDefault="00154D4E" w:rsidP="001E525F">
      <w:pPr>
        <w:pStyle w:val="EndNoteBibliography"/>
        <w:ind w:left="720" w:hanging="720"/>
        <w:jc w:val="left"/>
      </w:pPr>
      <w:r w:rsidRPr="00154D4E">
        <w:t xml:space="preserve">Khirfan, R., &amp; Abd Aziz, A. (2022). Insight Into Role of Transformaional Leadership in Cost Containment in Healthcare in Ksa. </w:t>
      </w:r>
      <w:r w:rsidRPr="00154D4E">
        <w:rPr>
          <w:i/>
        </w:rPr>
        <w:t>Sciences, 12</w:t>
      </w:r>
      <w:r w:rsidRPr="00154D4E">
        <w:t xml:space="preserve">(1), 2657-2672. </w:t>
      </w:r>
      <w:hyperlink r:id="rId26" w:history="1">
        <w:r w:rsidRPr="00154D4E">
          <w:rPr>
            <w:rStyle w:val="Hyperlink"/>
          </w:rPr>
          <w:t>https://doi.org/10.6007/IJARBSS/v12-i1/12327</w:t>
        </w:r>
      </w:hyperlink>
      <w:r w:rsidRPr="00154D4E">
        <w:t xml:space="preserve"> </w:t>
      </w:r>
    </w:p>
    <w:p w14:paraId="5B03283A" w14:textId="77777777" w:rsidR="00154D4E" w:rsidRPr="00154D4E" w:rsidRDefault="00154D4E" w:rsidP="001E525F">
      <w:pPr>
        <w:pStyle w:val="EndNoteBibliography"/>
        <w:spacing w:after="0"/>
        <w:jc w:val="left"/>
      </w:pPr>
    </w:p>
    <w:p w14:paraId="474D5D22" w14:textId="77777777" w:rsidR="00154D4E" w:rsidRPr="00154D4E" w:rsidRDefault="00154D4E" w:rsidP="001E525F">
      <w:pPr>
        <w:pStyle w:val="EndNoteBibliography"/>
        <w:ind w:left="720" w:hanging="720"/>
        <w:jc w:val="left"/>
      </w:pPr>
      <w:r w:rsidRPr="00154D4E">
        <w:t xml:space="preserve">Kline, R. B. (2023). </w:t>
      </w:r>
      <w:r w:rsidRPr="00154D4E">
        <w:rPr>
          <w:i/>
        </w:rPr>
        <w:t>Principles and practice of structural equation modeling</w:t>
      </w:r>
      <w:r w:rsidRPr="00154D4E">
        <w:t xml:space="preserve">. Guilford publications. </w:t>
      </w:r>
    </w:p>
    <w:p w14:paraId="18FFE08D" w14:textId="77777777" w:rsidR="00154D4E" w:rsidRPr="00154D4E" w:rsidRDefault="00154D4E" w:rsidP="001E525F">
      <w:pPr>
        <w:pStyle w:val="EndNoteBibliography"/>
        <w:spacing w:after="0"/>
        <w:jc w:val="left"/>
      </w:pPr>
    </w:p>
    <w:p w14:paraId="2A79E5DC" w14:textId="7DE5961D" w:rsidR="00154D4E" w:rsidRPr="00154D4E" w:rsidRDefault="00154D4E" w:rsidP="001E525F">
      <w:pPr>
        <w:pStyle w:val="EndNoteBibliography"/>
        <w:ind w:left="720" w:hanging="720"/>
        <w:jc w:val="left"/>
      </w:pPr>
      <w:r w:rsidRPr="00154D4E">
        <w:t xml:space="preserve">Konlan, K. D., &amp; Shin, J. (2022). The status and the factors that influence patient safety in health care institutions in Africa: A systematic review. </w:t>
      </w:r>
      <w:r w:rsidRPr="00154D4E">
        <w:rPr>
          <w:i/>
        </w:rPr>
        <w:t>PLOS Glob Public Health, 2</w:t>
      </w:r>
      <w:r w:rsidRPr="00154D4E">
        <w:t xml:space="preserve">(12), e0001085. </w:t>
      </w:r>
      <w:hyperlink r:id="rId27" w:history="1">
        <w:r w:rsidRPr="00154D4E">
          <w:rPr>
            <w:rStyle w:val="Hyperlink"/>
          </w:rPr>
          <w:t>https://doi.org/10.1371/journal.pgph.0001085</w:t>
        </w:r>
      </w:hyperlink>
      <w:r w:rsidRPr="00154D4E">
        <w:t xml:space="preserve"> </w:t>
      </w:r>
    </w:p>
    <w:p w14:paraId="767BD3F9" w14:textId="77777777" w:rsidR="00154D4E" w:rsidRPr="00154D4E" w:rsidRDefault="00154D4E" w:rsidP="001E525F">
      <w:pPr>
        <w:pStyle w:val="EndNoteBibliography"/>
        <w:spacing w:after="0"/>
        <w:jc w:val="left"/>
      </w:pPr>
    </w:p>
    <w:p w14:paraId="1E780438" w14:textId="5195FD49" w:rsidR="00154D4E" w:rsidRPr="00154D4E" w:rsidRDefault="00154D4E" w:rsidP="001E525F">
      <w:pPr>
        <w:pStyle w:val="EndNoteBibliography"/>
        <w:ind w:left="720" w:hanging="720"/>
        <w:jc w:val="left"/>
      </w:pPr>
      <w:r w:rsidRPr="00154D4E">
        <w:t xml:space="preserve">Mistri, I. U., Badge, A., &amp; Shahu, S. (2023, Dec). Enhancing Patient Safety Culture in Hospitals. </w:t>
      </w:r>
      <w:r w:rsidRPr="00154D4E">
        <w:rPr>
          <w:i/>
        </w:rPr>
        <w:t>Cureus, 15</w:t>
      </w:r>
      <w:r w:rsidRPr="00154D4E">
        <w:t xml:space="preserve">(12), e51159. </w:t>
      </w:r>
      <w:hyperlink r:id="rId28" w:history="1">
        <w:r w:rsidRPr="00154D4E">
          <w:rPr>
            <w:rStyle w:val="Hyperlink"/>
          </w:rPr>
          <w:t>https://doi.org/10.7759/cureus.51159</w:t>
        </w:r>
      </w:hyperlink>
      <w:r w:rsidRPr="00154D4E">
        <w:t xml:space="preserve"> </w:t>
      </w:r>
    </w:p>
    <w:p w14:paraId="198DE503" w14:textId="77777777" w:rsidR="00154D4E" w:rsidRPr="00154D4E" w:rsidRDefault="00154D4E" w:rsidP="001E525F">
      <w:pPr>
        <w:pStyle w:val="EndNoteBibliography"/>
        <w:spacing w:after="0"/>
        <w:jc w:val="left"/>
      </w:pPr>
    </w:p>
    <w:p w14:paraId="0F17D3E1" w14:textId="180E76E6" w:rsidR="00154D4E" w:rsidRPr="00154D4E" w:rsidRDefault="00154D4E" w:rsidP="001E525F">
      <w:pPr>
        <w:pStyle w:val="EndNoteBibliography"/>
        <w:ind w:left="720" w:hanging="720"/>
        <w:jc w:val="left"/>
      </w:pPr>
      <w:r w:rsidRPr="00154D4E">
        <w:t xml:space="preserve">Mohammed, A., Limonit, B., John, A., &amp; Bross, M. (2025). The Impact of Transformational Leadership on Employee Voice Behavior: A Moderated Mediation Model of Psychological Safety and Organizational Commitment. </w:t>
      </w:r>
      <w:hyperlink r:id="rId29" w:history="1">
        <w:r w:rsidRPr="00154D4E">
          <w:rPr>
            <w:rStyle w:val="Hyperlink"/>
          </w:rPr>
          <w:t>https://doi.org/10.5204/thesis.eprints.258274</w:t>
        </w:r>
      </w:hyperlink>
      <w:r w:rsidRPr="00154D4E">
        <w:t xml:space="preserve"> </w:t>
      </w:r>
    </w:p>
    <w:p w14:paraId="3A80CE79" w14:textId="77777777" w:rsidR="00154D4E" w:rsidRPr="00154D4E" w:rsidRDefault="00154D4E" w:rsidP="001E525F">
      <w:pPr>
        <w:pStyle w:val="EndNoteBibliography"/>
        <w:spacing w:after="0"/>
        <w:jc w:val="left"/>
      </w:pPr>
    </w:p>
    <w:p w14:paraId="5F97DC44" w14:textId="762CEF23" w:rsidR="00154D4E" w:rsidRPr="00154D4E" w:rsidRDefault="00154D4E" w:rsidP="001E525F">
      <w:pPr>
        <w:pStyle w:val="EndNoteBibliography"/>
        <w:ind w:left="720" w:hanging="720"/>
        <w:jc w:val="left"/>
      </w:pPr>
      <w:r w:rsidRPr="00154D4E">
        <w:t xml:space="preserve">Mohammed, T. (2025). </w:t>
      </w:r>
      <w:r w:rsidRPr="00154D4E">
        <w:rPr>
          <w:i/>
        </w:rPr>
        <w:t>Patient Safety Culture in the Saudi Hospitals: A Mixed Methods Study of Staff Perceptions and Organisational Practices in Saudi Hospitals in the Holy Cities of Makkah and Madinah</w:t>
      </w:r>
      <w:r w:rsidRPr="00154D4E">
        <w:t xml:space="preserve"> Queensland University of Technology]. </w:t>
      </w:r>
      <w:hyperlink r:id="rId30" w:history="1">
        <w:r w:rsidRPr="00154D4E">
          <w:rPr>
            <w:rStyle w:val="Hyperlink"/>
          </w:rPr>
          <w:t>https://eprints.qut.edu.au/258274/8/Talat%20Mohammed%20Thesis.pdf</w:t>
        </w:r>
      </w:hyperlink>
    </w:p>
    <w:p w14:paraId="2F5610A4" w14:textId="77777777" w:rsidR="00154D4E" w:rsidRPr="00154D4E" w:rsidRDefault="00154D4E" w:rsidP="001E525F">
      <w:pPr>
        <w:pStyle w:val="EndNoteBibliography"/>
        <w:spacing w:after="0"/>
        <w:jc w:val="left"/>
      </w:pPr>
    </w:p>
    <w:p w14:paraId="18478BE6" w14:textId="77777777" w:rsidR="00154D4E" w:rsidRPr="00154D4E" w:rsidRDefault="00154D4E" w:rsidP="001E525F">
      <w:pPr>
        <w:pStyle w:val="EndNoteBibliography"/>
        <w:ind w:left="720" w:hanging="720"/>
        <w:jc w:val="left"/>
      </w:pPr>
      <w:r w:rsidRPr="00154D4E">
        <w:lastRenderedPageBreak/>
        <w:t xml:space="preserve">Pai, R. M., Wahongan, G. J. P., &amp; Manampiring, A. E. (2024). ANALISIS PERAN TENAGA KESEHATAN DI RS BUDI SETIA LANGOWAN TAHUN 2023 BERDASARKAN HOSPITAL SURVEY ON PATIENT SAFETY CULTURE (HSOPSC). </w:t>
      </w:r>
      <w:r w:rsidRPr="00154D4E">
        <w:rPr>
          <w:i/>
        </w:rPr>
        <w:t>PREPOTIF : JURNAL KESEHATAN MASYARAKAT</w:t>
      </w:r>
      <w:r w:rsidRPr="00154D4E">
        <w:t xml:space="preserve">. </w:t>
      </w:r>
    </w:p>
    <w:p w14:paraId="15716325" w14:textId="77777777" w:rsidR="00154D4E" w:rsidRPr="00154D4E" w:rsidRDefault="00154D4E" w:rsidP="001E525F">
      <w:pPr>
        <w:pStyle w:val="EndNoteBibliography"/>
        <w:spacing w:after="0"/>
        <w:jc w:val="left"/>
      </w:pPr>
    </w:p>
    <w:p w14:paraId="079CDA56" w14:textId="325A81F6" w:rsidR="00154D4E" w:rsidRPr="00154D4E" w:rsidRDefault="00154D4E" w:rsidP="001E525F">
      <w:pPr>
        <w:pStyle w:val="EndNoteBibliography"/>
        <w:ind w:left="720" w:hanging="720"/>
        <w:jc w:val="left"/>
      </w:pPr>
      <w:r w:rsidRPr="00154D4E">
        <w:t xml:space="preserve">Shenoy, A. (2021, Mar 22). Patient safety from the perspective of quality management frameworks: a review. </w:t>
      </w:r>
      <w:r w:rsidRPr="00154D4E">
        <w:rPr>
          <w:i/>
        </w:rPr>
        <w:t>Patient Saf Surg, 15</w:t>
      </w:r>
      <w:r w:rsidRPr="00154D4E">
        <w:t xml:space="preserve">(1), 12. </w:t>
      </w:r>
      <w:hyperlink r:id="rId31" w:history="1">
        <w:r w:rsidRPr="00154D4E">
          <w:rPr>
            <w:rStyle w:val="Hyperlink"/>
          </w:rPr>
          <w:t>https://doi.org/10.1186/s13037-021-00286-6</w:t>
        </w:r>
      </w:hyperlink>
      <w:r w:rsidRPr="00154D4E">
        <w:t xml:space="preserve"> </w:t>
      </w:r>
    </w:p>
    <w:p w14:paraId="2F85CD59" w14:textId="77777777" w:rsidR="00154D4E" w:rsidRPr="00154D4E" w:rsidRDefault="00154D4E" w:rsidP="001E525F">
      <w:pPr>
        <w:pStyle w:val="EndNoteBibliography"/>
        <w:spacing w:after="0"/>
        <w:jc w:val="left"/>
      </w:pPr>
    </w:p>
    <w:p w14:paraId="2494F4D9" w14:textId="4FD045EC" w:rsidR="00154D4E" w:rsidRDefault="00154D4E" w:rsidP="001E525F">
      <w:pPr>
        <w:pStyle w:val="EndNoteBibliography"/>
        <w:ind w:left="720" w:hanging="720"/>
        <w:jc w:val="left"/>
      </w:pPr>
      <w:r w:rsidRPr="00154D4E">
        <w:t xml:space="preserve">Studdert, D. M., Mello, M. M., Sage, W. M., DesRoches, C. M., Peugh, J., Zapert, K., &amp; Brennan, T. A. (2005). Defensive medicine among high-risk specialist physicians in a volatile malpractice environment. </w:t>
      </w:r>
      <w:r w:rsidRPr="00154D4E">
        <w:rPr>
          <w:i/>
        </w:rPr>
        <w:t>JAMA, 293 21</w:t>
      </w:r>
      <w:r w:rsidRPr="00154D4E">
        <w:t xml:space="preserve">, 2609-2617. </w:t>
      </w:r>
      <w:hyperlink r:id="rId32" w:history="1">
        <w:r w:rsidRPr="00154D4E">
          <w:rPr>
            <w:rStyle w:val="Hyperlink"/>
          </w:rPr>
          <w:t>https://doi.org/10.1001/jama.293.21.2609</w:t>
        </w:r>
      </w:hyperlink>
      <w:r w:rsidRPr="00154D4E">
        <w:t xml:space="preserve"> </w:t>
      </w:r>
    </w:p>
    <w:p w14:paraId="2A0DD0B3" w14:textId="77777777" w:rsidR="001E525F" w:rsidRDefault="001E525F" w:rsidP="001E525F">
      <w:pPr>
        <w:pStyle w:val="EndNoteBibliography"/>
        <w:ind w:left="720" w:hanging="720"/>
        <w:jc w:val="left"/>
      </w:pPr>
    </w:p>
    <w:p w14:paraId="3FD62CDE" w14:textId="7D73534F" w:rsidR="001E525F" w:rsidRPr="00154D4E" w:rsidRDefault="001E525F" w:rsidP="00BD4C5B">
      <w:pPr>
        <w:pStyle w:val="EndNoteBibliography"/>
        <w:ind w:left="720" w:hanging="720"/>
        <w:rPr>
          <w:rtl/>
        </w:rPr>
      </w:pPr>
      <w:r>
        <w:rPr>
          <w:rFonts w:hint="cs"/>
          <w:rtl/>
        </w:rPr>
        <w:t xml:space="preserve">المراجع العربية </w:t>
      </w:r>
    </w:p>
    <w:p w14:paraId="6F0D0770" w14:textId="77777777" w:rsidR="00154D4E" w:rsidRPr="00154D4E" w:rsidRDefault="00154D4E" w:rsidP="001E525F">
      <w:pPr>
        <w:pStyle w:val="EndNoteBibliography"/>
        <w:spacing w:after="0"/>
        <w:jc w:val="left"/>
      </w:pPr>
    </w:p>
    <w:p w14:paraId="4CEEA10C" w14:textId="48442A72" w:rsidR="00154D4E" w:rsidRPr="00154D4E" w:rsidRDefault="00154D4E" w:rsidP="00BD4C5B">
      <w:pPr>
        <w:pStyle w:val="EndNoteBibliography"/>
        <w:ind w:left="720" w:hanging="720"/>
      </w:pPr>
      <w:r w:rsidRPr="00154D4E">
        <w:rPr>
          <w:rtl/>
        </w:rPr>
        <w:t xml:space="preserve">اسماعيل محمد الشيخ, م., بكرى عبد العليم إسماعيل, م., &amp; محمد عامر, أ. (2024). أثر القيادة التحويلية في العلاقة بين الإنتهاك الإيجابى لقواعد المنظمة والإبداع التنظيمى بالتطبيق على المستشفيات العامة الحكومية بالقليوبية. </w:t>
      </w:r>
      <w:r w:rsidRPr="00154D4E">
        <w:rPr>
          <w:i/>
          <w:rtl/>
        </w:rPr>
        <w:t>مجلة بنها للعلوم الإنسانية, 3</w:t>
      </w:r>
      <w:r w:rsidRPr="00154D4E">
        <w:rPr>
          <w:rtl/>
        </w:rPr>
        <w:t>(2), 137-168</w:t>
      </w:r>
      <w:r w:rsidRPr="00154D4E">
        <w:t xml:space="preserve">. </w:t>
      </w:r>
      <w:hyperlink r:id="rId33" w:history="1">
        <w:r w:rsidRPr="00154D4E">
          <w:rPr>
            <w:rStyle w:val="Hyperlink"/>
          </w:rPr>
          <w:t>https://doi.org/10.21608/bjhs.2024.315754.1262</w:t>
        </w:r>
      </w:hyperlink>
      <w:r w:rsidRPr="00154D4E">
        <w:t xml:space="preserve"> </w:t>
      </w:r>
    </w:p>
    <w:p w14:paraId="50DC5AD6" w14:textId="77777777" w:rsidR="00154D4E" w:rsidRPr="00154D4E" w:rsidRDefault="00154D4E" w:rsidP="001E525F">
      <w:pPr>
        <w:pStyle w:val="EndNoteBibliography"/>
        <w:spacing w:after="0"/>
        <w:jc w:val="left"/>
      </w:pPr>
    </w:p>
    <w:p w14:paraId="566706BB" w14:textId="46DD93BB" w:rsidR="00154D4E" w:rsidRPr="00154D4E" w:rsidRDefault="00154D4E" w:rsidP="00BD4C5B">
      <w:pPr>
        <w:pStyle w:val="EndNoteBibliography"/>
        <w:ind w:left="720" w:hanging="720"/>
      </w:pPr>
      <w:r w:rsidRPr="00154D4E">
        <w:rPr>
          <w:rtl/>
        </w:rPr>
        <w:t xml:space="preserve">البركاني, ي. ض. (2024). أثر القيادة التحويلية على فاعلية اتخاذ القرارات: دراسة تطبيقية على مستشفى العام. </w:t>
      </w:r>
      <w:r w:rsidRPr="00154D4E">
        <w:rPr>
          <w:i/>
          <w:rtl/>
        </w:rPr>
        <w:t>مجلة العلوم الإقتصادية و الإدارية و القانونية</w:t>
      </w:r>
      <w:r w:rsidRPr="00154D4E">
        <w:t xml:space="preserve">. </w:t>
      </w:r>
      <w:hyperlink r:id="rId34" w:history="1">
        <w:r w:rsidRPr="00154D4E">
          <w:rPr>
            <w:rStyle w:val="Hyperlink"/>
          </w:rPr>
          <w:t>https://doi.org/10.26389/AJSRP.K270923</w:t>
        </w:r>
      </w:hyperlink>
      <w:r w:rsidRPr="00154D4E">
        <w:t xml:space="preserve"> </w:t>
      </w:r>
    </w:p>
    <w:p w14:paraId="6C915E07" w14:textId="77777777" w:rsidR="00154D4E" w:rsidRPr="00154D4E" w:rsidRDefault="00154D4E" w:rsidP="001E525F">
      <w:pPr>
        <w:pStyle w:val="EndNoteBibliography"/>
        <w:spacing w:after="0"/>
        <w:jc w:val="left"/>
      </w:pPr>
    </w:p>
    <w:p w14:paraId="4FA6EF53" w14:textId="34C0C275" w:rsidR="00154D4E" w:rsidRPr="00154D4E" w:rsidRDefault="00154D4E" w:rsidP="00BD4C5B">
      <w:pPr>
        <w:pStyle w:val="EndNoteBibliography"/>
        <w:ind w:left="720" w:hanging="720"/>
      </w:pPr>
      <w:r w:rsidRPr="00154D4E">
        <w:rPr>
          <w:rtl/>
        </w:rPr>
        <w:t xml:space="preserve">الحاج, ع. خ. ن., &amp; السفياني, ع. م. (2024). أثر القيادة التحويلية في الارتباط الوظيفي: دراسة ميدانية في المستشفيات الأهلية بمحافظة تعز. </w:t>
      </w:r>
      <w:r w:rsidRPr="00154D4E">
        <w:rPr>
          <w:i/>
          <w:rtl/>
        </w:rPr>
        <w:t>مجلة جامعة صنعاء للعلوم الإنسانية</w:t>
      </w:r>
      <w:r w:rsidRPr="00154D4E">
        <w:t xml:space="preserve">. </w:t>
      </w:r>
      <w:hyperlink r:id="rId35" w:history="1">
        <w:r w:rsidRPr="00154D4E">
          <w:rPr>
            <w:rStyle w:val="Hyperlink"/>
          </w:rPr>
          <w:t>https://doi.org/10.59628/jhs.v2i1.666</w:t>
        </w:r>
      </w:hyperlink>
      <w:r w:rsidRPr="00154D4E">
        <w:t xml:space="preserve"> </w:t>
      </w:r>
    </w:p>
    <w:p w14:paraId="50802E21" w14:textId="77777777" w:rsidR="00154D4E" w:rsidRPr="00154D4E" w:rsidRDefault="00154D4E" w:rsidP="001E525F">
      <w:pPr>
        <w:pStyle w:val="EndNoteBibliography"/>
        <w:spacing w:after="0"/>
        <w:jc w:val="left"/>
      </w:pPr>
    </w:p>
    <w:p w14:paraId="211D20D7" w14:textId="41CA1187" w:rsidR="00154D4E" w:rsidRPr="00154D4E" w:rsidRDefault="00154D4E" w:rsidP="00BD4C5B">
      <w:pPr>
        <w:pStyle w:val="EndNoteBibliography"/>
        <w:ind w:left="720" w:hanging="720"/>
      </w:pPr>
      <w:r w:rsidRPr="00154D4E">
        <w:rPr>
          <w:rtl/>
        </w:rPr>
        <w:t xml:space="preserve">الحمري, م. ا. ع. ا. (2025). أثر السلامة المهنية على أداء العاملين بالمنظمات الصحية (دراسة تطبيقية على مستشفى الملك فهد العام بمحافظة جدة). </w:t>
      </w:r>
      <w:r w:rsidRPr="00154D4E">
        <w:rPr>
          <w:i/>
          <w:rtl/>
        </w:rPr>
        <w:t>المجلة الدولية لنشر البحوث والدراسات</w:t>
      </w:r>
      <w:r w:rsidRPr="00154D4E">
        <w:t xml:space="preserve">. </w:t>
      </w:r>
      <w:r w:rsidRPr="002B3E1B">
        <w:t>https://doi.org/10.52133/ijrsp.v3.36.5</w:t>
      </w:r>
      <w:r w:rsidRPr="00154D4E">
        <w:t xml:space="preserve"> </w:t>
      </w:r>
    </w:p>
    <w:p w14:paraId="08C2E30D" w14:textId="77777777" w:rsidR="00154D4E" w:rsidRPr="00154D4E" w:rsidRDefault="00154D4E" w:rsidP="001E525F">
      <w:pPr>
        <w:pStyle w:val="EndNoteBibliography"/>
        <w:spacing w:after="0"/>
        <w:jc w:val="left"/>
      </w:pPr>
    </w:p>
    <w:p w14:paraId="3B61024E" w14:textId="2B781D10" w:rsidR="00154D4E" w:rsidRPr="00154D4E" w:rsidRDefault="00154D4E" w:rsidP="00BD4C5B">
      <w:pPr>
        <w:pStyle w:val="EndNoteBibliography"/>
        <w:ind w:left="720" w:hanging="720"/>
      </w:pPr>
      <w:r w:rsidRPr="00154D4E">
        <w:rPr>
          <w:rtl/>
        </w:rPr>
        <w:t xml:space="preserve">مخدوم, ه. ک. ا. (2019). دور القيادة التحويلية في التنمية البشرية بالتطبيق على القطاع الصحي بالمملکة العربية السعودية. </w:t>
      </w:r>
      <w:r w:rsidRPr="00154D4E">
        <w:rPr>
          <w:i/>
          <w:rtl/>
        </w:rPr>
        <w:t>المجلة العلمية للدراسات والبحوث المالية والإدارية</w:t>
      </w:r>
      <w:r w:rsidRPr="00154D4E">
        <w:rPr>
          <w:i/>
          <w:cs/>
        </w:rPr>
        <w:t>‎</w:t>
      </w:r>
      <w:r w:rsidRPr="00154D4E">
        <w:rPr>
          <w:i/>
        </w:rPr>
        <w:t>, 4</w:t>
      </w:r>
      <w:r w:rsidRPr="00154D4E">
        <w:t xml:space="preserve">(2), 237-267. </w:t>
      </w:r>
      <w:hyperlink r:id="rId36" w:history="1">
        <w:r w:rsidRPr="00154D4E">
          <w:rPr>
            <w:rStyle w:val="Hyperlink"/>
          </w:rPr>
          <w:t>https://doi.org/10.21608/masf.2019.68978</w:t>
        </w:r>
      </w:hyperlink>
      <w:r w:rsidRPr="00154D4E">
        <w:t xml:space="preserve"> </w:t>
      </w:r>
    </w:p>
    <w:p w14:paraId="50A020BB" w14:textId="77777777" w:rsidR="00154D4E" w:rsidRPr="00154D4E" w:rsidRDefault="00154D4E" w:rsidP="001E525F">
      <w:pPr>
        <w:pStyle w:val="EndNoteBibliography"/>
        <w:jc w:val="left"/>
      </w:pPr>
    </w:p>
    <w:p w14:paraId="5B9D3D81" w14:textId="1C0D7C85" w:rsidR="00CB5D24" w:rsidRPr="00FC62C6" w:rsidRDefault="006758A1" w:rsidP="00E76DA2">
      <w:pPr>
        <w:spacing w:after="200" w:line="276" w:lineRule="auto"/>
        <w:rPr>
          <w:rFonts w:ascii="Sakkal Majalla" w:hAnsi="Sakkal Majalla" w:cs="Sakkal Majalla"/>
          <w:sz w:val="28"/>
          <w:szCs w:val="28"/>
          <w:rtl/>
        </w:rPr>
      </w:pPr>
      <w:r w:rsidRPr="006758A1">
        <w:rPr>
          <w:rFonts w:ascii="Sakkal Majalla" w:hAnsi="Sakkal Majalla" w:cs="Sakkal Majalla"/>
          <w:sz w:val="28"/>
          <w:szCs w:val="28"/>
        </w:rPr>
        <w:fldChar w:fldCharType="end"/>
      </w:r>
    </w:p>
    <w:sectPr w:rsidR="00CB5D24" w:rsidRPr="00FC62C6" w:rsidSect="00BE577C">
      <w:headerReference w:type="even" r:id="rId37"/>
      <w:headerReference w:type="default" r:id="rId38"/>
      <w:footerReference w:type="default" r:id="rId39"/>
      <w:headerReference w:type="first" r:id="rId40"/>
      <w:footerReference w:type="first" r:id="rId41"/>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B013B" w14:textId="77777777" w:rsidR="007A4DCA" w:rsidRDefault="007A4DCA" w:rsidP="00F628F0">
      <w:pPr>
        <w:spacing w:after="0" w:line="240" w:lineRule="auto"/>
      </w:pPr>
      <w:r>
        <w:separator/>
      </w:r>
    </w:p>
  </w:endnote>
  <w:endnote w:type="continuationSeparator" w:id="0">
    <w:p w14:paraId="4508F938" w14:textId="77777777" w:rsidR="007A4DCA" w:rsidRDefault="007A4DC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ECA77" w14:textId="77777777" w:rsidR="007A4DCA" w:rsidRDefault="007A4DCA" w:rsidP="00F628F0">
      <w:pPr>
        <w:spacing w:after="0" w:line="240" w:lineRule="auto"/>
      </w:pPr>
      <w:r>
        <w:separator/>
      </w:r>
    </w:p>
  </w:footnote>
  <w:footnote w:type="continuationSeparator" w:id="0">
    <w:p w14:paraId="39BDD878" w14:textId="77777777" w:rsidR="007A4DCA" w:rsidRDefault="007A4DC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16296"/>
    <w:multiLevelType w:val="multilevel"/>
    <w:tmpl w:val="CD5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905C9"/>
    <w:multiLevelType w:val="hybridMultilevel"/>
    <w:tmpl w:val="25D6D02E"/>
    <w:lvl w:ilvl="0" w:tplc="05F86BD2">
      <w:start w:val="1"/>
      <w:numFmt w:val="decimal"/>
      <w:lvlText w:val="%1."/>
      <w:lvlJc w:val="left"/>
      <w:pPr>
        <w:tabs>
          <w:tab w:val="num" w:pos="900"/>
        </w:tabs>
        <w:ind w:left="540" w:hanging="360"/>
      </w:pPr>
    </w:lvl>
    <w:lvl w:ilvl="1" w:tplc="C75C92A0">
      <w:numFmt w:val="decimal"/>
      <w:lvlText w:val=""/>
      <w:lvlJc w:val="left"/>
    </w:lvl>
    <w:lvl w:ilvl="2" w:tplc="9F865A5E">
      <w:numFmt w:val="decimal"/>
      <w:lvlText w:val=""/>
      <w:lvlJc w:val="left"/>
    </w:lvl>
    <w:lvl w:ilvl="3" w:tplc="2EF24026">
      <w:numFmt w:val="decimal"/>
      <w:lvlText w:val=""/>
      <w:lvlJc w:val="left"/>
    </w:lvl>
    <w:lvl w:ilvl="4" w:tplc="6ABAFBBA">
      <w:numFmt w:val="decimal"/>
      <w:lvlText w:val=""/>
      <w:lvlJc w:val="left"/>
    </w:lvl>
    <w:lvl w:ilvl="5" w:tplc="B1EA03FC">
      <w:numFmt w:val="decimal"/>
      <w:lvlText w:val=""/>
      <w:lvlJc w:val="left"/>
    </w:lvl>
    <w:lvl w:ilvl="6" w:tplc="4A7CEB32">
      <w:numFmt w:val="decimal"/>
      <w:lvlText w:val=""/>
      <w:lvlJc w:val="left"/>
    </w:lvl>
    <w:lvl w:ilvl="7" w:tplc="63B8E938">
      <w:numFmt w:val="decimal"/>
      <w:lvlText w:val=""/>
      <w:lvlJc w:val="left"/>
    </w:lvl>
    <w:lvl w:ilvl="8" w:tplc="96805376">
      <w:numFmt w:val="decimal"/>
      <w:lvlText w:val=""/>
      <w:lvlJc w:val="left"/>
    </w:lvl>
  </w:abstractNum>
  <w:abstractNum w:abstractNumId="8" w15:restartNumberingAfterBreak="0">
    <w:nsid w:val="0AAF7AFB"/>
    <w:multiLevelType w:val="hybridMultilevel"/>
    <w:tmpl w:val="9AFC369A"/>
    <w:lvl w:ilvl="0" w:tplc="20CA4C60">
      <w:start w:val="1"/>
      <w:numFmt w:val="bullet"/>
      <w:lvlText w:val=""/>
      <w:lvlJc w:val="left"/>
      <w:pPr>
        <w:tabs>
          <w:tab w:val="num" w:pos="900"/>
        </w:tabs>
        <w:ind w:left="540" w:hanging="360"/>
      </w:pPr>
      <w:rPr>
        <w:rFonts w:ascii="Symbol" w:hAnsi="Symbol" w:hint="default"/>
      </w:rPr>
    </w:lvl>
    <w:lvl w:ilvl="1" w:tplc="6D48FE52">
      <w:numFmt w:val="decimal"/>
      <w:lvlText w:val=""/>
      <w:lvlJc w:val="left"/>
    </w:lvl>
    <w:lvl w:ilvl="2" w:tplc="5CB86E0E">
      <w:numFmt w:val="decimal"/>
      <w:lvlText w:val=""/>
      <w:lvlJc w:val="left"/>
    </w:lvl>
    <w:lvl w:ilvl="3" w:tplc="89526F6A">
      <w:numFmt w:val="decimal"/>
      <w:lvlText w:val=""/>
      <w:lvlJc w:val="left"/>
    </w:lvl>
    <w:lvl w:ilvl="4" w:tplc="D52C73CA">
      <w:numFmt w:val="decimal"/>
      <w:lvlText w:val=""/>
      <w:lvlJc w:val="left"/>
    </w:lvl>
    <w:lvl w:ilvl="5" w:tplc="A5B804F2">
      <w:numFmt w:val="decimal"/>
      <w:lvlText w:val=""/>
      <w:lvlJc w:val="left"/>
    </w:lvl>
    <w:lvl w:ilvl="6" w:tplc="3784519C">
      <w:numFmt w:val="decimal"/>
      <w:lvlText w:val=""/>
      <w:lvlJc w:val="left"/>
    </w:lvl>
    <w:lvl w:ilvl="7" w:tplc="4396366A">
      <w:numFmt w:val="decimal"/>
      <w:lvlText w:val=""/>
      <w:lvlJc w:val="left"/>
    </w:lvl>
    <w:lvl w:ilvl="8" w:tplc="D3BEC4C8">
      <w:numFmt w:val="decimal"/>
      <w:lvlText w:val=""/>
      <w:lvlJc w:val="left"/>
    </w:lvl>
  </w:abstractNum>
  <w:abstractNum w:abstractNumId="9"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3" w15:restartNumberingAfterBreak="0">
    <w:nsid w:val="0FB42A0F"/>
    <w:multiLevelType w:val="multilevel"/>
    <w:tmpl w:val="625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DA26A3"/>
    <w:multiLevelType w:val="multilevel"/>
    <w:tmpl w:val="01FE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31E25B1"/>
    <w:multiLevelType w:val="multilevel"/>
    <w:tmpl w:val="7AA2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8E5339"/>
    <w:multiLevelType w:val="hybridMultilevel"/>
    <w:tmpl w:val="17ECFB38"/>
    <w:lvl w:ilvl="0" w:tplc="57C0E06A">
      <w:start w:val="3"/>
      <w:numFmt w:val="decimal"/>
      <w:lvlText w:val="%1."/>
      <w:lvlJc w:val="left"/>
      <w:pPr>
        <w:tabs>
          <w:tab w:val="num" w:pos="900"/>
        </w:tabs>
        <w:ind w:left="540" w:hanging="360"/>
      </w:pPr>
    </w:lvl>
    <w:lvl w:ilvl="1" w:tplc="04DE1404">
      <w:numFmt w:val="decimal"/>
      <w:lvlText w:val=""/>
      <w:lvlJc w:val="left"/>
    </w:lvl>
    <w:lvl w:ilvl="2" w:tplc="420E9B34">
      <w:numFmt w:val="decimal"/>
      <w:lvlText w:val=""/>
      <w:lvlJc w:val="left"/>
    </w:lvl>
    <w:lvl w:ilvl="3" w:tplc="91DAE65E">
      <w:numFmt w:val="decimal"/>
      <w:lvlText w:val=""/>
      <w:lvlJc w:val="left"/>
    </w:lvl>
    <w:lvl w:ilvl="4" w:tplc="47D62FCC">
      <w:numFmt w:val="decimal"/>
      <w:lvlText w:val=""/>
      <w:lvlJc w:val="left"/>
    </w:lvl>
    <w:lvl w:ilvl="5" w:tplc="2236CC4E">
      <w:numFmt w:val="decimal"/>
      <w:lvlText w:val=""/>
      <w:lvlJc w:val="left"/>
    </w:lvl>
    <w:lvl w:ilvl="6" w:tplc="7AD48BE8">
      <w:numFmt w:val="decimal"/>
      <w:lvlText w:val=""/>
      <w:lvlJc w:val="left"/>
    </w:lvl>
    <w:lvl w:ilvl="7" w:tplc="C5225900">
      <w:numFmt w:val="decimal"/>
      <w:lvlText w:val=""/>
      <w:lvlJc w:val="left"/>
    </w:lvl>
    <w:lvl w:ilvl="8" w:tplc="C4DCD744">
      <w:numFmt w:val="decimal"/>
      <w:lvlText w:val=""/>
      <w:lvlJc w:val="left"/>
    </w:lvl>
  </w:abstractNum>
  <w:abstractNum w:abstractNumId="25"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3954C3"/>
    <w:multiLevelType w:val="multilevel"/>
    <w:tmpl w:val="1FC4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F733377"/>
    <w:multiLevelType w:val="hybridMultilevel"/>
    <w:tmpl w:val="1D3CFE88"/>
    <w:lvl w:ilvl="0" w:tplc="5D444EA8">
      <w:start w:val="1"/>
      <w:numFmt w:val="bullet"/>
      <w:lvlText w:val=""/>
      <w:lvlJc w:val="left"/>
      <w:pPr>
        <w:tabs>
          <w:tab w:val="num" w:pos="900"/>
        </w:tabs>
        <w:ind w:left="540" w:hanging="360"/>
      </w:pPr>
      <w:rPr>
        <w:rFonts w:ascii="Symbol" w:hAnsi="Symbol" w:hint="default"/>
      </w:rPr>
    </w:lvl>
    <w:lvl w:ilvl="1" w:tplc="0CF09E28">
      <w:numFmt w:val="decimal"/>
      <w:lvlText w:val=""/>
      <w:lvlJc w:val="left"/>
    </w:lvl>
    <w:lvl w:ilvl="2" w:tplc="0EFC183C">
      <w:numFmt w:val="decimal"/>
      <w:lvlText w:val=""/>
      <w:lvlJc w:val="left"/>
    </w:lvl>
    <w:lvl w:ilvl="3" w:tplc="3C2CE20E">
      <w:numFmt w:val="decimal"/>
      <w:lvlText w:val=""/>
      <w:lvlJc w:val="left"/>
    </w:lvl>
    <w:lvl w:ilvl="4" w:tplc="B734B4AE">
      <w:numFmt w:val="decimal"/>
      <w:lvlText w:val=""/>
      <w:lvlJc w:val="left"/>
    </w:lvl>
    <w:lvl w:ilvl="5" w:tplc="F424C166">
      <w:numFmt w:val="decimal"/>
      <w:lvlText w:val=""/>
      <w:lvlJc w:val="left"/>
    </w:lvl>
    <w:lvl w:ilvl="6" w:tplc="E3E0A6CA">
      <w:numFmt w:val="decimal"/>
      <w:lvlText w:val=""/>
      <w:lvlJc w:val="left"/>
    </w:lvl>
    <w:lvl w:ilvl="7" w:tplc="334A29C4">
      <w:numFmt w:val="decimal"/>
      <w:lvlText w:val=""/>
      <w:lvlJc w:val="left"/>
    </w:lvl>
    <w:lvl w:ilvl="8" w:tplc="C9347BB2">
      <w:numFmt w:val="decimal"/>
      <w:lvlText w:val=""/>
      <w:lvlJc w:val="left"/>
    </w:lvl>
  </w:abstractNum>
  <w:abstractNum w:abstractNumId="30"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8C5779"/>
    <w:multiLevelType w:val="multilevel"/>
    <w:tmpl w:val="29D4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0C71AE"/>
    <w:multiLevelType w:val="multilevel"/>
    <w:tmpl w:val="C3066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75428B"/>
    <w:multiLevelType w:val="hybridMultilevel"/>
    <w:tmpl w:val="2EFA9E9A"/>
    <w:lvl w:ilvl="0" w:tplc="16CCF042">
      <w:start w:val="1"/>
      <w:numFmt w:val="decimal"/>
      <w:lvlText w:val="%1."/>
      <w:lvlJc w:val="left"/>
      <w:pPr>
        <w:tabs>
          <w:tab w:val="num" w:pos="900"/>
        </w:tabs>
        <w:ind w:left="540" w:hanging="360"/>
      </w:pPr>
    </w:lvl>
    <w:lvl w:ilvl="1" w:tplc="C6DA38B8">
      <w:numFmt w:val="decimal"/>
      <w:lvlText w:val=""/>
      <w:lvlJc w:val="left"/>
    </w:lvl>
    <w:lvl w:ilvl="2" w:tplc="3D5C6D04">
      <w:numFmt w:val="decimal"/>
      <w:lvlText w:val=""/>
      <w:lvlJc w:val="left"/>
    </w:lvl>
    <w:lvl w:ilvl="3" w:tplc="A240E1F4">
      <w:numFmt w:val="decimal"/>
      <w:lvlText w:val=""/>
      <w:lvlJc w:val="left"/>
    </w:lvl>
    <w:lvl w:ilvl="4" w:tplc="05B44D16">
      <w:numFmt w:val="decimal"/>
      <w:lvlText w:val=""/>
      <w:lvlJc w:val="left"/>
    </w:lvl>
    <w:lvl w:ilvl="5" w:tplc="A7D661F2">
      <w:numFmt w:val="decimal"/>
      <w:lvlText w:val=""/>
      <w:lvlJc w:val="left"/>
    </w:lvl>
    <w:lvl w:ilvl="6" w:tplc="E174ADC0">
      <w:numFmt w:val="decimal"/>
      <w:lvlText w:val=""/>
      <w:lvlJc w:val="left"/>
    </w:lvl>
    <w:lvl w:ilvl="7" w:tplc="22BCF0FA">
      <w:numFmt w:val="decimal"/>
      <w:lvlText w:val=""/>
      <w:lvlJc w:val="left"/>
    </w:lvl>
    <w:lvl w:ilvl="8" w:tplc="4EAA6444">
      <w:numFmt w:val="decimal"/>
      <w:lvlText w:val=""/>
      <w:lvlJc w:val="left"/>
    </w:lvl>
  </w:abstractNum>
  <w:abstractNum w:abstractNumId="38"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90854B1"/>
    <w:multiLevelType w:val="multilevel"/>
    <w:tmpl w:val="BC04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2E4079E0"/>
    <w:multiLevelType w:val="hybridMultilevel"/>
    <w:tmpl w:val="B6C2C6A8"/>
    <w:lvl w:ilvl="0" w:tplc="D45A1FF0">
      <w:start w:val="1"/>
      <w:numFmt w:val="bullet"/>
      <w:lvlText w:val=""/>
      <w:lvlJc w:val="left"/>
      <w:pPr>
        <w:tabs>
          <w:tab w:val="num" w:pos="900"/>
        </w:tabs>
        <w:ind w:left="540" w:hanging="360"/>
      </w:pPr>
      <w:rPr>
        <w:rFonts w:ascii="Symbol" w:hAnsi="Symbol" w:hint="default"/>
      </w:rPr>
    </w:lvl>
    <w:lvl w:ilvl="1" w:tplc="C13EF1C2">
      <w:numFmt w:val="decimal"/>
      <w:lvlText w:val=""/>
      <w:lvlJc w:val="left"/>
    </w:lvl>
    <w:lvl w:ilvl="2" w:tplc="3BBE49EE">
      <w:numFmt w:val="decimal"/>
      <w:lvlText w:val=""/>
      <w:lvlJc w:val="left"/>
    </w:lvl>
    <w:lvl w:ilvl="3" w:tplc="AB8A6D52">
      <w:numFmt w:val="decimal"/>
      <w:lvlText w:val=""/>
      <w:lvlJc w:val="left"/>
    </w:lvl>
    <w:lvl w:ilvl="4" w:tplc="6E24E9C2">
      <w:numFmt w:val="decimal"/>
      <w:lvlText w:val=""/>
      <w:lvlJc w:val="left"/>
    </w:lvl>
    <w:lvl w:ilvl="5" w:tplc="354067C6">
      <w:numFmt w:val="decimal"/>
      <w:lvlText w:val=""/>
      <w:lvlJc w:val="left"/>
    </w:lvl>
    <w:lvl w:ilvl="6" w:tplc="6F3A8EA6">
      <w:numFmt w:val="decimal"/>
      <w:lvlText w:val=""/>
      <w:lvlJc w:val="left"/>
    </w:lvl>
    <w:lvl w:ilvl="7" w:tplc="DEBA0BBA">
      <w:numFmt w:val="decimal"/>
      <w:lvlText w:val=""/>
      <w:lvlJc w:val="left"/>
    </w:lvl>
    <w:lvl w:ilvl="8" w:tplc="1898EEEA">
      <w:numFmt w:val="decimal"/>
      <w:lvlText w:val=""/>
      <w:lvlJc w:val="left"/>
    </w:lvl>
  </w:abstractNum>
  <w:abstractNum w:abstractNumId="45"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2F7A178A"/>
    <w:multiLevelType w:val="multilevel"/>
    <w:tmpl w:val="5DA2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9"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6006764"/>
    <w:multiLevelType w:val="multilevel"/>
    <w:tmpl w:val="719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8" w15:restartNumberingAfterBreak="0">
    <w:nsid w:val="36B02D04"/>
    <w:multiLevelType w:val="multilevel"/>
    <w:tmpl w:val="39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1"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BB600A7"/>
    <w:multiLevelType w:val="multilevel"/>
    <w:tmpl w:val="5EE03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4"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66"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42601AC9"/>
    <w:multiLevelType w:val="hybridMultilevel"/>
    <w:tmpl w:val="A6160F8E"/>
    <w:lvl w:ilvl="0" w:tplc="08168324">
      <w:start w:val="1"/>
      <w:numFmt w:val="bullet"/>
      <w:lvlText w:val=""/>
      <w:lvlJc w:val="left"/>
      <w:pPr>
        <w:tabs>
          <w:tab w:val="num" w:pos="900"/>
        </w:tabs>
        <w:ind w:left="540" w:hanging="360"/>
      </w:pPr>
      <w:rPr>
        <w:rFonts w:ascii="Symbol" w:hAnsi="Symbol" w:hint="default"/>
      </w:rPr>
    </w:lvl>
    <w:lvl w:ilvl="1" w:tplc="70F6093E">
      <w:numFmt w:val="decimal"/>
      <w:lvlText w:val=""/>
      <w:lvlJc w:val="left"/>
    </w:lvl>
    <w:lvl w:ilvl="2" w:tplc="0486D860">
      <w:numFmt w:val="decimal"/>
      <w:lvlText w:val=""/>
      <w:lvlJc w:val="left"/>
    </w:lvl>
    <w:lvl w:ilvl="3" w:tplc="91609B6A">
      <w:numFmt w:val="decimal"/>
      <w:lvlText w:val=""/>
      <w:lvlJc w:val="left"/>
    </w:lvl>
    <w:lvl w:ilvl="4" w:tplc="D4C4199C">
      <w:numFmt w:val="decimal"/>
      <w:lvlText w:val=""/>
      <w:lvlJc w:val="left"/>
    </w:lvl>
    <w:lvl w:ilvl="5" w:tplc="E4ECB8DA">
      <w:numFmt w:val="decimal"/>
      <w:lvlText w:val=""/>
      <w:lvlJc w:val="left"/>
    </w:lvl>
    <w:lvl w:ilvl="6" w:tplc="2D1ABC64">
      <w:numFmt w:val="decimal"/>
      <w:lvlText w:val=""/>
      <w:lvlJc w:val="left"/>
    </w:lvl>
    <w:lvl w:ilvl="7" w:tplc="F6B8890E">
      <w:numFmt w:val="decimal"/>
      <w:lvlText w:val=""/>
      <w:lvlJc w:val="left"/>
    </w:lvl>
    <w:lvl w:ilvl="8" w:tplc="615A4C12">
      <w:numFmt w:val="decimal"/>
      <w:lvlText w:val=""/>
      <w:lvlJc w:val="left"/>
    </w:lvl>
  </w:abstractNum>
  <w:abstractNum w:abstractNumId="69"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1"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3"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5"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6"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77"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A845CC2"/>
    <w:multiLevelType w:val="multilevel"/>
    <w:tmpl w:val="ABF4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3" w15:restartNumberingAfterBreak="0">
    <w:nsid w:val="4ED33D8C"/>
    <w:multiLevelType w:val="multilevel"/>
    <w:tmpl w:val="C420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384BD3"/>
    <w:multiLevelType w:val="hybridMultilevel"/>
    <w:tmpl w:val="273EC26C"/>
    <w:lvl w:ilvl="0" w:tplc="53A8AA1A">
      <w:start w:val="1"/>
      <w:numFmt w:val="decimal"/>
      <w:lvlText w:val="%1."/>
      <w:lvlJc w:val="left"/>
      <w:pPr>
        <w:tabs>
          <w:tab w:val="num" w:pos="900"/>
        </w:tabs>
        <w:ind w:left="540" w:hanging="360"/>
      </w:pPr>
    </w:lvl>
    <w:lvl w:ilvl="1" w:tplc="54688C94">
      <w:numFmt w:val="decimal"/>
      <w:lvlText w:val=""/>
      <w:lvlJc w:val="left"/>
    </w:lvl>
    <w:lvl w:ilvl="2" w:tplc="75EE88FE">
      <w:numFmt w:val="decimal"/>
      <w:lvlText w:val=""/>
      <w:lvlJc w:val="left"/>
    </w:lvl>
    <w:lvl w:ilvl="3" w:tplc="150A700C">
      <w:numFmt w:val="decimal"/>
      <w:lvlText w:val=""/>
      <w:lvlJc w:val="left"/>
    </w:lvl>
    <w:lvl w:ilvl="4" w:tplc="FE523D4C">
      <w:numFmt w:val="decimal"/>
      <w:lvlText w:val=""/>
      <w:lvlJc w:val="left"/>
    </w:lvl>
    <w:lvl w:ilvl="5" w:tplc="EA009764">
      <w:numFmt w:val="decimal"/>
      <w:lvlText w:val=""/>
      <w:lvlJc w:val="left"/>
    </w:lvl>
    <w:lvl w:ilvl="6" w:tplc="55728500">
      <w:numFmt w:val="decimal"/>
      <w:lvlText w:val=""/>
      <w:lvlJc w:val="left"/>
    </w:lvl>
    <w:lvl w:ilvl="7" w:tplc="F24E2CC0">
      <w:numFmt w:val="decimal"/>
      <w:lvlText w:val=""/>
      <w:lvlJc w:val="left"/>
    </w:lvl>
    <w:lvl w:ilvl="8" w:tplc="058C1A70">
      <w:numFmt w:val="decimal"/>
      <w:lvlText w:val=""/>
      <w:lvlJc w:val="left"/>
    </w:lvl>
  </w:abstractNum>
  <w:abstractNum w:abstractNumId="85"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F120DB"/>
    <w:multiLevelType w:val="hybridMultilevel"/>
    <w:tmpl w:val="781E987A"/>
    <w:lvl w:ilvl="0" w:tplc="F9885A2C">
      <w:start w:val="1"/>
      <w:numFmt w:val="bullet"/>
      <w:lvlText w:val=""/>
      <w:lvlJc w:val="left"/>
      <w:pPr>
        <w:tabs>
          <w:tab w:val="num" w:pos="900"/>
        </w:tabs>
        <w:ind w:left="540" w:hanging="360"/>
      </w:pPr>
      <w:rPr>
        <w:rFonts w:ascii="Symbol" w:hAnsi="Symbol" w:hint="default"/>
      </w:rPr>
    </w:lvl>
    <w:lvl w:ilvl="1" w:tplc="C84477E6">
      <w:numFmt w:val="decimal"/>
      <w:lvlText w:val=""/>
      <w:lvlJc w:val="left"/>
    </w:lvl>
    <w:lvl w:ilvl="2" w:tplc="24566B32">
      <w:numFmt w:val="decimal"/>
      <w:lvlText w:val=""/>
      <w:lvlJc w:val="left"/>
    </w:lvl>
    <w:lvl w:ilvl="3" w:tplc="E72057DA">
      <w:numFmt w:val="decimal"/>
      <w:lvlText w:val=""/>
      <w:lvlJc w:val="left"/>
    </w:lvl>
    <w:lvl w:ilvl="4" w:tplc="BEFA1D9A">
      <w:numFmt w:val="decimal"/>
      <w:lvlText w:val=""/>
      <w:lvlJc w:val="left"/>
    </w:lvl>
    <w:lvl w:ilvl="5" w:tplc="13B8C842">
      <w:numFmt w:val="decimal"/>
      <w:lvlText w:val=""/>
      <w:lvlJc w:val="left"/>
    </w:lvl>
    <w:lvl w:ilvl="6" w:tplc="10D65E52">
      <w:numFmt w:val="decimal"/>
      <w:lvlText w:val=""/>
      <w:lvlJc w:val="left"/>
    </w:lvl>
    <w:lvl w:ilvl="7" w:tplc="E0DA9DF2">
      <w:numFmt w:val="decimal"/>
      <w:lvlText w:val=""/>
      <w:lvlJc w:val="left"/>
    </w:lvl>
    <w:lvl w:ilvl="8" w:tplc="B8182A6A">
      <w:numFmt w:val="decimal"/>
      <w:lvlText w:val=""/>
      <w:lvlJc w:val="left"/>
    </w:lvl>
  </w:abstractNum>
  <w:abstractNum w:abstractNumId="87"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0"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3"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97796D"/>
    <w:multiLevelType w:val="multilevel"/>
    <w:tmpl w:val="2CA2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5AAD6608"/>
    <w:multiLevelType w:val="multilevel"/>
    <w:tmpl w:val="209A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575034"/>
    <w:multiLevelType w:val="multilevel"/>
    <w:tmpl w:val="2BBA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4"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6" w15:restartNumberingAfterBreak="0">
    <w:nsid w:val="5E286C7A"/>
    <w:multiLevelType w:val="hybridMultilevel"/>
    <w:tmpl w:val="BA2CE430"/>
    <w:lvl w:ilvl="0" w:tplc="897C0392">
      <w:start w:val="1"/>
      <w:numFmt w:val="decimal"/>
      <w:lvlText w:val="%1."/>
      <w:lvlJc w:val="left"/>
      <w:pPr>
        <w:tabs>
          <w:tab w:val="num" w:pos="900"/>
        </w:tabs>
        <w:ind w:left="540" w:hanging="360"/>
      </w:pPr>
    </w:lvl>
    <w:lvl w:ilvl="1" w:tplc="7228FCD4">
      <w:numFmt w:val="decimal"/>
      <w:lvlText w:val=""/>
      <w:lvlJc w:val="left"/>
    </w:lvl>
    <w:lvl w:ilvl="2" w:tplc="022470C6">
      <w:numFmt w:val="decimal"/>
      <w:lvlText w:val=""/>
      <w:lvlJc w:val="left"/>
    </w:lvl>
    <w:lvl w:ilvl="3" w:tplc="CB1CA30A">
      <w:numFmt w:val="decimal"/>
      <w:lvlText w:val=""/>
      <w:lvlJc w:val="left"/>
    </w:lvl>
    <w:lvl w:ilvl="4" w:tplc="2FFC59EA">
      <w:numFmt w:val="decimal"/>
      <w:lvlText w:val=""/>
      <w:lvlJc w:val="left"/>
    </w:lvl>
    <w:lvl w:ilvl="5" w:tplc="D62E2C44">
      <w:numFmt w:val="decimal"/>
      <w:lvlText w:val=""/>
      <w:lvlJc w:val="left"/>
    </w:lvl>
    <w:lvl w:ilvl="6" w:tplc="826E5AEA">
      <w:numFmt w:val="decimal"/>
      <w:lvlText w:val=""/>
      <w:lvlJc w:val="left"/>
    </w:lvl>
    <w:lvl w:ilvl="7" w:tplc="35BA6810">
      <w:numFmt w:val="decimal"/>
      <w:lvlText w:val=""/>
      <w:lvlJc w:val="left"/>
    </w:lvl>
    <w:lvl w:ilvl="8" w:tplc="884649E4">
      <w:numFmt w:val="decimal"/>
      <w:lvlText w:val=""/>
      <w:lvlJc w:val="left"/>
    </w:lvl>
  </w:abstractNum>
  <w:abstractNum w:abstractNumId="107"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9" w15:restartNumberingAfterBreak="0">
    <w:nsid w:val="5E5935C0"/>
    <w:multiLevelType w:val="multilevel"/>
    <w:tmpl w:val="9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1"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25B0FD1"/>
    <w:multiLevelType w:val="multilevel"/>
    <w:tmpl w:val="FA8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53E5321"/>
    <w:multiLevelType w:val="multilevel"/>
    <w:tmpl w:val="9F5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55D67EF"/>
    <w:multiLevelType w:val="multilevel"/>
    <w:tmpl w:val="214C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579102C"/>
    <w:multiLevelType w:val="hybridMultilevel"/>
    <w:tmpl w:val="1D26C094"/>
    <w:lvl w:ilvl="0" w:tplc="8BD852C0">
      <w:start w:val="1"/>
      <w:numFmt w:val="bullet"/>
      <w:lvlText w:val=""/>
      <w:lvlJc w:val="left"/>
      <w:pPr>
        <w:tabs>
          <w:tab w:val="num" w:pos="900"/>
        </w:tabs>
        <w:ind w:left="540" w:hanging="360"/>
      </w:pPr>
      <w:rPr>
        <w:rFonts w:ascii="Symbol" w:hAnsi="Symbol" w:hint="default"/>
      </w:rPr>
    </w:lvl>
    <w:lvl w:ilvl="1" w:tplc="02D60ACE">
      <w:numFmt w:val="decimal"/>
      <w:lvlText w:val=""/>
      <w:lvlJc w:val="left"/>
    </w:lvl>
    <w:lvl w:ilvl="2" w:tplc="FD44A170">
      <w:numFmt w:val="decimal"/>
      <w:lvlText w:val=""/>
      <w:lvlJc w:val="left"/>
    </w:lvl>
    <w:lvl w:ilvl="3" w:tplc="B82023A8">
      <w:numFmt w:val="decimal"/>
      <w:lvlText w:val=""/>
      <w:lvlJc w:val="left"/>
    </w:lvl>
    <w:lvl w:ilvl="4" w:tplc="340E7166">
      <w:numFmt w:val="decimal"/>
      <w:lvlText w:val=""/>
      <w:lvlJc w:val="left"/>
    </w:lvl>
    <w:lvl w:ilvl="5" w:tplc="F48C5E30">
      <w:numFmt w:val="decimal"/>
      <w:lvlText w:val=""/>
      <w:lvlJc w:val="left"/>
    </w:lvl>
    <w:lvl w:ilvl="6" w:tplc="B5EC9F60">
      <w:numFmt w:val="decimal"/>
      <w:lvlText w:val=""/>
      <w:lvlJc w:val="left"/>
    </w:lvl>
    <w:lvl w:ilvl="7" w:tplc="96C2FBD4">
      <w:numFmt w:val="decimal"/>
      <w:lvlText w:val=""/>
      <w:lvlJc w:val="left"/>
    </w:lvl>
    <w:lvl w:ilvl="8" w:tplc="8C04F0B4">
      <w:numFmt w:val="decimal"/>
      <w:lvlText w:val=""/>
      <w:lvlJc w:val="left"/>
    </w:lvl>
  </w:abstractNum>
  <w:abstractNum w:abstractNumId="118" w15:restartNumberingAfterBreak="0">
    <w:nsid w:val="6701687A"/>
    <w:multiLevelType w:val="hybridMultilevel"/>
    <w:tmpl w:val="E0AE07BE"/>
    <w:lvl w:ilvl="0" w:tplc="3F226C80">
      <w:start w:val="2"/>
      <w:numFmt w:val="decimal"/>
      <w:lvlText w:val="%1."/>
      <w:lvlJc w:val="left"/>
      <w:pPr>
        <w:tabs>
          <w:tab w:val="num" w:pos="900"/>
        </w:tabs>
        <w:ind w:left="540" w:hanging="360"/>
      </w:pPr>
    </w:lvl>
    <w:lvl w:ilvl="1" w:tplc="0DA82C66">
      <w:numFmt w:val="decimal"/>
      <w:lvlText w:val=""/>
      <w:lvlJc w:val="left"/>
    </w:lvl>
    <w:lvl w:ilvl="2" w:tplc="945648AE">
      <w:numFmt w:val="decimal"/>
      <w:lvlText w:val=""/>
      <w:lvlJc w:val="left"/>
    </w:lvl>
    <w:lvl w:ilvl="3" w:tplc="89808908">
      <w:numFmt w:val="decimal"/>
      <w:lvlText w:val=""/>
      <w:lvlJc w:val="left"/>
    </w:lvl>
    <w:lvl w:ilvl="4" w:tplc="A3BAB0EC">
      <w:numFmt w:val="decimal"/>
      <w:lvlText w:val=""/>
      <w:lvlJc w:val="left"/>
    </w:lvl>
    <w:lvl w:ilvl="5" w:tplc="FB86CC20">
      <w:numFmt w:val="decimal"/>
      <w:lvlText w:val=""/>
      <w:lvlJc w:val="left"/>
    </w:lvl>
    <w:lvl w:ilvl="6" w:tplc="A4E8FE18">
      <w:numFmt w:val="decimal"/>
      <w:lvlText w:val=""/>
      <w:lvlJc w:val="left"/>
    </w:lvl>
    <w:lvl w:ilvl="7" w:tplc="7118346E">
      <w:numFmt w:val="decimal"/>
      <w:lvlText w:val=""/>
      <w:lvlJc w:val="left"/>
    </w:lvl>
    <w:lvl w:ilvl="8" w:tplc="C71641C8">
      <w:numFmt w:val="decimal"/>
      <w:lvlText w:val=""/>
      <w:lvlJc w:val="left"/>
    </w:lvl>
  </w:abstractNum>
  <w:abstractNum w:abstractNumId="119"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0"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96463A8"/>
    <w:multiLevelType w:val="hybridMultilevel"/>
    <w:tmpl w:val="9C18B174"/>
    <w:lvl w:ilvl="0" w:tplc="5798F0EE">
      <w:start w:val="1"/>
      <w:numFmt w:val="decimal"/>
      <w:lvlText w:val="%1."/>
      <w:lvlJc w:val="left"/>
      <w:pPr>
        <w:tabs>
          <w:tab w:val="num" w:pos="900"/>
        </w:tabs>
        <w:ind w:left="540" w:hanging="360"/>
      </w:pPr>
    </w:lvl>
    <w:lvl w:ilvl="1" w:tplc="9E9077BA">
      <w:numFmt w:val="decimal"/>
      <w:lvlText w:val=""/>
      <w:lvlJc w:val="left"/>
    </w:lvl>
    <w:lvl w:ilvl="2" w:tplc="85D001D8">
      <w:numFmt w:val="decimal"/>
      <w:lvlText w:val=""/>
      <w:lvlJc w:val="left"/>
    </w:lvl>
    <w:lvl w:ilvl="3" w:tplc="2A125AEA">
      <w:numFmt w:val="decimal"/>
      <w:lvlText w:val=""/>
      <w:lvlJc w:val="left"/>
    </w:lvl>
    <w:lvl w:ilvl="4" w:tplc="461C2308">
      <w:numFmt w:val="decimal"/>
      <w:lvlText w:val=""/>
      <w:lvlJc w:val="left"/>
    </w:lvl>
    <w:lvl w:ilvl="5" w:tplc="3FC01CC8">
      <w:numFmt w:val="decimal"/>
      <w:lvlText w:val=""/>
      <w:lvlJc w:val="left"/>
    </w:lvl>
    <w:lvl w:ilvl="6" w:tplc="8F8C98CA">
      <w:numFmt w:val="decimal"/>
      <w:lvlText w:val=""/>
      <w:lvlJc w:val="left"/>
    </w:lvl>
    <w:lvl w:ilvl="7" w:tplc="F65CEE4A">
      <w:numFmt w:val="decimal"/>
      <w:lvlText w:val=""/>
      <w:lvlJc w:val="left"/>
    </w:lvl>
    <w:lvl w:ilvl="8" w:tplc="0CBCE596">
      <w:numFmt w:val="decimal"/>
      <w:lvlText w:val=""/>
      <w:lvlJc w:val="left"/>
    </w:lvl>
  </w:abstractNum>
  <w:abstractNum w:abstractNumId="123"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24"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6" w15:restartNumberingAfterBreak="0">
    <w:nsid w:val="6EB572AB"/>
    <w:multiLevelType w:val="hybridMultilevel"/>
    <w:tmpl w:val="BEC876D8"/>
    <w:lvl w:ilvl="0" w:tplc="B704B452">
      <w:start w:val="3"/>
      <w:numFmt w:val="decimal"/>
      <w:lvlText w:val="%1."/>
      <w:lvlJc w:val="left"/>
      <w:pPr>
        <w:tabs>
          <w:tab w:val="num" w:pos="900"/>
        </w:tabs>
        <w:ind w:left="540" w:hanging="360"/>
      </w:pPr>
    </w:lvl>
    <w:lvl w:ilvl="1" w:tplc="29FACC58">
      <w:numFmt w:val="decimal"/>
      <w:lvlText w:val=""/>
      <w:lvlJc w:val="left"/>
    </w:lvl>
    <w:lvl w:ilvl="2" w:tplc="E376C996">
      <w:numFmt w:val="decimal"/>
      <w:lvlText w:val=""/>
      <w:lvlJc w:val="left"/>
    </w:lvl>
    <w:lvl w:ilvl="3" w:tplc="29C4920C">
      <w:numFmt w:val="decimal"/>
      <w:lvlText w:val=""/>
      <w:lvlJc w:val="left"/>
    </w:lvl>
    <w:lvl w:ilvl="4" w:tplc="482C36E6">
      <w:numFmt w:val="decimal"/>
      <w:lvlText w:val=""/>
      <w:lvlJc w:val="left"/>
    </w:lvl>
    <w:lvl w:ilvl="5" w:tplc="683E8136">
      <w:numFmt w:val="decimal"/>
      <w:lvlText w:val=""/>
      <w:lvlJc w:val="left"/>
    </w:lvl>
    <w:lvl w:ilvl="6" w:tplc="5E5AFAB8">
      <w:numFmt w:val="decimal"/>
      <w:lvlText w:val=""/>
      <w:lvlJc w:val="left"/>
    </w:lvl>
    <w:lvl w:ilvl="7" w:tplc="FA949ABC">
      <w:numFmt w:val="decimal"/>
      <w:lvlText w:val=""/>
      <w:lvlJc w:val="left"/>
    </w:lvl>
    <w:lvl w:ilvl="8" w:tplc="88FA5680">
      <w:numFmt w:val="decimal"/>
      <w:lvlText w:val=""/>
      <w:lvlJc w:val="left"/>
    </w:lvl>
  </w:abstractNum>
  <w:abstractNum w:abstractNumId="127" w15:restartNumberingAfterBreak="0">
    <w:nsid w:val="712E51B8"/>
    <w:multiLevelType w:val="hybridMultilevel"/>
    <w:tmpl w:val="8FC87F3E"/>
    <w:lvl w:ilvl="0" w:tplc="050A9CB6">
      <w:start w:val="1"/>
      <w:numFmt w:val="bullet"/>
      <w:lvlText w:val=""/>
      <w:lvlJc w:val="left"/>
      <w:pPr>
        <w:tabs>
          <w:tab w:val="num" w:pos="900"/>
        </w:tabs>
        <w:ind w:left="540" w:hanging="360"/>
      </w:pPr>
      <w:rPr>
        <w:rFonts w:ascii="Symbol" w:hAnsi="Symbol" w:hint="default"/>
      </w:rPr>
    </w:lvl>
    <w:lvl w:ilvl="1" w:tplc="6FC8B3DC">
      <w:numFmt w:val="decimal"/>
      <w:lvlText w:val=""/>
      <w:lvlJc w:val="left"/>
    </w:lvl>
    <w:lvl w:ilvl="2" w:tplc="A4E8045E">
      <w:numFmt w:val="decimal"/>
      <w:lvlText w:val=""/>
      <w:lvlJc w:val="left"/>
    </w:lvl>
    <w:lvl w:ilvl="3" w:tplc="01D4641C">
      <w:numFmt w:val="decimal"/>
      <w:lvlText w:val=""/>
      <w:lvlJc w:val="left"/>
    </w:lvl>
    <w:lvl w:ilvl="4" w:tplc="062E6686">
      <w:numFmt w:val="decimal"/>
      <w:lvlText w:val=""/>
      <w:lvlJc w:val="left"/>
    </w:lvl>
    <w:lvl w:ilvl="5" w:tplc="9676C8D0">
      <w:numFmt w:val="decimal"/>
      <w:lvlText w:val=""/>
      <w:lvlJc w:val="left"/>
    </w:lvl>
    <w:lvl w:ilvl="6" w:tplc="5F4AFA1A">
      <w:numFmt w:val="decimal"/>
      <w:lvlText w:val=""/>
      <w:lvlJc w:val="left"/>
    </w:lvl>
    <w:lvl w:ilvl="7" w:tplc="445E18BA">
      <w:numFmt w:val="decimal"/>
      <w:lvlText w:val=""/>
      <w:lvlJc w:val="left"/>
    </w:lvl>
    <w:lvl w:ilvl="8" w:tplc="DD26B4F4">
      <w:numFmt w:val="decimal"/>
      <w:lvlText w:val=""/>
      <w:lvlJc w:val="left"/>
    </w:lvl>
  </w:abstractNum>
  <w:abstractNum w:abstractNumId="128"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3763463"/>
    <w:multiLevelType w:val="multilevel"/>
    <w:tmpl w:val="DDC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3"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5D126E7"/>
    <w:multiLevelType w:val="multilevel"/>
    <w:tmpl w:val="5DD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7735083"/>
    <w:multiLevelType w:val="multilevel"/>
    <w:tmpl w:val="D23E2D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9" w15:restartNumberingAfterBreak="0">
    <w:nsid w:val="78A7738F"/>
    <w:multiLevelType w:val="multilevel"/>
    <w:tmpl w:val="225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A39321B"/>
    <w:multiLevelType w:val="hybridMultilevel"/>
    <w:tmpl w:val="02721854"/>
    <w:lvl w:ilvl="0" w:tplc="8F7AD4E6">
      <w:start w:val="1"/>
      <w:numFmt w:val="bullet"/>
      <w:lvlText w:val=""/>
      <w:lvlJc w:val="left"/>
      <w:pPr>
        <w:tabs>
          <w:tab w:val="num" w:pos="900"/>
        </w:tabs>
        <w:ind w:left="540" w:hanging="360"/>
      </w:pPr>
      <w:rPr>
        <w:rFonts w:ascii="Symbol" w:hAnsi="Symbol" w:hint="default"/>
      </w:rPr>
    </w:lvl>
    <w:lvl w:ilvl="1" w:tplc="2786C65A">
      <w:numFmt w:val="decimal"/>
      <w:lvlText w:val=""/>
      <w:lvlJc w:val="left"/>
    </w:lvl>
    <w:lvl w:ilvl="2" w:tplc="07221C46">
      <w:numFmt w:val="decimal"/>
      <w:lvlText w:val=""/>
      <w:lvlJc w:val="left"/>
    </w:lvl>
    <w:lvl w:ilvl="3" w:tplc="1316909C">
      <w:numFmt w:val="decimal"/>
      <w:lvlText w:val=""/>
      <w:lvlJc w:val="left"/>
    </w:lvl>
    <w:lvl w:ilvl="4" w:tplc="33EEB790">
      <w:numFmt w:val="decimal"/>
      <w:lvlText w:val=""/>
      <w:lvlJc w:val="left"/>
    </w:lvl>
    <w:lvl w:ilvl="5" w:tplc="7F9875A0">
      <w:numFmt w:val="decimal"/>
      <w:lvlText w:val=""/>
      <w:lvlJc w:val="left"/>
    </w:lvl>
    <w:lvl w:ilvl="6" w:tplc="F1063234">
      <w:numFmt w:val="decimal"/>
      <w:lvlText w:val=""/>
      <w:lvlJc w:val="left"/>
    </w:lvl>
    <w:lvl w:ilvl="7" w:tplc="4BFA1834">
      <w:numFmt w:val="decimal"/>
      <w:lvlText w:val=""/>
      <w:lvlJc w:val="left"/>
    </w:lvl>
    <w:lvl w:ilvl="8" w:tplc="DC9E422E">
      <w:numFmt w:val="decimal"/>
      <w:lvlText w:val=""/>
      <w:lvlJc w:val="left"/>
    </w:lvl>
  </w:abstractNum>
  <w:abstractNum w:abstractNumId="141"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2" w15:restartNumberingAfterBreak="0">
    <w:nsid w:val="7E0605A2"/>
    <w:multiLevelType w:val="hybridMultilevel"/>
    <w:tmpl w:val="8C9A9672"/>
    <w:lvl w:ilvl="0" w:tplc="063EF994">
      <w:start w:val="1"/>
      <w:numFmt w:val="bullet"/>
      <w:lvlText w:val=""/>
      <w:lvlJc w:val="left"/>
      <w:pPr>
        <w:tabs>
          <w:tab w:val="num" w:pos="900"/>
        </w:tabs>
        <w:ind w:left="540" w:hanging="360"/>
      </w:pPr>
      <w:rPr>
        <w:rFonts w:ascii="Symbol" w:hAnsi="Symbol" w:hint="default"/>
      </w:rPr>
    </w:lvl>
    <w:lvl w:ilvl="1" w:tplc="4D1821E6">
      <w:numFmt w:val="decimal"/>
      <w:lvlText w:val=""/>
      <w:lvlJc w:val="left"/>
    </w:lvl>
    <w:lvl w:ilvl="2" w:tplc="D4626BFA">
      <w:numFmt w:val="decimal"/>
      <w:lvlText w:val=""/>
      <w:lvlJc w:val="left"/>
    </w:lvl>
    <w:lvl w:ilvl="3" w:tplc="B386B1AC">
      <w:numFmt w:val="decimal"/>
      <w:lvlText w:val=""/>
      <w:lvlJc w:val="left"/>
    </w:lvl>
    <w:lvl w:ilvl="4" w:tplc="BD74ABDC">
      <w:numFmt w:val="decimal"/>
      <w:lvlText w:val=""/>
      <w:lvlJc w:val="left"/>
    </w:lvl>
    <w:lvl w:ilvl="5" w:tplc="8E725348">
      <w:numFmt w:val="decimal"/>
      <w:lvlText w:val=""/>
      <w:lvlJc w:val="left"/>
    </w:lvl>
    <w:lvl w:ilvl="6" w:tplc="82D6EA16">
      <w:numFmt w:val="decimal"/>
      <w:lvlText w:val=""/>
      <w:lvlJc w:val="left"/>
    </w:lvl>
    <w:lvl w:ilvl="7" w:tplc="F9223866">
      <w:numFmt w:val="decimal"/>
      <w:lvlText w:val=""/>
      <w:lvlJc w:val="left"/>
    </w:lvl>
    <w:lvl w:ilvl="8" w:tplc="21B6A080">
      <w:numFmt w:val="decimal"/>
      <w:lvlText w:val=""/>
      <w:lvlJc w:val="left"/>
    </w:lvl>
  </w:abstractNum>
  <w:abstractNum w:abstractNumId="143" w15:restartNumberingAfterBreak="0">
    <w:nsid w:val="7EFD766D"/>
    <w:multiLevelType w:val="hybridMultilevel"/>
    <w:tmpl w:val="16983D4A"/>
    <w:lvl w:ilvl="0" w:tplc="8EFAA284">
      <w:start w:val="1"/>
      <w:numFmt w:val="decimal"/>
      <w:lvlText w:val="%1."/>
      <w:lvlJc w:val="left"/>
      <w:pPr>
        <w:tabs>
          <w:tab w:val="num" w:pos="900"/>
        </w:tabs>
        <w:ind w:left="540" w:hanging="360"/>
      </w:pPr>
    </w:lvl>
    <w:lvl w:ilvl="1" w:tplc="2E9ECA5A">
      <w:numFmt w:val="decimal"/>
      <w:lvlText w:val=""/>
      <w:lvlJc w:val="left"/>
    </w:lvl>
    <w:lvl w:ilvl="2" w:tplc="7D30FFC6">
      <w:numFmt w:val="decimal"/>
      <w:lvlText w:val=""/>
      <w:lvlJc w:val="left"/>
    </w:lvl>
    <w:lvl w:ilvl="3" w:tplc="F2682B9E">
      <w:numFmt w:val="decimal"/>
      <w:lvlText w:val=""/>
      <w:lvlJc w:val="left"/>
    </w:lvl>
    <w:lvl w:ilvl="4" w:tplc="A1907A6C">
      <w:numFmt w:val="decimal"/>
      <w:lvlText w:val=""/>
      <w:lvlJc w:val="left"/>
    </w:lvl>
    <w:lvl w:ilvl="5" w:tplc="FCFC040C">
      <w:numFmt w:val="decimal"/>
      <w:lvlText w:val=""/>
      <w:lvlJc w:val="left"/>
    </w:lvl>
    <w:lvl w:ilvl="6" w:tplc="8B441706">
      <w:numFmt w:val="decimal"/>
      <w:lvlText w:val=""/>
      <w:lvlJc w:val="left"/>
    </w:lvl>
    <w:lvl w:ilvl="7" w:tplc="AB74FB04">
      <w:numFmt w:val="decimal"/>
      <w:lvlText w:val=""/>
      <w:lvlJc w:val="left"/>
    </w:lvl>
    <w:lvl w:ilvl="8" w:tplc="8612C136">
      <w:numFmt w:val="decimal"/>
      <w:lvlText w:val=""/>
      <w:lvlJc w:val="left"/>
    </w:lvl>
  </w:abstractNum>
  <w:num w:numId="1" w16cid:durableId="1514297510">
    <w:abstractNumId w:val="87"/>
  </w:num>
  <w:num w:numId="2" w16cid:durableId="537475481">
    <w:abstractNumId w:val="119"/>
  </w:num>
  <w:num w:numId="3" w16cid:durableId="1232497270">
    <w:abstractNumId w:val="107"/>
  </w:num>
  <w:num w:numId="4" w16cid:durableId="1369183865">
    <w:abstractNumId w:val="128"/>
  </w:num>
  <w:num w:numId="5" w16cid:durableId="1909614167">
    <w:abstractNumId w:val="90"/>
  </w:num>
  <w:num w:numId="6" w16cid:durableId="153498815">
    <w:abstractNumId w:val="85"/>
  </w:num>
  <w:num w:numId="7" w16cid:durableId="994184520">
    <w:abstractNumId w:val="53"/>
  </w:num>
  <w:num w:numId="8" w16cid:durableId="1482576238">
    <w:abstractNumId w:val="28"/>
  </w:num>
  <w:num w:numId="9" w16cid:durableId="636298621">
    <w:abstractNumId w:val="92"/>
  </w:num>
  <w:num w:numId="10" w16cid:durableId="668757442">
    <w:abstractNumId w:val="132"/>
  </w:num>
  <w:num w:numId="11" w16cid:durableId="686371224">
    <w:abstractNumId w:val="39"/>
  </w:num>
  <w:num w:numId="12" w16cid:durableId="2061899866">
    <w:abstractNumId w:val="137"/>
  </w:num>
  <w:num w:numId="13" w16cid:durableId="1619868577">
    <w:abstractNumId w:val="81"/>
  </w:num>
  <w:num w:numId="14" w16cid:durableId="236398688">
    <w:abstractNumId w:val="33"/>
  </w:num>
  <w:num w:numId="15" w16cid:durableId="182593466">
    <w:abstractNumId w:val="108"/>
  </w:num>
  <w:num w:numId="16" w16cid:durableId="1388648558">
    <w:abstractNumId w:val="105"/>
  </w:num>
  <w:num w:numId="17" w16cid:durableId="1144392596">
    <w:abstractNumId w:val="51"/>
  </w:num>
  <w:num w:numId="18" w16cid:durableId="582641221">
    <w:abstractNumId w:val="66"/>
  </w:num>
  <w:num w:numId="19" w16cid:durableId="210193454">
    <w:abstractNumId w:val="38"/>
  </w:num>
  <w:num w:numId="20" w16cid:durableId="83578190">
    <w:abstractNumId w:val="52"/>
  </w:num>
  <w:num w:numId="21" w16cid:durableId="1832721583">
    <w:abstractNumId w:val="135"/>
  </w:num>
  <w:num w:numId="22" w16cid:durableId="741634815">
    <w:abstractNumId w:val="22"/>
  </w:num>
  <w:num w:numId="23" w16cid:durableId="867109736">
    <w:abstractNumId w:val="91"/>
  </w:num>
  <w:num w:numId="24" w16cid:durableId="1898130749">
    <w:abstractNumId w:val="57"/>
  </w:num>
  <w:num w:numId="25" w16cid:durableId="325397761">
    <w:abstractNumId w:val="69"/>
  </w:num>
  <w:num w:numId="26" w16cid:durableId="1956478903">
    <w:abstractNumId w:val="88"/>
  </w:num>
  <w:num w:numId="27" w16cid:durableId="605230824">
    <w:abstractNumId w:val="3"/>
  </w:num>
  <w:num w:numId="28" w16cid:durableId="1230730054">
    <w:abstractNumId w:val="32"/>
  </w:num>
  <w:num w:numId="29" w16cid:durableId="503202051">
    <w:abstractNumId w:val="71"/>
  </w:num>
  <w:num w:numId="30" w16cid:durableId="1347440300">
    <w:abstractNumId w:val="120"/>
  </w:num>
  <w:num w:numId="31" w16cid:durableId="1847554577">
    <w:abstractNumId w:val="78"/>
  </w:num>
  <w:num w:numId="32" w16cid:durableId="639529925">
    <w:abstractNumId w:val="35"/>
  </w:num>
  <w:num w:numId="33" w16cid:durableId="1605648494">
    <w:abstractNumId w:val="130"/>
  </w:num>
  <w:num w:numId="34" w16cid:durableId="1397321687">
    <w:abstractNumId w:val="95"/>
  </w:num>
  <w:num w:numId="35" w16cid:durableId="236669747">
    <w:abstractNumId w:val="45"/>
  </w:num>
  <w:num w:numId="36" w16cid:durableId="735979179">
    <w:abstractNumId w:val="96"/>
  </w:num>
  <w:num w:numId="37" w16cid:durableId="750543634">
    <w:abstractNumId w:val="12"/>
  </w:num>
  <w:num w:numId="38" w16cid:durableId="1577782852">
    <w:abstractNumId w:val="113"/>
  </w:num>
  <w:num w:numId="39" w16cid:durableId="874660689">
    <w:abstractNumId w:val="129"/>
  </w:num>
  <w:num w:numId="40" w16cid:durableId="625618834">
    <w:abstractNumId w:val="80"/>
  </w:num>
  <w:num w:numId="41" w16cid:durableId="1266039401">
    <w:abstractNumId w:val="64"/>
  </w:num>
  <w:num w:numId="42" w16cid:durableId="170530371">
    <w:abstractNumId w:val="1"/>
  </w:num>
  <w:num w:numId="43" w16cid:durableId="934898983">
    <w:abstractNumId w:val="43"/>
  </w:num>
  <w:num w:numId="44" w16cid:durableId="860823810">
    <w:abstractNumId w:val="65"/>
  </w:num>
  <w:num w:numId="45" w16cid:durableId="1098401609">
    <w:abstractNumId w:val="124"/>
  </w:num>
  <w:num w:numId="46" w16cid:durableId="1421174095">
    <w:abstractNumId w:val="73"/>
  </w:num>
  <w:num w:numId="47" w16cid:durableId="1311058430">
    <w:abstractNumId w:val="100"/>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100"/>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21"/>
    <w:lvlOverride w:ilvl="0">
      <w:lvl w:ilvl="0">
        <w:numFmt w:val="decimal"/>
        <w:lvlText w:val="%1."/>
        <w:lvlJc w:val="left"/>
      </w:lvl>
    </w:lvlOverride>
  </w:num>
  <w:num w:numId="50" w16cid:durableId="1163352717">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63"/>
  </w:num>
  <w:num w:numId="52" w16cid:durableId="2134516957">
    <w:abstractNumId w:val="102"/>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102"/>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56"/>
  </w:num>
  <w:num w:numId="55" w16cid:durableId="482699082">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6"/>
    <w:lvlOverride w:ilvl="0">
      <w:lvl w:ilvl="0">
        <w:numFmt w:val="decimal"/>
        <w:lvlText w:val="%1."/>
        <w:lvlJc w:val="left"/>
      </w:lvl>
    </w:lvlOverride>
  </w:num>
  <w:num w:numId="57" w16cid:durableId="592128121">
    <w:abstractNumId w:val="61"/>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46"/>
  </w:num>
  <w:num w:numId="59" w16cid:durableId="1989505418">
    <w:abstractNumId w:val="0"/>
  </w:num>
  <w:num w:numId="60" w16cid:durableId="1412196425">
    <w:abstractNumId w:val="11"/>
  </w:num>
  <w:num w:numId="61" w16cid:durableId="1539197313">
    <w:abstractNumId w:val="10"/>
  </w:num>
  <w:num w:numId="62" w16cid:durableId="1536387558">
    <w:abstractNumId w:val="23"/>
  </w:num>
  <w:num w:numId="63" w16cid:durableId="2060979155">
    <w:abstractNumId w:val="121"/>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121"/>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121"/>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121"/>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25"/>
  </w:num>
  <w:num w:numId="68" w16cid:durableId="1042173741">
    <w:abstractNumId w:val="30"/>
  </w:num>
  <w:num w:numId="69" w16cid:durableId="1314607345">
    <w:abstractNumId w:val="55"/>
  </w:num>
  <w:num w:numId="70" w16cid:durableId="940794910">
    <w:abstractNumId w:val="18"/>
  </w:num>
  <w:num w:numId="71" w16cid:durableId="181550085">
    <w:abstractNumId w:val="74"/>
  </w:num>
  <w:num w:numId="72" w16cid:durableId="2055805501">
    <w:abstractNumId w:val="89"/>
  </w:num>
  <w:num w:numId="73" w16cid:durableId="1858884227">
    <w:abstractNumId w:val="72"/>
  </w:num>
  <w:num w:numId="74" w16cid:durableId="2022660746">
    <w:abstractNumId w:val="42"/>
  </w:num>
  <w:num w:numId="75" w16cid:durableId="2037195161">
    <w:abstractNumId w:val="48"/>
  </w:num>
  <w:num w:numId="76" w16cid:durableId="1004284984">
    <w:abstractNumId w:val="20"/>
  </w:num>
  <w:num w:numId="77" w16cid:durableId="1974823324">
    <w:abstractNumId w:val="9"/>
  </w:num>
  <w:num w:numId="78" w16cid:durableId="849948193">
    <w:abstractNumId w:val="111"/>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111"/>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103"/>
  </w:num>
  <w:num w:numId="81" w16cid:durableId="1187215243">
    <w:abstractNumId w:val="34"/>
  </w:num>
  <w:num w:numId="82" w16cid:durableId="1803451646">
    <w:abstractNumId w:val="93"/>
  </w:num>
  <w:num w:numId="83" w16cid:durableId="549804976">
    <w:abstractNumId w:val="2"/>
  </w:num>
  <w:num w:numId="84" w16cid:durableId="442651173">
    <w:abstractNumId w:val="49"/>
  </w:num>
  <w:num w:numId="85" w16cid:durableId="255016147">
    <w:abstractNumId w:val="27"/>
  </w:num>
  <w:num w:numId="86" w16cid:durableId="1430351160">
    <w:abstractNumId w:val="59"/>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59"/>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5"/>
  </w:num>
  <w:num w:numId="89" w16cid:durableId="110982434">
    <w:abstractNumId w:val="141"/>
  </w:num>
  <w:num w:numId="90" w16cid:durableId="1084180412">
    <w:abstractNumId w:val="77"/>
  </w:num>
  <w:num w:numId="91" w16cid:durableId="335692308">
    <w:abstractNumId w:val="60"/>
  </w:num>
  <w:num w:numId="92" w16cid:durableId="461922515">
    <w:abstractNumId w:val="75"/>
  </w:num>
  <w:num w:numId="93" w16cid:durableId="343046829">
    <w:abstractNumId w:val="5"/>
  </w:num>
  <w:num w:numId="94" w16cid:durableId="1647394107">
    <w:abstractNumId w:val="133"/>
  </w:num>
  <w:num w:numId="95" w16cid:durableId="1791243278">
    <w:abstractNumId w:val="50"/>
  </w:num>
  <w:num w:numId="96" w16cid:durableId="90322402">
    <w:abstractNumId w:val="97"/>
  </w:num>
  <w:num w:numId="97" w16cid:durableId="210456716">
    <w:abstractNumId w:val="70"/>
  </w:num>
  <w:num w:numId="98" w16cid:durableId="374308357">
    <w:abstractNumId w:val="125"/>
  </w:num>
  <w:num w:numId="99" w16cid:durableId="157617961">
    <w:abstractNumId w:val="67"/>
  </w:num>
  <w:num w:numId="100" w16cid:durableId="302662308">
    <w:abstractNumId w:val="98"/>
  </w:num>
  <w:num w:numId="101" w16cid:durableId="452483567">
    <w:abstractNumId w:val="136"/>
  </w:num>
  <w:num w:numId="102" w16cid:durableId="848178531">
    <w:abstractNumId w:val="110"/>
  </w:num>
  <w:num w:numId="103" w16cid:durableId="2131044930">
    <w:abstractNumId w:val="26"/>
  </w:num>
  <w:num w:numId="104" w16cid:durableId="57748354">
    <w:abstractNumId w:val="40"/>
  </w:num>
  <w:num w:numId="105" w16cid:durableId="1339234337">
    <w:abstractNumId w:val="17"/>
  </w:num>
  <w:num w:numId="106" w16cid:durableId="1176463378">
    <w:abstractNumId w:val="123"/>
  </w:num>
  <w:num w:numId="107" w16cid:durableId="755634338">
    <w:abstractNumId w:val="76"/>
  </w:num>
  <w:num w:numId="108" w16cid:durableId="1892035256">
    <w:abstractNumId w:val="131"/>
  </w:num>
  <w:num w:numId="109" w16cid:durableId="1379402849">
    <w:abstractNumId w:val="112"/>
  </w:num>
  <w:num w:numId="110" w16cid:durableId="429470372">
    <w:abstractNumId w:val="58"/>
  </w:num>
  <w:num w:numId="111" w16cid:durableId="1743403926">
    <w:abstractNumId w:val="115"/>
  </w:num>
  <w:num w:numId="112" w16cid:durableId="1557082793">
    <w:abstractNumId w:val="114"/>
  </w:num>
  <w:num w:numId="113" w16cid:durableId="1209340334">
    <w:abstractNumId w:val="47"/>
  </w:num>
  <w:num w:numId="114" w16cid:durableId="395907190">
    <w:abstractNumId w:val="62"/>
  </w:num>
  <w:num w:numId="115" w16cid:durableId="140856822">
    <w:abstractNumId w:val="116"/>
  </w:num>
  <w:num w:numId="116" w16cid:durableId="1702047321">
    <w:abstractNumId w:val="13"/>
  </w:num>
  <w:num w:numId="117" w16cid:durableId="1758746323">
    <w:abstractNumId w:val="4"/>
  </w:num>
  <w:num w:numId="118" w16cid:durableId="1510411384">
    <w:abstractNumId w:val="36"/>
  </w:num>
  <w:num w:numId="119" w16cid:durableId="128863640">
    <w:abstractNumId w:val="19"/>
  </w:num>
  <w:num w:numId="120" w16cid:durableId="844367897">
    <w:abstractNumId w:val="79"/>
  </w:num>
  <w:num w:numId="121" w16cid:durableId="600725041">
    <w:abstractNumId w:val="83"/>
  </w:num>
  <w:num w:numId="122" w16cid:durableId="1067992578">
    <w:abstractNumId w:val="94"/>
  </w:num>
  <w:num w:numId="123" w16cid:durableId="1629777756">
    <w:abstractNumId w:val="139"/>
  </w:num>
  <w:num w:numId="124" w16cid:durableId="387152835">
    <w:abstractNumId w:val="134"/>
  </w:num>
  <w:num w:numId="125" w16cid:durableId="1663465190">
    <w:abstractNumId w:val="41"/>
  </w:num>
  <w:num w:numId="126" w16cid:durableId="896010066">
    <w:abstractNumId w:val="31"/>
  </w:num>
  <w:num w:numId="127" w16cid:durableId="1423380285">
    <w:abstractNumId w:val="14"/>
  </w:num>
  <w:num w:numId="128" w16cid:durableId="1879079669">
    <w:abstractNumId w:val="122"/>
  </w:num>
  <w:num w:numId="129" w16cid:durableId="16002877">
    <w:abstractNumId w:val="106"/>
  </w:num>
  <w:num w:numId="130" w16cid:durableId="1684165840">
    <w:abstractNumId w:val="84"/>
  </w:num>
  <w:num w:numId="131" w16cid:durableId="269625830">
    <w:abstractNumId w:val="68"/>
  </w:num>
  <w:num w:numId="132" w16cid:durableId="1715545422">
    <w:abstractNumId w:val="127"/>
  </w:num>
  <w:num w:numId="133" w16cid:durableId="1661228651">
    <w:abstractNumId w:val="7"/>
  </w:num>
  <w:num w:numId="134" w16cid:durableId="1023090533">
    <w:abstractNumId w:val="44"/>
  </w:num>
  <w:num w:numId="135" w16cid:durableId="896672819">
    <w:abstractNumId w:val="86"/>
  </w:num>
  <w:num w:numId="136" w16cid:durableId="1393387501">
    <w:abstractNumId w:val="29"/>
  </w:num>
  <w:num w:numId="137" w16cid:durableId="718892926">
    <w:abstractNumId w:val="143"/>
  </w:num>
  <w:num w:numId="138" w16cid:durableId="698312146">
    <w:abstractNumId w:val="140"/>
  </w:num>
  <w:num w:numId="139" w16cid:durableId="964821586">
    <w:abstractNumId w:val="126"/>
  </w:num>
  <w:num w:numId="140" w16cid:durableId="2102021372">
    <w:abstractNumId w:val="37"/>
  </w:num>
  <w:num w:numId="141" w16cid:durableId="108477237">
    <w:abstractNumId w:val="8"/>
  </w:num>
  <w:num w:numId="142" w16cid:durableId="1321034683">
    <w:abstractNumId w:val="118"/>
  </w:num>
  <w:num w:numId="143" w16cid:durableId="1337655620">
    <w:abstractNumId w:val="142"/>
  </w:num>
  <w:num w:numId="144" w16cid:durableId="1178927392">
    <w:abstractNumId w:val="24"/>
  </w:num>
  <w:num w:numId="145" w16cid:durableId="546379825">
    <w:abstractNumId w:val="117"/>
  </w:num>
  <w:num w:numId="146" w16cid:durableId="538321476">
    <w:abstractNumId w:val="138"/>
  </w:num>
  <w:num w:numId="147" w16cid:durableId="622662441">
    <w:abstractNumId w:val="82"/>
  </w:num>
  <w:num w:numId="148" w16cid:durableId="1739279672">
    <w:abstractNumId w:val="109"/>
  </w:num>
  <w:num w:numId="149" w16cid:durableId="842821837">
    <w:abstractNumId w:val="54"/>
  </w:num>
  <w:num w:numId="150" w16cid:durableId="1794591932">
    <w:abstractNumId w:val="99"/>
  </w:num>
  <w:num w:numId="151" w16cid:durableId="581522735">
    <w:abstractNumId w:val="10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lt;record-ids&gt;&lt;item&gt;144&lt;/item&gt;&lt;item&gt;145&lt;/item&gt;&lt;item&gt;146&lt;/item&gt;&lt;item&gt;148&lt;/item&gt;&lt;item&gt;151&lt;/item&gt;&lt;item&gt;156&lt;/item&gt;&lt;item&gt;158&lt;/item&gt;&lt;item&gt;164&lt;/item&gt;&lt;item&gt;165&lt;/item&gt;&lt;item&gt;167&lt;/item&gt;&lt;item&gt;170&lt;/item&gt;&lt;item&gt;175&lt;/item&gt;&lt;item&gt;176&lt;/item&gt;&lt;item&gt;177&lt;/item&gt;&lt;item&gt;178&lt;/item&gt;&lt;item&gt;179&lt;/item&gt;&lt;item&gt;180&lt;/item&gt;&lt;item&gt;181&lt;/item&gt;&lt;item&gt;182&lt;/item&gt;&lt;item&gt;183&lt;/item&gt;&lt;item&gt;185&lt;/item&gt;&lt;item&gt;187&lt;/item&gt;&lt;item&gt;188&lt;/item&gt;&lt;item&gt;218&lt;/item&gt;&lt;item&gt;246&lt;/item&gt;&lt;item&gt;247&lt;/item&gt;&lt;item&gt;248&lt;/item&gt;&lt;item&gt;249&lt;/item&gt;&lt;item&gt;252&lt;/item&gt;&lt;item&gt;253&lt;/item&gt;&lt;item&gt;254&lt;/item&gt;&lt;item&gt;256&lt;/item&gt;&lt;item&gt;258&lt;/item&gt;&lt;item&gt;261&lt;/item&gt;&lt;item&gt;262&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3AD7"/>
    <w:rsid w:val="0000479E"/>
    <w:rsid w:val="00004971"/>
    <w:rsid w:val="00004C05"/>
    <w:rsid w:val="0000692A"/>
    <w:rsid w:val="00006A1F"/>
    <w:rsid w:val="000148CB"/>
    <w:rsid w:val="00015F0D"/>
    <w:rsid w:val="00016ACB"/>
    <w:rsid w:val="0002038B"/>
    <w:rsid w:val="00022214"/>
    <w:rsid w:val="000234FD"/>
    <w:rsid w:val="00027A34"/>
    <w:rsid w:val="0003027E"/>
    <w:rsid w:val="000322E7"/>
    <w:rsid w:val="00035A9D"/>
    <w:rsid w:val="00042341"/>
    <w:rsid w:val="00043142"/>
    <w:rsid w:val="00044CFD"/>
    <w:rsid w:val="000462A2"/>
    <w:rsid w:val="000500A5"/>
    <w:rsid w:val="0005079C"/>
    <w:rsid w:val="000539FD"/>
    <w:rsid w:val="00054F0A"/>
    <w:rsid w:val="00057652"/>
    <w:rsid w:val="00061954"/>
    <w:rsid w:val="00061A09"/>
    <w:rsid w:val="000636E4"/>
    <w:rsid w:val="000654F3"/>
    <w:rsid w:val="00065CC3"/>
    <w:rsid w:val="000665BF"/>
    <w:rsid w:val="0007430F"/>
    <w:rsid w:val="00076240"/>
    <w:rsid w:val="00083266"/>
    <w:rsid w:val="00087E4F"/>
    <w:rsid w:val="00090A9C"/>
    <w:rsid w:val="00092C24"/>
    <w:rsid w:val="000940A0"/>
    <w:rsid w:val="00094A7A"/>
    <w:rsid w:val="00097E8F"/>
    <w:rsid w:val="000A1987"/>
    <w:rsid w:val="000A1D3E"/>
    <w:rsid w:val="000A1E46"/>
    <w:rsid w:val="000A310D"/>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C258C"/>
    <w:rsid w:val="000D0869"/>
    <w:rsid w:val="000D21B5"/>
    <w:rsid w:val="000D3EAE"/>
    <w:rsid w:val="000D5131"/>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59CC"/>
    <w:rsid w:val="001163C7"/>
    <w:rsid w:val="00116AE4"/>
    <w:rsid w:val="00117CA1"/>
    <w:rsid w:val="00123F6A"/>
    <w:rsid w:val="00125F5F"/>
    <w:rsid w:val="00131B56"/>
    <w:rsid w:val="00131F17"/>
    <w:rsid w:val="00132DA8"/>
    <w:rsid w:val="00137F65"/>
    <w:rsid w:val="00140863"/>
    <w:rsid w:val="001428C4"/>
    <w:rsid w:val="0015086B"/>
    <w:rsid w:val="00152104"/>
    <w:rsid w:val="00154D4E"/>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5804"/>
    <w:rsid w:val="001A680C"/>
    <w:rsid w:val="001B0E73"/>
    <w:rsid w:val="001B1D45"/>
    <w:rsid w:val="001B23C1"/>
    <w:rsid w:val="001B4DC1"/>
    <w:rsid w:val="001C01BE"/>
    <w:rsid w:val="001C2527"/>
    <w:rsid w:val="001C2889"/>
    <w:rsid w:val="001C3DA0"/>
    <w:rsid w:val="001C426A"/>
    <w:rsid w:val="001C4D44"/>
    <w:rsid w:val="001C72AD"/>
    <w:rsid w:val="001C7DB2"/>
    <w:rsid w:val="001D1F2C"/>
    <w:rsid w:val="001D47AD"/>
    <w:rsid w:val="001D577E"/>
    <w:rsid w:val="001E1A72"/>
    <w:rsid w:val="001E252D"/>
    <w:rsid w:val="001E32DF"/>
    <w:rsid w:val="001E3406"/>
    <w:rsid w:val="001E525F"/>
    <w:rsid w:val="001E5385"/>
    <w:rsid w:val="001E6447"/>
    <w:rsid w:val="001E7C73"/>
    <w:rsid w:val="001F233E"/>
    <w:rsid w:val="001F3F7F"/>
    <w:rsid w:val="001F4C58"/>
    <w:rsid w:val="00200A76"/>
    <w:rsid w:val="002018CB"/>
    <w:rsid w:val="0020239B"/>
    <w:rsid w:val="00203761"/>
    <w:rsid w:val="0021013A"/>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50CC6"/>
    <w:rsid w:val="002511D2"/>
    <w:rsid w:val="00251580"/>
    <w:rsid w:val="00251FD3"/>
    <w:rsid w:val="00254976"/>
    <w:rsid w:val="00257F01"/>
    <w:rsid w:val="002616CF"/>
    <w:rsid w:val="00261AF8"/>
    <w:rsid w:val="00262403"/>
    <w:rsid w:val="00262A0F"/>
    <w:rsid w:val="00263733"/>
    <w:rsid w:val="00264677"/>
    <w:rsid w:val="00265C31"/>
    <w:rsid w:val="00274C5B"/>
    <w:rsid w:val="00276B55"/>
    <w:rsid w:val="00280585"/>
    <w:rsid w:val="00283B32"/>
    <w:rsid w:val="002841B5"/>
    <w:rsid w:val="002851AE"/>
    <w:rsid w:val="0028611F"/>
    <w:rsid w:val="00290C30"/>
    <w:rsid w:val="00291C10"/>
    <w:rsid w:val="002A053F"/>
    <w:rsid w:val="002A113E"/>
    <w:rsid w:val="002A14C3"/>
    <w:rsid w:val="002A6EC2"/>
    <w:rsid w:val="002A7050"/>
    <w:rsid w:val="002A7904"/>
    <w:rsid w:val="002B234B"/>
    <w:rsid w:val="002B2817"/>
    <w:rsid w:val="002B3E1B"/>
    <w:rsid w:val="002B6766"/>
    <w:rsid w:val="002C2285"/>
    <w:rsid w:val="002D019D"/>
    <w:rsid w:val="002D05F0"/>
    <w:rsid w:val="002D3349"/>
    <w:rsid w:val="002D638C"/>
    <w:rsid w:val="002D68BB"/>
    <w:rsid w:val="002E03CF"/>
    <w:rsid w:val="002E15D3"/>
    <w:rsid w:val="002E6AD0"/>
    <w:rsid w:val="002F016F"/>
    <w:rsid w:val="002F0EEA"/>
    <w:rsid w:val="002F20A7"/>
    <w:rsid w:val="002F20B5"/>
    <w:rsid w:val="002F3D82"/>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2712A"/>
    <w:rsid w:val="00330031"/>
    <w:rsid w:val="003335C4"/>
    <w:rsid w:val="00333FF1"/>
    <w:rsid w:val="00334002"/>
    <w:rsid w:val="00336EAC"/>
    <w:rsid w:val="00343773"/>
    <w:rsid w:val="003535B0"/>
    <w:rsid w:val="00356156"/>
    <w:rsid w:val="00360A3F"/>
    <w:rsid w:val="003610B7"/>
    <w:rsid w:val="003618DC"/>
    <w:rsid w:val="00364C07"/>
    <w:rsid w:val="003667E3"/>
    <w:rsid w:val="00370539"/>
    <w:rsid w:val="003735F5"/>
    <w:rsid w:val="00373F04"/>
    <w:rsid w:val="00375FDB"/>
    <w:rsid w:val="00377CB0"/>
    <w:rsid w:val="00381E67"/>
    <w:rsid w:val="003878D7"/>
    <w:rsid w:val="00390B53"/>
    <w:rsid w:val="00392B50"/>
    <w:rsid w:val="00393F0C"/>
    <w:rsid w:val="00394424"/>
    <w:rsid w:val="00395E1F"/>
    <w:rsid w:val="00397058"/>
    <w:rsid w:val="00397A44"/>
    <w:rsid w:val="003A00C3"/>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959"/>
    <w:rsid w:val="003E1E60"/>
    <w:rsid w:val="003E2605"/>
    <w:rsid w:val="003F2D46"/>
    <w:rsid w:val="003F481E"/>
    <w:rsid w:val="003F6189"/>
    <w:rsid w:val="003F69BC"/>
    <w:rsid w:val="003F7AF9"/>
    <w:rsid w:val="004010D0"/>
    <w:rsid w:val="00402407"/>
    <w:rsid w:val="00404376"/>
    <w:rsid w:val="0040510D"/>
    <w:rsid w:val="004120DC"/>
    <w:rsid w:val="00413AEF"/>
    <w:rsid w:val="00414946"/>
    <w:rsid w:val="00431907"/>
    <w:rsid w:val="0043449E"/>
    <w:rsid w:val="00435137"/>
    <w:rsid w:val="00436B59"/>
    <w:rsid w:val="004373E9"/>
    <w:rsid w:val="004413CD"/>
    <w:rsid w:val="00442185"/>
    <w:rsid w:val="0044258D"/>
    <w:rsid w:val="00443A60"/>
    <w:rsid w:val="00443F33"/>
    <w:rsid w:val="00444B1D"/>
    <w:rsid w:val="00444B3C"/>
    <w:rsid w:val="00445C60"/>
    <w:rsid w:val="00451443"/>
    <w:rsid w:val="0045254E"/>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87338"/>
    <w:rsid w:val="00492059"/>
    <w:rsid w:val="00492E40"/>
    <w:rsid w:val="00493C51"/>
    <w:rsid w:val="004A10BC"/>
    <w:rsid w:val="004A2908"/>
    <w:rsid w:val="004A366F"/>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54EA"/>
    <w:rsid w:val="004E69CA"/>
    <w:rsid w:val="004F1607"/>
    <w:rsid w:val="004F1964"/>
    <w:rsid w:val="004F1CF1"/>
    <w:rsid w:val="004F4E13"/>
    <w:rsid w:val="004F513A"/>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F85"/>
    <w:rsid w:val="00546BB3"/>
    <w:rsid w:val="005532E5"/>
    <w:rsid w:val="0055373F"/>
    <w:rsid w:val="00554689"/>
    <w:rsid w:val="00560CC1"/>
    <w:rsid w:val="00565D66"/>
    <w:rsid w:val="00566743"/>
    <w:rsid w:val="0056720C"/>
    <w:rsid w:val="00573910"/>
    <w:rsid w:val="00574062"/>
    <w:rsid w:val="00575C1B"/>
    <w:rsid w:val="0057638E"/>
    <w:rsid w:val="00577A3B"/>
    <w:rsid w:val="00577B79"/>
    <w:rsid w:val="00582F9E"/>
    <w:rsid w:val="00584F7C"/>
    <w:rsid w:val="0059061D"/>
    <w:rsid w:val="005922C4"/>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3DA2"/>
    <w:rsid w:val="005D1768"/>
    <w:rsid w:val="005D2492"/>
    <w:rsid w:val="005D670B"/>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38AA"/>
    <w:rsid w:val="00633F98"/>
    <w:rsid w:val="00634932"/>
    <w:rsid w:val="0063698A"/>
    <w:rsid w:val="00636A0A"/>
    <w:rsid w:val="0063750A"/>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5E20"/>
    <w:rsid w:val="00667BBF"/>
    <w:rsid w:val="00667D1C"/>
    <w:rsid w:val="006731F3"/>
    <w:rsid w:val="006758A1"/>
    <w:rsid w:val="00676B85"/>
    <w:rsid w:val="00680415"/>
    <w:rsid w:val="0068489C"/>
    <w:rsid w:val="00684F06"/>
    <w:rsid w:val="006850A4"/>
    <w:rsid w:val="00687F77"/>
    <w:rsid w:val="006946BE"/>
    <w:rsid w:val="00695F89"/>
    <w:rsid w:val="006A135E"/>
    <w:rsid w:val="006A7DC3"/>
    <w:rsid w:val="006B09CC"/>
    <w:rsid w:val="006B1075"/>
    <w:rsid w:val="006B3448"/>
    <w:rsid w:val="006B366F"/>
    <w:rsid w:val="006B51C2"/>
    <w:rsid w:val="006B6ABE"/>
    <w:rsid w:val="006B6F89"/>
    <w:rsid w:val="006B790B"/>
    <w:rsid w:val="006C10F3"/>
    <w:rsid w:val="006C2E76"/>
    <w:rsid w:val="006C54C9"/>
    <w:rsid w:val="006D1271"/>
    <w:rsid w:val="006D1724"/>
    <w:rsid w:val="006E5221"/>
    <w:rsid w:val="006E53C5"/>
    <w:rsid w:val="006E60E7"/>
    <w:rsid w:val="006E7A0B"/>
    <w:rsid w:val="006F1837"/>
    <w:rsid w:val="006F26E4"/>
    <w:rsid w:val="006F3CD1"/>
    <w:rsid w:val="006F52A6"/>
    <w:rsid w:val="006F65E8"/>
    <w:rsid w:val="006F6F1E"/>
    <w:rsid w:val="0070272D"/>
    <w:rsid w:val="00702784"/>
    <w:rsid w:val="0070279A"/>
    <w:rsid w:val="00703A9A"/>
    <w:rsid w:val="00704C25"/>
    <w:rsid w:val="00705F1D"/>
    <w:rsid w:val="00706AC7"/>
    <w:rsid w:val="00711248"/>
    <w:rsid w:val="00715EF1"/>
    <w:rsid w:val="00717BD6"/>
    <w:rsid w:val="00721ED4"/>
    <w:rsid w:val="007239AC"/>
    <w:rsid w:val="00723E95"/>
    <w:rsid w:val="0072412B"/>
    <w:rsid w:val="007318EF"/>
    <w:rsid w:val="00733953"/>
    <w:rsid w:val="00736364"/>
    <w:rsid w:val="0073642B"/>
    <w:rsid w:val="00736666"/>
    <w:rsid w:val="00740AB1"/>
    <w:rsid w:val="00742306"/>
    <w:rsid w:val="00744715"/>
    <w:rsid w:val="00745F2F"/>
    <w:rsid w:val="007507AF"/>
    <w:rsid w:val="00750F2F"/>
    <w:rsid w:val="00754496"/>
    <w:rsid w:val="007603EA"/>
    <w:rsid w:val="00766568"/>
    <w:rsid w:val="0076684E"/>
    <w:rsid w:val="00766A58"/>
    <w:rsid w:val="007718B7"/>
    <w:rsid w:val="00771F29"/>
    <w:rsid w:val="0077321B"/>
    <w:rsid w:val="00776407"/>
    <w:rsid w:val="007764F4"/>
    <w:rsid w:val="00776AB8"/>
    <w:rsid w:val="0078042C"/>
    <w:rsid w:val="00781550"/>
    <w:rsid w:val="007822A3"/>
    <w:rsid w:val="00783618"/>
    <w:rsid w:val="00785D8E"/>
    <w:rsid w:val="00790119"/>
    <w:rsid w:val="00793616"/>
    <w:rsid w:val="007956F0"/>
    <w:rsid w:val="007969DC"/>
    <w:rsid w:val="00797AF9"/>
    <w:rsid w:val="007A24A6"/>
    <w:rsid w:val="007A31DC"/>
    <w:rsid w:val="007A489B"/>
    <w:rsid w:val="007A4DCA"/>
    <w:rsid w:val="007A64CE"/>
    <w:rsid w:val="007A7C00"/>
    <w:rsid w:val="007A7D6E"/>
    <w:rsid w:val="007B29E4"/>
    <w:rsid w:val="007B3426"/>
    <w:rsid w:val="007B3995"/>
    <w:rsid w:val="007B3A5C"/>
    <w:rsid w:val="007B4CBF"/>
    <w:rsid w:val="007C0F57"/>
    <w:rsid w:val="007C1F01"/>
    <w:rsid w:val="007C428F"/>
    <w:rsid w:val="007D2FCC"/>
    <w:rsid w:val="007D39B9"/>
    <w:rsid w:val="007D7D94"/>
    <w:rsid w:val="007E15C4"/>
    <w:rsid w:val="007E262A"/>
    <w:rsid w:val="007E282E"/>
    <w:rsid w:val="007E3985"/>
    <w:rsid w:val="007E5BA4"/>
    <w:rsid w:val="007F4183"/>
    <w:rsid w:val="007F4DC9"/>
    <w:rsid w:val="008022F1"/>
    <w:rsid w:val="00802EEF"/>
    <w:rsid w:val="00807A51"/>
    <w:rsid w:val="00810AE7"/>
    <w:rsid w:val="00813540"/>
    <w:rsid w:val="00813C16"/>
    <w:rsid w:val="008146AC"/>
    <w:rsid w:val="008173B3"/>
    <w:rsid w:val="00817E2A"/>
    <w:rsid w:val="00820A0F"/>
    <w:rsid w:val="00821E8B"/>
    <w:rsid w:val="00823077"/>
    <w:rsid w:val="00823BC5"/>
    <w:rsid w:val="00824096"/>
    <w:rsid w:val="0082447D"/>
    <w:rsid w:val="00826F9A"/>
    <w:rsid w:val="00831B04"/>
    <w:rsid w:val="0083411F"/>
    <w:rsid w:val="00840269"/>
    <w:rsid w:val="00841E70"/>
    <w:rsid w:val="00846C82"/>
    <w:rsid w:val="00847344"/>
    <w:rsid w:val="00850F57"/>
    <w:rsid w:val="00852990"/>
    <w:rsid w:val="00854E14"/>
    <w:rsid w:val="0086026A"/>
    <w:rsid w:val="0086333D"/>
    <w:rsid w:val="00864B2B"/>
    <w:rsid w:val="00867B43"/>
    <w:rsid w:val="008757F7"/>
    <w:rsid w:val="00875F20"/>
    <w:rsid w:val="008806D9"/>
    <w:rsid w:val="008812B3"/>
    <w:rsid w:val="0088301D"/>
    <w:rsid w:val="0088325B"/>
    <w:rsid w:val="00883E09"/>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5953"/>
    <w:rsid w:val="008B5C39"/>
    <w:rsid w:val="008C140C"/>
    <w:rsid w:val="008C2AA8"/>
    <w:rsid w:val="008C2ADD"/>
    <w:rsid w:val="008C3F9B"/>
    <w:rsid w:val="008C4024"/>
    <w:rsid w:val="008D1B67"/>
    <w:rsid w:val="008D49CC"/>
    <w:rsid w:val="008D5F2C"/>
    <w:rsid w:val="008D7A9B"/>
    <w:rsid w:val="008E0368"/>
    <w:rsid w:val="008E18C4"/>
    <w:rsid w:val="008E1DF8"/>
    <w:rsid w:val="008E6B1C"/>
    <w:rsid w:val="008E7947"/>
    <w:rsid w:val="008F4280"/>
    <w:rsid w:val="008F61CB"/>
    <w:rsid w:val="0090102E"/>
    <w:rsid w:val="00903A36"/>
    <w:rsid w:val="009043EA"/>
    <w:rsid w:val="00907396"/>
    <w:rsid w:val="00910399"/>
    <w:rsid w:val="009108EA"/>
    <w:rsid w:val="009139AE"/>
    <w:rsid w:val="00916122"/>
    <w:rsid w:val="00917C97"/>
    <w:rsid w:val="00920F58"/>
    <w:rsid w:val="00922314"/>
    <w:rsid w:val="00927C69"/>
    <w:rsid w:val="00930E7C"/>
    <w:rsid w:val="00935527"/>
    <w:rsid w:val="009357B9"/>
    <w:rsid w:val="00935FC3"/>
    <w:rsid w:val="0093756B"/>
    <w:rsid w:val="009400C2"/>
    <w:rsid w:val="009424FD"/>
    <w:rsid w:val="0094435C"/>
    <w:rsid w:val="00945602"/>
    <w:rsid w:val="009462FA"/>
    <w:rsid w:val="00946F5B"/>
    <w:rsid w:val="009505DD"/>
    <w:rsid w:val="009527AA"/>
    <w:rsid w:val="00955905"/>
    <w:rsid w:val="0096281F"/>
    <w:rsid w:val="00962E14"/>
    <w:rsid w:val="0096761A"/>
    <w:rsid w:val="009676BE"/>
    <w:rsid w:val="009705B3"/>
    <w:rsid w:val="00970779"/>
    <w:rsid w:val="00970784"/>
    <w:rsid w:val="00971016"/>
    <w:rsid w:val="00971603"/>
    <w:rsid w:val="00974AA7"/>
    <w:rsid w:val="00977837"/>
    <w:rsid w:val="00981096"/>
    <w:rsid w:val="009813A6"/>
    <w:rsid w:val="009813DB"/>
    <w:rsid w:val="00983200"/>
    <w:rsid w:val="00984A64"/>
    <w:rsid w:val="00986F65"/>
    <w:rsid w:val="0098742E"/>
    <w:rsid w:val="00990418"/>
    <w:rsid w:val="00995E24"/>
    <w:rsid w:val="009A0B22"/>
    <w:rsid w:val="009A38B6"/>
    <w:rsid w:val="009A4D5A"/>
    <w:rsid w:val="009A6041"/>
    <w:rsid w:val="009A672F"/>
    <w:rsid w:val="009A689A"/>
    <w:rsid w:val="009B044E"/>
    <w:rsid w:val="009B0F6B"/>
    <w:rsid w:val="009B1AC3"/>
    <w:rsid w:val="009B7B1F"/>
    <w:rsid w:val="009C1DA1"/>
    <w:rsid w:val="009C1FA5"/>
    <w:rsid w:val="009C2244"/>
    <w:rsid w:val="009C3C7B"/>
    <w:rsid w:val="009C5AEE"/>
    <w:rsid w:val="009C76D6"/>
    <w:rsid w:val="009C7B18"/>
    <w:rsid w:val="009D1D31"/>
    <w:rsid w:val="009D5A9D"/>
    <w:rsid w:val="009D67BD"/>
    <w:rsid w:val="009D7A47"/>
    <w:rsid w:val="009E4604"/>
    <w:rsid w:val="009E58EB"/>
    <w:rsid w:val="009F0B77"/>
    <w:rsid w:val="009F1183"/>
    <w:rsid w:val="009F1514"/>
    <w:rsid w:val="009F1791"/>
    <w:rsid w:val="009F1FCE"/>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061"/>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572F9"/>
    <w:rsid w:val="00A60347"/>
    <w:rsid w:val="00A60348"/>
    <w:rsid w:val="00A6093A"/>
    <w:rsid w:val="00A62487"/>
    <w:rsid w:val="00A63AF0"/>
    <w:rsid w:val="00A64983"/>
    <w:rsid w:val="00A64F6A"/>
    <w:rsid w:val="00A67DF9"/>
    <w:rsid w:val="00A67E70"/>
    <w:rsid w:val="00A70534"/>
    <w:rsid w:val="00A70CE4"/>
    <w:rsid w:val="00A717CD"/>
    <w:rsid w:val="00A73A46"/>
    <w:rsid w:val="00A74A2B"/>
    <w:rsid w:val="00A7525C"/>
    <w:rsid w:val="00A77B25"/>
    <w:rsid w:val="00A80484"/>
    <w:rsid w:val="00A807E7"/>
    <w:rsid w:val="00A817A8"/>
    <w:rsid w:val="00A82CB2"/>
    <w:rsid w:val="00A83153"/>
    <w:rsid w:val="00A8785A"/>
    <w:rsid w:val="00A90432"/>
    <w:rsid w:val="00A94A1A"/>
    <w:rsid w:val="00A94DC6"/>
    <w:rsid w:val="00AA254D"/>
    <w:rsid w:val="00AA2E7B"/>
    <w:rsid w:val="00AA4260"/>
    <w:rsid w:val="00AA47C0"/>
    <w:rsid w:val="00AA5C65"/>
    <w:rsid w:val="00AA6121"/>
    <w:rsid w:val="00AB0DB7"/>
    <w:rsid w:val="00AB0E27"/>
    <w:rsid w:val="00AB7BF2"/>
    <w:rsid w:val="00AC24D4"/>
    <w:rsid w:val="00AC4332"/>
    <w:rsid w:val="00AC46F5"/>
    <w:rsid w:val="00AC4F32"/>
    <w:rsid w:val="00AC6F69"/>
    <w:rsid w:val="00AD191A"/>
    <w:rsid w:val="00AD5DDB"/>
    <w:rsid w:val="00AD704E"/>
    <w:rsid w:val="00AD783C"/>
    <w:rsid w:val="00AE30A0"/>
    <w:rsid w:val="00AE5CDE"/>
    <w:rsid w:val="00AE6B9C"/>
    <w:rsid w:val="00AF0D45"/>
    <w:rsid w:val="00AF62C2"/>
    <w:rsid w:val="00B00D76"/>
    <w:rsid w:val="00B01477"/>
    <w:rsid w:val="00B0197B"/>
    <w:rsid w:val="00B03D10"/>
    <w:rsid w:val="00B05BF7"/>
    <w:rsid w:val="00B05FDA"/>
    <w:rsid w:val="00B06981"/>
    <w:rsid w:val="00B135BA"/>
    <w:rsid w:val="00B146C0"/>
    <w:rsid w:val="00B170EE"/>
    <w:rsid w:val="00B176F1"/>
    <w:rsid w:val="00B2444E"/>
    <w:rsid w:val="00B25493"/>
    <w:rsid w:val="00B25657"/>
    <w:rsid w:val="00B27C81"/>
    <w:rsid w:val="00B32469"/>
    <w:rsid w:val="00B32E4E"/>
    <w:rsid w:val="00B33476"/>
    <w:rsid w:val="00B35AA1"/>
    <w:rsid w:val="00B43D93"/>
    <w:rsid w:val="00B43F32"/>
    <w:rsid w:val="00B4456F"/>
    <w:rsid w:val="00B458CA"/>
    <w:rsid w:val="00B601BC"/>
    <w:rsid w:val="00B6050A"/>
    <w:rsid w:val="00B61F61"/>
    <w:rsid w:val="00B63BBC"/>
    <w:rsid w:val="00B72DD9"/>
    <w:rsid w:val="00B72EB2"/>
    <w:rsid w:val="00B76A68"/>
    <w:rsid w:val="00B802A8"/>
    <w:rsid w:val="00B8132E"/>
    <w:rsid w:val="00B81AA9"/>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7E4"/>
    <w:rsid w:val="00BD242B"/>
    <w:rsid w:val="00BD4333"/>
    <w:rsid w:val="00BD43F5"/>
    <w:rsid w:val="00BD4C5B"/>
    <w:rsid w:val="00BD5BF2"/>
    <w:rsid w:val="00BD6EF7"/>
    <w:rsid w:val="00BE07E2"/>
    <w:rsid w:val="00BE16B9"/>
    <w:rsid w:val="00BE2447"/>
    <w:rsid w:val="00BE253C"/>
    <w:rsid w:val="00BE2AD6"/>
    <w:rsid w:val="00BE4B10"/>
    <w:rsid w:val="00BE577C"/>
    <w:rsid w:val="00BE596B"/>
    <w:rsid w:val="00BE609B"/>
    <w:rsid w:val="00BF00BC"/>
    <w:rsid w:val="00BF0A1E"/>
    <w:rsid w:val="00BF10E4"/>
    <w:rsid w:val="00BF20DB"/>
    <w:rsid w:val="00BF2A76"/>
    <w:rsid w:val="00BF4225"/>
    <w:rsid w:val="00BF50E5"/>
    <w:rsid w:val="00BF7480"/>
    <w:rsid w:val="00C0027F"/>
    <w:rsid w:val="00C06B85"/>
    <w:rsid w:val="00C07820"/>
    <w:rsid w:val="00C07F58"/>
    <w:rsid w:val="00C11026"/>
    <w:rsid w:val="00C1168C"/>
    <w:rsid w:val="00C12488"/>
    <w:rsid w:val="00C12A50"/>
    <w:rsid w:val="00C1324B"/>
    <w:rsid w:val="00C144E4"/>
    <w:rsid w:val="00C14900"/>
    <w:rsid w:val="00C2122A"/>
    <w:rsid w:val="00C2376A"/>
    <w:rsid w:val="00C27F64"/>
    <w:rsid w:val="00C34D41"/>
    <w:rsid w:val="00C34E8B"/>
    <w:rsid w:val="00C35121"/>
    <w:rsid w:val="00C35EB8"/>
    <w:rsid w:val="00C367CA"/>
    <w:rsid w:val="00C370EC"/>
    <w:rsid w:val="00C3753A"/>
    <w:rsid w:val="00C415C4"/>
    <w:rsid w:val="00C44E75"/>
    <w:rsid w:val="00C45804"/>
    <w:rsid w:val="00C45B23"/>
    <w:rsid w:val="00C472D8"/>
    <w:rsid w:val="00C476E1"/>
    <w:rsid w:val="00C515D4"/>
    <w:rsid w:val="00C52D43"/>
    <w:rsid w:val="00C53130"/>
    <w:rsid w:val="00C53D9D"/>
    <w:rsid w:val="00C53FBD"/>
    <w:rsid w:val="00C54FEC"/>
    <w:rsid w:val="00C55181"/>
    <w:rsid w:val="00C557C5"/>
    <w:rsid w:val="00C56B6D"/>
    <w:rsid w:val="00C61182"/>
    <w:rsid w:val="00C625EA"/>
    <w:rsid w:val="00C62DC1"/>
    <w:rsid w:val="00C65225"/>
    <w:rsid w:val="00C73E8C"/>
    <w:rsid w:val="00C7436B"/>
    <w:rsid w:val="00C74AAF"/>
    <w:rsid w:val="00C76706"/>
    <w:rsid w:val="00C81373"/>
    <w:rsid w:val="00C8596E"/>
    <w:rsid w:val="00C85E0A"/>
    <w:rsid w:val="00C87AB5"/>
    <w:rsid w:val="00C92050"/>
    <w:rsid w:val="00C92652"/>
    <w:rsid w:val="00C93ED6"/>
    <w:rsid w:val="00C940BE"/>
    <w:rsid w:val="00CA1B14"/>
    <w:rsid w:val="00CA7DAC"/>
    <w:rsid w:val="00CB0A76"/>
    <w:rsid w:val="00CB0E67"/>
    <w:rsid w:val="00CB1282"/>
    <w:rsid w:val="00CB35D3"/>
    <w:rsid w:val="00CB5D24"/>
    <w:rsid w:val="00CB5E65"/>
    <w:rsid w:val="00CC365B"/>
    <w:rsid w:val="00CC3C32"/>
    <w:rsid w:val="00CD1ABB"/>
    <w:rsid w:val="00CD1C41"/>
    <w:rsid w:val="00CD2E00"/>
    <w:rsid w:val="00CD3A50"/>
    <w:rsid w:val="00CD67C0"/>
    <w:rsid w:val="00CE13A5"/>
    <w:rsid w:val="00CE248B"/>
    <w:rsid w:val="00CE39F0"/>
    <w:rsid w:val="00CE3F82"/>
    <w:rsid w:val="00CE4373"/>
    <w:rsid w:val="00CE45FE"/>
    <w:rsid w:val="00CF34F3"/>
    <w:rsid w:val="00CF38E8"/>
    <w:rsid w:val="00D0035F"/>
    <w:rsid w:val="00D012B5"/>
    <w:rsid w:val="00D022C9"/>
    <w:rsid w:val="00D046CC"/>
    <w:rsid w:val="00D05EDF"/>
    <w:rsid w:val="00D1286C"/>
    <w:rsid w:val="00D14DD5"/>
    <w:rsid w:val="00D16601"/>
    <w:rsid w:val="00D16E23"/>
    <w:rsid w:val="00D20E96"/>
    <w:rsid w:val="00D235C5"/>
    <w:rsid w:val="00D237EB"/>
    <w:rsid w:val="00D23CA7"/>
    <w:rsid w:val="00D2768A"/>
    <w:rsid w:val="00D31D7E"/>
    <w:rsid w:val="00D3573C"/>
    <w:rsid w:val="00D429C3"/>
    <w:rsid w:val="00D47F4C"/>
    <w:rsid w:val="00D52899"/>
    <w:rsid w:val="00D52CFE"/>
    <w:rsid w:val="00D54B72"/>
    <w:rsid w:val="00D54DD5"/>
    <w:rsid w:val="00D556BC"/>
    <w:rsid w:val="00D57E5C"/>
    <w:rsid w:val="00D63262"/>
    <w:rsid w:val="00D66F8C"/>
    <w:rsid w:val="00D70797"/>
    <w:rsid w:val="00D70DF0"/>
    <w:rsid w:val="00D73F64"/>
    <w:rsid w:val="00D775E0"/>
    <w:rsid w:val="00D77BF5"/>
    <w:rsid w:val="00D82A81"/>
    <w:rsid w:val="00D875B7"/>
    <w:rsid w:val="00D9084B"/>
    <w:rsid w:val="00D9144F"/>
    <w:rsid w:val="00D9147D"/>
    <w:rsid w:val="00D91637"/>
    <w:rsid w:val="00D957AB"/>
    <w:rsid w:val="00D962B3"/>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4E9D"/>
    <w:rsid w:val="00DE1F7A"/>
    <w:rsid w:val="00DE2642"/>
    <w:rsid w:val="00DE42E1"/>
    <w:rsid w:val="00DE4849"/>
    <w:rsid w:val="00DF30DF"/>
    <w:rsid w:val="00DF6DD4"/>
    <w:rsid w:val="00DF749B"/>
    <w:rsid w:val="00E01563"/>
    <w:rsid w:val="00E031FB"/>
    <w:rsid w:val="00E07AD8"/>
    <w:rsid w:val="00E11EF3"/>
    <w:rsid w:val="00E15CBC"/>
    <w:rsid w:val="00E1778E"/>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76DA2"/>
    <w:rsid w:val="00E878E2"/>
    <w:rsid w:val="00E94C2E"/>
    <w:rsid w:val="00E94DD2"/>
    <w:rsid w:val="00EA0044"/>
    <w:rsid w:val="00EA0129"/>
    <w:rsid w:val="00EA1243"/>
    <w:rsid w:val="00EA1FB9"/>
    <w:rsid w:val="00EA2C08"/>
    <w:rsid w:val="00EA2EBA"/>
    <w:rsid w:val="00EA597B"/>
    <w:rsid w:val="00EA69AC"/>
    <w:rsid w:val="00EA7B5A"/>
    <w:rsid w:val="00EB35A5"/>
    <w:rsid w:val="00EB4835"/>
    <w:rsid w:val="00EB4C9D"/>
    <w:rsid w:val="00EB684E"/>
    <w:rsid w:val="00EC0173"/>
    <w:rsid w:val="00EC25CF"/>
    <w:rsid w:val="00EC4694"/>
    <w:rsid w:val="00EC4746"/>
    <w:rsid w:val="00EC4E74"/>
    <w:rsid w:val="00EC5360"/>
    <w:rsid w:val="00EC7D68"/>
    <w:rsid w:val="00ED0AEC"/>
    <w:rsid w:val="00ED5BCD"/>
    <w:rsid w:val="00ED6763"/>
    <w:rsid w:val="00EE1321"/>
    <w:rsid w:val="00EE32C9"/>
    <w:rsid w:val="00EE4069"/>
    <w:rsid w:val="00EE4264"/>
    <w:rsid w:val="00EE699E"/>
    <w:rsid w:val="00EE7D55"/>
    <w:rsid w:val="00EF040F"/>
    <w:rsid w:val="00EF0994"/>
    <w:rsid w:val="00EF1678"/>
    <w:rsid w:val="00EF6D82"/>
    <w:rsid w:val="00F031BC"/>
    <w:rsid w:val="00F05002"/>
    <w:rsid w:val="00F06D80"/>
    <w:rsid w:val="00F13471"/>
    <w:rsid w:val="00F14FF9"/>
    <w:rsid w:val="00F1554E"/>
    <w:rsid w:val="00F17A30"/>
    <w:rsid w:val="00F20D35"/>
    <w:rsid w:val="00F23554"/>
    <w:rsid w:val="00F26571"/>
    <w:rsid w:val="00F2665B"/>
    <w:rsid w:val="00F30309"/>
    <w:rsid w:val="00F30838"/>
    <w:rsid w:val="00F43BA7"/>
    <w:rsid w:val="00F4536C"/>
    <w:rsid w:val="00F47759"/>
    <w:rsid w:val="00F51AF9"/>
    <w:rsid w:val="00F5271B"/>
    <w:rsid w:val="00F53C98"/>
    <w:rsid w:val="00F55531"/>
    <w:rsid w:val="00F5570C"/>
    <w:rsid w:val="00F567E0"/>
    <w:rsid w:val="00F5781A"/>
    <w:rsid w:val="00F57CE1"/>
    <w:rsid w:val="00F611A4"/>
    <w:rsid w:val="00F628F0"/>
    <w:rsid w:val="00F62DEC"/>
    <w:rsid w:val="00F70E96"/>
    <w:rsid w:val="00F71C4B"/>
    <w:rsid w:val="00F72A5E"/>
    <w:rsid w:val="00F73EE4"/>
    <w:rsid w:val="00F74068"/>
    <w:rsid w:val="00F74633"/>
    <w:rsid w:val="00F747CA"/>
    <w:rsid w:val="00F770F8"/>
    <w:rsid w:val="00F77CC4"/>
    <w:rsid w:val="00F77E43"/>
    <w:rsid w:val="00F909EF"/>
    <w:rsid w:val="00F92126"/>
    <w:rsid w:val="00F92EA4"/>
    <w:rsid w:val="00F93590"/>
    <w:rsid w:val="00F942D4"/>
    <w:rsid w:val="00F962F4"/>
    <w:rsid w:val="00F97CE6"/>
    <w:rsid w:val="00FA28F4"/>
    <w:rsid w:val="00FA4160"/>
    <w:rsid w:val="00FA4E00"/>
    <w:rsid w:val="00FA5E1A"/>
    <w:rsid w:val="00FB40CE"/>
    <w:rsid w:val="00FB4EC1"/>
    <w:rsid w:val="00FB5943"/>
    <w:rsid w:val="00FB599B"/>
    <w:rsid w:val="00FB67F2"/>
    <w:rsid w:val="00FB7B59"/>
    <w:rsid w:val="00FB7CB2"/>
    <w:rsid w:val="00FC2FBC"/>
    <w:rsid w:val="00FC3BCE"/>
    <w:rsid w:val="00FC4679"/>
    <w:rsid w:val="00FC62C6"/>
    <w:rsid w:val="00FC6E50"/>
    <w:rsid w:val="00FD0608"/>
    <w:rsid w:val="00FD07C1"/>
    <w:rsid w:val="00FD131E"/>
    <w:rsid w:val="00FD65D4"/>
    <w:rsid w:val="00FD66AC"/>
    <w:rsid w:val="00FE5FA8"/>
    <w:rsid w:val="00FE6577"/>
    <w:rsid w:val="00FE7308"/>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 w:type="table" w:styleId="10">
    <w:name w:val="Plain Table 1"/>
    <w:basedOn w:val="a1"/>
    <w:uiPriority w:val="41"/>
    <w:rsid w:val="00E07A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901/mjss.2015.v6n2s1p117" TargetMode="External"/><Relationship Id="rId18" Type="http://schemas.openxmlformats.org/officeDocument/2006/relationships/hyperlink" Target="https://doi.org/10.26389/ajsrp.M191021" TargetMode="External"/><Relationship Id="rId26" Type="http://schemas.openxmlformats.org/officeDocument/2006/relationships/hyperlink" Target="https://doi.org/10.6007/IJARBSS/v12-i1/12327" TargetMode="External"/><Relationship Id="rId39" Type="http://schemas.openxmlformats.org/officeDocument/2006/relationships/footer" Target="footer1.xml"/><Relationship Id="rId21" Type="http://schemas.openxmlformats.org/officeDocument/2006/relationships/hyperlink" Target="https://www.mindgarden.com/documents/MLQGermanPsychometric.pdf" TargetMode="External"/><Relationship Id="rId34" Type="http://schemas.openxmlformats.org/officeDocument/2006/relationships/hyperlink" Target="https://doi.org/10.26389/AJSRP.K27092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icrcr.com/index.php/jicrcr/article/view/1393/1152" TargetMode="External"/><Relationship Id="rId20" Type="http://schemas.openxmlformats.org/officeDocument/2006/relationships/hyperlink" Target="https://doi.org/10.1348/096317999166789" TargetMode="External"/><Relationship Id="rId29" Type="http://schemas.openxmlformats.org/officeDocument/2006/relationships/hyperlink" Target="https://doi.org/10.5204/thesis.eprints.258274"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537/smj.2026.47.1.20250755" TargetMode="External"/><Relationship Id="rId24" Type="http://schemas.openxmlformats.org/officeDocument/2006/relationships/hyperlink" Target="https://doi.org/https://www.health.sa/ar/clusters/al-jouf_health_cluster" TargetMode="External"/><Relationship Id="rId32" Type="http://schemas.openxmlformats.org/officeDocument/2006/relationships/hyperlink" Target="https://doi.org/10.1001/jama.293.21.2609" TargetMode="External"/><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2147/JMDH.S458718" TargetMode="External"/><Relationship Id="rId23" Type="http://schemas.openxmlformats.org/officeDocument/2006/relationships/hyperlink" Target="https://pdfs.semanticscholar.org/ba60/afd49d25f3a6df551bb3826d6c098202c00d.pdf" TargetMode="External"/><Relationship Id="rId28" Type="http://schemas.openxmlformats.org/officeDocument/2006/relationships/hyperlink" Target="https://doi.org/10.7759/cureus.51159" TargetMode="External"/><Relationship Id="rId36" Type="http://schemas.openxmlformats.org/officeDocument/2006/relationships/hyperlink" Target="https://doi.org/10.21608/masf.2019.68978" TargetMode="External"/><Relationship Id="rId10" Type="http://schemas.openxmlformats.org/officeDocument/2006/relationships/hyperlink" Target="https://doi.org/10.1136/bmjoq-2023-002651" TargetMode="External"/><Relationship Id="rId19" Type="http://schemas.openxmlformats.org/officeDocument/2006/relationships/hyperlink" Target="https://doi.org/10.1097/PTS.0b013e31824badb7" TargetMode="External"/><Relationship Id="rId31" Type="http://schemas.openxmlformats.org/officeDocument/2006/relationships/hyperlink" Target="https://doi.org/10.1186/s13037-021-00286-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bmjopen-2024-084741" TargetMode="External"/><Relationship Id="rId22" Type="http://schemas.openxmlformats.org/officeDocument/2006/relationships/hyperlink" Target="https://doi.org/10.1186/s12912-025-03043-7" TargetMode="External"/><Relationship Id="rId27" Type="http://schemas.openxmlformats.org/officeDocument/2006/relationships/hyperlink" Target="https://doi.org/10.1371/journal.pgph.0001085" TargetMode="External"/><Relationship Id="rId30" Type="http://schemas.openxmlformats.org/officeDocument/2006/relationships/hyperlink" Target="https://eprints.qut.edu.au/258274/8/Talat%20Mohammed%20Thesis.pdf" TargetMode="External"/><Relationship Id="rId35" Type="http://schemas.openxmlformats.org/officeDocument/2006/relationships/hyperlink" Target="https://doi.org/10.59628/jhs.v2i1.66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7/MD.0000000000024956" TargetMode="External"/><Relationship Id="rId17" Type="http://schemas.openxmlformats.org/officeDocument/2006/relationships/hyperlink" Target="https://doi.org/10.33953/1371-000-073-027" TargetMode="External"/><Relationship Id="rId25" Type="http://schemas.openxmlformats.org/officeDocument/2006/relationships/hyperlink" Target="https://doi.org/10.1177/09720634211050463" TargetMode="External"/><Relationship Id="rId33" Type="http://schemas.openxmlformats.org/officeDocument/2006/relationships/hyperlink" Target="https://doi.org/10.21608/bjhs.2024.315754.1262"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2238</TotalTime>
  <Pages>48</Pages>
  <Words>20587</Words>
  <Characters>117348</Characters>
  <Application>Microsoft Office Word</Application>
  <DocSecurity>0</DocSecurity>
  <Lines>977</Lines>
  <Paragraphs>275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Tarq HP</cp:lastModifiedBy>
  <cp:revision>264</cp:revision>
  <cp:lastPrinted>2025-08-21T18:43:00Z</cp:lastPrinted>
  <dcterms:created xsi:type="dcterms:W3CDTF">2025-08-07T23:25:00Z</dcterms:created>
  <dcterms:modified xsi:type="dcterms:W3CDTF">2026-03-29T05:56:00Z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