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ED89F" w14:textId="77777777" w:rsidR="00F60DA7" w:rsidRDefault="00F60DA7" w:rsidP="00066718">
      <w:pPr>
        <w:spacing w:line="360" w:lineRule="auto"/>
        <w:jc w:val="center"/>
        <w:rPr>
          <w:rFonts w:asciiTheme="majorBidi" w:eastAsiaTheme="majorEastAsia" w:hAnsiTheme="majorBidi" w:cstheme="majorBidi"/>
          <w:b/>
          <w:bCs/>
          <w:color w:val="2E74B5" w:themeColor="accent1" w:themeShade="BF"/>
          <w:sz w:val="36"/>
          <w:szCs w:val="36"/>
        </w:rPr>
      </w:pPr>
      <w:r w:rsidRPr="00A17F93">
        <w:rPr>
          <w:rFonts w:asciiTheme="majorBidi" w:eastAsiaTheme="majorEastAsia" w:hAnsiTheme="majorBidi" w:cstheme="majorBidi"/>
          <w:b/>
          <w:bCs/>
          <w:color w:val="2E74B5" w:themeColor="accent1" w:themeShade="BF"/>
          <w:sz w:val="36"/>
          <w:szCs w:val="36"/>
        </w:rPr>
        <w:t>Enhancing Trust in Artificial Intelligence: A Comprehensive Analysis and Framework</w:t>
      </w:r>
    </w:p>
    <w:p w14:paraId="53E6129C" w14:textId="403E4D8E" w:rsidR="00F60DA7" w:rsidRDefault="00F60DA7" w:rsidP="00066718">
      <w:pPr>
        <w:spacing w:line="360" w:lineRule="auto"/>
        <w:jc w:val="both"/>
        <w:rPr>
          <w:rFonts w:asciiTheme="majorBidi" w:hAnsiTheme="majorBidi" w:cstheme="majorBidi"/>
          <w:sz w:val="24"/>
          <w:szCs w:val="24"/>
        </w:rPr>
      </w:pPr>
    </w:p>
    <w:p w14:paraId="5A9C171B" w14:textId="77777777" w:rsidR="00066718" w:rsidRPr="00066718" w:rsidRDefault="00066718" w:rsidP="00066718">
      <w:pPr>
        <w:spacing w:line="360" w:lineRule="auto"/>
        <w:jc w:val="both"/>
        <w:rPr>
          <w:rFonts w:asciiTheme="majorBidi" w:hAnsiTheme="majorBidi" w:cstheme="majorBidi"/>
          <w:sz w:val="28"/>
          <w:szCs w:val="28"/>
        </w:rPr>
      </w:pPr>
      <w:r w:rsidRPr="00066718">
        <w:rPr>
          <w:rFonts w:asciiTheme="majorBidi" w:hAnsiTheme="majorBidi" w:cstheme="majorBidi"/>
          <w:b/>
          <w:bCs/>
          <w:sz w:val="28"/>
          <w:szCs w:val="28"/>
        </w:rPr>
        <w:t>Problem Statement:</w:t>
      </w:r>
    </w:p>
    <w:p w14:paraId="312F3CFA" w14:textId="77777777" w:rsidR="00066718" w:rsidRPr="00066718" w:rsidRDefault="00066718" w:rsidP="00066718">
      <w:pPr>
        <w:spacing w:line="360" w:lineRule="auto"/>
        <w:jc w:val="both"/>
        <w:rPr>
          <w:rFonts w:asciiTheme="majorBidi" w:hAnsiTheme="majorBidi" w:cstheme="majorBidi"/>
          <w:sz w:val="24"/>
          <w:szCs w:val="24"/>
        </w:rPr>
      </w:pPr>
      <w:r w:rsidRPr="00066718">
        <w:rPr>
          <w:rFonts w:asciiTheme="majorBidi" w:hAnsiTheme="majorBidi" w:cstheme="majorBidi"/>
          <w:sz w:val="24"/>
          <w:szCs w:val="24"/>
        </w:rPr>
        <w:t>In the rapidly evolving landscape of artificial intelligence (AI), the lack of transparency and trust in AI systems, particularly in domains like medicine, hinders their widespread adoption. The black-box nature of many advanced AI models, as highlighted by Reddy (2022) and Zhang and Lu (2021), poses significant challenges in ensuring accountability, ethical usage, and understanding of decision-making processes. Existing solutions, such as explainable AI (XAI) frameworks, have faced criticism for their imperfections (Reddy, 2022) and the need for alternative validation approaches (Ghassemi et al., 2022).</w:t>
      </w:r>
    </w:p>
    <w:p w14:paraId="7C43184F" w14:textId="77777777" w:rsidR="00066718" w:rsidRPr="00066718" w:rsidRDefault="00066718" w:rsidP="00066718">
      <w:p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The significance of this problem is underscored by its impact on critical domains like healthcare, where trust and transparency are paramount. As AI increasingly augments or replaces functions of physicians, the inability to explain decisions erodes patient trust (Reddy, 2022). The problem domain extends beyond medicine, encompassing AI management complexities (Berente et al., 2021), the potential of AI to contribute to sustainable development (Goralski &amp; Tan, 2020), and the broader societal implications outlined in the One Hundred Year Study on Artificial Intelligence (Stone et al., 2022).</w:t>
      </w:r>
    </w:p>
    <w:p w14:paraId="35089891" w14:textId="77777777" w:rsidR="00066718" w:rsidRPr="00066718" w:rsidRDefault="00066718" w:rsidP="00066718">
      <w:p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This research aims to address the pressing need for enhancing trust in AI by comprehensively analyzing existing challenges, evaluating solutions, and proposing a robust framework aligned with the identified problem challenges.</w:t>
      </w:r>
    </w:p>
    <w:p w14:paraId="25D1D4E9" w14:textId="77777777" w:rsidR="00066718" w:rsidRPr="00066718" w:rsidRDefault="00066718" w:rsidP="00066718">
      <w:pPr>
        <w:spacing w:line="360" w:lineRule="auto"/>
        <w:jc w:val="both"/>
        <w:rPr>
          <w:rFonts w:asciiTheme="majorBidi" w:hAnsiTheme="majorBidi" w:cstheme="majorBidi"/>
          <w:sz w:val="28"/>
          <w:szCs w:val="28"/>
        </w:rPr>
      </w:pPr>
      <w:r w:rsidRPr="00066718">
        <w:rPr>
          <w:rFonts w:asciiTheme="majorBidi" w:hAnsiTheme="majorBidi" w:cstheme="majorBidi"/>
          <w:b/>
          <w:bCs/>
          <w:sz w:val="28"/>
          <w:szCs w:val="28"/>
        </w:rPr>
        <w:t>Research Objectives:</w:t>
      </w:r>
    </w:p>
    <w:p w14:paraId="7DE1A723" w14:textId="77777777" w:rsidR="00066718" w:rsidRPr="00066718" w:rsidRDefault="00066718" w:rsidP="00066718">
      <w:pPr>
        <w:numPr>
          <w:ilvl w:val="0"/>
          <w:numId w:val="22"/>
        </w:numPr>
        <w:spacing w:line="360" w:lineRule="auto"/>
        <w:jc w:val="both"/>
        <w:rPr>
          <w:rFonts w:asciiTheme="majorBidi" w:hAnsiTheme="majorBidi" w:cstheme="majorBidi"/>
          <w:sz w:val="24"/>
          <w:szCs w:val="24"/>
        </w:rPr>
      </w:pPr>
      <w:r w:rsidRPr="00066718">
        <w:rPr>
          <w:rFonts w:asciiTheme="majorBidi" w:hAnsiTheme="majorBidi" w:cstheme="majorBidi"/>
          <w:b/>
          <w:bCs/>
          <w:sz w:val="24"/>
          <w:szCs w:val="24"/>
        </w:rPr>
        <w:t>To comprehensively analyze the existing challenges in trust and transparency of AI</w:t>
      </w:r>
      <w:r w:rsidRPr="00066718">
        <w:rPr>
          <w:rFonts w:asciiTheme="majorBidi" w:hAnsiTheme="majorBidi" w:cstheme="majorBidi"/>
          <w:sz w:val="24"/>
          <w:szCs w:val="24"/>
        </w:rPr>
        <w:t>:</w:t>
      </w:r>
    </w:p>
    <w:p w14:paraId="54D5E845" w14:textId="77777777" w:rsidR="00066718" w:rsidRPr="00066718" w:rsidRDefault="00066718" w:rsidP="00066718">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identify the key challenges and limitations of current AI systems, as outlined in the literature.</w:t>
      </w:r>
    </w:p>
    <w:p w14:paraId="2D3C70F7" w14:textId="77777777" w:rsidR="00066718" w:rsidRPr="00066718" w:rsidRDefault="00066718" w:rsidP="00066718">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understand the ethical, legal, and social implications of opaque AI decision-making processes.</w:t>
      </w:r>
    </w:p>
    <w:p w14:paraId="02C67BAA" w14:textId="77777777" w:rsidR="00066718" w:rsidRPr="00066718" w:rsidRDefault="00066718" w:rsidP="00066718">
      <w:pPr>
        <w:numPr>
          <w:ilvl w:val="0"/>
          <w:numId w:val="22"/>
        </w:numPr>
        <w:spacing w:line="360" w:lineRule="auto"/>
        <w:jc w:val="both"/>
        <w:rPr>
          <w:rFonts w:asciiTheme="majorBidi" w:hAnsiTheme="majorBidi" w:cstheme="majorBidi"/>
          <w:sz w:val="24"/>
          <w:szCs w:val="24"/>
        </w:rPr>
      </w:pPr>
      <w:r w:rsidRPr="00066718">
        <w:rPr>
          <w:rFonts w:asciiTheme="majorBidi" w:hAnsiTheme="majorBidi" w:cstheme="majorBidi"/>
          <w:b/>
          <w:bCs/>
          <w:sz w:val="24"/>
          <w:szCs w:val="24"/>
        </w:rPr>
        <w:t>To evaluate existing solutions, including explainable AI frameworks</w:t>
      </w:r>
      <w:r w:rsidRPr="00066718">
        <w:rPr>
          <w:rFonts w:asciiTheme="majorBidi" w:hAnsiTheme="majorBidi" w:cstheme="majorBidi"/>
          <w:sz w:val="24"/>
          <w:szCs w:val="24"/>
        </w:rPr>
        <w:t>:</w:t>
      </w:r>
    </w:p>
    <w:p w14:paraId="1382EA9F" w14:textId="77777777" w:rsidR="00066718" w:rsidRPr="00066718" w:rsidRDefault="00066718" w:rsidP="00066718">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critically assess the strengths and weaknesses of explainable AI methods in enhancing transparency.</w:t>
      </w:r>
    </w:p>
    <w:p w14:paraId="206FA2A5" w14:textId="77777777" w:rsidR="00066718" w:rsidRPr="00066718" w:rsidRDefault="00066718" w:rsidP="00066718">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explore alternative validation approaches proposed by scholars such as Ghassemi et al. (2022).</w:t>
      </w:r>
    </w:p>
    <w:p w14:paraId="75BF45FE" w14:textId="77777777" w:rsidR="00066718" w:rsidRPr="00066718" w:rsidRDefault="00066718" w:rsidP="00066718">
      <w:pPr>
        <w:numPr>
          <w:ilvl w:val="0"/>
          <w:numId w:val="22"/>
        </w:numPr>
        <w:spacing w:line="360" w:lineRule="auto"/>
        <w:jc w:val="both"/>
        <w:rPr>
          <w:rFonts w:asciiTheme="majorBidi" w:hAnsiTheme="majorBidi" w:cstheme="majorBidi"/>
          <w:sz w:val="24"/>
          <w:szCs w:val="24"/>
        </w:rPr>
      </w:pPr>
      <w:r w:rsidRPr="00066718">
        <w:rPr>
          <w:rFonts w:asciiTheme="majorBidi" w:hAnsiTheme="majorBidi" w:cstheme="majorBidi"/>
          <w:b/>
          <w:bCs/>
          <w:sz w:val="24"/>
          <w:szCs w:val="24"/>
        </w:rPr>
        <w:lastRenderedPageBreak/>
        <w:t>To propose a comprehensive framework for enhancing trust in artificial intelligence</w:t>
      </w:r>
      <w:r w:rsidRPr="00066718">
        <w:rPr>
          <w:rFonts w:asciiTheme="majorBidi" w:hAnsiTheme="majorBidi" w:cstheme="majorBidi"/>
          <w:sz w:val="24"/>
          <w:szCs w:val="24"/>
        </w:rPr>
        <w:t>:</w:t>
      </w:r>
    </w:p>
    <w:p w14:paraId="45ED0800" w14:textId="77777777" w:rsidR="00066718" w:rsidRPr="00066718" w:rsidRDefault="00066718" w:rsidP="00066718">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integrate insights from the analysis of existing challenges and evaluations of solutions.</w:t>
      </w:r>
    </w:p>
    <w:p w14:paraId="3158C30A" w14:textId="77777777" w:rsidR="00066718" w:rsidRPr="00066718" w:rsidRDefault="00066718" w:rsidP="00066718">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develop a framework that addresses the identified problem challenges and aligns with ethical considerations.</w:t>
      </w:r>
    </w:p>
    <w:p w14:paraId="353F24B6" w14:textId="77777777" w:rsidR="00066718" w:rsidRPr="00066718" w:rsidRDefault="00066718" w:rsidP="00066718">
      <w:pPr>
        <w:numPr>
          <w:ilvl w:val="0"/>
          <w:numId w:val="22"/>
        </w:numPr>
        <w:spacing w:line="360" w:lineRule="auto"/>
        <w:jc w:val="both"/>
        <w:rPr>
          <w:rFonts w:asciiTheme="majorBidi" w:hAnsiTheme="majorBidi" w:cstheme="majorBidi"/>
          <w:sz w:val="24"/>
          <w:szCs w:val="24"/>
        </w:rPr>
      </w:pPr>
      <w:r w:rsidRPr="00066718">
        <w:rPr>
          <w:rFonts w:asciiTheme="majorBidi" w:hAnsiTheme="majorBidi" w:cstheme="majorBidi"/>
          <w:b/>
          <w:bCs/>
          <w:sz w:val="24"/>
          <w:szCs w:val="24"/>
        </w:rPr>
        <w:t>To validate the proposed framework in diverse AI application domains</w:t>
      </w:r>
      <w:r w:rsidRPr="00066718">
        <w:rPr>
          <w:rFonts w:asciiTheme="majorBidi" w:hAnsiTheme="majorBidi" w:cstheme="majorBidi"/>
          <w:sz w:val="24"/>
          <w:szCs w:val="24"/>
        </w:rPr>
        <w:t>:</w:t>
      </w:r>
    </w:p>
    <w:p w14:paraId="527017EF" w14:textId="77777777" w:rsidR="00066718" w:rsidRPr="00066718" w:rsidRDefault="00066718" w:rsidP="00066718">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assess the generalizability and effectiveness of the proposed framework in various AI contexts.</w:t>
      </w:r>
    </w:p>
    <w:p w14:paraId="3153000B" w14:textId="77777777" w:rsidR="00066718" w:rsidRPr="00066718" w:rsidRDefault="00066718" w:rsidP="00066718">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gather feedback from practitioners, stakeholders, and experts in the field to refine the framework.</w:t>
      </w:r>
    </w:p>
    <w:p w14:paraId="58358621" w14:textId="77777777" w:rsidR="00066718" w:rsidRPr="00066718" w:rsidRDefault="00066718" w:rsidP="00066718">
      <w:pPr>
        <w:numPr>
          <w:ilvl w:val="0"/>
          <w:numId w:val="22"/>
        </w:numPr>
        <w:spacing w:line="360" w:lineRule="auto"/>
        <w:jc w:val="both"/>
        <w:rPr>
          <w:rFonts w:asciiTheme="majorBidi" w:hAnsiTheme="majorBidi" w:cstheme="majorBidi"/>
          <w:sz w:val="24"/>
          <w:szCs w:val="24"/>
        </w:rPr>
      </w:pPr>
      <w:r w:rsidRPr="00066718">
        <w:rPr>
          <w:rFonts w:asciiTheme="majorBidi" w:hAnsiTheme="majorBidi" w:cstheme="majorBidi"/>
          <w:b/>
          <w:bCs/>
          <w:sz w:val="24"/>
          <w:szCs w:val="24"/>
        </w:rPr>
        <w:t>To provide practical recommendations for the implementation of the proposed framework</w:t>
      </w:r>
      <w:r w:rsidRPr="00066718">
        <w:rPr>
          <w:rFonts w:asciiTheme="majorBidi" w:hAnsiTheme="majorBidi" w:cstheme="majorBidi"/>
          <w:sz w:val="24"/>
          <w:szCs w:val="24"/>
        </w:rPr>
        <w:t>:</w:t>
      </w:r>
    </w:p>
    <w:p w14:paraId="18677B8E" w14:textId="77777777" w:rsidR="00066718" w:rsidRPr="00066718" w:rsidRDefault="00066718" w:rsidP="00066718">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offer actionable guidance for organizations, policymakers, and developers to integrate the framework into AI systems.</w:t>
      </w:r>
    </w:p>
    <w:p w14:paraId="69FE9B56" w14:textId="2D4354C4" w:rsidR="00F60DA7" w:rsidRPr="000C1167" w:rsidRDefault="00066718" w:rsidP="000C1167">
      <w:pPr>
        <w:numPr>
          <w:ilvl w:val="1"/>
          <w:numId w:val="22"/>
        </w:numPr>
        <w:spacing w:line="360" w:lineRule="auto"/>
        <w:jc w:val="both"/>
        <w:rPr>
          <w:rFonts w:asciiTheme="majorBidi" w:hAnsiTheme="majorBidi" w:cstheme="majorBidi"/>
          <w:sz w:val="24"/>
          <w:szCs w:val="24"/>
        </w:rPr>
      </w:pPr>
      <w:r w:rsidRPr="00066718">
        <w:rPr>
          <w:rFonts w:asciiTheme="majorBidi" w:hAnsiTheme="majorBidi" w:cstheme="majorBidi"/>
          <w:sz w:val="24"/>
          <w:szCs w:val="24"/>
        </w:rPr>
        <w:t>To contribute to the ongoing discourse on responsible and trustworthy AI development and deployment.</w:t>
      </w:r>
    </w:p>
    <w:p w14:paraId="7D283444" w14:textId="5CFE9585" w:rsidR="000C1167" w:rsidRPr="000C1167" w:rsidRDefault="000C1167" w:rsidP="000C1167">
      <w:pPr>
        <w:spacing w:line="360" w:lineRule="auto"/>
        <w:jc w:val="both"/>
        <w:rPr>
          <w:rFonts w:asciiTheme="majorBidi" w:hAnsiTheme="majorBidi" w:cstheme="majorBidi"/>
          <w:sz w:val="28"/>
          <w:szCs w:val="28"/>
        </w:rPr>
      </w:pPr>
      <w:r w:rsidRPr="000C1167">
        <w:rPr>
          <w:rFonts w:asciiTheme="majorBidi" w:hAnsiTheme="majorBidi" w:cstheme="majorBidi"/>
          <w:b/>
          <w:bCs/>
          <w:sz w:val="28"/>
          <w:szCs w:val="28"/>
        </w:rPr>
        <w:t>Literature Review:</w:t>
      </w:r>
    </w:p>
    <w:p w14:paraId="0A6A0F37" w14:textId="2DBB087A" w:rsidR="000C1167" w:rsidRPr="000C1167" w:rsidRDefault="000C1167" w:rsidP="000C1167">
      <w:pPr>
        <w:spacing w:line="360" w:lineRule="auto"/>
        <w:jc w:val="both"/>
        <w:rPr>
          <w:rFonts w:asciiTheme="majorBidi" w:hAnsiTheme="majorBidi" w:cstheme="majorBidi"/>
          <w:sz w:val="24"/>
          <w:szCs w:val="24"/>
        </w:rPr>
      </w:pPr>
      <w:r w:rsidRPr="000C1167">
        <w:rPr>
          <w:rFonts w:asciiTheme="majorBidi" w:hAnsiTheme="majorBidi" w:cstheme="majorBidi"/>
          <w:sz w:val="24"/>
          <w:szCs w:val="24"/>
        </w:rPr>
        <w:t>Artificial intelligence (AI) has emerged as a transformative technology with profound implications for various domains, including healthcare, business management, sustainable development, and societal well-being. However, the opacity and lack of transparency in AI decision-making processes have raised concerns regarding trust, accountability, and ethical usage. This literature review aims to comprehensively analyze existing research on enhancing trust in artificial intelligence, synthesizing insights from diverse perspectives and domains.</w:t>
      </w:r>
    </w:p>
    <w:p w14:paraId="21D663DC" w14:textId="77777777" w:rsidR="000C1167" w:rsidRPr="000C1167" w:rsidRDefault="000C1167" w:rsidP="000C1167">
      <w:pPr>
        <w:spacing w:line="360" w:lineRule="auto"/>
        <w:jc w:val="both"/>
        <w:rPr>
          <w:rFonts w:asciiTheme="majorBidi" w:hAnsiTheme="majorBidi" w:cstheme="majorBidi"/>
          <w:sz w:val="24"/>
          <w:szCs w:val="24"/>
        </w:rPr>
      </w:pPr>
      <w:r w:rsidRPr="000C1167">
        <w:rPr>
          <w:rFonts w:asciiTheme="majorBidi" w:hAnsiTheme="majorBidi" w:cstheme="majorBidi"/>
          <w:b/>
          <w:bCs/>
          <w:sz w:val="24"/>
          <w:szCs w:val="24"/>
        </w:rPr>
        <w:t>Trust and Transparency in AI:</w:t>
      </w:r>
      <w:r w:rsidRPr="000C1167">
        <w:rPr>
          <w:rFonts w:asciiTheme="majorBidi" w:hAnsiTheme="majorBidi" w:cstheme="majorBidi"/>
          <w:sz w:val="24"/>
          <w:szCs w:val="24"/>
        </w:rPr>
        <w:t xml:space="preserve"> Trust serves as the foundation for the successful adoption and deployment of AI systems. However, the black-box nature of many advanced AI algorithms undermines trust by obscuring the decision-making processes from users and stakeholders. Reddy (2022) highlights the critical importance of transparency in clinical decision-making, emphasizing the erosion of patient trust when AI systems operate as black boxes. Similarly, Zhang and Lu (2021) underscore the significance of transparency in AI systems across various domains, emphasizing the need for explainable AI frameworks to enhance trust and accountability.</w:t>
      </w:r>
    </w:p>
    <w:p w14:paraId="38C1AF36" w14:textId="77777777" w:rsidR="000C1167" w:rsidRPr="000C1167" w:rsidRDefault="000C1167" w:rsidP="000C1167">
      <w:pPr>
        <w:spacing w:line="360" w:lineRule="auto"/>
        <w:jc w:val="both"/>
        <w:rPr>
          <w:rFonts w:asciiTheme="majorBidi" w:hAnsiTheme="majorBidi" w:cstheme="majorBidi"/>
          <w:sz w:val="24"/>
          <w:szCs w:val="24"/>
        </w:rPr>
      </w:pPr>
      <w:r w:rsidRPr="000C1167">
        <w:rPr>
          <w:rFonts w:asciiTheme="majorBidi" w:hAnsiTheme="majorBidi" w:cstheme="majorBidi"/>
          <w:b/>
          <w:bCs/>
          <w:sz w:val="24"/>
          <w:szCs w:val="24"/>
        </w:rPr>
        <w:t>Challenges and Limitations of Current AI Systems:</w:t>
      </w:r>
      <w:r w:rsidRPr="000C1167">
        <w:rPr>
          <w:rFonts w:asciiTheme="majorBidi" w:hAnsiTheme="majorBidi" w:cstheme="majorBidi"/>
          <w:sz w:val="24"/>
          <w:szCs w:val="24"/>
        </w:rPr>
        <w:t xml:space="preserve"> Several challenges and limitations characterize the current state of AI systems, contributing to the trust deficit observed in practice. Goralski and Tan (2020) discuss the potential risks and negative consequences of AI adoption for sustainable development, highlighting concerns related to bias, privacy, and algorithmic accountability. Berente et al. (2021) explore the complexities of managing AI, emphasizing the evolving frontiers of autonomy, learning, and inscrutability, which pose challenges for effective governance and oversight.</w:t>
      </w:r>
    </w:p>
    <w:p w14:paraId="796B7E9C" w14:textId="77777777" w:rsidR="000C1167" w:rsidRPr="000C1167" w:rsidRDefault="000C1167" w:rsidP="000C1167">
      <w:pPr>
        <w:spacing w:line="360" w:lineRule="auto"/>
        <w:jc w:val="both"/>
        <w:rPr>
          <w:rFonts w:asciiTheme="majorBidi" w:hAnsiTheme="majorBidi" w:cstheme="majorBidi"/>
          <w:sz w:val="24"/>
          <w:szCs w:val="24"/>
        </w:rPr>
      </w:pPr>
      <w:r w:rsidRPr="000C1167">
        <w:rPr>
          <w:rFonts w:asciiTheme="majorBidi" w:hAnsiTheme="majorBidi" w:cstheme="majorBidi"/>
          <w:b/>
          <w:bCs/>
          <w:sz w:val="24"/>
          <w:szCs w:val="24"/>
        </w:rPr>
        <w:t>Explainable AI Frameworks:</w:t>
      </w:r>
      <w:r w:rsidRPr="000C1167">
        <w:rPr>
          <w:rFonts w:asciiTheme="majorBidi" w:hAnsiTheme="majorBidi" w:cstheme="majorBidi"/>
          <w:sz w:val="24"/>
          <w:szCs w:val="24"/>
        </w:rPr>
        <w:t xml:space="preserve"> Explainable AI (XAI) frameworks have emerged as promising solutions to enhance transparency and trust in AI decision-making processes. Reddy (2022) advocates for the adoption of explainable AI methods in medicine, arguing that they can mitigate the risks associated with black-box models and uphold ethical principles such as informed consent and patient autonomy. However, Ghassemi et al. (2022) </w:t>
      </w:r>
      <w:proofErr w:type="gramStart"/>
      <w:r w:rsidRPr="000C1167">
        <w:rPr>
          <w:rFonts w:asciiTheme="majorBidi" w:hAnsiTheme="majorBidi" w:cstheme="majorBidi"/>
          <w:sz w:val="24"/>
          <w:szCs w:val="24"/>
        </w:rPr>
        <w:t>criticize</w:t>
      </w:r>
      <w:proofErr w:type="gramEnd"/>
      <w:r w:rsidRPr="000C1167">
        <w:rPr>
          <w:rFonts w:asciiTheme="majorBidi" w:hAnsiTheme="majorBidi" w:cstheme="majorBidi"/>
          <w:sz w:val="24"/>
          <w:szCs w:val="24"/>
        </w:rPr>
        <w:t xml:space="preserve"> certain explainable AI methods for their imperfections, calling for alternative validation approaches to ensure trust and confidence in AI systems.</w:t>
      </w:r>
    </w:p>
    <w:p w14:paraId="2BE51844" w14:textId="77777777" w:rsidR="000C1167" w:rsidRPr="000C1167" w:rsidRDefault="000C1167" w:rsidP="000C1167">
      <w:pPr>
        <w:spacing w:line="360" w:lineRule="auto"/>
        <w:jc w:val="both"/>
        <w:rPr>
          <w:rFonts w:asciiTheme="majorBidi" w:hAnsiTheme="majorBidi" w:cstheme="majorBidi"/>
          <w:sz w:val="24"/>
          <w:szCs w:val="24"/>
        </w:rPr>
      </w:pPr>
      <w:r w:rsidRPr="000C1167">
        <w:rPr>
          <w:rFonts w:asciiTheme="majorBidi" w:hAnsiTheme="majorBidi" w:cstheme="majorBidi"/>
          <w:b/>
          <w:bCs/>
          <w:sz w:val="24"/>
          <w:szCs w:val="24"/>
        </w:rPr>
        <w:t>Proposed Frameworks for Enhancing Trust:</w:t>
      </w:r>
      <w:r w:rsidRPr="000C1167">
        <w:rPr>
          <w:rFonts w:asciiTheme="majorBidi" w:hAnsiTheme="majorBidi" w:cstheme="majorBidi"/>
          <w:sz w:val="24"/>
          <w:szCs w:val="24"/>
        </w:rPr>
        <w:t xml:space="preserve"> Several scholars have proposed frameworks and guidelines aimed at enhancing trust in AI systems. </w:t>
      </w:r>
      <w:proofErr w:type="spellStart"/>
      <w:r w:rsidRPr="000C1167">
        <w:rPr>
          <w:rFonts w:asciiTheme="majorBidi" w:hAnsiTheme="majorBidi" w:cstheme="majorBidi"/>
          <w:sz w:val="24"/>
          <w:szCs w:val="24"/>
        </w:rPr>
        <w:t>Thiebes</w:t>
      </w:r>
      <w:proofErr w:type="spellEnd"/>
      <w:r w:rsidRPr="000C1167">
        <w:rPr>
          <w:rFonts w:asciiTheme="majorBidi" w:hAnsiTheme="majorBidi" w:cstheme="majorBidi"/>
          <w:sz w:val="24"/>
          <w:szCs w:val="24"/>
        </w:rPr>
        <w:t xml:space="preserve">, Lins, and </w:t>
      </w:r>
      <w:proofErr w:type="spellStart"/>
      <w:r w:rsidRPr="000C1167">
        <w:rPr>
          <w:rFonts w:asciiTheme="majorBidi" w:hAnsiTheme="majorBidi" w:cstheme="majorBidi"/>
          <w:sz w:val="24"/>
          <w:szCs w:val="24"/>
        </w:rPr>
        <w:t>Sunyaev</w:t>
      </w:r>
      <w:proofErr w:type="spellEnd"/>
      <w:r w:rsidRPr="000C1167">
        <w:rPr>
          <w:rFonts w:asciiTheme="majorBidi" w:hAnsiTheme="majorBidi" w:cstheme="majorBidi"/>
          <w:sz w:val="24"/>
          <w:szCs w:val="24"/>
        </w:rPr>
        <w:t xml:space="preserve"> (2021) introduce the concept of Trustworthy AI (TAI) and delineate five foundational principles, including beneficence, non-maleficence, autonomy, justice, and explicability. They propose a data-driven research framework (DaRe4TAI) to guide the study of technical and non-technical means supporting TAI, emphasizing the importance of trust in the development, deployment, and use of AI.</w:t>
      </w:r>
    </w:p>
    <w:p w14:paraId="0EE0AA45" w14:textId="77777777" w:rsidR="000C1167" w:rsidRPr="000C1167" w:rsidRDefault="000C1167" w:rsidP="000C1167">
      <w:pPr>
        <w:spacing w:line="360" w:lineRule="auto"/>
        <w:jc w:val="both"/>
        <w:rPr>
          <w:rFonts w:asciiTheme="majorBidi" w:hAnsiTheme="majorBidi" w:cstheme="majorBidi"/>
          <w:sz w:val="24"/>
          <w:szCs w:val="24"/>
        </w:rPr>
      </w:pPr>
      <w:r w:rsidRPr="000C1167">
        <w:rPr>
          <w:rFonts w:asciiTheme="majorBidi" w:hAnsiTheme="majorBidi" w:cstheme="majorBidi"/>
          <w:b/>
          <w:bCs/>
          <w:sz w:val="24"/>
          <w:szCs w:val="24"/>
        </w:rPr>
        <w:t>Interdisciplinary Perspectives on AI Governance:</w:t>
      </w:r>
      <w:r w:rsidRPr="000C1167">
        <w:rPr>
          <w:rFonts w:asciiTheme="majorBidi" w:hAnsiTheme="majorBidi" w:cstheme="majorBidi"/>
          <w:sz w:val="24"/>
          <w:szCs w:val="24"/>
        </w:rPr>
        <w:t xml:space="preserve"> Stone et al. (2022) provide a multidisciplinary assessment of AI's impact on various domains by 2030, emphasizing the importance of scientifically accurate portrayals of AI and its potential societal implications. They highlight the need for effective governance mechanisms to address the ethical, social, and economic challenges posed by AI technologies.</w:t>
      </w:r>
    </w:p>
    <w:p w14:paraId="5BF0CA11" w14:textId="77777777" w:rsidR="000C1167" w:rsidRPr="000C1167" w:rsidRDefault="000C1167" w:rsidP="000C1167">
      <w:pPr>
        <w:spacing w:line="360" w:lineRule="auto"/>
        <w:jc w:val="both"/>
        <w:rPr>
          <w:rFonts w:asciiTheme="majorBidi" w:hAnsiTheme="majorBidi" w:cstheme="majorBidi"/>
          <w:sz w:val="24"/>
          <w:szCs w:val="24"/>
        </w:rPr>
      </w:pPr>
      <w:r w:rsidRPr="000C1167">
        <w:rPr>
          <w:rFonts w:asciiTheme="majorBidi" w:hAnsiTheme="majorBidi" w:cstheme="majorBidi"/>
          <w:b/>
          <w:bCs/>
          <w:sz w:val="24"/>
          <w:szCs w:val="24"/>
        </w:rPr>
        <w:t>Implications for Future Research:</w:t>
      </w:r>
      <w:r w:rsidRPr="000C1167">
        <w:rPr>
          <w:rFonts w:asciiTheme="majorBidi" w:hAnsiTheme="majorBidi" w:cstheme="majorBidi"/>
          <w:sz w:val="24"/>
          <w:szCs w:val="24"/>
        </w:rPr>
        <w:t xml:space="preserve"> The literature reviewed underscores the critical importance of trust and transparency in artificial intelligence systems across various domains. While challenges and limitations exist, explainable AI frameworks and proposed TAI principles offer promising avenues for enhancing trust and accountability in AI decision-making. Future research should focus on developing robust frameworks, integrating ethical considerations, and validating solutions in diverse AI application domains to ensure responsible and trustworthy AI development and deployment.</w:t>
      </w:r>
    </w:p>
    <w:p w14:paraId="4B0F83E0" w14:textId="77777777" w:rsidR="000C1167" w:rsidRDefault="000C1167" w:rsidP="00066718">
      <w:pPr>
        <w:spacing w:line="360" w:lineRule="auto"/>
        <w:jc w:val="both"/>
        <w:rPr>
          <w:rFonts w:asciiTheme="majorBidi" w:hAnsiTheme="majorBidi" w:cstheme="majorBidi"/>
          <w:sz w:val="24"/>
          <w:szCs w:val="24"/>
        </w:rPr>
      </w:pPr>
    </w:p>
    <w:p w14:paraId="14852A6C" w14:textId="77777777" w:rsidR="00F60DA7" w:rsidRDefault="00F60DA7" w:rsidP="00066718">
      <w:pPr>
        <w:spacing w:line="360" w:lineRule="auto"/>
        <w:jc w:val="both"/>
        <w:rPr>
          <w:rFonts w:asciiTheme="majorBidi" w:hAnsiTheme="majorBidi" w:cstheme="majorBidi"/>
          <w:sz w:val="24"/>
          <w:szCs w:val="24"/>
        </w:rPr>
      </w:pPr>
    </w:p>
    <w:p w14:paraId="3C64C689" w14:textId="77777777" w:rsidR="00F60DA7" w:rsidRPr="00E03F09" w:rsidRDefault="00F60DA7" w:rsidP="00066718">
      <w:pPr>
        <w:spacing w:line="360" w:lineRule="auto"/>
        <w:jc w:val="both"/>
        <w:rPr>
          <w:rFonts w:asciiTheme="majorBidi" w:hAnsiTheme="majorBidi" w:cstheme="majorBidi"/>
          <w:sz w:val="24"/>
          <w:szCs w:val="24"/>
        </w:rPr>
      </w:pPr>
    </w:p>
    <w:p w14:paraId="012143C6" w14:textId="77777777" w:rsidR="00F60DA7" w:rsidRDefault="00F60DA7" w:rsidP="00066718">
      <w:pPr>
        <w:spacing w:line="360" w:lineRule="auto"/>
        <w:jc w:val="both"/>
        <w:rPr>
          <w:rFonts w:asciiTheme="majorBidi" w:hAnsiTheme="majorBidi" w:cstheme="majorBidi"/>
          <w:b/>
          <w:bCs/>
          <w:sz w:val="28"/>
          <w:szCs w:val="28"/>
        </w:rPr>
      </w:pPr>
      <w:r>
        <w:rPr>
          <w:rFonts w:asciiTheme="majorBidi" w:hAnsiTheme="majorBidi" w:cstheme="majorBidi"/>
          <w:b/>
          <w:bCs/>
          <w:sz w:val="28"/>
          <w:szCs w:val="28"/>
        </w:rPr>
        <w:t>Reference</w:t>
      </w:r>
    </w:p>
    <w:p w14:paraId="7431B9C6" w14:textId="77777777" w:rsidR="00F60DA7" w:rsidRPr="00463F11" w:rsidRDefault="00F60DA7" w:rsidP="00066718">
      <w:pPr>
        <w:numPr>
          <w:ilvl w:val="0"/>
          <w:numId w:val="21"/>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Zhang, C., &amp; Lu, Y. (2021). Study on artificial intelligence: The state of the art and </w:t>
      </w:r>
      <w:proofErr w:type="gramStart"/>
      <w:r w:rsidRPr="00463F11">
        <w:rPr>
          <w:rFonts w:asciiTheme="majorBidi" w:hAnsiTheme="majorBidi" w:cstheme="majorBidi"/>
          <w:sz w:val="24"/>
          <w:szCs w:val="24"/>
        </w:rPr>
        <w:t>future prospects</w:t>
      </w:r>
      <w:proofErr w:type="gramEnd"/>
      <w:r w:rsidRPr="00463F11">
        <w:rPr>
          <w:rFonts w:asciiTheme="majorBidi" w:hAnsiTheme="majorBidi" w:cstheme="majorBidi"/>
          <w:sz w:val="24"/>
          <w:szCs w:val="24"/>
        </w:rPr>
        <w:t xml:space="preserve">. </w:t>
      </w:r>
      <w:r w:rsidRPr="00463F11">
        <w:rPr>
          <w:rFonts w:asciiTheme="majorBidi" w:hAnsiTheme="majorBidi" w:cstheme="majorBidi"/>
          <w:i/>
          <w:iCs/>
          <w:sz w:val="24"/>
          <w:szCs w:val="24"/>
        </w:rPr>
        <w:t>Journal of Industrial Information Integration, 23</w:t>
      </w:r>
      <w:r w:rsidRPr="00463F11">
        <w:rPr>
          <w:rFonts w:asciiTheme="majorBidi" w:hAnsiTheme="majorBidi" w:cstheme="majorBidi"/>
          <w:sz w:val="24"/>
          <w:szCs w:val="24"/>
        </w:rPr>
        <w:t xml:space="preserve">, 100224. </w:t>
      </w:r>
      <w:hyperlink r:id="rId5" w:tgtFrame="_new" w:history="1">
        <w:r w:rsidRPr="00463F11">
          <w:rPr>
            <w:rStyle w:val="Hyperlink"/>
            <w:rFonts w:asciiTheme="majorBidi" w:hAnsiTheme="majorBidi" w:cstheme="majorBidi"/>
            <w:sz w:val="24"/>
            <w:szCs w:val="24"/>
          </w:rPr>
          <w:t>https://doi.org/10.1016/j.jii.2021.100224</w:t>
        </w:r>
      </w:hyperlink>
    </w:p>
    <w:p w14:paraId="32B0DFA3" w14:textId="77777777" w:rsidR="00F60DA7" w:rsidRPr="00463F11" w:rsidRDefault="00F60DA7" w:rsidP="00066718">
      <w:pPr>
        <w:numPr>
          <w:ilvl w:val="0"/>
          <w:numId w:val="21"/>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Berente, N., Gu, B., Recker, J., &amp; Santhanam, R. (2021). Managing artificial intelligence. </w:t>
      </w:r>
      <w:r w:rsidRPr="00463F11">
        <w:rPr>
          <w:rFonts w:asciiTheme="majorBidi" w:hAnsiTheme="majorBidi" w:cstheme="majorBidi"/>
          <w:i/>
          <w:iCs/>
          <w:sz w:val="24"/>
          <w:szCs w:val="24"/>
        </w:rPr>
        <w:t>MIS Quarterly, 45</w:t>
      </w:r>
      <w:r w:rsidRPr="00463F11">
        <w:rPr>
          <w:rFonts w:asciiTheme="majorBidi" w:hAnsiTheme="majorBidi" w:cstheme="majorBidi"/>
          <w:sz w:val="24"/>
          <w:szCs w:val="24"/>
        </w:rPr>
        <w:t>(3), 1433-1450. https://doi.org/10.25300/MISQ/2021/16274</w:t>
      </w:r>
    </w:p>
    <w:p w14:paraId="46803539" w14:textId="77777777" w:rsidR="00F60DA7" w:rsidRPr="00463F11" w:rsidRDefault="00F60DA7" w:rsidP="00066718">
      <w:pPr>
        <w:numPr>
          <w:ilvl w:val="0"/>
          <w:numId w:val="21"/>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Goralski, M. A., &amp; Tan, T. K. (2020). Artificial intelligence and sustainable development. </w:t>
      </w:r>
      <w:r w:rsidRPr="00463F11">
        <w:rPr>
          <w:rFonts w:asciiTheme="majorBidi" w:hAnsiTheme="majorBidi" w:cstheme="majorBidi"/>
          <w:i/>
          <w:iCs/>
          <w:sz w:val="24"/>
          <w:szCs w:val="24"/>
        </w:rPr>
        <w:t>The International Journal of Management Education, 18</w:t>
      </w:r>
      <w:r w:rsidRPr="00463F11">
        <w:rPr>
          <w:rFonts w:asciiTheme="majorBidi" w:hAnsiTheme="majorBidi" w:cstheme="majorBidi"/>
          <w:sz w:val="24"/>
          <w:szCs w:val="24"/>
        </w:rPr>
        <w:t xml:space="preserve">(1), 100330. </w:t>
      </w:r>
      <w:hyperlink r:id="rId6" w:tgtFrame="_new" w:history="1">
        <w:r w:rsidRPr="00463F11">
          <w:rPr>
            <w:rStyle w:val="Hyperlink"/>
            <w:rFonts w:asciiTheme="majorBidi" w:hAnsiTheme="majorBidi" w:cstheme="majorBidi"/>
            <w:sz w:val="24"/>
            <w:szCs w:val="24"/>
          </w:rPr>
          <w:t>https://doi.org/10.1016/j.ijme.2019.100330</w:t>
        </w:r>
      </w:hyperlink>
    </w:p>
    <w:p w14:paraId="3F86B0B6" w14:textId="77777777" w:rsidR="00F60DA7" w:rsidRPr="00463F11" w:rsidRDefault="00F60DA7" w:rsidP="00066718">
      <w:pPr>
        <w:numPr>
          <w:ilvl w:val="0"/>
          <w:numId w:val="21"/>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Stone, P., Brooks, R., Brynjolfsson, E., Calo, R., Etzioni, O., Hager, G., Hirschberg, J., </w:t>
      </w:r>
      <w:proofErr w:type="spellStart"/>
      <w:r w:rsidRPr="00463F11">
        <w:rPr>
          <w:rFonts w:asciiTheme="majorBidi" w:hAnsiTheme="majorBidi" w:cstheme="majorBidi"/>
          <w:sz w:val="24"/>
          <w:szCs w:val="24"/>
        </w:rPr>
        <w:t>Kalyanakrishnan</w:t>
      </w:r>
      <w:proofErr w:type="spellEnd"/>
      <w:r w:rsidRPr="00463F11">
        <w:rPr>
          <w:rFonts w:asciiTheme="majorBidi" w:hAnsiTheme="majorBidi" w:cstheme="majorBidi"/>
          <w:sz w:val="24"/>
          <w:szCs w:val="24"/>
        </w:rPr>
        <w:t xml:space="preserve">, S., Kamar, E., Kraus, S., Leyton-Brown, K., Parkes, D., Press, W., </w:t>
      </w:r>
      <w:proofErr w:type="spellStart"/>
      <w:r w:rsidRPr="00463F11">
        <w:rPr>
          <w:rFonts w:asciiTheme="majorBidi" w:hAnsiTheme="majorBidi" w:cstheme="majorBidi"/>
          <w:sz w:val="24"/>
          <w:szCs w:val="24"/>
        </w:rPr>
        <w:t>Saxenian</w:t>
      </w:r>
      <w:proofErr w:type="spellEnd"/>
      <w:r w:rsidRPr="00463F11">
        <w:rPr>
          <w:rFonts w:asciiTheme="majorBidi" w:hAnsiTheme="majorBidi" w:cstheme="majorBidi"/>
          <w:sz w:val="24"/>
          <w:szCs w:val="24"/>
        </w:rPr>
        <w:t xml:space="preserve">, A., Shah, J., Tambe, M., &amp; Teller, A. (2022). Artificial Intelligence and Life in 2030: The One Hundred Year Study on Artificial Intelligence. </w:t>
      </w:r>
      <w:r w:rsidRPr="00463F11">
        <w:rPr>
          <w:rFonts w:asciiTheme="majorBidi" w:hAnsiTheme="majorBidi" w:cstheme="majorBidi"/>
          <w:i/>
          <w:iCs/>
          <w:sz w:val="24"/>
          <w:szCs w:val="24"/>
        </w:rPr>
        <w:t>arXiv:2211.06318</w:t>
      </w:r>
      <w:r w:rsidRPr="00463F11">
        <w:rPr>
          <w:rFonts w:asciiTheme="majorBidi" w:hAnsiTheme="majorBidi" w:cstheme="majorBidi"/>
          <w:sz w:val="24"/>
          <w:szCs w:val="24"/>
        </w:rPr>
        <w:t xml:space="preserve">. </w:t>
      </w:r>
      <w:hyperlink r:id="rId7" w:tgtFrame="_new" w:history="1">
        <w:r w:rsidRPr="00463F11">
          <w:rPr>
            <w:rStyle w:val="Hyperlink"/>
            <w:rFonts w:asciiTheme="majorBidi" w:hAnsiTheme="majorBidi" w:cstheme="majorBidi"/>
            <w:sz w:val="24"/>
            <w:szCs w:val="24"/>
          </w:rPr>
          <w:t>https://doi.org/10.48550/arXiv.2211.06318</w:t>
        </w:r>
      </w:hyperlink>
    </w:p>
    <w:p w14:paraId="2D360A43" w14:textId="77777777" w:rsidR="00F60DA7" w:rsidRPr="00463F11" w:rsidRDefault="00F60DA7" w:rsidP="00066718">
      <w:pPr>
        <w:numPr>
          <w:ilvl w:val="0"/>
          <w:numId w:val="21"/>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Reddy, S. (2022). Explainability and artificial intelligence in medicine. </w:t>
      </w:r>
      <w:r w:rsidRPr="00463F11">
        <w:rPr>
          <w:rFonts w:asciiTheme="majorBidi" w:hAnsiTheme="majorBidi" w:cstheme="majorBidi"/>
          <w:i/>
          <w:iCs/>
          <w:sz w:val="24"/>
          <w:szCs w:val="24"/>
        </w:rPr>
        <w:t xml:space="preserve">Published in </w:t>
      </w:r>
      <w:proofErr w:type="gramStart"/>
      <w:r w:rsidRPr="00463F11">
        <w:rPr>
          <w:rFonts w:asciiTheme="majorBidi" w:hAnsiTheme="majorBidi" w:cstheme="majorBidi"/>
          <w:i/>
          <w:iCs/>
          <w:sz w:val="24"/>
          <w:szCs w:val="24"/>
        </w:rPr>
        <w:t>April,</w:t>
      </w:r>
      <w:proofErr w:type="gramEnd"/>
      <w:r w:rsidRPr="00463F11">
        <w:rPr>
          <w:rFonts w:asciiTheme="majorBidi" w:hAnsiTheme="majorBidi" w:cstheme="majorBidi"/>
          <w:i/>
          <w:iCs/>
          <w:sz w:val="24"/>
          <w:szCs w:val="24"/>
        </w:rPr>
        <w:t xml:space="preserve"> 2022.</w:t>
      </w:r>
      <w:r w:rsidRPr="00463F11">
        <w:rPr>
          <w:rFonts w:asciiTheme="majorBidi" w:hAnsiTheme="majorBidi" w:cstheme="majorBidi"/>
          <w:sz w:val="24"/>
          <w:szCs w:val="24"/>
        </w:rPr>
        <w:t xml:space="preserve"> </w:t>
      </w:r>
      <w:hyperlink r:id="rId8" w:tgtFrame="_new" w:history="1">
        <w:r w:rsidRPr="00463F11">
          <w:rPr>
            <w:rStyle w:val="Hyperlink"/>
            <w:rFonts w:asciiTheme="majorBidi" w:hAnsiTheme="majorBidi" w:cstheme="majorBidi"/>
            <w:sz w:val="24"/>
            <w:szCs w:val="24"/>
          </w:rPr>
          <w:t>https://doi.org/10.1016/S2589-7500(22)00029-2</w:t>
        </w:r>
      </w:hyperlink>
    </w:p>
    <w:p w14:paraId="0D348582" w14:textId="77777777" w:rsidR="00F60DA7" w:rsidRPr="00463F11" w:rsidRDefault="00F60DA7" w:rsidP="00066718">
      <w:pPr>
        <w:numPr>
          <w:ilvl w:val="0"/>
          <w:numId w:val="21"/>
        </w:numPr>
        <w:spacing w:line="360" w:lineRule="auto"/>
        <w:jc w:val="both"/>
        <w:rPr>
          <w:rFonts w:asciiTheme="majorBidi" w:hAnsiTheme="majorBidi" w:cstheme="majorBidi"/>
          <w:sz w:val="24"/>
          <w:szCs w:val="24"/>
        </w:rPr>
      </w:pPr>
      <w:proofErr w:type="spellStart"/>
      <w:r w:rsidRPr="00463F11">
        <w:rPr>
          <w:rFonts w:asciiTheme="majorBidi" w:hAnsiTheme="majorBidi" w:cstheme="majorBidi"/>
          <w:sz w:val="24"/>
          <w:szCs w:val="24"/>
        </w:rPr>
        <w:t>Thiebes</w:t>
      </w:r>
      <w:proofErr w:type="spellEnd"/>
      <w:r w:rsidRPr="00463F11">
        <w:rPr>
          <w:rFonts w:asciiTheme="majorBidi" w:hAnsiTheme="majorBidi" w:cstheme="majorBidi"/>
          <w:sz w:val="24"/>
          <w:szCs w:val="24"/>
        </w:rPr>
        <w:t xml:space="preserve">, S., Lins, S., &amp; </w:t>
      </w:r>
      <w:proofErr w:type="spellStart"/>
      <w:r w:rsidRPr="00463F11">
        <w:rPr>
          <w:rFonts w:asciiTheme="majorBidi" w:hAnsiTheme="majorBidi" w:cstheme="majorBidi"/>
          <w:sz w:val="24"/>
          <w:szCs w:val="24"/>
        </w:rPr>
        <w:t>Sunyaev</w:t>
      </w:r>
      <w:proofErr w:type="spellEnd"/>
      <w:r w:rsidRPr="00463F11">
        <w:rPr>
          <w:rFonts w:asciiTheme="majorBidi" w:hAnsiTheme="majorBidi" w:cstheme="majorBidi"/>
          <w:sz w:val="24"/>
          <w:szCs w:val="24"/>
        </w:rPr>
        <w:t xml:space="preserve">, A. (2021). Trustworthy artificial intelligence. </w:t>
      </w:r>
      <w:r w:rsidRPr="00463F11">
        <w:rPr>
          <w:rFonts w:asciiTheme="majorBidi" w:hAnsiTheme="majorBidi" w:cstheme="majorBidi"/>
          <w:i/>
          <w:iCs/>
          <w:sz w:val="24"/>
          <w:szCs w:val="24"/>
        </w:rPr>
        <w:t>Electron Markets, 31</w:t>
      </w:r>
      <w:r w:rsidRPr="00463F11">
        <w:rPr>
          <w:rFonts w:asciiTheme="majorBidi" w:hAnsiTheme="majorBidi" w:cstheme="majorBidi"/>
          <w:sz w:val="24"/>
          <w:szCs w:val="24"/>
        </w:rPr>
        <w:t xml:space="preserve">(3), 447–464. </w:t>
      </w:r>
      <w:hyperlink r:id="rId9" w:tgtFrame="_new" w:history="1">
        <w:r w:rsidRPr="00463F11">
          <w:rPr>
            <w:rStyle w:val="Hyperlink"/>
            <w:rFonts w:asciiTheme="majorBidi" w:hAnsiTheme="majorBidi" w:cstheme="majorBidi"/>
            <w:sz w:val="24"/>
            <w:szCs w:val="24"/>
          </w:rPr>
          <w:t>https://doi.org/10.1007/s12525-020-00441-4</w:t>
        </w:r>
      </w:hyperlink>
    </w:p>
    <w:p w14:paraId="32F2858C" w14:textId="77777777" w:rsidR="00F60DA7" w:rsidRPr="00463F11" w:rsidRDefault="00F60DA7" w:rsidP="00066718">
      <w:pPr>
        <w:spacing w:line="360" w:lineRule="auto"/>
        <w:jc w:val="both"/>
        <w:rPr>
          <w:rFonts w:asciiTheme="majorBidi" w:hAnsiTheme="majorBidi" w:cstheme="majorBidi"/>
          <w:sz w:val="24"/>
          <w:szCs w:val="24"/>
        </w:rPr>
      </w:pPr>
    </w:p>
    <w:p w14:paraId="1D7762E3" w14:textId="77777777" w:rsidR="00C32404" w:rsidRDefault="00C32404" w:rsidP="00066718">
      <w:pPr>
        <w:spacing w:line="360" w:lineRule="auto"/>
      </w:pPr>
    </w:p>
    <w:sectPr w:rsidR="00C32404" w:rsidSect="00077184">
      <w:pgSz w:w="12240" w:h="15840"/>
      <w:pgMar w:top="1152" w:right="1152" w:bottom="1152" w:left="1152" w:header="720" w:footer="720" w:gutter="0"/>
      <w:pgBorders w:offsetFrom="page">
        <w:top w:val="twistedLines2" w:sz="31" w:space="24" w:color="808080" w:themeColor="background1" w:themeShade="80"/>
        <w:left w:val="twistedLines2" w:sz="31" w:space="24" w:color="808080" w:themeColor="background1" w:themeShade="80"/>
        <w:bottom w:val="twistedLines2" w:sz="31" w:space="24" w:color="808080" w:themeColor="background1" w:themeShade="80"/>
        <w:right w:val="twistedLines2" w:sz="31" w:space="24" w:color="808080" w:themeColor="background1" w:themeShade="8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121BB"/>
    <w:multiLevelType w:val="multilevel"/>
    <w:tmpl w:val="6EBC9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03880"/>
    <w:multiLevelType w:val="multilevel"/>
    <w:tmpl w:val="6A909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D47E3"/>
    <w:multiLevelType w:val="hybridMultilevel"/>
    <w:tmpl w:val="9E4A2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58591F"/>
    <w:multiLevelType w:val="multilevel"/>
    <w:tmpl w:val="68E46DB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4E2F0B"/>
    <w:multiLevelType w:val="multilevel"/>
    <w:tmpl w:val="0F20A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B323DF"/>
    <w:multiLevelType w:val="multilevel"/>
    <w:tmpl w:val="9E8E5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79409C"/>
    <w:multiLevelType w:val="multilevel"/>
    <w:tmpl w:val="CAA6E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EC74F6"/>
    <w:multiLevelType w:val="multilevel"/>
    <w:tmpl w:val="ADE47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187DE0"/>
    <w:multiLevelType w:val="multilevel"/>
    <w:tmpl w:val="7E38C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D2772E"/>
    <w:multiLevelType w:val="multilevel"/>
    <w:tmpl w:val="CB32B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27697"/>
    <w:multiLevelType w:val="multilevel"/>
    <w:tmpl w:val="B82A9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A4EAA"/>
    <w:multiLevelType w:val="multilevel"/>
    <w:tmpl w:val="28DE3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F933FD"/>
    <w:multiLevelType w:val="multilevel"/>
    <w:tmpl w:val="542A2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71278A"/>
    <w:multiLevelType w:val="multilevel"/>
    <w:tmpl w:val="1B3E6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9C0F34"/>
    <w:multiLevelType w:val="multilevel"/>
    <w:tmpl w:val="CF267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30DF8"/>
    <w:multiLevelType w:val="multilevel"/>
    <w:tmpl w:val="22BC0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8304D9"/>
    <w:multiLevelType w:val="multilevel"/>
    <w:tmpl w:val="4D260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224607"/>
    <w:multiLevelType w:val="multilevel"/>
    <w:tmpl w:val="8EEEC8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6D2261"/>
    <w:multiLevelType w:val="multilevel"/>
    <w:tmpl w:val="3EAA6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695558"/>
    <w:multiLevelType w:val="multilevel"/>
    <w:tmpl w:val="8CA05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442603"/>
    <w:multiLevelType w:val="multilevel"/>
    <w:tmpl w:val="09960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EB24FCD"/>
    <w:multiLevelType w:val="multilevel"/>
    <w:tmpl w:val="6B16C956"/>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6565647">
    <w:abstractNumId w:val="16"/>
  </w:num>
  <w:num w:numId="2" w16cid:durableId="146288906">
    <w:abstractNumId w:val="8"/>
  </w:num>
  <w:num w:numId="3" w16cid:durableId="2119399814">
    <w:abstractNumId w:val="2"/>
  </w:num>
  <w:num w:numId="4" w16cid:durableId="1463227610">
    <w:abstractNumId w:val="18"/>
  </w:num>
  <w:num w:numId="5" w16cid:durableId="142896906">
    <w:abstractNumId w:val="5"/>
  </w:num>
  <w:num w:numId="6" w16cid:durableId="1455252431">
    <w:abstractNumId w:val="10"/>
  </w:num>
  <w:num w:numId="7" w16cid:durableId="106392187">
    <w:abstractNumId w:val="11"/>
  </w:num>
  <w:num w:numId="8" w16cid:durableId="704529005">
    <w:abstractNumId w:val="13"/>
  </w:num>
  <w:num w:numId="9" w16cid:durableId="46610278">
    <w:abstractNumId w:val="3"/>
  </w:num>
  <w:num w:numId="10" w16cid:durableId="418214236">
    <w:abstractNumId w:val="7"/>
  </w:num>
  <w:num w:numId="11" w16cid:durableId="612250560">
    <w:abstractNumId w:val="9"/>
  </w:num>
  <w:num w:numId="12" w16cid:durableId="251545471">
    <w:abstractNumId w:val="6"/>
  </w:num>
  <w:num w:numId="13" w16cid:durableId="984893248">
    <w:abstractNumId w:val="14"/>
  </w:num>
  <w:num w:numId="14" w16cid:durableId="72440030">
    <w:abstractNumId w:val="4"/>
  </w:num>
  <w:num w:numId="15" w16cid:durableId="1535725962">
    <w:abstractNumId w:val="1"/>
  </w:num>
  <w:num w:numId="16" w16cid:durableId="177282079">
    <w:abstractNumId w:val="15"/>
  </w:num>
  <w:num w:numId="17" w16cid:durableId="2140342201">
    <w:abstractNumId w:val="0"/>
  </w:num>
  <w:num w:numId="18" w16cid:durableId="985819429">
    <w:abstractNumId w:val="20"/>
  </w:num>
  <w:num w:numId="19" w16cid:durableId="1855148666">
    <w:abstractNumId w:val="19"/>
  </w:num>
  <w:num w:numId="20" w16cid:durableId="721754295">
    <w:abstractNumId w:val="17"/>
  </w:num>
  <w:num w:numId="21" w16cid:durableId="648023679">
    <w:abstractNumId w:val="12"/>
  </w:num>
  <w:num w:numId="22" w16cid:durableId="10346189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DA7"/>
    <w:rsid w:val="00040748"/>
    <w:rsid w:val="00066718"/>
    <w:rsid w:val="00077184"/>
    <w:rsid w:val="000C1167"/>
    <w:rsid w:val="008E1CFB"/>
    <w:rsid w:val="00A52BDA"/>
    <w:rsid w:val="00C32404"/>
    <w:rsid w:val="00C61467"/>
    <w:rsid w:val="00F60DA7"/>
    <w:rsid w:val="00F81E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B0B6E"/>
  <w15:chartTrackingRefBased/>
  <w15:docId w15:val="{BAE2488E-5F54-4E58-915E-A00CC493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DA7"/>
  </w:style>
  <w:style w:type="paragraph" w:styleId="Heading1">
    <w:name w:val="heading 1"/>
    <w:basedOn w:val="Normal"/>
    <w:next w:val="Normal"/>
    <w:link w:val="Heading1Char"/>
    <w:uiPriority w:val="9"/>
    <w:qFormat/>
    <w:rsid w:val="00F60DA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60DA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60DA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60DA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60DA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60D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D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D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D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DA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60DA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60DA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60DA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60DA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60D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D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D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DA7"/>
    <w:rPr>
      <w:rFonts w:eastAsiaTheme="majorEastAsia" w:cstheme="majorBidi"/>
      <w:color w:val="272727" w:themeColor="text1" w:themeTint="D8"/>
    </w:rPr>
  </w:style>
  <w:style w:type="paragraph" w:styleId="Title">
    <w:name w:val="Title"/>
    <w:basedOn w:val="Normal"/>
    <w:next w:val="Normal"/>
    <w:link w:val="TitleChar"/>
    <w:uiPriority w:val="10"/>
    <w:qFormat/>
    <w:rsid w:val="00F60D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D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D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D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DA7"/>
    <w:pPr>
      <w:spacing w:before="160"/>
      <w:jc w:val="center"/>
    </w:pPr>
    <w:rPr>
      <w:i/>
      <w:iCs/>
      <w:color w:val="404040" w:themeColor="text1" w:themeTint="BF"/>
    </w:rPr>
  </w:style>
  <w:style w:type="character" w:customStyle="1" w:styleId="QuoteChar">
    <w:name w:val="Quote Char"/>
    <w:basedOn w:val="DefaultParagraphFont"/>
    <w:link w:val="Quote"/>
    <w:uiPriority w:val="29"/>
    <w:rsid w:val="00F60DA7"/>
    <w:rPr>
      <w:i/>
      <w:iCs/>
      <w:color w:val="404040" w:themeColor="text1" w:themeTint="BF"/>
    </w:rPr>
  </w:style>
  <w:style w:type="paragraph" w:styleId="ListParagraph">
    <w:name w:val="List Paragraph"/>
    <w:basedOn w:val="Normal"/>
    <w:uiPriority w:val="34"/>
    <w:qFormat/>
    <w:rsid w:val="00F60DA7"/>
    <w:pPr>
      <w:ind w:left="720"/>
      <w:contextualSpacing/>
    </w:pPr>
  </w:style>
  <w:style w:type="character" w:styleId="IntenseEmphasis">
    <w:name w:val="Intense Emphasis"/>
    <w:basedOn w:val="DefaultParagraphFont"/>
    <w:uiPriority w:val="21"/>
    <w:qFormat/>
    <w:rsid w:val="00F60DA7"/>
    <w:rPr>
      <w:i/>
      <w:iCs/>
      <w:color w:val="2E74B5" w:themeColor="accent1" w:themeShade="BF"/>
    </w:rPr>
  </w:style>
  <w:style w:type="paragraph" w:styleId="IntenseQuote">
    <w:name w:val="Intense Quote"/>
    <w:basedOn w:val="Normal"/>
    <w:next w:val="Normal"/>
    <w:link w:val="IntenseQuoteChar"/>
    <w:uiPriority w:val="30"/>
    <w:qFormat/>
    <w:rsid w:val="00F60DA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60DA7"/>
    <w:rPr>
      <w:i/>
      <w:iCs/>
      <w:color w:val="2E74B5" w:themeColor="accent1" w:themeShade="BF"/>
    </w:rPr>
  </w:style>
  <w:style w:type="character" w:styleId="IntenseReference">
    <w:name w:val="Intense Reference"/>
    <w:basedOn w:val="DefaultParagraphFont"/>
    <w:uiPriority w:val="32"/>
    <w:qFormat/>
    <w:rsid w:val="00F60DA7"/>
    <w:rPr>
      <w:b/>
      <w:bCs/>
      <w:smallCaps/>
      <w:color w:val="2E74B5" w:themeColor="accent1" w:themeShade="BF"/>
      <w:spacing w:val="5"/>
    </w:rPr>
  </w:style>
  <w:style w:type="table" w:styleId="TableGrid">
    <w:name w:val="Table Grid"/>
    <w:basedOn w:val="TableNormal"/>
    <w:uiPriority w:val="39"/>
    <w:rsid w:val="00F60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0D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448833">
      <w:bodyDiv w:val="1"/>
      <w:marLeft w:val="0"/>
      <w:marRight w:val="0"/>
      <w:marTop w:val="0"/>
      <w:marBottom w:val="0"/>
      <w:divBdr>
        <w:top w:val="none" w:sz="0" w:space="0" w:color="auto"/>
        <w:left w:val="none" w:sz="0" w:space="0" w:color="auto"/>
        <w:bottom w:val="none" w:sz="0" w:space="0" w:color="auto"/>
        <w:right w:val="none" w:sz="0" w:space="0" w:color="auto"/>
      </w:divBdr>
    </w:div>
    <w:div w:id="192421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2589-7500(22)00029-2" TargetMode="External"/><Relationship Id="rId3" Type="http://schemas.openxmlformats.org/officeDocument/2006/relationships/settings" Target="settings.xml"/><Relationship Id="rId7" Type="http://schemas.openxmlformats.org/officeDocument/2006/relationships/hyperlink" Target="https://doi.org/10.48550/arXiv.2211.063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me.2019.100330" TargetMode="External"/><Relationship Id="rId11" Type="http://schemas.openxmlformats.org/officeDocument/2006/relationships/theme" Target="theme/theme1.xml"/><Relationship Id="rId5" Type="http://schemas.openxmlformats.org/officeDocument/2006/relationships/hyperlink" Target="https://doi.org/10.1016/j.jii.2021.10022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12525-020-0044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1272</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hadeer198574@fnur.bu.edu.eg</dc:creator>
  <cp:keywords/>
  <dc:description/>
  <cp:lastModifiedBy>hadeer198574@fnur.bu.edu.eg</cp:lastModifiedBy>
  <cp:revision>1</cp:revision>
  <dcterms:created xsi:type="dcterms:W3CDTF">2024-02-29T21:04:00Z</dcterms:created>
  <dcterms:modified xsi:type="dcterms:W3CDTF">2024-02-29T21:11:00Z</dcterms:modified>
</cp:coreProperties>
</file>