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08A8D" w14:textId="77777777" w:rsidR="005A2E6A" w:rsidRPr="007A098A" w:rsidRDefault="005A2E6A" w:rsidP="005A2E6A">
      <w:pPr>
        <w:pStyle w:val="1"/>
        <w:spacing w:before="0"/>
        <w:jc w:val="center"/>
        <w:rPr>
          <w:rFonts w:ascii="Simplified Arabic" w:hAnsi="Simplified Arabic" w:cs="Simplified Arabic"/>
          <w:b/>
          <w:bCs/>
          <w:rtl/>
        </w:rPr>
      </w:pPr>
      <w:r w:rsidRPr="007A098A">
        <w:rPr>
          <w:rFonts w:ascii="Simplified Arabic" w:hAnsi="Simplified Arabic" w:cs="Simplified Arabic" w:hint="cs"/>
          <w:b/>
          <w:bCs/>
          <w:rtl/>
        </w:rPr>
        <w:t>الفصل الثاني</w:t>
      </w:r>
    </w:p>
    <w:p w14:paraId="560037BC" w14:textId="77777777" w:rsidR="005A2E6A" w:rsidRDefault="005A2E6A" w:rsidP="005A2E6A">
      <w:pPr>
        <w:pStyle w:val="1"/>
        <w:spacing w:before="0"/>
        <w:jc w:val="center"/>
        <w:rPr>
          <w:rFonts w:ascii="Simplified Arabic" w:hAnsi="Simplified Arabic" w:cs="Simplified Arabic"/>
          <w:b/>
          <w:bCs/>
          <w:rtl/>
        </w:rPr>
      </w:pPr>
      <w:bookmarkStart w:id="0" w:name="_Toc225265008"/>
      <w:r w:rsidRPr="007A098A">
        <w:rPr>
          <w:rFonts w:ascii="Simplified Arabic" w:hAnsi="Simplified Arabic" w:cs="Simplified Arabic" w:hint="cs"/>
          <w:b/>
          <w:bCs/>
          <w:rtl/>
        </w:rPr>
        <w:t>الدراسات السابقة</w:t>
      </w:r>
      <w:bookmarkEnd w:id="0"/>
    </w:p>
    <w:p w14:paraId="61671284" w14:textId="77777777" w:rsidR="005A2E6A" w:rsidRDefault="005A2E6A" w:rsidP="005A2E6A">
      <w:pPr>
        <w:pStyle w:val="1"/>
        <w:spacing w:before="0"/>
        <w:jc w:val="center"/>
        <w:rPr>
          <w:rFonts w:ascii="Simplified Arabic" w:hAnsi="Simplified Arabic" w:cs="Simplified Arabic"/>
          <w:b/>
          <w:bCs/>
          <w:rtl/>
        </w:rPr>
      </w:pPr>
      <w:bookmarkStart w:id="1" w:name="_Toc225265009"/>
      <w:r>
        <w:rPr>
          <w:rFonts w:ascii="Simplified Arabic" w:hAnsi="Simplified Arabic" w:cs="Simplified Arabic" w:hint="cs"/>
          <w:b/>
          <w:bCs/>
          <w:rtl/>
        </w:rPr>
        <w:t>الإطار النظري</w:t>
      </w:r>
      <w:bookmarkEnd w:id="1"/>
    </w:p>
    <w:p w14:paraId="4A3E4F62" w14:textId="77777777" w:rsidR="005A2E6A" w:rsidRDefault="005A2E6A" w:rsidP="005A2E6A">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53783EFD" w14:textId="77777777" w:rsidR="005A2E6A" w:rsidRPr="001361F1" w:rsidRDefault="005A2E6A" w:rsidP="005A2E6A">
      <w:pPr>
        <w:pStyle w:val="1"/>
        <w:spacing w:before="0"/>
        <w:rPr>
          <w:rFonts w:ascii="Simplified Arabic" w:hAnsi="Simplified Arabic" w:cs="Simplified Arabic"/>
          <w:b/>
          <w:bCs/>
          <w:sz w:val="36"/>
          <w:szCs w:val="36"/>
          <w:rtl/>
        </w:rPr>
      </w:pPr>
      <w:bookmarkStart w:id="2" w:name="_Toc225265010"/>
      <w:r w:rsidRPr="001361F1">
        <w:rPr>
          <w:rFonts w:ascii="Simplified Arabic" w:hAnsi="Simplified Arabic" w:cs="Simplified Arabic" w:hint="cs"/>
          <w:b/>
          <w:bCs/>
          <w:sz w:val="36"/>
          <w:szCs w:val="36"/>
          <w:rtl/>
        </w:rPr>
        <w:lastRenderedPageBreak/>
        <w:t>مقدمة</w:t>
      </w:r>
      <w:bookmarkEnd w:id="2"/>
      <w:r>
        <w:rPr>
          <w:rFonts w:ascii="Simplified Arabic" w:hAnsi="Simplified Arabic" w:cs="Simplified Arabic" w:hint="cs"/>
          <w:b/>
          <w:bCs/>
          <w:sz w:val="36"/>
          <w:szCs w:val="36"/>
          <w:rtl/>
        </w:rPr>
        <w:t>:</w:t>
      </w:r>
    </w:p>
    <w:p w14:paraId="47154853"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7B6F04">
        <w:rPr>
          <w:rFonts w:ascii="Simplified Arabic" w:hAnsi="Simplified Arabic" w:cs="Simplified Arabic" w:hint="cs"/>
          <w:sz w:val="28"/>
          <w:szCs w:val="28"/>
          <w:rtl/>
        </w:rPr>
        <w:t>يشمل هذا الفصل مراجعة شاملة للدراسات السابقة التي تناولت المسؤولية القانونية للإدارة التنفيذية عن القرارات المالية الخاطئة، مع التركيز على دور الحوكمة المؤسسية في تعزيز الشفافية والمساءلة داخل الشركات. يهدف الفصل إلى توضيح العلاقة بين المتغير التابع (المسؤولية القانونية للإدارة التنفيذية) والمتغير المستقل (القرارات المالية، آليات الحوكمة، كفاءة الإدارة)، وتحليل نتائج الدراسات السابقة لتحديد أوجه الاتفاق والاختلاف، والفجوات البحثية التي تسعى الدراسة الحالية لسدها.</w:t>
      </w:r>
    </w:p>
    <w:p w14:paraId="16847EE2"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7B6F04">
        <w:rPr>
          <w:rFonts w:ascii="Simplified Arabic" w:hAnsi="Simplified Arabic" w:cs="Simplified Arabic" w:hint="cs"/>
          <w:sz w:val="28"/>
          <w:szCs w:val="28"/>
          <w:rtl/>
        </w:rPr>
        <w:t>يسعى هذا الفصل إلى استعراض الدراسات السابقة ذات الصلة، تصنيف المتغيرات التابعة والمستقلة، وعرض الإطار النظري للدراسة، مع تقديم مناقشة لأوجه الاتفاق والاختلاف بين هذه الدراسات لتحديد الفجوات البحثية التي تسعى الدراسة الحالية لسدها</w:t>
      </w:r>
      <w:r w:rsidRPr="007B6F04">
        <w:rPr>
          <w:rFonts w:ascii="Simplified Arabic" w:hAnsi="Simplified Arabic" w:cs="Simplified Arabic" w:hint="cs"/>
          <w:sz w:val="28"/>
          <w:szCs w:val="28"/>
        </w:rPr>
        <w:t>.</w:t>
      </w:r>
    </w:p>
    <w:p w14:paraId="740458B3"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65CBB87F" w14:textId="77777777" w:rsidR="005A2E6A" w:rsidRPr="001361F1" w:rsidRDefault="005A2E6A" w:rsidP="005A2E6A">
      <w:pPr>
        <w:pStyle w:val="1"/>
        <w:spacing w:before="0"/>
        <w:rPr>
          <w:rFonts w:ascii="Simplified Arabic" w:hAnsi="Simplified Arabic" w:cs="Simplified Arabic"/>
          <w:b/>
          <w:bCs/>
          <w:sz w:val="36"/>
          <w:szCs w:val="36"/>
          <w:rtl/>
        </w:rPr>
      </w:pPr>
      <w:bookmarkStart w:id="3" w:name="_Toc225265011"/>
      <w:r w:rsidRPr="001361F1">
        <w:rPr>
          <w:rFonts w:ascii="Simplified Arabic" w:hAnsi="Simplified Arabic" w:cs="Simplified Arabic" w:hint="cs"/>
          <w:b/>
          <w:bCs/>
          <w:sz w:val="36"/>
          <w:szCs w:val="36"/>
          <w:rtl/>
        </w:rPr>
        <w:t>المتغيرات</w:t>
      </w:r>
      <w:bookmarkEnd w:id="3"/>
      <w:r>
        <w:rPr>
          <w:rFonts w:ascii="Simplified Arabic" w:hAnsi="Simplified Arabic" w:cs="Simplified Arabic" w:hint="cs"/>
          <w:b/>
          <w:bCs/>
          <w:sz w:val="36"/>
          <w:szCs w:val="36"/>
          <w:rtl/>
        </w:rPr>
        <w:t>:</w:t>
      </w:r>
    </w:p>
    <w:p w14:paraId="5371C883"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1. المتغير التابع</w:t>
      </w:r>
      <w:r>
        <w:rPr>
          <w:rFonts w:ascii="Simplified Arabic" w:hAnsi="Simplified Arabic" w:cs="Simplified Arabic" w:hint="cs"/>
          <w:b/>
          <w:bCs/>
          <w:sz w:val="28"/>
          <w:szCs w:val="28"/>
          <w:rtl/>
        </w:rPr>
        <w:t>:</w:t>
      </w:r>
    </w:p>
    <w:p w14:paraId="4F262467"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المسؤولية القانونية للإدارة التنفيذية عن القرارات المالية الخاطئة</w:t>
      </w:r>
      <w:r>
        <w:rPr>
          <w:rFonts w:ascii="Simplified Arabic" w:hAnsi="Simplified Arabic" w:cs="Simplified Arabic" w:hint="cs"/>
          <w:b/>
          <w:bCs/>
          <w:sz w:val="28"/>
          <w:szCs w:val="28"/>
          <w:rtl/>
        </w:rPr>
        <w:t>:</w:t>
      </w:r>
    </w:p>
    <w:p w14:paraId="054F62F5"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يشير هذا المتغير إلى مدى مساءلة الإدارة التنفيذية قانونياً عن القرارات المالية التي قد تتضمن أخطاء تقديرية، سوء إدارة، أو مخالفة للأنظمة واللوائح التنظيمية.</w:t>
      </w:r>
    </w:p>
    <w:p w14:paraId="5193F4D2" w14:textId="77777777" w:rsidR="005A2E6A" w:rsidRPr="00062213" w:rsidRDefault="005A2E6A" w:rsidP="005A2E6A">
      <w:pPr>
        <w:spacing w:after="0" w:line="240" w:lineRule="auto"/>
        <w:jc w:val="both"/>
        <w:rPr>
          <w:rFonts w:ascii="Simplified Arabic" w:hAnsi="Simplified Arabic" w:cs="Simplified Arabic"/>
          <w:sz w:val="28"/>
          <w:szCs w:val="28"/>
          <w:rtl/>
        </w:rPr>
      </w:pPr>
      <w:r w:rsidRPr="00062213">
        <w:rPr>
          <w:rFonts w:ascii="Simplified Arabic" w:hAnsi="Simplified Arabic" w:cs="Simplified Arabic" w:hint="cs"/>
          <w:b/>
          <w:bCs/>
          <w:sz w:val="28"/>
          <w:szCs w:val="28"/>
          <w:rtl/>
        </w:rPr>
        <w:t>يتم قياس هذا المتغير من خلال:</w:t>
      </w:r>
    </w:p>
    <w:p w14:paraId="3423EF63" w14:textId="77777777" w:rsidR="005A2E6A" w:rsidRPr="00062213" w:rsidRDefault="005A2E6A" w:rsidP="005A2E6A">
      <w:pPr>
        <w:pStyle w:val="a6"/>
        <w:numPr>
          <w:ilvl w:val="0"/>
          <w:numId w:val="3"/>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وجود مسؤولية مدنية أو جزائية للإدارة التنفيذية.</w:t>
      </w:r>
    </w:p>
    <w:p w14:paraId="61A36D4C" w14:textId="77777777" w:rsidR="005A2E6A" w:rsidRPr="00062213" w:rsidRDefault="005A2E6A" w:rsidP="005A2E6A">
      <w:pPr>
        <w:pStyle w:val="a6"/>
        <w:numPr>
          <w:ilvl w:val="0"/>
          <w:numId w:val="3"/>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نطاق المساءلة القانونية وفق نظام الشركات السعودي.</w:t>
      </w:r>
    </w:p>
    <w:p w14:paraId="55A4EFA0" w14:textId="77777777" w:rsidR="005A2E6A" w:rsidRPr="00062213" w:rsidRDefault="005A2E6A" w:rsidP="005A2E6A">
      <w:pPr>
        <w:pStyle w:val="a6"/>
        <w:numPr>
          <w:ilvl w:val="0"/>
          <w:numId w:val="3"/>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الأثر المالي الناتج عن القرارات الخاطئة على الشركة والمساهمين.</w:t>
      </w:r>
    </w:p>
    <w:p w14:paraId="33899FFF" w14:textId="77777777" w:rsidR="005A2E6A" w:rsidRDefault="005A2E6A" w:rsidP="005A2E6A">
      <w:pPr>
        <w:pStyle w:val="a6"/>
        <w:numPr>
          <w:ilvl w:val="0"/>
          <w:numId w:val="3"/>
        </w:numPr>
        <w:spacing w:after="0" w:line="240" w:lineRule="auto"/>
        <w:ind w:firstLine="284"/>
        <w:jc w:val="both"/>
        <w:rPr>
          <w:rFonts w:ascii="Simplified Arabic" w:hAnsi="Simplified Arabic" w:cs="Simplified Arabic"/>
          <w:sz w:val="28"/>
          <w:szCs w:val="28"/>
        </w:rPr>
      </w:pPr>
      <w:r w:rsidRPr="00062213">
        <w:rPr>
          <w:rFonts w:ascii="Simplified Arabic" w:hAnsi="Simplified Arabic" w:cs="Simplified Arabic" w:hint="cs"/>
          <w:sz w:val="28"/>
          <w:szCs w:val="28"/>
          <w:rtl/>
        </w:rPr>
        <w:t>مدى تطبيق الأنظمة المنظمة لسوق الأوراق المالية في مساءلة الإدارة التنفيذية.</w:t>
      </w:r>
    </w:p>
    <w:p w14:paraId="41CBCF6E" w14:textId="77777777" w:rsidR="005A2E6A" w:rsidRPr="00657E00" w:rsidRDefault="005A2E6A" w:rsidP="005A2E6A">
      <w:pPr>
        <w:spacing w:after="0" w:line="240" w:lineRule="auto"/>
        <w:jc w:val="both"/>
        <w:rPr>
          <w:rFonts w:ascii="Simplified Arabic" w:hAnsi="Simplified Arabic" w:cs="Simplified Arabic"/>
          <w:sz w:val="28"/>
          <w:szCs w:val="28"/>
          <w:rtl/>
        </w:rPr>
      </w:pPr>
    </w:p>
    <w:p w14:paraId="42E187FA"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2. المتغير المستقل</w:t>
      </w:r>
      <w:r>
        <w:rPr>
          <w:rFonts w:ascii="Simplified Arabic" w:hAnsi="Simplified Arabic" w:cs="Simplified Arabic" w:hint="cs"/>
          <w:b/>
          <w:bCs/>
          <w:sz w:val="28"/>
          <w:szCs w:val="28"/>
          <w:rtl/>
        </w:rPr>
        <w:t>:</w:t>
      </w:r>
      <w:r w:rsidRPr="00062213">
        <w:rPr>
          <w:rFonts w:ascii="Simplified Arabic" w:hAnsi="Simplified Arabic" w:cs="Simplified Arabic" w:hint="cs"/>
          <w:b/>
          <w:bCs/>
          <w:sz w:val="28"/>
          <w:szCs w:val="28"/>
          <w:rtl/>
        </w:rPr>
        <w:t xml:space="preserve"> </w:t>
      </w:r>
    </w:p>
    <w:p w14:paraId="612A5391"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مبادئ الحوكمة المؤسسية والإطار القانوني السعودي</w:t>
      </w:r>
      <w:r>
        <w:rPr>
          <w:rFonts w:ascii="Simplified Arabic" w:hAnsi="Simplified Arabic" w:cs="Simplified Arabic" w:hint="cs"/>
          <w:b/>
          <w:bCs/>
          <w:sz w:val="28"/>
          <w:szCs w:val="28"/>
          <w:rtl/>
        </w:rPr>
        <w:t>:</w:t>
      </w:r>
    </w:p>
    <w:p w14:paraId="2FD4C209" w14:textId="77777777" w:rsidR="005A2E6A" w:rsidRPr="00062213" w:rsidRDefault="005A2E6A" w:rsidP="005A2E6A">
      <w:pPr>
        <w:pStyle w:val="a6"/>
        <w:numPr>
          <w:ilvl w:val="0"/>
          <w:numId w:val="4"/>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يمثل هذا المتغير العوامل التي تؤثر في الحد من الأخطاء المالية وتعزيز المساءلة القانونية للإدارة التنفيذية، وتشمل:</w:t>
      </w:r>
    </w:p>
    <w:p w14:paraId="10249D60" w14:textId="77777777" w:rsidR="005A2E6A" w:rsidRPr="00062213" w:rsidRDefault="005A2E6A" w:rsidP="005A2E6A">
      <w:pPr>
        <w:pStyle w:val="a6"/>
        <w:numPr>
          <w:ilvl w:val="0"/>
          <w:numId w:val="4"/>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الضوابط القانونية والتنظيمية: مثل نظام الشركات السعودي ونظام السوق المالية.</w:t>
      </w:r>
    </w:p>
    <w:p w14:paraId="67B63800" w14:textId="77777777" w:rsidR="005A2E6A" w:rsidRPr="00062213" w:rsidRDefault="005A2E6A" w:rsidP="005A2E6A">
      <w:pPr>
        <w:pStyle w:val="a6"/>
        <w:numPr>
          <w:ilvl w:val="0"/>
          <w:numId w:val="4"/>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lastRenderedPageBreak/>
        <w:t xml:space="preserve">مبادئ الحوكمة المؤسسية: مثل الشفافية، الإفصاح، الاستقلالية، وجود لجان </w:t>
      </w:r>
      <w:r>
        <w:rPr>
          <w:rFonts w:ascii="Simplified Arabic" w:hAnsi="Simplified Arabic" w:cs="Simplified Arabic" w:hint="cs"/>
          <w:sz w:val="28"/>
          <w:szCs w:val="28"/>
          <w:rtl/>
        </w:rPr>
        <w:t>المراجعة و</w:t>
      </w:r>
      <w:r w:rsidRPr="00062213">
        <w:rPr>
          <w:rFonts w:ascii="Simplified Arabic" w:hAnsi="Simplified Arabic" w:cs="Simplified Arabic" w:hint="cs"/>
          <w:sz w:val="28"/>
          <w:szCs w:val="28"/>
          <w:rtl/>
        </w:rPr>
        <w:t>التدقيق، ومساءلة مجلس الإدارة.</w:t>
      </w:r>
    </w:p>
    <w:p w14:paraId="548F46D1" w14:textId="77777777" w:rsidR="005A2E6A" w:rsidRPr="00062213" w:rsidRDefault="005A2E6A" w:rsidP="005A2E6A">
      <w:pPr>
        <w:pStyle w:val="a6"/>
        <w:numPr>
          <w:ilvl w:val="0"/>
          <w:numId w:val="4"/>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كفاءة وخبرة الإدارة التنفيذية: تأثير الخبرة المهنية </w:t>
      </w:r>
      <w:proofErr w:type="spellStart"/>
      <w:r>
        <w:rPr>
          <w:rFonts w:ascii="Simplified Arabic" w:hAnsi="Simplified Arabic" w:cs="Simplified Arabic" w:hint="cs"/>
          <w:sz w:val="28"/>
          <w:szCs w:val="28"/>
          <w:rtl/>
        </w:rPr>
        <w:t>والملكبة</w:t>
      </w:r>
      <w:proofErr w:type="spellEnd"/>
      <w:r w:rsidRPr="00062213">
        <w:rPr>
          <w:rFonts w:ascii="Simplified Arabic" w:hAnsi="Simplified Arabic" w:cs="Simplified Arabic" w:hint="cs"/>
          <w:sz w:val="28"/>
          <w:szCs w:val="28"/>
          <w:rtl/>
        </w:rPr>
        <w:t xml:space="preserve"> على تقليل الأخطاء المالية.</w:t>
      </w:r>
    </w:p>
    <w:p w14:paraId="179CB292" w14:textId="77777777" w:rsidR="005A2E6A" w:rsidRDefault="005A2E6A" w:rsidP="005A2E6A">
      <w:pPr>
        <w:pStyle w:val="a6"/>
        <w:numPr>
          <w:ilvl w:val="0"/>
          <w:numId w:val="4"/>
        </w:numPr>
        <w:spacing w:after="0" w:line="240" w:lineRule="auto"/>
        <w:ind w:firstLine="284"/>
        <w:jc w:val="both"/>
        <w:rPr>
          <w:rFonts w:ascii="Simplified Arabic" w:hAnsi="Simplified Arabic" w:cs="Simplified Arabic"/>
          <w:sz w:val="28"/>
          <w:szCs w:val="28"/>
        </w:rPr>
      </w:pPr>
      <w:r w:rsidRPr="00062213">
        <w:rPr>
          <w:rFonts w:ascii="Simplified Arabic" w:hAnsi="Simplified Arabic" w:cs="Simplified Arabic" w:hint="cs"/>
          <w:b/>
          <w:bCs/>
          <w:sz w:val="28"/>
          <w:szCs w:val="28"/>
          <w:rtl/>
        </w:rPr>
        <w:t>يتم قياس هذا المتغير من خلال</w:t>
      </w:r>
      <w:r w:rsidRPr="00062213">
        <w:rPr>
          <w:rFonts w:ascii="Simplified Arabic" w:hAnsi="Simplified Arabic" w:cs="Simplified Arabic" w:hint="cs"/>
          <w:sz w:val="28"/>
          <w:szCs w:val="28"/>
          <w:rtl/>
        </w:rPr>
        <w:t xml:space="preserve"> مدى الالتزام بتطبيق الحوكمة المؤسسية، ووجود آليات رقابية فعالة داخل الشركة لضمان سلامة القرارات المالية.</w:t>
      </w:r>
    </w:p>
    <w:p w14:paraId="717B3B11" w14:textId="77777777" w:rsidR="005A2E6A" w:rsidRDefault="005A2E6A" w:rsidP="005A2E6A">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1F95E594" w14:textId="77777777" w:rsidR="005A2E6A" w:rsidRPr="00062213" w:rsidRDefault="005A2E6A" w:rsidP="005A2E6A">
      <w:pPr>
        <w:spacing w:after="0" w:line="240" w:lineRule="auto"/>
        <w:ind w:left="644"/>
        <w:jc w:val="both"/>
        <w:rPr>
          <w:rFonts w:ascii="Simplified Arabic" w:hAnsi="Simplified Arabic" w:cs="Simplified Arabic"/>
          <w:sz w:val="28"/>
          <w:szCs w:val="28"/>
        </w:rPr>
      </w:pPr>
      <w:r w:rsidRPr="00062213">
        <w:rPr>
          <w:rFonts w:ascii="Simplified Arabic" w:hAnsi="Simplified Arabic" w:cs="Simplified Arabic"/>
          <w:noProof/>
          <w:sz w:val="28"/>
          <w:szCs w:val="28"/>
          <w:rtl/>
          <w:lang w:val="ar-SA"/>
        </w:rPr>
        <w:lastRenderedPageBreak/>
        <w:drawing>
          <wp:anchor distT="0" distB="0" distL="114300" distR="114300" simplePos="0" relativeHeight="251659264" behindDoc="0" locked="0" layoutInCell="1" allowOverlap="1" wp14:anchorId="7B53EC9F" wp14:editId="5DA97BE2">
            <wp:simplePos x="0" y="0"/>
            <wp:positionH relativeFrom="column">
              <wp:posOffset>-249205</wp:posOffset>
            </wp:positionH>
            <wp:positionV relativeFrom="paragraph">
              <wp:posOffset>-378896</wp:posOffset>
            </wp:positionV>
            <wp:extent cx="6392887" cy="2906973"/>
            <wp:effectExtent l="0" t="0" r="8255" b="8255"/>
            <wp:wrapNone/>
            <wp:docPr id="164456136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561369" name="صورة 3"/>
                    <pic:cNvPicPr/>
                  </pic:nvPicPr>
                  <pic:blipFill rotWithShape="1">
                    <a:blip r:embed="rId5" cstate="print">
                      <a:extLst>
                        <a:ext uri="{28A0092B-C50C-407E-A947-70E740481C1C}">
                          <a14:useLocalDpi xmlns:a14="http://schemas.microsoft.com/office/drawing/2010/main" val="0"/>
                        </a:ext>
                      </a:extLst>
                    </a:blip>
                    <a:srcRect/>
                    <a:stretch>
                      <a:fillRect/>
                    </a:stretch>
                  </pic:blipFill>
                  <pic:spPr bwMode="auto">
                    <a:xfrm>
                      <a:off x="0" y="0"/>
                      <a:ext cx="6398789" cy="29096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950F8B"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75822AD9" w14:textId="77777777" w:rsidR="005A2E6A" w:rsidRDefault="005A2E6A" w:rsidP="005A2E6A">
      <w:pPr>
        <w:spacing w:after="0" w:line="240" w:lineRule="auto"/>
        <w:ind w:firstLine="284"/>
        <w:jc w:val="both"/>
        <w:rPr>
          <w:rFonts w:ascii="Simplified Arabic" w:hAnsi="Simplified Arabic" w:cs="Simplified Arabic"/>
          <w:rtl/>
        </w:rPr>
      </w:pPr>
    </w:p>
    <w:p w14:paraId="1DB2C17E" w14:textId="77777777" w:rsidR="005A2E6A" w:rsidRDefault="005A2E6A" w:rsidP="005A2E6A">
      <w:pPr>
        <w:spacing w:after="0" w:line="240" w:lineRule="auto"/>
        <w:ind w:firstLine="284"/>
        <w:jc w:val="both"/>
        <w:rPr>
          <w:rFonts w:ascii="Simplified Arabic" w:hAnsi="Simplified Arabic" w:cs="Simplified Arabic"/>
          <w:rtl/>
        </w:rPr>
      </w:pPr>
    </w:p>
    <w:p w14:paraId="6DB5BF95" w14:textId="77777777" w:rsidR="005A2E6A" w:rsidRDefault="005A2E6A" w:rsidP="005A2E6A">
      <w:pPr>
        <w:spacing w:after="0" w:line="240" w:lineRule="auto"/>
        <w:ind w:firstLine="284"/>
        <w:jc w:val="both"/>
        <w:rPr>
          <w:rFonts w:ascii="Simplified Arabic" w:hAnsi="Simplified Arabic" w:cs="Simplified Arabic"/>
          <w:rtl/>
        </w:rPr>
      </w:pPr>
    </w:p>
    <w:p w14:paraId="7083BBE6" w14:textId="77777777" w:rsidR="005A2E6A" w:rsidRDefault="005A2E6A" w:rsidP="005A2E6A">
      <w:pPr>
        <w:spacing w:after="0" w:line="240" w:lineRule="auto"/>
        <w:ind w:firstLine="284"/>
        <w:jc w:val="both"/>
        <w:rPr>
          <w:rFonts w:ascii="Simplified Arabic" w:hAnsi="Simplified Arabic" w:cs="Simplified Arabic"/>
          <w:rtl/>
        </w:rPr>
      </w:pPr>
    </w:p>
    <w:p w14:paraId="08CC61AA" w14:textId="77777777" w:rsidR="005A2E6A" w:rsidRDefault="005A2E6A" w:rsidP="005A2E6A">
      <w:pPr>
        <w:spacing w:after="0" w:line="240" w:lineRule="auto"/>
        <w:ind w:firstLine="284"/>
        <w:jc w:val="both"/>
        <w:rPr>
          <w:rFonts w:ascii="Simplified Arabic" w:hAnsi="Simplified Arabic" w:cs="Simplified Arabic"/>
          <w:rtl/>
        </w:rPr>
      </w:pPr>
    </w:p>
    <w:p w14:paraId="23CB7B05" w14:textId="77777777" w:rsidR="005A2E6A" w:rsidRDefault="005A2E6A" w:rsidP="005A2E6A">
      <w:pPr>
        <w:spacing w:after="0" w:line="240" w:lineRule="auto"/>
        <w:ind w:firstLine="284"/>
        <w:jc w:val="both"/>
        <w:rPr>
          <w:rFonts w:ascii="Simplified Arabic" w:hAnsi="Simplified Arabic" w:cs="Simplified Arabic"/>
          <w:rtl/>
        </w:rPr>
      </w:pPr>
    </w:p>
    <w:p w14:paraId="503B3480" w14:textId="77777777" w:rsidR="005A2E6A" w:rsidRDefault="005A2E6A" w:rsidP="005A2E6A">
      <w:pPr>
        <w:spacing w:after="0" w:line="240" w:lineRule="auto"/>
        <w:ind w:firstLine="284"/>
        <w:jc w:val="both"/>
        <w:rPr>
          <w:rFonts w:ascii="Simplified Arabic" w:hAnsi="Simplified Arabic" w:cs="Simplified Arabic"/>
          <w:rtl/>
        </w:rPr>
      </w:pPr>
    </w:p>
    <w:p w14:paraId="0A59E97F" w14:textId="77777777" w:rsidR="005A2E6A" w:rsidRPr="007A098A" w:rsidRDefault="005A2E6A" w:rsidP="005A2E6A">
      <w:pPr>
        <w:spacing w:after="0" w:line="240" w:lineRule="auto"/>
        <w:ind w:firstLine="284"/>
        <w:jc w:val="both"/>
        <w:rPr>
          <w:rFonts w:ascii="Simplified Arabic" w:hAnsi="Simplified Arabic" w:cs="Simplified Arabic"/>
          <w:rtl/>
        </w:rPr>
      </w:pPr>
    </w:p>
    <w:p w14:paraId="365F5C31" w14:textId="77777777" w:rsidR="005A2E6A" w:rsidRDefault="005A2E6A" w:rsidP="005A2E6A">
      <w:pPr>
        <w:spacing w:after="0" w:line="240" w:lineRule="auto"/>
        <w:ind w:firstLine="284"/>
        <w:jc w:val="center"/>
        <w:rPr>
          <w:rFonts w:ascii="Simplified Arabic" w:hAnsi="Simplified Arabic" w:cs="Simplified Arabic"/>
          <w:b/>
          <w:bCs/>
          <w:rtl/>
        </w:rPr>
      </w:pPr>
    </w:p>
    <w:p w14:paraId="0360A057" w14:textId="77777777" w:rsidR="005A2E6A" w:rsidRPr="00EF5F31" w:rsidRDefault="005A2E6A" w:rsidP="005A2E6A">
      <w:pPr>
        <w:spacing w:after="0" w:line="240" w:lineRule="auto"/>
        <w:ind w:firstLine="284"/>
        <w:jc w:val="center"/>
        <w:rPr>
          <w:rFonts w:ascii="Simplified Arabic" w:hAnsi="Simplified Arabic" w:cs="Simplified Arabic"/>
          <w:rtl/>
        </w:rPr>
      </w:pPr>
      <w:r w:rsidRPr="00EF5F31">
        <w:rPr>
          <w:rFonts w:ascii="Simplified Arabic" w:hAnsi="Simplified Arabic" w:cs="Simplified Arabic" w:hint="cs"/>
          <w:rtl/>
        </w:rPr>
        <w:t>الشكل (2 – 1 )</w:t>
      </w:r>
    </w:p>
    <w:p w14:paraId="2CF3E999" w14:textId="77777777" w:rsidR="005A2E6A" w:rsidRPr="00EF5F31" w:rsidRDefault="005A2E6A" w:rsidP="005A2E6A">
      <w:pPr>
        <w:spacing w:after="0" w:line="240" w:lineRule="auto"/>
        <w:ind w:firstLine="284"/>
        <w:jc w:val="center"/>
        <w:rPr>
          <w:rFonts w:ascii="Simplified Arabic" w:hAnsi="Simplified Arabic" w:cs="Simplified Arabic"/>
        </w:rPr>
      </w:pPr>
      <w:r w:rsidRPr="00EF5F31">
        <w:rPr>
          <w:rFonts w:ascii="Simplified Arabic" w:hAnsi="Simplified Arabic" w:cs="Simplified Arabic" w:hint="cs"/>
          <w:rtl/>
        </w:rPr>
        <w:t>مخطط متغيرات الدراسة</w:t>
      </w:r>
    </w:p>
    <w:p w14:paraId="24554AB5" w14:textId="77777777" w:rsidR="005A2E6A" w:rsidRDefault="005A2E6A" w:rsidP="005A2E6A">
      <w:pPr>
        <w:pStyle w:val="1"/>
        <w:spacing w:before="0"/>
        <w:rPr>
          <w:rFonts w:ascii="Simplified Arabic" w:hAnsi="Simplified Arabic" w:cs="Simplified Arabic"/>
          <w:b/>
          <w:bCs/>
          <w:sz w:val="36"/>
          <w:szCs w:val="36"/>
          <w:rtl/>
        </w:rPr>
      </w:pPr>
      <w:bookmarkStart w:id="4" w:name="_Toc225265012"/>
    </w:p>
    <w:p w14:paraId="771FB71A" w14:textId="77777777" w:rsidR="005A2E6A" w:rsidRDefault="005A2E6A" w:rsidP="005A2E6A">
      <w:pPr>
        <w:rPr>
          <w:rtl/>
        </w:rPr>
      </w:pPr>
    </w:p>
    <w:p w14:paraId="16C046E0" w14:textId="77777777" w:rsidR="005A2E6A" w:rsidRDefault="005A2E6A" w:rsidP="005A2E6A">
      <w:pPr>
        <w:rPr>
          <w:rtl/>
        </w:rPr>
      </w:pPr>
    </w:p>
    <w:p w14:paraId="696BBE8A" w14:textId="77777777" w:rsidR="005A2E6A" w:rsidRPr="008B1D7A" w:rsidRDefault="005A2E6A" w:rsidP="005A2E6A">
      <w:pPr>
        <w:rPr>
          <w:rtl/>
        </w:rPr>
      </w:pPr>
    </w:p>
    <w:p w14:paraId="657992B1" w14:textId="77777777" w:rsidR="005A2E6A" w:rsidRPr="001361F1" w:rsidRDefault="005A2E6A" w:rsidP="005A2E6A">
      <w:pPr>
        <w:pStyle w:val="1"/>
        <w:spacing w:before="0"/>
        <w:rPr>
          <w:rFonts w:ascii="Simplified Arabic" w:hAnsi="Simplified Arabic" w:cs="Simplified Arabic"/>
          <w:b/>
          <w:bCs/>
          <w:sz w:val="36"/>
          <w:szCs w:val="36"/>
          <w:rtl/>
        </w:rPr>
      </w:pPr>
      <w:r w:rsidRPr="001361F1">
        <w:rPr>
          <w:rFonts w:ascii="Simplified Arabic" w:hAnsi="Simplified Arabic" w:cs="Simplified Arabic" w:hint="cs"/>
          <w:b/>
          <w:bCs/>
          <w:sz w:val="36"/>
          <w:szCs w:val="36"/>
          <w:rtl/>
        </w:rPr>
        <w:t>الدراسات السابقة</w:t>
      </w:r>
      <w:bookmarkEnd w:id="4"/>
      <w:r>
        <w:rPr>
          <w:rFonts w:ascii="Simplified Arabic" w:hAnsi="Simplified Arabic" w:cs="Simplified Arabic" w:hint="cs"/>
          <w:b/>
          <w:bCs/>
          <w:sz w:val="36"/>
          <w:szCs w:val="36"/>
          <w:rtl/>
        </w:rPr>
        <w:t>:</w:t>
      </w:r>
    </w:p>
    <w:p w14:paraId="03FD72FC" w14:textId="77777777" w:rsidR="005A2E6A" w:rsidRPr="00657E00" w:rsidRDefault="005A2E6A" w:rsidP="005A2E6A">
      <w:pPr>
        <w:pStyle w:val="a6"/>
        <w:numPr>
          <w:ilvl w:val="0"/>
          <w:numId w:val="10"/>
        </w:numPr>
        <w:spacing w:after="0" w:line="240" w:lineRule="auto"/>
        <w:jc w:val="both"/>
        <w:rPr>
          <w:rFonts w:ascii="Simplified Arabic" w:hAnsi="Simplified Arabic" w:cs="Simplified Arabic"/>
          <w:b/>
          <w:bCs/>
          <w:sz w:val="28"/>
          <w:szCs w:val="28"/>
          <w:rtl/>
        </w:rPr>
      </w:pPr>
      <w:r w:rsidRPr="00657E00">
        <w:rPr>
          <w:rFonts w:ascii="Simplified Arabic" w:hAnsi="Simplified Arabic" w:cs="Simplified Arabic" w:hint="cs"/>
          <w:b/>
          <w:bCs/>
          <w:sz w:val="28"/>
          <w:szCs w:val="28"/>
          <w:rtl/>
        </w:rPr>
        <w:t xml:space="preserve">دراسة (الصالح، 2020) بعنوان “المسؤولية المدنية لأعضاء مجلس الإدارة في شركة المساهمة وآليات حمايتهم في إطار نظام الشركات السعودي”. </w:t>
      </w:r>
    </w:p>
    <w:p w14:paraId="2D30E97E"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هدفت الدراسة إلى تحليل مسؤولية أعضاء مجلس الإدارة عن الأضرار الناتجة عن القرارات أو التصرفات التي قد تخل بالواجبات القانونية والإدارية المقررة لهم، مع توضيح الأسس القانونية التي تحدد نطاق هذه المسؤولية وفق نظام الشركات السعودي. وأكدت الدراسة أن القانون يمنح أعضاء مجلس الإدارة سلطات واسعة لإدارة الشركة واتخاذ القرارات المالية، ولكنه يقيد هذه الصلاحيات بواجبات محددة تهدف إلى حماية مصالح المساهمين والمساهمات في رأس المال، كما أبرزت أهمية وجود آليات حماية قانونية للأعضاء لتجنب المساءلة غير العادلة عند اتخاذ القرارات ضمن الصلاحيات المخولة لهم. وتوصلت الدراسة إلى أن المسؤولية القانونية للأعضاء تشمل المسؤولية المدنية عن الأضرار المالية، والمسؤولية التأديبية عند مخالفة الأنظمة، وكذلك إمكانية المسؤولية الجنائية في حالات الاحتيال أو التلاعب المالي. كما تناولت الدراسة دور الحوكمة المؤسسية في تعزيز الرقابة على الإدارة التنفيذية، وضمان اتخاذ القرارات المالية بطريقة رشيدة وفق الأطر </w:t>
      </w:r>
      <w:r w:rsidRPr="00062213">
        <w:rPr>
          <w:rFonts w:ascii="Simplified Arabic" w:hAnsi="Simplified Arabic" w:cs="Simplified Arabic" w:hint="cs"/>
          <w:sz w:val="28"/>
          <w:szCs w:val="28"/>
          <w:rtl/>
        </w:rPr>
        <w:lastRenderedPageBreak/>
        <w:t>القانونية المعمول بها، ما يجعل هذه الدراسة ذات صلة مباشرة ببحثنا حول المسؤولية القانونية للإدارة التنفيذية عن القرارات المالية الخاطئة في الشركات السعودية.</w:t>
      </w:r>
    </w:p>
    <w:p w14:paraId="487A463D"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15E5663C" w14:textId="77777777" w:rsidR="005A2E6A" w:rsidRPr="00657E00" w:rsidRDefault="005A2E6A" w:rsidP="005A2E6A">
      <w:pPr>
        <w:pStyle w:val="a6"/>
        <w:numPr>
          <w:ilvl w:val="0"/>
          <w:numId w:val="10"/>
        </w:numPr>
        <w:spacing w:after="0" w:line="240" w:lineRule="auto"/>
        <w:jc w:val="both"/>
        <w:rPr>
          <w:rFonts w:ascii="Simplified Arabic" w:hAnsi="Simplified Arabic" w:cs="Simplified Arabic"/>
          <w:b/>
          <w:bCs/>
          <w:sz w:val="28"/>
          <w:szCs w:val="28"/>
          <w:rtl/>
        </w:rPr>
      </w:pPr>
      <w:r w:rsidRPr="00657E00">
        <w:rPr>
          <w:rFonts w:ascii="Simplified Arabic" w:hAnsi="Simplified Arabic" w:cs="Simplified Arabic" w:hint="cs"/>
          <w:b/>
          <w:bCs/>
          <w:sz w:val="28"/>
          <w:szCs w:val="28"/>
          <w:rtl/>
        </w:rPr>
        <w:t xml:space="preserve">دراسة (الصالح والعظيم، 2024) بعنوان “تقرير المخاطر للشركات المدرجة في سوق رأس المال السعودي: تحليل تجريبي”. </w:t>
      </w:r>
    </w:p>
    <w:p w14:paraId="1C8FB7A2"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هدفت هذه الدراسة إلى فحص مدى إفصاح الشركات المدرجة في سوق المال السعودي عن المخاطر، سواء كانت مالية أو غير مالية، ودور عناصر الإفصاح المتعلقة بالمخاطر في تعزيز الشفافية والثقة لدى المستثمرين. استخدمت الدراسة مؤشراً معيناً لقياس مستوى الإفصاح عن المخاطر في التقارير السنوية، وقد أظهرت النتائج أن الشركات التي تتبع مبادئ حوكمة مؤسسية قوية تميل إلى تقديم معلومات أكثر تفصيلاً عن المخاطر التي تواجهها، بما في ذلك المخاطر المالية واستراتيجيات إدارتها، مما يعكس ارتباطاً إيجابياً بين تطبيق مبادئ الحوكمة وفعالية القرارات المالية داخل الشركات المدرجة. كما ركزت الدراسة أيضاً على علاقة هيكل الحوكمة والشفافية في الإبلاغ عن المخاطر، وهو أمر ذو صلة مباشرة بتقليل الأخطاء في القرارات المالية الناتجة عن نقص المعلومات أو ضعف الرقابة. ويمكن الاستفادة من نتائج هذه الدراسة في بحثنا لأنها تقدم دليلًا</w:t>
      </w:r>
      <w:r>
        <w:rPr>
          <w:rFonts w:ascii="Simplified Arabic" w:hAnsi="Simplified Arabic" w:cs="Simplified Arabic" w:hint="cs"/>
          <w:sz w:val="28"/>
          <w:szCs w:val="28"/>
          <w:rtl/>
        </w:rPr>
        <w:t xml:space="preserve"> تجريبياً</w:t>
      </w:r>
      <w:r w:rsidRPr="00062213">
        <w:rPr>
          <w:rFonts w:ascii="Simplified Arabic" w:hAnsi="Simplified Arabic" w:cs="Simplified Arabic" w:hint="cs"/>
          <w:sz w:val="28"/>
          <w:szCs w:val="28"/>
          <w:rtl/>
        </w:rPr>
        <w:t xml:space="preserve"> على أن مستوى تنفيذ الحوكمة المؤسسية يؤثر على جودة المعلومات المالية واتخاذ القرار داخل الشركات السعودية.</w:t>
      </w:r>
    </w:p>
    <w:p w14:paraId="50847F4B"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061437FE" w14:textId="77777777" w:rsidR="005A2E6A" w:rsidRPr="00657E00" w:rsidRDefault="005A2E6A" w:rsidP="005A2E6A">
      <w:pPr>
        <w:pStyle w:val="a6"/>
        <w:numPr>
          <w:ilvl w:val="0"/>
          <w:numId w:val="10"/>
        </w:numPr>
        <w:spacing w:after="0" w:line="240" w:lineRule="auto"/>
        <w:jc w:val="both"/>
        <w:rPr>
          <w:rFonts w:ascii="Simplified Arabic" w:hAnsi="Simplified Arabic" w:cs="Simplified Arabic"/>
          <w:b/>
          <w:bCs/>
          <w:sz w:val="28"/>
          <w:szCs w:val="28"/>
          <w:rtl/>
        </w:rPr>
      </w:pPr>
      <w:r w:rsidRPr="00657E00">
        <w:rPr>
          <w:rFonts w:ascii="Simplified Arabic" w:hAnsi="Simplified Arabic" w:cs="Simplified Arabic" w:hint="cs"/>
          <w:b/>
          <w:bCs/>
          <w:sz w:val="28"/>
          <w:szCs w:val="28"/>
          <w:rtl/>
        </w:rPr>
        <w:t xml:space="preserve">دراسة (الملحم والناصر، 2024) بعنوان “أثر خصائص الرئيس التنفيذي على الأداء المالي: دراسة تحليلية على قطاع البنوك في السوق السعودي”. </w:t>
      </w:r>
    </w:p>
    <w:p w14:paraId="50B4B349"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هدفت هذه الدراسة إلى تحليل العلاقة بين خصائص الرئيس التنفيذي مثل الخبرة المهنية، التعليم، والمشاركة في ملكية الأسهم من جهة، والأداء المالي للبنوك السعودية من جهة أخرى، وذلك باستخدام مؤشرات الأداء المالي مثل العائد على الأصول والعائد على حقوق الملكية. وقد توصلت النتائج إلى وجود آثار ذات دلالة إحصائية بين خصائص الرئيس التنفيذي والأداء المالي للبنوك، مما يعكس أن كفاءة الإدارة التنفيذية وقراراتها المالية لها تأثير ملموس على الوضع المالي للمؤسسة. وترتبط هذه النتائج بمناقشة مسؤولية الإدارة التنفيذية في اتخاذ القرارات المالية السليمة، حيث تشير إلى أن ارتفاع كفاءة الرئيس التنفيذي وتحسين ممارساته ينعكس إيجاباً على الأداء المالي، ويقلل من احتمالية اتخاذ قرارات مالية خاطئة. ويمكن الاستفادة من هذه الدراسة في بحثنا لأنها تقدم دليلاً إحصائياً على أهمية الدور الذي يلعبه الرئيس التنفيذي في تعزيز الأداء المالي وتقليل المخاطر المرتبطة بالقرارات المالية.</w:t>
      </w:r>
    </w:p>
    <w:p w14:paraId="3F4ED136"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4DBCC85A" w14:textId="77777777" w:rsidR="005A2E6A" w:rsidRPr="00657E00" w:rsidRDefault="005A2E6A" w:rsidP="005A2E6A">
      <w:pPr>
        <w:pStyle w:val="a6"/>
        <w:numPr>
          <w:ilvl w:val="0"/>
          <w:numId w:val="10"/>
        </w:numPr>
        <w:spacing w:after="0" w:line="240" w:lineRule="auto"/>
        <w:jc w:val="both"/>
        <w:rPr>
          <w:rFonts w:ascii="Simplified Arabic" w:hAnsi="Simplified Arabic" w:cs="Simplified Arabic"/>
          <w:b/>
          <w:bCs/>
          <w:sz w:val="28"/>
          <w:szCs w:val="28"/>
          <w:rtl/>
        </w:rPr>
      </w:pPr>
      <w:r w:rsidRPr="00657E00">
        <w:rPr>
          <w:rFonts w:ascii="Simplified Arabic" w:hAnsi="Simplified Arabic" w:cs="Simplified Arabic" w:hint="cs"/>
          <w:b/>
          <w:bCs/>
          <w:sz w:val="28"/>
          <w:szCs w:val="28"/>
          <w:rtl/>
        </w:rPr>
        <w:lastRenderedPageBreak/>
        <w:t>دراسة (</w:t>
      </w:r>
      <w:proofErr w:type="spellStart"/>
      <w:r w:rsidRPr="00657E00">
        <w:rPr>
          <w:rFonts w:ascii="Simplified Arabic" w:hAnsi="Simplified Arabic" w:cs="Simplified Arabic" w:hint="cs"/>
          <w:b/>
          <w:bCs/>
          <w:sz w:val="28"/>
          <w:szCs w:val="28"/>
          <w:rtl/>
        </w:rPr>
        <w:t>القعيمي</w:t>
      </w:r>
      <w:proofErr w:type="spellEnd"/>
      <w:r w:rsidRPr="00657E00">
        <w:rPr>
          <w:rFonts w:ascii="Simplified Arabic" w:hAnsi="Simplified Arabic" w:cs="Simplified Arabic" w:hint="cs"/>
          <w:b/>
          <w:bCs/>
          <w:sz w:val="28"/>
          <w:szCs w:val="28"/>
          <w:rtl/>
        </w:rPr>
        <w:t xml:space="preserve"> وعبيد، 2025) بعنوان “أثر تطبيق حوكمة الشركات المدرجة في السوق المالية السعودية على الأداء المالي”. </w:t>
      </w:r>
    </w:p>
    <w:p w14:paraId="5E5F0653"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هدفت هذه الدراسة إلى الوقوف على العلاقة بين تطبيق مبادئ حوكمة الشركات وبعض عناصرها مثل استقلالية مجلس الإدارة، نشاط لجنة المراجعة، نسبة الملكية الحكومية، وحجم الشركة، وبين الأداء المالي للشركات السعودية المدرجة ممثلاً في معدل العائد على الأصول (</w:t>
      </w:r>
      <w:r w:rsidRPr="00062213">
        <w:rPr>
          <w:rFonts w:ascii="Simplified Arabic" w:hAnsi="Simplified Arabic" w:cs="Simplified Arabic" w:hint="cs"/>
          <w:sz w:val="28"/>
          <w:szCs w:val="28"/>
        </w:rPr>
        <w:t>ROA</w:t>
      </w:r>
      <w:r w:rsidRPr="00062213">
        <w:rPr>
          <w:rFonts w:ascii="Simplified Arabic" w:hAnsi="Simplified Arabic" w:cs="Simplified Arabic" w:hint="cs"/>
          <w:sz w:val="28"/>
          <w:szCs w:val="28"/>
          <w:rtl/>
        </w:rPr>
        <w:t>). اعتمد الباحثان في منهجهما على تحليل البيانات المالية والتقارير السنوية لشركات قطاع السلع الرأسمالية خلال الفترة من 2015 إلى 2020م، واستخدام الأساليب الإحصائية لمعالجة البيانات. وقد أظهرت النتائج أن الالتزام بلائحة الحوكمة بعد تطبيقها الإلزامي يرتبط إيجابياً بالأداء المالي للشركات من خلال زيادة دلالة حجم مجلس الإدارة، بينما لم تظهر تأثيرات ذات دلالة إحصائية لباقي عناصر الحوكمة على الأداء المالي. وتؤكد الدراسة أن الحد من القرارات المالية الخاطئة وتحسين النتائج المالية للشركات يتطلب تطبيقاً فعلياً لعناصر الحوكمة المؤسسية ورفع الوعي بأهمية الرقابة داخل المؤسسة، وهو ما يرتبط بتحسين مساءلة الإدارة التنفيذية وقراراتها المالية.</w:t>
      </w:r>
    </w:p>
    <w:p w14:paraId="7E8291FD" w14:textId="77777777" w:rsidR="005A2E6A" w:rsidRPr="00657E00" w:rsidRDefault="005A2E6A" w:rsidP="005A2E6A">
      <w:pPr>
        <w:spacing w:after="0" w:line="240" w:lineRule="auto"/>
        <w:ind w:firstLine="284"/>
        <w:jc w:val="both"/>
        <w:rPr>
          <w:rFonts w:ascii="Simplified Arabic" w:hAnsi="Simplified Arabic" w:cs="Simplified Arabic"/>
          <w:sz w:val="28"/>
          <w:szCs w:val="28"/>
          <w:rtl/>
        </w:rPr>
      </w:pPr>
    </w:p>
    <w:p w14:paraId="72279011" w14:textId="77777777" w:rsidR="005A2E6A" w:rsidRPr="00657E00" w:rsidRDefault="005A2E6A" w:rsidP="005A2E6A">
      <w:pPr>
        <w:pStyle w:val="a6"/>
        <w:numPr>
          <w:ilvl w:val="0"/>
          <w:numId w:val="10"/>
        </w:numPr>
        <w:spacing w:after="0" w:line="240" w:lineRule="auto"/>
        <w:jc w:val="both"/>
        <w:rPr>
          <w:rFonts w:ascii="Simplified Arabic" w:hAnsi="Simplified Arabic" w:cs="Simplified Arabic"/>
          <w:b/>
          <w:bCs/>
          <w:sz w:val="28"/>
          <w:szCs w:val="28"/>
          <w:rtl/>
        </w:rPr>
      </w:pPr>
      <w:r w:rsidRPr="00657E00">
        <w:rPr>
          <w:rFonts w:ascii="Simplified Arabic" w:hAnsi="Simplified Arabic" w:cs="Simplified Arabic" w:hint="cs"/>
          <w:b/>
          <w:bCs/>
          <w:sz w:val="28"/>
          <w:szCs w:val="28"/>
          <w:rtl/>
        </w:rPr>
        <w:t xml:space="preserve">دراسة (العمري، 2024) بعنوان “أثر آليات حوكمة الشركات على الأداء المالي للشركات السعودية”. </w:t>
      </w:r>
    </w:p>
    <w:p w14:paraId="72CED170"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هدفت هذه الدراسة إلى اختبار العلاقة بين آليات حوكمة الشركات، مثل مؤشر الحوكمة المكون من عدة عناصر، والأداء المالي للشركات السعودية غير المالية المدرجة في سوق الأوراق المالية السعودي خلال الفترة من 2019 إلى 2022م، وذلك باستخدام بيانات عينة من 90 شركة وتحليل إحصائي للروابط بين الحوكمة والأداء المالي. وأظهرت نتائج الدراسة وجود علاقة إيجابية معنوية بين مؤشر حوكمة الشركات ومعدلات كل من العائد على الأصول والعائد على حقوق الملكية، ما يشير إلى أن ارتفاع مستوى تطبيق الحوكمة يرتبط بتحسن الأداء المالي. كما أشارت النتائج إلى أن بعض خصائص الشركات مثل الرفع المالي قد تؤثر بدورها على هذه العلاقة، في حين لم تظهر علاقة معنوية مع عناصر أخرى مثل حجم الشركة وعمرها. ويمكن الاستفادة من هذه الدراسة في بحثنا لأنها تقدم دليلاً على أن تعزيز آليات الحوكمة المؤسسية يمكن أن يحد من الأخطاء في القرارات المالية ويعزز المساءلة داخل الشركات السعودية، وهو ما يتصل مباشرة بموضوع المساءلة القانونية للإدارة التنفيذية عن قراراتها المالية.</w:t>
      </w:r>
    </w:p>
    <w:p w14:paraId="034599DF"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202CADF2" w14:textId="77777777" w:rsidR="005A2E6A" w:rsidRPr="00657E00" w:rsidRDefault="005A2E6A" w:rsidP="005A2E6A">
      <w:pPr>
        <w:spacing w:after="0" w:line="240" w:lineRule="auto"/>
        <w:ind w:firstLine="284"/>
        <w:jc w:val="both"/>
        <w:rPr>
          <w:rFonts w:ascii="Simplified Arabic" w:hAnsi="Simplified Arabic" w:cs="Simplified Arabic"/>
          <w:b/>
          <w:bCs/>
          <w:sz w:val="32"/>
          <w:szCs w:val="32"/>
          <w:rtl/>
        </w:rPr>
      </w:pPr>
      <w:r w:rsidRPr="00657E00">
        <w:rPr>
          <w:rFonts w:ascii="Simplified Arabic" w:hAnsi="Simplified Arabic" w:cs="Simplified Arabic" w:hint="cs"/>
          <w:b/>
          <w:bCs/>
          <w:sz w:val="32"/>
          <w:szCs w:val="32"/>
          <w:rtl/>
        </w:rPr>
        <w:t>مناقشة الدراسات السابقة:</w:t>
      </w:r>
    </w:p>
    <w:p w14:paraId="6D19DDA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lastRenderedPageBreak/>
        <w:t xml:space="preserve">تجمع الدراسات الخمس السابقة على أن الإدارة التنفيذية وحوكمة الشركات يشكلان محوراً أساسياً في تحديد جودة القرارات المالية وتقليل المخاطر في الشركات السعودية. وقد أبرزت جميعها أن القرارات المالية للإدارة التنفيذية ليست مجرد عمليات إدارية، بل تحمل تبعات قانونية ومالية تؤثر مباشرة على استقرار الشركة وحماية </w:t>
      </w:r>
      <w:r>
        <w:rPr>
          <w:rFonts w:ascii="Simplified Arabic" w:hAnsi="Simplified Arabic" w:cs="Simplified Arabic" w:hint="cs"/>
          <w:sz w:val="28"/>
          <w:szCs w:val="28"/>
          <w:rtl/>
        </w:rPr>
        <w:t>ال</w:t>
      </w:r>
      <w:r w:rsidRPr="00062213">
        <w:rPr>
          <w:rFonts w:ascii="Simplified Arabic" w:hAnsi="Simplified Arabic" w:cs="Simplified Arabic" w:hint="cs"/>
          <w:sz w:val="28"/>
          <w:szCs w:val="28"/>
          <w:rtl/>
        </w:rPr>
        <w:t>مصالح.</w:t>
      </w:r>
    </w:p>
    <w:p w14:paraId="14593E1E"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تشير دراسة الصالح (2020) إلى أن المسؤولية المدنية والقانونية لأعضاء مجلس الإدارة قائمة ومرتبطة ارتباطاً وثيقاً بالقرارات المالية والإدارية، وأن وجود آليات حماية قانونية يضمن اتخاذ القرارات ضمن الصلاحيات المخولة. بينما ركزت دراسة الصالح والعظيم (2024) على الإفصاح عن المخاطر المالية وغير المالية، وأوضحت أن الالتزام بمبادئ الحوكمة يعزز الشفافية ويحد من الأخطاء المالية الناتجة عن نقص المعلومات أو ضعف الرقابة.</w:t>
      </w:r>
    </w:p>
    <w:p w14:paraId="3EB0AE7C"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وأثبتت دراسة الملحم والناصر (2024) أن خصائص الرئيس التنفيذي مثل الخبرة المهنية والملكية تترجم مباشرة إلى تحسين الأداء المالي، مما يوضح أهمية كفاءة الإدارة التنفيذية في الحد من القرارات المالية الخاطئة، بينما ركزت دراسة </w:t>
      </w:r>
      <w:proofErr w:type="spellStart"/>
      <w:r w:rsidRPr="00062213">
        <w:rPr>
          <w:rFonts w:ascii="Simplified Arabic" w:hAnsi="Simplified Arabic" w:cs="Simplified Arabic" w:hint="cs"/>
          <w:sz w:val="28"/>
          <w:szCs w:val="28"/>
          <w:rtl/>
        </w:rPr>
        <w:t>القعيمي</w:t>
      </w:r>
      <w:proofErr w:type="spellEnd"/>
      <w:r w:rsidRPr="00062213">
        <w:rPr>
          <w:rFonts w:ascii="Simplified Arabic" w:hAnsi="Simplified Arabic" w:cs="Simplified Arabic" w:hint="cs"/>
          <w:sz w:val="28"/>
          <w:szCs w:val="28"/>
          <w:rtl/>
        </w:rPr>
        <w:t xml:space="preserve"> وعبيد (2025) على عناصر الحوكمة مثل استقلالية مجلس الإدارة ولجنة التدقيق في تحسين الأداء المالي وضمان مساءلة الإدارة التنفيذية. أما دراسة العمري (2024) فقدمت دليلاً إضافياً على أن تطبيق آليات الحوكمة بشكل كامل يعزز الأداء المالي ويحد من القرارات غير السليمة، مما يؤكد الدور الوقائي للحوكمة في تعزيز المساءلة وتقليل المخاطر المالية.</w:t>
      </w:r>
    </w:p>
    <w:p w14:paraId="1B229D9F" w14:textId="77777777" w:rsidR="005A2E6A" w:rsidRDefault="005A2E6A" w:rsidP="005A2E6A">
      <w:pPr>
        <w:spacing w:after="0" w:line="240" w:lineRule="auto"/>
        <w:jc w:val="both"/>
        <w:rPr>
          <w:rFonts w:ascii="Simplified Arabic" w:hAnsi="Simplified Arabic" w:cs="Simplified Arabic"/>
          <w:b/>
          <w:bCs/>
          <w:sz w:val="28"/>
          <w:szCs w:val="28"/>
          <w:rtl/>
        </w:rPr>
      </w:pPr>
    </w:p>
    <w:p w14:paraId="1A0596AF"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أوجه الاتفاق بين الدراسات</w:t>
      </w:r>
      <w:r>
        <w:rPr>
          <w:rFonts w:ascii="Simplified Arabic" w:hAnsi="Simplified Arabic" w:cs="Simplified Arabic" w:hint="cs"/>
          <w:b/>
          <w:bCs/>
          <w:sz w:val="28"/>
          <w:szCs w:val="28"/>
          <w:rtl/>
        </w:rPr>
        <w:t>:</w:t>
      </w:r>
    </w:p>
    <w:p w14:paraId="63727AB5" w14:textId="77777777" w:rsidR="005A2E6A" w:rsidRPr="00062213" w:rsidRDefault="005A2E6A" w:rsidP="005A2E6A">
      <w:pPr>
        <w:pStyle w:val="a6"/>
        <w:numPr>
          <w:ilvl w:val="0"/>
          <w:numId w:val="1"/>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جميع الدراسات أكدت أن تطبيق مبادئ الحوكمة يقلل من الأخطاء المالية ويعزز </w:t>
      </w:r>
      <w:r>
        <w:rPr>
          <w:rFonts w:ascii="Simplified Arabic" w:hAnsi="Simplified Arabic" w:cs="Simplified Arabic" w:hint="cs"/>
          <w:sz w:val="28"/>
          <w:szCs w:val="28"/>
          <w:rtl/>
        </w:rPr>
        <w:t>صحة عمل</w:t>
      </w:r>
      <w:r w:rsidRPr="00062213">
        <w:rPr>
          <w:rFonts w:ascii="Simplified Arabic" w:hAnsi="Simplified Arabic" w:cs="Simplified Arabic" w:hint="cs"/>
          <w:sz w:val="28"/>
          <w:szCs w:val="28"/>
          <w:rtl/>
        </w:rPr>
        <w:t xml:space="preserve"> الإدارة التنفيذية.</w:t>
      </w:r>
    </w:p>
    <w:p w14:paraId="39DA685E" w14:textId="77777777" w:rsidR="005A2E6A" w:rsidRPr="00062213" w:rsidRDefault="005A2E6A" w:rsidP="005A2E6A">
      <w:pPr>
        <w:pStyle w:val="a6"/>
        <w:numPr>
          <w:ilvl w:val="0"/>
          <w:numId w:val="1"/>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توصلت الدراسات إلى أن كفاءة الرئيس التنفيذي وأعضاء مجلس الإدارة تؤثر بشكل مباشر على جودة القرارات المالية وتقليل المخاطر.</w:t>
      </w:r>
    </w:p>
    <w:p w14:paraId="0AE2A63C" w14:textId="77777777" w:rsidR="005A2E6A" w:rsidRPr="00062213" w:rsidRDefault="005A2E6A" w:rsidP="005A2E6A">
      <w:pPr>
        <w:pStyle w:val="a6"/>
        <w:numPr>
          <w:ilvl w:val="0"/>
          <w:numId w:val="1"/>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 أظهرت الدراسات أهمية وجود لجان رقابية مستقلة وممارسات إفصاح شفافة لضمان سلامة القرارات المالية.</w:t>
      </w:r>
    </w:p>
    <w:p w14:paraId="340FF53C"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أوجه الاختلاف بين الدراسات</w:t>
      </w:r>
      <w:r>
        <w:rPr>
          <w:rFonts w:ascii="Simplified Arabic" w:hAnsi="Simplified Arabic" w:cs="Simplified Arabic" w:hint="cs"/>
          <w:b/>
          <w:bCs/>
          <w:sz w:val="28"/>
          <w:szCs w:val="28"/>
          <w:rtl/>
        </w:rPr>
        <w:t>:</w:t>
      </w:r>
    </w:p>
    <w:p w14:paraId="633FC36E" w14:textId="77777777" w:rsidR="005A2E6A" w:rsidRPr="00062213" w:rsidRDefault="005A2E6A" w:rsidP="005A2E6A">
      <w:pPr>
        <w:pStyle w:val="a6"/>
        <w:numPr>
          <w:ilvl w:val="0"/>
          <w:numId w:val="2"/>
        </w:num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بعض الدراسات ركزت على المسؤولية القانونية (الصالح، 2020)، بينما ركزت أخرى على الإفصاح عن المخاطر أو الأداء المالي (الصالح والعظيم، 2024؛ الملحم والناصر، 2024).</w:t>
      </w:r>
    </w:p>
    <w:p w14:paraId="20393B7D" w14:textId="77777777" w:rsidR="005A2E6A" w:rsidRDefault="005A2E6A" w:rsidP="005A2E6A">
      <w:pPr>
        <w:pStyle w:val="a6"/>
        <w:numPr>
          <w:ilvl w:val="0"/>
          <w:numId w:val="2"/>
        </w:numPr>
        <w:spacing w:after="0" w:line="240" w:lineRule="auto"/>
        <w:ind w:firstLine="284"/>
        <w:jc w:val="both"/>
        <w:rPr>
          <w:rFonts w:ascii="Simplified Arabic" w:hAnsi="Simplified Arabic" w:cs="Simplified Arabic"/>
          <w:sz w:val="28"/>
          <w:szCs w:val="28"/>
        </w:rPr>
      </w:pPr>
      <w:r w:rsidRPr="00062213">
        <w:rPr>
          <w:rFonts w:ascii="Simplified Arabic" w:hAnsi="Simplified Arabic" w:cs="Simplified Arabic" w:hint="cs"/>
          <w:sz w:val="28"/>
          <w:szCs w:val="28"/>
          <w:rtl/>
        </w:rPr>
        <w:t>بعض الدراسات تناولت الشركات المدرجة في السوق السعودي بشكل عام، في حين ركزت أخرى على قطاعات محددة مثل البنوك أو الشركات غير المالية.</w:t>
      </w:r>
    </w:p>
    <w:p w14:paraId="4EABECCC" w14:textId="77777777" w:rsidR="005A2E6A" w:rsidRPr="00ED1A14" w:rsidRDefault="005A2E6A" w:rsidP="005A2E6A">
      <w:pPr>
        <w:spacing w:after="0" w:line="240" w:lineRule="auto"/>
        <w:jc w:val="both"/>
        <w:rPr>
          <w:rFonts w:ascii="Simplified Arabic" w:hAnsi="Simplified Arabic" w:cs="Simplified Arabic"/>
          <w:sz w:val="28"/>
          <w:szCs w:val="28"/>
          <w:rtl/>
        </w:rPr>
      </w:pPr>
    </w:p>
    <w:p w14:paraId="34A82567" w14:textId="77777777" w:rsidR="005A2E6A" w:rsidRPr="00062213" w:rsidRDefault="005A2E6A" w:rsidP="005A2E6A">
      <w:pPr>
        <w:spacing w:after="0" w:line="240" w:lineRule="auto"/>
        <w:jc w:val="both"/>
        <w:rPr>
          <w:rFonts w:ascii="Simplified Arabic" w:hAnsi="Simplified Arabic" w:cs="Simplified Arabic"/>
          <w:b/>
          <w:bCs/>
          <w:sz w:val="28"/>
          <w:szCs w:val="28"/>
          <w:rtl/>
        </w:rPr>
      </w:pPr>
      <w:r w:rsidRPr="00062213">
        <w:rPr>
          <w:rFonts w:ascii="Simplified Arabic" w:hAnsi="Simplified Arabic" w:cs="Simplified Arabic" w:hint="cs"/>
          <w:b/>
          <w:bCs/>
          <w:sz w:val="28"/>
          <w:szCs w:val="28"/>
          <w:rtl/>
        </w:rPr>
        <w:t>ما ستضيفه الدراسة الحالية</w:t>
      </w:r>
      <w:r>
        <w:rPr>
          <w:rFonts w:ascii="Simplified Arabic" w:hAnsi="Simplified Arabic" w:cs="Simplified Arabic" w:hint="cs"/>
          <w:b/>
          <w:bCs/>
          <w:sz w:val="28"/>
          <w:szCs w:val="28"/>
          <w:rtl/>
        </w:rPr>
        <w:t>:</w:t>
      </w:r>
    </w:p>
    <w:p w14:paraId="31AFAB59" w14:textId="77777777" w:rsidR="005A2E6A" w:rsidRPr="00456559" w:rsidRDefault="005A2E6A" w:rsidP="005A2E6A">
      <w:pPr>
        <w:spacing w:after="0" w:line="240" w:lineRule="auto"/>
        <w:ind w:firstLine="284"/>
        <w:jc w:val="both"/>
        <w:rPr>
          <w:rFonts w:ascii="Simplified Arabic" w:hAnsi="Simplified Arabic" w:cs="Simplified Arabic"/>
          <w:sz w:val="28"/>
          <w:szCs w:val="28"/>
          <w:rtl/>
        </w:rPr>
      </w:pPr>
      <w:r w:rsidRPr="00456559">
        <w:rPr>
          <w:rFonts w:ascii="Simplified Arabic" w:hAnsi="Simplified Arabic" w:cs="Simplified Arabic"/>
          <w:sz w:val="28"/>
          <w:szCs w:val="28"/>
          <w:rtl/>
        </w:rPr>
        <w:t>تسعى الدراسة الحالية إلى سد الفجوات الموجودة في الدراسات السابقة من خلال مجموعة من الإسهامات العلمية والتطبيقية، وذلك على النحو الآتي:</w:t>
      </w:r>
    </w:p>
    <w:p w14:paraId="3B4D4163"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التركيز المباشر على المسؤولية القانونية للإدارة التنفيذية عن القرارات المالية الخاطئة داخل الشركات السعودية، مع تحليل النصوص القانونية ذات الصلة في نظام الشركات السعودي ولائحة حوكمة الشركات.</w:t>
      </w:r>
    </w:p>
    <w:p w14:paraId="1DD23474"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ربط الحوكمة المؤسسية بالمساءلة القانونية العملية، وعدم الاكتفاء بتقييم الأداء المالي أو مستوى الإفصاح، بما يوفر رؤية شاملة لمسؤولية الإدارة التنفيذية في الواقع العملي.</w:t>
      </w:r>
    </w:p>
    <w:p w14:paraId="2433168A"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تقديم طرح يجمع بين التحليل القانوني والتحليل التطبيقي، بحيث يقدم البحث إضافة نوعية تربط بين النظرية القانونية وتطبيقات الحوكمة في البيئة السعودية.</w:t>
      </w:r>
    </w:p>
    <w:p w14:paraId="56F48226"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التوسع في نطاق الدراسة ليشمل جانباً لم يحظَ باهتمام كافٍ في الدراسات السابقة، وهو تحليل المسؤولية القانونية للإدارة التنفيذية في الشركات التي لا تتمتع بهياكل حوكمة متكاملة، وعلى وجه الخصوص الشركات غير المساهمة.</w:t>
      </w:r>
    </w:p>
    <w:p w14:paraId="7D31D9B9"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إبراز الفارق بين شركات المساهمة – التي تتميز بوجود مجلس إدارة ولجان رقابية مثل لجان المراجعة والمكافآت – وبين الشركات الأخرى التي يغيب فيها هذا الإطار الرقابي المؤسسي، مما يؤثر على طبيعة الرقابة والمساءلة.</w:t>
      </w:r>
    </w:p>
    <w:p w14:paraId="7C7A79F3"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تسليط الضوء على الشركات ذات الإدارة المركزة، مثل شركات الشخص الواحد، التي يكون فيها المدير التنفيذي هو صاحب القرار النهائي دون وجود مجلس إدارة فعّال أو لجان رقابية داخلية، وما يترتب على ذلك من ارتفاع مستوى المخاطر المالية.</w:t>
      </w:r>
    </w:p>
    <w:p w14:paraId="01A56747"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تحليل طبيعة المسؤولية القانونية في هذه الحالات، وبيان آليات مساءلة المدير التنفيذي في ظل غياب الفصل بين الملكية والإدارة، وما ينتج عنه من تداخل في الصلاحيات والمسؤوليات، خاصة في التعامل مع الغير وحماية مصالح أصحاب العلاقة.</w:t>
      </w:r>
    </w:p>
    <w:p w14:paraId="4177B5FB" w14:textId="77777777" w:rsidR="005A2E6A" w:rsidRPr="00456559" w:rsidRDefault="005A2E6A" w:rsidP="005A2E6A">
      <w:pPr>
        <w:pStyle w:val="a6"/>
        <w:numPr>
          <w:ilvl w:val="0"/>
          <w:numId w:val="5"/>
        </w:numPr>
        <w:spacing w:after="0" w:line="240" w:lineRule="auto"/>
        <w:jc w:val="both"/>
        <w:rPr>
          <w:rFonts w:ascii="Simplified Arabic" w:hAnsi="Simplified Arabic" w:cs="Simplified Arabic"/>
          <w:sz w:val="28"/>
          <w:szCs w:val="28"/>
          <w:rtl/>
        </w:rPr>
      </w:pPr>
      <w:r w:rsidRPr="00456559">
        <w:rPr>
          <w:rFonts w:ascii="Simplified Arabic" w:hAnsi="Simplified Arabic" w:cs="Simplified Arabic"/>
          <w:sz w:val="28"/>
          <w:szCs w:val="28"/>
          <w:rtl/>
        </w:rPr>
        <w:t>تقديم بعد تحليلي جديد يربط بين نوع الكيان القانوني للشركة ومستوى الحوكمة المتاح فيها، وبين نطاق المسؤولية القانونية للإدارة التنفيذية، بما يسهم في سد فجوة بحثية واضحة في الأدبيات القانونية.</w:t>
      </w:r>
    </w:p>
    <w:p w14:paraId="288D37F3" w14:textId="77777777" w:rsidR="005A2E6A" w:rsidRPr="00456559" w:rsidRDefault="005A2E6A" w:rsidP="005A2E6A">
      <w:pPr>
        <w:spacing w:after="0" w:line="240" w:lineRule="auto"/>
        <w:ind w:firstLine="284"/>
        <w:jc w:val="both"/>
        <w:rPr>
          <w:rFonts w:ascii="Simplified Arabic" w:hAnsi="Simplified Arabic" w:cs="Simplified Arabic"/>
          <w:sz w:val="28"/>
          <w:szCs w:val="28"/>
          <w:rtl/>
        </w:rPr>
      </w:pPr>
      <w:r w:rsidRPr="00456559">
        <w:rPr>
          <w:rFonts w:ascii="Simplified Arabic" w:hAnsi="Simplified Arabic" w:cs="Simplified Arabic"/>
          <w:sz w:val="28"/>
          <w:szCs w:val="28"/>
          <w:rtl/>
        </w:rPr>
        <w:t>وبذلك، تقدم الدراسة إضافة علمية متميزة للمكتبة البحثية العربية، من خلال تناول المسؤولية القانونية للإدارة التنفيذية في سياقات تنظيمية مختلفة، وعدم الاقتصار على شركات المساهمة، مع إبراز دور الحوكمة المؤسسية في الحد من الأخطاء المالية وتعزيز المساءلة، وهو ما يمنح الدراسة طابعاً مختلفاً وأكثر شمولاً مقارنة بالدراسات السابقة.</w:t>
      </w:r>
    </w:p>
    <w:p w14:paraId="4CA83B72"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6CFD59E8"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4E6EFCC9"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br w:type="page"/>
      </w:r>
    </w:p>
    <w:p w14:paraId="12E48D41" w14:textId="77777777" w:rsidR="005A2E6A" w:rsidRPr="001361F1" w:rsidRDefault="005A2E6A" w:rsidP="005A2E6A">
      <w:pPr>
        <w:pStyle w:val="1"/>
        <w:spacing w:before="0"/>
        <w:rPr>
          <w:rFonts w:ascii="Simplified Arabic" w:hAnsi="Simplified Arabic" w:cs="Simplified Arabic"/>
          <w:b/>
          <w:bCs/>
          <w:sz w:val="36"/>
          <w:szCs w:val="36"/>
          <w:rtl/>
        </w:rPr>
      </w:pPr>
      <w:bookmarkStart w:id="5" w:name="_Toc225265013"/>
      <w:r w:rsidRPr="001361F1">
        <w:rPr>
          <w:rFonts w:ascii="Simplified Arabic" w:hAnsi="Simplified Arabic" w:cs="Simplified Arabic" w:hint="cs"/>
          <w:b/>
          <w:bCs/>
          <w:sz w:val="36"/>
          <w:szCs w:val="36"/>
          <w:rtl/>
        </w:rPr>
        <w:lastRenderedPageBreak/>
        <w:t>الإطار النظري</w:t>
      </w:r>
      <w:bookmarkEnd w:id="5"/>
      <w:r>
        <w:rPr>
          <w:rFonts w:ascii="Simplified Arabic" w:hAnsi="Simplified Arabic" w:cs="Simplified Arabic" w:hint="cs"/>
          <w:b/>
          <w:bCs/>
          <w:sz w:val="36"/>
          <w:szCs w:val="36"/>
          <w:rtl/>
        </w:rPr>
        <w:t>:</w:t>
      </w:r>
    </w:p>
    <w:p w14:paraId="650BAF1B" w14:textId="77777777" w:rsidR="005A2E6A" w:rsidRPr="001361F1" w:rsidRDefault="005A2E6A" w:rsidP="005A2E6A">
      <w:pPr>
        <w:pStyle w:val="1"/>
        <w:spacing w:before="0"/>
        <w:rPr>
          <w:rFonts w:ascii="Simplified Arabic" w:hAnsi="Simplified Arabic" w:cs="Simplified Arabic"/>
          <w:b/>
          <w:bCs/>
          <w:sz w:val="36"/>
          <w:szCs w:val="36"/>
          <w:rtl/>
        </w:rPr>
      </w:pPr>
      <w:bookmarkStart w:id="6" w:name="_Toc225265014"/>
      <w:r w:rsidRPr="001361F1">
        <w:rPr>
          <w:rFonts w:ascii="Simplified Arabic" w:hAnsi="Simplified Arabic" w:cs="Simplified Arabic" w:hint="cs"/>
          <w:b/>
          <w:bCs/>
          <w:sz w:val="36"/>
          <w:szCs w:val="36"/>
          <w:rtl/>
        </w:rPr>
        <w:t>المبحث الأول: الإطار المفاهيمي والوظيفة الإستراتيجية للإدارة التنفيذية</w:t>
      </w:r>
      <w:bookmarkEnd w:id="6"/>
      <w:r>
        <w:rPr>
          <w:rFonts w:ascii="Simplified Arabic" w:hAnsi="Simplified Arabic" w:cs="Simplified Arabic" w:hint="cs"/>
          <w:b/>
          <w:bCs/>
          <w:sz w:val="36"/>
          <w:szCs w:val="36"/>
          <w:rtl/>
        </w:rPr>
        <w:t>:</w:t>
      </w:r>
    </w:p>
    <w:p w14:paraId="0C499D5E"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تُعد الإدارة التنفيذية في الشركات المساهمة، وفي مقدمتها الرئيس التنفيذي (</w:t>
      </w:r>
      <w:r w:rsidRPr="00062213">
        <w:rPr>
          <w:rFonts w:ascii="Simplified Arabic" w:hAnsi="Simplified Arabic" w:cs="Simplified Arabic" w:hint="cs"/>
          <w:sz w:val="28"/>
          <w:szCs w:val="28"/>
        </w:rPr>
        <w:t>CEO</w:t>
      </w:r>
      <w:r w:rsidRPr="00062213">
        <w:rPr>
          <w:rFonts w:ascii="Simplified Arabic" w:hAnsi="Simplified Arabic" w:cs="Simplified Arabic" w:hint="cs"/>
          <w:sz w:val="28"/>
          <w:szCs w:val="28"/>
          <w:rtl/>
        </w:rPr>
        <w:t>) القلب النابض الذي يحرك العمليات اليومية والمسؤول الأول عن تحويل توجهات مجلس الإدارة إلى نتائج مالية ملموسة. ومن منظور قانوني وتنظيمي، يتناول هذا المبحث ماهية الإدارة التنفيذية، تكييفها القانوني في النظام السعودي، وجذور التحديات التي تواجهها ضمن إطار نظرية الوكالة، مع التركيز على كيفية دمج المسؤولية القانونية والحوكمة المؤسسية لضمان جودة القرارات المالية وتقليل المخاطر.</w:t>
      </w:r>
    </w:p>
    <w:p w14:paraId="7F26CA9A"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0E3783A3"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الأول: الماهية القانونية للإدارة التنفيذية وخصائصها القيادية</w:t>
      </w:r>
      <w:r>
        <w:rPr>
          <w:rFonts w:ascii="Simplified Arabic" w:hAnsi="Simplified Arabic" w:cs="Simplified Arabic" w:hint="cs"/>
          <w:b/>
          <w:bCs/>
          <w:sz w:val="32"/>
          <w:szCs w:val="32"/>
          <w:rtl/>
        </w:rPr>
        <w:t>:</w:t>
      </w:r>
    </w:p>
    <w:p w14:paraId="02C1CA4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تُعرف الإدارة التنفيذية في سياق لوائح حوكمة الشركات السعودية بأنها الأشخاص المنوط بهم إدارة العمليات اليومية للشركة، واقتراح القرارات الإستراتيجية وتنفيذها، بما في ذلك إدارة الهياكل المالية والنفقات الرأسمالية. وبالتحليل المعمق، نجد أن هذا الدور يتجاوز مجرد "التنفيذ"؛ فالمدير التنفيذي هو المسؤول عن تنفيذ قواعد الحوكمة الداخلية وضمان فعالية نظم الرقابة وإدارة المخاطر، مما يجعله خط الدفاع الأول عن استدامة الشركة. (لائحة حوكمة الشركات، 2017، المادة 1).</w:t>
      </w:r>
    </w:p>
    <w:p w14:paraId="5F79B2E6"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وعلى صعيد الخصائص النوعية، تشير الدراسات التحليلية في السوق السعودي إلى أن رأس المال البشري للإدارة التنفيذية يُعد محدداً جوهرياً للأداء المالي؛ حيث ثبت أن حصول الرئيس التنفيذي على مستويات تعليمية عليا (ماجستير أو دكتوراه) وخبرة مهنية عريقة يساهم في تعزيز "جودة القرار المالي" وتقليل نسب التعثر. إن هذا الارتباط بين "السمات الشخصية" و"النتائج المالية" يعكس أهمية المعايير التي وضعتها هيئة السوق المالية لاختيار القيادات التنفيذية (الملحم والناصر، 2025).</w:t>
      </w:r>
    </w:p>
    <w:p w14:paraId="5AD108BB"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كما أن السمات القيادية المتميزة لا تقتصر على زيادة الكفاءة المالية فحسب، بل تقلل من احتمالات التعرض للمساءلة القانونية، إذ يظهر المدير الحصيف قدرة أعلى على الالتزام بالأنظمة واللوائح التنظيمية، وبالتالي الحد من القرارات المالية الخاطئة. هذه العلاقة بين الكفاءة الشخصية والمسؤولية القانونية تشكل قاعدة أساسية لفهم دور الإدارة التنفيذية في تحقيق استدامة الشركة وحماية أموال المساهمين.</w:t>
      </w:r>
    </w:p>
    <w:p w14:paraId="2048E359"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27469903"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الثاني: التفويض القانوني والعلاقة بمجلس الإدارة</w:t>
      </w:r>
      <w:r>
        <w:rPr>
          <w:rFonts w:ascii="Simplified Arabic" w:hAnsi="Simplified Arabic" w:cs="Simplified Arabic" w:hint="cs"/>
          <w:b/>
          <w:bCs/>
          <w:sz w:val="32"/>
          <w:szCs w:val="32"/>
          <w:rtl/>
        </w:rPr>
        <w:t>:</w:t>
      </w:r>
    </w:p>
    <w:p w14:paraId="5A68CD19"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lastRenderedPageBreak/>
        <w:t>يتأسس الدور التنفيذي على مبدأ "التفويض السلطوي" من قبل مجلس الإدارة، الجهاز الذي يملك الصلاحية المطلقة في إدارة الشركة أصالةً، لكنه يفوض الإدارة التنفيذية للقيام بالأعمال التشغيلية لضمان التفرغ للإشراف الإستراتيجي. وبالرجوع إلى نظام الشركات السعودي، يسمح النظام لمجلس الإدارة بتفويض بعض صلاحياته لمدير أو أكثر، شريطة أن يكون هذا التفويض محدداً وليس عاماً أو مطلقاً، لضمان عدم انفلات الرقابة (عبد القادر، 2026، المادة 77 من نظام الشركات).</w:t>
      </w:r>
    </w:p>
    <w:p w14:paraId="01911D1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وتتجلى العلاقة التشابكية في التزام الإدارة التنفيذية </w:t>
      </w:r>
      <w:r>
        <w:rPr>
          <w:rFonts w:ascii="Simplified Arabic" w:hAnsi="Simplified Arabic" w:cs="Simplified Arabic" w:hint="cs"/>
          <w:sz w:val="28"/>
          <w:szCs w:val="28"/>
          <w:rtl/>
        </w:rPr>
        <w:t>بال</w:t>
      </w:r>
      <w:r w:rsidRPr="00062213">
        <w:rPr>
          <w:rFonts w:ascii="Simplified Arabic" w:hAnsi="Simplified Arabic" w:cs="Simplified Arabic" w:hint="cs"/>
          <w:sz w:val="28"/>
          <w:szCs w:val="28"/>
          <w:rtl/>
        </w:rPr>
        <w:t xml:space="preserve">تقارير </w:t>
      </w:r>
      <w:r>
        <w:rPr>
          <w:rFonts w:ascii="Simplified Arabic" w:hAnsi="Simplified Arabic" w:cs="Simplified Arabic" w:hint="cs"/>
          <w:sz w:val="28"/>
          <w:szCs w:val="28"/>
          <w:rtl/>
        </w:rPr>
        <w:t>ال</w:t>
      </w:r>
      <w:r w:rsidRPr="00062213">
        <w:rPr>
          <w:rFonts w:ascii="Simplified Arabic" w:hAnsi="Simplified Arabic" w:cs="Simplified Arabic" w:hint="cs"/>
          <w:sz w:val="28"/>
          <w:szCs w:val="28"/>
          <w:rtl/>
        </w:rPr>
        <w:t xml:space="preserve">دورية </w:t>
      </w:r>
      <w:r>
        <w:rPr>
          <w:rFonts w:ascii="Simplified Arabic" w:hAnsi="Simplified Arabic" w:cs="Simplified Arabic" w:hint="cs"/>
          <w:sz w:val="28"/>
          <w:szCs w:val="28"/>
          <w:rtl/>
        </w:rPr>
        <w:t>ال</w:t>
      </w:r>
      <w:r w:rsidRPr="00062213">
        <w:rPr>
          <w:rFonts w:ascii="Simplified Arabic" w:hAnsi="Simplified Arabic" w:cs="Simplified Arabic" w:hint="cs"/>
          <w:sz w:val="28"/>
          <w:szCs w:val="28"/>
          <w:rtl/>
        </w:rPr>
        <w:t xml:space="preserve">شفافة </w:t>
      </w:r>
      <w:r>
        <w:rPr>
          <w:rFonts w:ascii="Simplified Arabic" w:hAnsi="Simplified Arabic" w:cs="Simplified Arabic" w:hint="cs"/>
          <w:sz w:val="28"/>
          <w:szCs w:val="28"/>
          <w:rtl/>
        </w:rPr>
        <w:t xml:space="preserve">التي تقدم </w:t>
      </w:r>
      <w:r w:rsidRPr="00062213">
        <w:rPr>
          <w:rFonts w:ascii="Simplified Arabic" w:hAnsi="Simplified Arabic" w:cs="Simplified Arabic" w:hint="cs"/>
          <w:sz w:val="28"/>
          <w:szCs w:val="28"/>
          <w:rtl/>
        </w:rPr>
        <w:t xml:space="preserve">للمجلس، </w:t>
      </w:r>
      <w:r>
        <w:rPr>
          <w:rFonts w:ascii="Simplified Arabic" w:hAnsi="Simplified Arabic" w:cs="Simplified Arabic" w:hint="cs"/>
          <w:sz w:val="28"/>
          <w:szCs w:val="28"/>
          <w:rtl/>
        </w:rPr>
        <w:t>و</w:t>
      </w:r>
      <w:r w:rsidRPr="00062213">
        <w:rPr>
          <w:rFonts w:ascii="Simplified Arabic" w:hAnsi="Simplified Arabic" w:cs="Simplified Arabic" w:hint="cs"/>
          <w:sz w:val="28"/>
          <w:szCs w:val="28"/>
          <w:rtl/>
        </w:rPr>
        <w:t>تشمل العوامل المؤثرة في أعمال الشركة ومركزها المالي، لتمكين المجلس من تقييم الأصول والخصوم بدقة. إن هذا التكامل الوظيفي يهدف إلى خلق بيئة عمل أساسها "المسؤولية المتبادلة"، حيث يضع المجلس الخطط وتتولى الإدارة التنفيذية التنفيذ تحت رقابة صارمة تمنع استبداد التنفيذيين بالقرار. (كتيب حوكمة الشركات، هيئة السوق المالية).</w:t>
      </w:r>
    </w:p>
    <w:p w14:paraId="3715A923"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ويجب التأكيد على أن هذا التفويض القانوني لا يمنح الإدارة التنفيذية حرية مطلقة، بل يفرض عليها التزاماً قانونياً بالشفافية وتقديم المعلومات الدقيقة، مما يعزز مساءلتها أمام المجلس والمساهمين ويضمن التوازن بين المرونة التشغيلية والرقابة القانونية.</w:t>
      </w:r>
    </w:p>
    <w:p w14:paraId="55067CE1" w14:textId="77777777" w:rsidR="005A2E6A" w:rsidRDefault="005A2E6A" w:rsidP="005A2E6A">
      <w:pPr>
        <w:spacing w:after="0" w:line="240" w:lineRule="auto"/>
        <w:ind w:firstLine="284"/>
        <w:jc w:val="both"/>
        <w:rPr>
          <w:rFonts w:ascii="Simplified Arabic" w:hAnsi="Simplified Arabic" w:cs="Simplified Arabic"/>
          <w:sz w:val="28"/>
          <w:szCs w:val="28"/>
          <w:rtl/>
        </w:rPr>
      </w:pPr>
    </w:p>
    <w:p w14:paraId="74F1AEE2"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الثالث: الإدارة التنفيذية في ضوء نظرية الوكالة (جذور الصراع)</w:t>
      </w:r>
      <w:r>
        <w:rPr>
          <w:rFonts w:ascii="Simplified Arabic" w:hAnsi="Simplified Arabic" w:cs="Simplified Arabic" w:hint="cs"/>
          <w:b/>
          <w:bCs/>
          <w:sz w:val="32"/>
          <w:szCs w:val="32"/>
          <w:rtl/>
        </w:rPr>
        <w:t>:</w:t>
      </w:r>
    </w:p>
    <w:p w14:paraId="76CF0A8F"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تفسر نظرية الوكالة (</w:t>
      </w:r>
      <w:r w:rsidRPr="00062213">
        <w:rPr>
          <w:rFonts w:ascii="Simplified Arabic" w:hAnsi="Simplified Arabic" w:cs="Simplified Arabic" w:hint="cs"/>
          <w:sz w:val="28"/>
          <w:szCs w:val="28"/>
        </w:rPr>
        <w:t>Agency Theory</w:t>
      </w:r>
      <w:r w:rsidRPr="00062213">
        <w:rPr>
          <w:rFonts w:ascii="Simplified Arabic" w:hAnsi="Simplified Arabic" w:cs="Simplified Arabic" w:hint="cs"/>
          <w:sz w:val="28"/>
          <w:szCs w:val="28"/>
          <w:rtl/>
        </w:rPr>
        <w:t>) التحدي الجوهري في الإدارة التنفيذية من خلال الانفصال بين "الملكية" و"الرقابة"، حيث يُنظر للمدير التنفيذي كـ "وكيل" يعمل لصالح "الموكل" (المساهمين)</w:t>
      </w:r>
      <w:r>
        <w:rPr>
          <w:rFonts w:ascii="Simplified Arabic" w:hAnsi="Simplified Arabic" w:cs="Simplified Arabic" w:hint="cs"/>
          <w:sz w:val="28"/>
          <w:szCs w:val="28"/>
          <w:rtl/>
        </w:rPr>
        <w:t xml:space="preserve">. </w:t>
      </w:r>
      <w:r w:rsidRPr="00062213">
        <w:rPr>
          <w:rFonts w:ascii="Simplified Arabic" w:hAnsi="Simplified Arabic" w:cs="Simplified Arabic" w:hint="cs"/>
          <w:sz w:val="28"/>
          <w:szCs w:val="28"/>
          <w:rtl/>
        </w:rPr>
        <w:t>يظهر خطر تعارض المصالح عندما يغلّب المديرون مصالحهم الذاتية، مثل المكافآت المرتبطة بالنمو قصير الأجل، على تعظيم ثروة المساهمين على المدى الطويل</w:t>
      </w:r>
      <w:r>
        <w:rPr>
          <w:rFonts w:ascii="Simplified Arabic" w:hAnsi="Simplified Arabic" w:cs="Simplified Arabic" w:hint="cs"/>
          <w:sz w:val="28"/>
          <w:szCs w:val="28"/>
          <w:rtl/>
        </w:rPr>
        <w:t>.</w:t>
      </w:r>
    </w:p>
    <w:p w14:paraId="7FD516E4"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كما أن مشكلة عدم تماثل المعلومات (</w:t>
      </w:r>
      <w:r w:rsidRPr="00062213">
        <w:rPr>
          <w:rFonts w:ascii="Simplified Arabic" w:hAnsi="Simplified Arabic" w:cs="Simplified Arabic" w:hint="cs"/>
          <w:sz w:val="28"/>
          <w:szCs w:val="28"/>
        </w:rPr>
        <w:t>Information Asymmetry</w:t>
      </w:r>
      <w:r w:rsidRPr="00062213">
        <w:rPr>
          <w:rFonts w:ascii="Simplified Arabic" w:hAnsi="Simplified Arabic" w:cs="Simplified Arabic" w:hint="cs"/>
          <w:sz w:val="28"/>
          <w:szCs w:val="28"/>
          <w:rtl/>
        </w:rPr>
        <w:t>) تمنح الإدارة التنفيذية تفوقاً معرفياً قد يُستغل في اتخاذ قرارات مالية عالية المخاطر أو مضللة</w:t>
      </w:r>
      <w:r>
        <w:rPr>
          <w:rFonts w:ascii="Simplified Arabic" w:hAnsi="Simplified Arabic" w:cs="Simplified Arabic" w:hint="cs"/>
          <w:sz w:val="28"/>
          <w:szCs w:val="28"/>
          <w:rtl/>
        </w:rPr>
        <w:t xml:space="preserve">. </w:t>
      </w:r>
      <w:r w:rsidRPr="00062213">
        <w:rPr>
          <w:rFonts w:ascii="Simplified Arabic" w:hAnsi="Simplified Arabic" w:cs="Simplified Arabic" w:hint="cs"/>
          <w:sz w:val="28"/>
          <w:szCs w:val="28"/>
          <w:rtl/>
        </w:rPr>
        <w:t>وهنا يبرز دور نظام الحوكمة كأداة لتقليص "تكاليف الوكالة"، من خلال فرض الإفصاح والشفافية، وضمان أن يعمل التنفيذيون "كأمناء" وليس مجرد "أجراء"، مما يعزز ثقة المستثمرين المحليين والأجانب في عدالة المعاملات المالية داخل الشركة (</w:t>
      </w:r>
      <w:proofErr w:type="spellStart"/>
      <w:r w:rsidRPr="00062213">
        <w:rPr>
          <w:rFonts w:ascii="Simplified Arabic" w:hAnsi="Simplified Arabic" w:cs="Simplified Arabic" w:hint="cs"/>
          <w:sz w:val="28"/>
          <w:szCs w:val="28"/>
          <w:rtl/>
        </w:rPr>
        <w:t>الهباش</w:t>
      </w:r>
      <w:proofErr w:type="spellEnd"/>
      <w:r w:rsidRPr="00062213">
        <w:rPr>
          <w:rFonts w:ascii="Simplified Arabic" w:hAnsi="Simplified Arabic" w:cs="Simplified Arabic" w:hint="cs"/>
          <w:sz w:val="28"/>
          <w:szCs w:val="28"/>
          <w:rtl/>
        </w:rPr>
        <w:t xml:space="preserve">، 2022؛ </w:t>
      </w:r>
      <w:proofErr w:type="spellStart"/>
      <w:r w:rsidRPr="00062213">
        <w:rPr>
          <w:rFonts w:ascii="Simplified Arabic" w:hAnsi="Simplified Arabic" w:cs="Simplified Arabic" w:hint="cs"/>
          <w:sz w:val="28"/>
          <w:szCs w:val="28"/>
          <w:rtl/>
        </w:rPr>
        <w:t>القعيمي</w:t>
      </w:r>
      <w:proofErr w:type="spellEnd"/>
      <w:r w:rsidRPr="00062213">
        <w:rPr>
          <w:rFonts w:ascii="Simplified Arabic" w:hAnsi="Simplified Arabic" w:cs="Simplified Arabic" w:hint="cs"/>
          <w:sz w:val="28"/>
          <w:szCs w:val="28"/>
          <w:rtl/>
        </w:rPr>
        <w:t>، 2025).</w:t>
      </w:r>
    </w:p>
    <w:p w14:paraId="2CDC2E4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من منظور القانون السعودي، يُتوقع من الإدارة التنفيذية الالتزام بالأنظمة واللوائح التنظيمية، مما يجعل الإفصاح والشفافية أدوات قانونية تقلل من تعرض المدير للمساءلة المدنية أو الجنائية في حال حدوث أخطاء مالية، طالما لم يكن هناك تقصير جسيم أو تعارض مصالح. وبذلك يظهر </w:t>
      </w:r>
      <w:r w:rsidRPr="00062213">
        <w:rPr>
          <w:rFonts w:ascii="Simplified Arabic" w:hAnsi="Simplified Arabic" w:cs="Simplified Arabic" w:hint="cs"/>
          <w:sz w:val="28"/>
          <w:szCs w:val="28"/>
          <w:rtl/>
        </w:rPr>
        <w:lastRenderedPageBreak/>
        <w:t>أن الإدارة التنفيذية ليست مجرد جهاز إداري منفصل، بل نقطة التقاء بين الاستراتيجية القانونية والمالية، حيث تتحقق المسؤولية القانونية من خلال الأداء الفعّال والشفاف ضمن إطار الحوكمة.</w:t>
      </w:r>
    </w:p>
    <w:p w14:paraId="15E8209A"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05378060" w14:textId="77777777" w:rsidR="005A2E6A" w:rsidRDefault="005A2E6A" w:rsidP="005A2E6A">
      <w:pPr>
        <w:bidi w:val="0"/>
        <w:rPr>
          <w:rFonts w:ascii="Simplified Arabic" w:eastAsiaTheme="majorEastAsia" w:hAnsi="Simplified Arabic" w:cs="Simplified Arabic"/>
          <w:b/>
          <w:bCs/>
          <w:color w:val="0F4761" w:themeColor="accent1" w:themeShade="BF"/>
          <w:sz w:val="36"/>
          <w:szCs w:val="36"/>
          <w:rtl/>
        </w:rPr>
      </w:pPr>
      <w:r>
        <w:rPr>
          <w:rFonts w:ascii="Simplified Arabic" w:hAnsi="Simplified Arabic" w:cs="Simplified Arabic"/>
          <w:b/>
          <w:bCs/>
          <w:sz w:val="36"/>
          <w:szCs w:val="36"/>
          <w:rtl/>
        </w:rPr>
        <w:br w:type="page"/>
      </w:r>
    </w:p>
    <w:p w14:paraId="3D44A0D7" w14:textId="77777777" w:rsidR="005A2E6A" w:rsidRPr="001361F1" w:rsidRDefault="005A2E6A" w:rsidP="005A2E6A">
      <w:pPr>
        <w:pStyle w:val="1"/>
        <w:spacing w:before="0"/>
        <w:rPr>
          <w:rFonts w:ascii="Simplified Arabic" w:hAnsi="Simplified Arabic" w:cs="Simplified Arabic"/>
          <w:b/>
          <w:bCs/>
          <w:sz w:val="36"/>
          <w:szCs w:val="36"/>
          <w:rtl/>
        </w:rPr>
      </w:pPr>
      <w:bookmarkStart w:id="7" w:name="_Toc225265015"/>
      <w:r w:rsidRPr="001361F1">
        <w:rPr>
          <w:rFonts w:ascii="Simplified Arabic" w:hAnsi="Simplified Arabic" w:cs="Simplified Arabic" w:hint="cs"/>
          <w:b/>
          <w:bCs/>
          <w:sz w:val="36"/>
          <w:szCs w:val="36"/>
          <w:rtl/>
        </w:rPr>
        <w:lastRenderedPageBreak/>
        <w:t>المبحث الثاني: المسؤولية القانونية للإدارة التنفيذية ومحددات القرار المالي الخاطئ</w:t>
      </w:r>
      <w:bookmarkEnd w:id="7"/>
      <w:r>
        <w:rPr>
          <w:rFonts w:ascii="Simplified Arabic" w:hAnsi="Simplified Arabic" w:cs="Simplified Arabic" w:hint="cs"/>
          <w:b/>
          <w:bCs/>
          <w:sz w:val="36"/>
          <w:szCs w:val="36"/>
          <w:rtl/>
        </w:rPr>
        <w:t>:</w:t>
      </w:r>
    </w:p>
    <w:p w14:paraId="0CDB3A44"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تتحرك الإدارة التنفيذية في مساحة قانونية محفوفة بالمخاطر، حيث يوازن النظام بين منح المديرين مرونة القرار وبين فرض رقابة</w:t>
      </w:r>
      <w:r w:rsidRPr="007A098A">
        <w:rPr>
          <w:rFonts w:ascii="Simplified Arabic" w:hAnsi="Simplified Arabic" w:cs="Simplified Arabic" w:hint="cs"/>
          <w:rtl/>
        </w:rPr>
        <w:t xml:space="preserve"> </w:t>
      </w:r>
      <w:r w:rsidRPr="00062213">
        <w:rPr>
          <w:rFonts w:ascii="Simplified Arabic" w:hAnsi="Simplified Arabic" w:cs="Simplified Arabic" w:hint="cs"/>
          <w:sz w:val="28"/>
          <w:szCs w:val="28"/>
          <w:rtl/>
        </w:rPr>
        <w:t xml:space="preserve">صارمة تضمن حماية أموال </w:t>
      </w:r>
      <w:r>
        <w:rPr>
          <w:rFonts w:ascii="Simplified Arabic" w:hAnsi="Simplified Arabic" w:cs="Simplified Arabic" w:hint="cs"/>
          <w:sz w:val="28"/>
          <w:szCs w:val="28"/>
          <w:rtl/>
        </w:rPr>
        <w:t>المساهمين أو الغير</w:t>
      </w:r>
      <w:r w:rsidRPr="00062213">
        <w:rPr>
          <w:rFonts w:ascii="Simplified Arabic" w:hAnsi="Simplified Arabic" w:cs="Simplified Arabic" w:hint="cs"/>
          <w:sz w:val="28"/>
          <w:szCs w:val="28"/>
          <w:rtl/>
        </w:rPr>
        <w:t>. يتناول هذا المبحث أسس المسؤولية المدنية والجنائية، قاعدة تقدير القرار الإداري، وتحليل جذور الأخطاء المالية من منظور نظرية الوكالة، مع إبراز أثر الحوكمة في الحد من المخاطر المالية.</w:t>
      </w:r>
    </w:p>
    <w:p w14:paraId="5156F43B"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0FE457C0"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الأول: النظام القانوني للمسؤولية المدنية والجنائية</w:t>
      </w:r>
      <w:r>
        <w:rPr>
          <w:rFonts w:ascii="Simplified Arabic" w:hAnsi="Simplified Arabic" w:cs="Simplified Arabic" w:hint="cs"/>
          <w:b/>
          <w:bCs/>
          <w:sz w:val="32"/>
          <w:szCs w:val="32"/>
          <w:rtl/>
        </w:rPr>
        <w:t>:</w:t>
      </w:r>
    </w:p>
    <w:p w14:paraId="46070BD5"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تتأسس المسؤولية المدنية للإدارة التنفيذية في نظام الشركات السعودي على الواجبين الرئيسيين: العناية والولاء. وبالتحليل القانوني، يتضح أن النظام السعودي تبنى تكييفاً مختلطاً يجمع بين البعد العقدي والتقصيري؛ فالمدير مسؤول تجاه الشركة عن الأخطاء التي تنشأ عن إساءة استعمال السلطة أو مخالفة أحكام النظام (عبد القادر، 2026، المادة 26 من نظام الشركات).</w:t>
      </w:r>
    </w:p>
    <w:p w14:paraId="175DD53B"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يفرض معيار "العناية الواجبة" على المدير التصرف بحسن نية وبما يحقق مصلحة الشركة، وأي تقصير في هذا المعيار يستلزم التعويض عن الأضرار التي تلحق بالمساهمين أو الغير. ومن هنا يظهر دور الرقابة الداخلية والحوكمة في تمكين المساهمين</w:t>
      </w:r>
      <w:r>
        <w:rPr>
          <w:rFonts w:ascii="Simplified Arabic" w:hAnsi="Simplified Arabic" w:cs="Simplified Arabic" w:hint="cs"/>
          <w:sz w:val="28"/>
          <w:szCs w:val="28"/>
          <w:rtl/>
        </w:rPr>
        <w:t xml:space="preserve"> أو الغير</w:t>
      </w:r>
      <w:r w:rsidRPr="00062213">
        <w:rPr>
          <w:rFonts w:ascii="Simplified Arabic" w:hAnsi="Simplified Arabic" w:cs="Simplified Arabic" w:hint="cs"/>
          <w:sz w:val="28"/>
          <w:szCs w:val="28"/>
          <w:rtl/>
        </w:rPr>
        <w:t xml:space="preserve"> من متابعة أداء المديرين وتقليل المخاطر الناجمة عن القرارات المالية الخاطئة.</w:t>
      </w:r>
    </w:p>
    <w:p w14:paraId="05C9ECAA"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أما على الصعيد الجنائي، فقد شدد المنظم السعودي العقوبات لردع السلوكيات الجسيمة التي تهدد استقرار السوق؛ حيث تصل عقوبة السجن إلى خمس سنوات والغرامة إلى خمسة ملايين ريال في حالات تزوير القوائم المالية، أو تعمد إثبات وقائع مضللة أو إغفال وقائع جوهرية في التقارير المقدمة للمساهمين (عبد القادر، 2026، المادة 260 من نظام الشركات). هذا التشدد يعكس الرغبة في حماية النزاهة المعلوماتية التي يقوم عليها القرار الاستثماري، ويضع المدير التنفيذي تحت رقابة صارمة توازن بين حرية اتخاذ القرار ومسؤوليته القانونية.</w:t>
      </w:r>
    </w:p>
    <w:p w14:paraId="2E88DA06" w14:textId="77777777" w:rsidR="005A2E6A" w:rsidRDefault="005A2E6A" w:rsidP="005A2E6A">
      <w:pPr>
        <w:spacing w:after="0" w:line="240" w:lineRule="auto"/>
        <w:ind w:firstLine="284"/>
        <w:jc w:val="both"/>
        <w:rPr>
          <w:rFonts w:ascii="Simplified Arabic" w:hAnsi="Simplified Arabic" w:cs="Simplified Arabic"/>
          <w:sz w:val="28"/>
          <w:szCs w:val="28"/>
          <w:rtl/>
        </w:rPr>
      </w:pPr>
    </w:p>
    <w:p w14:paraId="5320EEB9" w14:textId="77777777" w:rsidR="005A2E6A" w:rsidRPr="00E8394D" w:rsidRDefault="005A2E6A" w:rsidP="005A2E6A">
      <w:pPr>
        <w:spacing w:after="0" w:line="240" w:lineRule="auto"/>
        <w:jc w:val="both"/>
        <w:rPr>
          <w:rFonts w:ascii="Simplified Arabic" w:hAnsi="Simplified Arabic" w:cs="Simplified Arabic"/>
          <w:b/>
          <w:bCs/>
          <w:sz w:val="28"/>
          <w:szCs w:val="28"/>
          <w:rtl/>
        </w:rPr>
      </w:pPr>
      <w:r w:rsidRPr="00E8394D">
        <w:rPr>
          <w:rFonts w:ascii="Simplified Arabic" w:hAnsi="Simplified Arabic" w:cs="Simplified Arabic" w:hint="cs"/>
          <w:b/>
          <w:bCs/>
          <w:sz w:val="28"/>
          <w:szCs w:val="28"/>
          <w:rtl/>
        </w:rPr>
        <w:t>المسؤوليات</w:t>
      </w:r>
      <w:r w:rsidRPr="00E8394D">
        <w:rPr>
          <w:rFonts w:ascii="Simplified Arabic" w:hAnsi="Simplified Arabic" w:cs="Simplified Arabic"/>
          <w:b/>
          <w:bCs/>
          <w:sz w:val="28"/>
          <w:szCs w:val="28"/>
          <w:rtl/>
        </w:rPr>
        <w:t xml:space="preserve"> </w:t>
      </w:r>
      <w:r w:rsidRPr="00E8394D">
        <w:rPr>
          <w:rFonts w:ascii="Simplified Arabic" w:hAnsi="Simplified Arabic" w:cs="Simplified Arabic" w:hint="cs"/>
          <w:b/>
          <w:bCs/>
          <w:sz w:val="28"/>
          <w:szCs w:val="28"/>
          <w:rtl/>
        </w:rPr>
        <w:t>الأخرى</w:t>
      </w:r>
      <w:r w:rsidRPr="00E8394D">
        <w:rPr>
          <w:rFonts w:ascii="Simplified Arabic" w:hAnsi="Simplified Arabic" w:cs="Simplified Arabic"/>
          <w:b/>
          <w:bCs/>
          <w:sz w:val="28"/>
          <w:szCs w:val="28"/>
          <w:rtl/>
        </w:rPr>
        <w:t xml:space="preserve"> </w:t>
      </w:r>
      <w:r w:rsidRPr="00E8394D">
        <w:rPr>
          <w:rFonts w:ascii="Simplified Arabic" w:hAnsi="Simplified Arabic" w:cs="Simplified Arabic" w:hint="cs"/>
          <w:b/>
          <w:bCs/>
          <w:sz w:val="28"/>
          <w:szCs w:val="28"/>
          <w:rtl/>
        </w:rPr>
        <w:t>للإدارة</w:t>
      </w:r>
      <w:r w:rsidRPr="00E8394D">
        <w:rPr>
          <w:rFonts w:ascii="Simplified Arabic" w:hAnsi="Simplified Arabic" w:cs="Simplified Arabic"/>
          <w:b/>
          <w:bCs/>
          <w:sz w:val="28"/>
          <w:szCs w:val="28"/>
          <w:rtl/>
        </w:rPr>
        <w:t xml:space="preserve"> </w:t>
      </w:r>
      <w:r w:rsidRPr="00E8394D">
        <w:rPr>
          <w:rFonts w:ascii="Simplified Arabic" w:hAnsi="Simplified Arabic" w:cs="Simplified Arabic" w:hint="cs"/>
          <w:b/>
          <w:bCs/>
          <w:sz w:val="28"/>
          <w:szCs w:val="28"/>
          <w:rtl/>
        </w:rPr>
        <w:t>التنفيذية</w:t>
      </w:r>
      <w:r>
        <w:rPr>
          <w:rFonts w:ascii="Simplified Arabic" w:hAnsi="Simplified Arabic" w:cs="Simplified Arabic" w:hint="cs"/>
          <w:b/>
          <w:bCs/>
          <w:sz w:val="28"/>
          <w:szCs w:val="28"/>
          <w:rtl/>
        </w:rPr>
        <w:t>:</w:t>
      </w:r>
    </w:p>
    <w:p w14:paraId="3173012E"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إلى جانب المسؤوليتين المدنية والجنائية، تمتد مسؤولية الإدارة التنفيذية لتشمل صوراً أخرى ذات طابع تنظيمي ومهني، تسهم مجتمعة في تعزيز الانضباط داخل الشركات وحماية مصالح أصحاب العلاقة، ومن أبرزها ما يأتي:</w:t>
      </w:r>
    </w:p>
    <w:p w14:paraId="2401109D"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1. المسؤولية الإدارية (التنظيمية)</w:t>
      </w:r>
      <w:r>
        <w:rPr>
          <w:rFonts w:ascii="Simplified Arabic" w:hAnsi="Simplified Arabic" w:cs="Simplified Arabic" w:hint="cs"/>
          <w:sz w:val="28"/>
          <w:szCs w:val="28"/>
          <w:rtl/>
        </w:rPr>
        <w:t>:</w:t>
      </w:r>
    </w:p>
    <w:p w14:paraId="57E714C6"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lastRenderedPageBreak/>
        <w:t>تخضع الإدارة التنفيذية لرقابة الجهات التنظيمية المختصة، والتي تملك صلاحية فرض جزاءات إدارية عند مخالفة الأنظمة أو اللوائح، مثل:</w:t>
      </w:r>
    </w:p>
    <w:p w14:paraId="5714E38B" w14:textId="77777777" w:rsidR="005A2E6A" w:rsidRPr="00E8394D" w:rsidRDefault="005A2E6A" w:rsidP="005A2E6A">
      <w:pPr>
        <w:pStyle w:val="a6"/>
        <w:numPr>
          <w:ilvl w:val="0"/>
          <w:numId w:val="6"/>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فرض الغرامات المالية</w:t>
      </w:r>
      <w:r>
        <w:rPr>
          <w:rFonts w:ascii="Simplified Arabic" w:hAnsi="Simplified Arabic" w:cs="Simplified Arabic" w:hint="cs"/>
          <w:sz w:val="28"/>
          <w:szCs w:val="28"/>
          <w:rtl/>
        </w:rPr>
        <w:t>.</w:t>
      </w:r>
    </w:p>
    <w:p w14:paraId="576A2FC0" w14:textId="77777777" w:rsidR="005A2E6A" w:rsidRPr="00E8394D" w:rsidRDefault="005A2E6A" w:rsidP="005A2E6A">
      <w:pPr>
        <w:pStyle w:val="a6"/>
        <w:numPr>
          <w:ilvl w:val="0"/>
          <w:numId w:val="6"/>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إيقاف أو تقييد الصلاحيات</w:t>
      </w:r>
      <w:r>
        <w:rPr>
          <w:rFonts w:ascii="Simplified Arabic" w:hAnsi="Simplified Arabic" w:cs="Simplified Arabic" w:hint="cs"/>
          <w:sz w:val="28"/>
          <w:szCs w:val="28"/>
          <w:rtl/>
        </w:rPr>
        <w:t>.</w:t>
      </w:r>
    </w:p>
    <w:p w14:paraId="1FB6B3F1" w14:textId="77777777" w:rsidR="005A2E6A" w:rsidRPr="00E8394D" w:rsidRDefault="005A2E6A" w:rsidP="005A2E6A">
      <w:pPr>
        <w:pStyle w:val="a6"/>
        <w:numPr>
          <w:ilvl w:val="0"/>
          <w:numId w:val="6"/>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منع المدير من تولي مناصب إدارية مستقبلاً</w:t>
      </w:r>
      <w:r>
        <w:rPr>
          <w:rFonts w:ascii="Simplified Arabic" w:hAnsi="Simplified Arabic" w:cs="Simplified Arabic" w:hint="cs"/>
          <w:sz w:val="28"/>
          <w:szCs w:val="28"/>
          <w:rtl/>
        </w:rPr>
        <w:t>.</w:t>
      </w:r>
    </w:p>
    <w:p w14:paraId="3F21DA33"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وتبرز هذه المسؤولية بشكل خاص في الشركات الخاضعة للأنظمة الرقابية، حيث تهدف إلى ضمان الالتزام بالتشريعات دون اللجوء مباشرة إلى القضاء.</w:t>
      </w:r>
    </w:p>
    <w:p w14:paraId="10BCB278"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p>
    <w:p w14:paraId="32175433" w14:textId="77777777" w:rsidR="005A2E6A" w:rsidRPr="00E8394D" w:rsidRDefault="005A2E6A" w:rsidP="005A2E6A">
      <w:pPr>
        <w:spacing w:after="0" w:line="240" w:lineRule="auto"/>
        <w:ind w:firstLine="284"/>
        <w:jc w:val="both"/>
        <w:rPr>
          <w:rFonts w:ascii="Simplified Arabic" w:hAnsi="Simplified Arabic" w:cs="Simplified Arabic"/>
          <w:b/>
          <w:bCs/>
          <w:sz w:val="28"/>
          <w:szCs w:val="28"/>
          <w:rtl/>
        </w:rPr>
      </w:pPr>
      <w:r w:rsidRPr="00E8394D">
        <w:rPr>
          <w:rFonts w:ascii="Simplified Arabic" w:hAnsi="Simplified Arabic" w:cs="Simplified Arabic"/>
          <w:b/>
          <w:bCs/>
          <w:sz w:val="28"/>
          <w:szCs w:val="28"/>
          <w:rtl/>
        </w:rPr>
        <w:t>2. المسؤولية التأديبية</w:t>
      </w:r>
      <w:r>
        <w:rPr>
          <w:rFonts w:ascii="Simplified Arabic" w:hAnsi="Simplified Arabic" w:cs="Simplified Arabic" w:hint="cs"/>
          <w:b/>
          <w:bCs/>
          <w:sz w:val="28"/>
          <w:szCs w:val="28"/>
          <w:rtl/>
        </w:rPr>
        <w:t>:</w:t>
      </w:r>
    </w:p>
    <w:p w14:paraId="4406019E"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تنشأ هذه المسؤولية داخل الإطار المؤسسي للشركة، وتتمثل في مساءلة المدير التنفيذي عن مخالفاته للسياسات الداخلية أو قواعد الحوكمة، حتى وإن لم ترقَ إلى مستوى المسؤولية القانونية.</w:t>
      </w:r>
    </w:p>
    <w:p w14:paraId="3578E31D" w14:textId="77777777" w:rsidR="005A2E6A" w:rsidRPr="00E8394D" w:rsidRDefault="005A2E6A" w:rsidP="005A2E6A">
      <w:pPr>
        <w:spacing w:after="0" w:line="240" w:lineRule="auto"/>
        <w:ind w:firstLine="284"/>
        <w:jc w:val="both"/>
        <w:rPr>
          <w:rFonts w:ascii="Simplified Arabic" w:hAnsi="Simplified Arabic" w:cs="Simplified Arabic"/>
          <w:b/>
          <w:bCs/>
          <w:sz w:val="28"/>
          <w:szCs w:val="28"/>
          <w:rtl/>
        </w:rPr>
      </w:pPr>
      <w:r w:rsidRPr="00E8394D">
        <w:rPr>
          <w:rFonts w:ascii="Simplified Arabic" w:hAnsi="Simplified Arabic" w:cs="Simplified Arabic"/>
          <w:b/>
          <w:bCs/>
          <w:sz w:val="28"/>
          <w:szCs w:val="28"/>
          <w:rtl/>
        </w:rPr>
        <w:t>وقد تشمل الجزاءات:</w:t>
      </w:r>
    </w:p>
    <w:p w14:paraId="79ADABC5" w14:textId="77777777" w:rsidR="005A2E6A" w:rsidRPr="00E8394D" w:rsidRDefault="005A2E6A" w:rsidP="005A2E6A">
      <w:pPr>
        <w:pStyle w:val="a6"/>
        <w:numPr>
          <w:ilvl w:val="0"/>
          <w:numId w:val="7"/>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التنبيه أو اللوم</w:t>
      </w:r>
      <w:r>
        <w:rPr>
          <w:rFonts w:ascii="Simplified Arabic" w:hAnsi="Simplified Arabic" w:cs="Simplified Arabic" w:hint="cs"/>
          <w:sz w:val="28"/>
          <w:szCs w:val="28"/>
          <w:rtl/>
        </w:rPr>
        <w:t>.</w:t>
      </w:r>
    </w:p>
    <w:p w14:paraId="16A39569" w14:textId="77777777" w:rsidR="005A2E6A" w:rsidRPr="00E8394D" w:rsidRDefault="005A2E6A" w:rsidP="005A2E6A">
      <w:pPr>
        <w:pStyle w:val="a6"/>
        <w:numPr>
          <w:ilvl w:val="0"/>
          <w:numId w:val="7"/>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الحرمان من المكافآت</w:t>
      </w:r>
      <w:r>
        <w:rPr>
          <w:rFonts w:ascii="Simplified Arabic" w:hAnsi="Simplified Arabic" w:cs="Simplified Arabic" w:hint="cs"/>
          <w:sz w:val="28"/>
          <w:szCs w:val="28"/>
          <w:rtl/>
        </w:rPr>
        <w:t>.</w:t>
      </w:r>
    </w:p>
    <w:p w14:paraId="1CA7A5E7" w14:textId="77777777" w:rsidR="005A2E6A" w:rsidRPr="00E8394D" w:rsidRDefault="005A2E6A" w:rsidP="005A2E6A">
      <w:pPr>
        <w:pStyle w:val="a6"/>
        <w:numPr>
          <w:ilvl w:val="0"/>
          <w:numId w:val="7"/>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العزل من المنصب</w:t>
      </w:r>
      <w:r>
        <w:rPr>
          <w:rFonts w:ascii="Simplified Arabic" w:hAnsi="Simplified Arabic" w:cs="Simplified Arabic" w:hint="cs"/>
          <w:sz w:val="28"/>
          <w:szCs w:val="28"/>
          <w:rtl/>
        </w:rPr>
        <w:t>.</w:t>
      </w:r>
    </w:p>
    <w:p w14:paraId="669450B4"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وتلعب هذه المسؤولية دوراً وقائياً مهماً في الحد من الانحرافات قبل تفاقمها.</w:t>
      </w:r>
    </w:p>
    <w:p w14:paraId="62E8F5A9"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p>
    <w:p w14:paraId="1E25404B" w14:textId="77777777" w:rsidR="005A2E6A" w:rsidRPr="00E8394D" w:rsidRDefault="005A2E6A" w:rsidP="005A2E6A">
      <w:pPr>
        <w:spacing w:after="0" w:line="240" w:lineRule="auto"/>
        <w:ind w:firstLine="284"/>
        <w:jc w:val="both"/>
        <w:rPr>
          <w:rFonts w:ascii="Simplified Arabic" w:hAnsi="Simplified Arabic" w:cs="Simplified Arabic"/>
          <w:b/>
          <w:bCs/>
          <w:sz w:val="28"/>
          <w:szCs w:val="28"/>
          <w:rtl/>
        </w:rPr>
      </w:pPr>
      <w:r w:rsidRPr="00E8394D">
        <w:rPr>
          <w:rFonts w:ascii="Simplified Arabic" w:hAnsi="Simplified Arabic" w:cs="Simplified Arabic"/>
          <w:b/>
          <w:bCs/>
          <w:sz w:val="28"/>
          <w:szCs w:val="28"/>
          <w:rtl/>
        </w:rPr>
        <w:t>3. المسؤولية المهنية</w:t>
      </w:r>
      <w:r>
        <w:rPr>
          <w:rFonts w:ascii="Simplified Arabic" w:hAnsi="Simplified Arabic" w:cs="Simplified Arabic" w:hint="cs"/>
          <w:b/>
          <w:bCs/>
          <w:sz w:val="28"/>
          <w:szCs w:val="28"/>
          <w:rtl/>
        </w:rPr>
        <w:t>:</w:t>
      </w:r>
    </w:p>
    <w:p w14:paraId="1620464E"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ترتبط هذه المسؤولية بمدى التزام المدير التنفيذي بالمعايير المهنية والأخلاقية في ممارسة مهامه، مثل:</w:t>
      </w:r>
    </w:p>
    <w:p w14:paraId="6F35D5A1" w14:textId="77777777" w:rsidR="005A2E6A" w:rsidRPr="00E8394D" w:rsidRDefault="005A2E6A" w:rsidP="005A2E6A">
      <w:pPr>
        <w:pStyle w:val="a6"/>
        <w:numPr>
          <w:ilvl w:val="0"/>
          <w:numId w:val="8"/>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النزاهة والشفافية</w:t>
      </w:r>
      <w:r>
        <w:rPr>
          <w:rFonts w:ascii="Simplified Arabic" w:hAnsi="Simplified Arabic" w:cs="Simplified Arabic" w:hint="cs"/>
          <w:sz w:val="28"/>
          <w:szCs w:val="28"/>
          <w:rtl/>
        </w:rPr>
        <w:t>.</w:t>
      </w:r>
    </w:p>
    <w:p w14:paraId="7F5183A3" w14:textId="77777777" w:rsidR="005A2E6A" w:rsidRPr="00E8394D" w:rsidRDefault="005A2E6A" w:rsidP="005A2E6A">
      <w:pPr>
        <w:pStyle w:val="a6"/>
        <w:numPr>
          <w:ilvl w:val="0"/>
          <w:numId w:val="8"/>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تجنب تعارض المصالح</w:t>
      </w:r>
      <w:r>
        <w:rPr>
          <w:rFonts w:ascii="Simplified Arabic" w:hAnsi="Simplified Arabic" w:cs="Simplified Arabic" w:hint="cs"/>
          <w:sz w:val="28"/>
          <w:szCs w:val="28"/>
          <w:rtl/>
        </w:rPr>
        <w:t>.</w:t>
      </w:r>
    </w:p>
    <w:p w14:paraId="7533F1AF" w14:textId="77777777" w:rsidR="005A2E6A" w:rsidRPr="00E8394D" w:rsidRDefault="005A2E6A" w:rsidP="005A2E6A">
      <w:pPr>
        <w:pStyle w:val="a6"/>
        <w:numPr>
          <w:ilvl w:val="0"/>
          <w:numId w:val="8"/>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الالتزام بمعايير الإفصاح</w:t>
      </w:r>
      <w:r>
        <w:rPr>
          <w:rFonts w:ascii="Simplified Arabic" w:hAnsi="Simplified Arabic" w:cs="Simplified Arabic" w:hint="cs"/>
          <w:sz w:val="28"/>
          <w:szCs w:val="28"/>
          <w:rtl/>
        </w:rPr>
        <w:t>.</w:t>
      </w:r>
    </w:p>
    <w:p w14:paraId="64CBAEF3"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ويؤدي الإخلال بهذه المعايير إلى فقدان الثقة في الإدارة، حتى في حال عدم تحقق ضرر قانوني مباشر.</w:t>
      </w:r>
    </w:p>
    <w:p w14:paraId="75037B2A"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p>
    <w:p w14:paraId="2198E0C3" w14:textId="77777777" w:rsidR="005A2E6A" w:rsidRPr="00E8394D" w:rsidRDefault="005A2E6A" w:rsidP="005A2E6A">
      <w:pPr>
        <w:spacing w:after="0" w:line="240" w:lineRule="auto"/>
        <w:ind w:firstLine="284"/>
        <w:jc w:val="both"/>
        <w:rPr>
          <w:rFonts w:ascii="Simplified Arabic" w:hAnsi="Simplified Arabic" w:cs="Simplified Arabic"/>
          <w:b/>
          <w:bCs/>
          <w:sz w:val="28"/>
          <w:szCs w:val="28"/>
          <w:rtl/>
        </w:rPr>
      </w:pPr>
      <w:r w:rsidRPr="00E8394D">
        <w:rPr>
          <w:rFonts w:ascii="Simplified Arabic" w:hAnsi="Simplified Arabic" w:cs="Simplified Arabic"/>
          <w:b/>
          <w:bCs/>
          <w:sz w:val="28"/>
          <w:szCs w:val="28"/>
          <w:rtl/>
        </w:rPr>
        <w:t>4. المسؤولية تجاه الغير</w:t>
      </w:r>
      <w:r>
        <w:rPr>
          <w:rFonts w:ascii="Simplified Arabic" w:hAnsi="Simplified Arabic" w:cs="Simplified Arabic" w:hint="cs"/>
          <w:b/>
          <w:bCs/>
          <w:sz w:val="28"/>
          <w:szCs w:val="28"/>
          <w:rtl/>
        </w:rPr>
        <w:t>:</w:t>
      </w:r>
    </w:p>
    <w:p w14:paraId="00F35EE7"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لا تقتصر مسؤولية الإدارة التنفيذية على الشركة والمساهمين، بل تمتد لتشمل الغير، مثل:</w:t>
      </w:r>
    </w:p>
    <w:p w14:paraId="138C7107" w14:textId="77777777" w:rsidR="005A2E6A" w:rsidRPr="00E8394D" w:rsidRDefault="005A2E6A" w:rsidP="005A2E6A">
      <w:pPr>
        <w:pStyle w:val="a6"/>
        <w:numPr>
          <w:ilvl w:val="0"/>
          <w:numId w:val="9"/>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الدائنين</w:t>
      </w:r>
      <w:r>
        <w:rPr>
          <w:rFonts w:ascii="Simplified Arabic" w:hAnsi="Simplified Arabic" w:cs="Simplified Arabic" w:hint="cs"/>
          <w:sz w:val="28"/>
          <w:szCs w:val="28"/>
          <w:rtl/>
        </w:rPr>
        <w:t>.</w:t>
      </w:r>
    </w:p>
    <w:p w14:paraId="0DD8DA5C" w14:textId="77777777" w:rsidR="005A2E6A" w:rsidRPr="00E8394D" w:rsidRDefault="005A2E6A" w:rsidP="005A2E6A">
      <w:pPr>
        <w:pStyle w:val="a6"/>
        <w:numPr>
          <w:ilvl w:val="0"/>
          <w:numId w:val="9"/>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t>المتعاملين</w:t>
      </w:r>
      <w:r>
        <w:rPr>
          <w:rFonts w:ascii="Simplified Arabic" w:hAnsi="Simplified Arabic" w:cs="Simplified Arabic" w:hint="cs"/>
          <w:sz w:val="28"/>
          <w:szCs w:val="28"/>
          <w:rtl/>
        </w:rPr>
        <w:t xml:space="preserve"> وأصحاب المصلحة.</w:t>
      </w:r>
    </w:p>
    <w:p w14:paraId="533DBEF8" w14:textId="77777777" w:rsidR="005A2E6A" w:rsidRPr="00E8394D" w:rsidRDefault="005A2E6A" w:rsidP="005A2E6A">
      <w:pPr>
        <w:pStyle w:val="a6"/>
        <w:numPr>
          <w:ilvl w:val="0"/>
          <w:numId w:val="9"/>
        </w:numPr>
        <w:spacing w:after="0" w:line="240" w:lineRule="auto"/>
        <w:jc w:val="both"/>
        <w:rPr>
          <w:rFonts w:ascii="Simplified Arabic" w:hAnsi="Simplified Arabic" w:cs="Simplified Arabic"/>
          <w:sz w:val="28"/>
          <w:szCs w:val="28"/>
          <w:rtl/>
        </w:rPr>
      </w:pPr>
      <w:r w:rsidRPr="00E8394D">
        <w:rPr>
          <w:rFonts w:ascii="Simplified Arabic" w:hAnsi="Simplified Arabic" w:cs="Simplified Arabic"/>
          <w:sz w:val="28"/>
          <w:szCs w:val="28"/>
          <w:rtl/>
        </w:rPr>
        <w:lastRenderedPageBreak/>
        <w:t>المستثمرين</w:t>
      </w:r>
      <w:r>
        <w:rPr>
          <w:rFonts w:ascii="Simplified Arabic" w:hAnsi="Simplified Arabic" w:cs="Simplified Arabic" w:hint="cs"/>
          <w:sz w:val="28"/>
          <w:szCs w:val="28"/>
          <w:rtl/>
        </w:rPr>
        <w:t>.</w:t>
      </w:r>
    </w:p>
    <w:p w14:paraId="02D4137D"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وتقوم هذه المسؤولية عند صدور تصرفات أو قرارات مالية مضللة أو غير مشروعة تلحق ضرراً بهذه الأطراف، خاصة في حالات الإفصاح غير الصحيح أو إساءة استخدام السلطة.</w:t>
      </w:r>
    </w:p>
    <w:p w14:paraId="1CFC670C" w14:textId="77777777" w:rsidR="005A2E6A" w:rsidRDefault="005A2E6A" w:rsidP="005A2E6A">
      <w:pPr>
        <w:spacing w:after="0" w:line="240" w:lineRule="auto"/>
        <w:ind w:firstLine="284"/>
        <w:jc w:val="both"/>
        <w:rPr>
          <w:rFonts w:ascii="Simplified Arabic" w:hAnsi="Simplified Arabic" w:cs="Simplified Arabic"/>
          <w:sz w:val="28"/>
          <w:szCs w:val="28"/>
          <w:rtl/>
        </w:rPr>
      </w:pPr>
    </w:p>
    <w:p w14:paraId="1A09F987"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p>
    <w:p w14:paraId="0BB66313" w14:textId="77777777" w:rsidR="005A2E6A" w:rsidRPr="00E8394D" w:rsidRDefault="005A2E6A" w:rsidP="005A2E6A">
      <w:pPr>
        <w:spacing w:after="0" w:line="240" w:lineRule="auto"/>
        <w:ind w:firstLine="284"/>
        <w:jc w:val="both"/>
        <w:rPr>
          <w:rFonts w:ascii="Simplified Arabic" w:hAnsi="Simplified Arabic" w:cs="Simplified Arabic"/>
          <w:b/>
          <w:bCs/>
          <w:sz w:val="28"/>
          <w:szCs w:val="28"/>
          <w:rtl/>
        </w:rPr>
      </w:pPr>
      <w:r w:rsidRPr="00E8394D">
        <w:rPr>
          <w:rFonts w:ascii="Simplified Arabic" w:hAnsi="Simplified Arabic" w:cs="Simplified Arabic"/>
          <w:b/>
          <w:bCs/>
          <w:sz w:val="28"/>
          <w:szCs w:val="28"/>
          <w:rtl/>
        </w:rPr>
        <w:t>5. المسؤولية في ظل غياب الحوكمة</w:t>
      </w:r>
      <w:r>
        <w:rPr>
          <w:rFonts w:ascii="Simplified Arabic" w:hAnsi="Simplified Arabic" w:cs="Simplified Arabic" w:hint="cs"/>
          <w:b/>
          <w:bCs/>
          <w:sz w:val="28"/>
          <w:szCs w:val="28"/>
          <w:rtl/>
        </w:rPr>
        <w:t>:</w:t>
      </w:r>
    </w:p>
    <w:p w14:paraId="6F0377C3" w14:textId="77777777" w:rsidR="005A2E6A" w:rsidRPr="00E8394D"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تزداد أهمية هذه الأنواع من المسؤوليات في الشركات التي لا تتوافر فيها هياكل حوكمة متكاملة، مثل شركات الشخص الواحد أو الشركات ذات الإدارة المركزة، حيث يتركز القرار بيد المدير التنفيذي دون وجود رقابة فعالة.</w:t>
      </w:r>
    </w:p>
    <w:p w14:paraId="731665F4"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E8394D">
        <w:rPr>
          <w:rFonts w:ascii="Simplified Arabic" w:hAnsi="Simplified Arabic" w:cs="Simplified Arabic"/>
          <w:sz w:val="28"/>
          <w:szCs w:val="28"/>
          <w:rtl/>
        </w:rPr>
        <w:t>وفي هذه الحالة، تصبح المسؤولية أكثر اتساعاً وتشديداً، لتعويض غياب الأدوات الرقابية المؤسسية، مما يعزز من أهمية المساءلة القانونية والتنظيمية لضبط السلوك الإداري.</w:t>
      </w:r>
    </w:p>
    <w:p w14:paraId="3D52340E" w14:textId="77777777" w:rsidR="005A2E6A" w:rsidRDefault="005A2E6A" w:rsidP="005A2E6A">
      <w:pPr>
        <w:spacing w:after="0" w:line="240" w:lineRule="auto"/>
        <w:ind w:firstLine="284"/>
        <w:jc w:val="both"/>
        <w:rPr>
          <w:rFonts w:ascii="Simplified Arabic" w:hAnsi="Simplified Arabic" w:cs="Simplified Arabic"/>
          <w:sz w:val="28"/>
          <w:szCs w:val="28"/>
          <w:rtl/>
        </w:rPr>
      </w:pPr>
    </w:p>
    <w:p w14:paraId="15A3E504"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 xml:space="preserve">المطلب الثاني: قاعدة </w:t>
      </w:r>
      <w:r>
        <w:rPr>
          <w:rFonts w:ascii="Simplified Arabic" w:hAnsi="Simplified Arabic" w:cs="Simplified Arabic" w:hint="cs"/>
          <w:b/>
          <w:bCs/>
          <w:sz w:val="32"/>
          <w:szCs w:val="32"/>
          <w:rtl/>
        </w:rPr>
        <w:t>تقييم</w:t>
      </w:r>
      <w:r w:rsidRPr="00062213">
        <w:rPr>
          <w:rFonts w:ascii="Simplified Arabic" w:hAnsi="Simplified Arabic" w:cs="Simplified Arabic" w:hint="cs"/>
          <w:b/>
          <w:bCs/>
          <w:sz w:val="32"/>
          <w:szCs w:val="32"/>
          <w:rtl/>
        </w:rPr>
        <w:t xml:space="preserve"> القرار الإداري (</w:t>
      </w:r>
      <w:r w:rsidRPr="00062213">
        <w:rPr>
          <w:rFonts w:ascii="Simplified Arabic" w:hAnsi="Simplified Arabic" w:cs="Simplified Arabic" w:hint="cs"/>
          <w:b/>
          <w:bCs/>
          <w:sz w:val="32"/>
          <w:szCs w:val="32"/>
        </w:rPr>
        <w:t>Business Judgment Rule</w:t>
      </w:r>
      <w:r w:rsidRPr="00062213">
        <w:rPr>
          <w:rFonts w:ascii="Simplified Arabic" w:hAnsi="Simplified Arabic" w:cs="Simplified Arabic" w:hint="cs"/>
          <w:b/>
          <w:bCs/>
          <w:sz w:val="32"/>
          <w:szCs w:val="32"/>
          <w:rtl/>
        </w:rPr>
        <w:t>)</w:t>
      </w:r>
      <w:r>
        <w:rPr>
          <w:rFonts w:ascii="Simplified Arabic" w:hAnsi="Simplified Arabic" w:cs="Simplified Arabic" w:hint="cs"/>
          <w:b/>
          <w:bCs/>
          <w:sz w:val="32"/>
          <w:szCs w:val="32"/>
          <w:rtl/>
        </w:rPr>
        <w:t>:</w:t>
      </w:r>
    </w:p>
    <w:p w14:paraId="4B957B75"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استحدث المنظم السعودي في المادة 31 من نظام الشركات قاعدة </w:t>
      </w:r>
      <w:r>
        <w:rPr>
          <w:rFonts w:ascii="Simplified Arabic" w:hAnsi="Simplified Arabic" w:cs="Simplified Arabic" w:hint="cs"/>
          <w:sz w:val="28"/>
          <w:szCs w:val="28"/>
          <w:rtl/>
        </w:rPr>
        <w:t>تقييم</w:t>
      </w:r>
      <w:r w:rsidRPr="00062213">
        <w:rPr>
          <w:rFonts w:ascii="Simplified Arabic" w:hAnsi="Simplified Arabic" w:cs="Simplified Arabic" w:hint="cs"/>
          <w:sz w:val="28"/>
          <w:szCs w:val="28"/>
          <w:rtl/>
        </w:rPr>
        <w:t xml:space="preserve"> القرار الإداري، وهي مبدأ قانوني يهدف إلى حماية المديرين من المساءلة عن نتائج قراراتهم المالية إذا ثبت أنها اتخذت بحسن نية وبناءً على معلومات كافية ومستقلة (عبد القادر، 2026، المادة </w:t>
      </w:r>
      <w:r>
        <w:rPr>
          <w:rFonts w:ascii="Simplified Arabic" w:hAnsi="Simplified Arabic" w:cs="Simplified Arabic" w:hint="cs"/>
          <w:sz w:val="28"/>
          <w:szCs w:val="28"/>
          <w:rtl/>
        </w:rPr>
        <w:t xml:space="preserve">31 </w:t>
      </w:r>
      <w:r w:rsidRPr="00062213">
        <w:rPr>
          <w:rFonts w:ascii="Simplified Arabic" w:hAnsi="Simplified Arabic" w:cs="Simplified Arabic" w:hint="cs"/>
          <w:sz w:val="28"/>
          <w:szCs w:val="28"/>
          <w:rtl/>
        </w:rPr>
        <w:t>من نظام الشركات).</w:t>
      </w:r>
    </w:p>
    <w:p w14:paraId="40AE096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التحليل النقدي لهذه القاعدة يوضح أنها تعمل كآلية لمواجهة "خوف المديرين من المساءلة"، مما يشجعهم على اتخاذ قرارات تجارية جريئة ونافعة اقتصادياً دون خشية الملاحقة القضائية في حال فشل القرار لأسباب خارجة عن إرادتهم. ومع ذلك، فإن هذه الحماية ليست مطلقة، إذ تظل محكومة بشرط انعدام تعارض المصالح والعقلانية في اتخاذ القرار.</w:t>
      </w:r>
    </w:p>
    <w:p w14:paraId="6FAB7C59"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في البيئة السعودية، يُنتظر من هذه القاعدة أن تساهم في رفع جودة الإدارة من خلال التمييز بين الخطأ التجاري </w:t>
      </w:r>
      <w:proofErr w:type="spellStart"/>
      <w:r w:rsidRPr="00062213">
        <w:rPr>
          <w:rFonts w:ascii="Simplified Arabic" w:hAnsi="Simplified Arabic" w:cs="Simplified Arabic" w:hint="cs"/>
          <w:sz w:val="28"/>
          <w:szCs w:val="28"/>
          <w:rtl/>
        </w:rPr>
        <w:t>المغتفر</w:t>
      </w:r>
      <w:proofErr w:type="spellEnd"/>
      <w:r w:rsidRPr="00062213">
        <w:rPr>
          <w:rFonts w:ascii="Simplified Arabic" w:hAnsi="Simplified Arabic" w:cs="Simplified Arabic" w:hint="cs"/>
          <w:sz w:val="28"/>
          <w:szCs w:val="28"/>
          <w:rtl/>
        </w:rPr>
        <w:t xml:space="preserve"> والتقصير المهني الجسيم، وهو ما يعزز استقرار المراكز القانونية للمديرين التنفيذيين ويقلل من المخاطر المرتبطة بالقرارات المالية الخاطئة.</w:t>
      </w:r>
    </w:p>
    <w:p w14:paraId="20CE4A8F" w14:textId="77777777" w:rsidR="005A2E6A" w:rsidRDefault="005A2E6A" w:rsidP="005A2E6A">
      <w:pPr>
        <w:spacing w:after="0" w:line="240" w:lineRule="auto"/>
        <w:ind w:firstLine="284"/>
        <w:jc w:val="both"/>
        <w:rPr>
          <w:rFonts w:ascii="Simplified Arabic" w:hAnsi="Simplified Arabic" w:cs="Simplified Arabic"/>
          <w:sz w:val="28"/>
          <w:szCs w:val="28"/>
          <w:rtl/>
        </w:rPr>
      </w:pPr>
    </w:p>
    <w:p w14:paraId="250F1CE7"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الثالث: مسببات القرارات المالية الخاطئة وفق نظرية الوكالة</w:t>
      </w:r>
      <w:r>
        <w:rPr>
          <w:rFonts w:ascii="Simplified Arabic" w:hAnsi="Simplified Arabic" w:cs="Simplified Arabic" w:hint="cs"/>
          <w:b/>
          <w:bCs/>
          <w:sz w:val="32"/>
          <w:szCs w:val="32"/>
          <w:rtl/>
        </w:rPr>
        <w:t>:</w:t>
      </w:r>
    </w:p>
    <w:p w14:paraId="4FD4924C"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تنشأ القرارات المالية الخاطئة غالباً نتيجة الصراع البنيوي الذي تفسره نظرية الوكالة؛ حيث يميل الوكيل (المدير) إلى تعظيم منفعته الشخصية، مثل المكافآت أو النفوذ، على حساب الموكل (المساهمين). تظهر الدراسات أن مشكلة عدم تماثل المعلومات تمنح الإدارة التنفيذية القدرة على إخفاء المخاطر الحقيقية أو تضليل القوائم المالية، وهو ما أدى تاريخياً إلى انهيارات كبرى مثل </w:t>
      </w:r>
      <w:r w:rsidRPr="00062213">
        <w:rPr>
          <w:rFonts w:ascii="Simplified Arabic" w:hAnsi="Simplified Arabic" w:cs="Simplified Arabic" w:hint="cs"/>
          <w:sz w:val="28"/>
          <w:szCs w:val="28"/>
          <w:rtl/>
        </w:rPr>
        <w:lastRenderedPageBreak/>
        <w:t>"</w:t>
      </w:r>
      <w:proofErr w:type="spellStart"/>
      <w:r w:rsidRPr="00062213">
        <w:rPr>
          <w:rFonts w:ascii="Simplified Arabic" w:hAnsi="Simplified Arabic" w:cs="Simplified Arabic" w:hint="cs"/>
          <w:sz w:val="28"/>
          <w:szCs w:val="28"/>
          <w:rtl/>
        </w:rPr>
        <w:t>إنرون</w:t>
      </w:r>
      <w:proofErr w:type="spellEnd"/>
      <w:r w:rsidRPr="00062213">
        <w:rPr>
          <w:rFonts w:ascii="Simplified Arabic" w:hAnsi="Simplified Arabic" w:cs="Simplified Arabic" w:hint="cs"/>
          <w:sz w:val="28"/>
          <w:szCs w:val="28"/>
          <w:rtl/>
        </w:rPr>
        <w:t>" عالمياً، وحالات تعثر مشابهة في السوق السعودي مثل قضيتي "مجموعة المعجل" و"موبايلي" (</w:t>
      </w:r>
      <w:proofErr w:type="spellStart"/>
      <w:r w:rsidRPr="00062213">
        <w:rPr>
          <w:rFonts w:ascii="Simplified Arabic" w:hAnsi="Simplified Arabic" w:cs="Simplified Arabic" w:hint="cs"/>
          <w:sz w:val="28"/>
          <w:szCs w:val="28"/>
          <w:rtl/>
        </w:rPr>
        <w:t>الهباش</w:t>
      </w:r>
      <w:proofErr w:type="spellEnd"/>
      <w:r w:rsidRPr="00062213">
        <w:rPr>
          <w:rFonts w:ascii="Simplified Arabic" w:hAnsi="Simplified Arabic" w:cs="Simplified Arabic" w:hint="cs"/>
          <w:sz w:val="28"/>
          <w:szCs w:val="28"/>
          <w:rtl/>
        </w:rPr>
        <w:t>، 2022؛ الصالحي والأديم، 2024).</w:t>
      </w:r>
    </w:p>
    <w:p w14:paraId="28FD5948"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كما أن اتساع حجم الشركات وانفصال الملكية عن الإدارة يؤدي إلى ضعف الرقابة المباشرة، مما يغري الإدارة باتخاذ قرارات مالية عالية المخاطر أو ممارسات محاسبية غير أخلاقية لإظهار أداء وهمي. وهنا تبرز أهمية الشفافية في الإفصاح عن المخاطر، سواء كانت مالية أو غير مالية، كأداة قانونية لتقليص تكاليف الوكالة وبناء الوعي لدى المساهمين بالتحديات التي تواجه الشركة قبل فوات الأوان.</w:t>
      </w:r>
    </w:p>
    <w:p w14:paraId="1A56F9AC" w14:textId="77777777" w:rsidR="005A2E6A" w:rsidRPr="00062213" w:rsidRDefault="005A2E6A" w:rsidP="005A2E6A">
      <w:pPr>
        <w:spacing w:after="0" w:line="240" w:lineRule="auto"/>
        <w:ind w:firstLine="284"/>
        <w:rPr>
          <w:rFonts w:ascii="Simplified Arabic" w:hAnsi="Simplified Arabic" w:cs="Simplified Arabic"/>
          <w:sz w:val="28"/>
          <w:szCs w:val="28"/>
          <w:rtl/>
        </w:rPr>
      </w:pPr>
      <w:r w:rsidRPr="00062213">
        <w:rPr>
          <w:rFonts w:ascii="Simplified Arabic" w:hAnsi="Simplified Arabic" w:cs="Simplified Arabic" w:hint="cs"/>
          <w:sz w:val="28"/>
          <w:szCs w:val="28"/>
          <w:rtl/>
        </w:rPr>
        <w:br w:type="page"/>
      </w:r>
    </w:p>
    <w:p w14:paraId="15B4FF26" w14:textId="77777777" w:rsidR="005A2E6A" w:rsidRPr="00062213" w:rsidRDefault="005A2E6A" w:rsidP="005A2E6A">
      <w:pPr>
        <w:pStyle w:val="1"/>
        <w:spacing w:before="0"/>
        <w:rPr>
          <w:rFonts w:ascii="Simplified Arabic" w:hAnsi="Simplified Arabic" w:cs="Simplified Arabic"/>
          <w:b/>
          <w:bCs/>
          <w:sz w:val="36"/>
          <w:szCs w:val="36"/>
          <w:rtl/>
        </w:rPr>
      </w:pPr>
      <w:bookmarkStart w:id="8" w:name="_Toc225265016"/>
      <w:r w:rsidRPr="00062213">
        <w:rPr>
          <w:rFonts w:ascii="Simplified Arabic" w:hAnsi="Simplified Arabic" w:cs="Simplified Arabic" w:hint="cs"/>
          <w:b/>
          <w:bCs/>
          <w:sz w:val="36"/>
          <w:szCs w:val="36"/>
          <w:rtl/>
        </w:rPr>
        <w:lastRenderedPageBreak/>
        <w:t>المبحث الثالث: آليات الحوكمة ودورها في جودة الأداء المالي والحد من المخاطر</w:t>
      </w:r>
      <w:bookmarkEnd w:id="8"/>
      <w:r>
        <w:rPr>
          <w:rFonts w:ascii="Simplified Arabic" w:hAnsi="Simplified Arabic" w:cs="Simplified Arabic" w:hint="cs"/>
          <w:b/>
          <w:bCs/>
          <w:sz w:val="36"/>
          <w:szCs w:val="36"/>
          <w:rtl/>
        </w:rPr>
        <w:t>:</w:t>
      </w:r>
    </w:p>
    <w:p w14:paraId="5BAD091A"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 xml:space="preserve">لا تعد الحوكمة مجرد التزام تنظيمي، بل هي </w:t>
      </w:r>
      <w:r>
        <w:rPr>
          <w:rFonts w:ascii="Simplified Arabic" w:hAnsi="Simplified Arabic" w:cs="Simplified Arabic" w:hint="cs"/>
          <w:sz w:val="28"/>
          <w:szCs w:val="28"/>
          <w:rtl/>
        </w:rPr>
        <w:t>ا</w:t>
      </w:r>
      <w:r w:rsidRPr="00062213">
        <w:rPr>
          <w:rFonts w:ascii="Simplified Arabic" w:hAnsi="Simplified Arabic" w:cs="Simplified Arabic" w:hint="cs"/>
          <w:sz w:val="28"/>
          <w:szCs w:val="28"/>
          <w:rtl/>
        </w:rPr>
        <w:t>ستراتيجية وقائية تهدف إلى ضبط إيقاع القرارات المالية وضمان شفافيتها، وبالتالي تقليل مخاطر التعرض للمساءلة القانونية للإدارة التنفيذية. يتناول هذا المبحث دور اللجان المنبثقة عن مجلس الإدارة، وأثر خصائص الإدارة على مؤشرات الأداء المالي، ودور الإفصاح في بناء الثقة داخل السوق المالية السعودية، بما يربط مباشرة بين الحوكمة والمسؤولية القانونية للقرارات المالية الخاطئة.</w:t>
      </w:r>
    </w:p>
    <w:p w14:paraId="18432269"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628BC233"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الأول: اللجان المتخصصة كأدوات للرقابة المالية (لجنة المراجعة والمكافآت)</w:t>
      </w:r>
      <w:r>
        <w:rPr>
          <w:rFonts w:ascii="Simplified Arabic" w:hAnsi="Simplified Arabic" w:cs="Simplified Arabic" w:hint="cs"/>
          <w:b/>
          <w:bCs/>
          <w:sz w:val="32"/>
          <w:szCs w:val="32"/>
          <w:rtl/>
        </w:rPr>
        <w:t>:</w:t>
      </w:r>
    </w:p>
    <w:p w14:paraId="26A6173D"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تُعد لجنة المراجعة حجر الزاوية في منظومة الرقابة الداخلية؛ حيث ي</w:t>
      </w:r>
      <w:r>
        <w:rPr>
          <w:rFonts w:ascii="Simplified Arabic" w:hAnsi="Simplified Arabic" w:cs="Simplified Arabic" w:hint="cs"/>
          <w:sz w:val="28"/>
          <w:szCs w:val="28"/>
          <w:rtl/>
        </w:rPr>
        <w:t>ُ</w:t>
      </w:r>
      <w:r w:rsidRPr="00062213">
        <w:rPr>
          <w:rFonts w:ascii="Simplified Arabic" w:hAnsi="Simplified Arabic" w:cs="Simplified Arabic" w:hint="cs"/>
          <w:sz w:val="28"/>
          <w:szCs w:val="28"/>
          <w:rtl/>
        </w:rPr>
        <w:t xml:space="preserve">سند إليها </w:t>
      </w:r>
      <w:r>
        <w:rPr>
          <w:rFonts w:ascii="Simplified Arabic" w:hAnsi="Simplified Arabic" w:cs="Simplified Arabic" w:hint="cs"/>
          <w:sz w:val="28"/>
          <w:szCs w:val="28"/>
          <w:rtl/>
        </w:rPr>
        <w:t>لائحة</w:t>
      </w:r>
      <w:r w:rsidRPr="00062213">
        <w:rPr>
          <w:rFonts w:ascii="Simplified Arabic" w:hAnsi="Simplified Arabic" w:cs="Simplified Arabic" w:hint="cs"/>
          <w:sz w:val="28"/>
          <w:szCs w:val="28"/>
          <w:rtl/>
        </w:rPr>
        <w:t xml:space="preserve"> الحوكمة </w:t>
      </w:r>
      <w:r>
        <w:rPr>
          <w:rFonts w:ascii="Simplified Arabic" w:hAnsi="Simplified Arabic" w:cs="Simplified Arabic" w:hint="cs"/>
          <w:sz w:val="28"/>
          <w:szCs w:val="28"/>
          <w:rtl/>
        </w:rPr>
        <w:t>و</w:t>
      </w:r>
      <w:r w:rsidRPr="00062213">
        <w:rPr>
          <w:rFonts w:ascii="Simplified Arabic" w:hAnsi="Simplified Arabic" w:cs="Simplified Arabic" w:hint="cs"/>
          <w:sz w:val="28"/>
          <w:szCs w:val="28"/>
          <w:rtl/>
        </w:rPr>
        <w:t>مهمة التأكد من سلامة القوائم المالية وتقييم أنظمة الرقابة وإدارة المخاطر. وبالتحليل القانوني، فإن اشتراط استقلالية أعضاء هذه اللجنة يهدف إلى منع تضارب المصالح مع الإدارة التنفيذية، مما يضمن دقة "النزاهة المعلوماتية" التي يبني عليها المستثمر قراره (لائحة حوكمة الشركات، 2017، المادة 54</w:t>
      </w:r>
      <w:r>
        <w:rPr>
          <w:rFonts w:ascii="Simplified Arabic" w:hAnsi="Simplified Arabic" w:cs="Simplified Arabic" w:hint="cs"/>
          <w:sz w:val="28"/>
          <w:szCs w:val="28"/>
          <w:rtl/>
        </w:rPr>
        <w:t xml:space="preserve">، </w:t>
      </w:r>
      <w:r w:rsidRPr="00062213">
        <w:rPr>
          <w:rFonts w:ascii="Simplified Arabic" w:hAnsi="Simplified Arabic" w:cs="Simplified Arabic" w:hint="cs"/>
          <w:sz w:val="28"/>
          <w:szCs w:val="28"/>
          <w:rtl/>
        </w:rPr>
        <w:t>كتيب الحوكمة، هيئة السوق المالية).</w:t>
      </w:r>
    </w:p>
    <w:p w14:paraId="4CD64A8A"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كما تؤدي لجنة المكافآت دوراً حيوياً في ترشيد سلوك المديرين التنفيذيين من خلال ربط الحوافز بالأداء الفعلي طويل الأجل للشركة، وليس بمجرد الأرباح القصيرة المدى. إن هذا الربط يقلل من دوافع الإدارة لاتخاذ قرارات مالية عالية المخاطر بهدف تعظيم المكافآت الشخصية، وهو ما ينسجم مع توجهات هيئة السوق المالية في ضبط سياسات التحفيز.</w:t>
      </w:r>
    </w:p>
    <w:p w14:paraId="53F65FA1"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ومن منظور مسؤولية الإدارة التنفيذية، فإن عمل هذه اللجان يوفر درعاً وقائياً قانونياً، حيث تقل احتمالية تحميل المدير التنفيذي المسؤولية عن قرارات مالية خاطئة اتخذت وفق آليات الحوكمة المعتمدة، ما يعزز من صلة الحوكمة بالمساءلة القانونية.</w:t>
      </w:r>
    </w:p>
    <w:p w14:paraId="2DBF98FA"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2A5C8178"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الثاني: أثر آليات الحوكمة على مؤشرات الربحية (</w:t>
      </w:r>
      <w:r w:rsidRPr="00062213">
        <w:rPr>
          <w:rFonts w:ascii="Simplified Arabic" w:hAnsi="Simplified Arabic" w:cs="Simplified Arabic" w:hint="cs"/>
          <w:b/>
          <w:bCs/>
          <w:sz w:val="32"/>
          <w:szCs w:val="32"/>
        </w:rPr>
        <w:t>ROA &amp; ROE</w:t>
      </w:r>
      <w:r w:rsidRPr="00062213">
        <w:rPr>
          <w:rFonts w:ascii="Simplified Arabic" w:hAnsi="Simplified Arabic" w:cs="Simplified Arabic" w:hint="cs"/>
          <w:b/>
          <w:bCs/>
          <w:sz w:val="32"/>
          <w:szCs w:val="32"/>
          <w:rtl/>
        </w:rPr>
        <w:t>)</w:t>
      </w:r>
      <w:r>
        <w:rPr>
          <w:rFonts w:ascii="Simplified Arabic" w:hAnsi="Simplified Arabic" w:cs="Simplified Arabic" w:hint="cs"/>
          <w:b/>
          <w:bCs/>
          <w:sz w:val="32"/>
          <w:szCs w:val="32"/>
          <w:rtl/>
        </w:rPr>
        <w:t>:</w:t>
      </w:r>
    </w:p>
    <w:p w14:paraId="39DF997B"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تكشف الدراسات التطبيقية في البيئة السعودية عن علاقة طردية معنوية بين مستوى الالتزام بالحوكمة ومعدلات العائد على الأصول (</w:t>
      </w:r>
      <w:r w:rsidRPr="00062213">
        <w:rPr>
          <w:rFonts w:ascii="Simplified Arabic" w:hAnsi="Simplified Arabic" w:cs="Simplified Arabic" w:hint="cs"/>
          <w:sz w:val="28"/>
          <w:szCs w:val="28"/>
        </w:rPr>
        <w:t>ROA</w:t>
      </w:r>
      <w:r w:rsidRPr="00062213">
        <w:rPr>
          <w:rFonts w:ascii="Simplified Arabic" w:hAnsi="Simplified Arabic" w:cs="Simplified Arabic" w:hint="cs"/>
          <w:sz w:val="28"/>
          <w:szCs w:val="28"/>
          <w:rtl/>
        </w:rPr>
        <w:t>) والعائد على حقوق الملكية (</w:t>
      </w:r>
      <w:r w:rsidRPr="00062213">
        <w:rPr>
          <w:rFonts w:ascii="Simplified Arabic" w:hAnsi="Simplified Arabic" w:cs="Simplified Arabic" w:hint="cs"/>
          <w:sz w:val="28"/>
          <w:szCs w:val="28"/>
        </w:rPr>
        <w:t>ROE</w:t>
      </w:r>
      <w:r w:rsidRPr="00062213">
        <w:rPr>
          <w:rFonts w:ascii="Simplified Arabic" w:hAnsi="Simplified Arabic" w:cs="Simplified Arabic" w:hint="cs"/>
          <w:sz w:val="28"/>
          <w:szCs w:val="28"/>
          <w:rtl/>
        </w:rPr>
        <w:t>). التحليل المعمق يوضح أن الالتزام بالمعايير الإلزامية للحوكمة يؤدي إلى تحسين جودة القرارات الاستثمارية، بما يقلل من الهدر المالي ويرفع الكفاءة التشغيلية (العمري، 2024</w:t>
      </w:r>
      <w:r>
        <w:rPr>
          <w:rFonts w:ascii="Simplified Arabic" w:hAnsi="Simplified Arabic" w:cs="Simplified Arabic" w:hint="cs"/>
          <w:sz w:val="28"/>
          <w:szCs w:val="28"/>
          <w:rtl/>
        </w:rPr>
        <w:t>،</w:t>
      </w:r>
      <w:r w:rsidRPr="00062213">
        <w:rPr>
          <w:rFonts w:ascii="Simplified Arabic" w:hAnsi="Simplified Arabic" w:cs="Simplified Arabic" w:hint="cs"/>
          <w:sz w:val="28"/>
          <w:szCs w:val="28"/>
          <w:rtl/>
        </w:rPr>
        <w:t xml:space="preserve"> </w:t>
      </w:r>
      <w:proofErr w:type="spellStart"/>
      <w:r w:rsidRPr="00062213">
        <w:rPr>
          <w:rFonts w:ascii="Simplified Arabic" w:hAnsi="Simplified Arabic" w:cs="Simplified Arabic" w:hint="cs"/>
          <w:sz w:val="28"/>
          <w:szCs w:val="28"/>
          <w:rtl/>
        </w:rPr>
        <w:t>القعيمي</w:t>
      </w:r>
      <w:proofErr w:type="spellEnd"/>
      <w:r w:rsidRPr="00062213">
        <w:rPr>
          <w:rFonts w:ascii="Simplified Arabic" w:hAnsi="Simplified Arabic" w:cs="Simplified Arabic" w:hint="cs"/>
          <w:sz w:val="28"/>
          <w:szCs w:val="28"/>
          <w:rtl/>
        </w:rPr>
        <w:t>، 2025).</w:t>
      </w:r>
    </w:p>
    <w:p w14:paraId="520FE910"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lastRenderedPageBreak/>
        <w:t>كما تلعب خصائص الإدارة التنفيذية دوراً حاسماً</w:t>
      </w:r>
      <w:r>
        <w:rPr>
          <w:rFonts w:ascii="Simplified Arabic" w:hAnsi="Simplified Arabic" w:cs="Simplified Arabic" w:hint="cs"/>
          <w:sz w:val="28"/>
          <w:szCs w:val="28"/>
          <w:rtl/>
        </w:rPr>
        <w:t xml:space="preserve"> في ذلك</w:t>
      </w:r>
      <w:r w:rsidRPr="00062213">
        <w:rPr>
          <w:rFonts w:ascii="Simplified Arabic" w:hAnsi="Simplified Arabic" w:cs="Simplified Arabic" w:hint="cs"/>
          <w:sz w:val="28"/>
          <w:szCs w:val="28"/>
          <w:rtl/>
        </w:rPr>
        <w:t>؛ فقد أثبتت النتائج التحليلية أن القادة التنفيذيين الحاصلين على درجات علمية عليا (ماجستير أو دكتوراه) أكثر قدرة على إدارة المخاطر المعقدة وتحقيق أداء مالي متفوق. هذا يعكس أن الكفاءة العلمية للمدير التنفيذي تعمل كصمام أمان قانوني ومالي، يقلل من احتمالية تعرضه للمساءلة بسبب القرارات المالية الخاطئة (الملحم والناصر، 2025).</w:t>
      </w:r>
    </w:p>
    <w:p w14:paraId="476CDB6F" w14:textId="77777777" w:rsidR="005A2E6A"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وبذلك يظهر هنا أن جودة الأداء المالي وامتثال الإدارة للتشريعات السعودية في اتخاذ القرارات المالية مرتبطة بشكل مباشر بتقليل مسؤولية المديرين التنفيذيين عن الأخطاء المالية، ما يعزز صلة البحث بالمسؤولية القانونية.</w:t>
      </w:r>
    </w:p>
    <w:p w14:paraId="362B1C3F"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p>
    <w:p w14:paraId="2EE77E72" w14:textId="77777777" w:rsidR="005A2E6A" w:rsidRPr="00062213" w:rsidRDefault="005A2E6A" w:rsidP="005A2E6A">
      <w:pPr>
        <w:spacing w:after="0" w:line="240" w:lineRule="auto"/>
        <w:jc w:val="both"/>
        <w:rPr>
          <w:rFonts w:ascii="Simplified Arabic" w:hAnsi="Simplified Arabic" w:cs="Simplified Arabic"/>
          <w:b/>
          <w:bCs/>
          <w:sz w:val="32"/>
          <w:szCs w:val="32"/>
          <w:rtl/>
        </w:rPr>
      </w:pPr>
      <w:r w:rsidRPr="00062213">
        <w:rPr>
          <w:rFonts w:ascii="Simplified Arabic" w:hAnsi="Simplified Arabic" w:cs="Simplified Arabic" w:hint="cs"/>
          <w:b/>
          <w:bCs/>
          <w:sz w:val="32"/>
          <w:szCs w:val="32"/>
          <w:rtl/>
        </w:rPr>
        <w:t>المطلب الثالث: الشفافية والإفصاح عن المخاطر كمعيار للاستدامة</w:t>
      </w:r>
      <w:r>
        <w:rPr>
          <w:rFonts w:ascii="Simplified Arabic" w:hAnsi="Simplified Arabic" w:cs="Simplified Arabic" w:hint="cs"/>
          <w:b/>
          <w:bCs/>
          <w:sz w:val="32"/>
          <w:szCs w:val="32"/>
          <w:rtl/>
        </w:rPr>
        <w:t>:</w:t>
      </w:r>
    </w:p>
    <w:p w14:paraId="01EAA1ED"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تعتبر الشفافية في الإفصاح عن المخاطر، سواء كانت مالية أو غير مالية، أداة لتعزيز ثقة المستثمرين وجذب رؤوس الأموال. وبالواقع العملي في السوق السعودي يظهر أن الإفصاح عن المخاطر المالية يحظى بمستوى متوسط، بينما لا يزال الإفصاح عن المخاطر غير المالية منخفضاً. هذا القصور قد يضلل أصحاب المصالح بشأن القيمة الحقيقية للشركة، مما يزيد من احتمالية اتخاذ قرارات مالية خاطئة.</w:t>
      </w:r>
    </w:p>
    <w:p w14:paraId="2152B1A7"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إن تفعيل الحوكمة يفرض على الإدارة التنفيذية تقديم تقارير أكثر شمولية، تتجاوز الأرقام المحاسبية الجامدة إلى تحليل استشرافي للمخاطر، ما يحقق التوازن بين مرونة القرار الإداري وحماية السوق المالية من التلاعب أو الانهيار (الصالحي والأديم، 2024</w:t>
      </w:r>
      <w:r>
        <w:rPr>
          <w:rFonts w:ascii="Simplified Arabic" w:hAnsi="Simplified Arabic" w:cs="Simplified Arabic" w:hint="cs"/>
          <w:sz w:val="28"/>
          <w:szCs w:val="28"/>
          <w:rtl/>
        </w:rPr>
        <w:t>،</w:t>
      </w:r>
      <w:r w:rsidRPr="00062213">
        <w:rPr>
          <w:rFonts w:ascii="Simplified Arabic" w:hAnsi="Simplified Arabic" w:cs="Simplified Arabic" w:hint="cs"/>
          <w:sz w:val="28"/>
          <w:szCs w:val="28"/>
          <w:rtl/>
        </w:rPr>
        <w:t xml:space="preserve"> كتيب الحوكمة، هيئة السوق المالية).</w:t>
      </w:r>
    </w:p>
    <w:p w14:paraId="7C76221E"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ومن منظور الدراسة فإن الإفصاح الكامل والمبكر عن المخاطر يقلل من تعرض المديرين التنفيذيين للمساءلة القانونية، إذ يثبت أنهم اتخذوا القرار على أساس معلومات صحيحة وكافية، وهو جوهر حماية المدير في ظل قاعدة تقدير القرار الإداري.</w:t>
      </w:r>
    </w:p>
    <w:p w14:paraId="5B07D08F"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وبذلك يتضح من المباحث السابقة أن الحوكمة ليست مجرد التزام تنظيمي، بل أداة استراتيجية تحمي الإدارة التنفيذية من القرارات المالية الخاطئة، مع تحسين الأداء المالي للشركة</w:t>
      </w:r>
      <w:r>
        <w:rPr>
          <w:rFonts w:ascii="Simplified Arabic" w:hAnsi="Simplified Arabic" w:cs="Simplified Arabic" w:hint="cs"/>
          <w:sz w:val="28"/>
          <w:szCs w:val="28"/>
          <w:rtl/>
        </w:rPr>
        <w:t>،</w:t>
      </w:r>
      <w:r w:rsidRPr="00062213">
        <w:rPr>
          <w:rFonts w:ascii="Simplified Arabic" w:hAnsi="Simplified Arabic" w:cs="Simplified Arabic" w:hint="cs"/>
          <w:sz w:val="28"/>
          <w:szCs w:val="28"/>
          <w:rtl/>
        </w:rPr>
        <w:t xml:space="preserve"> اللجان المتخصصة، الإفصاح الشفاف، وخصائص القيادة التنفيذية تشكل شبكة حماية قانونية ومالية، تقلل من فرص الانحراف أو سوء اتخاذ القرار.</w:t>
      </w:r>
    </w:p>
    <w:p w14:paraId="55D8DAEF" w14:textId="77777777" w:rsidR="005A2E6A" w:rsidRPr="00062213" w:rsidRDefault="005A2E6A" w:rsidP="005A2E6A">
      <w:pPr>
        <w:spacing w:after="0" w:line="240" w:lineRule="auto"/>
        <w:ind w:firstLine="284"/>
        <w:jc w:val="both"/>
        <w:rPr>
          <w:rFonts w:ascii="Simplified Arabic" w:hAnsi="Simplified Arabic" w:cs="Simplified Arabic"/>
          <w:sz w:val="28"/>
          <w:szCs w:val="28"/>
          <w:rtl/>
        </w:rPr>
      </w:pPr>
      <w:r w:rsidRPr="00062213">
        <w:rPr>
          <w:rFonts w:ascii="Simplified Arabic" w:hAnsi="Simplified Arabic" w:cs="Simplified Arabic" w:hint="cs"/>
          <w:sz w:val="28"/>
          <w:szCs w:val="28"/>
          <w:rtl/>
        </w:rPr>
        <w:t>كما</w:t>
      </w:r>
      <w:r>
        <w:rPr>
          <w:rFonts w:ascii="Simplified Arabic" w:hAnsi="Simplified Arabic" w:cs="Simplified Arabic" w:hint="cs"/>
          <w:sz w:val="28"/>
          <w:szCs w:val="28"/>
          <w:rtl/>
        </w:rPr>
        <w:t xml:space="preserve"> أن</w:t>
      </w:r>
      <w:r w:rsidRPr="00062213">
        <w:rPr>
          <w:rFonts w:ascii="Simplified Arabic" w:hAnsi="Simplified Arabic" w:cs="Simplified Arabic" w:hint="cs"/>
          <w:sz w:val="28"/>
          <w:szCs w:val="28"/>
          <w:rtl/>
        </w:rPr>
        <w:t xml:space="preserve"> المسؤولية القانونية للإدارة التنفيذية عن القرارات المالية الخاطئة يمكن التخفيف منها إذا تم الالتزام الصارم بآليات الحوكمة، بما يحقق التوازن بين مرونة القرار وشفافية الأداء.</w:t>
      </w:r>
    </w:p>
    <w:p w14:paraId="17A52E97" w14:textId="77777777" w:rsidR="001B2C6A" w:rsidRDefault="001B2C6A">
      <w:pPr>
        <w:rPr>
          <w:rFonts w:hint="cs"/>
        </w:rPr>
      </w:pPr>
    </w:p>
    <w:sectPr w:rsidR="001B2C6A" w:rsidSect="0090226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1D5"/>
    <w:multiLevelType w:val="hybridMultilevel"/>
    <w:tmpl w:val="47D65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2B58CE"/>
    <w:multiLevelType w:val="hybridMultilevel"/>
    <w:tmpl w:val="38E2A78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2451FDC"/>
    <w:multiLevelType w:val="hybridMultilevel"/>
    <w:tmpl w:val="CEC63C2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E66480C"/>
    <w:multiLevelType w:val="hybridMultilevel"/>
    <w:tmpl w:val="59EC170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37A85804"/>
    <w:multiLevelType w:val="hybridMultilevel"/>
    <w:tmpl w:val="8E46B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D5793D"/>
    <w:multiLevelType w:val="hybridMultilevel"/>
    <w:tmpl w:val="B6186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B67BC1"/>
    <w:multiLevelType w:val="hybridMultilevel"/>
    <w:tmpl w:val="D534A58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15:restartNumberingAfterBreak="0">
    <w:nsid w:val="5DC8149B"/>
    <w:multiLevelType w:val="hybridMultilevel"/>
    <w:tmpl w:val="77BC02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6C09762C"/>
    <w:multiLevelType w:val="hybridMultilevel"/>
    <w:tmpl w:val="6D04CFB8"/>
    <w:lvl w:ilvl="0" w:tplc="49D00C3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3405F"/>
    <w:multiLevelType w:val="hybridMultilevel"/>
    <w:tmpl w:val="8B00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0262729">
    <w:abstractNumId w:val="9"/>
  </w:num>
  <w:num w:numId="2" w16cid:durableId="1883135193">
    <w:abstractNumId w:val="5"/>
  </w:num>
  <w:num w:numId="3" w16cid:durableId="1922326151">
    <w:abstractNumId w:val="4"/>
  </w:num>
  <w:num w:numId="4" w16cid:durableId="111097892">
    <w:abstractNumId w:val="0"/>
  </w:num>
  <w:num w:numId="5" w16cid:durableId="1085692618">
    <w:abstractNumId w:val="3"/>
  </w:num>
  <w:num w:numId="6" w16cid:durableId="1382554765">
    <w:abstractNumId w:val="2"/>
  </w:num>
  <w:num w:numId="7" w16cid:durableId="348409356">
    <w:abstractNumId w:val="7"/>
  </w:num>
  <w:num w:numId="8" w16cid:durableId="753165474">
    <w:abstractNumId w:val="6"/>
  </w:num>
  <w:num w:numId="9" w16cid:durableId="230772270">
    <w:abstractNumId w:val="1"/>
  </w:num>
  <w:num w:numId="10" w16cid:durableId="12494608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6A"/>
    <w:rsid w:val="001B2C6A"/>
    <w:rsid w:val="00293B7E"/>
    <w:rsid w:val="002E54C3"/>
    <w:rsid w:val="00342DB0"/>
    <w:rsid w:val="004F73A6"/>
    <w:rsid w:val="00515EF7"/>
    <w:rsid w:val="00576A85"/>
    <w:rsid w:val="005A2E6A"/>
    <w:rsid w:val="0090226D"/>
    <w:rsid w:val="00DC45F9"/>
    <w:rsid w:val="00FF68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B6372"/>
  <w15:chartTrackingRefBased/>
  <w15:docId w15:val="{12F94340-B0D9-460A-93B1-F80F3671E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2E6A"/>
    <w:pPr>
      <w:bidi/>
      <w:spacing w:line="259" w:lineRule="auto"/>
    </w:pPr>
    <w:rPr>
      <w:sz w:val="22"/>
      <w:szCs w:val="22"/>
    </w:rPr>
  </w:style>
  <w:style w:type="paragraph" w:styleId="1">
    <w:name w:val="heading 1"/>
    <w:basedOn w:val="a"/>
    <w:next w:val="a"/>
    <w:link w:val="1Char"/>
    <w:uiPriority w:val="9"/>
    <w:qFormat/>
    <w:rsid w:val="005A2E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A2E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A2E6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A2E6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A2E6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A2E6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A2E6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A2E6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A2E6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A2E6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A2E6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A2E6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A2E6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A2E6A"/>
    <w:rPr>
      <w:rFonts w:eastAsiaTheme="majorEastAsia" w:cstheme="majorBidi"/>
      <w:color w:val="0F4761" w:themeColor="accent1" w:themeShade="BF"/>
    </w:rPr>
  </w:style>
  <w:style w:type="character" w:customStyle="1" w:styleId="6Char">
    <w:name w:val="عنوان 6 Char"/>
    <w:basedOn w:val="a0"/>
    <w:link w:val="6"/>
    <w:uiPriority w:val="9"/>
    <w:semiHidden/>
    <w:rsid w:val="005A2E6A"/>
    <w:rPr>
      <w:rFonts w:eastAsiaTheme="majorEastAsia" w:cstheme="majorBidi"/>
      <w:i/>
      <w:iCs/>
      <w:color w:val="595959" w:themeColor="text1" w:themeTint="A6"/>
    </w:rPr>
  </w:style>
  <w:style w:type="character" w:customStyle="1" w:styleId="7Char">
    <w:name w:val="عنوان 7 Char"/>
    <w:basedOn w:val="a0"/>
    <w:link w:val="7"/>
    <w:uiPriority w:val="9"/>
    <w:semiHidden/>
    <w:rsid w:val="005A2E6A"/>
    <w:rPr>
      <w:rFonts w:eastAsiaTheme="majorEastAsia" w:cstheme="majorBidi"/>
      <w:color w:val="595959" w:themeColor="text1" w:themeTint="A6"/>
    </w:rPr>
  </w:style>
  <w:style w:type="character" w:customStyle="1" w:styleId="8Char">
    <w:name w:val="عنوان 8 Char"/>
    <w:basedOn w:val="a0"/>
    <w:link w:val="8"/>
    <w:uiPriority w:val="9"/>
    <w:semiHidden/>
    <w:rsid w:val="005A2E6A"/>
    <w:rPr>
      <w:rFonts w:eastAsiaTheme="majorEastAsia" w:cstheme="majorBidi"/>
      <w:i/>
      <w:iCs/>
      <w:color w:val="272727" w:themeColor="text1" w:themeTint="D8"/>
    </w:rPr>
  </w:style>
  <w:style w:type="character" w:customStyle="1" w:styleId="9Char">
    <w:name w:val="عنوان 9 Char"/>
    <w:basedOn w:val="a0"/>
    <w:link w:val="9"/>
    <w:uiPriority w:val="9"/>
    <w:semiHidden/>
    <w:rsid w:val="005A2E6A"/>
    <w:rPr>
      <w:rFonts w:eastAsiaTheme="majorEastAsia" w:cstheme="majorBidi"/>
      <w:color w:val="272727" w:themeColor="text1" w:themeTint="D8"/>
    </w:rPr>
  </w:style>
  <w:style w:type="paragraph" w:styleId="a3">
    <w:name w:val="Title"/>
    <w:basedOn w:val="a"/>
    <w:next w:val="a"/>
    <w:link w:val="Char"/>
    <w:uiPriority w:val="10"/>
    <w:qFormat/>
    <w:rsid w:val="005A2E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A2E6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A2E6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A2E6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A2E6A"/>
    <w:pPr>
      <w:spacing w:before="160"/>
      <w:jc w:val="center"/>
    </w:pPr>
    <w:rPr>
      <w:i/>
      <w:iCs/>
      <w:color w:val="404040" w:themeColor="text1" w:themeTint="BF"/>
    </w:rPr>
  </w:style>
  <w:style w:type="character" w:customStyle="1" w:styleId="Char1">
    <w:name w:val="اقتباس Char"/>
    <w:basedOn w:val="a0"/>
    <w:link w:val="a5"/>
    <w:uiPriority w:val="29"/>
    <w:rsid w:val="005A2E6A"/>
    <w:rPr>
      <w:i/>
      <w:iCs/>
      <w:color w:val="404040" w:themeColor="text1" w:themeTint="BF"/>
    </w:rPr>
  </w:style>
  <w:style w:type="paragraph" w:styleId="a6">
    <w:name w:val="List Paragraph"/>
    <w:basedOn w:val="a"/>
    <w:uiPriority w:val="34"/>
    <w:qFormat/>
    <w:rsid w:val="005A2E6A"/>
    <w:pPr>
      <w:ind w:left="720"/>
      <w:contextualSpacing/>
    </w:pPr>
  </w:style>
  <w:style w:type="character" w:styleId="a7">
    <w:name w:val="Intense Emphasis"/>
    <w:basedOn w:val="a0"/>
    <w:uiPriority w:val="21"/>
    <w:qFormat/>
    <w:rsid w:val="005A2E6A"/>
    <w:rPr>
      <w:i/>
      <w:iCs/>
      <w:color w:val="0F4761" w:themeColor="accent1" w:themeShade="BF"/>
    </w:rPr>
  </w:style>
  <w:style w:type="paragraph" w:styleId="a8">
    <w:name w:val="Intense Quote"/>
    <w:basedOn w:val="a"/>
    <w:next w:val="a"/>
    <w:link w:val="Char2"/>
    <w:uiPriority w:val="30"/>
    <w:qFormat/>
    <w:rsid w:val="005A2E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A2E6A"/>
    <w:rPr>
      <w:i/>
      <w:iCs/>
      <w:color w:val="0F4761" w:themeColor="accent1" w:themeShade="BF"/>
    </w:rPr>
  </w:style>
  <w:style w:type="character" w:styleId="a9">
    <w:name w:val="Intense Reference"/>
    <w:basedOn w:val="a0"/>
    <w:uiPriority w:val="32"/>
    <w:qFormat/>
    <w:rsid w:val="005A2E6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3698</Words>
  <Characters>21085</Characters>
  <Application>Microsoft Office Word</Application>
  <DocSecurity>0</DocSecurity>
  <Lines>175</Lines>
  <Paragraphs>49</Paragraphs>
  <ScaleCrop>false</ScaleCrop>
  <Company/>
  <LinksUpToDate>false</LinksUpToDate>
  <CharactersWithSpaces>24734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سليمان علي السعيد</dc:creator>
  <cp:keywords/>
  <dc:description/>
  <cp:lastModifiedBy>سليمان علي السعيد</cp:lastModifiedBy>
  <cp:revision>1</cp:revision>
  <dcterms:created xsi:type="dcterms:W3CDTF">2026-03-27T12:27:00Z</dcterms:created>
  <dcterms:modified xsi:type="dcterms:W3CDTF">2026-03-27T12:27:00Z</dcterms:modified>
</cp:coreProperties>
</file>