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261CE1" w14:textId="77777777" w:rsidR="00A37589" w:rsidRPr="003647A0" w:rsidRDefault="00A37589" w:rsidP="00A37589">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3647A0">
        <w:rPr>
          <w:rFonts w:ascii="Simplified Arabic" w:eastAsia="Calibri" w:hAnsi="Simplified Arabic" w:cs="Simplified Arabic"/>
          <w:b/>
          <w:bCs/>
          <w:noProof/>
          <w:color w:val="000000" w:themeColor="text1"/>
          <w:sz w:val="32"/>
          <w:szCs w:val="32"/>
          <w:lang w:bidi="ar-EG"/>
        </w:rPr>
        <w:drawing>
          <wp:anchor distT="0" distB="0" distL="114300" distR="114300" simplePos="0" relativeHeight="251659264" behindDoc="0" locked="0" layoutInCell="1" allowOverlap="1" wp14:anchorId="52FDDD60" wp14:editId="70227F31">
            <wp:simplePos x="0" y="0"/>
            <wp:positionH relativeFrom="margin">
              <wp:posOffset>47625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647A0">
        <w:rPr>
          <w:rFonts w:ascii="Simplified Arabic" w:eastAsia="Calibri" w:hAnsi="Simplified Arabic" w:cs="Simplified Arabic"/>
          <w:b/>
          <w:bCs/>
          <w:color w:val="000000" w:themeColor="text1"/>
          <w:sz w:val="32"/>
          <w:szCs w:val="32"/>
          <w:rtl/>
          <w:lang w:bidi="ar-EG"/>
        </w:rPr>
        <w:t xml:space="preserve">جامعة ميدأوشن </w:t>
      </w:r>
    </w:p>
    <w:p w14:paraId="662E9FE7" w14:textId="77777777" w:rsidR="00A37589" w:rsidRPr="003647A0" w:rsidRDefault="00A37589" w:rsidP="00A37589">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3647A0">
        <w:rPr>
          <w:rFonts w:ascii="Simplified Arabic" w:eastAsia="Calibri" w:hAnsi="Simplified Arabic" w:cs="Simplified Arabic"/>
          <w:b/>
          <w:bCs/>
          <w:color w:val="000000" w:themeColor="text1"/>
          <w:sz w:val="32"/>
          <w:szCs w:val="32"/>
          <w:rtl/>
          <w:lang w:bidi="ar-EG"/>
        </w:rPr>
        <w:t xml:space="preserve">كلية الإدارة </w:t>
      </w:r>
    </w:p>
    <w:p w14:paraId="0C750B95" w14:textId="362AB94B" w:rsidR="00E21472" w:rsidRDefault="00E21472" w:rsidP="00A37589">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A37589">
        <w:rPr>
          <w:rFonts w:ascii="Simplified Arabic" w:eastAsia="Calibri" w:hAnsi="Simplified Arabic" w:cs="Simplified Arabic" w:hint="cs"/>
          <w:b/>
          <w:bCs/>
          <w:color w:val="000000" w:themeColor="text1"/>
          <w:sz w:val="32"/>
          <w:szCs w:val="32"/>
          <w:rtl/>
          <w:lang w:bidi="ar-EG"/>
        </w:rPr>
        <w:t xml:space="preserve">تخصص موارد بشرية </w:t>
      </w:r>
    </w:p>
    <w:p w14:paraId="4C78194D" w14:textId="77777777" w:rsidR="00A37589" w:rsidRPr="00A37589" w:rsidRDefault="00A37589" w:rsidP="00A37589">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p>
    <w:p w14:paraId="61E89C99" w14:textId="72DF99DB" w:rsidR="00E21472" w:rsidRPr="00A37589" w:rsidRDefault="00E21472" w:rsidP="00A37589">
      <w:pPr>
        <w:spacing w:before="100" w:beforeAutospacing="1" w:after="100" w:afterAutospacing="1" w:line="276" w:lineRule="auto"/>
        <w:jc w:val="center"/>
        <w:rPr>
          <w:rFonts w:ascii="Simplified Arabic" w:eastAsia="Calibri" w:hAnsi="Simplified Arabic" w:cs="Simplified Arabic"/>
          <w:b/>
          <w:bCs/>
          <w:color w:val="000000" w:themeColor="text1"/>
          <w:sz w:val="40"/>
          <w:szCs w:val="40"/>
        </w:rPr>
      </w:pPr>
      <w:r w:rsidRPr="00A37589">
        <w:rPr>
          <w:rFonts w:ascii="Simplified Arabic" w:eastAsia="Calibri" w:hAnsi="Simplified Arabic" w:cs="Simplified Arabic" w:hint="cs"/>
          <w:b/>
          <w:bCs/>
          <w:color w:val="000000" w:themeColor="text1"/>
          <w:sz w:val="40"/>
          <w:szCs w:val="40"/>
          <w:rtl/>
        </w:rPr>
        <w:t xml:space="preserve">اثر </w:t>
      </w:r>
      <w:r w:rsidRPr="00A37589">
        <w:rPr>
          <w:rFonts w:ascii="Simplified Arabic" w:eastAsia="Calibri" w:hAnsi="Simplified Arabic" w:cs="Simplified Arabic"/>
          <w:b/>
          <w:bCs/>
          <w:color w:val="000000" w:themeColor="text1"/>
          <w:sz w:val="40"/>
          <w:szCs w:val="40"/>
          <w:rtl/>
        </w:rPr>
        <w:t xml:space="preserve">التحول الرقمي وإدارة المواهب ودورهما </w:t>
      </w:r>
      <w:r w:rsidRPr="00A37589">
        <w:rPr>
          <w:rFonts w:ascii="Simplified Arabic" w:eastAsia="Calibri" w:hAnsi="Simplified Arabic" w:cs="Simplified Arabic" w:hint="cs"/>
          <w:b/>
          <w:bCs/>
          <w:color w:val="000000" w:themeColor="text1"/>
          <w:sz w:val="40"/>
          <w:szCs w:val="40"/>
          <w:rtl/>
        </w:rPr>
        <w:t xml:space="preserve">على </w:t>
      </w:r>
      <w:r w:rsidRPr="00A37589">
        <w:rPr>
          <w:rFonts w:ascii="Simplified Arabic" w:eastAsia="Calibri" w:hAnsi="Simplified Arabic" w:cs="Simplified Arabic"/>
          <w:b/>
          <w:bCs/>
          <w:color w:val="000000" w:themeColor="text1"/>
          <w:sz w:val="40"/>
          <w:szCs w:val="40"/>
          <w:rtl/>
        </w:rPr>
        <w:t>الولاء الوظيفي</w:t>
      </w:r>
      <w:r w:rsidRPr="00A37589">
        <w:rPr>
          <w:rFonts w:ascii="Simplified Arabic" w:eastAsia="Calibri" w:hAnsi="Simplified Arabic" w:cs="Simplified Arabic" w:hint="cs"/>
          <w:b/>
          <w:bCs/>
          <w:color w:val="000000" w:themeColor="text1"/>
          <w:sz w:val="40"/>
          <w:szCs w:val="40"/>
          <w:rtl/>
        </w:rPr>
        <w:t xml:space="preserve"> ب</w:t>
      </w:r>
      <w:r w:rsidRPr="00A37589">
        <w:rPr>
          <w:rFonts w:ascii="Simplified Arabic" w:eastAsia="Calibri" w:hAnsi="Simplified Arabic" w:cs="Simplified Arabic"/>
          <w:b/>
          <w:bCs/>
          <w:color w:val="000000" w:themeColor="text1"/>
          <w:sz w:val="40"/>
          <w:szCs w:val="40"/>
          <w:rtl/>
        </w:rPr>
        <w:t>الشركات التقنية الناشئة في السعودية</w:t>
      </w:r>
    </w:p>
    <w:p w14:paraId="33CC833B" w14:textId="77777777" w:rsidR="00E21472" w:rsidRPr="00A37589" w:rsidRDefault="00E21472" w:rsidP="00A37589">
      <w:pPr>
        <w:spacing w:line="276" w:lineRule="auto"/>
        <w:jc w:val="center"/>
        <w:rPr>
          <w:rFonts w:ascii="Simplified Arabic" w:hAnsi="Simplified Arabic" w:cs="Simplified Arabic"/>
          <w:b/>
          <w:bCs/>
          <w:sz w:val="32"/>
          <w:szCs w:val="32"/>
        </w:rPr>
      </w:pPr>
      <w:r w:rsidRPr="00A37589">
        <w:rPr>
          <w:rFonts w:ascii="Simplified Arabic" w:eastAsia="Calibri" w:hAnsi="Simplified Arabic" w:cs="Simplified Arabic"/>
          <w:b/>
          <w:bCs/>
          <w:color w:val="000000" w:themeColor="text1"/>
          <w:sz w:val="36"/>
          <w:szCs w:val="36"/>
          <w:rtl/>
          <w:lang w:bidi="ar-EG"/>
        </w:rPr>
        <w:t>إعداد الطالبة</w:t>
      </w:r>
      <w:r w:rsidRPr="00A37589">
        <w:rPr>
          <w:rFonts w:ascii="Simplified Arabic" w:eastAsia="Calibri" w:hAnsi="Simplified Arabic" w:cs="Simplified Arabic"/>
          <w:b/>
          <w:bCs/>
          <w:color w:val="000000" w:themeColor="text1"/>
          <w:sz w:val="36"/>
          <w:szCs w:val="36"/>
          <w:lang w:bidi="ar-EG"/>
        </w:rPr>
        <w:t>/</w:t>
      </w:r>
      <w:r w:rsidRPr="00A37589">
        <w:rPr>
          <w:rFonts w:ascii="Simplified Arabic" w:eastAsia="Calibri" w:hAnsi="Simplified Arabic" w:cs="Simplified Arabic"/>
          <w:b/>
          <w:bCs/>
          <w:color w:val="000000" w:themeColor="text1"/>
          <w:sz w:val="36"/>
          <w:szCs w:val="36"/>
          <w:lang w:bidi="ar-EG"/>
        </w:rPr>
        <w:br/>
      </w:r>
      <w:r w:rsidRPr="00A37589">
        <w:rPr>
          <w:rFonts w:ascii="Simplified Arabic" w:hAnsi="Simplified Arabic" w:cs="Simplified Arabic"/>
          <w:b/>
          <w:bCs/>
          <w:sz w:val="32"/>
          <w:szCs w:val="32"/>
          <w:rtl/>
        </w:rPr>
        <w:t>أفنان متعب الشمري</w:t>
      </w:r>
    </w:p>
    <w:p w14:paraId="47D34C9E" w14:textId="77777777" w:rsidR="00E21472" w:rsidRDefault="00E21472" w:rsidP="00A37589">
      <w:pPr>
        <w:spacing w:line="276" w:lineRule="auto"/>
        <w:jc w:val="center"/>
        <w:rPr>
          <w:rFonts w:ascii="Simplified Arabic" w:hAnsi="Simplified Arabic" w:cs="Simplified Arabic"/>
          <w:b/>
          <w:bCs/>
          <w:sz w:val="32"/>
          <w:szCs w:val="32"/>
          <w:rtl/>
        </w:rPr>
      </w:pPr>
      <w:r w:rsidRPr="00A37589">
        <w:rPr>
          <w:rFonts w:ascii="Simplified Arabic" w:hAnsi="Simplified Arabic" w:cs="Simplified Arabic"/>
          <w:b/>
          <w:bCs/>
          <w:sz w:val="32"/>
          <w:szCs w:val="32"/>
          <w:rtl/>
        </w:rPr>
        <w:t>الرقم الجامعي</w:t>
      </w:r>
      <w:r w:rsidRPr="00A37589">
        <w:rPr>
          <w:rFonts w:ascii="Simplified Arabic" w:hAnsi="Simplified Arabic" w:cs="Simplified Arabic"/>
          <w:b/>
          <w:bCs/>
          <w:sz w:val="32"/>
          <w:szCs w:val="32"/>
        </w:rPr>
        <w:t>/</w:t>
      </w:r>
      <w:r w:rsidRPr="00A37589">
        <w:rPr>
          <w:rFonts w:ascii="Simplified Arabic" w:hAnsi="Simplified Arabic" w:cs="Simplified Arabic"/>
          <w:b/>
          <w:bCs/>
          <w:sz w:val="32"/>
          <w:szCs w:val="32"/>
        </w:rPr>
        <w:br/>
        <w:t>253001388</w:t>
      </w:r>
    </w:p>
    <w:tbl>
      <w:tblPr>
        <w:tblStyle w:val="a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37589" w:rsidRPr="003647A0" w14:paraId="174CD687" w14:textId="77777777" w:rsidTr="003F35F1">
        <w:tc>
          <w:tcPr>
            <w:tcW w:w="4530" w:type="dxa"/>
          </w:tcPr>
          <w:p w14:paraId="77A990CF" w14:textId="77777777" w:rsidR="00A37589" w:rsidRPr="003647A0" w:rsidRDefault="00A37589"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الرئيسي/</w:t>
            </w:r>
          </w:p>
        </w:tc>
        <w:tc>
          <w:tcPr>
            <w:tcW w:w="4531" w:type="dxa"/>
          </w:tcPr>
          <w:p w14:paraId="3F255C25" w14:textId="77777777" w:rsidR="00A37589" w:rsidRPr="003647A0" w:rsidRDefault="00A37589"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الثاني/</w:t>
            </w:r>
          </w:p>
        </w:tc>
      </w:tr>
      <w:tr w:rsidR="00A37589" w:rsidRPr="003647A0" w14:paraId="13638047" w14:textId="77777777" w:rsidTr="003F35F1">
        <w:tc>
          <w:tcPr>
            <w:tcW w:w="4530" w:type="dxa"/>
          </w:tcPr>
          <w:p w14:paraId="79CEBFC6" w14:textId="77777777" w:rsidR="00A37589" w:rsidRPr="003647A0" w:rsidRDefault="00A37589"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B9FFAC1" w14:textId="77777777" w:rsidR="00A37589" w:rsidRPr="003647A0" w:rsidRDefault="00A37589"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د.فايز جراد</w:t>
            </w:r>
          </w:p>
        </w:tc>
      </w:tr>
    </w:tbl>
    <w:p w14:paraId="6B3CE62D" w14:textId="77777777" w:rsidR="00A37589" w:rsidRPr="003647A0" w:rsidRDefault="00A37589" w:rsidP="00A3758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العام الدراسي:</w:t>
      </w:r>
    </w:p>
    <w:p w14:paraId="10515310" w14:textId="77777777" w:rsidR="00A37589" w:rsidRDefault="00A37589" w:rsidP="00A3758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A37589" w:rsidSect="00A37589">
          <w:pgSz w:w="11906" w:h="16838"/>
          <w:pgMar w:top="1134" w:right="1134" w:bottom="1134" w:left="1134" w:header="709" w:footer="709" w:gutter="0"/>
          <w:cols w:space="708"/>
          <w:bidi/>
          <w:rtlGutter/>
          <w:docGrid w:linePitch="360"/>
        </w:sectPr>
      </w:pPr>
      <w:r w:rsidRPr="003647A0">
        <w:rPr>
          <w:rFonts w:ascii="Simplified Arabic" w:hAnsi="Simplified Arabic" w:cs="Simplified Arabic"/>
          <w:color w:val="000000" w:themeColor="text1"/>
          <w:sz w:val="36"/>
          <w:szCs w:val="36"/>
          <w:rtl/>
          <w:lang w:bidi="ar-EG"/>
        </w:rPr>
        <w:t>1448 – 2026</w:t>
      </w:r>
    </w:p>
    <w:p w14:paraId="07DFD0DE" w14:textId="77777777" w:rsidR="00A37589" w:rsidRPr="003647A0" w:rsidRDefault="00A37589" w:rsidP="00A37589">
      <w:pPr>
        <w:tabs>
          <w:tab w:val="left" w:pos="3983"/>
        </w:tabs>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tl/>
          <w:lang w:bidi="ar-EG"/>
        </w:rPr>
      </w:pPr>
      <w:bookmarkStart w:id="0" w:name="_Toc173319916"/>
      <w:bookmarkStart w:id="1" w:name="_Toc191494058"/>
      <w:bookmarkStart w:id="2" w:name="_Toc234027243"/>
      <w:bookmarkStart w:id="3" w:name="_Toc234244313"/>
      <w:bookmarkStart w:id="4" w:name="_Toc234278686"/>
      <w:bookmarkStart w:id="5" w:name="_Toc223500482"/>
      <w:r w:rsidRPr="003647A0">
        <w:rPr>
          <w:rFonts w:ascii="Simplified Arabic" w:eastAsia="Calibri" w:hAnsi="Simplified Arabic" w:cs="Simplified Arabic"/>
          <w:b/>
          <w:bCs/>
          <w:color w:val="000000" w:themeColor="text1"/>
          <w:sz w:val="40"/>
          <w:szCs w:val="40"/>
          <w:rtl/>
          <w:lang w:bidi="ar-EG"/>
        </w:rPr>
        <w:lastRenderedPageBreak/>
        <w:t>الفصل الأول: الإطار العام للدراسة</w:t>
      </w:r>
      <w:bookmarkEnd w:id="0"/>
      <w:bookmarkEnd w:id="1"/>
      <w:bookmarkEnd w:id="2"/>
      <w:bookmarkEnd w:id="3"/>
      <w:bookmarkEnd w:id="4"/>
    </w:p>
    <w:p w14:paraId="305C7A44" w14:textId="77777777" w:rsidR="00A37589" w:rsidRPr="003647A0" w:rsidRDefault="00A37589" w:rsidP="00A3758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6" w:name="_Toc173319917"/>
      <w:bookmarkStart w:id="7" w:name="_Toc191494059"/>
      <w:bookmarkStart w:id="8" w:name="_Toc234027244"/>
      <w:bookmarkStart w:id="9" w:name="_Toc234244314"/>
      <w:bookmarkStart w:id="10" w:name="_Toc234278687"/>
      <w:r w:rsidRPr="003647A0">
        <w:rPr>
          <w:rFonts w:ascii="Simplified Arabic" w:eastAsia="Calibri" w:hAnsi="Simplified Arabic" w:cs="Simplified Arabic"/>
          <w:b/>
          <w:bCs/>
          <w:color w:val="000000" w:themeColor="text1"/>
          <w:sz w:val="36"/>
          <w:szCs w:val="36"/>
          <w:rtl/>
          <w:lang w:bidi="ar-EG"/>
        </w:rPr>
        <w:t>1.1 مقدمة:</w:t>
      </w:r>
      <w:bookmarkEnd w:id="6"/>
      <w:bookmarkEnd w:id="7"/>
      <w:bookmarkEnd w:id="8"/>
      <w:bookmarkEnd w:id="9"/>
      <w:bookmarkEnd w:id="10"/>
    </w:p>
    <w:bookmarkEnd w:id="5"/>
    <w:p w14:paraId="2BBF9AC7"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يشهد العالم المعاصر تحولات جذرية وغير مسبوقة في مختلف مناحي الحياة الاقتصادية والاجتماعية والتنظيمية، فرضتها الثورة الصناعية الرابعة وما صاحبها من تطورات تكنولوجية متسارعة، أعادت رسم ملامح بيئة الأعمال العالمية، وأوجدت واقعاً جديداً تتحكم فيه المعرفة والتقنية والبيانات. وقد باتت المنظمات المعاصرة أمام تحديات وجودية تفرض عليها إعادة النظر في نماذجها الإدارية وأساليبها التشغيلية، بحيث تتحول من الأنماط التقليدية إلى نماذج أكثر مرونة ورقمنة، تُمكّنها من التكيف مع متطلبات هذا العصر، والحفاظ على مكانتها التنافسية في بيئة تتسم بعدم اليقين والتغير المستمر</w:t>
      </w:r>
      <w:r w:rsidRPr="00A37589">
        <w:rPr>
          <w:rFonts w:ascii="Simplified Arabic" w:hAnsi="Simplified Arabic" w:cs="Simplified Arabic"/>
          <w:sz w:val="28"/>
          <w:szCs w:val="28"/>
          <w:lang w:bidi="ar-EG"/>
        </w:rPr>
        <w:t xml:space="preserve"> (Banerjee &amp; Sharma, 2025).</w:t>
      </w:r>
    </w:p>
    <w:p w14:paraId="70A184CE"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وفي هذا السياق، يُمثّل التحول الرقمي أحد أبرز التوجهات الاستراتيجية التي تتبناها المنظمات الحديثة، إذ لم يعد خياراً كمالياً بل ضرورةً حتمية تفرضها المتغيرات المتلاحقة في بيئة الأعمال. ويُعرَّف التحول الرقمي بأنه عملية شاملة تتضمن دمج التقنيات الرقمية في جميع مجالات المنظمة، وإحداث تغييرات جوهرية في طرق عملها وتقديم قيمة مضافة لعملائها وأصحاب المصلحة، ويشمل ذلك أبعاداً متعددة كالبنية التحتية الرقمية، والاستراتيجية الرقمية، والثقافة الرقمية، والقيادة الرقمية، والكفاءات الرقمية للعاملين (حسين وعبدالهادي وجمال، 2023)</w:t>
      </w:r>
      <w:r w:rsidRPr="00A37589">
        <w:rPr>
          <w:rFonts w:ascii="Simplified Arabic" w:hAnsi="Simplified Arabic" w:cs="Simplified Arabic"/>
          <w:sz w:val="28"/>
          <w:szCs w:val="28"/>
          <w:lang w:bidi="ar-EG"/>
        </w:rPr>
        <w:t>.</w:t>
      </w:r>
    </w:p>
    <w:p w14:paraId="7F70BBBB"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وقد أسهم التحول الرقمي في إعادة تشكيل ممارسات إدارة الموارد البشرية بشكل عام، وممارسات إدارة المواهب بشكل خاص، من خلال توفير أدوات وتقنيات ذكية تُمكّن المنظمات من جذب الكفاءات وتطويرها والاحتفاظ بها بكفاءة أعلى. كما أصبح التحول الرقمي عاملاً محورياً في تعزيز الأداء التنظيمي وتحقيق الميزة التنافسية للمنظمات في مختلف القطاعات، بما في ذلك قطاع الاتصالات والقطاع الحكومي والقطاع المالي، وذلك من خلال ما يوفره من قدرة على تحسين جودة الخدمات وتسريع اتخاذ القرارات وتعزيز تجربة العملاء والعاملين على حد سواء</w:t>
      </w:r>
      <w:r w:rsidRPr="00A37589">
        <w:rPr>
          <w:rFonts w:ascii="Simplified Arabic" w:hAnsi="Simplified Arabic" w:cs="Simplified Arabic"/>
          <w:sz w:val="28"/>
          <w:szCs w:val="28"/>
          <w:lang w:bidi="ar-EG"/>
        </w:rPr>
        <w:t xml:space="preserve"> (</w:t>
      </w:r>
      <w:proofErr w:type="spellStart"/>
      <w:r w:rsidRPr="00A37589">
        <w:rPr>
          <w:rFonts w:ascii="Simplified Arabic" w:hAnsi="Simplified Arabic" w:cs="Simplified Arabic"/>
          <w:sz w:val="28"/>
          <w:szCs w:val="28"/>
          <w:lang w:bidi="ar-EG"/>
        </w:rPr>
        <w:t>Montero</w:t>
      </w:r>
      <w:proofErr w:type="spellEnd"/>
      <w:r w:rsidRPr="00A37589">
        <w:rPr>
          <w:rFonts w:ascii="Simplified Arabic" w:hAnsi="Simplified Arabic" w:cs="Simplified Arabic"/>
          <w:sz w:val="28"/>
          <w:szCs w:val="28"/>
          <w:lang w:bidi="ar-EG"/>
        </w:rPr>
        <w:t xml:space="preserve"> Guerra &amp; </w:t>
      </w:r>
      <w:proofErr w:type="spellStart"/>
      <w:r w:rsidRPr="00A37589">
        <w:rPr>
          <w:rFonts w:ascii="Simplified Arabic" w:hAnsi="Simplified Arabic" w:cs="Simplified Arabic"/>
          <w:sz w:val="28"/>
          <w:szCs w:val="28"/>
          <w:lang w:bidi="ar-EG"/>
        </w:rPr>
        <w:t>Danvila-Del</w:t>
      </w:r>
      <w:proofErr w:type="spellEnd"/>
      <w:r w:rsidRPr="00A37589">
        <w:rPr>
          <w:rFonts w:ascii="Simplified Arabic" w:hAnsi="Simplified Arabic" w:cs="Simplified Arabic"/>
          <w:sz w:val="28"/>
          <w:szCs w:val="28"/>
          <w:lang w:bidi="ar-EG"/>
        </w:rPr>
        <w:t xml:space="preserve"> Valle, 2024).</w:t>
      </w:r>
    </w:p>
    <w:p w14:paraId="22DF0087"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 xml:space="preserve">وبالتوازي مع ذلك، برزت إدارة المواهب بوصفها توجهاً استراتيجياً حديثاً في إدارة رأس المال البشري، يقوم على التركيز على الكفاءات النادرة وذات القيمة المضافة العالية، وذلك من خلال مجموعة من الممارسات المتكاملة التي تشمل جذب المواهب، وتطويرها، والاحتفاظ بها، وتقييمها. ولم تعد المواهب مجرد موارد بشرية اعتيادية، بل أصبحت أصولاً استراتيجية تُشكّل مصدراً حقيقياً للميزة التنافسية المستدامة، خاصةً في ظل تصاعد الحرب العالمية </w:t>
      </w:r>
      <w:r w:rsidRPr="00A37589">
        <w:rPr>
          <w:rFonts w:ascii="Simplified Arabic" w:hAnsi="Simplified Arabic" w:cs="Simplified Arabic"/>
          <w:sz w:val="28"/>
          <w:szCs w:val="28"/>
          <w:rtl/>
        </w:rPr>
        <w:lastRenderedPageBreak/>
        <w:t>على المواهب واحتدام التنافس بين المنظمات لاستقطاب أصحاب الكفاءات المتميزة والاحتفاظ بهم</w:t>
      </w:r>
      <w:r w:rsidRPr="00A37589">
        <w:rPr>
          <w:rFonts w:ascii="Simplified Arabic" w:hAnsi="Simplified Arabic" w:cs="Simplified Arabic"/>
          <w:sz w:val="28"/>
          <w:szCs w:val="28"/>
          <w:lang w:bidi="ar-EG"/>
        </w:rPr>
        <w:t xml:space="preserve"> (Di Prima et al., 2024).</w:t>
      </w:r>
    </w:p>
    <w:p w14:paraId="6023FDCD"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وتُشكّل ممارسات إدارة المواهب حجر الأساس في بناء منظمات قادرة على الابتكار والتميز، إذ ترتبط ارتباطاً وثيقاً بالعديد من المخرجات التنظيمية الإيجابية، من بينها التميز المنظمي، والأداء الاستراتيجي، والاحتفاظ بالموظفين، والأداء التنافسي. كما تُسهم إدارة المواهب في خلق بيئة عمل محفزة تُشجع العاملين على الإبداع والالتزام والانتماء، مما ينعكس إيجاباً على مستوى ولائهم للمنظمة وارتباطهم بها على المدى الطويل (القديمات والخشالي، 2024)</w:t>
      </w:r>
      <w:r w:rsidRPr="00A37589">
        <w:rPr>
          <w:rFonts w:ascii="Simplified Arabic" w:hAnsi="Simplified Arabic" w:cs="Simplified Arabic"/>
          <w:sz w:val="28"/>
          <w:szCs w:val="28"/>
          <w:lang w:bidi="ar-EG"/>
        </w:rPr>
        <w:t>.</w:t>
      </w:r>
    </w:p>
    <w:p w14:paraId="477A65FF"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ويتأثر الولاء الوظيفي بجملة من العوامل الفردية والتنظيمية والبيئية، إذ تُشير الأدبيات إلى وجود علاقات وثيقة بينه وبين متغيرات عدة، منها الرضا الوظيفي، ورفاهية الموظفين، وممارسات تنمية الموارد البشرية، وأنماط القيادة، فضلاً عن التغيرات التكنولوجية المعاصرة التي أعادت تشكيل مفهوم الارتباط بالعمل والانتماء التنظيمي في ظل تصاعد ظواهر العمل عن بُعد واقتصاد المهام</w:t>
      </w:r>
      <w:r w:rsidRPr="00A37589">
        <w:rPr>
          <w:rFonts w:ascii="Simplified Arabic" w:hAnsi="Simplified Arabic" w:cs="Simplified Arabic"/>
          <w:sz w:val="28"/>
          <w:szCs w:val="28"/>
          <w:lang w:bidi="ar-EG"/>
        </w:rPr>
        <w:t xml:space="preserve"> (</w:t>
      </w:r>
      <w:proofErr w:type="spellStart"/>
      <w:r w:rsidRPr="00A37589">
        <w:rPr>
          <w:rFonts w:ascii="Simplified Arabic" w:hAnsi="Simplified Arabic" w:cs="Simplified Arabic"/>
          <w:sz w:val="28"/>
          <w:szCs w:val="28"/>
          <w:lang w:bidi="ar-EG"/>
        </w:rPr>
        <w:t>Setiawan</w:t>
      </w:r>
      <w:proofErr w:type="spellEnd"/>
      <w:r w:rsidRPr="00A37589">
        <w:rPr>
          <w:rFonts w:ascii="Simplified Arabic" w:hAnsi="Simplified Arabic" w:cs="Simplified Arabic"/>
          <w:sz w:val="28"/>
          <w:szCs w:val="28"/>
          <w:lang w:bidi="ar-EG"/>
        </w:rPr>
        <w:t xml:space="preserve"> &amp; </w:t>
      </w:r>
      <w:proofErr w:type="spellStart"/>
      <w:r w:rsidRPr="00A37589">
        <w:rPr>
          <w:rFonts w:ascii="Simplified Arabic" w:hAnsi="Simplified Arabic" w:cs="Simplified Arabic"/>
          <w:sz w:val="28"/>
          <w:szCs w:val="28"/>
          <w:lang w:bidi="ar-EG"/>
        </w:rPr>
        <w:t>Wakhyuni</w:t>
      </w:r>
      <w:proofErr w:type="spellEnd"/>
      <w:r w:rsidRPr="00A37589">
        <w:rPr>
          <w:rFonts w:ascii="Simplified Arabic" w:hAnsi="Simplified Arabic" w:cs="Simplified Arabic"/>
          <w:sz w:val="28"/>
          <w:szCs w:val="28"/>
          <w:lang w:bidi="ar-EG"/>
        </w:rPr>
        <w:t>, 2025).</w:t>
      </w:r>
    </w:p>
    <w:p w14:paraId="3DA7B590"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وفي ظل التحولات المتسارعة التي يشهدها قطاع الشركات التقنية الناشئة في المملكة العربية السعودية، وما تتمتع به هذه الشركات من طبيعة خاصة تجمع بين الابتكار والمخاطرة وسرعة النمو، يبرز التساؤل حول كيفية إسهام التحول الرقمي وإدارة المواهب مجتمعين في تعزيز الولاء الوظيفي لدى العاملين بهذه الشركات. فالشركات التقنية الناشئة تعتمد في المقام الأول على الكفاءات البشرية المتخصصة، وتُواجه تحديات جدية في الاحتفاظ بها في ظل التنافس المحتدم على المواهب الرقمية، مما يجعل فهم العلاقة بين هذه المتغيرات ضرورةً بحثيةً ملحّة</w:t>
      </w:r>
      <w:r w:rsidRPr="00A37589">
        <w:rPr>
          <w:rFonts w:ascii="Simplified Arabic" w:hAnsi="Simplified Arabic" w:cs="Simplified Arabic"/>
          <w:sz w:val="28"/>
          <w:szCs w:val="28"/>
          <w:lang w:bidi="ar-EG"/>
        </w:rPr>
        <w:t xml:space="preserve"> (Qiao et al., 2024).</w:t>
      </w:r>
    </w:p>
    <w:p w14:paraId="65ED2B8E"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وانطلاقاً مما سبق، تسعى الدراسة الحالية إلى تسليط الضوء على أثر التحول الرقمي وإدارة المواهب بأبعادهما المختلفة على الولاء الوظيفي بالشركات التقنية الناشئة في المملكة العربية السعودية، وذلك في ضوء التوجهات الاستراتيجية لرؤية المملكة 2030 التي تُولي أهمية بالغة لتطوير القطاع التقني ورعاية المواهب الوطنية، بما يُسهم في إثراء الأدبيات الإدارية ورفد صانعي القرار برؤى علمية تدعم اتخاذ قراراتهم في هذا المجال الحيوي (العمريين والربابعة، 2023)</w:t>
      </w:r>
      <w:r w:rsidRPr="00A37589">
        <w:rPr>
          <w:rFonts w:ascii="Simplified Arabic" w:hAnsi="Simplified Arabic" w:cs="Simplified Arabic"/>
          <w:sz w:val="28"/>
          <w:szCs w:val="28"/>
          <w:lang w:bidi="ar-EG"/>
        </w:rPr>
        <w:t>.</w:t>
      </w:r>
    </w:p>
    <w:p w14:paraId="3CC382BE" w14:textId="27ABDF71" w:rsidR="00AB1BE5" w:rsidRPr="00A37589" w:rsidRDefault="005F0787" w:rsidP="00A3758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1" w:name="_Toc234278688"/>
      <w:r>
        <w:rPr>
          <w:rFonts w:ascii="Simplified Arabic" w:eastAsia="Calibri" w:hAnsi="Simplified Arabic" w:cs="Simplified Arabic" w:hint="cs"/>
          <w:b/>
          <w:bCs/>
          <w:color w:val="000000" w:themeColor="text1"/>
          <w:sz w:val="36"/>
          <w:szCs w:val="36"/>
          <w:rtl/>
          <w:lang w:bidi="ar-EG"/>
        </w:rPr>
        <w:t>2.1</w:t>
      </w:r>
      <w:r w:rsidR="00AB1BE5" w:rsidRPr="00A37589">
        <w:rPr>
          <w:rFonts w:ascii="Simplified Arabic" w:eastAsia="Calibri" w:hAnsi="Simplified Arabic" w:cs="Simplified Arabic"/>
          <w:b/>
          <w:bCs/>
          <w:color w:val="000000" w:themeColor="text1"/>
          <w:sz w:val="36"/>
          <w:szCs w:val="36"/>
          <w:rtl/>
          <w:lang w:bidi="ar-EG"/>
        </w:rPr>
        <w:t xml:space="preserve"> مشكلة الدراسة</w:t>
      </w:r>
      <w:bookmarkEnd w:id="11"/>
    </w:p>
    <w:p w14:paraId="337B95A1"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lastRenderedPageBreak/>
        <w:t>تُشكّل الشركات التقنية الناشئة في المملكة العربية السعودية أحد أبرز الروافد الاقتصادية التي تُعوّل عليها الدولة في تنويع مصادر الدخل الوطني وتحقيق مستهدفات رؤية المملكة 2030، إذ تُمثّل هذه الشركات محركاً رئيسياً للابتكار وخلق فرص العمل النوعية، وتستقطب استثمارات ضخمة من صناديق رأس المال الجريء المحلية والإقليمية والعالمية. غير أن هذا القطاع الحيوي يواجه جملة من التحديات الجوهرية التي تُهدد استدامة نموه، ولعل أبرزها ما يتعلق بالعنصر البشري، وتحديداً بمسألة الاحتفاظ بالمواهب وتعزيز ولائها الوظيفي في بيئة عمل تتسم بارتفاع حدة التنافس على الكفاءات التقنية المتخصصة، وتصاعد ظواهر الهجرة الوظيفية بين الشركات، وارتفاع معدلات دوران العمل بصورة تُقلق أصحاب القرار في هذه الشركات</w:t>
      </w:r>
      <w:r w:rsidRPr="00A37589">
        <w:rPr>
          <w:rFonts w:ascii="Simplified Arabic" w:hAnsi="Simplified Arabic" w:cs="Simplified Arabic"/>
          <w:sz w:val="28"/>
          <w:szCs w:val="28"/>
          <w:lang w:bidi="ar-EG"/>
        </w:rPr>
        <w:t>.</w:t>
      </w:r>
    </w:p>
    <w:p w14:paraId="27281CD4"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وعلى الرغم من تسارع وتيرة التحول الرقمي في المملكة العربية السعودية، وما تتبناه الشركات التقنية الناشئة من ممارسات متقدمة لإدارة المواهب، إلا أن الملاحظ من الواقع الميداني ومن خلال المؤشرات المتاحة أن مستويات الولاء الوظيفي لدى العاملين في هذه الشركات لا ترقى إلى المستوى المأمول، حيث تُشير بعض التقارير إلى ارتفاع نسب الاستقالات الطوعية وتنقل الكوادر التقنية بين الشركات بحثاً عن فرص أفضل، وهو ما يُلحق أضراراً جسيمة بهذه الشركات على المستويين التشغيلي والاستراتيجي، ويُعطّل جهودها في بناء رأس مال بشري مستقر وقادر على قيادة مسيرة النمو والابتكار</w:t>
      </w:r>
      <w:r w:rsidRPr="00A37589">
        <w:rPr>
          <w:rFonts w:ascii="Simplified Arabic" w:hAnsi="Simplified Arabic" w:cs="Simplified Arabic"/>
          <w:sz w:val="28"/>
          <w:szCs w:val="28"/>
          <w:lang w:bidi="ar-EG"/>
        </w:rPr>
        <w:t>.</w:t>
      </w:r>
    </w:p>
    <w:p w14:paraId="48E6B49A"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وبالرجوع إلى الأدبيات والدراسات السابقة، يتضح أن ثمة اهتماماً بحثياً متزايداً بدراسة كل من التحول الرقمي وإدارة المواهب والولاء الوظيفي، غير أن معظم هذه الدراسات تناولت هذه المتغيرات بشكل منفرد أو ثنائي، دون الجمع بينها في إطار نموذج بحثي متكامل. فقد ركّزت دراسة حسين وعبدالهادي وجمال (2023) على أثر التحول الرقمي على الأداء التنظيمي، بينما بحثت دراسة القديمات والخشالي (2024) في العلاقة بين إدارة المواهب والتميز المنظمي بوجود التحول الرقمي كمتغير معدل، فيما تناولت دراسة الحربي (2025) أثر الولاء الوظيفي على الأداء الوظيفي. ويتضح من ذلك وجود فجوة بحثية واضحة تتمثل في غياب الدراسات التي تجمع بين المتغيرات الثلاثة معاً (التحول الرقمي وإدارة المواهب والولاء الوظيفي) في سياق الشركات التقنية الناشئة بالمملكة العربية السعودية</w:t>
      </w:r>
      <w:r w:rsidRPr="00A37589">
        <w:rPr>
          <w:rFonts w:ascii="Simplified Arabic" w:hAnsi="Simplified Arabic" w:cs="Simplified Arabic"/>
          <w:sz w:val="28"/>
          <w:szCs w:val="28"/>
          <w:lang w:bidi="ar-EG"/>
        </w:rPr>
        <w:t>.</w:t>
      </w:r>
    </w:p>
    <w:p w14:paraId="55AB4BA4"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 xml:space="preserve">كما تجدر الإشارة إلى أن الطبيعة الخاصة للشركات التقنية الناشئة، من حيث الاعتماد الكثيف على التقنيات الرقمية المتقدمة، وتوظيف كفاءات متخصصة في مجالات نادرة كالذكاء الاصطناعي وعلوم البيانات وتطوير البرمجيات، تجعل من دراسة العلاقة بين التحول الرقمي وإدارة المواهب والولاء الوظيفي أمراً بالغ الأهمية، </w:t>
      </w:r>
      <w:r w:rsidRPr="00A37589">
        <w:rPr>
          <w:rFonts w:ascii="Simplified Arabic" w:hAnsi="Simplified Arabic" w:cs="Simplified Arabic"/>
          <w:sz w:val="28"/>
          <w:szCs w:val="28"/>
          <w:rtl/>
        </w:rPr>
        <w:lastRenderedPageBreak/>
        <w:t>إذ إن نجاح هذه الشركات يتوقف بدرجة كبيرة على قدرتها على تبني التحولات الرقمية بكفاءة، وإدارة مواهبها بأساليب متطورة، وتعزيز ولاء عامليها في ظل بيئة عمل شديدة الديناميكية</w:t>
      </w:r>
      <w:r w:rsidRPr="00A37589">
        <w:rPr>
          <w:rFonts w:ascii="Simplified Arabic" w:hAnsi="Simplified Arabic" w:cs="Simplified Arabic"/>
          <w:sz w:val="28"/>
          <w:szCs w:val="28"/>
          <w:lang w:bidi="ar-EG"/>
        </w:rPr>
        <w:t>.</w:t>
      </w:r>
    </w:p>
    <w:p w14:paraId="2781A84C" w14:textId="7777777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وبناءً على ما تقدم، تتحدد مشكلة الدراسة في محاولة الإجابة عن التساؤل الرئيسي التالي</w:t>
      </w:r>
      <w:r w:rsidRPr="00A37589">
        <w:rPr>
          <w:rFonts w:ascii="Simplified Arabic" w:hAnsi="Simplified Arabic" w:cs="Simplified Arabic"/>
          <w:sz w:val="28"/>
          <w:szCs w:val="28"/>
          <w:lang w:bidi="ar-EG"/>
        </w:rPr>
        <w:t xml:space="preserve">: </w:t>
      </w:r>
      <w:r w:rsidRPr="00A37589">
        <w:rPr>
          <w:rFonts w:ascii="Simplified Arabic" w:hAnsi="Simplified Arabic" w:cs="Simplified Arabic"/>
          <w:b/>
          <w:bCs/>
          <w:sz w:val="28"/>
          <w:szCs w:val="28"/>
          <w:rtl/>
        </w:rPr>
        <w:t>ما أثر التحول الرقمي وإدارة المواهب على الولاء الوظيفي بالشركات التقنية الناشئة في المملكة العربية السعودية؟</w:t>
      </w:r>
    </w:p>
    <w:p w14:paraId="20A42BE7" w14:textId="78695226" w:rsidR="00AB1BE5" w:rsidRPr="00A37589" w:rsidRDefault="005F0787" w:rsidP="00A3758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2" w:name="_Toc234278689"/>
      <w:r>
        <w:rPr>
          <w:rFonts w:ascii="Simplified Arabic" w:eastAsia="Calibri" w:hAnsi="Simplified Arabic" w:cs="Simplified Arabic" w:hint="cs"/>
          <w:b/>
          <w:bCs/>
          <w:color w:val="000000" w:themeColor="text1"/>
          <w:sz w:val="36"/>
          <w:szCs w:val="36"/>
          <w:rtl/>
          <w:lang w:bidi="ar-EG"/>
        </w:rPr>
        <w:t>3.1</w:t>
      </w:r>
      <w:r w:rsidR="00AB1BE5" w:rsidRPr="00A37589">
        <w:rPr>
          <w:rFonts w:ascii="Simplified Arabic" w:eastAsia="Calibri" w:hAnsi="Simplified Arabic" w:cs="Simplified Arabic"/>
          <w:b/>
          <w:bCs/>
          <w:color w:val="000000" w:themeColor="text1"/>
          <w:sz w:val="36"/>
          <w:szCs w:val="36"/>
          <w:rtl/>
          <w:lang w:bidi="ar-EG"/>
        </w:rPr>
        <w:t xml:space="preserve"> أهمية الدراسة</w:t>
      </w:r>
      <w:bookmarkEnd w:id="12"/>
    </w:p>
    <w:p w14:paraId="5534F689"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b/>
          <w:bCs/>
          <w:sz w:val="28"/>
          <w:szCs w:val="28"/>
          <w:rtl/>
        </w:rPr>
        <w:t>الأهمية العلمية (النظرية)</w:t>
      </w:r>
      <w:r w:rsidRPr="00A37589">
        <w:rPr>
          <w:rFonts w:ascii="Simplified Arabic" w:hAnsi="Simplified Arabic" w:cs="Simplified Arabic"/>
          <w:b/>
          <w:bCs/>
          <w:sz w:val="28"/>
          <w:szCs w:val="28"/>
          <w:lang w:bidi="ar-EG"/>
        </w:rPr>
        <w:t>:</w:t>
      </w:r>
    </w:p>
    <w:p w14:paraId="6BE2D9C2"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تُسهم هذه الدراسة في إثراء الأدبيات الإدارية العربية والأجنبية من خلال تقديم إطار نظري متكامل يجمع بين ثلاثة متغيرات محورية هي: التحول الرقمي، وإدارة المواهب، والولاء الوظيفي</w:t>
      </w:r>
      <w:r w:rsidRPr="00A37589">
        <w:rPr>
          <w:rFonts w:ascii="Simplified Arabic" w:hAnsi="Simplified Arabic" w:cs="Simplified Arabic"/>
          <w:sz w:val="28"/>
          <w:szCs w:val="28"/>
          <w:lang w:bidi="ar-EG"/>
        </w:rPr>
        <w:t>.</w:t>
      </w:r>
    </w:p>
    <w:p w14:paraId="78C8C835"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تُعالج الدراسة فجوة بحثية واضحة في الأدبيات، تتمثل في ندرة الدراسات التي تناولت العلاقة بين هذه المتغيرات مجتمعة في سياق الشركات التقنية الناشئة</w:t>
      </w:r>
      <w:r w:rsidRPr="00A37589">
        <w:rPr>
          <w:rFonts w:ascii="Simplified Arabic" w:hAnsi="Simplified Arabic" w:cs="Simplified Arabic"/>
          <w:sz w:val="28"/>
          <w:szCs w:val="28"/>
          <w:lang w:bidi="ar-EG"/>
        </w:rPr>
        <w:t>.</w:t>
      </w:r>
    </w:p>
    <w:p w14:paraId="49B58646"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تستمد الدراسة أهميتها من حداثة موضوعها وارتباطه بالتوجهات الاستراتيجية المعاصرة، وتحديداً في ظل الثورة الصناعية الرابعة والتحولات الرقمية المتسارعة</w:t>
      </w:r>
      <w:r w:rsidRPr="00A37589">
        <w:rPr>
          <w:rFonts w:ascii="Simplified Arabic" w:hAnsi="Simplified Arabic" w:cs="Simplified Arabic"/>
          <w:sz w:val="28"/>
          <w:szCs w:val="28"/>
          <w:lang w:bidi="ar-EG"/>
        </w:rPr>
        <w:t>.</w:t>
      </w:r>
    </w:p>
    <w:p w14:paraId="53ED105B"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تُقدّم الدراسة نموذجاً بحثياً يمكن أن يُشكّل منطلقاً لدراسات مستقبلية تتناول متغيرات وسيطة أو معدلة أخرى</w:t>
      </w:r>
      <w:r w:rsidRPr="00A37589">
        <w:rPr>
          <w:rFonts w:ascii="Simplified Arabic" w:hAnsi="Simplified Arabic" w:cs="Simplified Arabic"/>
          <w:sz w:val="28"/>
          <w:szCs w:val="28"/>
          <w:lang w:bidi="ar-EG"/>
        </w:rPr>
        <w:t>.</w:t>
      </w:r>
    </w:p>
    <w:p w14:paraId="48996699"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تُثري المكتبة العربية بدراسة تطبيقية على قطاع حيوي ومتنامٍ هو قطاع الشركات التقنية الناشئة في المملكة العربية السعودية</w:t>
      </w:r>
      <w:r w:rsidRPr="00A37589">
        <w:rPr>
          <w:rFonts w:ascii="Simplified Arabic" w:hAnsi="Simplified Arabic" w:cs="Simplified Arabic"/>
          <w:sz w:val="28"/>
          <w:szCs w:val="28"/>
          <w:lang w:bidi="ar-EG"/>
        </w:rPr>
        <w:t>.</w:t>
      </w:r>
    </w:p>
    <w:p w14:paraId="4001D8DE"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b/>
          <w:bCs/>
          <w:sz w:val="28"/>
          <w:szCs w:val="28"/>
          <w:rtl/>
        </w:rPr>
        <w:t>الأهمية العملية (التطبيقية)</w:t>
      </w:r>
      <w:r w:rsidRPr="00A37589">
        <w:rPr>
          <w:rFonts w:ascii="Simplified Arabic" w:hAnsi="Simplified Arabic" w:cs="Simplified Arabic"/>
          <w:b/>
          <w:bCs/>
          <w:sz w:val="28"/>
          <w:szCs w:val="28"/>
          <w:lang w:bidi="ar-EG"/>
        </w:rPr>
        <w:t>:</w:t>
      </w:r>
    </w:p>
    <w:p w14:paraId="21E99BF6"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تُوفّر الدراسة رؤى علمية ومعلومات دقيقة لصانعي القرار في الشركات التقنية الناشئة حول كيفية توظيف التحول الرقمي وإدارة المواهب لتعزيز الولاء الوظيفي</w:t>
      </w:r>
      <w:r w:rsidRPr="00A37589">
        <w:rPr>
          <w:rFonts w:ascii="Simplified Arabic" w:hAnsi="Simplified Arabic" w:cs="Simplified Arabic"/>
          <w:sz w:val="28"/>
          <w:szCs w:val="28"/>
        </w:rPr>
        <w:t>.</w:t>
      </w:r>
    </w:p>
    <w:p w14:paraId="1A10E1A5"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تُسهم نتائج الدراسة في دعم جهود الشركات التقنية الناشئة في بناء استراتيجيات فعّالة للاحتفاظ بكوادرها المتميزة وتقليل معدلات دوران العمل</w:t>
      </w:r>
      <w:r w:rsidRPr="00A37589">
        <w:rPr>
          <w:rFonts w:ascii="Simplified Arabic" w:hAnsi="Simplified Arabic" w:cs="Simplified Arabic"/>
          <w:sz w:val="28"/>
          <w:szCs w:val="28"/>
        </w:rPr>
        <w:t>.</w:t>
      </w:r>
    </w:p>
    <w:p w14:paraId="14AD300A"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تخدم الدراسة توجهات رؤية المملكة العربية السعودية 2030 فيما يتعلق بتطوير القطاع التقني ورعاية المواهب الوطنية</w:t>
      </w:r>
      <w:r w:rsidRPr="00A37589">
        <w:rPr>
          <w:rFonts w:ascii="Simplified Arabic" w:hAnsi="Simplified Arabic" w:cs="Simplified Arabic"/>
          <w:sz w:val="28"/>
          <w:szCs w:val="28"/>
        </w:rPr>
        <w:t>.</w:t>
      </w:r>
    </w:p>
    <w:p w14:paraId="5318B2D8"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تُقدّم الدراسة مؤشرات عملية لإدارات الموارد البشرية في الشركات التقنية الناشئة لتطوير ممارساتها في مجال إدارة المواهب</w:t>
      </w:r>
      <w:r w:rsidRPr="00A37589">
        <w:rPr>
          <w:rFonts w:ascii="Simplified Arabic" w:hAnsi="Simplified Arabic" w:cs="Simplified Arabic"/>
          <w:sz w:val="28"/>
          <w:szCs w:val="28"/>
        </w:rPr>
        <w:t>.</w:t>
      </w:r>
    </w:p>
    <w:p w14:paraId="7591DFAF"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تُفيد نتائج الدراسة الجهات الحكومية المعنية برعاية قطاع الشركات الناشئة، كوزارة الاتصالات وتقنية المعلومات والهيئة السعودية للبيانات والذكاء الاصطناعي</w:t>
      </w:r>
      <w:r w:rsidRPr="00A37589">
        <w:rPr>
          <w:rFonts w:ascii="Simplified Arabic" w:hAnsi="Simplified Arabic" w:cs="Simplified Arabic"/>
          <w:sz w:val="28"/>
          <w:szCs w:val="28"/>
        </w:rPr>
        <w:t>.</w:t>
      </w:r>
    </w:p>
    <w:p w14:paraId="783F26E5" w14:textId="77777777" w:rsidR="00AB1BE5" w:rsidRPr="00A37589" w:rsidRDefault="00AB1BE5">
      <w:pPr>
        <w:numPr>
          <w:ilvl w:val="0"/>
          <w:numId w:val="1"/>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تُوفّر الدراسة أداة قياس علمية يمكن الاستفادة منها في تشخيص واقع الولاء الوظيفي في الشركات التقنية الناشئة</w:t>
      </w:r>
      <w:r w:rsidRPr="00A37589">
        <w:rPr>
          <w:rFonts w:ascii="Simplified Arabic" w:hAnsi="Simplified Arabic" w:cs="Simplified Arabic"/>
          <w:sz w:val="28"/>
          <w:szCs w:val="28"/>
        </w:rPr>
        <w:t>.</w:t>
      </w:r>
    </w:p>
    <w:p w14:paraId="628547FD" w14:textId="49C39CDD" w:rsidR="00AB1BE5" w:rsidRPr="00A37589" w:rsidRDefault="005F0787" w:rsidP="00A3758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3" w:name="_Toc234278690"/>
      <w:r>
        <w:rPr>
          <w:rFonts w:ascii="Simplified Arabic" w:eastAsia="Calibri" w:hAnsi="Simplified Arabic" w:cs="Simplified Arabic" w:hint="cs"/>
          <w:b/>
          <w:bCs/>
          <w:color w:val="000000" w:themeColor="text1"/>
          <w:sz w:val="36"/>
          <w:szCs w:val="36"/>
          <w:rtl/>
          <w:lang w:bidi="ar-EG"/>
        </w:rPr>
        <w:t>4.1</w:t>
      </w:r>
      <w:r w:rsidR="00AB1BE5" w:rsidRPr="00A37589">
        <w:rPr>
          <w:rFonts w:ascii="Simplified Arabic" w:eastAsia="Calibri" w:hAnsi="Simplified Arabic" w:cs="Simplified Arabic"/>
          <w:b/>
          <w:bCs/>
          <w:color w:val="000000" w:themeColor="text1"/>
          <w:sz w:val="36"/>
          <w:szCs w:val="36"/>
          <w:rtl/>
          <w:lang w:bidi="ar-EG"/>
        </w:rPr>
        <w:t xml:space="preserve"> أهداف الدراسة</w:t>
      </w:r>
      <w:bookmarkEnd w:id="13"/>
    </w:p>
    <w:p w14:paraId="39650D3B" w14:textId="77777777" w:rsidR="001469DD" w:rsidRDefault="00AB1BE5" w:rsidP="00A37589">
      <w:pPr>
        <w:spacing w:before="100" w:beforeAutospacing="1" w:after="100" w:afterAutospacing="1" w:line="276" w:lineRule="auto"/>
        <w:jc w:val="both"/>
        <w:rPr>
          <w:rFonts w:ascii="Simplified Arabic" w:hAnsi="Simplified Arabic" w:cs="Simplified Arabic"/>
          <w:b/>
          <w:bCs/>
          <w:sz w:val="28"/>
          <w:szCs w:val="28"/>
          <w:rtl/>
          <w:lang w:bidi="ar-EG"/>
        </w:rPr>
      </w:pPr>
      <w:r w:rsidRPr="00A37589">
        <w:rPr>
          <w:rFonts w:ascii="Simplified Arabic" w:hAnsi="Simplified Arabic" w:cs="Simplified Arabic"/>
          <w:b/>
          <w:bCs/>
          <w:sz w:val="28"/>
          <w:szCs w:val="28"/>
          <w:rtl/>
        </w:rPr>
        <w:t>الهدف الرئيسي</w:t>
      </w:r>
      <w:r w:rsidRPr="00A37589">
        <w:rPr>
          <w:rFonts w:ascii="Simplified Arabic" w:hAnsi="Simplified Arabic" w:cs="Simplified Arabic"/>
          <w:b/>
          <w:bCs/>
          <w:sz w:val="28"/>
          <w:szCs w:val="28"/>
          <w:lang w:bidi="ar-EG"/>
        </w:rPr>
        <w:t>:</w:t>
      </w:r>
    </w:p>
    <w:p w14:paraId="2E27B20B" w14:textId="74B9677F"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تهدف الدراسة إلى دراسة أثر التحول الرقمي بأبعاده (البنية التحتية الرقمية، والاستراتيجية الرقمية، والثقافة الرقمية، والقيادة الرقمية، والكفاءات الرقمية) وإدارة المواهب بأبعادها (استقطاب المواهب، وتطوير المواهب، والاحتفاظ بالمواهب، وتقييم المواهب) على الولاء الوظيفي بأبعاده (الولاء العاطفي، والولاء المعياري، والولاء المستمر) بالشركات التقنية الناشئة في المملكة العربية السعودية</w:t>
      </w:r>
      <w:r w:rsidRPr="00A37589">
        <w:rPr>
          <w:rFonts w:ascii="Simplified Arabic" w:hAnsi="Simplified Arabic" w:cs="Simplified Arabic"/>
          <w:sz w:val="28"/>
          <w:szCs w:val="28"/>
          <w:lang w:bidi="ar-EG"/>
        </w:rPr>
        <w:t>.</w:t>
      </w:r>
    </w:p>
    <w:p w14:paraId="43E61082"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b/>
          <w:bCs/>
          <w:sz w:val="28"/>
          <w:szCs w:val="28"/>
          <w:rtl/>
        </w:rPr>
        <w:t>الأهداف الفرعية</w:t>
      </w:r>
      <w:r w:rsidRPr="00A37589">
        <w:rPr>
          <w:rFonts w:ascii="Simplified Arabic" w:hAnsi="Simplified Arabic" w:cs="Simplified Arabic"/>
          <w:b/>
          <w:bCs/>
          <w:sz w:val="28"/>
          <w:szCs w:val="28"/>
          <w:lang w:bidi="ar-EG"/>
        </w:rPr>
        <w:t>:</w:t>
      </w:r>
    </w:p>
    <w:p w14:paraId="6C143420" w14:textId="77777777" w:rsidR="00AB1BE5" w:rsidRPr="00A37589" w:rsidRDefault="00AB1BE5">
      <w:pPr>
        <w:numPr>
          <w:ilvl w:val="0"/>
          <w:numId w:val="2"/>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التعرف على المستوى الحالي لتطبيق التحول الرقمي بأبعاده المختلفة في الشركات التقنية الناشئة بالمملكة العربية السعودية</w:t>
      </w:r>
      <w:r w:rsidRPr="00A37589">
        <w:rPr>
          <w:rFonts w:ascii="Simplified Arabic" w:hAnsi="Simplified Arabic" w:cs="Simplified Arabic"/>
          <w:sz w:val="28"/>
          <w:szCs w:val="28"/>
          <w:lang w:bidi="ar-EG"/>
        </w:rPr>
        <w:t>.</w:t>
      </w:r>
    </w:p>
    <w:p w14:paraId="5E2094DA" w14:textId="77777777" w:rsidR="00AB1BE5" w:rsidRPr="00A37589" w:rsidRDefault="00AB1BE5">
      <w:pPr>
        <w:numPr>
          <w:ilvl w:val="0"/>
          <w:numId w:val="2"/>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التعرف على واقع ممارسات إدارة المواهب بأبعادها المختلفة في الشركات التقنية الناشئة بالمملكة العربية السعودية</w:t>
      </w:r>
      <w:r w:rsidRPr="00A37589">
        <w:rPr>
          <w:rFonts w:ascii="Simplified Arabic" w:hAnsi="Simplified Arabic" w:cs="Simplified Arabic"/>
          <w:sz w:val="28"/>
          <w:szCs w:val="28"/>
          <w:lang w:bidi="ar-EG"/>
        </w:rPr>
        <w:t>.</w:t>
      </w:r>
    </w:p>
    <w:p w14:paraId="22FB5852" w14:textId="77777777" w:rsidR="00AB1BE5" w:rsidRPr="00A37589" w:rsidRDefault="00AB1BE5">
      <w:pPr>
        <w:numPr>
          <w:ilvl w:val="0"/>
          <w:numId w:val="2"/>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التعرف على مستوى الولاء الوظيفي بأبعاده المختلفة لدى العاملين في الشركات التقنية الناشئة بالمملكة العربية السعودية</w:t>
      </w:r>
      <w:r w:rsidRPr="00A37589">
        <w:rPr>
          <w:rFonts w:ascii="Simplified Arabic" w:hAnsi="Simplified Arabic" w:cs="Simplified Arabic"/>
          <w:sz w:val="28"/>
          <w:szCs w:val="28"/>
          <w:lang w:bidi="ar-EG"/>
        </w:rPr>
        <w:t>.</w:t>
      </w:r>
    </w:p>
    <w:p w14:paraId="1F781590" w14:textId="77777777" w:rsidR="00AB1BE5" w:rsidRPr="00A37589" w:rsidRDefault="00AB1BE5">
      <w:pPr>
        <w:numPr>
          <w:ilvl w:val="0"/>
          <w:numId w:val="2"/>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الكشف عن أثر التحول الرقمي بأبعاده المختلفة على الولاء الوظيفي بأبعاده المختلفة في الشركات التقنية الناشئة</w:t>
      </w:r>
      <w:r w:rsidRPr="00A37589">
        <w:rPr>
          <w:rFonts w:ascii="Simplified Arabic" w:hAnsi="Simplified Arabic" w:cs="Simplified Arabic"/>
          <w:sz w:val="28"/>
          <w:szCs w:val="28"/>
          <w:lang w:bidi="ar-EG"/>
        </w:rPr>
        <w:t>.</w:t>
      </w:r>
    </w:p>
    <w:p w14:paraId="5CDFEBA2" w14:textId="77777777" w:rsidR="00AB1BE5" w:rsidRPr="00A37589" w:rsidRDefault="00AB1BE5">
      <w:pPr>
        <w:numPr>
          <w:ilvl w:val="0"/>
          <w:numId w:val="2"/>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تحديد أثر إدارة المواهب بأبعادها المختلفة على الولاء الوظيفي بأبعاده المختلفة في الشركات التقنية الناشئة</w:t>
      </w:r>
      <w:r w:rsidRPr="00A37589">
        <w:rPr>
          <w:rFonts w:ascii="Simplified Arabic" w:hAnsi="Simplified Arabic" w:cs="Simplified Arabic"/>
          <w:sz w:val="28"/>
          <w:szCs w:val="28"/>
          <w:lang w:bidi="ar-EG"/>
        </w:rPr>
        <w:t>.</w:t>
      </w:r>
    </w:p>
    <w:p w14:paraId="155F9A25" w14:textId="77777777" w:rsidR="00AB1BE5" w:rsidRPr="00A37589" w:rsidRDefault="00AB1BE5">
      <w:pPr>
        <w:numPr>
          <w:ilvl w:val="0"/>
          <w:numId w:val="2"/>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استكشاف الأثر المشترك للتحول الرقمي وإدارة المواهب على الولاء الوظيفي بالشركات التقنية الناشئة</w:t>
      </w:r>
      <w:r w:rsidRPr="00A37589">
        <w:rPr>
          <w:rFonts w:ascii="Simplified Arabic" w:hAnsi="Simplified Arabic" w:cs="Simplified Arabic"/>
          <w:sz w:val="28"/>
          <w:szCs w:val="28"/>
          <w:lang w:bidi="ar-EG"/>
        </w:rPr>
        <w:t>.</w:t>
      </w:r>
    </w:p>
    <w:p w14:paraId="0FA92D53" w14:textId="77777777" w:rsidR="00AB1BE5" w:rsidRPr="00A37589" w:rsidRDefault="00AB1BE5">
      <w:pPr>
        <w:numPr>
          <w:ilvl w:val="0"/>
          <w:numId w:val="2"/>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lastRenderedPageBreak/>
        <w:t>الكشف عن دلالة الفروق في استجابات المبحوثين حول متغيرات الدراسة تُعزى إلى المتغيرات الديموغرافية (النوع، العمر، المؤهل العلمي، سنوات الخبرة، المسمى الوظيفي)</w:t>
      </w:r>
      <w:r w:rsidRPr="00A37589">
        <w:rPr>
          <w:rFonts w:ascii="Simplified Arabic" w:hAnsi="Simplified Arabic" w:cs="Simplified Arabic"/>
          <w:sz w:val="28"/>
          <w:szCs w:val="28"/>
          <w:lang w:bidi="ar-EG"/>
        </w:rPr>
        <w:t>.</w:t>
      </w:r>
    </w:p>
    <w:p w14:paraId="683C7F40" w14:textId="77777777" w:rsidR="00AB1BE5" w:rsidRPr="00A37589" w:rsidRDefault="00AB1BE5">
      <w:pPr>
        <w:numPr>
          <w:ilvl w:val="0"/>
          <w:numId w:val="2"/>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تقديم مقترحات علمية للشركات التقنية الناشئة تُسهم في تعزيز الولاء الوظيفي من خلال التحول الرقمي وإدارة المواهب</w:t>
      </w:r>
      <w:r w:rsidRPr="00A37589">
        <w:rPr>
          <w:rFonts w:ascii="Simplified Arabic" w:hAnsi="Simplified Arabic" w:cs="Simplified Arabic"/>
          <w:sz w:val="28"/>
          <w:szCs w:val="28"/>
          <w:lang w:bidi="ar-EG"/>
        </w:rPr>
        <w:t>.</w:t>
      </w:r>
    </w:p>
    <w:p w14:paraId="0A14BE76" w14:textId="6CA26A5C" w:rsidR="00AB1BE5" w:rsidRPr="00A37589" w:rsidRDefault="005F0787" w:rsidP="00A3758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4" w:name="_Toc234278691"/>
      <w:r>
        <w:rPr>
          <w:rFonts w:ascii="Simplified Arabic" w:eastAsia="Calibri" w:hAnsi="Simplified Arabic" w:cs="Simplified Arabic" w:hint="cs"/>
          <w:b/>
          <w:bCs/>
          <w:color w:val="000000" w:themeColor="text1"/>
          <w:sz w:val="36"/>
          <w:szCs w:val="36"/>
          <w:rtl/>
          <w:lang w:bidi="ar-EG"/>
        </w:rPr>
        <w:t>5.1</w:t>
      </w:r>
      <w:r w:rsidR="00AB1BE5" w:rsidRPr="00A37589">
        <w:rPr>
          <w:rFonts w:ascii="Simplified Arabic" w:eastAsia="Calibri" w:hAnsi="Simplified Arabic" w:cs="Simplified Arabic"/>
          <w:b/>
          <w:bCs/>
          <w:color w:val="000000" w:themeColor="text1"/>
          <w:sz w:val="36"/>
          <w:szCs w:val="36"/>
          <w:rtl/>
          <w:lang w:bidi="ar-EG"/>
        </w:rPr>
        <w:t xml:space="preserve"> أسئلة الدراسة</w:t>
      </w:r>
      <w:bookmarkEnd w:id="14"/>
    </w:p>
    <w:p w14:paraId="12B5A084" w14:textId="77777777" w:rsidR="001469DD" w:rsidRDefault="00AB1BE5" w:rsidP="00A37589">
      <w:pPr>
        <w:spacing w:before="100" w:beforeAutospacing="1" w:after="100" w:afterAutospacing="1" w:line="276" w:lineRule="auto"/>
        <w:jc w:val="both"/>
        <w:rPr>
          <w:rFonts w:ascii="Simplified Arabic" w:hAnsi="Simplified Arabic" w:cs="Simplified Arabic"/>
          <w:b/>
          <w:bCs/>
          <w:sz w:val="28"/>
          <w:szCs w:val="28"/>
          <w:rtl/>
          <w:lang w:bidi="ar-EG"/>
        </w:rPr>
      </w:pPr>
      <w:r w:rsidRPr="00A37589">
        <w:rPr>
          <w:rFonts w:ascii="Simplified Arabic" w:hAnsi="Simplified Arabic" w:cs="Simplified Arabic"/>
          <w:b/>
          <w:bCs/>
          <w:sz w:val="28"/>
          <w:szCs w:val="28"/>
          <w:rtl/>
        </w:rPr>
        <w:t>السؤال الرئيسي</w:t>
      </w:r>
      <w:r w:rsidRPr="00A37589">
        <w:rPr>
          <w:rFonts w:ascii="Simplified Arabic" w:hAnsi="Simplified Arabic" w:cs="Simplified Arabic"/>
          <w:b/>
          <w:bCs/>
          <w:sz w:val="28"/>
          <w:szCs w:val="28"/>
          <w:lang w:bidi="ar-EG"/>
        </w:rPr>
        <w:t>:</w:t>
      </w:r>
    </w:p>
    <w:p w14:paraId="58DB69D7" w14:textId="5CDBA565"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ما أثر التحول الرقمي وإدارة المواهب على الولاء الوظيفي بالشركات التقنية الناشئة في المملكة العربية السعودية؟</w:t>
      </w:r>
    </w:p>
    <w:p w14:paraId="7478470D"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b/>
          <w:bCs/>
          <w:sz w:val="28"/>
          <w:szCs w:val="28"/>
          <w:rtl/>
        </w:rPr>
        <w:t>الأسئلة الفرعية</w:t>
      </w:r>
      <w:r w:rsidRPr="00A37589">
        <w:rPr>
          <w:rFonts w:ascii="Simplified Arabic" w:hAnsi="Simplified Arabic" w:cs="Simplified Arabic"/>
          <w:b/>
          <w:bCs/>
          <w:sz w:val="28"/>
          <w:szCs w:val="28"/>
          <w:lang w:bidi="ar-EG"/>
        </w:rPr>
        <w:t>:</w:t>
      </w:r>
    </w:p>
    <w:p w14:paraId="454AB7C8" w14:textId="77777777" w:rsidR="00AB1BE5" w:rsidRPr="00A37589" w:rsidRDefault="00AB1BE5">
      <w:pPr>
        <w:numPr>
          <w:ilvl w:val="0"/>
          <w:numId w:val="3"/>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ما مستوى تطبيق التحول الرقمي بأبعاده (البنية التحتية الرقمية، والاستراتيجية الرقمية، والثقافة الرقمية، والقيادة الرقمية، والكفاءات الرقمية) في الشركات التقنية الناشئة بالمملكة العربية السعودية؟</w:t>
      </w:r>
    </w:p>
    <w:p w14:paraId="5E794973" w14:textId="77777777" w:rsidR="00AB1BE5" w:rsidRPr="00A37589" w:rsidRDefault="00AB1BE5">
      <w:pPr>
        <w:numPr>
          <w:ilvl w:val="0"/>
          <w:numId w:val="3"/>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ما واقع ممارسات إدارة المواهب بأبعادها (استقطاب المواهب، وتطوير المواهب، والاحتفاظ بالمواهب، وتقييم المواهب) في الشركات التقنية الناشئة بالمملكة العربية السعودية؟</w:t>
      </w:r>
    </w:p>
    <w:p w14:paraId="6E0399CA" w14:textId="77777777" w:rsidR="00AB1BE5" w:rsidRPr="00A37589" w:rsidRDefault="00AB1BE5">
      <w:pPr>
        <w:numPr>
          <w:ilvl w:val="0"/>
          <w:numId w:val="3"/>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ما مستوى الولاء الوظيفي بأبعاده (الولاء العاطفي، والولاء المعياري، والولاء المستمر) لدى العاملين في الشركات التقنية الناشئة بالمملكة العربية السعودية؟</w:t>
      </w:r>
    </w:p>
    <w:p w14:paraId="1B2FD27F" w14:textId="77777777" w:rsidR="00AB1BE5" w:rsidRPr="00A37589" w:rsidRDefault="00AB1BE5">
      <w:pPr>
        <w:numPr>
          <w:ilvl w:val="0"/>
          <w:numId w:val="3"/>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ما أثر التحول الرقمي بأبعاده المختلفة على الولاء الوظيفي بأبعاده المختلفة في الشركات التقنية الناشئة؟</w:t>
      </w:r>
    </w:p>
    <w:p w14:paraId="14AB0C36" w14:textId="77777777" w:rsidR="00AB1BE5" w:rsidRPr="00A37589" w:rsidRDefault="00AB1BE5">
      <w:pPr>
        <w:numPr>
          <w:ilvl w:val="0"/>
          <w:numId w:val="3"/>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ما أثر إدارة المواهب بأبعادها المختلفة على الولاء الوظيفي بأبعاده المختلفة في الشركات التقنية الناشئة؟</w:t>
      </w:r>
    </w:p>
    <w:p w14:paraId="01001E55" w14:textId="77777777" w:rsidR="00AB1BE5" w:rsidRPr="00A37589" w:rsidRDefault="00AB1BE5">
      <w:pPr>
        <w:numPr>
          <w:ilvl w:val="0"/>
          <w:numId w:val="3"/>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ما الأثر المشترك للتحول الرقمي وإدارة المواهب على الولاء الوظيفي بالشركات التقنية الناشئة بالمملكة العربية السعودية؟</w:t>
      </w:r>
    </w:p>
    <w:p w14:paraId="7C984485" w14:textId="77777777" w:rsidR="00AB1BE5" w:rsidRDefault="00AB1BE5">
      <w:pPr>
        <w:numPr>
          <w:ilvl w:val="0"/>
          <w:numId w:val="3"/>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هل توجد فروق ذات دلالة إحصائية في استجابات المبحوثين حول متغيرات الدراسة تُعزى إلى المتغيرات الديموغرافية (النوع، العمر، المؤهل العلمي، سنوات الخبرة، المسمى الوظيفي)؟</w:t>
      </w:r>
    </w:p>
    <w:p w14:paraId="6E0D7469" w14:textId="1537E392" w:rsidR="001469DD" w:rsidRDefault="001469DD">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0A022E2" w14:textId="10A1FD97" w:rsidR="00AB1BE5" w:rsidRPr="00A37589" w:rsidRDefault="005F0787" w:rsidP="00A3758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5" w:name="_Toc234278692"/>
      <w:r>
        <w:rPr>
          <w:rFonts w:ascii="Simplified Arabic" w:eastAsia="Calibri" w:hAnsi="Simplified Arabic" w:cs="Simplified Arabic" w:hint="cs"/>
          <w:b/>
          <w:bCs/>
          <w:color w:val="000000" w:themeColor="text1"/>
          <w:sz w:val="36"/>
          <w:szCs w:val="36"/>
          <w:rtl/>
          <w:lang w:bidi="ar-EG"/>
        </w:rPr>
        <w:lastRenderedPageBreak/>
        <w:t>6.1</w:t>
      </w:r>
      <w:r w:rsidR="00AB1BE5" w:rsidRPr="00A37589">
        <w:rPr>
          <w:rFonts w:ascii="Simplified Arabic" w:eastAsia="Calibri" w:hAnsi="Simplified Arabic" w:cs="Simplified Arabic"/>
          <w:b/>
          <w:bCs/>
          <w:color w:val="000000" w:themeColor="text1"/>
          <w:sz w:val="36"/>
          <w:szCs w:val="36"/>
          <w:rtl/>
          <w:lang w:bidi="ar-EG"/>
        </w:rPr>
        <w:t xml:space="preserve"> فروض الدراسة</w:t>
      </w:r>
      <w:bookmarkEnd w:id="15"/>
    </w:p>
    <w:p w14:paraId="674371D6" w14:textId="77777777" w:rsidR="001469DD" w:rsidRDefault="00AB1BE5" w:rsidP="001469DD">
      <w:pPr>
        <w:spacing w:before="100" w:beforeAutospacing="1" w:after="100" w:afterAutospacing="1" w:line="276" w:lineRule="auto"/>
        <w:jc w:val="both"/>
        <w:rPr>
          <w:rFonts w:ascii="Simplified Arabic" w:hAnsi="Simplified Arabic" w:cs="Simplified Arabic"/>
          <w:b/>
          <w:bCs/>
          <w:sz w:val="28"/>
          <w:szCs w:val="28"/>
          <w:rtl/>
          <w:lang w:bidi="ar-EG"/>
        </w:rPr>
      </w:pPr>
      <w:r w:rsidRPr="00A37589">
        <w:rPr>
          <w:rFonts w:ascii="Simplified Arabic" w:hAnsi="Simplified Arabic" w:cs="Simplified Arabic"/>
          <w:b/>
          <w:bCs/>
          <w:sz w:val="28"/>
          <w:szCs w:val="28"/>
          <w:rtl/>
        </w:rPr>
        <w:t>الفرض الرئيسي الأول</w:t>
      </w:r>
      <w:r w:rsidRPr="00A37589">
        <w:rPr>
          <w:rFonts w:ascii="Simplified Arabic" w:hAnsi="Simplified Arabic" w:cs="Simplified Arabic"/>
          <w:b/>
          <w:bCs/>
          <w:sz w:val="28"/>
          <w:szCs w:val="28"/>
          <w:lang w:bidi="ar-EG"/>
        </w:rPr>
        <w:t>:</w:t>
      </w:r>
    </w:p>
    <w:p w14:paraId="2A671F48" w14:textId="217313A2"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عند مستوى معنوية</w:t>
      </w:r>
      <w:r w:rsidRPr="00A37589">
        <w:rPr>
          <w:rFonts w:ascii="Simplified Arabic" w:hAnsi="Simplified Arabic" w:cs="Simplified Arabic"/>
          <w:sz w:val="28"/>
          <w:szCs w:val="28"/>
          <w:lang w:bidi="ar-EG"/>
        </w:rPr>
        <w:t xml:space="preserve"> (</w:t>
      </w:r>
      <w:r w:rsidRPr="00A37589">
        <w:rPr>
          <w:rFonts w:ascii="Cambria" w:hAnsi="Cambria" w:cs="Cambria"/>
          <w:sz w:val="28"/>
          <w:szCs w:val="28"/>
          <w:lang w:bidi="ar-EG"/>
        </w:rPr>
        <w:t>α</w:t>
      </w:r>
      <w:r w:rsidRPr="00A37589">
        <w:rPr>
          <w:rFonts w:ascii="Simplified Arabic" w:hAnsi="Simplified Arabic" w:cs="Simplified Arabic"/>
          <w:sz w:val="28"/>
          <w:szCs w:val="28"/>
          <w:lang w:bidi="ar-EG"/>
        </w:rPr>
        <w:t xml:space="preserve"> </w:t>
      </w:r>
      <w:r w:rsidRPr="00A37589">
        <w:rPr>
          <w:rFonts w:ascii="Cambria Math" w:hAnsi="Cambria Math" w:cs="Cambria Math"/>
          <w:sz w:val="28"/>
          <w:szCs w:val="28"/>
          <w:lang w:bidi="ar-EG"/>
        </w:rPr>
        <w:t>≤</w:t>
      </w:r>
      <w:r w:rsidRPr="00A37589">
        <w:rPr>
          <w:rFonts w:ascii="Simplified Arabic" w:hAnsi="Simplified Arabic" w:cs="Simplified Arabic"/>
          <w:sz w:val="28"/>
          <w:szCs w:val="28"/>
          <w:lang w:bidi="ar-EG"/>
        </w:rPr>
        <w:t xml:space="preserve"> 0.05) </w:t>
      </w:r>
      <w:r w:rsidRPr="00A37589">
        <w:rPr>
          <w:rFonts w:ascii="Simplified Arabic" w:hAnsi="Simplified Arabic" w:cs="Simplified Arabic"/>
          <w:sz w:val="28"/>
          <w:szCs w:val="28"/>
          <w:rtl/>
        </w:rPr>
        <w:t>للتحول الرقمي بأبعاده (البنية التحتية الرقمية، والاستراتيجية الرقمية، والثقافة الرقمية، والقيادة الرقمية، والكفاءات الرقمية) على الولاء الوظيفي بالشركات التقنية الناشئة في المملكة العربية السعودية</w:t>
      </w:r>
      <w:r w:rsidRPr="00A37589">
        <w:rPr>
          <w:rFonts w:ascii="Simplified Arabic" w:hAnsi="Simplified Arabic" w:cs="Simplified Arabic"/>
          <w:sz w:val="28"/>
          <w:szCs w:val="28"/>
          <w:lang w:bidi="ar-EG"/>
        </w:rPr>
        <w:t>.</w:t>
      </w:r>
    </w:p>
    <w:p w14:paraId="5127C534" w14:textId="77777777" w:rsidR="00AB1BE5" w:rsidRPr="001469DD" w:rsidRDefault="00AB1BE5" w:rsidP="00A37589">
      <w:pPr>
        <w:spacing w:before="100" w:beforeAutospacing="1" w:after="100" w:afterAutospacing="1" w:line="276" w:lineRule="auto"/>
        <w:jc w:val="both"/>
        <w:rPr>
          <w:rFonts w:ascii="Simplified Arabic" w:hAnsi="Simplified Arabic" w:cs="Simplified Arabic"/>
          <w:b/>
          <w:bCs/>
          <w:sz w:val="28"/>
          <w:szCs w:val="28"/>
          <w:lang w:bidi="ar-EG"/>
        </w:rPr>
      </w:pPr>
      <w:r w:rsidRPr="001469DD">
        <w:rPr>
          <w:rFonts w:ascii="Simplified Arabic" w:hAnsi="Simplified Arabic" w:cs="Simplified Arabic"/>
          <w:b/>
          <w:bCs/>
          <w:i/>
          <w:iCs/>
          <w:sz w:val="28"/>
          <w:szCs w:val="28"/>
          <w:rtl/>
        </w:rPr>
        <w:t>ويتفرع منه الفروض الفرعية التالية</w:t>
      </w:r>
      <w:r w:rsidRPr="001469DD">
        <w:rPr>
          <w:rFonts w:ascii="Simplified Arabic" w:hAnsi="Simplified Arabic" w:cs="Simplified Arabic"/>
          <w:b/>
          <w:bCs/>
          <w:i/>
          <w:iCs/>
          <w:sz w:val="28"/>
          <w:szCs w:val="28"/>
          <w:lang w:bidi="ar-EG"/>
        </w:rPr>
        <w:t>:</w:t>
      </w:r>
    </w:p>
    <w:p w14:paraId="7DC530A2" w14:textId="77777777" w:rsidR="00AB1BE5" w:rsidRPr="00A37589" w:rsidRDefault="00AB1BE5">
      <w:pPr>
        <w:numPr>
          <w:ilvl w:val="0"/>
          <w:numId w:val="4"/>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للبنية التحتية الرقمية على الولاء الوظيفي بالشركات التقنية الناشئة</w:t>
      </w:r>
      <w:r w:rsidRPr="00A37589">
        <w:rPr>
          <w:rFonts w:ascii="Simplified Arabic" w:hAnsi="Simplified Arabic" w:cs="Simplified Arabic"/>
          <w:sz w:val="28"/>
          <w:szCs w:val="28"/>
          <w:lang w:bidi="ar-EG"/>
        </w:rPr>
        <w:t>.</w:t>
      </w:r>
    </w:p>
    <w:p w14:paraId="10E7A167" w14:textId="77777777" w:rsidR="00AB1BE5" w:rsidRPr="00A37589" w:rsidRDefault="00AB1BE5">
      <w:pPr>
        <w:numPr>
          <w:ilvl w:val="0"/>
          <w:numId w:val="4"/>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للاستراتيجية الرقمية على الولاء الوظيفي بالشركات التقنية الناشئة</w:t>
      </w:r>
      <w:r w:rsidRPr="00A37589">
        <w:rPr>
          <w:rFonts w:ascii="Simplified Arabic" w:hAnsi="Simplified Arabic" w:cs="Simplified Arabic"/>
          <w:sz w:val="28"/>
          <w:szCs w:val="28"/>
          <w:lang w:bidi="ar-EG"/>
        </w:rPr>
        <w:t>.</w:t>
      </w:r>
    </w:p>
    <w:p w14:paraId="2127AB49" w14:textId="77777777" w:rsidR="00AB1BE5" w:rsidRPr="00A37589" w:rsidRDefault="00AB1BE5">
      <w:pPr>
        <w:numPr>
          <w:ilvl w:val="0"/>
          <w:numId w:val="4"/>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للثقافة الرقمية على الولاء الوظيفي بالشركات التقنية الناشئة</w:t>
      </w:r>
      <w:r w:rsidRPr="00A37589">
        <w:rPr>
          <w:rFonts w:ascii="Simplified Arabic" w:hAnsi="Simplified Arabic" w:cs="Simplified Arabic"/>
          <w:sz w:val="28"/>
          <w:szCs w:val="28"/>
          <w:lang w:bidi="ar-EG"/>
        </w:rPr>
        <w:t>.</w:t>
      </w:r>
    </w:p>
    <w:p w14:paraId="09E2D236" w14:textId="77777777" w:rsidR="00AB1BE5" w:rsidRPr="00A37589" w:rsidRDefault="00AB1BE5">
      <w:pPr>
        <w:numPr>
          <w:ilvl w:val="0"/>
          <w:numId w:val="4"/>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للقيادة الرقمية على الولاء الوظيفي بالشركات التقنية الناشئة</w:t>
      </w:r>
      <w:r w:rsidRPr="00A37589">
        <w:rPr>
          <w:rFonts w:ascii="Simplified Arabic" w:hAnsi="Simplified Arabic" w:cs="Simplified Arabic"/>
          <w:sz w:val="28"/>
          <w:szCs w:val="28"/>
          <w:lang w:bidi="ar-EG"/>
        </w:rPr>
        <w:t>.</w:t>
      </w:r>
    </w:p>
    <w:p w14:paraId="5DA7080E" w14:textId="77777777" w:rsidR="00AB1BE5" w:rsidRPr="00A37589" w:rsidRDefault="00AB1BE5">
      <w:pPr>
        <w:numPr>
          <w:ilvl w:val="0"/>
          <w:numId w:val="4"/>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للكفاءات الرقمية على الولاء الوظيفي بالشركات التقنية الناشئة</w:t>
      </w:r>
      <w:r w:rsidRPr="00A37589">
        <w:rPr>
          <w:rFonts w:ascii="Simplified Arabic" w:hAnsi="Simplified Arabic" w:cs="Simplified Arabic"/>
          <w:sz w:val="28"/>
          <w:szCs w:val="28"/>
          <w:lang w:bidi="ar-EG"/>
        </w:rPr>
        <w:t>.</w:t>
      </w:r>
    </w:p>
    <w:p w14:paraId="2C65ECA0" w14:textId="77777777" w:rsidR="001469DD" w:rsidRDefault="00AB1BE5" w:rsidP="00A37589">
      <w:pPr>
        <w:spacing w:before="100" w:beforeAutospacing="1" w:after="100" w:afterAutospacing="1" w:line="276" w:lineRule="auto"/>
        <w:jc w:val="both"/>
        <w:rPr>
          <w:rFonts w:ascii="Simplified Arabic" w:hAnsi="Simplified Arabic" w:cs="Simplified Arabic"/>
          <w:b/>
          <w:bCs/>
          <w:sz w:val="28"/>
          <w:szCs w:val="28"/>
          <w:rtl/>
          <w:lang w:bidi="ar-EG"/>
        </w:rPr>
      </w:pPr>
      <w:r w:rsidRPr="00A37589">
        <w:rPr>
          <w:rFonts w:ascii="Simplified Arabic" w:hAnsi="Simplified Arabic" w:cs="Simplified Arabic"/>
          <w:b/>
          <w:bCs/>
          <w:sz w:val="28"/>
          <w:szCs w:val="28"/>
          <w:rtl/>
        </w:rPr>
        <w:t>الفرض الرئيسي الثاني</w:t>
      </w:r>
      <w:r w:rsidRPr="00A37589">
        <w:rPr>
          <w:rFonts w:ascii="Simplified Arabic" w:hAnsi="Simplified Arabic" w:cs="Simplified Arabic"/>
          <w:b/>
          <w:bCs/>
          <w:sz w:val="28"/>
          <w:szCs w:val="28"/>
          <w:lang w:bidi="ar-EG"/>
        </w:rPr>
        <w:t>:</w:t>
      </w:r>
    </w:p>
    <w:p w14:paraId="6BECE1E4" w14:textId="5D337164"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عند مستوى معنوية</w:t>
      </w:r>
      <w:r w:rsidRPr="00A37589">
        <w:rPr>
          <w:rFonts w:ascii="Simplified Arabic" w:hAnsi="Simplified Arabic" w:cs="Simplified Arabic"/>
          <w:sz w:val="28"/>
          <w:szCs w:val="28"/>
          <w:lang w:bidi="ar-EG"/>
        </w:rPr>
        <w:t xml:space="preserve"> (</w:t>
      </w:r>
      <w:r w:rsidRPr="00A37589">
        <w:rPr>
          <w:rFonts w:ascii="Cambria" w:hAnsi="Cambria" w:cs="Cambria"/>
          <w:sz w:val="28"/>
          <w:szCs w:val="28"/>
          <w:lang w:bidi="ar-EG"/>
        </w:rPr>
        <w:t>α</w:t>
      </w:r>
      <w:r w:rsidRPr="00A37589">
        <w:rPr>
          <w:rFonts w:ascii="Simplified Arabic" w:hAnsi="Simplified Arabic" w:cs="Simplified Arabic"/>
          <w:sz w:val="28"/>
          <w:szCs w:val="28"/>
          <w:lang w:bidi="ar-EG"/>
        </w:rPr>
        <w:t xml:space="preserve"> </w:t>
      </w:r>
      <w:r w:rsidRPr="00A37589">
        <w:rPr>
          <w:rFonts w:ascii="Cambria Math" w:hAnsi="Cambria Math" w:cs="Cambria Math"/>
          <w:sz w:val="28"/>
          <w:szCs w:val="28"/>
          <w:lang w:bidi="ar-EG"/>
        </w:rPr>
        <w:t>≤</w:t>
      </w:r>
      <w:r w:rsidRPr="00A37589">
        <w:rPr>
          <w:rFonts w:ascii="Simplified Arabic" w:hAnsi="Simplified Arabic" w:cs="Simplified Arabic"/>
          <w:sz w:val="28"/>
          <w:szCs w:val="28"/>
          <w:lang w:bidi="ar-EG"/>
        </w:rPr>
        <w:t xml:space="preserve"> 0.05) </w:t>
      </w:r>
      <w:r w:rsidRPr="00A37589">
        <w:rPr>
          <w:rFonts w:ascii="Simplified Arabic" w:hAnsi="Simplified Arabic" w:cs="Simplified Arabic"/>
          <w:sz w:val="28"/>
          <w:szCs w:val="28"/>
          <w:rtl/>
        </w:rPr>
        <w:t>لإدارة المواهب بأبعادها (استقطاب المواهب، وتطوير المواهب، والاحتفاظ بالمواهب، وتقييم المواهب) على الولاء الوظيفي بالشركات التقنية الناشئة في المملكة العربية السعودية</w:t>
      </w:r>
      <w:r w:rsidRPr="00A37589">
        <w:rPr>
          <w:rFonts w:ascii="Simplified Arabic" w:hAnsi="Simplified Arabic" w:cs="Simplified Arabic"/>
          <w:sz w:val="28"/>
          <w:szCs w:val="28"/>
          <w:lang w:bidi="ar-EG"/>
        </w:rPr>
        <w:t>.</w:t>
      </w:r>
    </w:p>
    <w:p w14:paraId="79A2DBBD" w14:textId="77777777" w:rsidR="00AB1BE5" w:rsidRPr="001469DD" w:rsidRDefault="00AB1BE5" w:rsidP="00A37589">
      <w:pPr>
        <w:spacing w:before="100" w:beforeAutospacing="1" w:after="100" w:afterAutospacing="1" w:line="276" w:lineRule="auto"/>
        <w:jc w:val="both"/>
        <w:rPr>
          <w:rFonts w:ascii="Simplified Arabic" w:hAnsi="Simplified Arabic" w:cs="Simplified Arabic"/>
          <w:b/>
          <w:bCs/>
          <w:sz w:val="28"/>
          <w:szCs w:val="28"/>
          <w:lang w:bidi="ar-EG"/>
        </w:rPr>
      </w:pPr>
      <w:r w:rsidRPr="001469DD">
        <w:rPr>
          <w:rFonts w:ascii="Simplified Arabic" w:hAnsi="Simplified Arabic" w:cs="Simplified Arabic"/>
          <w:b/>
          <w:bCs/>
          <w:i/>
          <w:iCs/>
          <w:sz w:val="28"/>
          <w:szCs w:val="28"/>
          <w:rtl/>
        </w:rPr>
        <w:t>ويتفرع منه الفروض الفرعية التالية</w:t>
      </w:r>
      <w:r w:rsidRPr="001469DD">
        <w:rPr>
          <w:rFonts w:ascii="Simplified Arabic" w:hAnsi="Simplified Arabic" w:cs="Simplified Arabic"/>
          <w:b/>
          <w:bCs/>
          <w:i/>
          <w:iCs/>
          <w:sz w:val="28"/>
          <w:szCs w:val="28"/>
          <w:lang w:bidi="ar-EG"/>
        </w:rPr>
        <w:t>:</w:t>
      </w:r>
    </w:p>
    <w:p w14:paraId="77D4E1DC" w14:textId="77777777" w:rsidR="00AB1BE5" w:rsidRPr="00A37589" w:rsidRDefault="00AB1BE5">
      <w:pPr>
        <w:numPr>
          <w:ilvl w:val="0"/>
          <w:numId w:val="5"/>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لاستقطاب المواهب على الولاء الوظيفي بالشركات التقنية الناشئة</w:t>
      </w:r>
      <w:r w:rsidRPr="00A37589">
        <w:rPr>
          <w:rFonts w:ascii="Simplified Arabic" w:hAnsi="Simplified Arabic" w:cs="Simplified Arabic"/>
          <w:sz w:val="28"/>
          <w:szCs w:val="28"/>
          <w:lang w:bidi="ar-EG"/>
        </w:rPr>
        <w:t>.</w:t>
      </w:r>
    </w:p>
    <w:p w14:paraId="3CE9AD08" w14:textId="77777777" w:rsidR="00AB1BE5" w:rsidRPr="00A37589" w:rsidRDefault="00AB1BE5">
      <w:pPr>
        <w:numPr>
          <w:ilvl w:val="0"/>
          <w:numId w:val="5"/>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لتطوير المواهب على الولاء الوظيفي بالشركات التقنية الناشئة</w:t>
      </w:r>
      <w:r w:rsidRPr="00A37589">
        <w:rPr>
          <w:rFonts w:ascii="Simplified Arabic" w:hAnsi="Simplified Arabic" w:cs="Simplified Arabic"/>
          <w:sz w:val="28"/>
          <w:szCs w:val="28"/>
          <w:lang w:bidi="ar-EG"/>
        </w:rPr>
        <w:t>.</w:t>
      </w:r>
    </w:p>
    <w:p w14:paraId="6B9FEC56" w14:textId="77777777" w:rsidR="00AB1BE5" w:rsidRPr="00A37589" w:rsidRDefault="00AB1BE5">
      <w:pPr>
        <w:numPr>
          <w:ilvl w:val="0"/>
          <w:numId w:val="5"/>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للاحتفاظ بالمواهب على الولاء الوظيفي بالشركات التقنية الناشئة</w:t>
      </w:r>
      <w:r w:rsidRPr="00A37589">
        <w:rPr>
          <w:rFonts w:ascii="Simplified Arabic" w:hAnsi="Simplified Arabic" w:cs="Simplified Arabic"/>
          <w:sz w:val="28"/>
          <w:szCs w:val="28"/>
          <w:lang w:bidi="ar-EG"/>
        </w:rPr>
        <w:t>.</w:t>
      </w:r>
    </w:p>
    <w:p w14:paraId="713A96AD" w14:textId="77777777" w:rsidR="00AB1BE5" w:rsidRPr="00A37589" w:rsidRDefault="00AB1BE5">
      <w:pPr>
        <w:numPr>
          <w:ilvl w:val="0"/>
          <w:numId w:val="5"/>
        </w:numPr>
        <w:spacing w:before="100" w:beforeAutospacing="1" w:after="100" w:afterAutospacing="1" w:line="276" w:lineRule="auto"/>
        <w:jc w:val="both"/>
        <w:rPr>
          <w:rFonts w:ascii="Simplified Arabic" w:hAnsi="Simplified Arabic" w:cs="Simplified Arabic"/>
          <w:sz w:val="28"/>
          <w:szCs w:val="28"/>
          <w:lang w:bidi="ar-EG"/>
        </w:rPr>
      </w:pPr>
      <w:r w:rsidRPr="00A37589">
        <w:rPr>
          <w:rFonts w:ascii="Simplified Arabic" w:hAnsi="Simplified Arabic" w:cs="Simplified Arabic"/>
          <w:sz w:val="28"/>
          <w:szCs w:val="28"/>
          <w:rtl/>
        </w:rPr>
        <w:t>يوجد أثر ذو دلالة إحصائية لتقييم المواهب على الولاء الوظيفي بالشركات التقنية الناشئة</w:t>
      </w:r>
      <w:r w:rsidRPr="00A37589">
        <w:rPr>
          <w:rFonts w:ascii="Simplified Arabic" w:hAnsi="Simplified Arabic" w:cs="Simplified Arabic"/>
          <w:sz w:val="28"/>
          <w:szCs w:val="28"/>
          <w:lang w:bidi="ar-EG"/>
        </w:rPr>
        <w:t>.</w:t>
      </w:r>
    </w:p>
    <w:p w14:paraId="308C7E45" w14:textId="77777777" w:rsidR="00E21472" w:rsidRPr="00A37589" w:rsidRDefault="00E21472" w:rsidP="00A37589">
      <w:pPr>
        <w:spacing w:before="100" w:beforeAutospacing="1" w:after="100" w:afterAutospacing="1" w:line="276" w:lineRule="auto"/>
        <w:jc w:val="both"/>
        <w:rPr>
          <w:rFonts w:ascii="Simplified Arabic" w:hAnsi="Simplified Arabic" w:cs="Simplified Arabic"/>
          <w:sz w:val="28"/>
          <w:szCs w:val="28"/>
          <w:rtl/>
        </w:rPr>
      </w:pPr>
    </w:p>
    <w:p w14:paraId="42ADAB53" w14:textId="0967C075" w:rsidR="00AB1BE5" w:rsidRPr="00A37589" w:rsidRDefault="005F0787" w:rsidP="00A3758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6" w:name="_Toc234278693"/>
      <w:r>
        <w:rPr>
          <w:rFonts w:ascii="Simplified Arabic" w:eastAsia="Calibri" w:hAnsi="Simplified Arabic" w:cs="Simplified Arabic" w:hint="cs"/>
          <w:b/>
          <w:bCs/>
          <w:color w:val="000000" w:themeColor="text1"/>
          <w:sz w:val="36"/>
          <w:szCs w:val="36"/>
          <w:rtl/>
          <w:lang w:bidi="ar-EG"/>
        </w:rPr>
        <w:lastRenderedPageBreak/>
        <w:t xml:space="preserve">7.1 </w:t>
      </w:r>
      <w:r w:rsidR="00AB1BE5" w:rsidRPr="00A37589">
        <w:rPr>
          <w:rFonts w:ascii="Simplified Arabic" w:eastAsia="Calibri" w:hAnsi="Simplified Arabic" w:cs="Simplified Arabic"/>
          <w:b/>
          <w:bCs/>
          <w:color w:val="000000" w:themeColor="text1"/>
          <w:sz w:val="36"/>
          <w:szCs w:val="36"/>
          <w:rtl/>
          <w:lang w:bidi="ar-EG"/>
        </w:rPr>
        <w:t>الدراسات السابقة</w:t>
      </w:r>
      <w:bookmarkEnd w:id="16"/>
    </w:p>
    <w:p w14:paraId="7007CC06"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المحور الأول: الدراسات المتعلقة بالمتغير المستقل (التحول الرقمي وإدارة المواهب) وعلاقته بمتغيرات أخرى</w:t>
      </w:r>
    </w:p>
    <w:p w14:paraId="762AFB7C"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أولاً: الدراسات العربية</w:t>
      </w:r>
    </w:p>
    <w:p w14:paraId="7E8C2CAE" w14:textId="629B0226" w:rsidR="001469DD" w:rsidRPr="001469DD" w:rsidRDefault="00AB1BE5">
      <w:pPr>
        <w:pStyle w:val="a6"/>
        <w:numPr>
          <w:ilvl w:val="0"/>
          <w:numId w:val="6"/>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 حسين وعبدالهادي وجمال (2023): “أثر التحول الرقمي على الأداء التنظيمي: دراسة تطبيقية على الشركة المصرية للاتصالات</w:t>
      </w:r>
      <w:r w:rsidRPr="001469DD">
        <w:rPr>
          <w:rFonts w:ascii="Simplified Arabic" w:hAnsi="Simplified Arabic" w:cs="Simplified Arabic"/>
          <w:b/>
          <w:bCs/>
          <w:sz w:val="28"/>
          <w:szCs w:val="28"/>
        </w:rPr>
        <w:t>”</w:t>
      </w:r>
    </w:p>
    <w:p w14:paraId="69FEC73E" w14:textId="4C7FE780"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أثر التحول الرقمي بأبعاده (البنية التحتية الرقمية، والاستراتيجية الرقمية، والثقافة الرقمية، والقيادة الرقمية) على الأداء التنظيمي في الشركة المصرية للاتصالات. واستخدمت الدراسة المنهج الوصفي التحليلي، وتكونت العينة من (384) مفردة من العاملين بالشركة. وتوصلت نتائج الدراسة إلى وجود أثر إيجابي ذي دلالة إحصائية للتحول الرقمي بأبعاده على الأداء التنظيمي. وأوصت الدراسة بضرورة تعزيز البنية التحتية الرقمية وتبني ثقافة تنظيمية داعمة للتحول الرقمي</w:t>
      </w:r>
      <w:r w:rsidRPr="001469DD">
        <w:rPr>
          <w:rFonts w:ascii="Simplified Arabic" w:hAnsi="Simplified Arabic" w:cs="Simplified Arabic"/>
          <w:sz w:val="28"/>
          <w:szCs w:val="28"/>
        </w:rPr>
        <w:t>.</w:t>
      </w:r>
    </w:p>
    <w:p w14:paraId="2F0AFEB2" w14:textId="53D9D066" w:rsidR="001469DD" w:rsidRPr="001469DD" w:rsidRDefault="00AB1BE5">
      <w:pPr>
        <w:pStyle w:val="a6"/>
        <w:numPr>
          <w:ilvl w:val="0"/>
          <w:numId w:val="6"/>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 العمريين والربابعة (2023): “أثر التحول الرقمي على الأداء العالي للمنظمات: التكيف الاستراتيجي متغيراً وسيطاً</w:t>
      </w:r>
      <w:r w:rsidRPr="001469DD">
        <w:rPr>
          <w:rFonts w:ascii="Simplified Arabic" w:hAnsi="Simplified Arabic" w:cs="Simplified Arabic"/>
          <w:b/>
          <w:bCs/>
          <w:sz w:val="28"/>
          <w:szCs w:val="28"/>
        </w:rPr>
        <w:t>”</w:t>
      </w:r>
    </w:p>
    <w:p w14:paraId="6E2E97D2" w14:textId="27839392"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أثر التحول الرقمي بأبعاده (الرقمنة، والتقنيات الرقمية، والابتكار الرقمي، والتكامل الرقمي) على الأداء العالي للمنظمات من خلال التكيف الاستراتيجي كمتغير وسيط في المؤسسة العامة للضمان الاجتماعي الأردني. واستخدمت الدراسة المنهج الوصفي التحليلي، وتكونت العينة من (352) مفردة من العاملين. وتوصلت نتائج الدراسة إلى وجود أثر إيجابي للتحول الرقمي على الأداء العالي بتوسط التكيف الاستراتيجي. وأوصت بضرورة تطوير قدرات التكيف الاستراتيجي لدى المؤسسات</w:t>
      </w:r>
      <w:r w:rsidRPr="001469DD">
        <w:rPr>
          <w:rFonts w:ascii="Simplified Arabic" w:hAnsi="Simplified Arabic" w:cs="Simplified Arabic"/>
          <w:sz w:val="28"/>
          <w:szCs w:val="28"/>
        </w:rPr>
        <w:t>.</w:t>
      </w:r>
    </w:p>
    <w:p w14:paraId="1B1C089C" w14:textId="1D82FD20" w:rsidR="001469DD" w:rsidRPr="001469DD" w:rsidRDefault="00AB1BE5">
      <w:pPr>
        <w:pStyle w:val="a6"/>
        <w:numPr>
          <w:ilvl w:val="0"/>
          <w:numId w:val="6"/>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 الجبور والزيديين (2022): “أثر التحول الرقمي في تطوير الأداء المؤسسي: دراسة حالة أمانة عمان الكبرى</w:t>
      </w:r>
      <w:r w:rsidRPr="001469DD">
        <w:rPr>
          <w:rFonts w:ascii="Simplified Arabic" w:hAnsi="Simplified Arabic" w:cs="Simplified Arabic"/>
          <w:b/>
          <w:bCs/>
          <w:sz w:val="28"/>
          <w:szCs w:val="28"/>
        </w:rPr>
        <w:t>”</w:t>
      </w:r>
    </w:p>
    <w:p w14:paraId="0C834EA0" w14:textId="7073EE78"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 xml:space="preserve">هدفت الدراسة إلى التعرف على أثر التحول الرقمي بأبعاده (استراتيجية التحول الرقمي، والبنية التحتية التكنولوجية، والموارد البشرية الرقمية) في تطوير الأداء المؤسسي بأمانة عمان الكبرى. واستخدمت الدراسة المنهج الوصفي التحليلي، وتكونت العينة من (315) موظفاً. وتوصلت نتائج الدراسة إلى وجود أثر ذي دلالة إحصائية </w:t>
      </w:r>
      <w:r w:rsidRPr="001469DD">
        <w:rPr>
          <w:rFonts w:ascii="Simplified Arabic" w:hAnsi="Simplified Arabic" w:cs="Simplified Arabic"/>
          <w:sz w:val="28"/>
          <w:szCs w:val="28"/>
          <w:rtl/>
        </w:rPr>
        <w:lastRenderedPageBreak/>
        <w:t>للتحول الرقمي في تطوير الأداء المؤسسي. وأوصت بضرورة تبني استراتيجية شاملة للتحول الرقمي وتأهيل الموارد البشرية رقمياً</w:t>
      </w:r>
      <w:r w:rsidRPr="001469DD">
        <w:rPr>
          <w:rFonts w:ascii="Simplified Arabic" w:hAnsi="Simplified Arabic" w:cs="Simplified Arabic"/>
          <w:sz w:val="28"/>
          <w:szCs w:val="28"/>
        </w:rPr>
        <w:t>.</w:t>
      </w:r>
    </w:p>
    <w:p w14:paraId="27F3AA5F" w14:textId="49DBC997" w:rsidR="001469DD" w:rsidRPr="001469DD" w:rsidRDefault="00AB1BE5">
      <w:pPr>
        <w:pStyle w:val="a6"/>
        <w:numPr>
          <w:ilvl w:val="0"/>
          <w:numId w:val="6"/>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 الشقاحين والعزب (2024): “أثر التحول الرقمي في جودة الخدمات الحكومية</w:t>
      </w:r>
      <w:r w:rsidRPr="001469DD">
        <w:rPr>
          <w:rFonts w:ascii="Simplified Arabic" w:hAnsi="Simplified Arabic" w:cs="Simplified Arabic"/>
          <w:b/>
          <w:bCs/>
          <w:sz w:val="28"/>
          <w:szCs w:val="28"/>
        </w:rPr>
        <w:t>”</w:t>
      </w:r>
    </w:p>
    <w:p w14:paraId="246C0301" w14:textId="741A35E1"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أثر التحول الرقمي بأبعاده (البنية التحتية الرقمية، والقيادة الرقمية، والكفاءات الرقمية، والثقافة الرقمية) في جودة الخدمات الحكومية من وجهة نظر العاملين في وزارة الاقتصاد الرقمي والريادة الأردنية. واستخدمت الدراسة المنهج الوصفي التحليلي، وتكونت العينة من (280) موظفاً. وتوصلت نتائج الدراسة إلى وجود أثر إيجابي للتحول الرقمي في تحسين جودة الخدمات الحكومية. وأوصت بتعزيز الاستثمار في البنية التحتية الرقمية وتدريب العاملين</w:t>
      </w:r>
      <w:r w:rsidRPr="001469DD">
        <w:rPr>
          <w:rFonts w:ascii="Simplified Arabic" w:hAnsi="Simplified Arabic" w:cs="Simplified Arabic"/>
          <w:sz w:val="28"/>
          <w:szCs w:val="28"/>
        </w:rPr>
        <w:t>.</w:t>
      </w:r>
    </w:p>
    <w:p w14:paraId="2BBBA635" w14:textId="58E40A42" w:rsidR="001469DD" w:rsidRPr="001469DD" w:rsidRDefault="00AB1BE5">
      <w:pPr>
        <w:pStyle w:val="a6"/>
        <w:numPr>
          <w:ilvl w:val="0"/>
          <w:numId w:val="6"/>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 سعيد وإسماعيل (2023): “أثر التحول الرقمي على الميزة التنافسية: حالة دراسية من البنوك الإسلامية في فلسطين</w:t>
      </w:r>
      <w:r w:rsidRPr="001469DD">
        <w:rPr>
          <w:rFonts w:ascii="Simplified Arabic" w:hAnsi="Simplified Arabic" w:cs="Simplified Arabic"/>
          <w:b/>
          <w:bCs/>
          <w:sz w:val="28"/>
          <w:szCs w:val="28"/>
        </w:rPr>
        <w:t>”</w:t>
      </w:r>
    </w:p>
    <w:p w14:paraId="5EBBFDA6" w14:textId="4897C3D8"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أثر التحول الرقمي بأبعاده (التقنيات الرقمية، والابتكار الرقمي، وتجربة العميل الرقمية) على الميزة التنافسية في البنوك الإسلامية العاملة في فلسطين. واستخدمت الدراسة المنهج الوصفي التحليلي، وتكونت العينة من (210) مفردة من العاملين في البنوك الإسلامية. وتوصلت نتائج الدراسة إلى وجود أثر إيجابي للتحول الرقمي على الميزة التنافسية. وأوصت بضرورة تبني التقنيات الحديثة وتطوير الخدمات المصرفية الرقمية</w:t>
      </w:r>
      <w:r w:rsidRPr="001469DD">
        <w:rPr>
          <w:rFonts w:ascii="Simplified Arabic" w:hAnsi="Simplified Arabic" w:cs="Simplified Arabic"/>
          <w:sz w:val="28"/>
          <w:szCs w:val="28"/>
        </w:rPr>
        <w:t>.</w:t>
      </w:r>
    </w:p>
    <w:p w14:paraId="64D0152A" w14:textId="1DC8C6B3" w:rsidR="001469DD" w:rsidRPr="001469DD" w:rsidRDefault="00AB1BE5">
      <w:pPr>
        <w:pStyle w:val="a6"/>
        <w:numPr>
          <w:ilvl w:val="0"/>
          <w:numId w:val="6"/>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 القديمات والخشالي (2024): “أثر إدارة المواهب في التميز المنظمي: الدور المعدل للتحول الرقمي في شركات التأمين الأردنية</w:t>
      </w:r>
      <w:r w:rsidRPr="001469DD">
        <w:rPr>
          <w:rFonts w:ascii="Simplified Arabic" w:hAnsi="Simplified Arabic" w:cs="Simplified Arabic"/>
          <w:b/>
          <w:bCs/>
          <w:sz w:val="28"/>
          <w:szCs w:val="28"/>
        </w:rPr>
        <w:t>”</w:t>
      </w:r>
    </w:p>
    <w:p w14:paraId="6CFEC3A9" w14:textId="2200D2D0"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أثر إدارة المواهب بأبعادها (استقطاب المواهب، وتطوير المواهب، والاحتفاظ بالمواهب، وتقييم المواهب) في التميز المنظمي بوجود التحول الرقمي كمتغير معدل في شركات التأمين الأردنية. واستخدمت الدراسة المنهج الوصفي التحليلي، وتكونت العينة من (398) مديراً. وتوصلت نتائج الدراسة إلى وجود أثر إيجابي لإدارة المواهب في التميز المنظمي، وأن التحول الرقمي يعزز هذه العلاقة. وأوصت بضرورة الاهتمام بممارسات إدارة المواهب مع تبني التحول الرقمي</w:t>
      </w:r>
      <w:r w:rsidRPr="001469DD">
        <w:rPr>
          <w:rFonts w:ascii="Simplified Arabic" w:hAnsi="Simplified Arabic" w:cs="Simplified Arabic"/>
          <w:sz w:val="28"/>
          <w:szCs w:val="28"/>
        </w:rPr>
        <w:t>.</w:t>
      </w:r>
    </w:p>
    <w:p w14:paraId="47BB397A" w14:textId="7498CD0B" w:rsidR="001469DD" w:rsidRPr="001469DD" w:rsidRDefault="00AB1BE5">
      <w:pPr>
        <w:pStyle w:val="a6"/>
        <w:numPr>
          <w:ilvl w:val="0"/>
          <w:numId w:val="6"/>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lastRenderedPageBreak/>
        <w:t>دراسة السليحات والصوالحة (2022): “أثر إدارة المواهب في التميز المنظمي: الدور الوسيط للتوجه الابتكاري</w:t>
      </w:r>
      <w:r w:rsidRPr="001469DD">
        <w:rPr>
          <w:rFonts w:ascii="Simplified Arabic" w:hAnsi="Simplified Arabic" w:cs="Simplified Arabic"/>
          <w:b/>
          <w:bCs/>
          <w:sz w:val="28"/>
          <w:szCs w:val="28"/>
        </w:rPr>
        <w:t>”</w:t>
      </w:r>
    </w:p>
    <w:p w14:paraId="04A51BFD" w14:textId="00F7AF2B"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أثر إدارة المواهب بأبعادها (جذب المواهب، وتطويرها، والاحتفاظ بها) في التميز المنظمي من خلال التوجه الابتكاري كمتغير وسيط في المستشفيات الخاصة بعمّان. واستخدمت الدراسة المنهج الوصفي التحليلي، وتكونت العينة من (325) مفردة من العاملين. وتوصلت نتائج الدراسة إلى وجود أثر إيجابي لإدارة المواهب في التميز المنظمي بتوسط التوجه الابتكاري. وأوصت بتبني ممارسات إدارة المواهب وتشجيع الابتكار</w:t>
      </w:r>
      <w:r w:rsidRPr="001469DD">
        <w:rPr>
          <w:rFonts w:ascii="Simplified Arabic" w:hAnsi="Simplified Arabic" w:cs="Simplified Arabic"/>
          <w:sz w:val="28"/>
          <w:szCs w:val="28"/>
        </w:rPr>
        <w:t>.</w:t>
      </w:r>
    </w:p>
    <w:p w14:paraId="181C9723" w14:textId="1BDED79C" w:rsidR="001469DD" w:rsidRPr="001469DD" w:rsidRDefault="00AB1BE5">
      <w:pPr>
        <w:pStyle w:val="a6"/>
        <w:numPr>
          <w:ilvl w:val="0"/>
          <w:numId w:val="6"/>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 بوهالي وبومجان (2023): “أثر إدارة المواهب في الأداء التنافسي للمؤسسة</w:t>
      </w:r>
      <w:r w:rsidRPr="001469DD">
        <w:rPr>
          <w:rFonts w:ascii="Simplified Arabic" w:hAnsi="Simplified Arabic" w:cs="Simplified Arabic"/>
          <w:b/>
          <w:bCs/>
          <w:sz w:val="28"/>
          <w:szCs w:val="28"/>
        </w:rPr>
        <w:t>”</w:t>
      </w:r>
    </w:p>
    <w:p w14:paraId="4D2F7A79" w14:textId="3498AE26"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أثر إدارة المواهب بأبعادها (الاستقطاب، والتطوير، والاحتفاظ) في الأداء التنافسي بالمركب الصناعي التجاري مطاحن الزيبان القنطرة بالجزائر. واستخدمت الدراسة المنهج الوصفي التحليلي، وتكونت العينة من (120) مفردة. وتوصلت نتائج الدراسة إلى وجود أثر إيجابي لإدارة المواهب في الأداء التنافسي. وأوصت بتبني نظام متكامل لإدارة المواهب لتعزيز التنافسية</w:t>
      </w:r>
      <w:r w:rsidRPr="001469DD">
        <w:rPr>
          <w:rFonts w:ascii="Simplified Arabic" w:hAnsi="Simplified Arabic" w:cs="Simplified Arabic"/>
          <w:sz w:val="28"/>
          <w:szCs w:val="28"/>
        </w:rPr>
        <w:t>.</w:t>
      </w:r>
    </w:p>
    <w:p w14:paraId="78D01623" w14:textId="61EE4276" w:rsidR="001469DD" w:rsidRPr="001469DD" w:rsidRDefault="00AB1BE5">
      <w:pPr>
        <w:pStyle w:val="a6"/>
        <w:numPr>
          <w:ilvl w:val="0"/>
          <w:numId w:val="6"/>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 الكايد والبلوش (2023): “أثر إدارة المواهب في الاحتفاظ بالموظفين: الدور الوسيط للعدالة التنظيمية</w:t>
      </w:r>
      <w:r w:rsidRPr="001469DD">
        <w:rPr>
          <w:rFonts w:ascii="Simplified Arabic" w:hAnsi="Simplified Arabic" w:cs="Simplified Arabic"/>
          <w:b/>
          <w:bCs/>
          <w:sz w:val="28"/>
          <w:szCs w:val="28"/>
        </w:rPr>
        <w:t>”</w:t>
      </w:r>
    </w:p>
    <w:p w14:paraId="317A4B53" w14:textId="1D928E14"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أثر إدارة المواهب بأبعادها (استقطاب المواهب، وتطويرها، والمكافآت والحوافز) في الاحتفاظ بالموظفين بتوسط العدالة التنظيمية في شركات الاتصالات الأردنية. واستخدمت الدراسة المنهج الوصفي التحليلي، وتكونت العينة من (290) موظفاً. وتوصلت نتائج الدراسة إلى وجود أثر إيجابي لإدارة المواهب في الاحتفاظ بالموظفين بتوسط العدالة التنظيمية. وأوصت بتعزيز ممارسات العدالة التنظيمية</w:t>
      </w:r>
      <w:r w:rsidRPr="001469DD">
        <w:rPr>
          <w:rFonts w:ascii="Simplified Arabic" w:hAnsi="Simplified Arabic" w:cs="Simplified Arabic"/>
          <w:sz w:val="28"/>
          <w:szCs w:val="28"/>
        </w:rPr>
        <w:t>.</w:t>
      </w:r>
    </w:p>
    <w:p w14:paraId="0BA21BC2" w14:textId="650F915B" w:rsidR="001469DD" w:rsidRPr="001469DD" w:rsidRDefault="00AB1BE5">
      <w:pPr>
        <w:pStyle w:val="a6"/>
        <w:numPr>
          <w:ilvl w:val="0"/>
          <w:numId w:val="6"/>
        </w:numPr>
        <w:spacing w:before="100" w:beforeAutospacing="1" w:after="100" w:afterAutospacing="1" w:line="276" w:lineRule="auto"/>
        <w:ind w:left="566" w:hanging="580"/>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 مرابطي وبوسنة (2023): “أثر الثقافة التنظيمية على إدارة المواهب</w:t>
      </w:r>
      <w:r w:rsidRPr="001469DD">
        <w:rPr>
          <w:rFonts w:ascii="Simplified Arabic" w:hAnsi="Simplified Arabic" w:cs="Simplified Arabic"/>
          <w:b/>
          <w:bCs/>
          <w:sz w:val="28"/>
          <w:szCs w:val="28"/>
        </w:rPr>
        <w:t>”</w:t>
      </w:r>
    </w:p>
    <w:p w14:paraId="3BA8810D" w14:textId="357B047C"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أثر الثقافة التنظيمية بأبعادها (القيم، والمعتقدات، والتوقعات، والأعراف) على إدارة المواهب في الوكالة التجارية لاتصالات الجزائر بالخروب – قسنطينة. واستخدمت الدراسة المنهج الوصفي التحليلي، وتكونت العينة من (85) موظفاً. وتوصلت نتائج الدراسة إلى وجود أثر إيجابي للثقافة التنظيمية على إدارة المواهب. وأوصت بتعزيز الثقافة التنظيمية الداعمة لإدارة المواهب</w:t>
      </w:r>
      <w:r w:rsidRPr="001469DD">
        <w:rPr>
          <w:rFonts w:ascii="Simplified Arabic" w:hAnsi="Simplified Arabic" w:cs="Simplified Arabic"/>
          <w:sz w:val="28"/>
          <w:szCs w:val="28"/>
        </w:rPr>
        <w:t>.</w:t>
      </w:r>
    </w:p>
    <w:p w14:paraId="38DA69F9" w14:textId="2E20397E" w:rsidR="001469DD" w:rsidRPr="001469DD" w:rsidRDefault="00AB1BE5">
      <w:pPr>
        <w:pStyle w:val="a6"/>
        <w:numPr>
          <w:ilvl w:val="0"/>
          <w:numId w:val="6"/>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lastRenderedPageBreak/>
        <w:t>دراسة جنة ونافع (2022أ): “أثر القيادة التحويلية على إدارة المواهب</w:t>
      </w:r>
      <w:r w:rsidRPr="001469DD">
        <w:rPr>
          <w:rFonts w:ascii="Simplified Arabic" w:hAnsi="Simplified Arabic" w:cs="Simplified Arabic"/>
          <w:b/>
          <w:bCs/>
          <w:sz w:val="28"/>
          <w:szCs w:val="28"/>
        </w:rPr>
        <w:t>”</w:t>
      </w:r>
    </w:p>
    <w:p w14:paraId="4A6B97A7" w14:textId="35A41BB1"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أثر القيادة التحويلية بأبعادها (التأثير المثالي، والحفز الإلهامي، والاستثارة الفكرية، والاعتبار الفردي) على إدارة المواهب بالهيئة العامة لشئون الزراعة والثروة السمكية بدولة الكويت. واستخدمت الدراسة المنهج الوصفي التحليلي، وتكونت العينة من (267) موظفاً. وتوصلت نتائج الدراسة إلى وجود أثر إيجابي للقيادة التحويلية على إدارة المواهب. وأوصت بتبني نمط القيادة التحويلية لتفعيل إدارة المواهب</w:t>
      </w:r>
      <w:r w:rsidRPr="001469DD">
        <w:rPr>
          <w:rFonts w:ascii="Simplified Arabic" w:hAnsi="Simplified Arabic" w:cs="Simplified Arabic"/>
          <w:sz w:val="28"/>
          <w:szCs w:val="28"/>
        </w:rPr>
        <w:t>.</w:t>
      </w:r>
    </w:p>
    <w:p w14:paraId="16348F46" w14:textId="79692B78" w:rsidR="001469DD" w:rsidRPr="001469DD" w:rsidRDefault="00AB1BE5">
      <w:pPr>
        <w:pStyle w:val="a6"/>
        <w:numPr>
          <w:ilvl w:val="0"/>
          <w:numId w:val="6"/>
        </w:numPr>
        <w:spacing w:before="100" w:beforeAutospacing="1" w:after="100" w:afterAutospacing="1" w:line="276" w:lineRule="auto"/>
        <w:ind w:left="566" w:hanging="580"/>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 جنة ونافع (2022ب): “تأثير إدارة المواهب على الأداء الاستراتيجي</w:t>
      </w:r>
      <w:r w:rsidRPr="001469DD">
        <w:rPr>
          <w:rFonts w:ascii="Simplified Arabic" w:hAnsi="Simplified Arabic" w:cs="Simplified Arabic"/>
          <w:b/>
          <w:bCs/>
          <w:sz w:val="28"/>
          <w:szCs w:val="28"/>
        </w:rPr>
        <w:t>”</w:t>
      </w:r>
    </w:p>
    <w:p w14:paraId="1CA5C9E5" w14:textId="08D05ADD"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تأثير إدارة المواهب بأبعادها (جذب المواهب، وتنميتها، والاحتفاظ بها) على الأداء الاستراتيجي بالهيئة العامة لشئون الزراعة والثروة السمكية بدولة الكويت. واستخدمت الدراسة المنهج الوصفي التحليلي، وتكونت العينة من (267) موظفاً. وتوصلت نتائج الدراسة إلى وجود تأثير إيجابي لإدارة المواهب على الأداء الاستراتيجي. وأوصت بتبني ممارسات متكاملة لإدارة المواهب لتحسين الأداء الاستراتيجي</w:t>
      </w:r>
      <w:r w:rsidRPr="001469DD">
        <w:rPr>
          <w:rFonts w:ascii="Simplified Arabic" w:hAnsi="Simplified Arabic" w:cs="Simplified Arabic"/>
          <w:sz w:val="28"/>
          <w:szCs w:val="28"/>
        </w:rPr>
        <w:t>.</w:t>
      </w:r>
    </w:p>
    <w:p w14:paraId="1F3F2312"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ثانياً: الدراسات الأجنبية</w:t>
      </w:r>
    </w:p>
    <w:p w14:paraId="020D5F20" w14:textId="5606F669" w:rsidR="001469DD" w:rsidRPr="001469DD" w:rsidRDefault="00AB1BE5">
      <w:pPr>
        <w:pStyle w:val="a6"/>
        <w:numPr>
          <w:ilvl w:val="0"/>
          <w:numId w:val="7"/>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w:t>
      </w:r>
      <w:r w:rsidRPr="001469DD">
        <w:rPr>
          <w:rFonts w:ascii="Simplified Arabic" w:hAnsi="Simplified Arabic" w:cs="Simplified Arabic"/>
          <w:b/>
          <w:bCs/>
          <w:sz w:val="28"/>
          <w:szCs w:val="28"/>
        </w:rPr>
        <w:t xml:space="preserve"> </w:t>
      </w:r>
      <w:proofErr w:type="spellStart"/>
      <w:r w:rsidRPr="001469DD">
        <w:rPr>
          <w:rFonts w:ascii="Simplified Arabic" w:hAnsi="Simplified Arabic" w:cs="Simplified Arabic"/>
          <w:b/>
          <w:bCs/>
          <w:sz w:val="28"/>
          <w:szCs w:val="28"/>
        </w:rPr>
        <w:t>Gri</w:t>
      </w:r>
      <w:r w:rsidRPr="001469DD">
        <w:rPr>
          <w:rFonts w:ascii="Cambria" w:hAnsi="Cambria" w:cs="Cambria"/>
          <w:b/>
          <w:bCs/>
          <w:sz w:val="28"/>
          <w:szCs w:val="28"/>
        </w:rPr>
        <w:t>č</w:t>
      </w:r>
      <w:r w:rsidRPr="001469DD">
        <w:rPr>
          <w:rFonts w:ascii="Simplified Arabic" w:hAnsi="Simplified Arabic" w:cs="Simplified Arabic"/>
          <w:b/>
          <w:bCs/>
          <w:sz w:val="28"/>
          <w:szCs w:val="28"/>
        </w:rPr>
        <w:t>nik</w:t>
      </w:r>
      <w:proofErr w:type="spellEnd"/>
      <w:r w:rsidRPr="001469DD">
        <w:rPr>
          <w:rFonts w:ascii="Simplified Arabic" w:hAnsi="Simplified Arabic" w:cs="Simplified Arabic"/>
          <w:b/>
          <w:bCs/>
          <w:sz w:val="28"/>
          <w:szCs w:val="28"/>
        </w:rPr>
        <w:t xml:space="preserve"> et al. (2024): “Talent Management in the Age of Digital Transformation and Changes in the Workforce Characteristics”</w:t>
      </w:r>
    </w:p>
    <w:p w14:paraId="54312AF3" w14:textId="4F78DB72"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هدفت الدراسة إلى التعرف على العلاقة بين إدارة المواهب بأبعادها (الاستقطاب، والتطوير، والاحتفاظ) والتحول الرقمي في ظل التغيرات في خصائص القوى العاملة. واستخدمت الدراسة المنهج الوصفي التحليلي مع مراجعة أدبية معمقة، وتكونت العينة من مجموعة من المنظمات الأوروبية. وتوصلت نتائج الدراسة إلى أن التحول الرقمي يُعيد تشكيل ممارسات إدارة المواهب. وأوصت بضرورة تكييف استراتيجيات إدارة المواهب مع متطلبات العصر الرقمي</w:t>
      </w:r>
      <w:r w:rsidRPr="001469DD">
        <w:rPr>
          <w:rFonts w:ascii="Simplified Arabic" w:hAnsi="Simplified Arabic" w:cs="Simplified Arabic"/>
          <w:sz w:val="28"/>
          <w:szCs w:val="28"/>
        </w:rPr>
        <w:t>.</w:t>
      </w:r>
    </w:p>
    <w:p w14:paraId="00CA827A" w14:textId="73FC211D" w:rsidR="001469DD" w:rsidRPr="001469DD" w:rsidRDefault="00AB1BE5">
      <w:pPr>
        <w:pStyle w:val="a6"/>
        <w:numPr>
          <w:ilvl w:val="0"/>
          <w:numId w:val="7"/>
        </w:numPr>
        <w:spacing w:before="100" w:beforeAutospacing="1" w:after="100" w:afterAutospacing="1" w:line="276" w:lineRule="auto"/>
        <w:ind w:left="424"/>
        <w:jc w:val="both"/>
        <w:rPr>
          <w:rFonts w:ascii="Simplified Arabic" w:hAnsi="Simplified Arabic" w:cs="Simplified Arabic"/>
          <w:b/>
          <w:bCs/>
          <w:sz w:val="28"/>
          <w:szCs w:val="28"/>
          <w:rtl/>
        </w:rPr>
      </w:pPr>
      <w:r w:rsidRPr="001469DD">
        <w:rPr>
          <w:rFonts w:ascii="Simplified Arabic" w:hAnsi="Simplified Arabic" w:cs="Simplified Arabic"/>
          <w:b/>
          <w:bCs/>
          <w:sz w:val="28"/>
          <w:szCs w:val="28"/>
          <w:rtl/>
        </w:rPr>
        <w:t>دراسة</w:t>
      </w:r>
      <w:r w:rsidRPr="001469DD">
        <w:rPr>
          <w:rFonts w:ascii="Simplified Arabic" w:hAnsi="Simplified Arabic" w:cs="Simplified Arabic"/>
          <w:b/>
          <w:bCs/>
          <w:sz w:val="28"/>
          <w:szCs w:val="28"/>
        </w:rPr>
        <w:t xml:space="preserve"> Ro</w:t>
      </w:r>
      <w:r w:rsidRPr="001469DD">
        <w:rPr>
          <w:rFonts w:ascii="Cambria" w:hAnsi="Cambria" w:cs="Cambria"/>
          <w:b/>
          <w:bCs/>
          <w:sz w:val="28"/>
          <w:szCs w:val="28"/>
        </w:rPr>
        <w:t>ž</w:t>
      </w:r>
      <w:r w:rsidRPr="001469DD">
        <w:rPr>
          <w:rFonts w:ascii="Simplified Arabic" w:hAnsi="Simplified Arabic" w:cs="Simplified Arabic"/>
          <w:b/>
          <w:bCs/>
          <w:sz w:val="28"/>
          <w:szCs w:val="28"/>
        </w:rPr>
        <w:t>man et al. (2022): “Integrating Artificial Intelligence into a Talent Management Model”</w:t>
      </w:r>
    </w:p>
    <w:p w14:paraId="7D499C11" w14:textId="52BB6964" w:rsidR="00AB1BE5" w:rsidRPr="001469DD"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1469DD">
        <w:rPr>
          <w:rFonts w:ascii="Simplified Arabic" w:hAnsi="Simplified Arabic" w:cs="Simplified Arabic"/>
          <w:sz w:val="28"/>
          <w:szCs w:val="28"/>
          <w:rtl/>
        </w:rPr>
        <w:t xml:space="preserve">هدفت الدراسة إلى التعرف على أثر دمج الذكاء الاصطناعي في نموذج إدارة المواهب بأبعاده (التخطيط، والاستقطاب، والتطوير، والاحتفاظ) على الاندماج الوظيفي وأداء المؤسسات. واستخدمت الدراسة المنهج الكمي، وتكونت العينة من (475) مؤسسة سلوفينية. وتوصلت نتائج الدراسة إلى وجود أثر إيجابي لدمج الذكاء </w:t>
      </w:r>
      <w:r w:rsidRPr="001469DD">
        <w:rPr>
          <w:rFonts w:ascii="Simplified Arabic" w:hAnsi="Simplified Arabic" w:cs="Simplified Arabic"/>
          <w:sz w:val="28"/>
          <w:szCs w:val="28"/>
          <w:rtl/>
        </w:rPr>
        <w:lastRenderedPageBreak/>
        <w:t>الاصطناعي في إدارة المواهب على الاندماج الوظيفي وأداء المؤسسات. وأوصت بتبني تقنيات الذكاء الاصطناعي في ممارسات إدارة المواهب</w:t>
      </w:r>
      <w:r w:rsidRPr="001469DD">
        <w:rPr>
          <w:rFonts w:ascii="Simplified Arabic" w:hAnsi="Simplified Arabic" w:cs="Simplified Arabic"/>
          <w:sz w:val="28"/>
          <w:szCs w:val="28"/>
        </w:rPr>
        <w:t>.</w:t>
      </w:r>
    </w:p>
    <w:p w14:paraId="6053C4C5" w14:textId="0FBD4EAE" w:rsidR="001469DD" w:rsidRDefault="00AB1BE5">
      <w:pPr>
        <w:pStyle w:val="a6"/>
        <w:numPr>
          <w:ilvl w:val="0"/>
          <w:numId w:val="7"/>
        </w:numPr>
        <w:spacing w:before="100" w:beforeAutospacing="1" w:after="100" w:afterAutospacing="1" w:line="276" w:lineRule="auto"/>
        <w:ind w:left="424"/>
        <w:jc w:val="both"/>
        <w:rPr>
          <w:rFonts w:ascii="Simplified Arabic" w:hAnsi="Simplified Arabic" w:cs="Simplified Arabic"/>
          <w:b/>
          <w:bCs/>
          <w:sz w:val="28"/>
          <w:szCs w:val="28"/>
          <w:rtl/>
        </w:rPr>
      </w:pPr>
      <w:r w:rsidRPr="00A37589">
        <w:rPr>
          <w:rFonts w:ascii="Simplified Arabic" w:hAnsi="Simplified Arabic" w:cs="Simplified Arabic"/>
          <w:b/>
          <w:bCs/>
          <w:sz w:val="28"/>
          <w:szCs w:val="28"/>
          <w:rtl/>
        </w:rPr>
        <w:t>دراسة</w:t>
      </w:r>
      <w:r w:rsidRPr="00A37589">
        <w:rPr>
          <w:rFonts w:ascii="Simplified Arabic" w:hAnsi="Simplified Arabic" w:cs="Simplified Arabic"/>
          <w:b/>
          <w:bCs/>
          <w:sz w:val="28"/>
          <w:szCs w:val="28"/>
        </w:rPr>
        <w:t xml:space="preserve"> </w:t>
      </w:r>
      <w:proofErr w:type="spellStart"/>
      <w:r w:rsidRPr="00A37589">
        <w:rPr>
          <w:rFonts w:ascii="Simplified Arabic" w:hAnsi="Simplified Arabic" w:cs="Simplified Arabic"/>
          <w:b/>
          <w:bCs/>
          <w:sz w:val="28"/>
          <w:szCs w:val="28"/>
        </w:rPr>
        <w:t>Siripipatthanakul</w:t>
      </w:r>
      <w:proofErr w:type="spellEnd"/>
      <w:r w:rsidRPr="00A37589">
        <w:rPr>
          <w:rFonts w:ascii="Simplified Arabic" w:hAnsi="Simplified Arabic" w:cs="Simplified Arabic"/>
          <w:b/>
          <w:bCs/>
          <w:sz w:val="28"/>
          <w:szCs w:val="28"/>
        </w:rPr>
        <w:t xml:space="preserve"> et al. (2022): “The Impact of Talent Management on Employee Satisfaction and Business Performance in the Digital Economy”</w:t>
      </w:r>
    </w:p>
    <w:p w14:paraId="0BF538AE" w14:textId="6C80121F"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هدفت الدراسة إلى التعرف على أثر إدارة المواهب بأبعادها (الاستقطاب، والتطوير، والاحتفاظ، والتقييم) على رضا الموظفين وأداء الأعمال في الاقتصاد الرقمي. واستخدمت الدراسة المنهج النوعي، وتكونت العينة من (15) مديراً في شركات بانكوك بتايلاند. وتوصلت نتائج الدراسة إلى وجود أثر إيجابي لإدارة المواهب على رضا الموظفين وأداء الأعمال في البيئة الرقمية. وأوصت بتبني ممارسات إدارة المواهب المتوافقة مع الاقتصاد الرقمي</w:t>
      </w:r>
      <w:r w:rsidRPr="00A37589">
        <w:rPr>
          <w:rFonts w:ascii="Simplified Arabic" w:hAnsi="Simplified Arabic" w:cs="Simplified Arabic"/>
          <w:sz w:val="28"/>
          <w:szCs w:val="28"/>
        </w:rPr>
        <w:t>.</w:t>
      </w:r>
    </w:p>
    <w:p w14:paraId="3620B08E" w14:textId="5A656696" w:rsidR="001469DD" w:rsidRDefault="00AB1BE5">
      <w:pPr>
        <w:pStyle w:val="a6"/>
        <w:numPr>
          <w:ilvl w:val="0"/>
          <w:numId w:val="7"/>
        </w:numPr>
        <w:spacing w:before="100" w:beforeAutospacing="1" w:after="100" w:afterAutospacing="1" w:line="276" w:lineRule="auto"/>
        <w:ind w:left="424"/>
        <w:jc w:val="both"/>
        <w:rPr>
          <w:rFonts w:ascii="Simplified Arabic" w:hAnsi="Simplified Arabic" w:cs="Simplified Arabic"/>
          <w:b/>
          <w:bCs/>
          <w:sz w:val="28"/>
          <w:szCs w:val="28"/>
          <w:rtl/>
        </w:rPr>
      </w:pPr>
      <w:r w:rsidRPr="00A37589">
        <w:rPr>
          <w:rFonts w:ascii="Simplified Arabic" w:hAnsi="Simplified Arabic" w:cs="Simplified Arabic"/>
          <w:b/>
          <w:bCs/>
          <w:sz w:val="28"/>
          <w:szCs w:val="28"/>
          <w:rtl/>
        </w:rPr>
        <w:t>دراسة</w:t>
      </w:r>
      <w:r w:rsidRPr="00A37589">
        <w:rPr>
          <w:rFonts w:ascii="Simplified Arabic" w:hAnsi="Simplified Arabic" w:cs="Simplified Arabic"/>
          <w:b/>
          <w:bCs/>
          <w:sz w:val="28"/>
          <w:szCs w:val="28"/>
        </w:rPr>
        <w:t xml:space="preserve"> Qiao et al. (2024): “The Strategic Role of Digital Transformation: Leveraging Digital Leadership to Enhance Employee Performance and Organizational Commitment”</w:t>
      </w:r>
    </w:p>
    <w:p w14:paraId="598C3277" w14:textId="7F1D7C54"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هدفت الدراسة إلى التعرف على الدور الاستراتيجي للتحول الرقمي والقيادة الرقمية بأبعادها (الرؤية الرقمية، والابتكار الرقمي، والتمكين الرقمي) في تعزيز أداء الموظفين والالتزام التنظيمي. واستخدمت الدراسة المنهج الكمي، وتكونت العينة من (446) موظفاً في الشركات الصينية. وتوصلت نتائج الدراسة إلى وجود أثر إيجابي للتحول الرقمي والقيادة الرقمية في تعزيز الأداء والالتزام التنظيمي. وأوصت بتطوير القيادة الرقمية لدى المديرين</w:t>
      </w:r>
      <w:r w:rsidRPr="00A37589">
        <w:rPr>
          <w:rFonts w:ascii="Simplified Arabic" w:hAnsi="Simplified Arabic" w:cs="Simplified Arabic"/>
          <w:sz w:val="28"/>
          <w:szCs w:val="28"/>
        </w:rPr>
        <w:t>.</w:t>
      </w:r>
    </w:p>
    <w:p w14:paraId="5FB8B9DB" w14:textId="7DAD6F1F" w:rsidR="001469DD" w:rsidRDefault="00AB1BE5">
      <w:pPr>
        <w:pStyle w:val="a6"/>
        <w:numPr>
          <w:ilvl w:val="0"/>
          <w:numId w:val="7"/>
        </w:numPr>
        <w:spacing w:before="100" w:beforeAutospacing="1" w:after="100" w:afterAutospacing="1" w:line="276" w:lineRule="auto"/>
        <w:ind w:left="424"/>
        <w:jc w:val="both"/>
        <w:rPr>
          <w:rFonts w:ascii="Simplified Arabic" w:hAnsi="Simplified Arabic" w:cs="Simplified Arabic"/>
          <w:b/>
          <w:bCs/>
          <w:sz w:val="28"/>
          <w:szCs w:val="28"/>
          <w:rtl/>
        </w:rPr>
      </w:pPr>
      <w:r w:rsidRPr="00A37589">
        <w:rPr>
          <w:rFonts w:ascii="Simplified Arabic" w:hAnsi="Simplified Arabic" w:cs="Simplified Arabic"/>
          <w:b/>
          <w:bCs/>
          <w:sz w:val="28"/>
          <w:szCs w:val="28"/>
          <w:rtl/>
        </w:rPr>
        <w:t>دراسة</w:t>
      </w:r>
      <w:r w:rsidRPr="00A37589">
        <w:rPr>
          <w:rFonts w:ascii="Simplified Arabic" w:hAnsi="Simplified Arabic" w:cs="Simplified Arabic"/>
          <w:b/>
          <w:bCs/>
          <w:sz w:val="28"/>
          <w:szCs w:val="28"/>
        </w:rPr>
        <w:t xml:space="preserve"> </w:t>
      </w:r>
      <w:proofErr w:type="spellStart"/>
      <w:r w:rsidRPr="00A37589">
        <w:rPr>
          <w:rFonts w:ascii="Simplified Arabic" w:hAnsi="Simplified Arabic" w:cs="Simplified Arabic"/>
          <w:b/>
          <w:bCs/>
          <w:sz w:val="28"/>
          <w:szCs w:val="28"/>
        </w:rPr>
        <w:t>Montero</w:t>
      </w:r>
      <w:proofErr w:type="spellEnd"/>
      <w:r w:rsidRPr="00A37589">
        <w:rPr>
          <w:rFonts w:ascii="Simplified Arabic" w:hAnsi="Simplified Arabic" w:cs="Simplified Arabic"/>
          <w:b/>
          <w:bCs/>
          <w:sz w:val="28"/>
          <w:szCs w:val="28"/>
        </w:rPr>
        <w:t xml:space="preserve"> Guerra &amp; </w:t>
      </w:r>
      <w:proofErr w:type="spellStart"/>
      <w:r w:rsidRPr="00A37589">
        <w:rPr>
          <w:rFonts w:ascii="Simplified Arabic" w:hAnsi="Simplified Arabic" w:cs="Simplified Arabic"/>
          <w:b/>
          <w:bCs/>
          <w:sz w:val="28"/>
          <w:szCs w:val="28"/>
        </w:rPr>
        <w:t>Danvila-Del</w:t>
      </w:r>
      <w:proofErr w:type="spellEnd"/>
      <w:r w:rsidRPr="00A37589">
        <w:rPr>
          <w:rFonts w:ascii="Simplified Arabic" w:hAnsi="Simplified Arabic" w:cs="Simplified Arabic"/>
          <w:b/>
          <w:bCs/>
          <w:sz w:val="28"/>
          <w:szCs w:val="28"/>
        </w:rPr>
        <w:t xml:space="preserve"> Valle (2024): “Exploring Organizational Change in the Age of Digital Transformation and its Impact on Talent Management”</w:t>
      </w:r>
    </w:p>
    <w:p w14:paraId="7278F577" w14:textId="018CFB2A"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هدفت الدراسة إلى التعرف على أثر التغيير التنظيمي في عصر التحول الرقمي بأبعاده (التقنيات الناشئة، والثقافة الرقمية، والقيادة الرقمية) على إدارة المواهب. واستخدمت الدراسة منهج المراجعة الأدبية المنهجية، وتكونت العينة من (85) دراسة سابقة. وتوصلت نتائج الدراسة إلى أن التحول الرقمي يُحدث تغييراً جوهرياً في ممارسات إدارة المواهب. وأوصت بإعادة تصميم استراتيجيات إدارة المواهب لتتوافق مع التحول الرقمي</w:t>
      </w:r>
      <w:r w:rsidRPr="00A37589">
        <w:rPr>
          <w:rFonts w:ascii="Simplified Arabic" w:hAnsi="Simplified Arabic" w:cs="Simplified Arabic"/>
          <w:sz w:val="28"/>
          <w:szCs w:val="28"/>
        </w:rPr>
        <w:t>.</w:t>
      </w:r>
    </w:p>
    <w:p w14:paraId="56A6413E" w14:textId="7B45CF88" w:rsidR="001469DD" w:rsidRDefault="00AB1BE5">
      <w:pPr>
        <w:pStyle w:val="a6"/>
        <w:numPr>
          <w:ilvl w:val="0"/>
          <w:numId w:val="7"/>
        </w:numPr>
        <w:spacing w:before="100" w:beforeAutospacing="1" w:after="100" w:afterAutospacing="1" w:line="276" w:lineRule="auto"/>
        <w:ind w:left="424"/>
        <w:jc w:val="both"/>
        <w:rPr>
          <w:rFonts w:ascii="Simplified Arabic" w:hAnsi="Simplified Arabic" w:cs="Simplified Arabic"/>
          <w:b/>
          <w:bCs/>
          <w:sz w:val="28"/>
          <w:szCs w:val="28"/>
          <w:rtl/>
        </w:rPr>
      </w:pPr>
      <w:r w:rsidRPr="00A37589">
        <w:rPr>
          <w:rFonts w:ascii="Simplified Arabic" w:hAnsi="Simplified Arabic" w:cs="Simplified Arabic"/>
          <w:b/>
          <w:bCs/>
          <w:sz w:val="28"/>
          <w:szCs w:val="28"/>
          <w:rtl/>
        </w:rPr>
        <w:lastRenderedPageBreak/>
        <w:t>دراسة</w:t>
      </w:r>
      <w:r w:rsidRPr="00A37589">
        <w:rPr>
          <w:rFonts w:ascii="Simplified Arabic" w:hAnsi="Simplified Arabic" w:cs="Simplified Arabic"/>
          <w:b/>
          <w:bCs/>
          <w:sz w:val="28"/>
          <w:szCs w:val="28"/>
        </w:rPr>
        <w:t xml:space="preserve"> </w:t>
      </w:r>
      <w:proofErr w:type="spellStart"/>
      <w:r w:rsidRPr="00A37589">
        <w:rPr>
          <w:rFonts w:ascii="Simplified Arabic" w:hAnsi="Simplified Arabic" w:cs="Simplified Arabic"/>
          <w:b/>
          <w:bCs/>
          <w:sz w:val="28"/>
          <w:szCs w:val="28"/>
        </w:rPr>
        <w:t>Ekhsan</w:t>
      </w:r>
      <w:proofErr w:type="spellEnd"/>
      <w:r w:rsidRPr="00A37589">
        <w:rPr>
          <w:rFonts w:ascii="Simplified Arabic" w:hAnsi="Simplified Arabic" w:cs="Simplified Arabic"/>
          <w:b/>
          <w:bCs/>
          <w:sz w:val="28"/>
          <w:szCs w:val="28"/>
        </w:rPr>
        <w:t xml:space="preserve"> et al. (2023): “The Impact of Talent Management on Employee Performance Mediated by Employee Engagement”</w:t>
      </w:r>
    </w:p>
    <w:p w14:paraId="256DC833" w14:textId="40377BE2"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هدفت الدراسة إلى التعرف على أثر إدارة المواهب بأبعادها (الجذب، والتطوير، والاحتفاظ) على أداء الموظفين بتوسط الاندماج الوظيفي. واستخدمت الدراسة المنهج الكمي، وتكونت العينة من (150) موظفاً في شركات إندونيسية. وتوصلت نتائج الدراسة إلى وجود أثر إيجابي لإدارة المواهب على أداء الموظفين بتوسط الاندماج الوظيفي. وأوصت بتعزيز ممارسات إدارة المواهب لتحسين الأداء</w:t>
      </w:r>
      <w:r w:rsidRPr="00A37589">
        <w:rPr>
          <w:rFonts w:ascii="Simplified Arabic" w:hAnsi="Simplified Arabic" w:cs="Simplified Arabic"/>
          <w:sz w:val="28"/>
          <w:szCs w:val="28"/>
        </w:rPr>
        <w:t>.</w:t>
      </w:r>
    </w:p>
    <w:p w14:paraId="0FD1C750" w14:textId="62417A20" w:rsidR="001469DD" w:rsidRDefault="00AB1BE5">
      <w:pPr>
        <w:pStyle w:val="a6"/>
        <w:numPr>
          <w:ilvl w:val="0"/>
          <w:numId w:val="7"/>
        </w:numPr>
        <w:spacing w:before="100" w:beforeAutospacing="1" w:after="100" w:afterAutospacing="1" w:line="276" w:lineRule="auto"/>
        <w:ind w:left="424"/>
        <w:jc w:val="both"/>
        <w:rPr>
          <w:rFonts w:ascii="Simplified Arabic" w:hAnsi="Simplified Arabic" w:cs="Simplified Arabic"/>
          <w:b/>
          <w:bCs/>
          <w:sz w:val="28"/>
          <w:szCs w:val="28"/>
          <w:rtl/>
        </w:rPr>
      </w:pPr>
      <w:r w:rsidRPr="00A37589">
        <w:rPr>
          <w:rFonts w:ascii="Simplified Arabic" w:hAnsi="Simplified Arabic" w:cs="Simplified Arabic"/>
          <w:b/>
          <w:bCs/>
          <w:sz w:val="28"/>
          <w:szCs w:val="28"/>
          <w:rtl/>
        </w:rPr>
        <w:t>دراسة</w:t>
      </w:r>
      <w:r w:rsidRPr="00A37589">
        <w:rPr>
          <w:rFonts w:ascii="Simplified Arabic" w:hAnsi="Simplified Arabic" w:cs="Simplified Arabic"/>
          <w:b/>
          <w:bCs/>
          <w:sz w:val="28"/>
          <w:szCs w:val="28"/>
        </w:rPr>
        <w:t xml:space="preserve"> Di Prima et al. (2024): “No More War (for Talent): The Impact of HR Analytics on Talent Management Activities”</w:t>
      </w:r>
    </w:p>
    <w:p w14:paraId="7FA60AA4" w14:textId="04F6FC57"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هدفت الدراسة إلى التعرف على أثر تحليلات الموارد البشرية بأبعادها (التحليلات الوصفية، والتنبؤية، والتوجيهية) على أنشطة إدارة المواهب. واستخدمت الدراسة المنهج الكمي، وتكونت العينة من (281) شركة إيطالية. وتوصلت نتائج الدراسة إلى وجود أثر إيجابي لتحليلات الموارد البشرية على أنشطة إدارة المواهب. وأوصت بتبني تحليلات الموارد البشرية لتحسين قرارات إدارة المواهب</w:t>
      </w:r>
      <w:r w:rsidRPr="00A37589">
        <w:rPr>
          <w:rFonts w:ascii="Simplified Arabic" w:hAnsi="Simplified Arabic" w:cs="Simplified Arabic"/>
          <w:sz w:val="28"/>
          <w:szCs w:val="28"/>
        </w:rPr>
        <w:t>.</w:t>
      </w:r>
    </w:p>
    <w:p w14:paraId="05199734" w14:textId="1829DFA5" w:rsidR="001469DD" w:rsidRDefault="00AB1BE5">
      <w:pPr>
        <w:pStyle w:val="a6"/>
        <w:numPr>
          <w:ilvl w:val="0"/>
          <w:numId w:val="7"/>
        </w:numPr>
        <w:spacing w:before="100" w:beforeAutospacing="1" w:after="100" w:afterAutospacing="1" w:line="276" w:lineRule="auto"/>
        <w:ind w:left="424"/>
        <w:jc w:val="both"/>
        <w:rPr>
          <w:rFonts w:ascii="Simplified Arabic" w:hAnsi="Simplified Arabic" w:cs="Simplified Arabic"/>
          <w:b/>
          <w:bCs/>
          <w:sz w:val="28"/>
          <w:szCs w:val="28"/>
          <w:rtl/>
        </w:rPr>
      </w:pPr>
      <w:r w:rsidRPr="00A37589">
        <w:rPr>
          <w:rFonts w:ascii="Simplified Arabic" w:hAnsi="Simplified Arabic" w:cs="Simplified Arabic"/>
          <w:b/>
          <w:bCs/>
          <w:sz w:val="28"/>
          <w:szCs w:val="28"/>
          <w:rtl/>
        </w:rPr>
        <w:t>دراسة</w:t>
      </w:r>
      <w:r w:rsidRPr="00A37589">
        <w:rPr>
          <w:rFonts w:ascii="Simplified Arabic" w:hAnsi="Simplified Arabic" w:cs="Simplified Arabic"/>
          <w:b/>
          <w:bCs/>
          <w:sz w:val="28"/>
          <w:szCs w:val="28"/>
        </w:rPr>
        <w:t xml:space="preserve"> Banerjee &amp; Sharma (2025): “Digital Transformation and Talent Management in Industry 4.0”</w:t>
      </w:r>
    </w:p>
    <w:p w14:paraId="1FF325AC" w14:textId="1975845A" w:rsidR="00AB1BE5" w:rsidRPr="00A37589" w:rsidRDefault="00AB1BE5" w:rsidP="001469D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هدفت الدراسة إلى التعرف على العلاقة بين التحول الرقمي وإدارة المواهب في ظل الثورة الصناعية الرابعة بأبعادها (الأتمتة، والذكاء الاصطناعي، وإنترنت الأشياء، والبيانات الضخمة). واستخدمت الدراسة منهج المراجعة الأدبية المنهجية، وتكونت العينة من (98) دراسة سابقة. وتوصلت نتائج الدراسة إلى وجود علاقة تكاملية بين التحول الرقمي وإدارة المواهب. وأوصت بمزيد من الأبحاث حول تأثير الصناعة الرابعة على إدارة المواهب</w:t>
      </w:r>
      <w:r w:rsidRPr="00A37589">
        <w:rPr>
          <w:rFonts w:ascii="Simplified Arabic" w:hAnsi="Simplified Arabic" w:cs="Simplified Arabic"/>
          <w:sz w:val="28"/>
          <w:szCs w:val="28"/>
        </w:rPr>
        <w:t>.</w:t>
      </w:r>
    </w:p>
    <w:p w14:paraId="79DC5EEF" w14:textId="1954BBF7" w:rsidR="005F0787" w:rsidRDefault="00AB1BE5">
      <w:pPr>
        <w:pStyle w:val="a6"/>
        <w:numPr>
          <w:ilvl w:val="0"/>
          <w:numId w:val="7"/>
        </w:numPr>
        <w:spacing w:before="100" w:beforeAutospacing="1" w:after="100" w:afterAutospacing="1" w:line="276" w:lineRule="auto"/>
        <w:ind w:left="424"/>
        <w:jc w:val="both"/>
        <w:rPr>
          <w:rFonts w:ascii="Simplified Arabic" w:hAnsi="Simplified Arabic" w:cs="Simplified Arabic"/>
          <w:b/>
          <w:bCs/>
          <w:sz w:val="28"/>
          <w:szCs w:val="28"/>
          <w:rtl/>
        </w:rPr>
      </w:pPr>
      <w:r w:rsidRPr="00A37589">
        <w:rPr>
          <w:rFonts w:ascii="Simplified Arabic" w:hAnsi="Simplified Arabic" w:cs="Simplified Arabic"/>
          <w:b/>
          <w:bCs/>
          <w:sz w:val="28"/>
          <w:szCs w:val="28"/>
          <w:rtl/>
        </w:rPr>
        <w:t>دراسة</w:t>
      </w:r>
      <w:r w:rsidRPr="00A37589">
        <w:rPr>
          <w:rFonts w:ascii="Simplified Arabic" w:hAnsi="Simplified Arabic" w:cs="Simplified Arabic"/>
          <w:b/>
          <w:bCs/>
          <w:sz w:val="28"/>
          <w:szCs w:val="28"/>
        </w:rPr>
        <w:t xml:space="preserve"> </w:t>
      </w:r>
      <w:proofErr w:type="spellStart"/>
      <w:r w:rsidRPr="00A37589">
        <w:rPr>
          <w:rFonts w:ascii="Simplified Arabic" w:hAnsi="Simplified Arabic" w:cs="Simplified Arabic"/>
          <w:b/>
          <w:bCs/>
          <w:sz w:val="28"/>
          <w:szCs w:val="28"/>
        </w:rPr>
        <w:t>Evans-Uzosike</w:t>
      </w:r>
      <w:proofErr w:type="spellEnd"/>
      <w:r w:rsidRPr="00A37589">
        <w:rPr>
          <w:rFonts w:ascii="Simplified Arabic" w:hAnsi="Simplified Arabic" w:cs="Simplified Arabic"/>
          <w:b/>
          <w:bCs/>
          <w:sz w:val="28"/>
          <w:szCs w:val="28"/>
        </w:rPr>
        <w:t xml:space="preserve"> &amp; </w:t>
      </w:r>
      <w:proofErr w:type="spellStart"/>
      <w:r w:rsidRPr="00A37589">
        <w:rPr>
          <w:rFonts w:ascii="Simplified Arabic" w:hAnsi="Simplified Arabic" w:cs="Simplified Arabic"/>
          <w:b/>
          <w:bCs/>
          <w:sz w:val="28"/>
          <w:szCs w:val="28"/>
        </w:rPr>
        <w:t>Okatta</w:t>
      </w:r>
      <w:proofErr w:type="spellEnd"/>
      <w:r w:rsidRPr="00A37589">
        <w:rPr>
          <w:rFonts w:ascii="Simplified Arabic" w:hAnsi="Simplified Arabic" w:cs="Simplified Arabic"/>
          <w:b/>
          <w:bCs/>
          <w:sz w:val="28"/>
          <w:szCs w:val="28"/>
        </w:rPr>
        <w:t xml:space="preserve"> (2023): “Talent Management in the Age of Gig Economy and Remote Work and AI”</w:t>
      </w:r>
    </w:p>
    <w:p w14:paraId="4DF90722" w14:textId="7C490BC0"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 xml:space="preserve">هدفت الدراسة إلى التعرف على ممارسات إدارة المواهب بأبعادها (الاستقطاب، والتطوير، والاحتفاظ) في ظل اقتصاد المهام والعمل عن بُعد والذكاء الاصطناعي. واستخدمت الدراسة المنهج الوصفي التحليلي، وتكونت </w:t>
      </w:r>
      <w:r w:rsidRPr="00A37589">
        <w:rPr>
          <w:rFonts w:ascii="Simplified Arabic" w:hAnsi="Simplified Arabic" w:cs="Simplified Arabic"/>
          <w:sz w:val="28"/>
          <w:szCs w:val="28"/>
          <w:rtl/>
        </w:rPr>
        <w:lastRenderedPageBreak/>
        <w:t>العينة من مجموعة من الدراسات والتقارير الحديثة. وتوصلت نتائج الدراسة إلى ضرورة تكييف ممارسات إدارة المواهب مع التغيرات التكنولوجية والاقتصادية. وأوصت بتطوير استراتيجيات مرنة لإدارة المواهب</w:t>
      </w:r>
      <w:r w:rsidRPr="00A37589">
        <w:rPr>
          <w:rFonts w:ascii="Simplified Arabic" w:hAnsi="Simplified Arabic" w:cs="Simplified Arabic"/>
          <w:sz w:val="28"/>
          <w:szCs w:val="28"/>
        </w:rPr>
        <w:t>.</w:t>
      </w:r>
    </w:p>
    <w:p w14:paraId="66B22CE9"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المحور الثاني: الدراسات المتعلقة بالمتغير التابع (الولاء الوظيفي) وعلاقته بمتغيرات أخرى</w:t>
      </w:r>
    </w:p>
    <w:p w14:paraId="5C71CEA5"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أولاً: الدراسات العربية</w:t>
      </w:r>
    </w:p>
    <w:p w14:paraId="53D89171" w14:textId="365085ED" w:rsidR="005F0787" w:rsidRPr="005F0787" w:rsidRDefault="00AB1BE5">
      <w:pPr>
        <w:pStyle w:val="a6"/>
        <w:numPr>
          <w:ilvl w:val="0"/>
          <w:numId w:val="8"/>
        </w:numPr>
        <w:spacing w:before="100" w:beforeAutospacing="1" w:after="100" w:afterAutospacing="1" w:line="276" w:lineRule="auto"/>
        <w:jc w:val="both"/>
        <w:rPr>
          <w:rFonts w:ascii="Simplified Arabic" w:hAnsi="Simplified Arabic" w:cs="Simplified Arabic"/>
          <w:b/>
          <w:bCs/>
          <w:sz w:val="28"/>
          <w:szCs w:val="28"/>
          <w:rtl/>
        </w:rPr>
      </w:pPr>
      <w:r w:rsidRPr="005F0787">
        <w:rPr>
          <w:rFonts w:ascii="Simplified Arabic" w:hAnsi="Simplified Arabic" w:cs="Simplified Arabic"/>
          <w:b/>
          <w:bCs/>
          <w:sz w:val="28"/>
          <w:szCs w:val="28"/>
          <w:rtl/>
        </w:rPr>
        <w:t>دراسة تباني وبوعمامة (2021): “الرضا الوظيفي وعلاقته بالولاء التنظيمي</w:t>
      </w:r>
      <w:r w:rsidRPr="005F0787">
        <w:rPr>
          <w:rFonts w:ascii="Simplified Arabic" w:hAnsi="Simplified Arabic" w:cs="Simplified Arabic"/>
          <w:b/>
          <w:bCs/>
          <w:sz w:val="28"/>
          <w:szCs w:val="28"/>
        </w:rPr>
        <w:t>”</w:t>
      </w:r>
    </w:p>
    <w:p w14:paraId="15116E47" w14:textId="48479A95" w:rsidR="00AB1BE5" w:rsidRPr="005F0787"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5F0787">
        <w:rPr>
          <w:rFonts w:ascii="Simplified Arabic" w:hAnsi="Simplified Arabic" w:cs="Simplified Arabic"/>
          <w:sz w:val="28"/>
          <w:szCs w:val="28"/>
          <w:rtl/>
        </w:rPr>
        <w:t>هدفت الدراسة إلى التعرف على العلاقة بين الرضا الوظيفي بأبعاده (الرضا عن الأجر، والرضا عن العمل ذاته، والرضا عن الترقية، والرضا عن الإشراف، والرضا عن جماعة العمل) والولاء التنظيمي لدى مجموعة من الإطارات بمديرية العتاد المركزي بميناء الجزائر. واستخدمت الدراسة المنهج الوصفي التحليلي، وتكونت العينة من (60) إطاراً. وتوصلت نتائج الدراسة إلى وجود علاقة ارتباطية موجبة بين الرضا الوظيفي والولاء التنظيمي. وأوصت بتعزيز مستويات الرضا الوظيفي لتنمية الولاء التنظيمي</w:t>
      </w:r>
      <w:r w:rsidRPr="005F0787">
        <w:rPr>
          <w:rFonts w:ascii="Simplified Arabic" w:hAnsi="Simplified Arabic" w:cs="Simplified Arabic"/>
          <w:sz w:val="28"/>
          <w:szCs w:val="28"/>
        </w:rPr>
        <w:t>.</w:t>
      </w:r>
    </w:p>
    <w:p w14:paraId="483C02D1" w14:textId="4144F0DB" w:rsidR="005F0787" w:rsidRPr="005F0787" w:rsidRDefault="00AB1BE5">
      <w:pPr>
        <w:pStyle w:val="a6"/>
        <w:numPr>
          <w:ilvl w:val="0"/>
          <w:numId w:val="8"/>
        </w:numPr>
        <w:spacing w:before="100" w:beforeAutospacing="1" w:after="100" w:afterAutospacing="1" w:line="276" w:lineRule="auto"/>
        <w:jc w:val="both"/>
        <w:rPr>
          <w:rFonts w:ascii="Simplified Arabic" w:hAnsi="Simplified Arabic" w:cs="Simplified Arabic"/>
          <w:b/>
          <w:bCs/>
          <w:sz w:val="28"/>
          <w:szCs w:val="28"/>
          <w:rtl/>
        </w:rPr>
      </w:pPr>
      <w:r w:rsidRPr="005F0787">
        <w:rPr>
          <w:rFonts w:ascii="Simplified Arabic" w:hAnsi="Simplified Arabic" w:cs="Simplified Arabic"/>
          <w:b/>
          <w:bCs/>
          <w:sz w:val="28"/>
          <w:szCs w:val="28"/>
          <w:rtl/>
        </w:rPr>
        <w:t>دراسة الحربي (2025): “أثر الولاء الوظيفي على الأداء الوظيفي للعاملين</w:t>
      </w:r>
      <w:r w:rsidRPr="005F0787">
        <w:rPr>
          <w:rFonts w:ascii="Simplified Arabic" w:hAnsi="Simplified Arabic" w:cs="Simplified Arabic"/>
          <w:b/>
          <w:bCs/>
          <w:sz w:val="28"/>
          <w:szCs w:val="28"/>
        </w:rPr>
        <w:t>”</w:t>
      </w:r>
    </w:p>
    <w:p w14:paraId="58C06791" w14:textId="052C40AE" w:rsidR="00AB1BE5" w:rsidRPr="005F0787"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5F0787">
        <w:rPr>
          <w:rFonts w:ascii="Simplified Arabic" w:hAnsi="Simplified Arabic" w:cs="Simplified Arabic"/>
          <w:sz w:val="28"/>
          <w:szCs w:val="28"/>
          <w:rtl/>
        </w:rPr>
        <w:t>هدفت الدراسة إلى التعرف على أثر الولاء الوظيفي بأبعاده (الولاء العاطفي، والولاء المعياري، والولاء المستمر) على الأداء الوظيفي للعاملين بشركة المراعي في المملكة العربية السعودية. واستخدمت الدراسة المنهج الوصفي التحليلي، وتكونت العينة من (250) موظفاً. وتوصلت نتائج الدراسة إلى وجود أثر إيجابي للولاء الوظيفي على الأداء الوظيفي. وأوصت بتعزيز ممارسات بناء الولاء الوظيفي لدى العاملين</w:t>
      </w:r>
      <w:r w:rsidRPr="005F0787">
        <w:rPr>
          <w:rFonts w:ascii="Simplified Arabic" w:hAnsi="Simplified Arabic" w:cs="Simplified Arabic"/>
          <w:sz w:val="28"/>
          <w:szCs w:val="28"/>
        </w:rPr>
        <w:t>.</w:t>
      </w:r>
    </w:p>
    <w:p w14:paraId="35D4979F" w14:textId="37C96F0D" w:rsidR="005F0787" w:rsidRPr="005F0787" w:rsidRDefault="00AB1BE5">
      <w:pPr>
        <w:pStyle w:val="a6"/>
        <w:numPr>
          <w:ilvl w:val="0"/>
          <w:numId w:val="8"/>
        </w:numPr>
        <w:spacing w:before="100" w:beforeAutospacing="1" w:after="100" w:afterAutospacing="1" w:line="276" w:lineRule="auto"/>
        <w:jc w:val="both"/>
        <w:rPr>
          <w:rFonts w:ascii="Simplified Arabic" w:hAnsi="Simplified Arabic" w:cs="Simplified Arabic"/>
          <w:b/>
          <w:bCs/>
          <w:sz w:val="28"/>
          <w:szCs w:val="28"/>
          <w:rtl/>
        </w:rPr>
      </w:pPr>
      <w:r w:rsidRPr="005F0787">
        <w:rPr>
          <w:rFonts w:ascii="Simplified Arabic" w:hAnsi="Simplified Arabic" w:cs="Simplified Arabic"/>
          <w:b/>
          <w:bCs/>
          <w:sz w:val="28"/>
          <w:szCs w:val="28"/>
          <w:rtl/>
        </w:rPr>
        <w:t>دراسة السيد وجودة (2022): “أثر الإحباط الوظيفي على الولاء التنظيمي</w:t>
      </w:r>
      <w:r w:rsidRPr="005F0787">
        <w:rPr>
          <w:rFonts w:ascii="Simplified Arabic" w:hAnsi="Simplified Arabic" w:cs="Simplified Arabic"/>
          <w:b/>
          <w:bCs/>
          <w:sz w:val="28"/>
          <w:szCs w:val="28"/>
        </w:rPr>
        <w:t>”</w:t>
      </w:r>
    </w:p>
    <w:p w14:paraId="68521458" w14:textId="1372E95C" w:rsidR="00AB1BE5" w:rsidRPr="005F0787"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5F0787">
        <w:rPr>
          <w:rFonts w:ascii="Simplified Arabic" w:hAnsi="Simplified Arabic" w:cs="Simplified Arabic"/>
          <w:sz w:val="28"/>
          <w:szCs w:val="28"/>
          <w:rtl/>
        </w:rPr>
        <w:t>هدفت الدراسة إلى التعرف على أثر الإحباط الوظيفي بأبعاده (ضغوط العمل، وضعف الحوافز، وسوء ظروف العمل، وضعف الترقيات) على الولاء التنظيمي لدى العاملين بشركة شمال الدلتا لتوزيع الكهرباء. واستخدمت الدراسة المنهج الوصفي التحليلي، وتكونت العينة من (370) عاملاً. وتوصلت نتائج الدراسة إلى وجود أثر سلبي للإحباط الوظيفي على الولاء التنظيمي. وأوصت بضرورة معالجة مصادر الإحباط الوظيفي لتعزيز الولاء التنظيمي</w:t>
      </w:r>
      <w:r w:rsidRPr="005F0787">
        <w:rPr>
          <w:rFonts w:ascii="Simplified Arabic" w:hAnsi="Simplified Arabic" w:cs="Simplified Arabic"/>
          <w:sz w:val="28"/>
          <w:szCs w:val="28"/>
        </w:rPr>
        <w:t>.</w:t>
      </w:r>
    </w:p>
    <w:p w14:paraId="63985FD8" w14:textId="67A1BB02" w:rsidR="005F0787" w:rsidRPr="005F0787" w:rsidRDefault="00AB1BE5">
      <w:pPr>
        <w:pStyle w:val="a6"/>
        <w:numPr>
          <w:ilvl w:val="0"/>
          <w:numId w:val="8"/>
        </w:numPr>
        <w:spacing w:before="100" w:beforeAutospacing="1" w:after="100" w:afterAutospacing="1" w:line="276" w:lineRule="auto"/>
        <w:jc w:val="both"/>
        <w:rPr>
          <w:rFonts w:ascii="Simplified Arabic" w:hAnsi="Simplified Arabic" w:cs="Simplified Arabic"/>
          <w:b/>
          <w:bCs/>
          <w:sz w:val="28"/>
          <w:szCs w:val="28"/>
          <w:rtl/>
        </w:rPr>
      </w:pPr>
      <w:r w:rsidRPr="005F0787">
        <w:rPr>
          <w:rFonts w:ascii="Simplified Arabic" w:hAnsi="Simplified Arabic" w:cs="Simplified Arabic"/>
          <w:b/>
          <w:bCs/>
          <w:sz w:val="28"/>
          <w:szCs w:val="28"/>
          <w:rtl/>
        </w:rPr>
        <w:lastRenderedPageBreak/>
        <w:t>دراسة العويمر والشبلي (2023): “تأثير رفاهية الموظفين على الولاء الوظيفي: الدور الوسيط للرضا الوظيفي</w:t>
      </w:r>
      <w:r w:rsidRPr="005F0787">
        <w:rPr>
          <w:rFonts w:ascii="Simplified Arabic" w:hAnsi="Simplified Arabic" w:cs="Simplified Arabic"/>
          <w:b/>
          <w:bCs/>
          <w:sz w:val="28"/>
          <w:szCs w:val="28"/>
        </w:rPr>
        <w:t>”</w:t>
      </w:r>
    </w:p>
    <w:p w14:paraId="2FE358AC" w14:textId="48FD3FE6" w:rsidR="00AB1BE5" w:rsidRPr="005F0787"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5F0787">
        <w:rPr>
          <w:rFonts w:ascii="Simplified Arabic" w:hAnsi="Simplified Arabic" w:cs="Simplified Arabic"/>
          <w:sz w:val="28"/>
          <w:szCs w:val="28"/>
          <w:rtl/>
        </w:rPr>
        <w:t>هدفت الدراسة إلى التعرف على تأثير رفاهية الموظفين بأبعادها (الرفاهية النفسية، والرفاهية الجسدية، والرفاهية الاجتماعية، والرفاهية المالية) على الولاء الوظيفي بتوسط الرضا الوظيفي في شركات الاتصالات الأردنية. واستخدمت الدراسة المنهج الوصفي التحليلي، وتكونت العينة من (355) موظفاً. وتوصلت نتائج الدراسة إلى وجود تأثير إيجابي لرفاهية الموظفين على الولاء الوظيفي بتوسط الرضا الوظيفي. وأوصت بتبني برامج شاملة لتعزيز رفاهية الموظفين</w:t>
      </w:r>
      <w:r w:rsidRPr="005F0787">
        <w:rPr>
          <w:rFonts w:ascii="Simplified Arabic" w:hAnsi="Simplified Arabic" w:cs="Simplified Arabic"/>
          <w:sz w:val="28"/>
          <w:szCs w:val="28"/>
        </w:rPr>
        <w:t>.</w:t>
      </w:r>
    </w:p>
    <w:p w14:paraId="42838647" w14:textId="4AC3203E" w:rsidR="005F0787" w:rsidRPr="005F0787" w:rsidRDefault="00AB1BE5">
      <w:pPr>
        <w:pStyle w:val="a6"/>
        <w:numPr>
          <w:ilvl w:val="0"/>
          <w:numId w:val="8"/>
        </w:numPr>
        <w:spacing w:before="100" w:beforeAutospacing="1" w:after="100" w:afterAutospacing="1" w:line="276" w:lineRule="auto"/>
        <w:jc w:val="both"/>
        <w:rPr>
          <w:rFonts w:ascii="Simplified Arabic" w:hAnsi="Simplified Arabic" w:cs="Simplified Arabic"/>
          <w:b/>
          <w:bCs/>
          <w:sz w:val="28"/>
          <w:szCs w:val="28"/>
          <w:rtl/>
        </w:rPr>
      </w:pPr>
      <w:r w:rsidRPr="005F0787">
        <w:rPr>
          <w:rFonts w:ascii="Simplified Arabic" w:hAnsi="Simplified Arabic" w:cs="Simplified Arabic"/>
          <w:b/>
          <w:bCs/>
          <w:sz w:val="28"/>
          <w:szCs w:val="28"/>
          <w:rtl/>
        </w:rPr>
        <w:t>دراسة القحطاني والعماري (2021): “أثر تنمية الموارد البشرية على الولاء الوظيفي</w:t>
      </w:r>
      <w:r w:rsidRPr="005F0787">
        <w:rPr>
          <w:rFonts w:ascii="Simplified Arabic" w:hAnsi="Simplified Arabic" w:cs="Simplified Arabic"/>
          <w:b/>
          <w:bCs/>
          <w:sz w:val="28"/>
          <w:szCs w:val="28"/>
        </w:rPr>
        <w:t>”</w:t>
      </w:r>
    </w:p>
    <w:p w14:paraId="3FCD9D1F" w14:textId="00F49739" w:rsidR="00AB1BE5" w:rsidRPr="005F0787"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5F0787">
        <w:rPr>
          <w:rFonts w:ascii="Simplified Arabic" w:hAnsi="Simplified Arabic" w:cs="Simplified Arabic"/>
          <w:sz w:val="28"/>
          <w:szCs w:val="28"/>
          <w:rtl/>
        </w:rPr>
        <w:t>هدفت الدراسة إلى التعرف على أثر تنمية الموارد البشرية بأبعادها (التدريب، والتطوير الوظيفي، والتحفيز، وتقييم الأداء) على الولاء الوظيفي بإمارة منطقة عسير بالمملكة العربية السعودية. واستخدمت الدراسة المنهج الوصفي التحليلي، وتكونت العينة من (300) موظفاً. وتوصلت نتائج الدراسة إلى وجود أثر إيجابي لتنمية الموارد البشرية على الولاء الوظيفي. وأوصت بضرورة الاستثمار في برامج تنمية الموارد البشرية لتعزيز الولاء الوظيفي</w:t>
      </w:r>
      <w:r w:rsidRPr="005F0787">
        <w:rPr>
          <w:rFonts w:ascii="Simplified Arabic" w:hAnsi="Simplified Arabic" w:cs="Simplified Arabic"/>
          <w:sz w:val="28"/>
          <w:szCs w:val="28"/>
        </w:rPr>
        <w:t>.</w:t>
      </w:r>
    </w:p>
    <w:p w14:paraId="4E11718C"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ثانياً: الدراسات الأجنبية</w:t>
      </w:r>
    </w:p>
    <w:p w14:paraId="46E1420D" w14:textId="4AAFC969" w:rsidR="005F0787" w:rsidRPr="005F0787" w:rsidRDefault="00AB1BE5">
      <w:pPr>
        <w:pStyle w:val="a6"/>
        <w:numPr>
          <w:ilvl w:val="0"/>
          <w:numId w:val="9"/>
        </w:numPr>
        <w:spacing w:before="100" w:beforeAutospacing="1" w:after="100" w:afterAutospacing="1" w:line="276" w:lineRule="auto"/>
        <w:jc w:val="both"/>
        <w:rPr>
          <w:rFonts w:ascii="Simplified Arabic" w:hAnsi="Simplified Arabic" w:cs="Simplified Arabic"/>
          <w:b/>
          <w:bCs/>
          <w:sz w:val="28"/>
          <w:szCs w:val="28"/>
          <w:rtl/>
        </w:rPr>
      </w:pPr>
      <w:r w:rsidRPr="005F0787">
        <w:rPr>
          <w:rFonts w:ascii="Simplified Arabic" w:hAnsi="Simplified Arabic" w:cs="Simplified Arabic"/>
          <w:b/>
          <w:bCs/>
          <w:sz w:val="28"/>
          <w:szCs w:val="28"/>
          <w:rtl/>
        </w:rPr>
        <w:t>دراسة</w:t>
      </w:r>
      <w:r w:rsidRPr="005F0787">
        <w:rPr>
          <w:rFonts w:ascii="Simplified Arabic" w:hAnsi="Simplified Arabic" w:cs="Simplified Arabic"/>
          <w:b/>
          <w:bCs/>
          <w:sz w:val="28"/>
          <w:szCs w:val="28"/>
        </w:rPr>
        <w:t xml:space="preserve"> </w:t>
      </w:r>
      <w:proofErr w:type="spellStart"/>
      <w:r w:rsidRPr="005F0787">
        <w:rPr>
          <w:rFonts w:ascii="Simplified Arabic" w:hAnsi="Simplified Arabic" w:cs="Simplified Arabic"/>
          <w:b/>
          <w:bCs/>
          <w:sz w:val="28"/>
          <w:szCs w:val="28"/>
        </w:rPr>
        <w:t>Setiawan</w:t>
      </w:r>
      <w:proofErr w:type="spellEnd"/>
      <w:r w:rsidRPr="005F0787">
        <w:rPr>
          <w:rFonts w:ascii="Simplified Arabic" w:hAnsi="Simplified Arabic" w:cs="Simplified Arabic"/>
          <w:b/>
          <w:bCs/>
          <w:sz w:val="28"/>
          <w:szCs w:val="28"/>
        </w:rPr>
        <w:t xml:space="preserve"> &amp; </w:t>
      </w:r>
      <w:proofErr w:type="spellStart"/>
      <w:r w:rsidRPr="005F0787">
        <w:rPr>
          <w:rFonts w:ascii="Simplified Arabic" w:hAnsi="Simplified Arabic" w:cs="Simplified Arabic"/>
          <w:b/>
          <w:bCs/>
          <w:sz w:val="28"/>
          <w:szCs w:val="28"/>
        </w:rPr>
        <w:t>Wakhyuni</w:t>
      </w:r>
      <w:proofErr w:type="spellEnd"/>
      <w:r w:rsidRPr="005F0787">
        <w:rPr>
          <w:rFonts w:ascii="Simplified Arabic" w:hAnsi="Simplified Arabic" w:cs="Simplified Arabic"/>
          <w:b/>
          <w:bCs/>
          <w:sz w:val="28"/>
          <w:szCs w:val="28"/>
        </w:rPr>
        <w:t xml:space="preserve"> (2025): “Building Employee Loyalty: Strategies to Reduce Turnover Intention in Companies in the Digital Era”</w:t>
      </w:r>
    </w:p>
    <w:p w14:paraId="0E3DE60C" w14:textId="1DE324A4" w:rsidR="00AB1BE5" w:rsidRPr="005F0787"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5F0787">
        <w:rPr>
          <w:rFonts w:ascii="Simplified Arabic" w:hAnsi="Simplified Arabic" w:cs="Simplified Arabic"/>
          <w:sz w:val="28"/>
          <w:szCs w:val="28"/>
          <w:rtl/>
        </w:rPr>
        <w:t>هدفت الدراسة إلى التعرف على استراتيجيات بناء الولاء الوظيفي بأبعاده (الولاء العاطفي، والولاء المستمر، والولاء المعياري) للحد من نية ترك العمل في الشركات في العصر الرقمي. واستخدمت الدراسة المنهج الوصفي التحليلي، وتكونت العينة من مجموعة من الشركات في إندونيسيا. وتوصلت نتائج الدراسة إلى أن تعزيز الولاء الوظيفي يقلل من نية ترك العمل. وأوصت الدراسة بتبني استراتيجيات متكاملة لبناء الولاء الوظيفي في البيئة الرقمية</w:t>
      </w:r>
      <w:r w:rsidRPr="005F0787">
        <w:rPr>
          <w:rFonts w:ascii="Simplified Arabic" w:hAnsi="Simplified Arabic" w:cs="Simplified Arabic"/>
          <w:sz w:val="28"/>
          <w:szCs w:val="28"/>
        </w:rPr>
        <w:t>.</w:t>
      </w:r>
    </w:p>
    <w:p w14:paraId="6F4190C9" w14:textId="014A2D2F" w:rsidR="00AB1BE5" w:rsidRPr="001469DD" w:rsidRDefault="005F0787" w:rsidP="001469DD">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17" w:name="_Toc234278694"/>
      <w:r>
        <w:rPr>
          <w:rFonts w:ascii="Simplified Arabic" w:eastAsia="Calibri" w:hAnsi="Simplified Arabic" w:cs="Simplified Arabic" w:hint="cs"/>
          <w:b/>
          <w:bCs/>
          <w:color w:val="000000" w:themeColor="text1"/>
          <w:sz w:val="36"/>
          <w:szCs w:val="36"/>
          <w:rtl/>
          <w:lang w:bidi="ar-EG"/>
        </w:rPr>
        <w:t xml:space="preserve">8.1 </w:t>
      </w:r>
      <w:r w:rsidR="00AB1BE5" w:rsidRPr="001469DD">
        <w:rPr>
          <w:rFonts w:ascii="Simplified Arabic" w:eastAsia="Calibri" w:hAnsi="Simplified Arabic" w:cs="Simplified Arabic"/>
          <w:b/>
          <w:bCs/>
          <w:color w:val="000000" w:themeColor="text1"/>
          <w:sz w:val="36"/>
          <w:szCs w:val="36"/>
          <w:rtl/>
          <w:lang w:bidi="ar-EG"/>
        </w:rPr>
        <w:t>الفجوة البحثية والمنطلقات النظرية للدراسة</w:t>
      </w:r>
      <w:bookmarkEnd w:id="17"/>
    </w:p>
    <w:p w14:paraId="0E86F9F0" w14:textId="0D4A8693" w:rsidR="00AB1BE5" w:rsidRPr="005F0787" w:rsidRDefault="005F0787" w:rsidP="005F0787">
      <w:pPr>
        <w:spacing w:before="100" w:beforeAutospacing="1" w:after="100" w:afterAutospacing="1" w:line="276" w:lineRule="auto"/>
        <w:jc w:val="both"/>
        <w:outlineLvl w:val="2"/>
        <w:rPr>
          <w:rFonts w:ascii="Simplified Arabic" w:eastAsia="Calibri" w:hAnsi="Simplified Arabic" w:cs="Simplified Arabic"/>
          <w:b/>
          <w:bCs/>
          <w:color w:val="000000" w:themeColor="text1"/>
          <w:sz w:val="28"/>
          <w:szCs w:val="28"/>
          <w:rtl/>
          <w:lang w:bidi="ar-EG"/>
        </w:rPr>
      </w:pPr>
      <w:bookmarkStart w:id="18" w:name="_Toc234278695"/>
      <w:r>
        <w:rPr>
          <w:rFonts w:ascii="Simplified Arabic" w:eastAsia="Calibri" w:hAnsi="Simplified Arabic" w:cs="Simplified Arabic" w:hint="cs"/>
          <w:b/>
          <w:bCs/>
          <w:color w:val="000000" w:themeColor="text1"/>
          <w:sz w:val="28"/>
          <w:szCs w:val="28"/>
          <w:rtl/>
          <w:lang w:bidi="ar-EG"/>
        </w:rPr>
        <w:t xml:space="preserve">1.8.1 </w:t>
      </w:r>
      <w:r w:rsidR="00AB1BE5" w:rsidRPr="005F0787">
        <w:rPr>
          <w:rFonts w:ascii="Simplified Arabic" w:eastAsia="Calibri" w:hAnsi="Simplified Arabic" w:cs="Simplified Arabic"/>
          <w:b/>
          <w:bCs/>
          <w:color w:val="000000" w:themeColor="text1"/>
          <w:sz w:val="28"/>
          <w:szCs w:val="28"/>
          <w:rtl/>
          <w:lang w:bidi="ar-EG"/>
        </w:rPr>
        <w:t>أولاً: الفجوة البحثية</w:t>
      </w:r>
      <w:bookmarkEnd w:id="18"/>
    </w:p>
    <w:p w14:paraId="0C8D8F86"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lastRenderedPageBreak/>
        <w:t>من خلال الاستعراض النقدي والتحليلي للدراسات السابقة العربية والأجنبية التي تناولت متغيرات الدراسة الحالية، يتضح أن ثمة أوجه اتفاق وأوجه اختلاف بينها وبين الدراسة الحالية، تُشكّل في مجملها مسوغاً منطقياً لإجراء هذه الدراسة. فمن حيث أوجه الاتفاق، تتفق الدراسة الحالية مع معظم الدراسات السابقة في تناولها لمتغير التحول الرقمي كدراسة حسين وعبدالهادي وجمال (2023)، والعمريين والربابعة (2023)، والجبور والزيديين (2022)، والشقاحين والعزب (2024)، وسعيد وإسماعيل (2023)، وذلك من حيث الاعتراف بأهميته الاستراتيجية في المنظمات المعاصرة، كما تتفق مع دراسات القديمات والخشالي (2024)، والسليحات والصوالحة (2022)، وبوهالي وبومجان (2023)، والكايد والبلوش (2023) في تناول متغير إدارة المواهب باعتباره متغيراً محورياً في تحقيق المخرجات التنظيمية المرغوبة، فضلاً عن اتفاقها مع دراسات تباني وبوعمامة (2021)، والحربي (2025)، والسيد وجودة (2022)، والعويمر والشبلي (2023)، والقحطاني والعماري (2021) في تناول متغير الولاء الوظيفي بوصفه أحد أبرز المخرجات السلوكية للعاملين. كما تتفق الدراسة الحالية مع غالبية الدراسات السابقة في تبنّي المنهج الوصفي التحليلي وفي اعتماد الاستبانة أداةً رئيسية لجمع البيانات الميدانية.</w:t>
      </w:r>
    </w:p>
    <w:p w14:paraId="64356A40"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 xml:space="preserve">أما من حيث أوجه الاختلاف، فتتميز الدراسة الحالية عن سابقاتها في جوانب عدة؛ إذ إن معظم الدراسات السابقة تناولت متغيرات الدراسة الحالية بشكل منفرد أو ثنائي، فبينما ركّزت دراسة حسين وعبدالهادي وجمال (2023) على العلاقة بين التحول الرقمي والأداء التنظيمي، وتناولت دراسة القديمات والخشالي (2024) العلاقة بين إدارة المواهب والتميز المنظمي بوجود التحول الرقمي كمتغير معدل، وبحثت دراسة الحربي (2025) في أثر الولاء الوظيفي على الأداء الوظيفي؛ فإن الدراسة الحالية تنفرد بالجمع بين المتغيرات الثلاثة (التحول الرقمي، وإدارة المواهب، والولاء الوظيفي) في إطار نموذج بحثي متكامل، وهو ما لم تتناوله الدراسات السابقة في حدود اطلاع الباحث. كما تختلف الدراسة الحالية من حيث بيئة التطبيق، حيث طُبّقت الدراسات السابقة في بيئات متعددة كالشركة المصرية للاتصالات، والمؤسسة العامة للضمان الاجتماعي الأردني، وأمانة عمّان الكبرى، وشركات التأمين الأردنية، والبنوك الإسلامية الفلسطينية، بينما تُطبّق الدراسة الحالية في قطاع الشركات التقنية الناشئة بالمملكة العربية السعودية، وهو قطاع حيوي ومتنامٍ يتسم بخصوصية فريدة تجعله بيئة بحثية غنية. كما تختلف الدراسة الحالية عن الدراسات الأجنبية كدراسة </w:t>
      </w:r>
      <w:r w:rsidRPr="00A37589">
        <w:rPr>
          <w:rFonts w:ascii="Simplified Arabic" w:hAnsi="Simplified Arabic" w:cs="Simplified Arabic"/>
          <w:sz w:val="28"/>
          <w:szCs w:val="28"/>
        </w:rPr>
        <w:t>Banerjee &amp; Sharma</w:t>
      </w:r>
      <w:r w:rsidRPr="00A37589">
        <w:rPr>
          <w:rFonts w:ascii="Simplified Arabic" w:hAnsi="Simplified Arabic" w:cs="Simplified Arabic"/>
          <w:sz w:val="28"/>
          <w:szCs w:val="28"/>
          <w:rtl/>
        </w:rPr>
        <w:t xml:space="preserve"> (2025)، و</w:t>
      </w:r>
      <w:proofErr w:type="spellStart"/>
      <w:r w:rsidRPr="00A37589">
        <w:rPr>
          <w:rFonts w:ascii="Simplified Arabic" w:hAnsi="Simplified Arabic" w:cs="Simplified Arabic"/>
          <w:sz w:val="28"/>
          <w:szCs w:val="28"/>
        </w:rPr>
        <w:t>Montero</w:t>
      </w:r>
      <w:proofErr w:type="spellEnd"/>
      <w:r w:rsidRPr="00A37589">
        <w:rPr>
          <w:rFonts w:ascii="Simplified Arabic" w:hAnsi="Simplified Arabic" w:cs="Simplified Arabic"/>
          <w:sz w:val="28"/>
          <w:szCs w:val="28"/>
        </w:rPr>
        <w:t xml:space="preserve"> Guerra &amp; </w:t>
      </w:r>
      <w:proofErr w:type="spellStart"/>
      <w:r w:rsidRPr="00A37589">
        <w:rPr>
          <w:rFonts w:ascii="Simplified Arabic" w:hAnsi="Simplified Arabic" w:cs="Simplified Arabic"/>
          <w:sz w:val="28"/>
          <w:szCs w:val="28"/>
        </w:rPr>
        <w:t>Danvila-Del</w:t>
      </w:r>
      <w:proofErr w:type="spellEnd"/>
      <w:r w:rsidRPr="00A37589">
        <w:rPr>
          <w:rFonts w:ascii="Simplified Arabic" w:hAnsi="Simplified Arabic" w:cs="Simplified Arabic"/>
          <w:sz w:val="28"/>
          <w:szCs w:val="28"/>
        </w:rPr>
        <w:t xml:space="preserve"> Valle</w:t>
      </w:r>
      <w:r w:rsidRPr="00A37589">
        <w:rPr>
          <w:rFonts w:ascii="Simplified Arabic" w:hAnsi="Simplified Arabic" w:cs="Simplified Arabic"/>
          <w:sz w:val="28"/>
          <w:szCs w:val="28"/>
          <w:rtl/>
        </w:rPr>
        <w:t xml:space="preserve"> (2024)، و</w:t>
      </w:r>
      <w:proofErr w:type="spellStart"/>
      <w:r w:rsidRPr="00A37589">
        <w:rPr>
          <w:rFonts w:ascii="Simplified Arabic" w:hAnsi="Simplified Arabic" w:cs="Simplified Arabic"/>
          <w:sz w:val="28"/>
          <w:szCs w:val="28"/>
        </w:rPr>
        <w:t>Gri</w:t>
      </w:r>
      <w:r w:rsidRPr="00A37589">
        <w:rPr>
          <w:rFonts w:ascii="Cambria" w:hAnsi="Cambria" w:cs="Cambria"/>
          <w:sz w:val="28"/>
          <w:szCs w:val="28"/>
        </w:rPr>
        <w:t>č</w:t>
      </w:r>
      <w:r w:rsidRPr="00A37589">
        <w:rPr>
          <w:rFonts w:ascii="Simplified Arabic" w:hAnsi="Simplified Arabic" w:cs="Simplified Arabic"/>
          <w:sz w:val="28"/>
          <w:szCs w:val="28"/>
        </w:rPr>
        <w:t>nik</w:t>
      </w:r>
      <w:proofErr w:type="spellEnd"/>
      <w:r w:rsidRPr="00A37589">
        <w:rPr>
          <w:rFonts w:ascii="Simplified Arabic" w:hAnsi="Simplified Arabic" w:cs="Simplified Arabic"/>
          <w:sz w:val="28"/>
          <w:szCs w:val="28"/>
        </w:rPr>
        <w:t xml:space="preserve"> et al</w:t>
      </w:r>
      <w:r w:rsidRPr="00A37589">
        <w:rPr>
          <w:rFonts w:ascii="Simplified Arabic" w:hAnsi="Simplified Arabic" w:cs="Simplified Arabic"/>
          <w:sz w:val="28"/>
          <w:szCs w:val="28"/>
          <w:rtl/>
        </w:rPr>
        <w:t>. (2024) التي اعتمدت في معظمها على منهج المراجعة الأدبية المنهجية، في كونها دراسة تطبيقية ميدانية تعتمد على بيانات مجموعة من العاملين في الشركات التقنية الناشئة.</w:t>
      </w:r>
    </w:p>
    <w:p w14:paraId="7D8DE43A"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lastRenderedPageBreak/>
        <w:t>وبناءً على ما تقدم، تتمثل الفجوة البحثية التي تسعى الدراسة الحالية إلى سدها في عدة جوانب؛ أولها: الفجوة المفاهيمية المتعلقة بالجمع بين التحول الرقمي وإدارة المواهب والولاء الوظيفي في نموذج بحثي واحد، وثانيها: الفجوة السياقية المرتبطة بندرة الدراسات التي تناولت هذه المتغيرات في قطاع الشركات التقنية الناشئة بالمملكة العربية السعودية تحديداً، وثالثها: الفجوة المنهجية المتعلقة بتقديم دراسة تطبيقية ميدانية تجمع بين متغيرات نظرية حديثة وبيئة عمل ديناميكية سريعة التغير، وهو ما يُبرز الإسهام العلمي المتوقع للدراسة الحالية في إثراء الأدبيات الإدارية ورفد صانعي القرار برؤى علمية دقيقة.</w:t>
      </w:r>
    </w:p>
    <w:p w14:paraId="2EDE5787" w14:textId="2814DEA5" w:rsidR="00AB1BE5" w:rsidRPr="005F0787" w:rsidRDefault="005F0787" w:rsidP="005F0787">
      <w:pPr>
        <w:spacing w:before="100" w:beforeAutospacing="1" w:after="100" w:afterAutospacing="1" w:line="276" w:lineRule="auto"/>
        <w:jc w:val="both"/>
        <w:outlineLvl w:val="2"/>
        <w:rPr>
          <w:rFonts w:ascii="Simplified Arabic" w:eastAsia="Calibri" w:hAnsi="Simplified Arabic" w:cs="Simplified Arabic"/>
          <w:b/>
          <w:bCs/>
          <w:color w:val="000000" w:themeColor="text1"/>
          <w:sz w:val="28"/>
          <w:szCs w:val="28"/>
          <w:rtl/>
          <w:lang w:bidi="ar-EG"/>
        </w:rPr>
      </w:pPr>
      <w:bookmarkStart w:id="19" w:name="_Toc234278696"/>
      <w:r>
        <w:rPr>
          <w:rFonts w:ascii="Simplified Arabic" w:eastAsia="Calibri" w:hAnsi="Simplified Arabic" w:cs="Simplified Arabic" w:hint="cs"/>
          <w:b/>
          <w:bCs/>
          <w:color w:val="000000" w:themeColor="text1"/>
          <w:sz w:val="28"/>
          <w:szCs w:val="28"/>
          <w:rtl/>
          <w:lang w:bidi="ar-EG"/>
        </w:rPr>
        <w:t xml:space="preserve">2.8.1 </w:t>
      </w:r>
      <w:r w:rsidR="00AB1BE5" w:rsidRPr="005F0787">
        <w:rPr>
          <w:rFonts w:ascii="Simplified Arabic" w:eastAsia="Calibri" w:hAnsi="Simplified Arabic" w:cs="Simplified Arabic"/>
          <w:b/>
          <w:bCs/>
          <w:color w:val="000000" w:themeColor="text1"/>
          <w:sz w:val="28"/>
          <w:szCs w:val="28"/>
          <w:rtl/>
          <w:lang w:bidi="ar-EG"/>
        </w:rPr>
        <w:t>ثانياً: المنطلقات النظرية للدراسة (الإطار النظري المصغر)</w:t>
      </w:r>
      <w:bookmarkEnd w:id="19"/>
    </w:p>
    <w:p w14:paraId="39013968"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تستند الدراسة الحالية إلى منظومة من المنطلقات النظرية التي تُشكّل الأساس الفكري والمفاهيمي الذي تنطلق منه، وذلك من خلال استعراض المفاهيم الرئيسية لمتغيرات الدراسة الثلاثة، والعلاقات التي تربط بينها في ضوء ما قدمته الأدبيات الإدارية المعاصرة.</w:t>
      </w:r>
    </w:p>
    <w:p w14:paraId="5BC46787" w14:textId="1F18E04D" w:rsidR="00AB1BE5" w:rsidRPr="005F0787" w:rsidRDefault="00AB1BE5" w:rsidP="005F0787">
      <w:pPr>
        <w:spacing w:before="100" w:beforeAutospacing="1" w:after="100" w:afterAutospacing="1" w:line="276" w:lineRule="auto"/>
        <w:jc w:val="both"/>
        <w:outlineLvl w:val="3"/>
        <w:rPr>
          <w:rFonts w:ascii="Simplified Arabic" w:eastAsia="Calibri" w:hAnsi="Simplified Arabic" w:cs="Simplified Arabic"/>
          <w:b/>
          <w:bCs/>
          <w:color w:val="000000" w:themeColor="text1"/>
          <w:sz w:val="28"/>
          <w:szCs w:val="28"/>
          <w:rtl/>
          <w:lang w:bidi="ar-EG"/>
        </w:rPr>
      </w:pPr>
      <w:r w:rsidRPr="005F0787">
        <w:rPr>
          <w:rFonts w:ascii="Simplified Arabic" w:eastAsia="Calibri" w:hAnsi="Simplified Arabic" w:cs="Simplified Arabic"/>
          <w:b/>
          <w:bCs/>
          <w:color w:val="000000" w:themeColor="text1"/>
          <w:sz w:val="28"/>
          <w:szCs w:val="28"/>
          <w:rtl/>
          <w:lang w:bidi="ar-EG"/>
        </w:rPr>
        <w:t>أولاً: التحول الرقمي (</w:t>
      </w:r>
      <w:r w:rsidRPr="005F0787">
        <w:rPr>
          <w:rFonts w:ascii="Simplified Arabic" w:eastAsia="Calibri" w:hAnsi="Simplified Arabic" w:cs="Simplified Arabic"/>
          <w:b/>
          <w:bCs/>
          <w:color w:val="000000" w:themeColor="text1"/>
          <w:sz w:val="28"/>
          <w:szCs w:val="28"/>
          <w:lang w:bidi="ar-EG"/>
        </w:rPr>
        <w:t>Digital Transformation</w:t>
      </w:r>
      <w:r w:rsidRPr="005F0787">
        <w:rPr>
          <w:rFonts w:ascii="Simplified Arabic" w:eastAsia="Calibri" w:hAnsi="Simplified Arabic" w:cs="Simplified Arabic"/>
          <w:b/>
          <w:bCs/>
          <w:color w:val="000000" w:themeColor="text1"/>
          <w:sz w:val="28"/>
          <w:szCs w:val="28"/>
          <w:rtl/>
          <w:lang w:bidi="ar-EG"/>
        </w:rPr>
        <w:t>)**</w:t>
      </w:r>
    </w:p>
    <w:p w14:paraId="496FE479"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يُعدّ التحول الرقمي أحد أبرز المفاهيم الإدارية التي فرضت نفسها على الساحة الأكاديمية والتطبيقية في العقد الأخير، وقد تعددت تعريفاته باختلاف زوايا النظر إليه. ويُشير التحول الرقمي في مفهومه الشامل إلى العملية التي تتبناها المنظمات لدمج التقنيات الرقمية في جميع مجالات أعمالها، مما يُحدث تغييراً جوهرياً في طريقة عملها وتقديم القيمة لعملائها وأصحاب المصلحة. ويتجاوز التحول الرقمي كونه مجرد تبنٍّ للتقنيات الحديثة، ليشمل تحولاً استراتيجياً وثقافياً وتنظيمياً شاملاً يُعيد تشكيل نموذج الأعمال بأكمله (حسين وعبدالهادي وجمال، 2023).</w:t>
      </w:r>
    </w:p>
    <w:p w14:paraId="71EA739A"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وتتعدد الأبعاد التي يشتمل عليها التحول الرقمي، وتتضمن في الغالب: البنية التحتية الرقمية، وهي مجموعة الأنظمة والشبكات والأجهزة التي تُشكّل العمود الفقري لعمليات التحول الرقمي؛ والاستراتيجية الرقمية، وهي الرؤية والخطط طويلة المدى التي توجه جهود المنظمة نحو الرقمنة؛ والثقافة الرقمية، وتشير إلى منظومة القيم والمعتقدات والسلوكيات الداعمة لتبني التقنيات الرقمية؛ والقيادة الرقمية، التي تُعنى بقدرة القادة على قيادة عمليات التحول الرقمي بكفاءة؛ والكفاءات الرقمية للعاملين، التي تُشير إلى مستوى المهارات والمعارف التقنية اللازمة للعمل في البيئة الرقمية (الشقاحين والعزب، 2024).</w:t>
      </w:r>
    </w:p>
    <w:p w14:paraId="25CDE1D0"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sz w:val="28"/>
          <w:szCs w:val="28"/>
          <w:rtl/>
        </w:rPr>
      </w:pPr>
      <w:r w:rsidRPr="00A37589">
        <w:rPr>
          <w:rFonts w:ascii="Simplified Arabic" w:hAnsi="Simplified Arabic" w:cs="Simplified Arabic"/>
          <w:sz w:val="28"/>
          <w:szCs w:val="28"/>
          <w:rtl/>
        </w:rPr>
        <w:lastRenderedPageBreak/>
        <w:t>وتنطلق الدراسة الحالية من نظرية القدرات الديناميكية (</w:t>
      </w:r>
      <w:r w:rsidRPr="00A37589">
        <w:rPr>
          <w:rFonts w:ascii="Simplified Arabic" w:hAnsi="Simplified Arabic" w:cs="Simplified Arabic"/>
          <w:sz w:val="28"/>
          <w:szCs w:val="28"/>
        </w:rPr>
        <w:t>Dynamic Capabilities Theory</w:t>
      </w:r>
      <w:r w:rsidRPr="00A37589">
        <w:rPr>
          <w:rFonts w:ascii="Simplified Arabic" w:hAnsi="Simplified Arabic" w:cs="Simplified Arabic"/>
          <w:sz w:val="28"/>
          <w:szCs w:val="28"/>
          <w:rtl/>
        </w:rPr>
        <w:t xml:space="preserve">) التي طوّرها </w:t>
      </w:r>
      <w:r w:rsidRPr="00A37589">
        <w:rPr>
          <w:rFonts w:ascii="Simplified Arabic" w:hAnsi="Simplified Arabic" w:cs="Simplified Arabic"/>
          <w:sz w:val="28"/>
          <w:szCs w:val="28"/>
        </w:rPr>
        <w:t>Teece</w:t>
      </w:r>
      <w:r w:rsidRPr="00A37589">
        <w:rPr>
          <w:rFonts w:ascii="Simplified Arabic" w:hAnsi="Simplified Arabic" w:cs="Simplified Arabic"/>
          <w:sz w:val="28"/>
          <w:szCs w:val="28"/>
          <w:rtl/>
        </w:rPr>
        <w:t xml:space="preserve"> وزملاؤه، والتي تُفسّر كيف تستطيع المنظمات تكييف مواردها وقدراتها لمواجهة التغيرات البيئية المتسارعة، حيث يُمثّل التحول الرقمي إحدى القدرات الديناميكية الجوهرية التي تُمكّن المنظمات من الاستشعار والاستحواذ وإعادة التكوين، ومن ثم تحقيق ميزة تنافسية مستدامة في بيئة رقمية شديدة التقلب (</w:t>
      </w:r>
      <w:r w:rsidRPr="00A37589">
        <w:rPr>
          <w:rFonts w:ascii="Simplified Arabic" w:hAnsi="Simplified Arabic" w:cs="Simplified Arabic"/>
          <w:sz w:val="28"/>
          <w:szCs w:val="28"/>
        </w:rPr>
        <w:t>Qiao et al., 2024</w:t>
      </w:r>
      <w:r w:rsidRPr="00A37589">
        <w:rPr>
          <w:rFonts w:ascii="Simplified Arabic" w:hAnsi="Simplified Arabic" w:cs="Simplified Arabic"/>
          <w:sz w:val="28"/>
          <w:szCs w:val="28"/>
          <w:rtl/>
        </w:rPr>
        <w:t>).</w:t>
      </w:r>
    </w:p>
    <w:p w14:paraId="0EB7A54F" w14:textId="766E9917" w:rsidR="00AB1BE5" w:rsidRPr="005F0787" w:rsidRDefault="00AB1BE5" w:rsidP="005F0787">
      <w:pPr>
        <w:spacing w:before="100" w:beforeAutospacing="1" w:after="100" w:afterAutospacing="1" w:line="276" w:lineRule="auto"/>
        <w:jc w:val="both"/>
        <w:outlineLvl w:val="3"/>
        <w:rPr>
          <w:rFonts w:ascii="Simplified Arabic" w:eastAsia="Calibri" w:hAnsi="Simplified Arabic" w:cs="Simplified Arabic"/>
          <w:b/>
          <w:bCs/>
          <w:color w:val="000000" w:themeColor="text1"/>
          <w:sz w:val="28"/>
          <w:szCs w:val="28"/>
          <w:rtl/>
          <w:lang w:bidi="ar-EG"/>
        </w:rPr>
      </w:pPr>
      <w:r w:rsidRPr="005F0787">
        <w:rPr>
          <w:rFonts w:ascii="Simplified Arabic" w:eastAsia="Calibri" w:hAnsi="Simplified Arabic" w:cs="Simplified Arabic"/>
          <w:b/>
          <w:bCs/>
          <w:color w:val="000000" w:themeColor="text1"/>
          <w:sz w:val="28"/>
          <w:szCs w:val="28"/>
          <w:rtl/>
          <w:lang w:bidi="ar-EG"/>
        </w:rPr>
        <w:t>ثانياً: إدارة المواهب (</w:t>
      </w:r>
      <w:r w:rsidRPr="005F0787">
        <w:rPr>
          <w:rFonts w:ascii="Simplified Arabic" w:eastAsia="Calibri" w:hAnsi="Simplified Arabic" w:cs="Simplified Arabic"/>
          <w:b/>
          <w:bCs/>
          <w:color w:val="000000" w:themeColor="text1"/>
          <w:sz w:val="28"/>
          <w:szCs w:val="28"/>
          <w:lang w:bidi="ar-EG"/>
        </w:rPr>
        <w:t>Talent Management</w:t>
      </w:r>
      <w:r w:rsidRPr="005F0787">
        <w:rPr>
          <w:rFonts w:ascii="Simplified Arabic" w:eastAsia="Calibri" w:hAnsi="Simplified Arabic" w:cs="Simplified Arabic"/>
          <w:b/>
          <w:bCs/>
          <w:color w:val="000000" w:themeColor="text1"/>
          <w:sz w:val="28"/>
          <w:szCs w:val="28"/>
          <w:rtl/>
          <w:lang w:bidi="ar-EG"/>
        </w:rPr>
        <w:t>)**</w:t>
      </w:r>
    </w:p>
    <w:p w14:paraId="5835BF98"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 xml:space="preserve">برز مفهوم إدارة المواهب في نهاية تسعينيات القرن الماضي إثر انطلاق ما يُعرف بـ"الحرب على المواهب" التي أشارت إليها دراسة </w:t>
      </w:r>
      <w:r w:rsidRPr="00A37589">
        <w:rPr>
          <w:rFonts w:ascii="Simplified Arabic" w:hAnsi="Simplified Arabic" w:cs="Simplified Arabic"/>
          <w:sz w:val="28"/>
          <w:szCs w:val="28"/>
        </w:rPr>
        <w:t>McKinsey</w:t>
      </w:r>
      <w:r w:rsidRPr="00A37589">
        <w:rPr>
          <w:rFonts w:ascii="Simplified Arabic" w:hAnsi="Simplified Arabic" w:cs="Simplified Arabic"/>
          <w:sz w:val="28"/>
          <w:szCs w:val="28"/>
          <w:rtl/>
        </w:rPr>
        <w:t xml:space="preserve"> الشهيرة، وقد تطور هذا المفهوم ليُصبح توجهاً استراتيجياً محورياً في إدارة رأس المال البشري. وتُعرَّف إدارة المواهب بأنها المجموعة المتكاملة من الممارسات والأنظمة التي تستهدف اكتشاف الكفاءات المتميزة، وجذبها، وتطويرها، والاحتفاظ بها، بما يُحقّق التوافق بين احتياجات المنظمة الاستراتيجية وطموحات المواهب الفردية. وتنطلق فلسفة إدارة المواهب من مبدأ أن هناك فئة محدودة من العاملين تُشكّل ما يُسمى بـ"المواهب"، وهم أولئك الذين يتميزون بقدرات وكفاءات نادرة تُسهم في تحقيق قيمة مضافة استثنائية للمنظمة (القديمات والخشالي، 2024).</w:t>
      </w:r>
    </w:p>
    <w:p w14:paraId="3172ECC1"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وتشتمل إدارة المواهب على عدة أبعاد رئيسية، أبرزها: استقطاب المواهب، ويتضمن الممارسات المتعلقة بجذب الكفاءات المتميزة من سوق العمل واختيارها؛ وتطوير المواهب، ويشمل برامج التدريب والتنمية المهنية وبناء المسارات الوظيفية؛ والاحتفاظ بالمواهب، ويُعنى بالممارسات التي تُشجع الكفاءات على البقاء في المنظمة كالتحفيز المادي والمعنوي وتوفير بيئة عمل داعمة؛ وتقييم المواهب، ويتضمن أنظمة قياس الأداء وتحديد المواهب العالية الإمكانات (السليحات والصوالحة، 2022).</w:t>
      </w:r>
    </w:p>
    <w:p w14:paraId="20F1681B"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sz w:val="28"/>
          <w:szCs w:val="28"/>
          <w:rtl/>
        </w:rPr>
      </w:pPr>
    </w:p>
    <w:p w14:paraId="68338BEE"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وتستند الدراسة الحالية في تناولها لإدارة المواهب إلى نظرية الموارد والقدرات (</w:t>
      </w:r>
      <w:r w:rsidRPr="00A37589">
        <w:rPr>
          <w:rFonts w:ascii="Simplified Arabic" w:hAnsi="Simplified Arabic" w:cs="Simplified Arabic"/>
          <w:sz w:val="28"/>
          <w:szCs w:val="28"/>
        </w:rPr>
        <w:t>Resource-Based View</w:t>
      </w:r>
      <w:r w:rsidRPr="00A37589">
        <w:rPr>
          <w:rFonts w:ascii="Simplified Arabic" w:hAnsi="Simplified Arabic" w:cs="Simplified Arabic"/>
          <w:sz w:val="28"/>
          <w:szCs w:val="28"/>
          <w:rtl/>
        </w:rPr>
        <w:t xml:space="preserve">) التي طوّرها </w:t>
      </w:r>
      <w:r w:rsidRPr="00A37589">
        <w:rPr>
          <w:rFonts w:ascii="Simplified Arabic" w:hAnsi="Simplified Arabic" w:cs="Simplified Arabic"/>
          <w:sz w:val="28"/>
          <w:szCs w:val="28"/>
        </w:rPr>
        <w:t>Barney</w:t>
      </w:r>
      <w:r w:rsidRPr="00A37589">
        <w:rPr>
          <w:rFonts w:ascii="Simplified Arabic" w:hAnsi="Simplified Arabic" w:cs="Simplified Arabic"/>
          <w:sz w:val="28"/>
          <w:szCs w:val="28"/>
          <w:rtl/>
        </w:rPr>
        <w:t>، والتي تنظر إلى الموارد البشرية المتميزة باعتبارها موارد استراتيجية تتصف بالندرة والقيمة وعدم قابلية التقليد وعدم قابلية الاستبدال، مما يجعلها مصدراً للميزة التنافسية المستدامة. كما تستند إلى نظرية رأس المال البشري (</w:t>
      </w:r>
      <w:r w:rsidRPr="00A37589">
        <w:rPr>
          <w:rFonts w:ascii="Simplified Arabic" w:hAnsi="Simplified Arabic" w:cs="Simplified Arabic"/>
          <w:sz w:val="28"/>
          <w:szCs w:val="28"/>
        </w:rPr>
        <w:t>Human Capital Theory</w:t>
      </w:r>
      <w:r w:rsidRPr="00A37589">
        <w:rPr>
          <w:rFonts w:ascii="Simplified Arabic" w:hAnsi="Simplified Arabic" w:cs="Simplified Arabic"/>
          <w:sz w:val="28"/>
          <w:szCs w:val="28"/>
          <w:rtl/>
        </w:rPr>
        <w:t xml:space="preserve">) التي طرحها </w:t>
      </w:r>
      <w:r w:rsidRPr="00A37589">
        <w:rPr>
          <w:rFonts w:ascii="Simplified Arabic" w:hAnsi="Simplified Arabic" w:cs="Simplified Arabic"/>
          <w:sz w:val="28"/>
          <w:szCs w:val="28"/>
        </w:rPr>
        <w:t>Becker</w:t>
      </w:r>
      <w:r w:rsidRPr="00A37589">
        <w:rPr>
          <w:rFonts w:ascii="Simplified Arabic" w:hAnsi="Simplified Arabic" w:cs="Simplified Arabic"/>
          <w:sz w:val="28"/>
          <w:szCs w:val="28"/>
          <w:rtl/>
        </w:rPr>
        <w:t>، والتي تعتبر الاستثمار في المواهب البشرية من خلال التدريب والتطوير استثماراً استراتيجياً يُدرّ عوائد مادية ومعنوية على المنظمة على المدى الطويل (</w:t>
      </w:r>
      <w:r w:rsidRPr="00A37589">
        <w:rPr>
          <w:rFonts w:ascii="Simplified Arabic" w:hAnsi="Simplified Arabic" w:cs="Simplified Arabic"/>
          <w:sz w:val="28"/>
          <w:szCs w:val="28"/>
        </w:rPr>
        <w:t>Ro</w:t>
      </w:r>
      <w:r w:rsidRPr="00A37589">
        <w:rPr>
          <w:rFonts w:ascii="Cambria" w:hAnsi="Cambria" w:cs="Cambria"/>
          <w:sz w:val="28"/>
          <w:szCs w:val="28"/>
        </w:rPr>
        <w:t>ž</w:t>
      </w:r>
      <w:r w:rsidRPr="00A37589">
        <w:rPr>
          <w:rFonts w:ascii="Simplified Arabic" w:hAnsi="Simplified Arabic" w:cs="Simplified Arabic"/>
          <w:sz w:val="28"/>
          <w:szCs w:val="28"/>
        </w:rPr>
        <w:t>man et al., 2022</w:t>
      </w:r>
      <w:r w:rsidRPr="00A37589">
        <w:rPr>
          <w:rFonts w:ascii="Simplified Arabic" w:hAnsi="Simplified Arabic" w:cs="Simplified Arabic"/>
          <w:sz w:val="28"/>
          <w:szCs w:val="28"/>
          <w:rtl/>
        </w:rPr>
        <w:t>).</w:t>
      </w:r>
    </w:p>
    <w:p w14:paraId="42AF4F69" w14:textId="298B44E0" w:rsidR="00AB1BE5" w:rsidRPr="005F0787" w:rsidRDefault="00AB1BE5" w:rsidP="005F0787">
      <w:pPr>
        <w:spacing w:before="100" w:beforeAutospacing="1" w:after="100" w:afterAutospacing="1" w:line="276" w:lineRule="auto"/>
        <w:jc w:val="both"/>
        <w:outlineLvl w:val="3"/>
        <w:rPr>
          <w:rFonts w:ascii="Simplified Arabic" w:eastAsia="Calibri" w:hAnsi="Simplified Arabic" w:cs="Simplified Arabic"/>
          <w:b/>
          <w:bCs/>
          <w:color w:val="000000" w:themeColor="text1"/>
          <w:sz w:val="28"/>
          <w:szCs w:val="28"/>
          <w:rtl/>
          <w:lang w:bidi="ar-EG"/>
        </w:rPr>
      </w:pPr>
      <w:r w:rsidRPr="005F0787">
        <w:rPr>
          <w:rFonts w:ascii="Simplified Arabic" w:eastAsia="Calibri" w:hAnsi="Simplified Arabic" w:cs="Simplified Arabic"/>
          <w:b/>
          <w:bCs/>
          <w:color w:val="000000" w:themeColor="text1"/>
          <w:sz w:val="28"/>
          <w:szCs w:val="28"/>
          <w:rtl/>
          <w:lang w:bidi="ar-EG"/>
        </w:rPr>
        <w:lastRenderedPageBreak/>
        <w:t>ثالثاً: الولاء الوظيفي (</w:t>
      </w:r>
      <w:r w:rsidRPr="005F0787">
        <w:rPr>
          <w:rFonts w:ascii="Simplified Arabic" w:eastAsia="Calibri" w:hAnsi="Simplified Arabic" w:cs="Simplified Arabic"/>
          <w:b/>
          <w:bCs/>
          <w:color w:val="000000" w:themeColor="text1"/>
          <w:sz w:val="28"/>
          <w:szCs w:val="28"/>
          <w:lang w:bidi="ar-EG"/>
        </w:rPr>
        <w:t>Job Loyalty</w:t>
      </w:r>
      <w:r w:rsidRPr="005F0787">
        <w:rPr>
          <w:rFonts w:ascii="Simplified Arabic" w:eastAsia="Calibri" w:hAnsi="Simplified Arabic" w:cs="Simplified Arabic"/>
          <w:b/>
          <w:bCs/>
          <w:color w:val="000000" w:themeColor="text1"/>
          <w:sz w:val="28"/>
          <w:szCs w:val="28"/>
          <w:rtl/>
          <w:lang w:bidi="ar-EG"/>
        </w:rPr>
        <w:t>)**</w:t>
      </w:r>
    </w:p>
    <w:p w14:paraId="6E68492C"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يُشير الولاء الوظيفي إلى الارتباط النفسي والعاطفي والمعنوي بين العامل ومنظمته، والذي يتجلى في رغبته الصادقة في الاستمرار في العمل بها، وبذل الجهد لتحقيق أهدافها، وتبني قيمها ومعتقداتها، والدفاع عنها في المحافل المختلفة. ويُعدّ الولاء الوظيفي مفهوماً وثيق الصلة بمفهوم الالتزام التنظيمي، وإن كان يُميّزه عنه في بعض الجوانب النظرية والتطبيقية، إذ يُركّز الولاء الوظيفي على البُعد العاطفي والوجداني للارتباط بالمنظمة (الحربي، 2025).</w:t>
      </w:r>
    </w:p>
    <w:p w14:paraId="7ABA17F3"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 xml:space="preserve">ويستند تصنيف الولاء الوظيفي في الدراسة الحالية إلى نموذج </w:t>
      </w:r>
      <w:r w:rsidRPr="00A37589">
        <w:rPr>
          <w:rFonts w:ascii="Simplified Arabic" w:hAnsi="Simplified Arabic" w:cs="Simplified Arabic"/>
          <w:sz w:val="28"/>
          <w:szCs w:val="28"/>
        </w:rPr>
        <w:t>Meyer</w:t>
      </w:r>
      <w:r w:rsidRPr="00A37589">
        <w:rPr>
          <w:rFonts w:ascii="Simplified Arabic" w:hAnsi="Simplified Arabic" w:cs="Simplified Arabic"/>
          <w:sz w:val="28"/>
          <w:szCs w:val="28"/>
          <w:rtl/>
        </w:rPr>
        <w:t xml:space="preserve"> و</w:t>
      </w:r>
      <w:r w:rsidRPr="00A37589">
        <w:rPr>
          <w:rFonts w:ascii="Simplified Arabic" w:hAnsi="Simplified Arabic" w:cs="Simplified Arabic"/>
          <w:sz w:val="28"/>
          <w:szCs w:val="28"/>
        </w:rPr>
        <w:t>Allen</w:t>
      </w:r>
      <w:r w:rsidRPr="00A37589">
        <w:rPr>
          <w:rFonts w:ascii="Simplified Arabic" w:hAnsi="Simplified Arabic" w:cs="Simplified Arabic"/>
          <w:sz w:val="28"/>
          <w:szCs w:val="28"/>
          <w:rtl/>
        </w:rPr>
        <w:t xml:space="preserve"> الذي طرح ثلاثة أبعاد رئيسية للولاء: الولاء العاطفي، ويُشير إلى الارتباط الوجداني للعامل بمنظمته ورغبته الحقيقية في الاستمرار فيها؛ والولاء المعياري، ويعكس الشعور بالواجب الأخلاقي تجاه المنظمة والالتزام بالبقاء فيها؛ والولاء المستمر، ويرتبط بتقييم العامل للتكاليف المرتبطة بترك المنظمة والعوائد المحققة من البقاء فيها (السيد وجودة، 2022).</w:t>
      </w:r>
    </w:p>
    <w:p w14:paraId="367918F3"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وتستند الدراسة الحالية في تناولها للولاء الوظيفي إلى نظرية التبادل الاجتماعي (</w:t>
      </w:r>
      <w:r w:rsidRPr="00A37589">
        <w:rPr>
          <w:rFonts w:ascii="Simplified Arabic" w:hAnsi="Simplified Arabic" w:cs="Simplified Arabic"/>
          <w:sz w:val="28"/>
          <w:szCs w:val="28"/>
        </w:rPr>
        <w:t>Social Exchange Theory</w:t>
      </w:r>
      <w:r w:rsidRPr="00A37589">
        <w:rPr>
          <w:rFonts w:ascii="Simplified Arabic" w:hAnsi="Simplified Arabic" w:cs="Simplified Arabic"/>
          <w:sz w:val="28"/>
          <w:szCs w:val="28"/>
          <w:rtl/>
        </w:rPr>
        <w:t xml:space="preserve">) التي طرحها </w:t>
      </w:r>
      <w:r w:rsidRPr="00A37589">
        <w:rPr>
          <w:rFonts w:ascii="Simplified Arabic" w:hAnsi="Simplified Arabic" w:cs="Simplified Arabic"/>
          <w:sz w:val="28"/>
          <w:szCs w:val="28"/>
        </w:rPr>
        <w:t>Blau</w:t>
      </w:r>
      <w:r w:rsidRPr="00A37589">
        <w:rPr>
          <w:rFonts w:ascii="Simplified Arabic" w:hAnsi="Simplified Arabic" w:cs="Simplified Arabic"/>
          <w:sz w:val="28"/>
          <w:szCs w:val="28"/>
          <w:rtl/>
        </w:rPr>
        <w:t>، والتي تُفسّر الولاء الوظيفي بوصفه ناتجاً عن علاقة تبادلية بين العامل ومنظمته، حيث يُقدّم العامل ولاءه وجهده مقابل ما يحصل عليه من مزايا ودعم من المنظمة. كما تستند إلى نظرية الدعم التنظيمي المُدرك (</w:t>
      </w:r>
      <w:r w:rsidRPr="00A37589">
        <w:rPr>
          <w:rFonts w:ascii="Simplified Arabic" w:hAnsi="Simplified Arabic" w:cs="Simplified Arabic"/>
          <w:sz w:val="28"/>
          <w:szCs w:val="28"/>
        </w:rPr>
        <w:t>Perceived Organizational Support</w:t>
      </w:r>
      <w:r w:rsidRPr="00A37589">
        <w:rPr>
          <w:rFonts w:ascii="Simplified Arabic" w:hAnsi="Simplified Arabic" w:cs="Simplified Arabic"/>
          <w:sz w:val="28"/>
          <w:szCs w:val="28"/>
          <w:rtl/>
        </w:rPr>
        <w:t xml:space="preserve">) التي طوّرها </w:t>
      </w:r>
      <w:r w:rsidRPr="00A37589">
        <w:rPr>
          <w:rFonts w:ascii="Simplified Arabic" w:hAnsi="Simplified Arabic" w:cs="Simplified Arabic"/>
          <w:sz w:val="28"/>
          <w:szCs w:val="28"/>
        </w:rPr>
        <w:t>Eisenberger</w:t>
      </w:r>
      <w:r w:rsidRPr="00A37589">
        <w:rPr>
          <w:rFonts w:ascii="Simplified Arabic" w:hAnsi="Simplified Arabic" w:cs="Simplified Arabic"/>
          <w:sz w:val="28"/>
          <w:szCs w:val="28"/>
          <w:rtl/>
        </w:rPr>
        <w:t>، والتي ترى أن إدراك العاملين لاهتمام منظمتهم برفاهيتهم وتقدير إسهاماتهم يُعزز من مستوى ولائهم لها (العويمر والشبلي، 2023).</w:t>
      </w:r>
    </w:p>
    <w:p w14:paraId="40EF5903"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sz w:val="28"/>
          <w:szCs w:val="28"/>
          <w:rtl/>
        </w:rPr>
      </w:pPr>
    </w:p>
    <w:p w14:paraId="608474F0" w14:textId="2CEEEA63" w:rsidR="00AB1BE5" w:rsidRPr="005F0787" w:rsidRDefault="00AB1BE5" w:rsidP="005F0787">
      <w:pPr>
        <w:spacing w:before="100" w:beforeAutospacing="1" w:after="100" w:afterAutospacing="1" w:line="276" w:lineRule="auto"/>
        <w:jc w:val="both"/>
        <w:outlineLvl w:val="3"/>
        <w:rPr>
          <w:rFonts w:ascii="Simplified Arabic" w:eastAsia="Calibri" w:hAnsi="Simplified Arabic" w:cs="Simplified Arabic"/>
          <w:b/>
          <w:bCs/>
          <w:color w:val="000000" w:themeColor="text1"/>
          <w:sz w:val="28"/>
          <w:szCs w:val="28"/>
          <w:rtl/>
          <w:lang w:bidi="ar-EG"/>
        </w:rPr>
      </w:pPr>
      <w:r w:rsidRPr="005F0787">
        <w:rPr>
          <w:rFonts w:ascii="Simplified Arabic" w:eastAsia="Calibri" w:hAnsi="Simplified Arabic" w:cs="Simplified Arabic"/>
          <w:b/>
          <w:bCs/>
          <w:color w:val="000000" w:themeColor="text1"/>
          <w:sz w:val="28"/>
          <w:szCs w:val="28"/>
          <w:rtl/>
          <w:lang w:bidi="ar-EG"/>
        </w:rPr>
        <w:t>رابعاً: العلاقة بين متغيرات الدراسة</w:t>
      </w:r>
    </w:p>
    <w:p w14:paraId="5C301426"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يتضح من خلال المنطلقات النظرية السابقة أن ثمة علاقات وثيقة تربط بين متغيرات الدراسة الثلاثة. فالتحول الرقمي، من خلال أبعاده المختلفة، يُعيد تشكيل بيئة العمل ويوفر للعاملين أدوات وتقنيات تُمكّنهم من أداء مهامهم بكفاءة أعلى، مما يُعزّز من إحساسهم بالانتماء والولاء لمنظماتهم. كما يُسهم التحول الرقمي في إعادة تشكيل ممارسات إدارة المواهب من خلال توفير منصات ذكية للاستقطاب والتطوير والتقييم، مما يعزز فاعلية هذه الممارسات (</w:t>
      </w:r>
      <w:proofErr w:type="spellStart"/>
      <w:r w:rsidRPr="00A37589">
        <w:rPr>
          <w:rFonts w:ascii="Simplified Arabic" w:hAnsi="Simplified Arabic" w:cs="Simplified Arabic"/>
          <w:sz w:val="28"/>
          <w:szCs w:val="28"/>
        </w:rPr>
        <w:t>Montero</w:t>
      </w:r>
      <w:proofErr w:type="spellEnd"/>
      <w:r w:rsidRPr="00A37589">
        <w:rPr>
          <w:rFonts w:ascii="Simplified Arabic" w:hAnsi="Simplified Arabic" w:cs="Simplified Arabic"/>
          <w:sz w:val="28"/>
          <w:szCs w:val="28"/>
        </w:rPr>
        <w:t xml:space="preserve"> Guerra &amp; </w:t>
      </w:r>
      <w:proofErr w:type="spellStart"/>
      <w:r w:rsidRPr="00A37589">
        <w:rPr>
          <w:rFonts w:ascii="Simplified Arabic" w:hAnsi="Simplified Arabic" w:cs="Simplified Arabic"/>
          <w:sz w:val="28"/>
          <w:szCs w:val="28"/>
        </w:rPr>
        <w:t>Danvila-Del</w:t>
      </w:r>
      <w:proofErr w:type="spellEnd"/>
      <w:r w:rsidRPr="00A37589">
        <w:rPr>
          <w:rFonts w:ascii="Simplified Arabic" w:hAnsi="Simplified Arabic" w:cs="Simplified Arabic"/>
          <w:sz w:val="28"/>
          <w:szCs w:val="28"/>
        </w:rPr>
        <w:t xml:space="preserve"> Valle, 2024</w:t>
      </w:r>
      <w:r w:rsidRPr="00A37589">
        <w:rPr>
          <w:rFonts w:ascii="Simplified Arabic" w:hAnsi="Simplified Arabic" w:cs="Simplified Arabic"/>
          <w:sz w:val="28"/>
          <w:szCs w:val="28"/>
          <w:rtl/>
        </w:rPr>
        <w:t>).</w:t>
      </w:r>
    </w:p>
    <w:p w14:paraId="7F46D041"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lastRenderedPageBreak/>
        <w:t>من جهة أخرى، تُسهم ممارسات إدارة المواهب في تعزيز الولاء الوظيفي من خلال ما توفره من فرص للتطور المهني والنمو الوظيفي، وما تُقدّمه من تقدير للكفاءات المتميزة، وما تخلقه من بيئة عمل داعمة تُشجع على الابتكار والتميز. ويتكامل التحول الرقمي وإدارة المواهب في التأثير على الولاء الوظيفي، إذ إن المنظمات التي تجمع بين التبني المتقدم للتقنيات الرقمية وممارسات إدارة المواهب الفاعلة تكون أكثر قدرة على بناء علاقات طويلة الأمد مع مواهبها وتعزيز ولائهم لها (</w:t>
      </w:r>
      <w:r w:rsidRPr="00A37589">
        <w:rPr>
          <w:rFonts w:ascii="Simplified Arabic" w:hAnsi="Simplified Arabic" w:cs="Simplified Arabic"/>
          <w:sz w:val="28"/>
          <w:szCs w:val="28"/>
        </w:rPr>
        <w:t>Banerjee &amp; Sharma, 2025</w:t>
      </w:r>
      <w:r w:rsidRPr="00A37589">
        <w:rPr>
          <w:rFonts w:ascii="Simplified Arabic" w:hAnsi="Simplified Arabic" w:cs="Simplified Arabic"/>
          <w:sz w:val="28"/>
          <w:szCs w:val="28"/>
          <w:rtl/>
        </w:rPr>
        <w:t>).</w:t>
      </w:r>
    </w:p>
    <w:p w14:paraId="7D74E115" w14:textId="3904F855"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وفي سياق الشركات التقنية الناشئة تحديداً، تكتسب هذه العلاقات أهمية مضاعفة، إذ تعتمد هذه الشركات في المقام الأول على المواهب التقنية المتخصصة، وتتطلب طبيعة عملها تبنياً متقدماً للتقنيات الرقمية، مما يجعل التكامل بين التحول الرقمي وإدارة المواهب مسألة حيوية لضمان ولاء العاملين واستمراريتهم في هذه الشركات (</w:t>
      </w:r>
      <w:proofErr w:type="spellStart"/>
      <w:r w:rsidRPr="00A37589">
        <w:rPr>
          <w:rFonts w:ascii="Simplified Arabic" w:hAnsi="Simplified Arabic" w:cs="Simplified Arabic"/>
          <w:sz w:val="28"/>
          <w:szCs w:val="28"/>
        </w:rPr>
        <w:t>Setiawan</w:t>
      </w:r>
      <w:proofErr w:type="spellEnd"/>
      <w:r w:rsidRPr="00A37589">
        <w:rPr>
          <w:rFonts w:ascii="Simplified Arabic" w:hAnsi="Simplified Arabic" w:cs="Simplified Arabic"/>
          <w:sz w:val="28"/>
          <w:szCs w:val="28"/>
        </w:rPr>
        <w:t xml:space="preserve"> &amp; </w:t>
      </w:r>
      <w:proofErr w:type="spellStart"/>
      <w:r w:rsidRPr="00A37589">
        <w:rPr>
          <w:rFonts w:ascii="Simplified Arabic" w:hAnsi="Simplified Arabic" w:cs="Simplified Arabic"/>
          <w:sz w:val="28"/>
          <w:szCs w:val="28"/>
        </w:rPr>
        <w:t>Wakhyuni</w:t>
      </w:r>
      <w:proofErr w:type="spellEnd"/>
      <w:r w:rsidRPr="00A37589">
        <w:rPr>
          <w:rFonts w:ascii="Simplified Arabic" w:hAnsi="Simplified Arabic" w:cs="Simplified Arabic"/>
          <w:sz w:val="28"/>
          <w:szCs w:val="28"/>
        </w:rPr>
        <w:t>, 2025</w:t>
      </w:r>
      <w:r w:rsidRPr="00A37589">
        <w:rPr>
          <w:rFonts w:ascii="Simplified Arabic" w:hAnsi="Simplified Arabic" w:cs="Simplified Arabic"/>
          <w:sz w:val="28"/>
          <w:szCs w:val="28"/>
          <w:rtl/>
        </w:rPr>
        <w:t>). وبناءً على هذه المنطلقات النظرية، يتشكّل الإطار المفاهيمي للدراسة الحالية الذي يقوم على افتراض وجود علاقة تأثيرية بين التحول الرقمي وإدارة المواهب (كمتغيرات مستقلة) والولاء الوظيفي (كمتغير تابع) في سياق الشركات التقنية الناشئة بالمملكة العربية السعودية.</w:t>
      </w:r>
    </w:p>
    <w:p w14:paraId="1966ED02" w14:textId="30CD18C9" w:rsidR="00AB1BE5" w:rsidRPr="001469DD" w:rsidRDefault="005F0787" w:rsidP="001469DD">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0" w:name="_Toc234278697"/>
      <w:r>
        <w:rPr>
          <w:rFonts w:ascii="Simplified Arabic" w:eastAsia="Calibri" w:hAnsi="Simplified Arabic" w:cs="Simplified Arabic" w:hint="cs"/>
          <w:b/>
          <w:bCs/>
          <w:color w:val="000000" w:themeColor="text1"/>
          <w:sz w:val="36"/>
          <w:szCs w:val="36"/>
          <w:rtl/>
          <w:lang w:bidi="ar-EG"/>
        </w:rPr>
        <w:t xml:space="preserve">9.1 </w:t>
      </w:r>
      <w:r w:rsidR="00AB1BE5" w:rsidRPr="001469DD">
        <w:rPr>
          <w:rFonts w:ascii="Simplified Arabic" w:eastAsia="Calibri" w:hAnsi="Simplified Arabic" w:cs="Simplified Arabic"/>
          <w:b/>
          <w:bCs/>
          <w:color w:val="000000" w:themeColor="text1"/>
          <w:sz w:val="36"/>
          <w:szCs w:val="36"/>
          <w:rtl/>
          <w:lang w:bidi="ar-EG"/>
        </w:rPr>
        <w:t>منهجية الدراسة والإجراءات المنهجية</w:t>
      </w:r>
      <w:bookmarkEnd w:id="20"/>
    </w:p>
    <w:p w14:paraId="20965A8B" w14:textId="724C4DCB" w:rsidR="00AB1BE5" w:rsidRPr="001469DD" w:rsidRDefault="005F0787" w:rsidP="001469DD">
      <w:pPr>
        <w:spacing w:before="100" w:beforeAutospacing="1" w:after="100" w:afterAutospacing="1" w:line="276" w:lineRule="auto"/>
        <w:jc w:val="both"/>
        <w:outlineLvl w:val="2"/>
        <w:rPr>
          <w:rFonts w:ascii="Simplified Arabic" w:eastAsia="Calibri" w:hAnsi="Simplified Arabic" w:cs="Simplified Arabic"/>
          <w:b/>
          <w:bCs/>
          <w:color w:val="000000" w:themeColor="text1"/>
          <w:sz w:val="28"/>
          <w:szCs w:val="28"/>
          <w:lang w:bidi="ar-EG"/>
        </w:rPr>
      </w:pPr>
      <w:bookmarkStart w:id="21" w:name="_Toc234278698"/>
      <w:r>
        <w:rPr>
          <w:rFonts w:ascii="Simplified Arabic" w:eastAsia="Calibri" w:hAnsi="Simplified Arabic" w:cs="Simplified Arabic" w:hint="cs"/>
          <w:b/>
          <w:bCs/>
          <w:color w:val="000000" w:themeColor="text1"/>
          <w:sz w:val="28"/>
          <w:szCs w:val="28"/>
          <w:rtl/>
          <w:lang w:bidi="ar-EG"/>
        </w:rPr>
        <w:t xml:space="preserve">1.9.1 </w:t>
      </w:r>
      <w:r w:rsidR="00AB1BE5" w:rsidRPr="001469DD">
        <w:rPr>
          <w:rFonts w:ascii="Simplified Arabic" w:eastAsia="Calibri" w:hAnsi="Simplified Arabic" w:cs="Simplified Arabic"/>
          <w:b/>
          <w:bCs/>
          <w:color w:val="000000" w:themeColor="text1"/>
          <w:sz w:val="28"/>
          <w:szCs w:val="28"/>
          <w:rtl/>
          <w:lang w:bidi="ar-EG"/>
        </w:rPr>
        <w:t>أولاً: منهجية الدراسة</w:t>
      </w:r>
      <w:bookmarkEnd w:id="21"/>
    </w:p>
    <w:p w14:paraId="431C5B3D"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سوف تعتمد الدراسة الحالية على المنهج الوصفي التحليلي، باعتباره المنهج الأنسب لطبيعة الدراسة وأهدافها، إذ يُتيح هذا المنهج وصف الظاهرة المدروسة كما هي في الواقع، وتحليل بياناتها، وبيان العلاقات بين متغيراتها، والوصول إلى استنتاجات علمية دقيقة. وسوف يقوم الباحث من خلال هذا المنهج بجمع البيانات المتعلقة بمتغيرات الدراسة (التحول الرقمي، وإدارة المواهب، والولاء الوظيفي) من مصادرها الأولية والثانوية، ثم تحليلها إحصائياً بأساليب متقدمة، للوصول إلى فهم عميق لطبيعة العلاقات التأثيرية بين هذه المتغيرات في سياق الشركات التقنية الناشئة بالمملكة العربية السعودية</w:t>
      </w:r>
      <w:r w:rsidRPr="00A37589">
        <w:rPr>
          <w:rFonts w:ascii="Simplified Arabic" w:hAnsi="Simplified Arabic" w:cs="Simplified Arabic"/>
          <w:sz w:val="28"/>
          <w:szCs w:val="28"/>
        </w:rPr>
        <w:t>.</w:t>
      </w:r>
    </w:p>
    <w:p w14:paraId="31E51DB6"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كما سوف تعتمد الدراسة على الأسلوب الكمي في جمع البيانات وتحليلها، من خلال تصميم استبانة إلكترونية مُحكّمة تتضمن مجموعة من الفقرات التي تقيس أبعاد متغيرات الدراسة، وسوف يتم توزيعها على عينة ممثلة من العاملين في الشركات التقنية الناشئة بالمملكة العربية السعودية. وسوف يقوم الباحث بتحليل البيانات المُجمّعة باستخدام برنامج الحزمة الإحصائية للعلوم الاجتماعية</w:t>
      </w:r>
      <w:r w:rsidRPr="00A37589">
        <w:rPr>
          <w:rFonts w:ascii="Simplified Arabic" w:hAnsi="Simplified Arabic" w:cs="Simplified Arabic"/>
          <w:sz w:val="28"/>
          <w:szCs w:val="28"/>
        </w:rPr>
        <w:t xml:space="preserve"> (SPSS) </w:t>
      </w:r>
      <w:r w:rsidRPr="00A37589">
        <w:rPr>
          <w:rFonts w:ascii="Simplified Arabic" w:hAnsi="Simplified Arabic" w:cs="Simplified Arabic"/>
          <w:sz w:val="28"/>
          <w:szCs w:val="28"/>
          <w:rtl/>
        </w:rPr>
        <w:t>وبرنامج</w:t>
      </w:r>
      <w:r w:rsidRPr="00A37589">
        <w:rPr>
          <w:rFonts w:ascii="Simplified Arabic" w:hAnsi="Simplified Arabic" w:cs="Simplified Arabic"/>
          <w:sz w:val="28"/>
          <w:szCs w:val="28"/>
        </w:rPr>
        <w:t xml:space="preserve"> (AMOS) </w:t>
      </w:r>
      <w:r w:rsidRPr="00A37589">
        <w:rPr>
          <w:rFonts w:ascii="Simplified Arabic" w:hAnsi="Simplified Arabic" w:cs="Simplified Arabic"/>
          <w:sz w:val="28"/>
          <w:szCs w:val="28"/>
          <w:rtl/>
        </w:rPr>
        <w:t>لاختبار فروض الدراسة والإجابة عن أسئلتها، بما يُسهم في تحقيق أهدافها وبلوغ نتائجها العلمية بموضوعية ودقة</w:t>
      </w:r>
      <w:r w:rsidRPr="00A37589">
        <w:rPr>
          <w:rFonts w:ascii="Simplified Arabic" w:hAnsi="Simplified Arabic" w:cs="Simplified Arabic"/>
          <w:sz w:val="28"/>
          <w:szCs w:val="28"/>
        </w:rPr>
        <w:t>.</w:t>
      </w:r>
    </w:p>
    <w:p w14:paraId="5F9AFF7D" w14:textId="2680B2E9" w:rsidR="00AB1BE5" w:rsidRPr="001469DD" w:rsidRDefault="005F0787" w:rsidP="001469DD">
      <w:pPr>
        <w:spacing w:before="100" w:beforeAutospacing="1" w:after="100" w:afterAutospacing="1" w:line="276" w:lineRule="auto"/>
        <w:jc w:val="both"/>
        <w:outlineLvl w:val="2"/>
        <w:rPr>
          <w:rFonts w:ascii="Simplified Arabic" w:eastAsia="Calibri" w:hAnsi="Simplified Arabic" w:cs="Simplified Arabic"/>
          <w:b/>
          <w:bCs/>
          <w:color w:val="000000" w:themeColor="text1"/>
          <w:sz w:val="28"/>
          <w:szCs w:val="28"/>
          <w:lang w:bidi="ar-EG"/>
        </w:rPr>
      </w:pPr>
      <w:bookmarkStart w:id="22" w:name="_Toc234278699"/>
      <w:r>
        <w:rPr>
          <w:rFonts w:ascii="Simplified Arabic" w:eastAsia="Calibri" w:hAnsi="Simplified Arabic" w:cs="Simplified Arabic" w:hint="cs"/>
          <w:b/>
          <w:bCs/>
          <w:color w:val="000000" w:themeColor="text1"/>
          <w:sz w:val="28"/>
          <w:szCs w:val="28"/>
          <w:rtl/>
          <w:lang w:bidi="ar-EG"/>
        </w:rPr>
        <w:lastRenderedPageBreak/>
        <w:t xml:space="preserve">2.9.1 </w:t>
      </w:r>
      <w:r w:rsidR="00AB1BE5" w:rsidRPr="001469DD">
        <w:rPr>
          <w:rFonts w:ascii="Simplified Arabic" w:eastAsia="Calibri" w:hAnsi="Simplified Arabic" w:cs="Simplified Arabic"/>
          <w:b/>
          <w:bCs/>
          <w:color w:val="000000" w:themeColor="text1"/>
          <w:sz w:val="28"/>
          <w:szCs w:val="28"/>
          <w:rtl/>
          <w:lang w:bidi="ar-EG"/>
        </w:rPr>
        <w:t>ثانياً: مجتمع وعينة الدراسة</w:t>
      </w:r>
      <w:bookmarkEnd w:id="22"/>
    </w:p>
    <w:p w14:paraId="584859D1"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سوف يتكون مجتمع الدراسة من جميع العاملين في الشركات التقنية الناشئة بالمملكة العربية السعودية، والبالغ عددها وفقاً لأحدث إحصائيات الهيئة السعودية للبيانات والذكاء الاصطناعي (سدايا) والهيئة العامة للمنشآت الصغيرة والمتوسطة (منشآت) نحو (1300) شركة تقنية ناشئة موزعة على مختلف مناطق المملكة، ويعمل بها ما يزيد على (40,000) موظف من مختلف التخصصات التقنية والإدارية، ويتركز معظمها في المدن الرئيسية كالرياض وجدة والدمام، حيث تُشكّل مدينة الرياض بمفردها ما نسبته (60%) من إجمالي الشركات التقنية الناشئة في المملكة، وذلك انسجاماً مع مستهدفات رؤية المملكة 2030 في تنمية القطاع التقني</w:t>
      </w:r>
      <w:r w:rsidRPr="00A37589">
        <w:rPr>
          <w:rFonts w:ascii="Simplified Arabic" w:hAnsi="Simplified Arabic" w:cs="Simplified Arabic"/>
          <w:sz w:val="28"/>
          <w:szCs w:val="28"/>
        </w:rPr>
        <w:t>.</w:t>
      </w:r>
    </w:p>
    <w:p w14:paraId="6AAA86FB"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ونظراً لكِبر حجم مجتمع الدراسة وصعوبة الوصول إلى جميع مفرداته، سوف يعتمد الباحث على أسلوب العينة العشوائية الطبقية، إذ سوف يتم تحديد حجم العينة وفقاً لمعادلة ستيفن ثامبسون، بحيث يبلغ حجم العينة (384) مفردة كحد أدنى، وسوف يتم توزيع (450) استبانة على العاملين في الشركات التقنية الناشئة لضمان الحصول على العدد المطلوب من الاستجابات الصالحة للتحليل الإحصائي، بعد استبعاد الاستبانات غير المكتملة أو غير الصالحة للتحليل. وسوف يُراعى في اختيار العينة تمثيل مختلف المستويات الوظيفية (إدارة عليا، إدارة وسطى، إدارة تنفيذية) والتخصصات المختلفة (تقنية، إدارية، تسويقية، مالية) بما يعكس الطبيعة المتنوعة لمجتمع الدراسة</w:t>
      </w:r>
      <w:r w:rsidRPr="00A37589">
        <w:rPr>
          <w:rFonts w:ascii="Simplified Arabic" w:hAnsi="Simplified Arabic" w:cs="Simplified Arabic"/>
          <w:sz w:val="28"/>
          <w:szCs w:val="28"/>
        </w:rPr>
        <w:t>.</w:t>
      </w:r>
    </w:p>
    <w:p w14:paraId="1DD4AFB1" w14:textId="1D31F7A0" w:rsidR="00AB1BE5" w:rsidRPr="001469DD" w:rsidRDefault="005F0787" w:rsidP="001469DD">
      <w:pPr>
        <w:spacing w:before="100" w:beforeAutospacing="1" w:after="100" w:afterAutospacing="1" w:line="276" w:lineRule="auto"/>
        <w:jc w:val="both"/>
        <w:outlineLvl w:val="2"/>
        <w:rPr>
          <w:rFonts w:ascii="Simplified Arabic" w:eastAsia="Calibri" w:hAnsi="Simplified Arabic" w:cs="Simplified Arabic"/>
          <w:b/>
          <w:bCs/>
          <w:color w:val="000000" w:themeColor="text1"/>
          <w:sz w:val="28"/>
          <w:szCs w:val="28"/>
          <w:lang w:bidi="ar-EG"/>
        </w:rPr>
      </w:pPr>
      <w:bookmarkStart w:id="23" w:name="_Toc234278700"/>
      <w:r>
        <w:rPr>
          <w:rFonts w:ascii="Simplified Arabic" w:eastAsia="Calibri" w:hAnsi="Simplified Arabic" w:cs="Simplified Arabic" w:hint="cs"/>
          <w:b/>
          <w:bCs/>
          <w:color w:val="000000" w:themeColor="text1"/>
          <w:sz w:val="28"/>
          <w:szCs w:val="28"/>
          <w:rtl/>
          <w:lang w:bidi="ar-EG"/>
        </w:rPr>
        <w:t xml:space="preserve">3.9.1 </w:t>
      </w:r>
      <w:r w:rsidR="00AB1BE5" w:rsidRPr="001469DD">
        <w:rPr>
          <w:rFonts w:ascii="Simplified Arabic" w:eastAsia="Calibri" w:hAnsi="Simplified Arabic" w:cs="Simplified Arabic"/>
          <w:b/>
          <w:bCs/>
          <w:color w:val="000000" w:themeColor="text1"/>
          <w:sz w:val="28"/>
          <w:szCs w:val="28"/>
          <w:rtl/>
          <w:lang w:bidi="ar-EG"/>
        </w:rPr>
        <w:t>مصادر جمع البيانات</w:t>
      </w:r>
      <w:bookmarkEnd w:id="23"/>
    </w:p>
    <w:p w14:paraId="0364E043" w14:textId="77777777" w:rsidR="00AB1BE5" w:rsidRPr="005F0787" w:rsidRDefault="00AB1BE5" w:rsidP="00A37589">
      <w:pPr>
        <w:spacing w:before="100" w:beforeAutospacing="1" w:after="100" w:afterAutospacing="1" w:line="276" w:lineRule="auto"/>
        <w:jc w:val="both"/>
        <w:rPr>
          <w:rFonts w:ascii="Simplified Arabic" w:hAnsi="Simplified Arabic" w:cs="Simplified Arabic"/>
          <w:b/>
          <w:bCs/>
          <w:sz w:val="28"/>
          <w:szCs w:val="28"/>
        </w:rPr>
      </w:pPr>
      <w:r w:rsidRPr="005F0787">
        <w:rPr>
          <w:rFonts w:ascii="Simplified Arabic" w:hAnsi="Simplified Arabic" w:cs="Simplified Arabic"/>
          <w:b/>
          <w:bCs/>
          <w:sz w:val="28"/>
          <w:szCs w:val="28"/>
          <w:rtl/>
        </w:rPr>
        <w:t>سوف يعتمد الباحث في جمع البيانات على مصدرين رئيسيين، هما</w:t>
      </w:r>
      <w:r w:rsidRPr="005F0787">
        <w:rPr>
          <w:rFonts w:ascii="Simplified Arabic" w:hAnsi="Simplified Arabic" w:cs="Simplified Arabic"/>
          <w:b/>
          <w:bCs/>
          <w:sz w:val="28"/>
          <w:szCs w:val="28"/>
        </w:rPr>
        <w:t>:</w:t>
      </w:r>
    </w:p>
    <w:p w14:paraId="4FFC1E57" w14:textId="77777777" w:rsidR="00AB1BE5" w:rsidRPr="005F0787" w:rsidRDefault="00AB1BE5">
      <w:pPr>
        <w:pStyle w:val="a6"/>
        <w:numPr>
          <w:ilvl w:val="0"/>
          <w:numId w:val="10"/>
        </w:numPr>
        <w:spacing w:before="100" w:beforeAutospacing="1" w:after="100" w:afterAutospacing="1" w:line="276" w:lineRule="auto"/>
        <w:jc w:val="both"/>
        <w:rPr>
          <w:rFonts w:ascii="Simplified Arabic" w:hAnsi="Simplified Arabic" w:cs="Simplified Arabic"/>
          <w:sz w:val="28"/>
          <w:szCs w:val="28"/>
        </w:rPr>
      </w:pPr>
      <w:r w:rsidRPr="005F0787">
        <w:rPr>
          <w:rFonts w:ascii="Simplified Arabic" w:hAnsi="Simplified Arabic" w:cs="Simplified Arabic"/>
          <w:b/>
          <w:bCs/>
          <w:sz w:val="28"/>
          <w:szCs w:val="28"/>
          <w:rtl/>
        </w:rPr>
        <w:t>المصادر الأولية</w:t>
      </w:r>
      <w:r w:rsidRPr="005F0787">
        <w:rPr>
          <w:rFonts w:ascii="Simplified Arabic" w:hAnsi="Simplified Arabic" w:cs="Simplified Arabic"/>
          <w:b/>
          <w:bCs/>
          <w:sz w:val="28"/>
          <w:szCs w:val="28"/>
        </w:rPr>
        <w:t>:</w:t>
      </w:r>
      <w:r w:rsidRPr="005F0787">
        <w:rPr>
          <w:rFonts w:ascii="Simplified Arabic" w:hAnsi="Simplified Arabic" w:cs="Simplified Arabic"/>
          <w:sz w:val="28"/>
          <w:szCs w:val="28"/>
        </w:rPr>
        <w:t xml:space="preserve"> </w:t>
      </w:r>
      <w:r w:rsidRPr="005F0787">
        <w:rPr>
          <w:rFonts w:ascii="Simplified Arabic" w:hAnsi="Simplified Arabic" w:cs="Simplified Arabic"/>
          <w:sz w:val="28"/>
          <w:szCs w:val="28"/>
          <w:rtl/>
        </w:rPr>
        <w:t>وتتمثل في البيانات الميدانية التي سوف يتم جمعها مباشرة من مفردات عينة الدراسة عن طريق الاستبانة الإلكترونية المُصمّمة لهذا الغرض، والتي سوف يتم توزيعها على العاملين في الشركات التقنية الناشئة بالمملكة العربية السعودية</w:t>
      </w:r>
      <w:r w:rsidRPr="005F0787">
        <w:rPr>
          <w:rFonts w:ascii="Simplified Arabic" w:hAnsi="Simplified Arabic" w:cs="Simplified Arabic"/>
          <w:sz w:val="28"/>
          <w:szCs w:val="28"/>
        </w:rPr>
        <w:t>.</w:t>
      </w:r>
    </w:p>
    <w:p w14:paraId="1624CBB2" w14:textId="77777777" w:rsidR="00AB1BE5" w:rsidRPr="005F0787" w:rsidRDefault="00AB1BE5">
      <w:pPr>
        <w:pStyle w:val="a6"/>
        <w:numPr>
          <w:ilvl w:val="0"/>
          <w:numId w:val="10"/>
        </w:numPr>
        <w:spacing w:before="100" w:beforeAutospacing="1" w:after="100" w:afterAutospacing="1" w:line="276" w:lineRule="auto"/>
        <w:jc w:val="both"/>
        <w:rPr>
          <w:rFonts w:ascii="Simplified Arabic" w:hAnsi="Simplified Arabic" w:cs="Simplified Arabic"/>
          <w:sz w:val="28"/>
          <w:szCs w:val="28"/>
        </w:rPr>
      </w:pPr>
      <w:r w:rsidRPr="005F0787">
        <w:rPr>
          <w:rFonts w:ascii="Simplified Arabic" w:hAnsi="Simplified Arabic" w:cs="Simplified Arabic"/>
          <w:b/>
          <w:bCs/>
          <w:sz w:val="28"/>
          <w:szCs w:val="28"/>
          <w:rtl/>
        </w:rPr>
        <w:t>المصادر الثانوية</w:t>
      </w:r>
      <w:r w:rsidRPr="005F0787">
        <w:rPr>
          <w:rFonts w:ascii="Simplified Arabic" w:hAnsi="Simplified Arabic" w:cs="Simplified Arabic"/>
          <w:b/>
          <w:bCs/>
          <w:sz w:val="28"/>
          <w:szCs w:val="28"/>
        </w:rPr>
        <w:t>:</w:t>
      </w:r>
      <w:r w:rsidRPr="005F0787">
        <w:rPr>
          <w:rFonts w:ascii="Simplified Arabic" w:hAnsi="Simplified Arabic" w:cs="Simplified Arabic"/>
          <w:sz w:val="28"/>
          <w:szCs w:val="28"/>
        </w:rPr>
        <w:t xml:space="preserve"> </w:t>
      </w:r>
      <w:r w:rsidRPr="005F0787">
        <w:rPr>
          <w:rFonts w:ascii="Simplified Arabic" w:hAnsi="Simplified Arabic" w:cs="Simplified Arabic"/>
          <w:sz w:val="28"/>
          <w:szCs w:val="28"/>
          <w:rtl/>
        </w:rPr>
        <w:t>وتتمثل في الكتب والمراجع العربية والأجنبية، والدوريات العلمية المُحكّمة، والرسائل الجامعية (الماجستير والدكتوراه)، والمؤتمرات والندوات العلمية، والتقارير الرسمية الصادرة عن الجهات الحكومية ذات الصلة كالهيئة السعودية للبيانات والذكاء الاصطناعي (سدايا)، والهيئة العامة للمنشآت الصغيرة والمتوسطة (منشآت)، ووزارة الاتصالات وتقنية المعلومات، فضلاً عن قواعد البيانات العلمية العالمية</w:t>
      </w:r>
      <w:r w:rsidRPr="005F0787">
        <w:rPr>
          <w:rFonts w:ascii="Simplified Arabic" w:hAnsi="Simplified Arabic" w:cs="Simplified Arabic"/>
          <w:sz w:val="28"/>
          <w:szCs w:val="28"/>
        </w:rPr>
        <w:t>.</w:t>
      </w:r>
    </w:p>
    <w:p w14:paraId="53BE4A1A" w14:textId="2DA48FEB" w:rsidR="00AB1BE5" w:rsidRPr="001469DD" w:rsidRDefault="005F0787" w:rsidP="001469DD">
      <w:pPr>
        <w:spacing w:before="100" w:beforeAutospacing="1" w:after="100" w:afterAutospacing="1" w:line="276" w:lineRule="auto"/>
        <w:jc w:val="both"/>
        <w:outlineLvl w:val="2"/>
        <w:rPr>
          <w:rFonts w:ascii="Simplified Arabic" w:eastAsia="Calibri" w:hAnsi="Simplified Arabic" w:cs="Simplified Arabic"/>
          <w:b/>
          <w:bCs/>
          <w:color w:val="000000" w:themeColor="text1"/>
          <w:sz w:val="28"/>
          <w:szCs w:val="28"/>
          <w:lang w:bidi="ar-EG"/>
        </w:rPr>
      </w:pPr>
      <w:bookmarkStart w:id="24" w:name="_Toc234278701"/>
      <w:r>
        <w:rPr>
          <w:rFonts w:ascii="Simplified Arabic" w:eastAsia="Calibri" w:hAnsi="Simplified Arabic" w:cs="Simplified Arabic" w:hint="cs"/>
          <w:b/>
          <w:bCs/>
          <w:color w:val="000000" w:themeColor="text1"/>
          <w:sz w:val="28"/>
          <w:szCs w:val="28"/>
          <w:rtl/>
          <w:lang w:bidi="ar-EG"/>
        </w:rPr>
        <w:lastRenderedPageBreak/>
        <w:t xml:space="preserve">4.9.1 </w:t>
      </w:r>
      <w:r w:rsidR="00AB1BE5" w:rsidRPr="001469DD">
        <w:rPr>
          <w:rFonts w:ascii="Simplified Arabic" w:eastAsia="Calibri" w:hAnsi="Simplified Arabic" w:cs="Simplified Arabic"/>
          <w:b/>
          <w:bCs/>
          <w:color w:val="000000" w:themeColor="text1"/>
          <w:sz w:val="28"/>
          <w:szCs w:val="28"/>
          <w:rtl/>
          <w:lang w:bidi="ar-EG"/>
        </w:rPr>
        <w:t>أدوات الدراسة (الاستبانة)</w:t>
      </w:r>
      <w:bookmarkEnd w:id="24"/>
    </w:p>
    <w:p w14:paraId="462DA0E9"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سوف يعتمد الباحث على الاستبانة أداةً رئيسية لجمع البيانات، بعد تصميمها في ضوء الأدبيات والدراسات السابقة، ثم عرضها على مجموعة من المحكمين المتخصصين للتأكد من صدقها الظاهري، واختبار ثباتها باستخدام معامل ألفا كرونباخ. وسوف تتكون الاستبانة من ثلاثة أقسام رئيسية</w:t>
      </w:r>
      <w:r w:rsidRPr="00A37589">
        <w:rPr>
          <w:rFonts w:ascii="Simplified Arabic" w:hAnsi="Simplified Arabic" w:cs="Simplified Arabic"/>
          <w:sz w:val="28"/>
          <w:szCs w:val="28"/>
        </w:rPr>
        <w:t>:</w:t>
      </w:r>
    </w:p>
    <w:p w14:paraId="5F82DFD6" w14:textId="77777777" w:rsidR="00AB1BE5" w:rsidRPr="005F0787" w:rsidRDefault="00AB1BE5">
      <w:pPr>
        <w:pStyle w:val="a6"/>
        <w:numPr>
          <w:ilvl w:val="0"/>
          <w:numId w:val="11"/>
        </w:numPr>
        <w:spacing w:before="100" w:beforeAutospacing="1" w:after="100" w:afterAutospacing="1" w:line="276" w:lineRule="auto"/>
        <w:jc w:val="both"/>
        <w:rPr>
          <w:rFonts w:ascii="Simplified Arabic" w:hAnsi="Simplified Arabic" w:cs="Simplified Arabic"/>
          <w:sz w:val="28"/>
          <w:szCs w:val="28"/>
        </w:rPr>
      </w:pPr>
      <w:r w:rsidRPr="005F0787">
        <w:rPr>
          <w:rFonts w:ascii="Simplified Arabic" w:hAnsi="Simplified Arabic" w:cs="Simplified Arabic"/>
          <w:b/>
          <w:bCs/>
          <w:sz w:val="28"/>
          <w:szCs w:val="28"/>
          <w:rtl/>
        </w:rPr>
        <w:t>القسم الأول</w:t>
      </w:r>
      <w:r w:rsidRPr="005F0787">
        <w:rPr>
          <w:rFonts w:ascii="Simplified Arabic" w:hAnsi="Simplified Arabic" w:cs="Simplified Arabic"/>
          <w:b/>
          <w:bCs/>
          <w:sz w:val="28"/>
          <w:szCs w:val="28"/>
        </w:rPr>
        <w:t>:</w:t>
      </w:r>
      <w:r w:rsidRPr="005F0787">
        <w:rPr>
          <w:rFonts w:ascii="Simplified Arabic" w:hAnsi="Simplified Arabic" w:cs="Simplified Arabic"/>
          <w:sz w:val="28"/>
          <w:szCs w:val="28"/>
        </w:rPr>
        <w:t xml:space="preserve"> </w:t>
      </w:r>
      <w:r w:rsidRPr="005F0787">
        <w:rPr>
          <w:rFonts w:ascii="Simplified Arabic" w:hAnsi="Simplified Arabic" w:cs="Simplified Arabic"/>
          <w:sz w:val="28"/>
          <w:szCs w:val="28"/>
          <w:rtl/>
        </w:rPr>
        <w:t>ويشمل البيانات الديموغرافية لأفراد العينة (النوع، العمر، المؤهل العلمي، سنوات الخبرة، المسمى الوظيفي)</w:t>
      </w:r>
      <w:r w:rsidRPr="005F0787">
        <w:rPr>
          <w:rFonts w:ascii="Simplified Arabic" w:hAnsi="Simplified Arabic" w:cs="Simplified Arabic"/>
          <w:sz w:val="28"/>
          <w:szCs w:val="28"/>
        </w:rPr>
        <w:t>.</w:t>
      </w:r>
    </w:p>
    <w:p w14:paraId="3AD202BD" w14:textId="77777777" w:rsidR="00AB1BE5" w:rsidRPr="005F0787" w:rsidRDefault="00AB1BE5">
      <w:pPr>
        <w:pStyle w:val="a6"/>
        <w:numPr>
          <w:ilvl w:val="0"/>
          <w:numId w:val="11"/>
        </w:numPr>
        <w:spacing w:before="100" w:beforeAutospacing="1" w:after="100" w:afterAutospacing="1" w:line="276" w:lineRule="auto"/>
        <w:jc w:val="both"/>
        <w:rPr>
          <w:rFonts w:ascii="Simplified Arabic" w:hAnsi="Simplified Arabic" w:cs="Simplified Arabic"/>
          <w:sz w:val="28"/>
          <w:szCs w:val="28"/>
        </w:rPr>
      </w:pPr>
      <w:r w:rsidRPr="005F0787">
        <w:rPr>
          <w:rFonts w:ascii="Simplified Arabic" w:hAnsi="Simplified Arabic" w:cs="Simplified Arabic"/>
          <w:b/>
          <w:bCs/>
          <w:sz w:val="28"/>
          <w:szCs w:val="28"/>
          <w:rtl/>
        </w:rPr>
        <w:t>القسم الثاني: مقياس التحول الرقمي (المتغير المستقل الأول)</w:t>
      </w:r>
      <w:r w:rsidRPr="005F0787">
        <w:rPr>
          <w:rFonts w:ascii="Simplified Arabic" w:hAnsi="Simplified Arabic" w:cs="Simplified Arabic"/>
          <w:sz w:val="28"/>
          <w:szCs w:val="28"/>
          <w:rtl/>
        </w:rPr>
        <w:t xml:space="preserve"> ويتكون من (20) فقرة موزعة على خمسة أبعاد على النحو التالي</w:t>
      </w:r>
      <w:r w:rsidRPr="005F0787">
        <w:rPr>
          <w:rFonts w:ascii="Simplified Arabic" w:hAnsi="Simplified Arabic" w:cs="Simplified Arabic"/>
          <w:sz w:val="28"/>
          <w:szCs w:val="28"/>
        </w:rPr>
        <w:t>:</w:t>
      </w:r>
    </w:p>
    <w:tbl>
      <w:tblPr>
        <w:tblStyle w:val="4-3"/>
        <w:tblW w:w="5000" w:type="pct"/>
        <w:tblLook w:val="04A0" w:firstRow="1" w:lastRow="0" w:firstColumn="1" w:lastColumn="0" w:noHBand="0" w:noVBand="1"/>
      </w:tblPr>
      <w:tblGrid>
        <w:gridCol w:w="5937"/>
        <w:gridCol w:w="3691"/>
      </w:tblGrid>
      <w:tr w:rsidR="00AB1BE5" w:rsidRPr="00A37589" w14:paraId="16AA930F" w14:textId="77777777" w:rsidTr="005F0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3" w:type="pct"/>
            <w:vAlign w:val="center"/>
            <w:hideMark/>
          </w:tcPr>
          <w:p w14:paraId="25BFD904"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b w:val="0"/>
                <w:bCs w:val="0"/>
                <w:sz w:val="28"/>
                <w:szCs w:val="28"/>
              </w:rPr>
            </w:pPr>
            <w:r w:rsidRPr="00A37589">
              <w:rPr>
                <w:rFonts w:ascii="Simplified Arabic" w:hAnsi="Simplified Arabic" w:cs="Simplified Arabic"/>
                <w:sz w:val="28"/>
                <w:szCs w:val="28"/>
                <w:rtl/>
              </w:rPr>
              <w:t>البُعد</w:t>
            </w:r>
          </w:p>
        </w:tc>
        <w:tc>
          <w:tcPr>
            <w:tcW w:w="1917" w:type="pct"/>
            <w:vAlign w:val="center"/>
            <w:hideMark/>
          </w:tcPr>
          <w:p w14:paraId="4BF52573" w14:textId="77777777" w:rsidR="00AB1BE5" w:rsidRPr="00A37589" w:rsidRDefault="00AB1BE5" w:rsidP="005F07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37589">
              <w:rPr>
                <w:rFonts w:ascii="Simplified Arabic" w:hAnsi="Simplified Arabic" w:cs="Simplified Arabic"/>
                <w:sz w:val="28"/>
                <w:szCs w:val="28"/>
                <w:rtl/>
              </w:rPr>
              <w:t>عدد الفقرات</w:t>
            </w:r>
          </w:p>
        </w:tc>
      </w:tr>
      <w:tr w:rsidR="00AB1BE5" w:rsidRPr="00A37589" w14:paraId="00634E59" w14:textId="77777777" w:rsidTr="005F0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3" w:type="pct"/>
            <w:vAlign w:val="center"/>
            <w:hideMark/>
          </w:tcPr>
          <w:p w14:paraId="28D8579B"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البنية التحتية الرقمية</w:t>
            </w:r>
          </w:p>
        </w:tc>
        <w:tc>
          <w:tcPr>
            <w:tcW w:w="1917" w:type="pct"/>
            <w:vAlign w:val="center"/>
            <w:hideMark/>
          </w:tcPr>
          <w:p w14:paraId="0EA58EC8" w14:textId="77777777" w:rsidR="00AB1BE5" w:rsidRPr="00A37589" w:rsidRDefault="00AB1BE5" w:rsidP="005F078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sz w:val="28"/>
                <w:szCs w:val="28"/>
              </w:rPr>
              <w:t>4</w:t>
            </w:r>
          </w:p>
        </w:tc>
      </w:tr>
      <w:tr w:rsidR="00AB1BE5" w:rsidRPr="00A37589" w14:paraId="176535B4" w14:textId="77777777" w:rsidTr="005F0787">
        <w:tc>
          <w:tcPr>
            <w:cnfStyle w:val="001000000000" w:firstRow="0" w:lastRow="0" w:firstColumn="1" w:lastColumn="0" w:oddVBand="0" w:evenVBand="0" w:oddHBand="0" w:evenHBand="0" w:firstRowFirstColumn="0" w:firstRowLastColumn="0" w:lastRowFirstColumn="0" w:lastRowLastColumn="0"/>
            <w:tcW w:w="3083" w:type="pct"/>
            <w:vAlign w:val="center"/>
            <w:hideMark/>
          </w:tcPr>
          <w:p w14:paraId="7CC16EF1"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الاستراتيجية الرقمية</w:t>
            </w:r>
          </w:p>
        </w:tc>
        <w:tc>
          <w:tcPr>
            <w:tcW w:w="1917" w:type="pct"/>
            <w:vAlign w:val="center"/>
            <w:hideMark/>
          </w:tcPr>
          <w:p w14:paraId="23C9FFC0" w14:textId="77777777" w:rsidR="00AB1BE5" w:rsidRPr="00A37589" w:rsidRDefault="00AB1BE5" w:rsidP="005F07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sz w:val="28"/>
                <w:szCs w:val="28"/>
              </w:rPr>
              <w:t>4</w:t>
            </w:r>
          </w:p>
        </w:tc>
      </w:tr>
      <w:tr w:rsidR="00AB1BE5" w:rsidRPr="00A37589" w14:paraId="265C9DAD" w14:textId="77777777" w:rsidTr="005F0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3" w:type="pct"/>
            <w:vAlign w:val="center"/>
            <w:hideMark/>
          </w:tcPr>
          <w:p w14:paraId="20CA02C6"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الثقافة الرقمية</w:t>
            </w:r>
          </w:p>
        </w:tc>
        <w:tc>
          <w:tcPr>
            <w:tcW w:w="1917" w:type="pct"/>
            <w:vAlign w:val="center"/>
            <w:hideMark/>
          </w:tcPr>
          <w:p w14:paraId="00D92B3E" w14:textId="77777777" w:rsidR="00AB1BE5" w:rsidRPr="00A37589" w:rsidRDefault="00AB1BE5" w:rsidP="005F078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sz w:val="28"/>
                <w:szCs w:val="28"/>
              </w:rPr>
              <w:t>4</w:t>
            </w:r>
          </w:p>
        </w:tc>
      </w:tr>
      <w:tr w:rsidR="00AB1BE5" w:rsidRPr="00A37589" w14:paraId="770C5A88" w14:textId="77777777" w:rsidTr="005F0787">
        <w:tc>
          <w:tcPr>
            <w:cnfStyle w:val="001000000000" w:firstRow="0" w:lastRow="0" w:firstColumn="1" w:lastColumn="0" w:oddVBand="0" w:evenVBand="0" w:oddHBand="0" w:evenHBand="0" w:firstRowFirstColumn="0" w:firstRowLastColumn="0" w:lastRowFirstColumn="0" w:lastRowLastColumn="0"/>
            <w:tcW w:w="3083" w:type="pct"/>
            <w:vAlign w:val="center"/>
            <w:hideMark/>
          </w:tcPr>
          <w:p w14:paraId="4A19B982"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القيادة الرقمية</w:t>
            </w:r>
          </w:p>
        </w:tc>
        <w:tc>
          <w:tcPr>
            <w:tcW w:w="1917" w:type="pct"/>
            <w:vAlign w:val="center"/>
            <w:hideMark/>
          </w:tcPr>
          <w:p w14:paraId="57EE9664" w14:textId="77777777" w:rsidR="00AB1BE5" w:rsidRPr="00A37589" w:rsidRDefault="00AB1BE5" w:rsidP="005F07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sz w:val="28"/>
                <w:szCs w:val="28"/>
              </w:rPr>
              <w:t>4</w:t>
            </w:r>
          </w:p>
        </w:tc>
      </w:tr>
      <w:tr w:rsidR="00AB1BE5" w:rsidRPr="00A37589" w14:paraId="46F6F98C" w14:textId="77777777" w:rsidTr="005F0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3" w:type="pct"/>
            <w:vAlign w:val="center"/>
            <w:hideMark/>
          </w:tcPr>
          <w:p w14:paraId="2FFA1C4D"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الكفاءات الرقمية</w:t>
            </w:r>
          </w:p>
        </w:tc>
        <w:tc>
          <w:tcPr>
            <w:tcW w:w="1917" w:type="pct"/>
            <w:vAlign w:val="center"/>
            <w:hideMark/>
          </w:tcPr>
          <w:p w14:paraId="291C8A6B" w14:textId="77777777" w:rsidR="00AB1BE5" w:rsidRPr="00A37589" w:rsidRDefault="00AB1BE5" w:rsidP="005F078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sz w:val="28"/>
                <w:szCs w:val="28"/>
              </w:rPr>
              <w:t>4</w:t>
            </w:r>
          </w:p>
        </w:tc>
      </w:tr>
      <w:tr w:rsidR="00AB1BE5" w:rsidRPr="00A37589" w14:paraId="3345D4F2" w14:textId="77777777" w:rsidTr="005F0787">
        <w:tc>
          <w:tcPr>
            <w:cnfStyle w:val="001000000000" w:firstRow="0" w:lastRow="0" w:firstColumn="1" w:lastColumn="0" w:oddVBand="0" w:evenVBand="0" w:oddHBand="0" w:evenHBand="0" w:firstRowFirstColumn="0" w:firstRowLastColumn="0" w:lastRowFirstColumn="0" w:lastRowLastColumn="0"/>
            <w:tcW w:w="3083" w:type="pct"/>
            <w:vAlign w:val="center"/>
            <w:hideMark/>
          </w:tcPr>
          <w:p w14:paraId="0BD03F10"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الإجمالي</w:t>
            </w:r>
          </w:p>
        </w:tc>
        <w:tc>
          <w:tcPr>
            <w:tcW w:w="1917" w:type="pct"/>
            <w:vAlign w:val="center"/>
            <w:hideMark/>
          </w:tcPr>
          <w:p w14:paraId="4F0FFC10" w14:textId="77777777" w:rsidR="00AB1BE5" w:rsidRPr="00A37589" w:rsidRDefault="00AB1BE5" w:rsidP="005F07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b/>
                <w:bCs/>
                <w:sz w:val="28"/>
                <w:szCs w:val="28"/>
              </w:rPr>
              <w:t>20</w:t>
            </w:r>
          </w:p>
        </w:tc>
      </w:tr>
    </w:tbl>
    <w:p w14:paraId="1907074E" w14:textId="77777777" w:rsidR="00AB1BE5" w:rsidRPr="005F0787" w:rsidRDefault="00AB1BE5">
      <w:pPr>
        <w:pStyle w:val="a6"/>
        <w:numPr>
          <w:ilvl w:val="0"/>
          <w:numId w:val="11"/>
        </w:numPr>
        <w:spacing w:before="100" w:beforeAutospacing="1" w:after="100" w:afterAutospacing="1" w:line="276" w:lineRule="auto"/>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القسم الثالث: مقياس إدارة المواهب (المتغير المستقل الثاني)</w:t>
      </w:r>
      <w:r w:rsidRPr="005F0787">
        <w:rPr>
          <w:rFonts w:ascii="Simplified Arabic" w:hAnsi="Simplified Arabic" w:cs="Simplified Arabic"/>
          <w:b/>
          <w:bCs/>
          <w:sz w:val="28"/>
          <w:szCs w:val="28"/>
          <w:rtl/>
        </w:rPr>
        <w:t xml:space="preserve"> ويتكون من (16) فقرة موزعة على أربعة أبعاد على النحو التالي</w:t>
      </w:r>
      <w:r w:rsidRPr="005F0787">
        <w:rPr>
          <w:rFonts w:ascii="Simplified Arabic" w:hAnsi="Simplified Arabic" w:cs="Simplified Arabic"/>
          <w:b/>
          <w:bCs/>
          <w:sz w:val="28"/>
          <w:szCs w:val="28"/>
        </w:rPr>
        <w:t>:</w:t>
      </w:r>
    </w:p>
    <w:tbl>
      <w:tblPr>
        <w:tblStyle w:val="4-3"/>
        <w:tblW w:w="5000" w:type="pct"/>
        <w:tblLook w:val="04A0" w:firstRow="1" w:lastRow="0" w:firstColumn="1" w:lastColumn="0" w:noHBand="0" w:noVBand="1"/>
      </w:tblPr>
      <w:tblGrid>
        <w:gridCol w:w="5621"/>
        <w:gridCol w:w="4007"/>
      </w:tblGrid>
      <w:tr w:rsidR="00AB1BE5" w:rsidRPr="00A37589" w14:paraId="378814CB" w14:textId="77777777" w:rsidTr="005F07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9" w:type="pct"/>
            <w:vAlign w:val="center"/>
            <w:hideMark/>
          </w:tcPr>
          <w:p w14:paraId="3DB00870"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b w:val="0"/>
                <w:bCs w:val="0"/>
                <w:sz w:val="28"/>
                <w:szCs w:val="28"/>
              </w:rPr>
            </w:pPr>
            <w:r w:rsidRPr="00A37589">
              <w:rPr>
                <w:rFonts w:ascii="Simplified Arabic" w:hAnsi="Simplified Arabic" w:cs="Simplified Arabic"/>
                <w:sz w:val="28"/>
                <w:szCs w:val="28"/>
                <w:rtl/>
              </w:rPr>
              <w:t>البُعد</w:t>
            </w:r>
          </w:p>
        </w:tc>
        <w:tc>
          <w:tcPr>
            <w:tcW w:w="2081" w:type="pct"/>
            <w:vAlign w:val="center"/>
            <w:hideMark/>
          </w:tcPr>
          <w:p w14:paraId="25408702" w14:textId="77777777" w:rsidR="00AB1BE5" w:rsidRPr="00A37589" w:rsidRDefault="00AB1BE5" w:rsidP="005F078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37589">
              <w:rPr>
                <w:rFonts w:ascii="Simplified Arabic" w:hAnsi="Simplified Arabic" w:cs="Simplified Arabic"/>
                <w:sz w:val="28"/>
                <w:szCs w:val="28"/>
                <w:rtl/>
              </w:rPr>
              <w:t>عدد الفقرات</w:t>
            </w:r>
          </w:p>
        </w:tc>
      </w:tr>
      <w:tr w:rsidR="00AB1BE5" w:rsidRPr="00A37589" w14:paraId="069A2DA6" w14:textId="77777777" w:rsidTr="005F0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9" w:type="pct"/>
            <w:vAlign w:val="center"/>
            <w:hideMark/>
          </w:tcPr>
          <w:p w14:paraId="7A928B01"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استقطاب المواهب</w:t>
            </w:r>
          </w:p>
        </w:tc>
        <w:tc>
          <w:tcPr>
            <w:tcW w:w="2081" w:type="pct"/>
            <w:vAlign w:val="center"/>
            <w:hideMark/>
          </w:tcPr>
          <w:p w14:paraId="62EBAEB4" w14:textId="77777777" w:rsidR="00AB1BE5" w:rsidRPr="00A37589" w:rsidRDefault="00AB1BE5" w:rsidP="005F078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sz w:val="28"/>
                <w:szCs w:val="28"/>
              </w:rPr>
              <w:t>4</w:t>
            </w:r>
          </w:p>
        </w:tc>
      </w:tr>
      <w:tr w:rsidR="00AB1BE5" w:rsidRPr="00A37589" w14:paraId="70E6C44B" w14:textId="77777777" w:rsidTr="005F0787">
        <w:tc>
          <w:tcPr>
            <w:cnfStyle w:val="001000000000" w:firstRow="0" w:lastRow="0" w:firstColumn="1" w:lastColumn="0" w:oddVBand="0" w:evenVBand="0" w:oddHBand="0" w:evenHBand="0" w:firstRowFirstColumn="0" w:firstRowLastColumn="0" w:lastRowFirstColumn="0" w:lastRowLastColumn="0"/>
            <w:tcW w:w="2919" w:type="pct"/>
            <w:vAlign w:val="center"/>
            <w:hideMark/>
          </w:tcPr>
          <w:p w14:paraId="63D5EF40"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تطوير المواهب</w:t>
            </w:r>
          </w:p>
        </w:tc>
        <w:tc>
          <w:tcPr>
            <w:tcW w:w="2081" w:type="pct"/>
            <w:vAlign w:val="center"/>
            <w:hideMark/>
          </w:tcPr>
          <w:p w14:paraId="21486210" w14:textId="77777777" w:rsidR="00AB1BE5" w:rsidRPr="00A37589" w:rsidRDefault="00AB1BE5" w:rsidP="005F07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sz w:val="28"/>
                <w:szCs w:val="28"/>
              </w:rPr>
              <w:t>4</w:t>
            </w:r>
          </w:p>
        </w:tc>
      </w:tr>
      <w:tr w:rsidR="00AB1BE5" w:rsidRPr="00A37589" w14:paraId="716C89F1" w14:textId="77777777" w:rsidTr="005F0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9" w:type="pct"/>
            <w:vAlign w:val="center"/>
            <w:hideMark/>
          </w:tcPr>
          <w:p w14:paraId="60057232"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الاحتفاظ بالمواهب</w:t>
            </w:r>
          </w:p>
        </w:tc>
        <w:tc>
          <w:tcPr>
            <w:tcW w:w="2081" w:type="pct"/>
            <w:vAlign w:val="center"/>
            <w:hideMark/>
          </w:tcPr>
          <w:p w14:paraId="4BFAD93B" w14:textId="77777777" w:rsidR="00AB1BE5" w:rsidRPr="00A37589" w:rsidRDefault="00AB1BE5" w:rsidP="005F078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sz w:val="28"/>
                <w:szCs w:val="28"/>
              </w:rPr>
              <w:t>4</w:t>
            </w:r>
          </w:p>
        </w:tc>
      </w:tr>
      <w:tr w:rsidR="00AB1BE5" w:rsidRPr="00A37589" w14:paraId="6B82C4D9" w14:textId="77777777" w:rsidTr="005F0787">
        <w:tc>
          <w:tcPr>
            <w:cnfStyle w:val="001000000000" w:firstRow="0" w:lastRow="0" w:firstColumn="1" w:lastColumn="0" w:oddVBand="0" w:evenVBand="0" w:oddHBand="0" w:evenHBand="0" w:firstRowFirstColumn="0" w:firstRowLastColumn="0" w:lastRowFirstColumn="0" w:lastRowLastColumn="0"/>
            <w:tcW w:w="2919" w:type="pct"/>
            <w:vAlign w:val="center"/>
            <w:hideMark/>
          </w:tcPr>
          <w:p w14:paraId="6BF4D6C3"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تقييم المواهب</w:t>
            </w:r>
          </w:p>
        </w:tc>
        <w:tc>
          <w:tcPr>
            <w:tcW w:w="2081" w:type="pct"/>
            <w:vAlign w:val="center"/>
            <w:hideMark/>
          </w:tcPr>
          <w:p w14:paraId="2ADFEC8E" w14:textId="77777777" w:rsidR="00AB1BE5" w:rsidRPr="00A37589" w:rsidRDefault="00AB1BE5" w:rsidP="005F078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sz w:val="28"/>
                <w:szCs w:val="28"/>
              </w:rPr>
              <w:t>4</w:t>
            </w:r>
          </w:p>
        </w:tc>
      </w:tr>
      <w:tr w:rsidR="00AB1BE5" w:rsidRPr="00A37589" w14:paraId="0FCEB3F7" w14:textId="77777777" w:rsidTr="005F07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9" w:type="pct"/>
            <w:vAlign w:val="center"/>
            <w:hideMark/>
          </w:tcPr>
          <w:p w14:paraId="12C69AB1" w14:textId="77777777" w:rsidR="00AB1BE5" w:rsidRPr="00A37589" w:rsidRDefault="00AB1BE5" w:rsidP="005F0787">
            <w:pPr>
              <w:spacing w:before="100" w:beforeAutospacing="1" w:after="100" w:afterAutospacing="1" w:line="276" w:lineRule="auto"/>
              <w:jc w:val="center"/>
              <w:rPr>
                <w:rFonts w:ascii="Simplified Arabic" w:hAnsi="Simplified Arabic" w:cs="Simplified Arabic"/>
                <w:sz w:val="28"/>
                <w:szCs w:val="28"/>
              </w:rPr>
            </w:pPr>
            <w:r w:rsidRPr="00A37589">
              <w:rPr>
                <w:rFonts w:ascii="Simplified Arabic" w:hAnsi="Simplified Arabic" w:cs="Simplified Arabic"/>
                <w:sz w:val="28"/>
                <w:szCs w:val="28"/>
                <w:rtl/>
              </w:rPr>
              <w:t>الإجمالي</w:t>
            </w:r>
          </w:p>
        </w:tc>
        <w:tc>
          <w:tcPr>
            <w:tcW w:w="2081" w:type="pct"/>
            <w:vAlign w:val="center"/>
            <w:hideMark/>
          </w:tcPr>
          <w:p w14:paraId="68293477" w14:textId="77777777" w:rsidR="00AB1BE5" w:rsidRPr="00A37589" w:rsidRDefault="00AB1BE5" w:rsidP="005F078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37589">
              <w:rPr>
                <w:rFonts w:ascii="Simplified Arabic" w:hAnsi="Simplified Arabic" w:cs="Simplified Arabic"/>
                <w:b/>
                <w:bCs/>
                <w:sz w:val="28"/>
                <w:szCs w:val="28"/>
              </w:rPr>
              <w:t>16</w:t>
            </w:r>
          </w:p>
        </w:tc>
      </w:tr>
    </w:tbl>
    <w:p w14:paraId="07DAD271" w14:textId="77777777" w:rsidR="00AB1BE5" w:rsidRPr="005F0787" w:rsidRDefault="00AB1BE5">
      <w:pPr>
        <w:pStyle w:val="a6"/>
        <w:numPr>
          <w:ilvl w:val="0"/>
          <w:numId w:val="11"/>
        </w:numPr>
        <w:spacing w:before="100" w:beforeAutospacing="1" w:after="100" w:afterAutospacing="1" w:line="276" w:lineRule="auto"/>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lastRenderedPageBreak/>
        <w:t>القسم الرابع: مقياس الولاء الوظيفي (المتغير التابع)</w:t>
      </w:r>
      <w:r w:rsidRPr="005F0787">
        <w:rPr>
          <w:rFonts w:ascii="Simplified Arabic" w:hAnsi="Simplified Arabic" w:cs="Simplified Arabic"/>
          <w:b/>
          <w:bCs/>
          <w:sz w:val="28"/>
          <w:szCs w:val="28"/>
          <w:rtl/>
        </w:rPr>
        <w:t xml:space="preserve"> ويتكون من (10) فقرات كمحور أحادي دون تجزئة إلى أبعاد فرعية</w:t>
      </w:r>
      <w:r w:rsidRPr="005F0787">
        <w:rPr>
          <w:rFonts w:ascii="Simplified Arabic" w:hAnsi="Simplified Arabic" w:cs="Simplified Arabic"/>
          <w:b/>
          <w:bCs/>
          <w:sz w:val="28"/>
          <w:szCs w:val="28"/>
        </w:rPr>
        <w:t>.</w:t>
      </w:r>
    </w:p>
    <w:p w14:paraId="70C7E601"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وسوف يتم استخدام مقياس ليكرت الخماسي في قياس استجابات المبحوثين، بحيث تتدرج الاستجابات من (موافق بشدة = 5) إلى (غير موافق بشدة = 1)</w:t>
      </w:r>
      <w:r w:rsidRPr="00A37589">
        <w:rPr>
          <w:rFonts w:ascii="Simplified Arabic" w:hAnsi="Simplified Arabic" w:cs="Simplified Arabic"/>
          <w:sz w:val="28"/>
          <w:szCs w:val="28"/>
        </w:rPr>
        <w:t>.</w:t>
      </w:r>
    </w:p>
    <w:p w14:paraId="1E37F176" w14:textId="42B76514" w:rsidR="00AB1BE5" w:rsidRPr="001469DD" w:rsidRDefault="005F0787" w:rsidP="001469DD">
      <w:pPr>
        <w:spacing w:before="100" w:beforeAutospacing="1" w:after="100" w:afterAutospacing="1" w:line="276" w:lineRule="auto"/>
        <w:jc w:val="both"/>
        <w:outlineLvl w:val="2"/>
        <w:rPr>
          <w:rFonts w:ascii="Simplified Arabic" w:eastAsia="Calibri" w:hAnsi="Simplified Arabic" w:cs="Simplified Arabic"/>
          <w:b/>
          <w:bCs/>
          <w:color w:val="000000" w:themeColor="text1"/>
          <w:sz w:val="28"/>
          <w:szCs w:val="28"/>
          <w:lang w:bidi="ar-EG"/>
        </w:rPr>
      </w:pPr>
      <w:bookmarkStart w:id="25" w:name="_Toc234278702"/>
      <w:r>
        <w:rPr>
          <w:rFonts w:ascii="Simplified Arabic" w:eastAsia="Calibri" w:hAnsi="Simplified Arabic" w:cs="Simplified Arabic" w:hint="cs"/>
          <w:b/>
          <w:bCs/>
          <w:color w:val="000000" w:themeColor="text1"/>
          <w:sz w:val="28"/>
          <w:szCs w:val="28"/>
          <w:rtl/>
          <w:lang w:bidi="ar-EG"/>
        </w:rPr>
        <w:t xml:space="preserve">5.9.1 </w:t>
      </w:r>
      <w:r w:rsidR="00AB1BE5" w:rsidRPr="001469DD">
        <w:rPr>
          <w:rFonts w:ascii="Simplified Arabic" w:eastAsia="Calibri" w:hAnsi="Simplified Arabic" w:cs="Simplified Arabic"/>
          <w:b/>
          <w:bCs/>
          <w:color w:val="000000" w:themeColor="text1"/>
          <w:sz w:val="28"/>
          <w:szCs w:val="28"/>
          <w:rtl/>
          <w:lang w:bidi="ar-EG"/>
        </w:rPr>
        <w:t>الأساليب الإحصائية المستخدمة</w:t>
      </w:r>
      <w:bookmarkEnd w:id="25"/>
    </w:p>
    <w:p w14:paraId="6336F077" w14:textId="77777777" w:rsidR="00AB1BE5" w:rsidRPr="00A37589" w:rsidRDefault="00AB1BE5" w:rsidP="005F0787">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سوف يعتمد الباحث على مجموعة من الأساليب الإحصائية المتقدمة لتحليل البيانات، من خلال برنامج الحزمة الإحصائية للعلوم الاجتماعية</w:t>
      </w:r>
      <w:r w:rsidRPr="00A37589">
        <w:rPr>
          <w:rFonts w:ascii="Simplified Arabic" w:hAnsi="Simplified Arabic" w:cs="Simplified Arabic"/>
          <w:sz w:val="28"/>
          <w:szCs w:val="28"/>
        </w:rPr>
        <w:t xml:space="preserve"> (SPSS) </w:t>
      </w:r>
      <w:r w:rsidRPr="00A37589">
        <w:rPr>
          <w:rFonts w:ascii="Simplified Arabic" w:hAnsi="Simplified Arabic" w:cs="Simplified Arabic"/>
          <w:sz w:val="28"/>
          <w:szCs w:val="28"/>
          <w:rtl/>
        </w:rPr>
        <w:t>وبرنامج</w:t>
      </w:r>
      <w:r w:rsidRPr="00A37589">
        <w:rPr>
          <w:rFonts w:ascii="Simplified Arabic" w:hAnsi="Simplified Arabic" w:cs="Simplified Arabic"/>
          <w:sz w:val="28"/>
          <w:szCs w:val="28"/>
        </w:rPr>
        <w:t xml:space="preserve"> (AMOS)</w:t>
      </w:r>
      <w:r w:rsidRPr="00A37589">
        <w:rPr>
          <w:rFonts w:ascii="Simplified Arabic" w:hAnsi="Simplified Arabic" w:cs="Simplified Arabic"/>
          <w:sz w:val="28"/>
          <w:szCs w:val="28"/>
          <w:rtl/>
        </w:rPr>
        <w:t>، وذلك على النحو التالي</w:t>
      </w:r>
      <w:r w:rsidRPr="00A37589">
        <w:rPr>
          <w:rFonts w:ascii="Simplified Arabic" w:hAnsi="Simplified Arabic" w:cs="Simplified Arabic"/>
          <w:sz w:val="28"/>
          <w:szCs w:val="28"/>
        </w:rPr>
        <w:t>:</w:t>
      </w:r>
    </w:p>
    <w:p w14:paraId="4DB3F2B3" w14:textId="77777777" w:rsidR="00AB1BE5" w:rsidRPr="00A37589" w:rsidRDefault="00AB1BE5">
      <w:pPr>
        <w:numPr>
          <w:ilvl w:val="0"/>
          <w:numId w:val="12"/>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التكرارات والنسب المئوية لوصف الخصائص الديموغرافية لأفراد العينة</w:t>
      </w:r>
      <w:r w:rsidRPr="00A37589">
        <w:rPr>
          <w:rFonts w:ascii="Simplified Arabic" w:hAnsi="Simplified Arabic" w:cs="Simplified Arabic"/>
          <w:sz w:val="28"/>
          <w:szCs w:val="28"/>
        </w:rPr>
        <w:t>.</w:t>
      </w:r>
    </w:p>
    <w:p w14:paraId="0B72A555" w14:textId="77777777" w:rsidR="00AB1BE5" w:rsidRPr="00A37589" w:rsidRDefault="00AB1BE5">
      <w:pPr>
        <w:numPr>
          <w:ilvl w:val="0"/>
          <w:numId w:val="12"/>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المتوسطات الحسابية والانحرافات المعيارية لوصف استجابات المبحوثين حول متغيرات الدراسة</w:t>
      </w:r>
      <w:r w:rsidRPr="00A37589">
        <w:rPr>
          <w:rFonts w:ascii="Simplified Arabic" w:hAnsi="Simplified Arabic" w:cs="Simplified Arabic"/>
          <w:sz w:val="28"/>
          <w:szCs w:val="28"/>
        </w:rPr>
        <w:t>.</w:t>
      </w:r>
    </w:p>
    <w:p w14:paraId="483D5B5C" w14:textId="77777777" w:rsidR="00AB1BE5" w:rsidRPr="00A37589" w:rsidRDefault="00AB1BE5">
      <w:pPr>
        <w:numPr>
          <w:ilvl w:val="0"/>
          <w:numId w:val="12"/>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معامل ألفا كرونباخ لقياس ثبات أداة الدراسة</w:t>
      </w:r>
      <w:r w:rsidRPr="00A37589">
        <w:rPr>
          <w:rFonts w:ascii="Simplified Arabic" w:hAnsi="Simplified Arabic" w:cs="Simplified Arabic"/>
          <w:sz w:val="28"/>
          <w:szCs w:val="28"/>
        </w:rPr>
        <w:t>.</w:t>
      </w:r>
    </w:p>
    <w:p w14:paraId="74E6BC13" w14:textId="77777777" w:rsidR="00AB1BE5" w:rsidRPr="00A37589" w:rsidRDefault="00AB1BE5">
      <w:pPr>
        <w:numPr>
          <w:ilvl w:val="0"/>
          <w:numId w:val="12"/>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التحليل العاملي التوكيدي</w:t>
      </w:r>
      <w:r w:rsidRPr="00A37589">
        <w:rPr>
          <w:rFonts w:ascii="Simplified Arabic" w:hAnsi="Simplified Arabic" w:cs="Simplified Arabic"/>
          <w:sz w:val="28"/>
          <w:szCs w:val="28"/>
        </w:rPr>
        <w:t xml:space="preserve"> (CFA) </w:t>
      </w:r>
      <w:r w:rsidRPr="00A37589">
        <w:rPr>
          <w:rFonts w:ascii="Simplified Arabic" w:hAnsi="Simplified Arabic" w:cs="Simplified Arabic"/>
          <w:sz w:val="28"/>
          <w:szCs w:val="28"/>
          <w:rtl/>
        </w:rPr>
        <w:t>للتحقق من صدق البناء لأداة الدراسة</w:t>
      </w:r>
      <w:r w:rsidRPr="00A37589">
        <w:rPr>
          <w:rFonts w:ascii="Simplified Arabic" w:hAnsi="Simplified Arabic" w:cs="Simplified Arabic"/>
          <w:sz w:val="28"/>
          <w:szCs w:val="28"/>
        </w:rPr>
        <w:t>.</w:t>
      </w:r>
    </w:p>
    <w:p w14:paraId="52CA1512" w14:textId="77777777" w:rsidR="00AB1BE5" w:rsidRPr="00A37589" w:rsidRDefault="00AB1BE5">
      <w:pPr>
        <w:numPr>
          <w:ilvl w:val="0"/>
          <w:numId w:val="12"/>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معامل ارتباط بيرسون لقياس العلاقات بين متغيرات الدراسة</w:t>
      </w:r>
      <w:r w:rsidRPr="00A37589">
        <w:rPr>
          <w:rFonts w:ascii="Simplified Arabic" w:hAnsi="Simplified Arabic" w:cs="Simplified Arabic"/>
          <w:sz w:val="28"/>
          <w:szCs w:val="28"/>
        </w:rPr>
        <w:t>.</w:t>
      </w:r>
    </w:p>
    <w:p w14:paraId="2D972A3C" w14:textId="77777777" w:rsidR="00AB1BE5" w:rsidRPr="00A37589" w:rsidRDefault="00AB1BE5">
      <w:pPr>
        <w:numPr>
          <w:ilvl w:val="0"/>
          <w:numId w:val="12"/>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تحليل الانحدار الخطي البسيط والمتعدد لاختبار فروض الدراسة الرئيسية والفرعية</w:t>
      </w:r>
      <w:r w:rsidRPr="00A37589">
        <w:rPr>
          <w:rFonts w:ascii="Simplified Arabic" w:hAnsi="Simplified Arabic" w:cs="Simplified Arabic"/>
          <w:sz w:val="28"/>
          <w:szCs w:val="28"/>
        </w:rPr>
        <w:t>.</w:t>
      </w:r>
    </w:p>
    <w:p w14:paraId="1B3BF958" w14:textId="77777777" w:rsidR="00AB1BE5" w:rsidRPr="00A37589" w:rsidRDefault="00AB1BE5">
      <w:pPr>
        <w:numPr>
          <w:ilvl w:val="0"/>
          <w:numId w:val="12"/>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نمذجة المعادلات البنائية</w:t>
      </w:r>
      <w:r w:rsidRPr="00A37589">
        <w:rPr>
          <w:rFonts w:ascii="Simplified Arabic" w:hAnsi="Simplified Arabic" w:cs="Simplified Arabic"/>
          <w:sz w:val="28"/>
          <w:szCs w:val="28"/>
        </w:rPr>
        <w:t xml:space="preserve"> (SEM) </w:t>
      </w:r>
      <w:r w:rsidRPr="00A37589">
        <w:rPr>
          <w:rFonts w:ascii="Simplified Arabic" w:hAnsi="Simplified Arabic" w:cs="Simplified Arabic"/>
          <w:sz w:val="28"/>
          <w:szCs w:val="28"/>
          <w:rtl/>
        </w:rPr>
        <w:t>لاختبار النموذج البنائي للدراسة</w:t>
      </w:r>
      <w:r w:rsidRPr="00A37589">
        <w:rPr>
          <w:rFonts w:ascii="Simplified Arabic" w:hAnsi="Simplified Arabic" w:cs="Simplified Arabic"/>
          <w:sz w:val="28"/>
          <w:szCs w:val="28"/>
        </w:rPr>
        <w:t>.</w:t>
      </w:r>
    </w:p>
    <w:p w14:paraId="66D96BA0" w14:textId="77777777" w:rsidR="00AB1BE5" w:rsidRPr="00A37589" w:rsidRDefault="00AB1BE5">
      <w:pPr>
        <w:numPr>
          <w:ilvl w:val="0"/>
          <w:numId w:val="12"/>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اختبار</w:t>
      </w:r>
      <w:r w:rsidRPr="00A37589">
        <w:rPr>
          <w:rFonts w:ascii="Simplified Arabic" w:hAnsi="Simplified Arabic" w:cs="Simplified Arabic"/>
          <w:sz w:val="28"/>
          <w:szCs w:val="28"/>
        </w:rPr>
        <w:t xml:space="preserve"> (T-Test) </w:t>
      </w:r>
      <w:r w:rsidRPr="00A37589">
        <w:rPr>
          <w:rFonts w:ascii="Simplified Arabic" w:hAnsi="Simplified Arabic" w:cs="Simplified Arabic"/>
          <w:sz w:val="28"/>
          <w:szCs w:val="28"/>
          <w:rtl/>
        </w:rPr>
        <w:t>وتحليل التباين الأحادي</w:t>
      </w:r>
      <w:r w:rsidRPr="00A37589">
        <w:rPr>
          <w:rFonts w:ascii="Simplified Arabic" w:hAnsi="Simplified Arabic" w:cs="Simplified Arabic"/>
          <w:sz w:val="28"/>
          <w:szCs w:val="28"/>
        </w:rPr>
        <w:t xml:space="preserve"> (One Way ANOVA) </w:t>
      </w:r>
      <w:r w:rsidRPr="00A37589">
        <w:rPr>
          <w:rFonts w:ascii="Simplified Arabic" w:hAnsi="Simplified Arabic" w:cs="Simplified Arabic"/>
          <w:sz w:val="28"/>
          <w:szCs w:val="28"/>
          <w:rtl/>
        </w:rPr>
        <w:t>للكشف عن الفروق في استجابات المبحوثين وفقاً للمتغيرات الديموغرافية</w:t>
      </w:r>
      <w:r w:rsidRPr="00A37589">
        <w:rPr>
          <w:rFonts w:ascii="Simplified Arabic" w:hAnsi="Simplified Arabic" w:cs="Simplified Arabic"/>
          <w:sz w:val="28"/>
          <w:szCs w:val="28"/>
        </w:rPr>
        <w:t>.</w:t>
      </w:r>
    </w:p>
    <w:p w14:paraId="3E02BDFB" w14:textId="77777777" w:rsidR="00AB1BE5" w:rsidRPr="00A37589" w:rsidRDefault="00AB1BE5">
      <w:pPr>
        <w:numPr>
          <w:ilvl w:val="0"/>
          <w:numId w:val="12"/>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اختبار</w:t>
      </w:r>
      <w:r w:rsidRPr="00A37589">
        <w:rPr>
          <w:rFonts w:ascii="Simplified Arabic" w:hAnsi="Simplified Arabic" w:cs="Simplified Arabic"/>
          <w:sz w:val="28"/>
          <w:szCs w:val="28"/>
        </w:rPr>
        <w:t xml:space="preserve"> (VIF) </w:t>
      </w:r>
      <w:r w:rsidRPr="00A37589">
        <w:rPr>
          <w:rFonts w:ascii="Simplified Arabic" w:hAnsi="Simplified Arabic" w:cs="Simplified Arabic"/>
          <w:sz w:val="28"/>
          <w:szCs w:val="28"/>
          <w:rtl/>
        </w:rPr>
        <w:t>للتأكد من عدم وجود ارتباط متعدد بين المتغيرات المستقلة</w:t>
      </w:r>
      <w:r w:rsidRPr="00A37589">
        <w:rPr>
          <w:rFonts w:ascii="Simplified Arabic" w:hAnsi="Simplified Arabic" w:cs="Simplified Arabic"/>
          <w:sz w:val="28"/>
          <w:szCs w:val="28"/>
        </w:rPr>
        <w:t>.</w:t>
      </w:r>
    </w:p>
    <w:p w14:paraId="2FCB39BC" w14:textId="12568E3F" w:rsidR="00AB1BE5" w:rsidRPr="001469DD" w:rsidRDefault="005F0787" w:rsidP="001469DD">
      <w:pPr>
        <w:spacing w:before="100" w:beforeAutospacing="1" w:after="100" w:afterAutospacing="1" w:line="276" w:lineRule="auto"/>
        <w:jc w:val="both"/>
        <w:outlineLvl w:val="2"/>
        <w:rPr>
          <w:rFonts w:ascii="Simplified Arabic" w:eastAsia="Calibri" w:hAnsi="Simplified Arabic" w:cs="Simplified Arabic"/>
          <w:b/>
          <w:bCs/>
          <w:color w:val="000000" w:themeColor="text1"/>
          <w:sz w:val="28"/>
          <w:szCs w:val="28"/>
          <w:lang w:bidi="ar-EG"/>
        </w:rPr>
      </w:pPr>
      <w:bookmarkStart w:id="26" w:name="_Toc234278703"/>
      <w:r>
        <w:rPr>
          <w:rFonts w:ascii="Simplified Arabic" w:eastAsia="Calibri" w:hAnsi="Simplified Arabic" w:cs="Simplified Arabic" w:hint="cs"/>
          <w:b/>
          <w:bCs/>
          <w:color w:val="000000" w:themeColor="text1"/>
          <w:sz w:val="28"/>
          <w:szCs w:val="28"/>
          <w:rtl/>
          <w:lang w:bidi="ar-EG"/>
        </w:rPr>
        <w:t>6.9.1</w:t>
      </w:r>
      <w:r w:rsidR="00AB1BE5" w:rsidRPr="001469DD">
        <w:rPr>
          <w:rFonts w:ascii="Simplified Arabic" w:eastAsia="Calibri" w:hAnsi="Simplified Arabic" w:cs="Simplified Arabic"/>
          <w:b/>
          <w:bCs/>
          <w:color w:val="000000" w:themeColor="text1"/>
          <w:sz w:val="28"/>
          <w:szCs w:val="28"/>
          <w:rtl/>
          <w:lang w:bidi="ar-EG"/>
        </w:rPr>
        <w:t xml:space="preserve"> حدود الدراسة</w:t>
      </w:r>
      <w:bookmarkEnd w:id="26"/>
    </w:p>
    <w:p w14:paraId="2272C03C" w14:textId="77777777" w:rsidR="00AB1BE5" w:rsidRPr="005F0787" w:rsidRDefault="00AB1BE5" w:rsidP="00A37589">
      <w:pPr>
        <w:spacing w:before="100" w:beforeAutospacing="1" w:after="100" w:afterAutospacing="1" w:line="276" w:lineRule="auto"/>
        <w:jc w:val="both"/>
        <w:rPr>
          <w:rFonts w:ascii="Simplified Arabic" w:hAnsi="Simplified Arabic" w:cs="Simplified Arabic"/>
          <w:b/>
          <w:bCs/>
          <w:sz w:val="28"/>
          <w:szCs w:val="28"/>
        </w:rPr>
      </w:pPr>
      <w:r w:rsidRPr="005F0787">
        <w:rPr>
          <w:rFonts w:ascii="Simplified Arabic" w:hAnsi="Simplified Arabic" w:cs="Simplified Arabic"/>
          <w:b/>
          <w:bCs/>
          <w:sz w:val="28"/>
          <w:szCs w:val="28"/>
          <w:rtl/>
        </w:rPr>
        <w:t>سوف تلتزم الدراسة الحالية بالحدود التالية</w:t>
      </w:r>
      <w:r w:rsidRPr="005F0787">
        <w:rPr>
          <w:rFonts w:ascii="Simplified Arabic" w:hAnsi="Simplified Arabic" w:cs="Simplified Arabic"/>
          <w:b/>
          <w:bCs/>
          <w:sz w:val="28"/>
          <w:szCs w:val="28"/>
        </w:rPr>
        <w:t>:</w:t>
      </w:r>
    </w:p>
    <w:p w14:paraId="27457698" w14:textId="77777777" w:rsidR="00AB1BE5" w:rsidRPr="005F0787" w:rsidRDefault="00AB1BE5">
      <w:pPr>
        <w:pStyle w:val="a6"/>
        <w:numPr>
          <w:ilvl w:val="0"/>
          <w:numId w:val="13"/>
        </w:numPr>
        <w:spacing w:before="100" w:beforeAutospacing="1" w:after="100" w:afterAutospacing="1" w:line="276" w:lineRule="auto"/>
        <w:jc w:val="both"/>
        <w:rPr>
          <w:rFonts w:ascii="Simplified Arabic" w:hAnsi="Simplified Arabic" w:cs="Simplified Arabic"/>
          <w:sz w:val="28"/>
          <w:szCs w:val="28"/>
        </w:rPr>
      </w:pPr>
      <w:r w:rsidRPr="005F0787">
        <w:rPr>
          <w:rFonts w:ascii="Simplified Arabic" w:hAnsi="Simplified Arabic" w:cs="Simplified Arabic"/>
          <w:b/>
          <w:bCs/>
          <w:sz w:val="28"/>
          <w:szCs w:val="28"/>
          <w:rtl/>
        </w:rPr>
        <w:t>الحدود الموضوعية</w:t>
      </w:r>
      <w:r w:rsidRPr="005F0787">
        <w:rPr>
          <w:rFonts w:ascii="Simplified Arabic" w:hAnsi="Simplified Arabic" w:cs="Simplified Arabic"/>
          <w:b/>
          <w:bCs/>
          <w:sz w:val="28"/>
          <w:szCs w:val="28"/>
        </w:rPr>
        <w:t>:</w:t>
      </w:r>
      <w:r w:rsidRPr="005F0787">
        <w:rPr>
          <w:rFonts w:ascii="Simplified Arabic" w:hAnsi="Simplified Arabic" w:cs="Simplified Arabic"/>
          <w:sz w:val="28"/>
          <w:szCs w:val="28"/>
        </w:rPr>
        <w:t xml:space="preserve"> </w:t>
      </w:r>
      <w:r w:rsidRPr="005F0787">
        <w:rPr>
          <w:rFonts w:ascii="Simplified Arabic" w:hAnsi="Simplified Arabic" w:cs="Simplified Arabic"/>
          <w:sz w:val="28"/>
          <w:szCs w:val="28"/>
          <w:rtl/>
        </w:rPr>
        <w:t>سوف تقتصر الدراسة على تناول أثر التحول الرقمي بأبعاده (البنية التحتية الرقمية، والاستراتيجية الرقمية، والثقافة الرقمية، والقيادة الرقمية، والكفاءات الرقمية) وإدارة المواهب بأبعادها (استقطاب المواهب، وتطوير المواهب، والاحتفاظ بالمواهب، وتقييم المواهب) على الولاء الوظيفي بالشركات التقنية الناشئة</w:t>
      </w:r>
      <w:r w:rsidRPr="005F0787">
        <w:rPr>
          <w:rFonts w:ascii="Simplified Arabic" w:hAnsi="Simplified Arabic" w:cs="Simplified Arabic"/>
          <w:sz w:val="28"/>
          <w:szCs w:val="28"/>
        </w:rPr>
        <w:t>.</w:t>
      </w:r>
    </w:p>
    <w:p w14:paraId="2EE372EC" w14:textId="77777777" w:rsidR="00AB1BE5" w:rsidRPr="005F0787" w:rsidRDefault="00AB1BE5">
      <w:pPr>
        <w:pStyle w:val="a6"/>
        <w:numPr>
          <w:ilvl w:val="0"/>
          <w:numId w:val="13"/>
        </w:numPr>
        <w:spacing w:before="100" w:beforeAutospacing="1" w:after="100" w:afterAutospacing="1" w:line="276" w:lineRule="auto"/>
        <w:jc w:val="both"/>
        <w:rPr>
          <w:rFonts w:ascii="Simplified Arabic" w:hAnsi="Simplified Arabic" w:cs="Simplified Arabic"/>
          <w:sz w:val="28"/>
          <w:szCs w:val="28"/>
        </w:rPr>
      </w:pPr>
      <w:r w:rsidRPr="005F0787">
        <w:rPr>
          <w:rFonts w:ascii="Simplified Arabic" w:hAnsi="Simplified Arabic" w:cs="Simplified Arabic"/>
          <w:b/>
          <w:bCs/>
          <w:sz w:val="28"/>
          <w:szCs w:val="28"/>
          <w:rtl/>
        </w:rPr>
        <w:lastRenderedPageBreak/>
        <w:t>الحدود المكانية</w:t>
      </w:r>
      <w:r w:rsidRPr="005F0787">
        <w:rPr>
          <w:rFonts w:ascii="Simplified Arabic" w:hAnsi="Simplified Arabic" w:cs="Simplified Arabic"/>
          <w:b/>
          <w:bCs/>
          <w:sz w:val="28"/>
          <w:szCs w:val="28"/>
        </w:rPr>
        <w:t>:</w:t>
      </w:r>
      <w:r w:rsidRPr="005F0787">
        <w:rPr>
          <w:rFonts w:ascii="Simplified Arabic" w:hAnsi="Simplified Arabic" w:cs="Simplified Arabic"/>
          <w:sz w:val="28"/>
          <w:szCs w:val="28"/>
        </w:rPr>
        <w:t xml:space="preserve"> </w:t>
      </w:r>
      <w:r w:rsidRPr="005F0787">
        <w:rPr>
          <w:rFonts w:ascii="Simplified Arabic" w:hAnsi="Simplified Arabic" w:cs="Simplified Arabic"/>
          <w:sz w:val="28"/>
          <w:szCs w:val="28"/>
          <w:rtl/>
        </w:rPr>
        <w:t>سوف تُطبّق الدراسة على الشركات التقنية الناشئة العاملة في المملكة العربية السعودية</w:t>
      </w:r>
      <w:r w:rsidRPr="005F0787">
        <w:rPr>
          <w:rFonts w:ascii="Simplified Arabic" w:hAnsi="Simplified Arabic" w:cs="Simplified Arabic"/>
          <w:sz w:val="28"/>
          <w:szCs w:val="28"/>
        </w:rPr>
        <w:t>.</w:t>
      </w:r>
    </w:p>
    <w:p w14:paraId="66BC8912" w14:textId="77777777" w:rsidR="00AB1BE5" w:rsidRPr="005F0787" w:rsidRDefault="00AB1BE5">
      <w:pPr>
        <w:pStyle w:val="a6"/>
        <w:numPr>
          <w:ilvl w:val="0"/>
          <w:numId w:val="13"/>
        </w:numPr>
        <w:spacing w:before="100" w:beforeAutospacing="1" w:after="100" w:afterAutospacing="1" w:line="276" w:lineRule="auto"/>
        <w:jc w:val="both"/>
        <w:rPr>
          <w:rFonts w:ascii="Simplified Arabic" w:hAnsi="Simplified Arabic" w:cs="Simplified Arabic"/>
          <w:sz w:val="28"/>
          <w:szCs w:val="28"/>
        </w:rPr>
      </w:pPr>
      <w:r w:rsidRPr="005F0787">
        <w:rPr>
          <w:rFonts w:ascii="Simplified Arabic" w:hAnsi="Simplified Arabic" w:cs="Simplified Arabic"/>
          <w:b/>
          <w:bCs/>
          <w:sz w:val="28"/>
          <w:szCs w:val="28"/>
          <w:rtl/>
        </w:rPr>
        <w:t>الحدود البشرية</w:t>
      </w:r>
      <w:r w:rsidRPr="005F0787">
        <w:rPr>
          <w:rFonts w:ascii="Simplified Arabic" w:hAnsi="Simplified Arabic" w:cs="Simplified Arabic"/>
          <w:b/>
          <w:bCs/>
          <w:sz w:val="28"/>
          <w:szCs w:val="28"/>
        </w:rPr>
        <w:t>:</w:t>
      </w:r>
      <w:r w:rsidRPr="005F0787">
        <w:rPr>
          <w:rFonts w:ascii="Simplified Arabic" w:hAnsi="Simplified Arabic" w:cs="Simplified Arabic"/>
          <w:sz w:val="28"/>
          <w:szCs w:val="28"/>
        </w:rPr>
        <w:t xml:space="preserve"> </w:t>
      </w:r>
      <w:r w:rsidRPr="005F0787">
        <w:rPr>
          <w:rFonts w:ascii="Simplified Arabic" w:hAnsi="Simplified Arabic" w:cs="Simplified Arabic"/>
          <w:sz w:val="28"/>
          <w:szCs w:val="28"/>
          <w:rtl/>
        </w:rPr>
        <w:t>سوف تشمل الدراسة العاملين في الشركات التقنية الناشئة بمختلف مستوياتهم الوظيفية وتخصصاتهم</w:t>
      </w:r>
      <w:r w:rsidRPr="005F0787">
        <w:rPr>
          <w:rFonts w:ascii="Simplified Arabic" w:hAnsi="Simplified Arabic" w:cs="Simplified Arabic"/>
          <w:sz w:val="28"/>
          <w:szCs w:val="28"/>
        </w:rPr>
        <w:t>.</w:t>
      </w:r>
    </w:p>
    <w:p w14:paraId="69E3605D" w14:textId="77777777" w:rsidR="00AB1BE5" w:rsidRPr="005F0787" w:rsidRDefault="00AB1BE5">
      <w:pPr>
        <w:pStyle w:val="a6"/>
        <w:numPr>
          <w:ilvl w:val="0"/>
          <w:numId w:val="13"/>
        </w:numPr>
        <w:spacing w:before="100" w:beforeAutospacing="1" w:after="100" w:afterAutospacing="1" w:line="276" w:lineRule="auto"/>
        <w:jc w:val="both"/>
        <w:rPr>
          <w:rFonts w:ascii="Simplified Arabic" w:hAnsi="Simplified Arabic" w:cs="Simplified Arabic"/>
          <w:sz w:val="28"/>
          <w:szCs w:val="28"/>
        </w:rPr>
      </w:pPr>
      <w:r w:rsidRPr="005F0787">
        <w:rPr>
          <w:rFonts w:ascii="Simplified Arabic" w:hAnsi="Simplified Arabic" w:cs="Simplified Arabic"/>
          <w:b/>
          <w:bCs/>
          <w:sz w:val="28"/>
          <w:szCs w:val="28"/>
          <w:rtl/>
        </w:rPr>
        <w:t>الحدود الزمانية</w:t>
      </w:r>
      <w:r w:rsidRPr="005F0787">
        <w:rPr>
          <w:rFonts w:ascii="Simplified Arabic" w:hAnsi="Simplified Arabic" w:cs="Simplified Arabic"/>
          <w:b/>
          <w:bCs/>
          <w:sz w:val="28"/>
          <w:szCs w:val="28"/>
        </w:rPr>
        <w:t>:</w:t>
      </w:r>
      <w:r w:rsidRPr="005F0787">
        <w:rPr>
          <w:rFonts w:ascii="Simplified Arabic" w:hAnsi="Simplified Arabic" w:cs="Simplified Arabic"/>
          <w:sz w:val="28"/>
          <w:szCs w:val="28"/>
        </w:rPr>
        <w:t xml:space="preserve"> </w:t>
      </w:r>
      <w:r w:rsidRPr="005F0787">
        <w:rPr>
          <w:rFonts w:ascii="Simplified Arabic" w:hAnsi="Simplified Arabic" w:cs="Simplified Arabic"/>
          <w:sz w:val="28"/>
          <w:szCs w:val="28"/>
          <w:rtl/>
        </w:rPr>
        <w:t>سوف تُجرى الدراسة خلال الفترة الممتدة من عام 2025 إلى عام 2026م</w:t>
      </w:r>
      <w:r w:rsidRPr="005F0787">
        <w:rPr>
          <w:rFonts w:ascii="Simplified Arabic" w:hAnsi="Simplified Arabic" w:cs="Simplified Arabic"/>
          <w:sz w:val="28"/>
          <w:szCs w:val="28"/>
        </w:rPr>
        <w:t>.</w:t>
      </w:r>
    </w:p>
    <w:p w14:paraId="34835F60" w14:textId="77777777" w:rsidR="00AB1BE5" w:rsidRPr="00A37589" w:rsidRDefault="00AB1BE5" w:rsidP="00A37589">
      <w:pPr>
        <w:spacing w:before="100" w:beforeAutospacing="1" w:after="100" w:afterAutospacing="1" w:line="276" w:lineRule="auto"/>
        <w:jc w:val="both"/>
        <w:rPr>
          <w:rFonts w:ascii="Simplified Arabic" w:hAnsi="Simplified Arabic" w:cs="Simplified Arabic"/>
          <w:sz w:val="28"/>
          <w:szCs w:val="28"/>
          <w:rtl/>
        </w:rPr>
      </w:pPr>
    </w:p>
    <w:p w14:paraId="39791D57" w14:textId="7BEE9247" w:rsidR="005F0787" w:rsidRDefault="005F0787">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7ED3B87" w14:textId="77777777" w:rsidR="005F0787" w:rsidRPr="00744646" w:rsidRDefault="005F0787" w:rsidP="005F0787">
      <w:pPr>
        <w:jc w:val="center"/>
        <w:outlineLvl w:val="0"/>
        <w:rPr>
          <w:rFonts w:ascii="Simplified Arabic" w:eastAsia="SimSun" w:hAnsi="Simplified Arabic" w:cs="Simplified Arabic"/>
          <w:b/>
          <w:bCs/>
          <w:color w:val="000000" w:themeColor="text1"/>
          <w:sz w:val="40"/>
          <w:szCs w:val="40"/>
        </w:rPr>
      </w:pPr>
      <w:bookmarkStart w:id="27" w:name="_Toc234016180"/>
      <w:bookmarkStart w:id="28" w:name="_Toc234027267"/>
      <w:bookmarkStart w:id="29" w:name="_Toc234244330"/>
      <w:bookmarkStart w:id="30" w:name="_Toc234278704"/>
      <w:r w:rsidRPr="00744646">
        <w:rPr>
          <w:rFonts w:ascii="Simplified Arabic" w:eastAsia="SimSun" w:hAnsi="Simplified Arabic" w:cs="Simplified Arabic" w:hint="cs"/>
          <w:b/>
          <w:bCs/>
          <w:color w:val="000000" w:themeColor="text1"/>
          <w:sz w:val="40"/>
          <w:szCs w:val="40"/>
          <w:rtl/>
        </w:rPr>
        <w:lastRenderedPageBreak/>
        <w:t xml:space="preserve">الفصل الثاني: </w:t>
      </w:r>
      <w:r w:rsidRPr="00744646">
        <w:rPr>
          <w:rFonts w:ascii="Simplified Arabic" w:eastAsia="SimSun" w:hAnsi="Simplified Arabic" w:cs="Simplified Arabic"/>
          <w:b/>
          <w:bCs/>
          <w:color w:val="000000" w:themeColor="text1"/>
          <w:sz w:val="40"/>
          <w:szCs w:val="40"/>
          <w:rtl/>
        </w:rPr>
        <w:t>الإطار النظري للدراسة</w:t>
      </w:r>
      <w:bookmarkEnd w:id="27"/>
      <w:bookmarkEnd w:id="28"/>
      <w:bookmarkEnd w:id="29"/>
      <w:bookmarkEnd w:id="30"/>
    </w:p>
    <w:p w14:paraId="43119A5C" w14:textId="524A5757" w:rsidR="005F0787" w:rsidRPr="00DE0524" w:rsidRDefault="005F0787" w:rsidP="005F0787">
      <w:pPr>
        <w:jc w:val="center"/>
        <w:outlineLvl w:val="1"/>
        <w:rPr>
          <w:rFonts w:ascii="Simplified Arabic" w:eastAsia="SimSun" w:hAnsi="Simplified Arabic" w:cs="Simplified Arabic"/>
          <w:b/>
          <w:bCs/>
          <w:color w:val="000000" w:themeColor="text1"/>
          <w:sz w:val="36"/>
          <w:szCs w:val="36"/>
        </w:rPr>
      </w:pPr>
      <w:bookmarkStart w:id="31" w:name="_Toc234027268"/>
      <w:bookmarkStart w:id="32" w:name="_Toc234244331"/>
      <w:bookmarkStart w:id="33" w:name="_Toc234278705"/>
      <w:r w:rsidRPr="00DE0524">
        <w:rPr>
          <w:rFonts w:ascii="Simplified Arabic" w:eastAsia="SimSun" w:hAnsi="Simplified Arabic" w:cs="Simplified Arabic"/>
          <w:b/>
          <w:bCs/>
          <w:color w:val="000000" w:themeColor="text1"/>
          <w:sz w:val="36"/>
          <w:szCs w:val="36"/>
          <w:rtl/>
        </w:rPr>
        <w:t>المبحث الأول:</w:t>
      </w:r>
      <w:bookmarkEnd w:id="31"/>
      <w:bookmarkEnd w:id="32"/>
      <w:r>
        <w:rPr>
          <w:rFonts w:ascii="Simplified Arabic" w:eastAsia="SimSun" w:hAnsi="Simplified Arabic" w:cs="Simplified Arabic" w:hint="cs"/>
          <w:b/>
          <w:bCs/>
          <w:color w:val="000000" w:themeColor="text1"/>
          <w:sz w:val="36"/>
          <w:szCs w:val="36"/>
          <w:rtl/>
        </w:rPr>
        <w:t xml:space="preserve"> </w:t>
      </w:r>
      <w:r w:rsidRPr="005F0787">
        <w:rPr>
          <w:rFonts w:ascii="Simplified Arabic" w:eastAsia="SimSun" w:hAnsi="Simplified Arabic" w:cs="Simplified Arabic"/>
          <w:b/>
          <w:bCs/>
          <w:color w:val="000000" w:themeColor="text1"/>
          <w:sz w:val="36"/>
          <w:szCs w:val="36"/>
          <w:rtl/>
        </w:rPr>
        <w:t>التحول الرقمي وإدارة المواهب</w:t>
      </w:r>
      <w:bookmarkEnd w:id="33"/>
    </w:p>
    <w:p w14:paraId="155B9FFB" w14:textId="77777777" w:rsidR="005F0787" w:rsidRPr="00DE0524" w:rsidRDefault="005F0787" w:rsidP="005F0787">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lang w:bidi="ar-EG"/>
          <w14:ligatures w14:val="none"/>
        </w:rPr>
      </w:pPr>
      <w:bookmarkStart w:id="34" w:name="_Toc234027269"/>
      <w:bookmarkStart w:id="35" w:name="_Toc234244332"/>
      <w:bookmarkStart w:id="36" w:name="_Toc234278706"/>
      <w:r>
        <w:rPr>
          <w:rFonts w:ascii="Simplified Arabic" w:eastAsia="Times New Roman" w:hAnsi="Simplified Arabic" w:cs="Simplified Arabic" w:hint="cs"/>
          <w:b/>
          <w:bCs/>
          <w:kern w:val="0"/>
          <w:sz w:val="36"/>
          <w:szCs w:val="36"/>
          <w:rtl/>
          <w14:ligatures w14:val="none"/>
        </w:rPr>
        <w:t xml:space="preserve">1.1.2 </w:t>
      </w:r>
      <w:r w:rsidRPr="00DE0524">
        <w:rPr>
          <w:rFonts w:ascii="Simplified Arabic" w:eastAsia="Times New Roman" w:hAnsi="Simplified Arabic" w:cs="Simplified Arabic"/>
          <w:b/>
          <w:bCs/>
          <w:kern w:val="0"/>
          <w:sz w:val="36"/>
          <w:szCs w:val="36"/>
          <w:rtl/>
          <w14:ligatures w14:val="none"/>
        </w:rPr>
        <w:t>تمهيد</w:t>
      </w:r>
      <w:bookmarkEnd w:id="34"/>
      <w:bookmarkEnd w:id="35"/>
      <w:bookmarkEnd w:id="36"/>
    </w:p>
    <w:p w14:paraId="3CDDEBB4" w14:textId="43D43438" w:rsidR="00D70CB4" w:rsidRPr="00A37589" w:rsidRDefault="00D70CB4" w:rsidP="005F0787">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يشهد العالم المعاصر موجة متسارعة من التحولات التكنولوجية غير المسبوقة، أفرزت واقعاً إدارياً جديداً تُعاد فيه صياغة مفاهيم العمل والتنظيم والإدارة على نحو جوهري. وقد فرضت هذه التحولات على المنظمات المعاصرة، بمختلف قطاعاتها وأحجامها، ضرورة إعادة النظر في نماذجها التشغيلية وممارساتها الإدارية، بحيث تتحول من الأطر التقليدية القائمة على الرتابة والمركزية إلى أطر أكثر مرونة ورقمنة وذكاءً، تُمكّنها من الاستجابة السريعة لتحديات بيئة الأعمال المتقلبة (حسين واخرون ، 2023). وفي خضم هذه التحولات، برز مفهومان محوريان يُشكّلان حجر الزاوية في المنظومة الإدارية الحديثة؛ أولهما التحول الرقمي بوصفه توجهاً استراتيجياً شاملاً يُعيد تشكيل بنية المنظمة وعملياتها، وثانيهما إدارة المواهب بوصفها نهجاً متقدماً في إدارة رأس المال البشري يُركّز على استقطاب الكفاءات المتميزة وتنميتها والاحتفاظ بها. ويسعى هذا المبحث إلى تقديم معالجة نظرية معمقة لهذين المفهومين، من خلال استعراض تعريفاتهما وأهميتهما وأهدافهما وأبعادهما ومداخلهما المختلفة، بما يُشكّل أساساً نظرياً متيناً للدراسة الحالية</w:t>
      </w:r>
      <w:r w:rsidRPr="00A37589">
        <w:rPr>
          <w:rFonts w:ascii="Simplified Arabic" w:hAnsi="Simplified Arabic" w:cs="Simplified Arabic"/>
          <w:sz w:val="28"/>
          <w:szCs w:val="28"/>
        </w:rPr>
        <w:t>.</w:t>
      </w:r>
    </w:p>
    <w:p w14:paraId="58D804E1" w14:textId="19CC866A" w:rsidR="00D70CB4" w:rsidRPr="008B1451" w:rsidRDefault="009C7B87" w:rsidP="008B1451">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7" w:name="_Toc234278707"/>
      <w:r>
        <w:rPr>
          <w:rFonts w:ascii="Simplified Arabic" w:eastAsia="Times New Roman" w:hAnsi="Simplified Arabic" w:cs="Simplified Arabic" w:hint="cs"/>
          <w:b/>
          <w:bCs/>
          <w:kern w:val="0"/>
          <w:sz w:val="36"/>
          <w:szCs w:val="36"/>
          <w:rtl/>
          <w14:ligatures w14:val="none"/>
        </w:rPr>
        <w:t xml:space="preserve">2.1.2 </w:t>
      </w:r>
      <w:r w:rsidR="00D70CB4" w:rsidRPr="008B1451">
        <w:rPr>
          <w:rFonts w:ascii="Simplified Arabic" w:eastAsia="Times New Roman" w:hAnsi="Simplified Arabic" w:cs="Simplified Arabic"/>
          <w:b/>
          <w:bCs/>
          <w:kern w:val="0"/>
          <w:sz w:val="36"/>
          <w:szCs w:val="36"/>
          <w:rtl/>
          <w14:ligatures w14:val="none"/>
        </w:rPr>
        <w:t>أولاً: التحول الرقمي</w:t>
      </w:r>
      <w:r w:rsidR="00D70CB4" w:rsidRPr="008B1451">
        <w:rPr>
          <w:rFonts w:ascii="Simplified Arabic" w:eastAsia="Times New Roman" w:hAnsi="Simplified Arabic" w:cs="Simplified Arabic"/>
          <w:b/>
          <w:bCs/>
          <w:kern w:val="0"/>
          <w:sz w:val="36"/>
          <w:szCs w:val="36"/>
          <w14:ligatures w14:val="none"/>
        </w:rPr>
        <w:t xml:space="preserve"> (Digital Transformation)</w:t>
      </w:r>
      <w:bookmarkEnd w:id="37"/>
    </w:p>
    <w:p w14:paraId="72400C2B" w14:textId="1A54CFD8" w:rsidR="00D70CB4" w:rsidRPr="00261D7D" w:rsidRDefault="00D70CB4">
      <w:pPr>
        <w:pStyle w:val="a6"/>
        <w:numPr>
          <w:ilvl w:val="0"/>
          <w:numId w:val="19"/>
        </w:numPr>
        <w:spacing w:before="100" w:beforeAutospacing="1" w:after="100" w:afterAutospacing="1" w:line="276" w:lineRule="auto"/>
        <w:ind w:left="424"/>
        <w:jc w:val="both"/>
        <w:rPr>
          <w:rFonts w:ascii="Simplified Arabic" w:hAnsi="Simplified Arabic" w:cs="Simplified Arabic"/>
          <w:b/>
          <w:bCs/>
          <w:sz w:val="28"/>
          <w:szCs w:val="28"/>
        </w:rPr>
      </w:pPr>
      <w:r w:rsidRPr="00261D7D">
        <w:rPr>
          <w:rFonts w:ascii="Simplified Arabic" w:hAnsi="Simplified Arabic" w:cs="Simplified Arabic"/>
          <w:b/>
          <w:bCs/>
          <w:sz w:val="28"/>
          <w:szCs w:val="28"/>
          <w:rtl/>
        </w:rPr>
        <w:t>مفهوم التحول الرقمي</w:t>
      </w:r>
    </w:p>
    <w:p w14:paraId="1E1FC50F"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يُعدّ مفهوم التحول الرقمي من المفاهيم الإدارية الحديثة التي استقطبت اهتماماً واسعاً في الأدبيات المعاصرة، وذلك نظراً لما يُمثّله من تحول جوهري في طبيعة العمل التنظيمي وأسلوب إدارة المنظمات. وقد تباينت التعريفات التي قدّمها الباحثون لهذا المفهوم بحسب زوايا النظر إليه والسياقات التي عولج فيها</w:t>
      </w:r>
      <w:r w:rsidRPr="00A37589">
        <w:rPr>
          <w:rFonts w:ascii="Simplified Arabic" w:hAnsi="Simplified Arabic" w:cs="Simplified Arabic"/>
          <w:sz w:val="28"/>
          <w:szCs w:val="28"/>
        </w:rPr>
        <w:t>.</w:t>
      </w:r>
    </w:p>
    <w:p w14:paraId="43D7989B"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 xml:space="preserve">فيُعرّفه حسين وعبدالهادي وجمال (2023) بأنه عملية استراتيجية شاملة تتضمن دمج التقنيات الرقمية في مختلف مجالات المنظمة، بما يُحدث تغييراً جوهرياً في طريقة عملها وتقديم القيمة لعملائها وأصحاب المصلحة، ويتجاوز مجرد الأتمتة ليصل إلى إعادة هيكلة نموذج الأعمال. ويُقدّم العمريين والربابعة (2023) تعريفاً أكثر تركيزاً على البُعد الاستراتيجي، إذ يعتبرانه توجهاً استراتيجياً تعتمده المنظمات لإحداث نقلة نوعية في أدائها من </w:t>
      </w:r>
      <w:r w:rsidRPr="00A37589">
        <w:rPr>
          <w:rFonts w:ascii="Simplified Arabic" w:hAnsi="Simplified Arabic" w:cs="Simplified Arabic"/>
          <w:sz w:val="28"/>
          <w:szCs w:val="28"/>
          <w:rtl/>
        </w:rPr>
        <w:lastRenderedPageBreak/>
        <w:t>خلال توظيف التقنيات الرقمية المتقدمة كالذكاء الاصطناعي وإنترنت الأشياء والبيانات الضخمة والحوسبة السحابية، بما يُعزّز قدرتها على المنافسة والتكيف مع متغيرات البيئة</w:t>
      </w:r>
      <w:r w:rsidRPr="00A37589">
        <w:rPr>
          <w:rFonts w:ascii="Simplified Arabic" w:hAnsi="Simplified Arabic" w:cs="Simplified Arabic"/>
          <w:sz w:val="28"/>
          <w:szCs w:val="28"/>
        </w:rPr>
        <w:t>.</w:t>
      </w:r>
    </w:p>
    <w:p w14:paraId="41064913"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ومن منظور آخر، ينظر إليه الجبور والزيديين (2022) بوصفه عملية تحول مؤسسي متكامل يُعيد تشكيل الهياكل والعمليات والثقافة التنظيمية، وليس مجرد إدخال للتقنيات في المنظمة، فهو يُشكّل نقلة نوعية تُغيّر من طبيعة العلاقات داخل المنظمة وخارجها. ويتفق مع هذا التوجه الشقاحين والعزب (2024) اللذان يُعرّفانه بأنه منظومة متكاملة من التغييرات الجوهرية التي تُحدثها التقنيات الرقمية في المنظمة على مستوى الاستراتيجية والعمليات والثقافة والقيادة، بهدف تحسين الأداء وتقديم خدمات ذات جودة عالية</w:t>
      </w:r>
      <w:r w:rsidRPr="00A37589">
        <w:rPr>
          <w:rFonts w:ascii="Simplified Arabic" w:hAnsi="Simplified Arabic" w:cs="Simplified Arabic"/>
          <w:sz w:val="28"/>
          <w:szCs w:val="28"/>
        </w:rPr>
        <w:t>.</w:t>
      </w:r>
    </w:p>
    <w:p w14:paraId="292E44C8"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أما من المنظور الأجنبي، فيُشير</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Montero</w:t>
      </w:r>
      <w:proofErr w:type="spellEnd"/>
      <w:r w:rsidRPr="00A37589">
        <w:rPr>
          <w:rFonts w:ascii="Simplified Arabic" w:hAnsi="Simplified Arabic" w:cs="Simplified Arabic"/>
          <w:sz w:val="28"/>
          <w:szCs w:val="28"/>
        </w:rPr>
        <w:t xml:space="preserve"> Guerra &amp; </w:t>
      </w:r>
      <w:proofErr w:type="spellStart"/>
      <w:r w:rsidRPr="00A37589">
        <w:rPr>
          <w:rFonts w:ascii="Simplified Arabic" w:hAnsi="Simplified Arabic" w:cs="Simplified Arabic"/>
          <w:sz w:val="28"/>
          <w:szCs w:val="28"/>
        </w:rPr>
        <w:t>Danvila-Del</w:t>
      </w:r>
      <w:proofErr w:type="spellEnd"/>
      <w:r w:rsidRPr="00A37589">
        <w:rPr>
          <w:rFonts w:ascii="Simplified Arabic" w:hAnsi="Simplified Arabic" w:cs="Simplified Arabic"/>
          <w:sz w:val="28"/>
          <w:szCs w:val="28"/>
        </w:rPr>
        <w:t xml:space="preserve"> Valle (2024) </w:t>
      </w:r>
      <w:r w:rsidRPr="00A37589">
        <w:rPr>
          <w:rFonts w:ascii="Simplified Arabic" w:hAnsi="Simplified Arabic" w:cs="Simplified Arabic"/>
          <w:sz w:val="28"/>
          <w:szCs w:val="28"/>
          <w:rtl/>
        </w:rPr>
        <w:t>إلى أن التحول الرقمي يُمثّل عملية تغيير جذري يُعيد تشكيل نموذج الأعمال والهياكل التنظيمية والعمليات التشغيلية للمنظمة، من خلال التوظيف الاستراتيجي للتقنيات الرقمية بما يُحقق قيمة مضافة مستدامة. ويُضيف</w:t>
      </w:r>
      <w:r w:rsidRPr="00A37589">
        <w:rPr>
          <w:rFonts w:ascii="Simplified Arabic" w:hAnsi="Simplified Arabic" w:cs="Simplified Arabic"/>
          <w:sz w:val="28"/>
          <w:szCs w:val="28"/>
        </w:rPr>
        <w:t xml:space="preserve"> Qiao </w:t>
      </w:r>
      <w:r w:rsidRPr="00A37589">
        <w:rPr>
          <w:rFonts w:ascii="Simplified Arabic" w:hAnsi="Simplified Arabic" w:cs="Simplified Arabic"/>
          <w:sz w:val="28"/>
          <w:szCs w:val="28"/>
          <w:rtl/>
        </w:rPr>
        <w:t>وآخرون (2024) بُعداً جوهرياً حين يُعرّفانه بأنه استراتيجية تنظيمية شاملة تجمع بين توظيف التقنيات الرقمية وتطوير القيادة الرقمية وبناء ثقافة داعمة للابتكار، بما يُعزّز أداء الموظفين والالتزام التنظيمي</w:t>
      </w:r>
      <w:r w:rsidRPr="00A37589">
        <w:rPr>
          <w:rFonts w:ascii="Simplified Arabic" w:hAnsi="Simplified Arabic" w:cs="Simplified Arabic"/>
          <w:sz w:val="28"/>
          <w:szCs w:val="28"/>
        </w:rPr>
        <w:t>.</w:t>
      </w:r>
    </w:p>
    <w:p w14:paraId="6F116F31"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ومن خلال ما تقدم، يرى الباحث أن التحول الرقمي يُمكن تعريفه إجرائياً بأنه: “عملية استراتيجية شاملة ومستمرة تنتهجها الشركات التقنية الناشئة في المملكة العربية السعودية لإعادة تشكيل نموذج أعمالها وعملياتها وثقافتها من خلال التوظيف المتكامل للتقنيات الرقمية المتقدمة، بما يُعزّز قدرتها على تقديم قيمة مضافة لعملائها وعامليها، ويُمكّنها من الاستجابة لمتطلبات بيئة الأعمال الديناميكية وتحقيق التميز التنافسي المستدام</w:t>
      </w:r>
      <w:r w:rsidRPr="00A37589">
        <w:rPr>
          <w:rFonts w:ascii="Simplified Arabic" w:hAnsi="Simplified Arabic" w:cs="Simplified Arabic"/>
          <w:sz w:val="28"/>
          <w:szCs w:val="28"/>
        </w:rPr>
        <w:t>”.</w:t>
      </w:r>
    </w:p>
    <w:p w14:paraId="0AE39008" w14:textId="70937FAE" w:rsidR="00D70CB4" w:rsidRPr="00A37589" w:rsidRDefault="00D70CB4">
      <w:pPr>
        <w:pStyle w:val="a6"/>
        <w:numPr>
          <w:ilvl w:val="0"/>
          <w:numId w:val="19"/>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أهمية التحول الرقمي</w:t>
      </w:r>
    </w:p>
    <w:p w14:paraId="571945AB"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تنبع أهمية التحول الرقمي من كونه أصبح ضرورة استراتيجية حتمية للمنظمات المعاصرة، لا خياراً كمالياً يُمكن الاستغناء عنه، وذلك في ظل التسارع المتنامي للتغيرات التكنولوجية والتنافسية على الصعيد العالمي</w:t>
      </w:r>
      <w:r w:rsidRPr="00A37589">
        <w:rPr>
          <w:rFonts w:ascii="Simplified Arabic" w:hAnsi="Simplified Arabic" w:cs="Simplified Arabic"/>
          <w:sz w:val="28"/>
          <w:szCs w:val="28"/>
        </w:rPr>
        <w:t>.</w:t>
      </w:r>
    </w:p>
    <w:p w14:paraId="7F9284E3" w14:textId="77777777" w:rsidR="00D70CB4" w:rsidRPr="00261D7D" w:rsidRDefault="00D70CB4" w:rsidP="00A37589">
      <w:pPr>
        <w:spacing w:before="100" w:beforeAutospacing="1" w:after="100" w:afterAutospacing="1" w:line="276" w:lineRule="auto"/>
        <w:jc w:val="both"/>
        <w:rPr>
          <w:rFonts w:ascii="Simplified Arabic" w:hAnsi="Simplified Arabic" w:cs="Simplified Arabic"/>
          <w:b/>
          <w:bCs/>
          <w:sz w:val="28"/>
          <w:szCs w:val="28"/>
        </w:rPr>
      </w:pPr>
      <w:r w:rsidRPr="00261D7D">
        <w:rPr>
          <w:rFonts w:ascii="Simplified Arabic" w:hAnsi="Simplified Arabic" w:cs="Simplified Arabic"/>
          <w:b/>
          <w:bCs/>
          <w:sz w:val="28"/>
          <w:szCs w:val="28"/>
          <w:rtl/>
        </w:rPr>
        <w:t>ويُشير حسين وعبدالهادي وجمال (2023) إلى أن أهمية التحول الرقمي تكمن في</w:t>
      </w:r>
      <w:r w:rsidRPr="00261D7D">
        <w:rPr>
          <w:rFonts w:ascii="Simplified Arabic" w:hAnsi="Simplified Arabic" w:cs="Simplified Arabic"/>
          <w:b/>
          <w:bCs/>
          <w:sz w:val="28"/>
          <w:szCs w:val="28"/>
        </w:rPr>
        <w:t>:</w:t>
      </w:r>
    </w:p>
    <w:p w14:paraId="3300FB84"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الكفاءة التشغيلية للمنظمات من خلال أتمتة العمليات وتقليل الأخطاء البشرية</w:t>
      </w:r>
      <w:r w:rsidRPr="00A37589">
        <w:rPr>
          <w:rFonts w:ascii="Simplified Arabic" w:hAnsi="Simplified Arabic" w:cs="Simplified Arabic"/>
          <w:sz w:val="28"/>
          <w:szCs w:val="28"/>
        </w:rPr>
        <w:t>.</w:t>
      </w:r>
    </w:p>
    <w:p w14:paraId="47BDC4F4"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تحسين تجربة العملاء عبر توفير خدمات رقمية سريعة ومتاحة على مدار الساعة</w:t>
      </w:r>
      <w:r w:rsidRPr="00A37589">
        <w:rPr>
          <w:rFonts w:ascii="Simplified Arabic" w:hAnsi="Simplified Arabic" w:cs="Simplified Arabic"/>
          <w:sz w:val="28"/>
          <w:szCs w:val="28"/>
        </w:rPr>
        <w:t>.</w:t>
      </w:r>
    </w:p>
    <w:p w14:paraId="5639A1DA"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دعم اتخاذ القرارات الاستراتيجية بالاعتماد على تحليلات البيانات الضخمة</w:t>
      </w:r>
      <w:r w:rsidRPr="00A37589">
        <w:rPr>
          <w:rFonts w:ascii="Simplified Arabic" w:hAnsi="Simplified Arabic" w:cs="Simplified Arabic"/>
          <w:sz w:val="28"/>
          <w:szCs w:val="28"/>
        </w:rPr>
        <w:t>.</w:t>
      </w:r>
    </w:p>
    <w:p w14:paraId="7C030088"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خلق ميزة تنافسية مستدامة في بيئة أعمال شديدة التنافس</w:t>
      </w:r>
      <w:r w:rsidRPr="00A37589">
        <w:rPr>
          <w:rFonts w:ascii="Simplified Arabic" w:hAnsi="Simplified Arabic" w:cs="Simplified Arabic"/>
          <w:sz w:val="28"/>
          <w:szCs w:val="28"/>
        </w:rPr>
        <w:t>.</w:t>
      </w:r>
    </w:p>
    <w:p w14:paraId="1A386788"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تمكين المنظمات من التكيف السريع مع المتغيرات البيئية غير المتوقعة</w:t>
      </w:r>
      <w:r w:rsidRPr="00A37589">
        <w:rPr>
          <w:rFonts w:ascii="Simplified Arabic" w:hAnsi="Simplified Arabic" w:cs="Simplified Arabic"/>
          <w:sz w:val="28"/>
          <w:szCs w:val="28"/>
        </w:rPr>
        <w:t>.</w:t>
      </w:r>
    </w:p>
    <w:p w14:paraId="00E88548" w14:textId="77777777" w:rsidR="00D70CB4" w:rsidRPr="00261D7D" w:rsidRDefault="00D70CB4" w:rsidP="00A37589">
      <w:pPr>
        <w:spacing w:before="100" w:beforeAutospacing="1" w:after="100" w:afterAutospacing="1" w:line="276" w:lineRule="auto"/>
        <w:jc w:val="both"/>
        <w:rPr>
          <w:rFonts w:ascii="Simplified Arabic" w:hAnsi="Simplified Arabic" w:cs="Simplified Arabic"/>
          <w:b/>
          <w:bCs/>
          <w:sz w:val="28"/>
          <w:szCs w:val="28"/>
        </w:rPr>
      </w:pPr>
      <w:r w:rsidRPr="00261D7D">
        <w:rPr>
          <w:rFonts w:ascii="Simplified Arabic" w:hAnsi="Simplified Arabic" w:cs="Simplified Arabic"/>
          <w:b/>
          <w:bCs/>
          <w:sz w:val="28"/>
          <w:szCs w:val="28"/>
          <w:rtl/>
        </w:rPr>
        <w:t>ويُضيف الجبور والزيديين (2022) أن التحول الرقمي يكتسب أهميته من خلال</w:t>
      </w:r>
      <w:r w:rsidRPr="00261D7D">
        <w:rPr>
          <w:rFonts w:ascii="Simplified Arabic" w:hAnsi="Simplified Arabic" w:cs="Simplified Arabic"/>
          <w:b/>
          <w:bCs/>
          <w:sz w:val="28"/>
          <w:szCs w:val="28"/>
        </w:rPr>
        <w:t>:</w:t>
      </w:r>
    </w:p>
    <w:p w14:paraId="734DC976"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إعادة هيكلة العمليات الإدارية بما يُقلل من البيروقراطية</w:t>
      </w:r>
      <w:r w:rsidRPr="00A37589">
        <w:rPr>
          <w:rFonts w:ascii="Simplified Arabic" w:hAnsi="Simplified Arabic" w:cs="Simplified Arabic"/>
          <w:sz w:val="28"/>
          <w:szCs w:val="28"/>
        </w:rPr>
        <w:t>.</w:t>
      </w:r>
    </w:p>
    <w:p w14:paraId="0A369774"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توفير قنوات تواصل فعّالة بين المنظمة وأصحاب المصلحة</w:t>
      </w:r>
      <w:r w:rsidRPr="00A37589">
        <w:rPr>
          <w:rFonts w:ascii="Simplified Arabic" w:hAnsi="Simplified Arabic" w:cs="Simplified Arabic"/>
          <w:sz w:val="28"/>
          <w:szCs w:val="28"/>
        </w:rPr>
        <w:t>.</w:t>
      </w:r>
    </w:p>
    <w:p w14:paraId="6B5CE53A"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الشفافية والمساءلة في العمل المؤسسي</w:t>
      </w:r>
      <w:r w:rsidRPr="00A37589">
        <w:rPr>
          <w:rFonts w:ascii="Simplified Arabic" w:hAnsi="Simplified Arabic" w:cs="Simplified Arabic"/>
          <w:sz w:val="28"/>
          <w:szCs w:val="28"/>
        </w:rPr>
        <w:t>.</w:t>
      </w:r>
    </w:p>
    <w:p w14:paraId="65D2C2BA"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خفض التكاليف التشغيلية على المدى الطويل</w:t>
      </w:r>
      <w:r w:rsidRPr="00A37589">
        <w:rPr>
          <w:rFonts w:ascii="Simplified Arabic" w:hAnsi="Simplified Arabic" w:cs="Simplified Arabic"/>
          <w:sz w:val="28"/>
          <w:szCs w:val="28"/>
        </w:rPr>
        <w:t>.</w:t>
      </w:r>
    </w:p>
    <w:p w14:paraId="61853FB2"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دعم الابتكار المستمر في المنتجات والخدمات</w:t>
      </w:r>
      <w:r w:rsidRPr="00A37589">
        <w:rPr>
          <w:rFonts w:ascii="Simplified Arabic" w:hAnsi="Simplified Arabic" w:cs="Simplified Arabic"/>
          <w:sz w:val="28"/>
          <w:szCs w:val="28"/>
        </w:rPr>
        <w:t>.</w:t>
      </w:r>
    </w:p>
    <w:p w14:paraId="4FE97F9B"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ويرى الشقاحين والعزب (2024) أن أهمية التحول الرقمي تتجلى في قدرته على إعادة تعريف طبيعة الخدمات المُقدّمة، وتحسين جودتها، ورفع مستوى رضا العملاء والعاملين، فضلاً عن تعزيز مكانة المنظمة في السوق. كما يُشير سعيد وإسماعيل (2023) إلى أن التحول الرقمي يُمثّل قاعدة أساسية لبناء الميزة التنافسية في القطاعات الحيوية، إذ يُتيح للمنظمات تقديم منتجات وخدمات مبتكرة تُلبي الاحتياجات المتغيرة للعملاء</w:t>
      </w:r>
      <w:r w:rsidRPr="00A37589">
        <w:rPr>
          <w:rFonts w:ascii="Simplified Arabic" w:hAnsi="Simplified Arabic" w:cs="Simplified Arabic"/>
          <w:sz w:val="28"/>
          <w:szCs w:val="28"/>
        </w:rPr>
        <w:t>.</w:t>
      </w:r>
    </w:p>
    <w:p w14:paraId="4BD14562"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ومن منظور دولي، يرى</w:t>
      </w:r>
      <w:r w:rsidRPr="00A37589">
        <w:rPr>
          <w:rFonts w:ascii="Simplified Arabic" w:hAnsi="Simplified Arabic" w:cs="Simplified Arabic"/>
          <w:sz w:val="28"/>
          <w:szCs w:val="28"/>
        </w:rPr>
        <w:t xml:space="preserve"> Banerjee &amp; Sharma (2025) </w:t>
      </w:r>
      <w:r w:rsidRPr="00A37589">
        <w:rPr>
          <w:rFonts w:ascii="Simplified Arabic" w:hAnsi="Simplified Arabic" w:cs="Simplified Arabic"/>
          <w:sz w:val="28"/>
          <w:szCs w:val="28"/>
          <w:rtl/>
        </w:rPr>
        <w:t>أن أهمية التحول الرقمي في عصر الصناعة 4.0 تتجلى في كونه يُعيد تشكيل منظومة الأعمال بأكملها، ويفتح آفاقاً جديدة للنمو والابتكار، لا سيما في المجالات المرتبطة بإدارة رأس المال البشري والمواهب</w:t>
      </w:r>
      <w:r w:rsidRPr="00A37589">
        <w:rPr>
          <w:rFonts w:ascii="Simplified Arabic" w:hAnsi="Simplified Arabic" w:cs="Simplified Arabic"/>
          <w:sz w:val="28"/>
          <w:szCs w:val="28"/>
        </w:rPr>
        <w:t>.</w:t>
      </w:r>
    </w:p>
    <w:p w14:paraId="365FA5E8" w14:textId="0C172FDA" w:rsidR="00D70CB4" w:rsidRPr="00A37589" w:rsidRDefault="00D70CB4">
      <w:pPr>
        <w:pStyle w:val="a6"/>
        <w:numPr>
          <w:ilvl w:val="0"/>
          <w:numId w:val="19"/>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أهداف التحول الرقمي</w:t>
      </w:r>
    </w:p>
    <w:p w14:paraId="0E6C7EF0" w14:textId="77777777" w:rsidR="00D70CB4" w:rsidRPr="00A37589" w:rsidRDefault="00D70CB4" w:rsidP="00261D7D">
      <w:pPr>
        <w:spacing w:before="100" w:beforeAutospacing="1" w:after="100" w:afterAutospacing="1" w:line="276" w:lineRule="auto"/>
        <w:ind w:firstLine="360"/>
        <w:jc w:val="both"/>
        <w:rPr>
          <w:rFonts w:ascii="Simplified Arabic" w:hAnsi="Simplified Arabic" w:cs="Simplified Arabic"/>
          <w:sz w:val="28"/>
          <w:szCs w:val="28"/>
        </w:rPr>
      </w:pPr>
      <w:r w:rsidRPr="00A37589">
        <w:rPr>
          <w:rFonts w:ascii="Simplified Arabic" w:hAnsi="Simplified Arabic" w:cs="Simplified Arabic"/>
          <w:sz w:val="28"/>
          <w:szCs w:val="28"/>
          <w:rtl/>
        </w:rPr>
        <w:t>يسعى التحول الرقمي إلى تحقيق جملة من الأهداف الاستراتيجية والتشغيلية التي تُعزز من قدرة المنظمة على البقاء والتميز. ويُحدّد العمريين والربابعة (2023) أبرز أهداف التحول الرقمي فيما يلي</w:t>
      </w:r>
      <w:r w:rsidRPr="00A37589">
        <w:rPr>
          <w:rFonts w:ascii="Simplified Arabic" w:hAnsi="Simplified Arabic" w:cs="Simplified Arabic"/>
          <w:sz w:val="28"/>
          <w:szCs w:val="28"/>
        </w:rPr>
        <w:t>:</w:t>
      </w:r>
    </w:p>
    <w:p w14:paraId="734E85DD"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تحقيق التكامل بين مختلف وحدات المنظمة من خلال منصات رقمية موحدة</w:t>
      </w:r>
      <w:r w:rsidRPr="00A37589">
        <w:rPr>
          <w:rFonts w:ascii="Simplified Arabic" w:hAnsi="Simplified Arabic" w:cs="Simplified Arabic"/>
          <w:sz w:val="28"/>
          <w:szCs w:val="28"/>
        </w:rPr>
        <w:t>.</w:t>
      </w:r>
    </w:p>
    <w:p w14:paraId="267276D5"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قدرة المنظمة على الاستشعار الاستراتيجي والاستجابة للفرص والتهديدات</w:t>
      </w:r>
      <w:r w:rsidRPr="00A37589">
        <w:rPr>
          <w:rFonts w:ascii="Simplified Arabic" w:hAnsi="Simplified Arabic" w:cs="Simplified Arabic"/>
          <w:sz w:val="28"/>
          <w:szCs w:val="28"/>
        </w:rPr>
        <w:t>.</w:t>
      </w:r>
    </w:p>
    <w:p w14:paraId="1045937C"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نموذج أعمال مرن قادر على التكيف مع المتغيرات المتسارعة</w:t>
      </w:r>
      <w:r w:rsidRPr="00A37589">
        <w:rPr>
          <w:rFonts w:ascii="Simplified Arabic" w:hAnsi="Simplified Arabic" w:cs="Simplified Arabic"/>
          <w:sz w:val="28"/>
          <w:szCs w:val="28"/>
        </w:rPr>
        <w:t>.</w:t>
      </w:r>
    </w:p>
    <w:p w14:paraId="5837C82C" w14:textId="77777777" w:rsidR="00D70CB4" w:rsidRPr="00261D7D" w:rsidRDefault="00D70CB4" w:rsidP="00A37589">
      <w:pPr>
        <w:spacing w:before="100" w:beforeAutospacing="1" w:after="100" w:afterAutospacing="1" w:line="276" w:lineRule="auto"/>
        <w:jc w:val="both"/>
        <w:rPr>
          <w:rFonts w:ascii="Simplified Arabic" w:hAnsi="Simplified Arabic" w:cs="Simplified Arabic"/>
          <w:b/>
          <w:bCs/>
          <w:sz w:val="28"/>
          <w:szCs w:val="28"/>
        </w:rPr>
      </w:pPr>
      <w:r w:rsidRPr="00261D7D">
        <w:rPr>
          <w:rFonts w:ascii="Simplified Arabic" w:hAnsi="Simplified Arabic" w:cs="Simplified Arabic"/>
          <w:b/>
          <w:bCs/>
          <w:sz w:val="28"/>
          <w:szCs w:val="28"/>
          <w:rtl/>
        </w:rPr>
        <w:t>ويرى الجبور والزيديين (2022) أن التحول الرقمي يهدف إلى</w:t>
      </w:r>
      <w:r w:rsidRPr="00261D7D">
        <w:rPr>
          <w:rFonts w:ascii="Simplified Arabic" w:hAnsi="Simplified Arabic" w:cs="Simplified Arabic"/>
          <w:b/>
          <w:bCs/>
          <w:sz w:val="28"/>
          <w:szCs w:val="28"/>
        </w:rPr>
        <w:t>:</w:t>
      </w:r>
    </w:p>
    <w:p w14:paraId="6F072ECD"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تطوير الأداء المؤسسي من خلال إعادة هندسة العمليات</w:t>
      </w:r>
      <w:r w:rsidRPr="00A37589">
        <w:rPr>
          <w:rFonts w:ascii="Simplified Arabic" w:hAnsi="Simplified Arabic" w:cs="Simplified Arabic"/>
          <w:sz w:val="28"/>
          <w:szCs w:val="28"/>
        </w:rPr>
        <w:t>.</w:t>
      </w:r>
    </w:p>
    <w:p w14:paraId="019B611E"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قاعدة معرفية رقمية تُدعم عمليات صنع القرار</w:t>
      </w:r>
      <w:r w:rsidRPr="00A37589">
        <w:rPr>
          <w:rFonts w:ascii="Simplified Arabic" w:hAnsi="Simplified Arabic" w:cs="Simplified Arabic"/>
          <w:sz w:val="28"/>
          <w:szCs w:val="28"/>
        </w:rPr>
        <w:t>.</w:t>
      </w:r>
    </w:p>
    <w:p w14:paraId="40E96C14"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تحسين مستوى الخدمات المُقدّمة للمستفيدين</w:t>
      </w:r>
      <w:r w:rsidRPr="00A37589">
        <w:rPr>
          <w:rFonts w:ascii="Simplified Arabic" w:hAnsi="Simplified Arabic" w:cs="Simplified Arabic"/>
          <w:sz w:val="28"/>
          <w:szCs w:val="28"/>
        </w:rPr>
        <w:t>.</w:t>
      </w:r>
    </w:p>
    <w:p w14:paraId="55E40D3D" w14:textId="77777777" w:rsidR="00D70CB4" w:rsidRPr="00261D7D" w:rsidRDefault="00D70CB4" w:rsidP="00A37589">
      <w:pPr>
        <w:spacing w:before="100" w:beforeAutospacing="1" w:after="100" w:afterAutospacing="1" w:line="276" w:lineRule="auto"/>
        <w:jc w:val="both"/>
        <w:rPr>
          <w:rFonts w:ascii="Simplified Arabic" w:hAnsi="Simplified Arabic" w:cs="Simplified Arabic"/>
          <w:b/>
          <w:bCs/>
          <w:sz w:val="28"/>
          <w:szCs w:val="28"/>
        </w:rPr>
      </w:pPr>
      <w:r w:rsidRPr="00261D7D">
        <w:rPr>
          <w:rFonts w:ascii="Simplified Arabic" w:hAnsi="Simplified Arabic" w:cs="Simplified Arabic"/>
          <w:b/>
          <w:bCs/>
          <w:sz w:val="28"/>
          <w:szCs w:val="28"/>
          <w:rtl/>
        </w:rPr>
        <w:t>ويُضيف حسين وعبدالهادي وجمال (2023) أهدافاً أخرى تشمل</w:t>
      </w:r>
      <w:r w:rsidRPr="00261D7D">
        <w:rPr>
          <w:rFonts w:ascii="Simplified Arabic" w:hAnsi="Simplified Arabic" w:cs="Simplified Arabic"/>
          <w:b/>
          <w:bCs/>
          <w:sz w:val="28"/>
          <w:szCs w:val="28"/>
        </w:rPr>
        <w:t>:</w:t>
      </w:r>
    </w:p>
    <w:p w14:paraId="28DCB787"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الأداء التنظيمي بمختلف مؤشراته المالية وغير المالية</w:t>
      </w:r>
      <w:r w:rsidRPr="00A37589">
        <w:rPr>
          <w:rFonts w:ascii="Simplified Arabic" w:hAnsi="Simplified Arabic" w:cs="Simplified Arabic"/>
          <w:sz w:val="28"/>
          <w:szCs w:val="28"/>
        </w:rPr>
        <w:t>.</w:t>
      </w:r>
    </w:p>
    <w:p w14:paraId="36796BC4"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تنمية قدرات العاملين الرقمية وتأهيلهم للتعامل مع التقنيات الحديثة</w:t>
      </w:r>
      <w:r w:rsidRPr="00A37589">
        <w:rPr>
          <w:rFonts w:ascii="Simplified Arabic" w:hAnsi="Simplified Arabic" w:cs="Simplified Arabic"/>
          <w:sz w:val="28"/>
          <w:szCs w:val="28"/>
        </w:rPr>
        <w:t>.</w:t>
      </w:r>
    </w:p>
    <w:p w14:paraId="6B28211B" w14:textId="77777777" w:rsidR="00D70CB4" w:rsidRPr="00A37589" w:rsidRDefault="00D70CB4">
      <w:pPr>
        <w:numPr>
          <w:ilvl w:val="0"/>
          <w:numId w:val="18"/>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ثقافة تنظيمية داعمة للتغيير والابتكار</w:t>
      </w:r>
      <w:r w:rsidRPr="00A37589">
        <w:rPr>
          <w:rFonts w:ascii="Simplified Arabic" w:hAnsi="Simplified Arabic" w:cs="Simplified Arabic"/>
          <w:sz w:val="28"/>
          <w:szCs w:val="28"/>
        </w:rPr>
        <w:t>.</w:t>
      </w:r>
    </w:p>
    <w:p w14:paraId="7D8B0004"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كما يُشير</w:t>
      </w:r>
      <w:r w:rsidRPr="00A37589">
        <w:rPr>
          <w:rFonts w:ascii="Simplified Arabic" w:hAnsi="Simplified Arabic" w:cs="Simplified Arabic"/>
          <w:sz w:val="28"/>
          <w:szCs w:val="28"/>
        </w:rPr>
        <w:t xml:space="preserve"> Qiao </w:t>
      </w:r>
      <w:r w:rsidRPr="00A37589">
        <w:rPr>
          <w:rFonts w:ascii="Simplified Arabic" w:hAnsi="Simplified Arabic" w:cs="Simplified Arabic"/>
          <w:sz w:val="28"/>
          <w:szCs w:val="28"/>
          <w:rtl/>
        </w:rPr>
        <w:t>وآخرون (2024) إلى أن التحول الرقمي يستهدف تعزيز أداء الموظفين وتنمية التزامهم التنظيمي من خلال بناء بيئة عمل رقمية محفزة، فضلاً عن تطوير القيادة الرقمية القادرة على قيادة عمليات التغيير بفعالية</w:t>
      </w:r>
      <w:r w:rsidRPr="00A37589">
        <w:rPr>
          <w:rFonts w:ascii="Simplified Arabic" w:hAnsi="Simplified Arabic" w:cs="Simplified Arabic"/>
          <w:sz w:val="28"/>
          <w:szCs w:val="28"/>
        </w:rPr>
        <w:t>.</w:t>
      </w:r>
    </w:p>
    <w:p w14:paraId="588C995B" w14:textId="01649E3D" w:rsidR="00D70CB4" w:rsidRPr="00A37589" w:rsidRDefault="00D70CB4">
      <w:pPr>
        <w:pStyle w:val="a6"/>
        <w:numPr>
          <w:ilvl w:val="0"/>
          <w:numId w:val="19"/>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أبعاد التحول الرقمي</w:t>
      </w:r>
    </w:p>
    <w:p w14:paraId="24E4144C"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تم تحديد أبعاد التحول الرقمي في الدراسة الحالية بناءً على دراسة حسين وعبدالهادي وجمال (2023) ودراسة الشقاحين والعزب (2024)، إذ اتفقت هاتان الدراستان مع مجموعة من الأدبيات ذات الصلة على تناول التحول الرقمي من خلال خمسة أبعاد رئيسية، تُغطي جوانبه المختلفة الاستراتيجية والتقنية والبشرية والثقافية. وفيما يلي عرض مفصل لهذه الأبعاد</w:t>
      </w:r>
      <w:r w:rsidRPr="00A37589">
        <w:rPr>
          <w:rFonts w:ascii="Simplified Arabic" w:hAnsi="Simplified Arabic" w:cs="Simplified Arabic"/>
          <w:sz w:val="28"/>
          <w:szCs w:val="28"/>
        </w:rPr>
        <w:t>:</w:t>
      </w:r>
    </w:p>
    <w:p w14:paraId="5CEB7216"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البُعد الأول: البنية التحتية الرقمية</w:t>
      </w:r>
      <w:r w:rsidRPr="00A37589">
        <w:rPr>
          <w:rFonts w:ascii="Simplified Arabic" w:hAnsi="Simplified Arabic" w:cs="Simplified Arabic"/>
          <w:b/>
          <w:bCs/>
          <w:sz w:val="28"/>
          <w:szCs w:val="28"/>
        </w:rPr>
        <w:t xml:space="preserve"> (Digital Infrastructure)</w:t>
      </w:r>
    </w:p>
    <w:p w14:paraId="4F84A4F6"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تُشكّل البنية التحتية الرقمية العمود الفقري لأي عملية تحول رقمي ناجحة، إذ تُمثّل مجموعة الأجهزة والشبكات والأنظمة والبرمجيات التي تُتيح للمنظمة توظيف التقنيات الرقمية بكفاءة. ويرى حسين وعبدالهادي وجمال (2023) أن البنية التحتية الرقمية تتضمن الحوسبة السحابية، وشبكات الاتصالات عالية السرعة، ونظم إدارة قواعد البيانات، وأنظمة الأمن السيبراني. وتزداد أهمية هذا البُعد في الشركات التقنية الناشئة، إذ تُشكّل البنية التحتية الرقمية القاعدة التي تنطلق منها جميع الأنشطة الرقمية الأخرى، ودونها تفقد بقية أبعاد التحول الرقمي فاعليتها</w:t>
      </w:r>
      <w:r w:rsidRPr="00A37589">
        <w:rPr>
          <w:rFonts w:ascii="Simplified Arabic" w:hAnsi="Simplified Arabic" w:cs="Simplified Arabic"/>
          <w:sz w:val="28"/>
          <w:szCs w:val="28"/>
        </w:rPr>
        <w:t>.</w:t>
      </w:r>
    </w:p>
    <w:p w14:paraId="2EB94B95"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البُعد الثاني: الاستراتيجية الرقمية</w:t>
      </w:r>
      <w:r w:rsidRPr="00A37589">
        <w:rPr>
          <w:rFonts w:ascii="Simplified Arabic" w:hAnsi="Simplified Arabic" w:cs="Simplified Arabic"/>
          <w:b/>
          <w:bCs/>
          <w:sz w:val="28"/>
          <w:szCs w:val="28"/>
        </w:rPr>
        <w:t xml:space="preserve"> (Digital Strategy)</w:t>
      </w:r>
    </w:p>
    <w:p w14:paraId="15956148"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تُمثّل الاستراتيجية الرقمية الرؤية والخطط طويلة المدى التي توجه جهود المنظمة نحو التحول الرقمي، وتُحدّد الأولويات والموارد المطلوبة لتحقيق الأهداف الرقمية. ويُشير العمريين والربابعة (2023) إلى أن الاستراتيجية الرقمية تشمل تحديد الرؤية الرقمية للمنظمة، ووضع خارطة طريق للتحول الرقمي، وتحديد المؤشرات الرئيسية لقياس التقدم في هذه الرحلة. وتُعدّ الاستراتيجية الرقمية بمثابة البوصلة التي توجه المنظمة في رحلة التحول، وتضمن التكامل بين الجهود المختلفة، وتُجنّبها التشتت والازدواجية</w:t>
      </w:r>
      <w:r w:rsidRPr="00A37589">
        <w:rPr>
          <w:rFonts w:ascii="Simplified Arabic" w:hAnsi="Simplified Arabic" w:cs="Simplified Arabic"/>
          <w:sz w:val="28"/>
          <w:szCs w:val="28"/>
        </w:rPr>
        <w:t>.</w:t>
      </w:r>
    </w:p>
    <w:p w14:paraId="1EC1CBF1"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البُعد الثالث: الثقافة الرقمية</w:t>
      </w:r>
      <w:r w:rsidRPr="00A37589">
        <w:rPr>
          <w:rFonts w:ascii="Simplified Arabic" w:hAnsi="Simplified Arabic" w:cs="Simplified Arabic"/>
          <w:b/>
          <w:bCs/>
          <w:sz w:val="28"/>
          <w:szCs w:val="28"/>
        </w:rPr>
        <w:t xml:space="preserve"> (Digital Culture)</w:t>
      </w:r>
    </w:p>
    <w:p w14:paraId="0BB9ACA7"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تُعدّ الثقافة الرقمية من الأبعاد المحورية في التحول الرقمي، إذ تُشير إلى منظومة القيم والمعتقدات والسلوكيات الداعمة لتبني التقنيات الرقمية داخل المنظمة. ويرى الشقاحين والعزب (2024) أن الثقافة الرقمية تشمل قيم الابتكار والتجريب والانفتاح على التغيير، وتقبل المخاطرة المحسوبة، والتعلم المستمر. ودون بناء ثقافة رقمية داعمة، تُواجه المنظمة مقاومة داخلية للتحول الرقمي قد تُعيق نجاحه، مما يجعل بناء هذه الثقافة تحدياً بالغ الأهمية</w:t>
      </w:r>
      <w:r w:rsidRPr="00A37589">
        <w:rPr>
          <w:rFonts w:ascii="Simplified Arabic" w:hAnsi="Simplified Arabic" w:cs="Simplified Arabic"/>
          <w:sz w:val="28"/>
          <w:szCs w:val="28"/>
        </w:rPr>
        <w:t>.</w:t>
      </w:r>
    </w:p>
    <w:p w14:paraId="6D213CCF"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البُعد الرابع: القيادة الرقمية</w:t>
      </w:r>
      <w:r w:rsidRPr="00A37589">
        <w:rPr>
          <w:rFonts w:ascii="Simplified Arabic" w:hAnsi="Simplified Arabic" w:cs="Simplified Arabic"/>
          <w:b/>
          <w:bCs/>
          <w:sz w:val="28"/>
          <w:szCs w:val="28"/>
        </w:rPr>
        <w:t xml:space="preserve"> (Digital Leadership)</w:t>
      </w:r>
    </w:p>
    <w:p w14:paraId="2F26CF9B" w14:textId="28D7155F"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تكتسب القيادة الرقمية أهميتها من كونها المحرك الرئيسي لعمليات التحول الرقمي داخل المنظمة، إذ يُنتظر من القادة الرقميين أن يمتلكوا رؤية واضحة للتحول الرقمي، وقدرة على إلهام العاملين وتحفيزهم، ومهارات تقنية تُمكّنهم من قيادة المنظمة في العصر الرقمي. ويُبرز</w:t>
      </w:r>
      <w:r w:rsidRPr="00A37589">
        <w:rPr>
          <w:rFonts w:ascii="Simplified Arabic" w:hAnsi="Simplified Arabic" w:cs="Simplified Arabic"/>
          <w:sz w:val="28"/>
          <w:szCs w:val="28"/>
        </w:rPr>
        <w:t xml:space="preserve"> Qiao et al.,(2024) </w:t>
      </w:r>
      <w:r w:rsidRPr="00A37589">
        <w:rPr>
          <w:rFonts w:ascii="Simplified Arabic" w:hAnsi="Simplified Arabic" w:cs="Simplified Arabic"/>
          <w:sz w:val="28"/>
          <w:szCs w:val="28"/>
          <w:rtl/>
        </w:rPr>
        <w:t>الدور الاستراتيجي للقيادة الرقمية في تعزيز أداء الموظفين والالتزام التنظيمي، مؤكدين أن القيادة الرقمية تُشكّل عاملاً حاسماً في نجاح عمليات التحول الرقمي</w:t>
      </w:r>
      <w:r w:rsidRPr="00A37589">
        <w:rPr>
          <w:rFonts w:ascii="Simplified Arabic" w:hAnsi="Simplified Arabic" w:cs="Simplified Arabic"/>
          <w:sz w:val="28"/>
          <w:szCs w:val="28"/>
        </w:rPr>
        <w:t>.</w:t>
      </w:r>
    </w:p>
    <w:p w14:paraId="7EF73144"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البُعد الخامس: الكفاءات الرقمية</w:t>
      </w:r>
      <w:r w:rsidRPr="00A37589">
        <w:rPr>
          <w:rFonts w:ascii="Simplified Arabic" w:hAnsi="Simplified Arabic" w:cs="Simplified Arabic"/>
          <w:b/>
          <w:bCs/>
          <w:sz w:val="28"/>
          <w:szCs w:val="28"/>
        </w:rPr>
        <w:t xml:space="preserve"> (Digital Competencies)</w:t>
      </w:r>
    </w:p>
    <w:p w14:paraId="6C29F43D"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تُشير الكفاءات الرقمية إلى مجموعة المعارف والمهارات والقدرات التقنية التي يحتاجها العاملون للعمل بكفاءة في البيئة الرقمية. ويُشير الجبور والزيديين (2022) إلى أن الكفاءات الرقمية تشمل مهارات التعامل مع البرمجيات المتقدمة، وتحليل البيانات، واستخدام أدوات التواصل الرقمية، والتفكير النقدي في البيئة الرقمية. ويُشكّل تطوير الكفاءات الرقمية للعاملين استثماراً استراتيجياً في رأس المال البشري، ويُعدّ أحد أهم متطلبات نجاح التحول الرقمي</w:t>
      </w:r>
      <w:r w:rsidRPr="00A37589">
        <w:rPr>
          <w:rFonts w:ascii="Simplified Arabic" w:hAnsi="Simplified Arabic" w:cs="Simplified Arabic"/>
          <w:sz w:val="28"/>
          <w:szCs w:val="28"/>
        </w:rPr>
        <w:t>.</w:t>
      </w:r>
    </w:p>
    <w:p w14:paraId="208BAFCA" w14:textId="7EB1ADC7" w:rsidR="00D70CB4" w:rsidRPr="00A37589" w:rsidRDefault="00D70CB4">
      <w:pPr>
        <w:pStyle w:val="a6"/>
        <w:numPr>
          <w:ilvl w:val="0"/>
          <w:numId w:val="19"/>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lastRenderedPageBreak/>
        <w:t>مداخل التحول الرقمي</w:t>
      </w:r>
    </w:p>
    <w:p w14:paraId="29E393F4"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تتعدد المداخل التي تتبناها المنظمات في تحولها الرقمي، وتختلف باختلاف السياق التنظيمي والقطاع الذي تعمل فيه. ويُميّز سعيد وإسماعيل (2023) بين ثلاثة مداخل رئيسية للتحول الرقمي، هي: المدخل التدريجي الذي يقوم على التحول خطوة بخطوة، والمدخل الجذري الذي يستهدف إحداث تحول شامل في وقت قصير، والمدخل التكاملي الذي يجمع بين التدرج في بعض المجالات والتحول الجذري في مجالات أخرى</w:t>
      </w:r>
      <w:r w:rsidRPr="00A37589">
        <w:rPr>
          <w:rFonts w:ascii="Simplified Arabic" w:hAnsi="Simplified Arabic" w:cs="Simplified Arabic"/>
          <w:sz w:val="28"/>
          <w:szCs w:val="28"/>
        </w:rPr>
        <w:t>.</w:t>
      </w:r>
    </w:p>
    <w:p w14:paraId="1AAFBAA1"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كما يُشير</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Montero</w:t>
      </w:r>
      <w:proofErr w:type="spellEnd"/>
      <w:r w:rsidRPr="00A37589">
        <w:rPr>
          <w:rFonts w:ascii="Simplified Arabic" w:hAnsi="Simplified Arabic" w:cs="Simplified Arabic"/>
          <w:sz w:val="28"/>
          <w:szCs w:val="28"/>
        </w:rPr>
        <w:t xml:space="preserve"> Guerra &amp; </w:t>
      </w:r>
      <w:proofErr w:type="spellStart"/>
      <w:r w:rsidRPr="00A37589">
        <w:rPr>
          <w:rFonts w:ascii="Simplified Arabic" w:hAnsi="Simplified Arabic" w:cs="Simplified Arabic"/>
          <w:sz w:val="28"/>
          <w:szCs w:val="28"/>
        </w:rPr>
        <w:t>Danvila-Del</w:t>
      </w:r>
      <w:proofErr w:type="spellEnd"/>
      <w:r w:rsidRPr="00A37589">
        <w:rPr>
          <w:rFonts w:ascii="Simplified Arabic" w:hAnsi="Simplified Arabic" w:cs="Simplified Arabic"/>
          <w:sz w:val="28"/>
          <w:szCs w:val="28"/>
        </w:rPr>
        <w:t xml:space="preserve"> Valle (2024) </w:t>
      </w:r>
      <w:r w:rsidRPr="00A37589">
        <w:rPr>
          <w:rFonts w:ascii="Simplified Arabic" w:hAnsi="Simplified Arabic" w:cs="Simplified Arabic"/>
          <w:sz w:val="28"/>
          <w:szCs w:val="28"/>
          <w:rtl/>
        </w:rPr>
        <w:t>إلى وجود مدخلين رئيسيين للتحول الرقمي؛ الأول يُركّز على التقنيات</w:t>
      </w:r>
      <w:r w:rsidRPr="00A37589">
        <w:rPr>
          <w:rFonts w:ascii="Simplified Arabic" w:hAnsi="Simplified Arabic" w:cs="Simplified Arabic"/>
          <w:sz w:val="28"/>
          <w:szCs w:val="28"/>
        </w:rPr>
        <w:t xml:space="preserve"> (Technology-Driven Approach) </w:t>
      </w:r>
      <w:r w:rsidRPr="00A37589">
        <w:rPr>
          <w:rFonts w:ascii="Simplified Arabic" w:hAnsi="Simplified Arabic" w:cs="Simplified Arabic"/>
          <w:sz w:val="28"/>
          <w:szCs w:val="28"/>
          <w:rtl/>
        </w:rPr>
        <w:t>ويقوم على البدء بتبني التقنيات ثم تكييف بقية عناصر المنظمة معها، والثاني يُركّز على الاستراتيجية</w:t>
      </w:r>
      <w:r w:rsidRPr="00A37589">
        <w:rPr>
          <w:rFonts w:ascii="Simplified Arabic" w:hAnsi="Simplified Arabic" w:cs="Simplified Arabic"/>
          <w:sz w:val="28"/>
          <w:szCs w:val="28"/>
        </w:rPr>
        <w:t xml:space="preserve"> (Strategy-Driven Approach) </w:t>
      </w:r>
      <w:r w:rsidRPr="00A37589">
        <w:rPr>
          <w:rFonts w:ascii="Simplified Arabic" w:hAnsi="Simplified Arabic" w:cs="Simplified Arabic"/>
          <w:sz w:val="28"/>
          <w:szCs w:val="28"/>
          <w:rtl/>
        </w:rPr>
        <w:t>ويقوم على تحديد الأهداف الاستراتيجية أولاً ثم اختيار التقنيات المناسبة لتحقيقها</w:t>
      </w:r>
      <w:r w:rsidRPr="00A37589">
        <w:rPr>
          <w:rFonts w:ascii="Simplified Arabic" w:hAnsi="Simplified Arabic" w:cs="Simplified Arabic"/>
          <w:sz w:val="28"/>
          <w:szCs w:val="28"/>
        </w:rPr>
        <w:t>.</w:t>
      </w:r>
    </w:p>
    <w:p w14:paraId="629774CC" w14:textId="3A62E32B" w:rsidR="00D70CB4" w:rsidRPr="00A37589" w:rsidRDefault="00D70CB4">
      <w:pPr>
        <w:pStyle w:val="a6"/>
        <w:numPr>
          <w:ilvl w:val="0"/>
          <w:numId w:val="19"/>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تطور مفهوم التحول الرقمي</w:t>
      </w:r>
    </w:p>
    <w:p w14:paraId="6768ACCB"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مرّ مفهوم التحول الرقمي بمراحل تطور متعاقبة، إذ بدأ في مراحله الأولى بمفهوم الأتمتة</w:t>
      </w:r>
      <w:r w:rsidRPr="00A37589">
        <w:rPr>
          <w:rFonts w:ascii="Simplified Arabic" w:hAnsi="Simplified Arabic" w:cs="Simplified Arabic"/>
          <w:sz w:val="28"/>
          <w:szCs w:val="28"/>
        </w:rPr>
        <w:t xml:space="preserve"> (Automation) </w:t>
      </w:r>
      <w:r w:rsidRPr="00A37589">
        <w:rPr>
          <w:rFonts w:ascii="Simplified Arabic" w:hAnsi="Simplified Arabic" w:cs="Simplified Arabic"/>
          <w:sz w:val="28"/>
          <w:szCs w:val="28"/>
          <w:rtl/>
        </w:rPr>
        <w:t>الذي اقتصر على استبدال العمليات اليدوية بأخرى آلية، ثم تطور إلى مفهوم الرقمنة</w:t>
      </w:r>
      <w:r w:rsidRPr="00A37589">
        <w:rPr>
          <w:rFonts w:ascii="Simplified Arabic" w:hAnsi="Simplified Arabic" w:cs="Simplified Arabic"/>
          <w:sz w:val="28"/>
          <w:szCs w:val="28"/>
        </w:rPr>
        <w:t xml:space="preserve"> (Digitization) </w:t>
      </w:r>
      <w:r w:rsidRPr="00A37589">
        <w:rPr>
          <w:rFonts w:ascii="Simplified Arabic" w:hAnsi="Simplified Arabic" w:cs="Simplified Arabic"/>
          <w:sz w:val="28"/>
          <w:szCs w:val="28"/>
          <w:rtl/>
        </w:rPr>
        <w:t>الذي شمل تحويل المعلومات من شكلها الورقي إلى شكل رقمي، ثم انتقل إلى مفهوم التحول الرقمي</w:t>
      </w:r>
      <w:r w:rsidRPr="00A37589">
        <w:rPr>
          <w:rFonts w:ascii="Simplified Arabic" w:hAnsi="Simplified Arabic" w:cs="Simplified Arabic"/>
          <w:sz w:val="28"/>
          <w:szCs w:val="28"/>
        </w:rPr>
        <w:t xml:space="preserve"> (Digital Transformation) </w:t>
      </w:r>
      <w:r w:rsidRPr="00A37589">
        <w:rPr>
          <w:rFonts w:ascii="Simplified Arabic" w:hAnsi="Simplified Arabic" w:cs="Simplified Arabic"/>
          <w:sz w:val="28"/>
          <w:szCs w:val="28"/>
          <w:rtl/>
        </w:rPr>
        <w:t>الذي يتضمن تغييراً جوهرياً في نموذج الأعمال والعمليات والثقافة التنظيمية</w:t>
      </w:r>
      <w:r w:rsidRPr="00A37589">
        <w:rPr>
          <w:rFonts w:ascii="Simplified Arabic" w:hAnsi="Simplified Arabic" w:cs="Simplified Arabic"/>
          <w:sz w:val="28"/>
          <w:szCs w:val="28"/>
        </w:rPr>
        <w:t xml:space="preserve"> (Banerjee &amp; Sharma, 2025). </w:t>
      </w:r>
      <w:r w:rsidRPr="00A37589">
        <w:rPr>
          <w:rFonts w:ascii="Simplified Arabic" w:hAnsi="Simplified Arabic" w:cs="Simplified Arabic"/>
          <w:sz w:val="28"/>
          <w:szCs w:val="28"/>
          <w:rtl/>
        </w:rPr>
        <w:t>ويُمثّل التحول الرقمي في مرحلته الحالية تكاملاً بين تقنيات الصناعة الرابعة كالذكاء الاصطناعي وإنترنت الأشياء والحوسبة السحابية والبيانات الضخمة، مما يجعله أكثر شمولاً وتعقيداً من مراحله السابقة</w:t>
      </w:r>
      <w:r w:rsidRPr="00A37589">
        <w:rPr>
          <w:rFonts w:ascii="Simplified Arabic" w:hAnsi="Simplified Arabic" w:cs="Simplified Arabic"/>
          <w:sz w:val="28"/>
          <w:szCs w:val="28"/>
        </w:rPr>
        <w:t>.</w:t>
      </w:r>
    </w:p>
    <w:p w14:paraId="36663993" w14:textId="7140BDA9" w:rsidR="00D70CB4" w:rsidRPr="008B1451" w:rsidRDefault="009C7B87" w:rsidP="008B1451">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8" w:name="_Toc234278708"/>
      <w:r>
        <w:rPr>
          <w:rFonts w:ascii="Simplified Arabic" w:eastAsia="Times New Roman" w:hAnsi="Simplified Arabic" w:cs="Simplified Arabic" w:hint="cs"/>
          <w:b/>
          <w:bCs/>
          <w:kern w:val="0"/>
          <w:sz w:val="36"/>
          <w:szCs w:val="36"/>
          <w:rtl/>
          <w14:ligatures w14:val="none"/>
        </w:rPr>
        <w:t xml:space="preserve">3.1.2 </w:t>
      </w:r>
      <w:r w:rsidR="00D70CB4" w:rsidRPr="008B1451">
        <w:rPr>
          <w:rFonts w:ascii="Simplified Arabic" w:eastAsia="Times New Roman" w:hAnsi="Simplified Arabic" w:cs="Simplified Arabic"/>
          <w:b/>
          <w:bCs/>
          <w:kern w:val="0"/>
          <w:sz w:val="36"/>
          <w:szCs w:val="36"/>
          <w:rtl/>
          <w14:ligatures w14:val="none"/>
        </w:rPr>
        <w:t>ثانياً: إدارة المواهب</w:t>
      </w:r>
      <w:r w:rsidR="00D70CB4" w:rsidRPr="008B1451">
        <w:rPr>
          <w:rFonts w:ascii="Simplified Arabic" w:eastAsia="Times New Roman" w:hAnsi="Simplified Arabic" w:cs="Simplified Arabic"/>
          <w:b/>
          <w:bCs/>
          <w:kern w:val="0"/>
          <w:sz w:val="36"/>
          <w:szCs w:val="36"/>
          <w14:ligatures w14:val="none"/>
        </w:rPr>
        <w:t xml:space="preserve"> (Talent Management)</w:t>
      </w:r>
      <w:bookmarkEnd w:id="38"/>
    </w:p>
    <w:p w14:paraId="0ABB816A" w14:textId="7F3A70E5" w:rsidR="00D70CB4" w:rsidRPr="00A37589" w:rsidRDefault="00D70CB4">
      <w:pPr>
        <w:pStyle w:val="a6"/>
        <w:numPr>
          <w:ilvl w:val="0"/>
          <w:numId w:val="20"/>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مفهوم إدارة المواهب</w:t>
      </w:r>
    </w:p>
    <w:p w14:paraId="56607E26"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نشأ مفهوم إدارة المواهب في نهاية تسعينيات القرن الماضي إثر انطلاق ما يُعرف بـ"الحرب على المواهب"، ثم تطور ليُصبح توجهاً استراتيجياً محورياً في إدارة رأس المال البشري. وقد تعددت التعريفات التي قدّمها الباحثون لهذا المفهوم بحسب زوايا المعالجة</w:t>
      </w:r>
      <w:r w:rsidRPr="00A37589">
        <w:rPr>
          <w:rFonts w:ascii="Simplified Arabic" w:hAnsi="Simplified Arabic" w:cs="Simplified Arabic"/>
          <w:sz w:val="28"/>
          <w:szCs w:val="28"/>
        </w:rPr>
        <w:t>.</w:t>
      </w:r>
    </w:p>
    <w:p w14:paraId="4ED44BF3"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فيُعرّفه القديمات والخشالي (2024) بأنه منظومة متكاملة من الممارسات الاستراتيجية التي تستهدف اكتشاف الأفراد ذوي الكفاءات المتميزة داخل المنظمة وخارجها، وجذبهم، وتطوير قدراتهم، والاحتفاظ بهم، بما يُحقّق التوافق بين احتياجات المنظمة الاستراتيجية وطموحات هؤلاء الأفراد</w:t>
      </w:r>
      <w:r w:rsidRPr="00A37589">
        <w:rPr>
          <w:rFonts w:ascii="Simplified Arabic" w:hAnsi="Simplified Arabic" w:cs="Simplified Arabic"/>
          <w:sz w:val="28"/>
          <w:szCs w:val="28"/>
        </w:rPr>
        <w:t>.</w:t>
      </w:r>
    </w:p>
    <w:p w14:paraId="41728271"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ويُقدّم السليحات والصوالحة (2022) تعريفاً أكثر تفصيلاً حين يعتبران إدارة المواهب عملية شاملة ومستمرة تبدأ بتحديد الوظائف الاستراتيجية في المنظمة، ثم تحديد المواهب اللازمة لشغلها، ثم استقطاب هذه المواهب وتنميتها والاحتفاظ بها، بما يُعزّز القدرة التنافسية للمنظمة. ويرى بوهالي وبومجان (2023) أن إدارة المواهب تُمثّل نهجاً حديثاً في إدارة الموارد البشرية يقوم على التمييز بين الموارد البشرية العادية والموارد ذات القيمة الاستثنائية، ومنح هذه الأخيرة اهتماماً خاصاً من حيث الرعاية والتنمية</w:t>
      </w:r>
      <w:r w:rsidRPr="00A37589">
        <w:rPr>
          <w:rFonts w:ascii="Simplified Arabic" w:hAnsi="Simplified Arabic" w:cs="Simplified Arabic"/>
          <w:sz w:val="28"/>
          <w:szCs w:val="28"/>
        </w:rPr>
        <w:t>.</w:t>
      </w:r>
    </w:p>
    <w:p w14:paraId="610308BC"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ومن منظور مختلف، يُعرّفها الكايد والبلوش (2023) بأنها استراتيجية تنظيمية طويلة المدى تسعى إلى بناء مخزون استراتيجي من المواهب في المنظمة، من خلال ممارسات متكاملة تشمل التخطيط والاستقطاب والتطوير والتقييم والاحتفاظ. ويُضيف مرابطي وبوسنة (2023) بُعداً ثقافياً حين يعتبران إدارة المواهب فلسفة تنظيمية شاملة تُعيد تشكيل الثقافة السائدة في المنظمة بحيث تُصبح داعمة للكفاءات ومحفزة للإبداع</w:t>
      </w:r>
      <w:r w:rsidRPr="00A37589">
        <w:rPr>
          <w:rFonts w:ascii="Simplified Arabic" w:hAnsi="Simplified Arabic" w:cs="Simplified Arabic"/>
          <w:sz w:val="28"/>
          <w:szCs w:val="28"/>
        </w:rPr>
        <w:t>.</w:t>
      </w:r>
    </w:p>
    <w:p w14:paraId="4C72EC6A" w14:textId="67DAC5C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أما من المنظور الأجنبي، فيُشير</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Gri</w:t>
      </w:r>
      <w:r w:rsidRPr="00A37589">
        <w:rPr>
          <w:rFonts w:ascii="Cambria" w:hAnsi="Cambria" w:cs="Cambria"/>
          <w:sz w:val="28"/>
          <w:szCs w:val="28"/>
        </w:rPr>
        <w:t>č</w:t>
      </w:r>
      <w:r w:rsidRPr="00A37589">
        <w:rPr>
          <w:rFonts w:ascii="Simplified Arabic" w:hAnsi="Simplified Arabic" w:cs="Simplified Arabic"/>
          <w:sz w:val="28"/>
          <w:szCs w:val="28"/>
        </w:rPr>
        <w:t>nik</w:t>
      </w:r>
      <w:proofErr w:type="spellEnd"/>
      <w:r w:rsidRPr="00A37589">
        <w:rPr>
          <w:rFonts w:ascii="Simplified Arabic" w:hAnsi="Simplified Arabic" w:cs="Simplified Arabic"/>
          <w:sz w:val="28"/>
          <w:szCs w:val="28"/>
        </w:rPr>
        <w:t xml:space="preserve"> et al.,(2024) </w:t>
      </w:r>
      <w:r w:rsidRPr="00A37589">
        <w:rPr>
          <w:rFonts w:ascii="Simplified Arabic" w:hAnsi="Simplified Arabic" w:cs="Simplified Arabic"/>
          <w:sz w:val="28"/>
          <w:szCs w:val="28"/>
          <w:rtl/>
        </w:rPr>
        <w:t>إلى أن إدارة المواهب في عصر التحول الرقمي وتغير خصائص القوى العاملة تُمثّل منظومة ديناميكية تتكيف مع المتغيرات المتسارعة في بيئة العمل، وتوظّف التقنيات الرقمية في مختلف مراحل دورة حياة الموهبة. ويُقدّم</w:t>
      </w:r>
      <w:r w:rsidRPr="00A37589">
        <w:rPr>
          <w:rFonts w:ascii="Simplified Arabic" w:hAnsi="Simplified Arabic" w:cs="Simplified Arabic"/>
          <w:sz w:val="28"/>
          <w:szCs w:val="28"/>
        </w:rPr>
        <w:t xml:space="preserve"> Di Prima et al.,(2024) </w:t>
      </w:r>
      <w:r w:rsidRPr="00A37589">
        <w:rPr>
          <w:rFonts w:ascii="Simplified Arabic" w:hAnsi="Simplified Arabic" w:cs="Simplified Arabic"/>
          <w:sz w:val="28"/>
          <w:szCs w:val="28"/>
          <w:rtl/>
        </w:rPr>
        <w:t>تعريفاً معاصراً يُبرز دور تحليلات الموارد البشرية، إذ يُعرّفانها بأنها منظومة من الأنشطة المدعومة بالبيانات والتحليلات المتقدمة، تهدف إلى اتخاذ قرارات علمية دقيقة فيما يتعلق بالمواهب البشرية</w:t>
      </w:r>
      <w:r w:rsidRPr="00A37589">
        <w:rPr>
          <w:rFonts w:ascii="Simplified Arabic" w:hAnsi="Simplified Arabic" w:cs="Simplified Arabic"/>
          <w:sz w:val="28"/>
          <w:szCs w:val="28"/>
        </w:rPr>
        <w:t>.</w:t>
      </w:r>
    </w:p>
    <w:p w14:paraId="6FE4695C"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ومن خلال ما تقدم، يرى الباحث أن إدارة المواهب يُمكن تعريفها إجرائياً بأنها: “منظومة استراتيجية متكاملة من الممارسات والأنظمة التي تنتهجها الشركات التقنية الناشئة في المملكة العربية السعودية لاستقطاب الكفاءات المتميزة وتنمية قدراتها والاحتفاظ بها وتقييم أدائها، بما يُحقّق التوافق بين احتياجات هذه الشركات الاستراتيجية وطموحات مواهبها، ويُعزّز قدرتها التنافسية في بيئة أعمال شديدة الديناميكية</w:t>
      </w:r>
      <w:r w:rsidRPr="00A37589">
        <w:rPr>
          <w:rFonts w:ascii="Simplified Arabic" w:hAnsi="Simplified Arabic" w:cs="Simplified Arabic"/>
          <w:sz w:val="28"/>
          <w:szCs w:val="28"/>
        </w:rPr>
        <w:t>”.</w:t>
      </w:r>
    </w:p>
    <w:p w14:paraId="28AAD9DF" w14:textId="728BFB73" w:rsidR="00D70CB4" w:rsidRPr="00A37589" w:rsidRDefault="00D70CB4">
      <w:pPr>
        <w:pStyle w:val="a6"/>
        <w:numPr>
          <w:ilvl w:val="0"/>
          <w:numId w:val="20"/>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أهمية إدارة المواهب</w:t>
      </w:r>
    </w:p>
    <w:p w14:paraId="3D7505C5"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تكتسب إدارة المواهب أهمية بالغة في المنظمات المعاصرة، لا سيما في ظل تصاعد المنافسة على الكفاءات المتميزة وتنامي الوعي بأهمية رأس المال البشري بوصفه المصدر الحقيقي للميزة التنافسية المستدامة</w:t>
      </w:r>
      <w:r w:rsidRPr="00A37589">
        <w:rPr>
          <w:rFonts w:ascii="Simplified Arabic" w:hAnsi="Simplified Arabic" w:cs="Simplified Arabic"/>
          <w:sz w:val="28"/>
          <w:szCs w:val="28"/>
        </w:rPr>
        <w:t>.</w:t>
      </w:r>
    </w:p>
    <w:p w14:paraId="4D6B3487"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ويُشير القديمات والخشالي (2024) إلى أن أهمية إدارة المواهب تتجلى في</w:t>
      </w:r>
      <w:r w:rsidRPr="00A37589">
        <w:rPr>
          <w:rFonts w:ascii="Simplified Arabic" w:hAnsi="Simplified Arabic" w:cs="Simplified Arabic"/>
          <w:sz w:val="28"/>
          <w:szCs w:val="28"/>
        </w:rPr>
        <w:t>:</w:t>
      </w:r>
    </w:p>
    <w:p w14:paraId="24CAF058"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مخزون استراتيجي من الكفاءات يضمن استمرارية المنظمة</w:t>
      </w:r>
      <w:r w:rsidRPr="00A37589">
        <w:rPr>
          <w:rFonts w:ascii="Simplified Arabic" w:hAnsi="Simplified Arabic" w:cs="Simplified Arabic"/>
          <w:sz w:val="28"/>
          <w:szCs w:val="28"/>
        </w:rPr>
        <w:t>.</w:t>
      </w:r>
    </w:p>
    <w:p w14:paraId="18731685"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القدرة التنافسية للمنظمة من خلال توظيف موارد بشرية استثنائية</w:t>
      </w:r>
      <w:r w:rsidRPr="00A37589">
        <w:rPr>
          <w:rFonts w:ascii="Simplified Arabic" w:hAnsi="Simplified Arabic" w:cs="Simplified Arabic"/>
          <w:sz w:val="28"/>
          <w:szCs w:val="28"/>
        </w:rPr>
        <w:t>.</w:t>
      </w:r>
    </w:p>
    <w:p w14:paraId="1233A8C9"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تحقيق التميز المنظمي والتفوق على المنافسين</w:t>
      </w:r>
      <w:r w:rsidRPr="00A37589">
        <w:rPr>
          <w:rFonts w:ascii="Simplified Arabic" w:hAnsi="Simplified Arabic" w:cs="Simplified Arabic"/>
          <w:sz w:val="28"/>
          <w:szCs w:val="28"/>
        </w:rPr>
        <w:t>.</w:t>
      </w:r>
    </w:p>
    <w:p w14:paraId="62DEF0E6"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دعم الابتكار والإبداع داخل المنظمة</w:t>
      </w:r>
      <w:r w:rsidRPr="00A37589">
        <w:rPr>
          <w:rFonts w:ascii="Simplified Arabic" w:hAnsi="Simplified Arabic" w:cs="Simplified Arabic"/>
          <w:sz w:val="28"/>
          <w:szCs w:val="28"/>
        </w:rPr>
        <w:t>.</w:t>
      </w:r>
    </w:p>
    <w:p w14:paraId="1DCC8524"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ضمان الاستدامة التنظيمية على المدى الطويل</w:t>
      </w:r>
      <w:r w:rsidRPr="00A37589">
        <w:rPr>
          <w:rFonts w:ascii="Simplified Arabic" w:hAnsi="Simplified Arabic" w:cs="Simplified Arabic"/>
          <w:sz w:val="28"/>
          <w:szCs w:val="28"/>
        </w:rPr>
        <w:t>.</w:t>
      </w:r>
    </w:p>
    <w:p w14:paraId="4A1C8AE6" w14:textId="77777777" w:rsidR="00D70CB4" w:rsidRPr="00261D7D" w:rsidRDefault="00D70CB4" w:rsidP="00A37589">
      <w:pPr>
        <w:spacing w:before="100" w:beforeAutospacing="1" w:after="100" w:afterAutospacing="1" w:line="276" w:lineRule="auto"/>
        <w:jc w:val="both"/>
        <w:rPr>
          <w:rFonts w:ascii="Simplified Arabic" w:hAnsi="Simplified Arabic" w:cs="Simplified Arabic"/>
          <w:b/>
          <w:bCs/>
          <w:sz w:val="28"/>
          <w:szCs w:val="28"/>
        </w:rPr>
      </w:pPr>
      <w:r w:rsidRPr="00261D7D">
        <w:rPr>
          <w:rFonts w:ascii="Simplified Arabic" w:hAnsi="Simplified Arabic" w:cs="Simplified Arabic"/>
          <w:b/>
          <w:bCs/>
          <w:sz w:val="28"/>
          <w:szCs w:val="28"/>
          <w:rtl/>
        </w:rPr>
        <w:t>ويرى بوهالي وبومجان (2023) أن إدارة المواهب تكتسب أهميتها من خلال</w:t>
      </w:r>
      <w:r w:rsidRPr="00261D7D">
        <w:rPr>
          <w:rFonts w:ascii="Simplified Arabic" w:hAnsi="Simplified Arabic" w:cs="Simplified Arabic"/>
          <w:b/>
          <w:bCs/>
          <w:sz w:val="28"/>
          <w:szCs w:val="28"/>
        </w:rPr>
        <w:t>:</w:t>
      </w:r>
    </w:p>
    <w:p w14:paraId="440964B5"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الأداء التنافسي للمؤسسة في السوق</w:t>
      </w:r>
      <w:r w:rsidRPr="00A37589">
        <w:rPr>
          <w:rFonts w:ascii="Simplified Arabic" w:hAnsi="Simplified Arabic" w:cs="Simplified Arabic"/>
          <w:sz w:val="28"/>
          <w:szCs w:val="28"/>
        </w:rPr>
        <w:t>.</w:t>
      </w:r>
    </w:p>
    <w:p w14:paraId="376954B6"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تحسين مستوى الإنتاجية العامة</w:t>
      </w:r>
      <w:r w:rsidRPr="00A37589">
        <w:rPr>
          <w:rFonts w:ascii="Simplified Arabic" w:hAnsi="Simplified Arabic" w:cs="Simplified Arabic"/>
          <w:sz w:val="28"/>
          <w:szCs w:val="28"/>
        </w:rPr>
        <w:t>.</w:t>
      </w:r>
    </w:p>
    <w:p w14:paraId="5EE3A59A"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ثقافة تنظيمية داعمة للتميز</w:t>
      </w:r>
      <w:r w:rsidRPr="00A37589">
        <w:rPr>
          <w:rFonts w:ascii="Simplified Arabic" w:hAnsi="Simplified Arabic" w:cs="Simplified Arabic"/>
          <w:sz w:val="28"/>
          <w:szCs w:val="28"/>
        </w:rPr>
        <w:t>.</w:t>
      </w:r>
    </w:p>
    <w:p w14:paraId="5E54FCD4"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تقليل معدلات دوران العمل بين الكفاءات المتميزة</w:t>
      </w:r>
      <w:r w:rsidRPr="00A37589">
        <w:rPr>
          <w:rFonts w:ascii="Simplified Arabic" w:hAnsi="Simplified Arabic" w:cs="Simplified Arabic"/>
          <w:sz w:val="28"/>
          <w:szCs w:val="28"/>
        </w:rPr>
        <w:t>.</w:t>
      </w:r>
    </w:p>
    <w:p w14:paraId="7D7442D4" w14:textId="52DDC7B8"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ويُضيف الكايد والبلوش (2023) أن إدارة المواهب تُسهم في تعزيز الاحتفاظ بالموظفين من خلال بناء علاقات وظيفية مستدامة معهم، وتوفير بيئة عمل تُشجعهم على البقاء والانتماء. كما يُشير</w:t>
      </w:r>
      <w:r w:rsidRPr="00A37589">
        <w:rPr>
          <w:rFonts w:ascii="Simplified Arabic" w:hAnsi="Simplified Arabic" w:cs="Simplified Arabic"/>
          <w:sz w:val="28"/>
          <w:szCs w:val="28"/>
        </w:rPr>
        <w:t xml:space="preserve"> Ro</w:t>
      </w:r>
      <w:r w:rsidRPr="00A37589">
        <w:rPr>
          <w:rFonts w:ascii="Cambria" w:hAnsi="Cambria" w:cs="Cambria"/>
          <w:sz w:val="28"/>
          <w:szCs w:val="28"/>
        </w:rPr>
        <w:t>ž</w:t>
      </w:r>
      <w:r w:rsidRPr="00A37589">
        <w:rPr>
          <w:rFonts w:ascii="Simplified Arabic" w:hAnsi="Simplified Arabic" w:cs="Simplified Arabic"/>
          <w:sz w:val="28"/>
          <w:szCs w:val="28"/>
        </w:rPr>
        <w:t xml:space="preserve">man et al.,(2022) </w:t>
      </w:r>
      <w:r w:rsidRPr="00A37589">
        <w:rPr>
          <w:rFonts w:ascii="Simplified Arabic" w:hAnsi="Simplified Arabic" w:cs="Simplified Arabic"/>
          <w:sz w:val="28"/>
          <w:szCs w:val="28"/>
          <w:rtl/>
        </w:rPr>
        <w:t>إلى أن إدارة المواهب تكتسب أهمية مضاعفة في عصر الذكاء الاصطناعي، إذ تُتيح للمنظمات توظيف التقنيات الذكية في تحسين قراراتها المتعلقة بالمواهب البشرية، وتعزيز اندماج الموظفين وأدائهم</w:t>
      </w:r>
      <w:r w:rsidRPr="00A37589">
        <w:rPr>
          <w:rFonts w:ascii="Simplified Arabic" w:hAnsi="Simplified Arabic" w:cs="Simplified Arabic"/>
          <w:sz w:val="28"/>
          <w:szCs w:val="28"/>
        </w:rPr>
        <w:t>.</w:t>
      </w:r>
    </w:p>
    <w:p w14:paraId="7034BBD8" w14:textId="3D638D29"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ويرى</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Siripipatthanakul</w:t>
      </w:r>
      <w:proofErr w:type="spellEnd"/>
      <w:r w:rsidRPr="00A37589">
        <w:rPr>
          <w:rFonts w:ascii="Simplified Arabic" w:hAnsi="Simplified Arabic" w:cs="Simplified Arabic"/>
          <w:sz w:val="28"/>
          <w:szCs w:val="28"/>
        </w:rPr>
        <w:t xml:space="preserve"> et al.,(2022) </w:t>
      </w:r>
      <w:r w:rsidRPr="00A37589">
        <w:rPr>
          <w:rFonts w:ascii="Simplified Arabic" w:hAnsi="Simplified Arabic" w:cs="Simplified Arabic"/>
          <w:sz w:val="28"/>
          <w:szCs w:val="28"/>
          <w:rtl/>
        </w:rPr>
        <w:t>أن إدارة المواهب تُشكّل ركيزة أساسية في تحقيق رضا الموظفين وتحسين أداء الأعمال في الاقتصاد الرقمي، مما يجعلها استثماراً استراتيجياً لا غنى عنه للمنظمات الطموحة</w:t>
      </w:r>
      <w:r w:rsidRPr="00A37589">
        <w:rPr>
          <w:rFonts w:ascii="Simplified Arabic" w:hAnsi="Simplified Arabic" w:cs="Simplified Arabic"/>
          <w:sz w:val="28"/>
          <w:szCs w:val="28"/>
        </w:rPr>
        <w:t>.</w:t>
      </w:r>
    </w:p>
    <w:p w14:paraId="32173EFC" w14:textId="4179A3C1" w:rsidR="00D70CB4" w:rsidRPr="00A37589" w:rsidRDefault="00D70CB4">
      <w:pPr>
        <w:pStyle w:val="a6"/>
        <w:numPr>
          <w:ilvl w:val="0"/>
          <w:numId w:val="20"/>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أهداف إدارة المواهب</w:t>
      </w:r>
    </w:p>
    <w:p w14:paraId="40D82A94"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تسعى إدارة المواهب إلى تحقيق منظومة متكاملة من الأهداف، تتوزع بين الأهداف الاستراتيجية والتشغيلية</w:t>
      </w:r>
      <w:r w:rsidRPr="00A37589">
        <w:rPr>
          <w:rFonts w:ascii="Simplified Arabic" w:hAnsi="Simplified Arabic" w:cs="Simplified Arabic"/>
          <w:sz w:val="28"/>
          <w:szCs w:val="28"/>
        </w:rPr>
        <w:t>.</w:t>
      </w:r>
    </w:p>
    <w:p w14:paraId="3FE65239" w14:textId="77777777" w:rsidR="00D70CB4" w:rsidRPr="00261D7D" w:rsidRDefault="00D70CB4" w:rsidP="00A37589">
      <w:pPr>
        <w:spacing w:before="100" w:beforeAutospacing="1" w:after="100" w:afterAutospacing="1" w:line="276" w:lineRule="auto"/>
        <w:jc w:val="both"/>
        <w:rPr>
          <w:rFonts w:ascii="Simplified Arabic" w:hAnsi="Simplified Arabic" w:cs="Simplified Arabic"/>
          <w:b/>
          <w:bCs/>
          <w:sz w:val="28"/>
          <w:szCs w:val="28"/>
        </w:rPr>
      </w:pPr>
      <w:r w:rsidRPr="00261D7D">
        <w:rPr>
          <w:rFonts w:ascii="Simplified Arabic" w:hAnsi="Simplified Arabic" w:cs="Simplified Arabic"/>
          <w:b/>
          <w:bCs/>
          <w:sz w:val="28"/>
          <w:szCs w:val="28"/>
          <w:rtl/>
        </w:rPr>
        <w:t>ويُحدّد السليحات والصوالحة (2022) أبرز أهداف إدارة المواهب فيما يلي</w:t>
      </w:r>
      <w:r w:rsidRPr="00261D7D">
        <w:rPr>
          <w:rFonts w:ascii="Simplified Arabic" w:hAnsi="Simplified Arabic" w:cs="Simplified Arabic"/>
          <w:b/>
          <w:bCs/>
          <w:sz w:val="28"/>
          <w:szCs w:val="28"/>
        </w:rPr>
        <w:t>:</w:t>
      </w:r>
    </w:p>
    <w:p w14:paraId="01ED221D"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قاعدة قوية من الكفاءات المتميزة القادرة على قيادة المنظمة نحو التميز</w:t>
      </w:r>
      <w:r w:rsidRPr="00A37589">
        <w:rPr>
          <w:rFonts w:ascii="Simplified Arabic" w:hAnsi="Simplified Arabic" w:cs="Simplified Arabic"/>
          <w:sz w:val="28"/>
          <w:szCs w:val="28"/>
        </w:rPr>
        <w:t>.</w:t>
      </w:r>
    </w:p>
    <w:p w14:paraId="01425801"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تحقيق التوجه الابتكاري داخل المنظمة من خلال توفير بيئة داعمة للإبداع</w:t>
      </w:r>
      <w:r w:rsidRPr="00A37589">
        <w:rPr>
          <w:rFonts w:ascii="Simplified Arabic" w:hAnsi="Simplified Arabic" w:cs="Simplified Arabic"/>
          <w:sz w:val="28"/>
          <w:szCs w:val="28"/>
        </w:rPr>
        <w:t>.</w:t>
      </w:r>
    </w:p>
    <w:p w14:paraId="6936CAF2"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التميز المنظمي في مختلف أبعاده</w:t>
      </w:r>
      <w:r w:rsidRPr="00A37589">
        <w:rPr>
          <w:rFonts w:ascii="Simplified Arabic" w:hAnsi="Simplified Arabic" w:cs="Simplified Arabic"/>
          <w:sz w:val="28"/>
          <w:szCs w:val="28"/>
        </w:rPr>
        <w:t>.</w:t>
      </w:r>
    </w:p>
    <w:p w14:paraId="761499AB" w14:textId="77777777" w:rsidR="00D70CB4" w:rsidRPr="00261D7D" w:rsidRDefault="00D70CB4" w:rsidP="00A37589">
      <w:pPr>
        <w:spacing w:before="100" w:beforeAutospacing="1" w:after="100" w:afterAutospacing="1" w:line="276" w:lineRule="auto"/>
        <w:jc w:val="both"/>
        <w:rPr>
          <w:rFonts w:ascii="Simplified Arabic" w:hAnsi="Simplified Arabic" w:cs="Simplified Arabic"/>
          <w:b/>
          <w:bCs/>
          <w:sz w:val="28"/>
          <w:szCs w:val="28"/>
        </w:rPr>
      </w:pPr>
      <w:r w:rsidRPr="00261D7D">
        <w:rPr>
          <w:rFonts w:ascii="Simplified Arabic" w:hAnsi="Simplified Arabic" w:cs="Simplified Arabic"/>
          <w:b/>
          <w:bCs/>
          <w:sz w:val="28"/>
          <w:szCs w:val="28"/>
          <w:rtl/>
        </w:rPr>
        <w:t>ويُضيف مرابطي وبوسنة (2023) أهدافاً أخرى تشمل</w:t>
      </w:r>
      <w:r w:rsidRPr="00261D7D">
        <w:rPr>
          <w:rFonts w:ascii="Simplified Arabic" w:hAnsi="Simplified Arabic" w:cs="Simplified Arabic"/>
          <w:b/>
          <w:bCs/>
          <w:sz w:val="28"/>
          <w:szCs w:val="28"/>
        </w:rPr>
        <w:t>:</w:t>
      </w:r>
    </w:p>
    <w:p w14:paraId="0F583A92"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ثقافة تنظيمية داعمة للكفاءات المتميزة</w:t>
      </w:r>
      <w:r w:rsidRPr="00A37589">
        <w:rPr>
          <w:rFonts w:ascii="Simplified Arabic" w:hAnsi="Simplified Arabic" w:cs="Simplified Arabic"/>
          <w:sz w:val="28"/>
          <w:szCs w:val="28"/>
        </w:rPr>
        <w:t>.</w:t>
      </w:r>
    </w:p>
    <w:p w14:paraId="46CBB9D9"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توفير مسارات وظيفية واضحة للمواهب</w:t>
      </w:r>
      <w:r w:rsidRPr="00A37589">
        <w:rPr>
          <w:rFonts w:ascii="Simplified Arabic" w:hAnsi="Simplified Arabic" w:cs="Simplified Arabic"/>
          <w:sz w:val="28"/>
          <w:szCs w:val="28"/>
        </w:rPr>
        <w:t>.</w:t>
      </w:r>
    </w:p>
    <w:p w14:paraId="10A58643" w14:textId="77777777" w:rsidR="00D70CB4" w:rsidRPr="00A37589" w:rsidRDefault="00D70CB4">
      <w:pPr>
        <w:numPr>
          <w:ilvl w:val="0"/>
          <w:numId w:val="17"/>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ولاء المواهب للمنظمة</w:t>
      </w:r>
      <w:r w:rsidRPr="00A37589">
        <w:rPr>
          <w:rFonts w:ascii="Simplified Arabic" w:hAnsi="Simplified Arabic" w:cs="Simplified Arabic"/>
          <w:sz w:val="28"/>
          <w:szCs w:val="28"/>
        </w:rPr>
        <w:t>.</w:t>
      </w:r>
    </w:p>
    <w:p w14:paraId="391C764E" w14:textId="7FD81E08"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ويرى جنة ونافع (2022) أن إدارة المواهب تستهدف تعزيز الأداء الاستراتيجي للمنظمة من خلال توظيف الكفاءات المتميزة في المواقع الاستراتيجية، وتنمية قدراتها لتلبية المتطلبات المستقبلية للمنظمة. كما يُشير</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Ekhsan</w:t>
      </w:r>
      <w:proofErr w:type="spellEnd"/>
      <w:r w:rsidRPr="00A37589">
        <w:rPr>
          <w:rFonts w:ascii="Simplified Arabic" w:hAnsi="Simplified Arabic" w:cs="Simplified Arabic"/>
          <w:sz w:val="28"/>
          <w:szCs w:val="28"/>
        </w:rPr>
        <w:t xml:space="preserve"> et al.,(2023) </w:t>
      </w:r>
      <w:r w:rsidRPr="00A37589">
        <w:rPr>
          <w:rFonts w:ascii="Simplified Arabic" w:hAnsi="Simplified Arabic" w:cs="Simplified Arabic"/>
          <w:sz w:val="28"/>
          <w:szCs w:val="28"/>
          <w:rtl/>
        </w:rPr>
        <w:t>إلى أن إدارة المواهب تستهدف تحسين أداء الموظفين من خلال تعزيز اندماجهم الوظيفي، وبناء علاقات إيجابية بينهم وبين منظماتهم</w:t>
      </w:r>
      <w:r w:rsidRPr="00A37589">
        <w:rPr>
          <w:rFonts w:ascii="Simplified Arabic" w:hAnsi="Simplified Arabic" w:cs="Simplified Arabic"/>
          <w:sz w:val="28"/>
          <w:szCs w:val="28"/>
        </w:rPr>
        <w:t>.</w:t>
      </w:r>
    </w:p>
    <w:p w14:paraId="13F3707F"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ويُضيف</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Evans-Uzosike</w:t>
      </w:r>
      <w:proofErr w:type="spellEnd"/>
      <w:r w:rsidRPr="00A37589">
        <w:rPr>
          <w:rFonts w:ascii="Simplified Arabic" w:hAnsi="Simplified Arabic" w:cs="Simplified Arabic"/>
          <w:sz w:val="28"/>
          <w:szCs w:val="28"/>
        </w:rPr>
        <w:t xml:space="preserve"> &amp; </w:t>
      </w:r>
      <w:proofErr w:type="spellStart"/>
      <w:r w:rsidRPr="00A37589">
        <w:rPr>
          <w:rFonts w:ascii="Simplified Arabic" w:hAnsi="Simplified Arabic" w:cs="Simplified Arabic"/>
          <w:sz w:val="28"/>
          <w:szCs w:val="28"/>
        </w:rPr>
        <w:t>Okatta</w:t>
      </w:r>
      <w:proofErr w:type="spellEnd"/>
      <w:r w:rsidRPr="00A37589">
        <w:rPr>
          <w:rFonts w:ascii="Simplified Arabic" w:hAnsi="Simplified Arabic" w:cs="Simplified Arabic"/>
          <w:sz w:val="28"/>
          <w:szCs w:val="28"/>
        </w:rPr>
        <w:t xml:space="preserve"> (2023) </w:t>
      </w:r>
      <w:r w:rsidRPr="00A37589">
        <w:rPr>
          <w:rFonts w:ascii="Simplified Arabic" w:hAnsi="Simplified Arabic" w:cs="Simplified Arabic"/>
          <w:sz w:val="28"/>
          <w:szCs w:val="28"/>
          <w:rtl/>
        </w:rPr>
        <w:t>أن إدارة المواهب في عصر اقتصاد المهام والعمل عن بُعد والذكاء الاصطناعي تستهدف تكييف الممارسات التقليدية مع المتغيرات الحديثة، وبناء قدرات المواهب على العمل في البيئات الافتراضية والهجينة</w:t>
      </w:r>
      <w:r w:rsidRPr="00A37589">
        <w:rPr>
          <w:rFonts w:ascii="Simplified Arabic" w:hAnsi="Simplified Arabic" w:cs="Simplified Arabic"/>
          <w:sz w:val="28"/>
          <w:szCs w:val="28"/>
        </w:rPr>
        <w:t>.</w:t>
      </w:r>
    </w:p>
    <w:p w14:paraId="7D2F69A9" w14:textId="3EAB0207" w:rsidR="00D70CB4" w:rsidRPr="00A37589" w:rsidRDefault="00D70CB4">
      <w:pPr>
        <w:pStyle w:val="a6"/>
        <w:numPr>
          <w:ilvl w:val="0"/>
          <w:numId w:val="20"/>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أبعاد إدارة المواهب</w:t>
      </w:r>
    </w:p>
    <w:p w14:paraId="1EF57B12"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تم تحديد أبعاد إدارة المواهب في الدراسة الحالية بناءً على دراسة القديمات والخشالي (2024) ودراسة الكايد والبلوش (2023)، إذ اتفقت هاتان الدراستان مع مجموعة من الأدبيات ذات الصلة على تناول إدارة المواهب من خلال أربعة أبعاد رئيسية، تُغطي دورة حياة الموهبة داخل المنظمة. وفيما يلي عرض مفصل لهذه الأبعاد</w:t>
      </w:r>
      <w:r w:rsidRPr="00A37589">
        <w:rPr>
          <w:rFonts w:ascii="Simplified Arabic" w:hAnsi="Simplified Arabic" w:cs="Simplified Arabic"/>
          <w:sz w:val="28"/>
          <w:szCs w:val="28"/>
        </w:rPr>
        <w:t>:</w:t>
      </w:r>
    </w:p>
    <w:p w14:paraId="4A7F32FC"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البُعد الأول: استقطاب المواهب</w:t>
      </w:r>
      <w:r w:rsidRPr="00A37589">
        <w:rPr>
          <w:rFonts w:ascii="Simplified Arabic" w:hAnsi="Simplified Arabic" w:cs="Simplified Arabic"/>
          <w:b/>
          <w:bCs/>
          <w:sz w:val="28"/>
          <w:szCs w:val="28"/>
        </w:rPr>
        <w:t xml:space="preserve"> (Talent Attraction)</w:t>
      </w:r>
    </w:p>
    <w:p w14:paraId="0CD3D866"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 xml:space="preserve">يُمثّل استقطاب المواهب المرحلة الأولى في دورة إدارة المواهب، ويتضمن مجموعة الأنشطة والممارسات التي تستهدف جذب الكفاءات المتميزة من سوق العمل واختيارها للانضمام إلى المنظمة. ويُشير القديمات والخشالي (2024) إلى أن استقطاب المواهب يشمل بناء العلامة التجارية للمنظمة كصاحب عمل مفضّل، والاستفادة من قنوات التوظيف المتنوعة، وتطبيق أساليب اختيار علمية دقيقة لتحديد أنسب المرشحين للوظائف. ويكتسب هذا </w:t>
      </w:r>
      <w:r w:rsidRPr="00A37589">
        <w:rPr>
          <w:rFonts w:ascii="Simplified Arabic" w:hAnsi="Simplified Arabic" w:cs="Simplified Arabic"/>
          <w:sz w:val="28"/>
          <w:szCs w:val="28"/>
          <w:rtl/>
        </w:rPr>
        <w:lastRenderedPageBreak/>
        <w:t>البُعد أهمية خاصة في الشركات التقنية الناشئة، إذ تُواجه هذه الشركات تحدياً حقيقياً في جذب المواهب التقنية النادرة في ظل التنافس المحتدم مع الشركات الكبرى</w:t>
      </w:r>
      <w:r w:rsidRPr="00A37589">
        <w:rPr>
          <w:rFonts w:ascii="Simplified Arabic" w:hAnsi="Simplified Arabic" w:cs="Simplified Arabic"/>
          <w:sz w:val="28"/>
          <w:szCs w:val="28"/>
        </w:rPr>
        <w:t>.</w:t>
      </w:r>
    </w:p>
    <w:p w14:paraId="36217548"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البُعد الثاني: تطوير المواهب</w:t>
      </w:r>
      <w:r w:rsidRPr="00A37589">
        <w:rPr>
          <w:rFonts w:ascii="Simplified Arabic" w:hAnsi="Simplified Arabic" w:cs="Simplified Arabic"/>
          <w:b/>
          <w:bCs/>
          <w:sz w:val="28"/>
          <w:szCs w:val="28"/>
        </w:rPr>
        <w:t xml:space="preserve"> (Talent Development)</w:t>
      </w:r>
    </w:p>
    <w:p w14:paraId="3C9D15C9"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يُشير تطوير المواهب إلى مجموعة الأنشطة التي تستهدف تنمية قدرات المواهب وتعزيز مهاراتها ومعارفها بما يُلبي احتياجات المنظمة الحالية والمستقبلية. ويرى السليحات والصوالحة (2022) أن تطوير المواهب يتضمن برامج التدريب المتخصصة، وبرامج الإرشاد والتوجيه، والتناوب الوظيفي، وبناء المسارات الوظيفية، وتمكين المواهب من المشاركة في المشاريع الاستراتيجية. ويُمثّل هذا البُعد استثماراً استراتيجياً في رأس المال البشري، إذ يعود بالفائدة على المنظمة والموهبة معاً، ويُعزّز من ولاء الموهبة للمنظمة التي تستثمر في تطويرها</w:t>
      </w:r>
      <w:r w:rsidRPr="00A37589">
        <w:rPr>
          <w:rFonts w:ascii="Simplified Arabic" w:hAnsi="Simplified Arabic" w:cs="Simplified Arabic"/>
          <w:sz w:val="28"/>
          <w:szCs w:val="28"/>
        </w:rPr>
        <w:t>.</w:t>
      </w:r>
    </w:p>
    <w:p w14:paraId="7159968F"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البُعد الثالث: الاحتفاظ بالمواهب</w:t>
      </w:r>
      <w:r w:rsidRPr="00A37589">
        <w:rPr>
          <w:rFonts w:ascii="Simplified Arabic" w:hAnsi="Simplified Arabic" w:cs="Simplified Arabic"/>
          <w:b/>
          <w:bCs/>
          <w:sz w:val="28"/>
          <w:szCs w:val="28"/>
        </w:rPr>
        <w:t xml:space="preserve"> (Talent Retention)</w:t>
      </w:r>
    </w:p>
    <w:p w14:paraId="14F1E449"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يُمثّل الاحتفاظ بالمواهب أحد أهم أبعاد إدارة المواهب، إذ لا يكفي استقطاب الكفاءات وتطويرها دون بذل جهود منتظمة للاحتفاظ بها. ويُشير الكايد والبلوش (2023) إلى أن الاحتفاظ بالمواهب يشمل توفير حوافز مادية ومعنوية تنافسية، وبناء بيئة عمل داعمة، وضمان التوازن بين الحياة العملية والشخصية، وتوفير فرص للنمو المهني، وتعزيز الشعور بالانتماء والتقدير. ويكتسب هذا البُعد أهمية استراتيجية بالغة، إذ إن فقدان الكفاءات المتميزة يُلحق أضراراً جسيمة بالمنظمة على المستويين التشغيلي والاستراتيجي</w:t>
      </w:r>
      <w:r w:rsidRPr="00A37589">
        <w:rPr>
          <w:rFonts w:ascii="Simplified Arabic" w:hAnsi="Simplified Arabic" w:cs="Simplified Arabic"/>
          <w:sz w:val="28"/>
          <w:szCs w:val="28"/>
        </w:rPr>
        <w:t>.</w:t>
      </w:r>
    </w:p>
    <w:p w14:paraId="1ECF9392"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البُعد الرابع: تقييم المواهب</w:t>
      </w:r>
      <w:r w:rsidRPr="00A37589">
        <w:rPr>
          <w:rFonts w:ascii="Simplified Arabic" w:hAnsi="Simplified Arabic" w:cs="Simplified Arabic"/>
          <w:b/>
          <w:bCs/>
          <w:sz w:val="28"/>
          <w:szCs w:val="28"/>
        </w:rPr>
        <w:t xml:space="preserve"> (Talent Assessment)</w:t>
      </w:r>
    </w:p>
    <w:p w14:paraId="1C5D13B8"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يُشير تقييم المواهب إلى مجموعة الأنظمة والأدوات التي تستخدمها المنظمة لقياس أداء المواهب وتحديد إمكاناتها ومساراتها المستقبلية. ويرى بوهالي وبومجان (2023) أن تقييم المواهب يتضمن تقييم الأداء الحالي، وقياس الإمكانات المستقبلية، وتحديد المسارات الوظيفية المناسبة، والتخطيط للتعاقب الوظيفي. ويُشكّل هذا البُعد قاعدة معلوماتية أساسية تُوجّه بقية ممارسات إدارة المواهب، وتضمن اتخاذ قرارات علمية دقيقة فيما يتعلق بالمواهب</w:t>
      </w:r>
      <w:r w:rsidRPr="00A37589">
        <w:rPr>
          <w:rFonts w:ascii="Simplified Arabic" w:hAnsi="Simplified Arabic" w:cs="Simplified Arabic"/>
          <w:sz w:val="28"/>
          <w:szCs w:val="28"/>
        </w:rPr>
        <w:t>.</w:t>
      </w:r>
    </w:p>
    <w:p w14:paraId="39CA3EDA" w14:textId="2878D5B3" w:rsidR="00D70CB4" w:rsidRPr="00A37589" w:rsidRDefault="00D70CB4">
      <w:pPr>
        <w:pStyle w:val="a6"/>
        <w:numPr>
          <w:ilvl w:val="0"/>
          <w:numId w:val="20"/>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مداخل إدارة المواهب</w:t>
      </w:r>
    </w:p>
    <w:p w14:paraId="1EDA1633"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تتعدد المداخل التي تتبناها المنظمات في إدارة مواهبها، وتختلف باختلاف الفلسفة الإدارية والسياق التنظيمي. ويُميّز جنة ونافع (2022) بين مدخلين رئيسيين لإدارة المواهب؛ الأول هو المدخل الشمولي</w:t>
      </w:r>
      <w:r w:rsidRPr="00A37589">
        <w:rPr>
          <w:rFonts w:ascii="Simplified Arabic" w:hAnsi="Simplified Arabic" w:cs="Simplified Arabic"/>
          <w:sz w:val="28"/>
          <w:szCs w:val="28"/>
        </w:rPr>
        <w:t xml:space="preserve"> (Inclusive Approach) </w:t>
      </w:r>
      <w:r w:rsidRPr="00A37589">
        <w:rPr>
          <w:rFonts w:ascii="Simplified Arabic" w:hAnsi="Simplified Arabic" w:cs="Simplified Arabic"/>
          <w:sz w:val="28"/>
          <w:szCs w:val="28"/>
          <w:rtl/>
        </w:rPr>
        <w:t xml:space="preserve">الذي يعتبر جميع العاملين مواهب يستحقون الرعاية والتنمية، والثاني هو المدخل </w:t>
      </w:r>
      <w:r w:rsidRPr="00A37589">
        <w:rPr>
          <w:rFonts w:ascii="Simplified Arabic" w:hAnsi="Simplified Arabic" w:cs="Simplified Arabic"/>
          <w:sz w:val="28"/>
          <w:szCs w:val="28"/>
          <w:rtl/>
        </w:rPr>
        <w:lastRenderedPageBreak/>
        <w:t>الحصري</w:t>
      </w:r>
      <w:r w:rsidRPr="00A37589">
        <w:rPr>
          <w:rFonts w:ascii="Simplified Arabic" w:hAnsi="Simplified Arabic" w:cs="Simplified Arabic"/>
          <w:sz w:val="28"/>
          <w:szCs w:val="28"/>
        </w:rPr>
        <w:t xml:space="preserve"> (Exclusive Approach) </w:t>
      </w:r>
      <w:r w:rsidRPr="00A37589">
        <w:rPr>
          <w:rFonts w:ascii="Simplified Arabic" w:hAnsi="Simplified Arabic" w:cs="Simplified Arabic"/>
          <w:sz w:val="28"/>
          <w:szCs w:val="28"/>
          <w:rtl/>
        </w:rPr>
        <w:t>الذي يُركّز على فئة محدودة من العاملين تُشكّل ما يُسمى بـ"المواهب" أو “أصحاب الإمكانات العالية</w:t>
      </w:r>
      <w:r w:rsidRPr="00A37589">
        <w:rPr>
          <w:rFonts w:ascii="Simplified Arabic" w:hAnsi="Simplified Arabic" w:cs="Simplified Arabic"/>
          <w:sz w:val="28"/>
          <w:szCs w:val="28"/>
        </w:rPr>
        <w:t>”.</w:t>
      </w:r>
    </w:p>
    <w:p w14:paraId="2F9276AC" w14:textId="43C25EE3"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كما يُميّز</w:t>
      </w:r>
      <w:r w:rsidRPr="00A37589">
        <w:rPr>
          <w:rFonts w:ascii="Simplified Arabic" w:hAnsi="Simplified Arabic" w:cs="Simplified Arabic"/>
          <w:sz w:val="28"/>
          <w:szCs w:val="28"/>
        </w:rPr>
        <w:t xml:space="preserve"> Di Prima et al.,(2024) </w:t>
      </w:r>
      <w:r w:rsidRPr="00A37589">
        <w:rPr>
          <w:rFonts w:ascii="Simplified Arabic" w:hAnsi="Simplified Arabic" w:cs="Simplified Arabic"/>
          <w:sz w:val="28"/>
          <w:szCs w:val="28"/>
          <w:rtl/>
        </w:rPr>
        <w:t>بين المدخل التقليدي والمدخل المدعوم بتحليلات البيانات، إذ يعتمد المدخل الأول على الخبرة والحدس الإداري، بينما يعتمد المدخل الثاني على البيانات والتحليلات المتقدمة في اتخاذ قرارات المواهب</w:t>
      </w:r>
      <w:r w:rsidRPr="00A37589">
        <w:rPr>
          <w:rFonts w:ascii="Simplified Arabic" w:hAnsi="Simplified Arabic" w:cs="Simplified Arabic"/>
          <w:sz w:val="28"/>
          <w:szCs w:val="28"/>
        </w:rPr>
        <w:t>.</w:t>
      </w:r>
    </w:p>
    <w:p w14:paraId="20DF7DA7" w14:textId="0619D7CF" w:rsidR="00D70CB4" w:rsidRPr="00A37589" w:rsidRDefault="00D70CB4">
      <w:pPr>
        <w:pStyle w:val="a6"/>
        <w:numPr>
          <w:ilvl w:val="0"/>
          <w:numId w:val="20"/>
        </w:numPr>
        <w:spacing w:before="100" w:beforeAutospacing="1" w:after="100" w:afterAutospacing="1" w:line="276" w:lineRule="auto"/>
        <w:ind w:left="424"/>
        <w:jc w:val="both"/>
        <w:rPr>
          <w:rFonts w:ascii="Simplified Arabic" w:hAnsi="Simplified Arabic" w:cs="Simplified Arabic"/>
          <w:b/>
          <w:bCs/>
          <w:sz w:val="28"/>
          <w:szCs w:val="28"/>
        </w:rPr>
      </w:pPr>
      <w:r w:rsidRPr="00A37589">
        <w:rPr>
          <w:rFonts w:ascii="Simplified Arabic" w:hAnsi="Simplified Arabic" w:cs="Simplified Arabic"/>
          <w:b/>
          <w:bCs/>
          <w:sz w:val="28"/>
          <w:szCs w:val="28"/>
          <w:rtl/>
        </w:rPr>
        <w:t>علاقة التحول الرقمي بإدارة المواهب</w:t>
      </w:r>
    </w:p>
    <w:p w14:paraId="38E428FD" w14:textId="007371E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تُشكّل العلاقة بين التحول الرقمي وإدارة المواهب أحد الموضوعات البحثية المعاصرة التي استقطبت اهتماماً واسعاً. ويُشير</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Gri</w:t>
      </w:r>
      <w:r w:rsidRPr="00A37589">
        <w:rPr>
          <w:rFonts w:ascii="Cambria" w:hAnsi="Cambria" w:cs="Cambria"/>
          <w:sz w:val="28"/>
          <w:szCs w:val="28"/>
        </w:rPr>
        <w:t>č</w:t>
      </w:r>
      <w:r w:rsidRPr="00A37589">
        <w:rPr>
          <w:rFonts w:ascii="Simplified Arabic" w:hAnsi="Simplified Arabic" w:cs="Simplified Arabic"/>
          <w:sz w:val="28"/>
          <w:szCs w:val="28"/>
        </w:rPr>
        <w:t>nik</w:t>
      </w:r>
      <w:proofErr w:type="spellEnd"/>
      <w:r w:rsidRPr="00A37589">
        <w:rPr>
          <w:rFonts w:ascii="Simplified Arabic" w:hAnsi="Simplified Arabic" w:cs="Simplified Arabic"/>
          <w:sz w:val="28"/>
          <w:szCs w:val="28"/>
        </w:rPr>
        <w:t xml:space="preserve"> et al.,(2024)</w:t>
      </w:r>
      <w:r w:rsidRPr="00A37589">
        <w:rPr>
          <w:rFonts w:ascii="Simplified Arabic" w:hAnsi="Simplified Arabic" w:cs="Simplified Arabic"/>
          <w:sz w:val="28"/>
          <w:szCs w:val="28"/>
          <w:rtl/>
        </w:rPr>
        <w:t>) إلى أن التحول الرقمي يُعيد تشكيل ممارسات إدارة المواهب بشكل جوهري، من خلال توفير تقنيات وأدوات ذكية تُحسّن من كفاءة عمليات الاستقطاب والتطوير والاحتفاظ والتقييم. ويُضيف</w:t>
      </w:r>
      <w:r w:rsidRPr="00A37589">
        <w:rPr>
          <w:rFonts w:ascii="Simplified Arabic" w:hAnsi="Simplified Arabic" w:cs="Simplified Arabic"/>
          <w:sz w:val="28"/>
          <w:szCs w:val="28"/>
        </w:rPr>
        <w:t xml:space="preserve"> Banerjee &amp; Sharma (2025) </w:t>
      </w:r>
      <w:r w:rsidRPr="00A37589">
        <w:rPr>
          <w:rFonts w:ascii="Simplified Arabic" w:hAnsi="Simplified Arabic" w:cs="Simplified Arabic"/>
          <w:sz w:val="28"/>
          <w:szCs w:val="28"/>
          <w:rtl/>
        </w:rPr>
        <w:t>أن الصناعة الرابعة أوجدت متطلبات جديدة لإدارة المواهب، تتعلق بضرورة تكييف الممارسات التقليدية مع المتغيرات التكنولوجية المتسارعة، وبناء قدرات المواهب في المجالات التقنية الحديثة</w:t>
      </w:r>
      <w:r w:rsidRPr="00A37589">
        <w:rPr>
          <w:rFonts w:ascii="Simplified Arabic" w:hAnsi="Simplified Arabic" w:cs="Simplified Arabic"/>
          <w:sz w:val="28"/>
          <w:szCs w:val="28"/>
        </w:rPr>
        <w:t>.</w:t>
      </w:r>
    </w:p>
    <w:p w14:paraId="24054A07" w14:textId="627C8383" w:rsidR="00D70CB4" w:rsidRDefault="00D70CB4" w:rsidP="00261D7D">
      <w:pPr>
        <w:spacing w:before="100" w:beforeAutospacing="1" w:after="100" w:afterAutospacing="1" w:line="276" w:lineRule="auto"/>
        <w:ind w:firstLine="720"/>
        <w:jc w:val="both"/>
        <w:rPr>
          <w:rFonts w:ascii="Simplified Arabic" w:hAnsi="Simplified Arabic" w:cs="Simplified Arabic"/>
          <w:sz w:val="28"/>
          <w:szCs w:val="28"/>
          <w:rtl/>
        </w:rPr>
      </w:pPr>
      <w:r w:rsidRPr="00A37589">
        <w:rPr>
          <w:rFonts w:ascii="Simplified Arabic" w:hAnsi="Simplified Arabic" w:cs="Simplified Arabic"/>
          <w:sz w:val="28"/>
          <w:szCs w:val="28"/>
          <w:rtl/>
        </w:rPr>
        <w:t>كما يُشير</w:t>
      </w:r>
      <w:r w:rsidRPr="00A37589">
        <w:rPr>
          <w:rFonts w:ascii="Simplified Arabic" w:hAnsi="Simplified Arabic" w:cs="Simplified Arabic"/>
          <w:sz w:val="28"/>
          <w:szCs w:val="28"/>
        </w:rPr>
        <w:t xml:space="preserve"> Ro</w:t>
      </w:r>
      <w:r w:rsidRPr="00A37589">
        <w:rPr>
          <w:rFonts w:ascii="Cambria" w:hAnsi="Cambria" w:cs="Cambria"/>
          <w:sz w:val="28"/>
          <w:szCs w:val="28"/>
        </w:rPr>
        <w:t>ž</w:t>
      </w:r>
      <w:r w:rsidRPr="00A37589">
        <w:rPr>
          <w:rFonts w:ascii="Simplified Arabic" w:hAnsi="Simplified Arabic" w:cs="Simplified Arabic"/>
          <w:sz w:val="28"/>
          <w:szCs w:val="28"/>
        </w:rPr>
        <w:t xml:space="preserve">man et al.,(2022) </w:t>
      </w:r>
      <w:r w:rsidRPr="00A37589">
        <w:rPr>
          <w:rFonts w:ascii="Simplified Arabic" w:hAnsi="Simplified Arabic" w:cs="Simplified Arabic"/>
          <w:sz w:val="28"/>
          <w:szCs w:val="28"/>
          <w:rtl/>
        </w:rPr>
        <w:t>إلى أن دمج الذكاء الاصطناعي في نموذج إدارة المواهب يُعزّز من فاعليتها ويُحسّن من مخرجاتها. ويرى</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Evans-Uzosike</w:t>
      </w:r>
      <w:proofErr w:type="spellEnd"/>
      <w:r w:rsidRPr="00A37589">
        <w:rPr>
          <w:rFonts w:ascii="Simplified Arabic" w:hAnsi="Simplified Arabic" w:cs="Simplified Arabic"/>
          <w:sz w:val="28"/>
          <w:szCs w:val="28"/>
        </w:rPr>
        <w:t xml:space="preserve"> &amp; </w:t>
      </w:r>
      <w:proofErr w:type="spellStart"/>
      <w:r w:rsidRPr="00A37589">
        <w:rPr>
          <w:rFonts w:ascii="Simplified Arabic" w:hAnsi="Simplified Arabic" w:cs="Simplified Arabic"/>
          <w:sz w:val="28"/>
          <w:szCs w:val="28"/>
        </w:rPr>
        <w:t>Okatta</w:t>
      </w:r>
      <w:proofErr w:type="spellEnd"/>
      <w:r w:rsidRPr="00A37589">
        <w:rPr>
          <w:rFonts w:ascii="Simplified Arabic" w:hAnsi="Simplified Arabic" w:cs="Simplified Arabic"/>
          <w:sz w:val="28"/>
          <w:szCs w:val="28"/>
        </w:rPr>
        <w:t xml:space="preserve"> (2023) </w:t>
      </w:r>
      <w:r w:rsidRPr="00A37589">
        <w:rPr>
          <w:rFonts w:ascii="Simplified Arabic" w:hAnsi="Simplified Arabic" w:cs="Simplified Arabic"/>
          <w:sz w:val="28"/>
          <w:szCs w:val="28"/>
          <w:rtl/>
        </w:rPr>
        <w:t>أن ظواهر اقتصاد المهام والعمل عن بُعد أعادت تشكيل مفهوم إدارة المواهب وممارساتها، مما يستدعي تطوير مقاربات جديدة تتناسب مع هذه التحولات</w:t>
      </w:r>
      <w:r w:rsidRPr="00A37589">
        <w:rPr>
          <w:rFonts w:ascii="Simplified Arabic" w:hAnsi="Simplified Arabic" w:cs="Simplified Arabic"/>
          <w:sz w:val="28"/>
          <w:szCs w:val="28"/>
        </w:rPr>
        <w:t>.</w:t>
      </w:r>
    </w:p>
    <w:p w14:paraId="775B1085" w14:textId="7A99E704" w:rsidR="008B1451" w:rsidRPr="00DE0524" w:rsidRDefault="008B1451" w:rsidP="008B1451">
      <w:pPr>
        <w:jc w:val="center"/>
        <w:outlineLvl w:val="1"/>
        <w:rPr>
          <w:rFonts w:ascii="Simplified Arabic" w:eastAsia="SimSun" w:hAnsi="Simplified Arabic" w:cs="Simplified Arabic"/>
          <w:b/>
          <w:bCs/>
          <w:color w:val="000000" w:themeColor="text1"/>
          <w:sz w:val="36"/>
          <w:szCs w:val="36"/>
        </w:rPr>
      </w:pPr>
      <w:bookmarkStart w:id="39" w:name="_Toc234027274"/>
      <w:bookmarkStart w:id="40" w:name="_Toc234244341"/>
      <w:bookmarkStart w:id="41" w:name="_Toc234278709"/>
      <w:r w:rsidRPr="00DE0524">
        <w:rPr>
          <w:rFonts w:ascii="Simplified Arabic" w:eastAsia="SimSun" w:hAnsi="Simplified Arabic" w:cs="Simplified Arabic"/>
          <w:b/>
          <w:bCs/>
          <w:color w:val="000000" w:themeColor="text1"/>
          <w:sz w:val="36"/>
          <w:szCs w:val="36"/>
          <w:rtl/>
        </w:rPr>
        <w:t xml:space="preserve">المبحث الثاني: </w:t>
      </w:r>
      <w:bookmarkEnd w:id="39"/>
      <w:bookmarkEnd w:id="40"/>
      <w:r w:rsidRPr="008B1451">
        <w:rPr>
          <w:rFonts w:ascii="Simplified Arabic" w:eastAsia="SimSun" w:hAnsi="Simplified Arabic" w:cs="Simplified Arabic"/>
          <w:b/>
          <w:bCs/>
          <w:color w:val="000000" w:themeColor="text1"/>
          <w:sz w:val="36"/>
          <w:szCs w:val="36"/>
          <w:rtl/>
        </w:rPr>
        <w:t>الولاء الوظيفي</w:t>
      </w:r>
      <w:bookmarkEnd w:id="41"/>
    </w:p>
    <w:p w14:paraId="7B95AAE2" w14:textId="77777777" w:rsidR="008B1451" w:rsidRPr="00DE0524" w:rsidRDefault="008B1451" w:rsidP="008B1451">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2" w:name="_Toc234027275"/>
      <w:bookmarkStart w:id="43" w:name="_Toc234244342"/>
      <w:bookmarkStart w:id="44" w:name="_Toc234278710"/>
      <w:r>
        <w:rPr>
          <w:rFonts w:ascii="Simplified Arabic" w:eastAsia="Times New Roman" w:hAnsi="Simplified Arabic" w:cs="Simplified Arabic" w:hint="cs"/>
          <w:b/>
          <w:bCs/>
          <w:kern w:val="0"/>
          <w:sz w:val="36"/>
          <w:szCs w:val="36"/>
          <w:rtl/>
          <w14:ligatures w14:val="none"/>
        </w:rPr>
        <w:t xml:space="preserve">1.2.2 </w:t>
      </w:r>
      <w:r w:rsidRPr="00DE0524">
        <w:rPr>
          <w:rFonts w:ascii="Simplified Arabic" w:eastAsia="Times New Roman" w:hAnsi="Simplified Arabic" w:cs="Simplified Arabic"/>
          <w:b/>
          <w:bCs/>
          <w:kern w:val="0"/>
          <w:sz w:val="36"/>
          <w:szCs w:val="36"/>
          <w:rtl/>
          <w14:ligatures w14:val="none"/>
        </w:rPr>
        <w:t>تمهيد</w:t>
      </w:r>
      <w:bookmarkEnd w:id="42"/>
      <w:bookmarkEnd w:id="43"/>
      <w:bookmarkEnd w:id="44"/>
    </w:p>
    <w:p w14:paraId="69B3CCB3"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 xml:space="preserve">يحتل مفهوم الولاء الوظيفي مكانة بارزة في الأدبيات الإدارية والسلوك التنظيمي، وذلك لما يُمثّله من قيمة استراتيجية للمنظمات المعاصرة التي تسعى إلى بناء علاقات مستدامة مع عامليها. فالولاء الوظيفي ليس مجرد شعور عابر أو حالة نفسية مؤقتة، بل هو نتاج تراكمي لسلسلة من التفاعلات الإيجابية بين العامل ومنظمته على المدى الطويل، ويُمثّل انعكاساً حقيقياً لجودة العلاقة التي تربطهما (تباني وبوعمامة، 2021). وفي ظل التحديات المتصاعدة التي تُواجهها المنظمات المعاصرة في الاحتفاظ بكفاءاتها، وارتفاع معدلات دوران العمل، وتنامي </w:t>
      </w:r>
      <w:r w:rsidRPr="00A37589">
        <w:rPr>
          <w:rFonts w:ascii="Simplified Arabic" w:hAnsi="Simplified Arabic" w:cs="Simplified Arabic"/>
          <w:sz w:val="28"/>
          <w:szCs w:val="28"/>
          <w:rtl/>
        </w:rPr>
        <w:lastRenderedPageBreak/>
        <w:t>ظواهر الهجرة الوظيفية، يُصبح فهم الولاء الوظيفي وعوامله المؤثرة ضرورة استراتيجية لا غنى عنها. ويسعى هذا المبحث إلى تقديم معالجة نظرية معمقة لمفهوم الولاء الوظيفي، من خلال استعراض تعريفاته وأهميته وأهدافه وأبعاده ومداخله المختلفة، وذلك بما يُشكّل أساساً نظرياً متيناً للدراسة الحالية</w:t>
      </w:r>
      <w:r w:rsidRPr="00A37589">
        <w:rPr>
          <w:rFonts w:ascii="Simplified Arabic" w:hAnsi="Simplified Arabic" w:cs="Simplified Arabic"/>
          <w:sz w:val="28"/>
          <w:szCs w:val="28"/>
        </w:rPr>
        <w:t>.</w:t>
      </w:r>
    </w:p>
    <w:p w14:paraId="505ECAD9" w14:textId="4150A076" w:rsidR="00D70CB4" w:rsidRPr="008B1451" w:rsidRDefault="00261D7D" w:rsidP="008B1451">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5" w:name="_Toc234278711"/>
      <w:r>
        <w:rPr>
          <w:rFonts w:ascii="Simplified Arabic" w:eastAsia="Times New Roman" w:hAnsi="Simplified Arabic" w:cs="Simplified Arabic" w:hint="cs"/>
          <w:b/>
          <w:bCs/>
          <w:kern w:val="0"/>
          <w:sz w:val="36"/>
          <w:szCs w:val="36"/>
          <w:rtl/>
          <w14:ligatures w14:val="none"/>
        </w:rPr>
        <w:t xml:space="preserve">2.2.2 </w:t>
      </w:r>
      <w:r w:rsidR="00D70CB4" w:rsidRPr="008B1451">
        <w:rPr>
          <w:rFonts w:ascii="Simplified Arabic" w:eastAsia="Times New Roman" w:hAnsi="Simplified Arabic" w:cs="Simplified Arabic"/>
          <w:b/>
          <w:bCs/>
          <w:kern w:val="0"/>
          <w:sz w:val="36"/>
          <w:szCs w:val="36"/>
          <w:rtl/>
          <w14:ligatures w14:val="none"/>
        </w:rPr>
        <w:t>أولاً: مفهوم الولاء الوظيفي</w:t>
      </w:r>
      <w:bookmarkEnd w:id="45"/>
    </w:p>
    <w:p w14:paraId="5F98C9A9"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يُعدّ الولاء الوظيفي من المفاهيم المتشعبة التي تناولها الباحثون من زوايا متعددة، مما أدى إلى تعدد التعريفات وتنوعها بحسب الإطار النظري الذي انطلق منه كل باحث</w:t>
      </w:r>
      <w:r w:rsidRPr="00A37589">
        <w:rPr>
          <w:rFonts w:ascii="Simplified Arabic" w:hAnsi="Simplified Arabic" w:cs="Simplified Arabic"/>
          <w:sz w:val="28"/>
          <w:szCs w:val="28"/>
        </w:rPr>
        <w:t>.</w:t>
      </w:r>
    </w:p>
    <w:p w14:paraId="037D48A4"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فيُعرّفه الحربي (2025) بأنه الارتباط النفسي والعاطفي والمعنوي بين العامل ومنظمته، الذي يتجلى في رغبته الصادقة في الاستمرار في العمل بها، وبذل الجهد لتحقيق أهدافها، وتبني قيمها ومعتقداتها، والدفاع عنها في المحافل المختلفة. ويُبرز هذا التعريف البُعد العاطفي والوجداني للولاء، ويُميّزه عن مجرد الاستمرار الظاهري في العمل</w:t>
      </w:r>
      <w:r w:rsidRPr="00A37589">
        <w:rPr>
          <w:rFonts w:ascii="Simplified Arabic" w:hAnsi="Simplified Arabic" w:cs="Simplified Arabic"/>
          <w:sz w:val="28"/>
          <w:szCs w:val="28"/>
        </w:rPr>
        <w:t>.</w:t>
      </w:r>
    </w:p>
    <w:p w14:paraId="785872CC"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ومن منظور مختلف، يرى تباني وبوعمامة (2021) أن الولاء الوظيفي يُمثّل حالة نفسية تعكس مدى ارتباط العامل بمنظمته، ورغبته في الاستمرار في العمل معها، والتفاني في تحقيق أهدافها، وهو نتاج تراكمي لمجموعة من العوامل المتفاعلة التي تشمل الرضا الوظيفي وبيئة العمل وأسلوب الإدارة. ويُقدّم السيد وجودة (2022) تعريفاً أكثر شمولاً حين يعتبران الولاء الوظيفي التزاماً نفسياً وسلوكياً يجمع بين ثلاثة أبعاد متكاملة: البُعد العاطفي المتعلق بالارتباط الوجداني، والبُعد المعياري المتعلق بالشعور بالواجب الأخلاقي، والبُعد المستمر المتعلق بالتكاليف المرتبطة بترك المنظمة</w:t>
      </w:r>
      <w:r w:rsidRPr="00A37589">
        <w:rPr>
          <w:rFonts w:ascii="Simplified Arabic" w:hAnsi="Simplified Arabic" w:cs="Simplified Arabic"/>
          <w:sz w:val="28"/>
          <w:szCs w:val="28"/>
        </w:rPr>
        <w:t>.</w:t>
      </w:r>
    </w:p>
    <w:p w14:paraId="7438F74A"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ويرى العويمر والشبلي (2023) أن الولاء الوظيفي يُمثّل انعكاساً لجودة العلاقة بين العامل ومنظمته، ونتاجاً طبيعياً لإدراك العامل لاهتمام منظمته برفاهيته وتقدير إسهاماته، فهو محصلة لمنظومة من التفاعلات الإيجابية التي تخلق لدى العامل شعوراً بالانتماء والولاء. ويُضيف القحطاني والعماري (2021) بُعداً تنموياً حين يعتبران الولاء الوظيفي نتاجاً لممارسات تنمية الموارد البشرية التي تنتهجها المنظمة، إذ تُسهم برامج التدريب والتطوير والتحفيز في بناء ولاء عالي المستوى لدى العاملين</w:t>
      </w:r>
      <w:r w:rsidRPr="00A37589">
        <w:rPr>
          <w:rFonts w:ascii="Simplified Arabic" w:hAnsi="Simplified Arabic" w:cs="Simplified Arabic"/>
          <w:sz w:val="28"/>
          <w:szCs w:val="28"/>
        </w:rPr>
        <w:t>.</w:t>
      </w:r>
    </w:p>
    <w:p w14:paraId="4873C366"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أما من المنظور الأجنبي، فيُشير</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Setiawan</w:t>
      </w:r>
      <w:proofErr w:type="spellEnd"/>
      <w:r w:rsidRPr="00A37589">
        <w:rPr>
          <w:rFonts w:ascii="Simplified Arabic" w:hAnsi="Simplified Arabic" w:cs="Simplified Arabic"/>
          <w:sz w:val="28"/>
          <w:szCs w:val="28"/>
        </w:rPr>
        <w:t xml:space="preserve"> &amp; </w:t>
      </w:r>
      <w:proofErr w:type="spellStart"/>
      <w:r w:rsidRPr="00A37589">
        <w:rPr>
          <w:rFonts w:ascii="Simplified Arabic" w:hAnsi="Simplified Arabic" w:cs="Simplified Arabic"/>
          <w:sz w:val="28"/>
          <w:szCs w:val="28"/>
        </w:rPr>
        <w:t>Wakhyuni</w:t>
      </w:r>
      <w:proofErr w:type="spellEnd"/>
      <w:r w:rsidRPr="00A37589">
        <w:rPr>
          <w:rFonts w:ascii="Simplified Arabic" w:hAnsi="Simplified Arabic" w:cs="Simplified Arabic"/>
          <w:sz w:val="28"/>
          <w:szCs w:val="28"/>
        </w:rPr>
        <w:t xml:space="preserve"> (2025) </w:t>
      </w:r>
      <w:r w:rsidRPr="00A37589">
        <w:rPr>
          <w:rFonts w:ascii="Simplified Arabic" w:hAnsi="Simplified Arabic" w:cs="Simplified Arabic"/>
          <w:sz w:val="28"/>
          <w:szCs w:val="28"/>
          <w:rtl/>
        </w:rPr>
        <w:t>إلى أن الولاء الوظيفي في العصر الرقمي يكتسب أبعاداً جديدة، إذ لم يعد مجرد ارتباط مادي بالمنظمة، بل أصبح يشمل الارتباط الافتراضي والعاطفي والقيمي، ويُشكّل عاملاً حاسماً في تقليل نية ترك العمل والحد من ظاهرة دوران العاملين</w:t>
      </w:r>
      <w:r w:rsidRPr="00A37589">
        <w:rPr>
          <w:rFonts w:ascii="Simplified Arabic" w:hAnsi="Simplified Arabic" w:cs="Simplified Arabic"/>
          <w:sz w:val="28"/>
          <w:szCs w:val="28"/>
        </w:rPr>
        <w:t>.</w:t>
      </w:r>
    </w:p>
    <w:p w14:paraId="1C1C0117"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ومن خلال ما تقدم، يرى الباحث أن الولاء الوظيفي يُمكن تعريفه إجرائياً بأنه: “حالة نفسية وسلوكية متكاملة تعكس ارتباط العاملين في الشركات التقنية الناشئة بالمملكة العربية السعودية بمنظماتهم عاطفياً ومعيارياً ومصلحياً، وتتجلى في رغبتهم الصادقة في الاستمرار في العمل بها، وبذل الجهد لتحقيق أهدافها، وتبني قيمها ومعتقداتها، والدفاع عنها، كنتاج طبيعي لجودة العلاقة التبادلية بينهم وبين منظماتهم</w:t>
      </w:r>
      <w:r w:rsidRPr="00A37589">
        <w:rPr>
          <w:rFonts w:ascii="Simplified Arabic" w:hAnsi="Simplified Arabic" w:cs="Simplified Arabic"/>
          <w:sz w:val="28"/>
          <w:szCs w:val="28"/>
        </w:rPr>
        <w:t>”.</w:t>
      </w:r>
    </w:p>
    <w:p w14:paraId="548C882D" w14:textId="3F9DDC81" w:rsidR="00D70CB4" w:rsidRPr="008B1451" w:rsidRDefault="00261D7D" w:rsidP="008B1451">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6" w:name="_Toc234278712"/>
      <w:r>
        <w:rPr>
          <w:rFonts w:ascii="Simplified Arabic" w:eastAsia="Times New Roman" w:hAnsi="Simplified Arabic" w:cs="Simplified Arabic" w:hint="cs"/>
          <w:b/>
          <w:bCs/>
          <w:kern w:val="0"/>
          <w:sz w:val="36"/>
          <w:szCs w:val="36"/>
          <w:rtl/>
          <w14:ligatures w14:val="none"/>
        </w:rPr>
        <w:t xml:space="preserve">3.2.2 </w:t>
      </w:r>
      <w:r w:rsidR="00D70CB4" w:rsidRPr="008B1451">
        <w:rPr>
          <w:rFonts w:ascii="Simplified Arabic" w:eastAsia="Times New Roman" w:hAnsi="Simplified Arabic" w:cs="Simplified Arabic"/>
          <w:b/>
          <w:bCs/>
          <w:kern w:val="0"/>
          <w:sz w:val="36"/>
          <w:szCs w:val="36"/>
          <w:rtl/>
          <w14:ligatures w14:val="none"/>
        </w:rPr>
        <w:t>ثانياً: أهمية الولاء الوظيفي</w:t>
      </w:r>
      <w:bookmarkEnd w:id="46"/>
    </w:p>
    <w:p w14:paraId="2E51189D" w14:textId="77777777" w:rsidR="00D70CB4" w:rsidRPr="00A37589" w:rsidRDefault="00D70CB4" w:rsidP="00261D7D">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تنبع أهمية الولاء الوظيفي من كونه يُشكّل أحد أبرز المحددات الاستراتيجية لنجاح المنظمات المعاصرة واستدامتها، وذلك في ظل التحديات المتصاعدة التي تُواجهها في الاحتفاظ بكفاءاتها وتحقيق أهدافها</w:t>
      </w:r>
      <w:r w:rsidRPr="00A37589">
        <w:rPr>
          <w:rFonts w:ascii="Simplified Arabic" w:hAnsi="Simplified Arabic" w:cs="Simplified Arabic"/>
          <w:sz w:val="28"/>
          <w:szCs w:val="28"/>
        </w:rPr>
        <w:t>.</w:t>
      </w:r>
    </w:p>
    <w:p w14:paraId="782A18F2"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ويُشير الحربي (2025) إلى أن أهمية الولاء الوظيفي تكمن في</w:t>
      </w:r>
      <w:r w:rsidRPr="00A37589">
        <w:rPr>
          <w:rFonts w:ascii="Simplified Arabic" w:hAnsi="Simplified Arabic" w:cs="Simplified Arabic"/>
          <w:sz w:val="28"/>
          <w:szCs w:val="28"/>
        </w:rPr>
        <w:t>:</w:t>
      </w:r>
    </w:p>
    <w:p w14:paraId="020BFAEC"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الأداء الوظيفي للعاملين وتحسين إنتاجيتهم</w:t>
      </w:r>
      <w:r w:rsidRPr="00A37589">
        <w:rPr>
          <w:rFonts w:ascii="Simplified Arabic" w:hAnsi="Simplified Arabic" w:cs="Simplified Arabic"/>
          <w:sz w:val="28"/>
          <w:szCs w:val="28"/>
        </w:rPr>
        <w:t>.</w:t>
      </w:r>
    </w:p>
    <w:p w14:paraId="20A5DEB7"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تقليل معدلات التغيب والتأخر عن العمل</w:t>
      </w:r>
      <w:r w:rsidRPr="00A37589">
        <w:rPr>
          <w:rFonts w:ascii="Simplified Arabic" w:hAnsi="Simplified Arabic" w:cs="Simplified Arabic"/>
          <w:sz w:val="28"/>
          <w:szCs w:val="28"/>
        </w:rPr>
        <w:t>.</w:t>
      </w:r>
    </w:p>
    <w:p w14:paraId="165DE80E"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خفض معدلات دوران العمل والحد من التكاليف المرتبطة بها</w:t>
      </w:r>
      <w:r w:rsidRPr="00A37589">
        <w:rPr>
          <w:rFonts w:ascii="Simplified Arabic" w:hAnsi="Simplified Arabic" w:cs="Simplified Arabic"/>
          <w:sz w:val="28"/>
          <w:szCs w:val="28"/>
        </w:rPr>
        <w:t>.</w:t>
      </w:r>
    </w:p>
    <w:p w14:paraId="2B9C15D6"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استقرار وظيفي يُتيح التخطيط طويل المدى للمنظمة</w:t>
      </w:r>
      <w:r w:rsidRPr="00A37589">
        <w:rPr>
          <w:rFonts w:ascii="Simplified Arabic" w:hAnsi="Simplified Arabic" w:cs="Simplified Arabic"/>
          <w:sz w:val="28"/>
          <w:szCs w:val="28"/>
        </w:rPr>
        <w:t>.</w:t>
      </w:r>
    </w:p>
    <w:p w14:paraId="1DFE87CA"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جودة الخدمات والمنتجات المُقدّمة للعملاء</w:t>
      </w:r>
      <w:r w:rsidRPr="00A37589">
        <w:rPr>
          <w:rFonts w:ascii="Simplified Arabic" w:hAnsi="Simplified Arabic" w:cs="Simplified Arabic"/>
          <w:sz w:val="28"/>
          <w:szCs w:val="28"/>
        </w:rPr>
        <w:t>.</w:t>
      </w:r>
    </w:p>
    <w:p w14:paraId="48AC0A14" w14:textId="77777777" w:rsidR="00D70CB4" w:rsidRPr="00261D7D" w:rsidRDefault="00D70CB4" w:rsidP="00A37589">
      <w:pPr>
        <w:spacing w:before="100" w:beforeAutospacing="1" w:after="100" w:afterAutospacing="1" w:line="276" w:lineRule="auto"/>
        <w:jc w:val="both"/>
        <w:rPr>
          <w:rFonts w:ascii="Simplified Arabic" w:hAnsi="Simplified Arabic" w:cs="Simplified Arabic"/>
          <w:b/>
          <w:bCs/>
          <w:sz w:val="28"/>
          <w:szCs w:val="28"/>
        </w:rPr>
      </w:pPr>
      <w:r w:rsidRPr="00261D7D">
        <w:rPr>
          <w:rFonts w:ascii="Simplified Arabic" w:hAnsi="Simplified Arabic" w:cs="Simplified Arabic"/>
          <w:b/>
          <w:bCs/>
          <w:sz w:val="28"/>
          <w:szCs w:val="28"/>
          <w:rtl/>
        </w:rPr>
        <w:t>ويرى تباني وبوعمامة (2021) أن الولاء الوظيفي يكتسب أهميته من خلال</w:t>
      </w:r>
      <w:r w:rsidRPr="00261D7D">
        <w:rPr>
          <w:rFonts w:ascii="Simplified Arabic" w:hAnsi="Simplified Arabic" w:cs="Simplified Arabic"/>
          <w:b/>
          <w:bCs/>
          <w:sz w:val="28"/>
          <w:szCs w:val="28"/>
        </w:rPr>
        <w:t>:</w:t>
      </w:r>
    </w:p>
    <w:p w14:paraId="0B0B75DD"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الرضا الوظيفي لدى العاملين</w:t>
      </w:r>
      <w:r w:rsidRPr="00A37589">
        <w:rPr>
          <w:rFonts w:ascii="Simplified Arabic" w:hAnsi="Simplified Arabic" w:cs="Simplified Arabic"/>
          <w:sz w:val="28"/>
          <w:szCs w:val="28"/>
        </w:rPr>
        <w:t>.</w:t>
      </w:r>
    </w:p>
    <w:p w14:paraId="51B55588"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علاقات إيجابية بين الإدارة والعاملين</w:t>
      </w:r>
      <w:r w:rsidRPr="00A37589">
        <w:rPr>
          <w:rFonts w:ascii="Simplified Arabic" w:hAnsi="Simplified Arabic" w:cs="Simplified Arabic"/>
          <w:sz w:val="28"/>
          <w:szCs w:val="28"/>
        </w:rPr>
        <w:t>.</w:t>
      </w:r>
    </w:p>
    <w:p w14:paraId="349F2FBA"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تكوين مناخ تنظيمي داعم للإنجاز</w:t>
      </w:r>
      <w:r w:rsidRPr="00A37589">
        <w:rPr>
          <w:rFonts w:ascii="Simplified Arabic" w:hAnsi="Simplified Arabic" w:cs="Simplified Arabic"/>
          <w:sz w:val="28"/>
          <w:szCs w:val="28"/>
        </w:rPr>
        <w:t>.</w:t>
      </w:r>
    </w:p>
    <w:p w14:paraId="59F6CCEF"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تحسين الصورة الذهنية للمنظمة لدى العاملين المحتملين</w:t>
      </w:r>
      <w:r w:rsidRPr="00A37589">
        <w:rPr>
          <w:rFonts w:ascii="Simplified Arabic" w:hAnsi="Simplified Arabic" w:cs="Simplified Arabic"/>
          <w:sz w:val="28"/>
          <w:szCs w:val="28"/>
        </w:rPr>
        <w:t>.</w:t>
      </w:r>
    </w:p>
    <w:p w14:paraId="6C20C8E9"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المساهمة في بناء ثقافة تنظيمية إيجابية</w:t>
      </w:r>
      <w:r w:rsidRPr="00A37589">
        <w:rPr>
          <w:rFonts w:ascii="Simplified Arabic" w:hAnsi="Simplified Arabic" w:cs="Simplified Arabic"/>
          <w:sz w:val="28"/>
          <w:szCs w:val="28"/>
        </w:rPr>
        <w:t>.</w:t>
      </w:r>
    </w:p>
    <w:p w14:paraId="40C8758D"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ويُضيف السيد وجودة (2022) أن الولاء الوظيفي يُشكّل خط الدفاع الأول للمنظمة في مواجهة التحديات، إذ إن العاملين ذوي الولاء العالي يُقدّمون ما يفوق المتوقع منهم في الأوقات الصعبة، ويتحملون الضغوط ويتغلبون على العقبات بدافع من انتمائهم للمنظمة. كما يُشير القحطاني والعماري (2021) إلى أن الولاء الوظيفي يُمثّل ثمرة لممارسات تنمية الموارد البشرية الفعّالة، ودليلاً على نجاح المنظمة في بناء علاقات متينة مع عامليها</w:t>
      </w:r>
      <w:r w:rsidRPr="00A37589">
        <w:rPr>
          <w:rFonts w:ascii="Simplified Arabic" w:hAnsi="Simplified Arabic" w:cs="Simplified Arabic"/>
          <w:sz w:val="28"/>
          <w:szCs w:val="28"/>
        </w:rPr>
        <w:t>.</w:t>
      </w:r>
    </w:p>
    <w:p w14:paraId="65527311"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ويرى العويمر والشبلي (2023) أن الولاء الوظيفي يكتسب أهمية مضاعفة في ظل تنامي الاهتمام برفاهية الموظفين، إذ يُشكّل مؤشراً حقيقياً على مدى نجاح المنظمة في توفير بيئة عمل داعمة لعامليها. ويُضيف</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Setiawan</w:t>
      </w:r>
      <w:proofErr w:type="spellEnd"/>
      <w:r w:rsidRPr="00A37589">
        <w:rPr>
          <w:rFonts w:ascii="Simplified Arabic" w:hAnsi="Simplified Arabic" w:cs="Simplified Arabic"/>
          <w:sz w:val="28"/>
          <w:szCs w:val="28"/>
        </w:rPr>
        <w:t xml:space="preserve"> &amp; </w:t>
      </w:r>
      <w:proofErr w:type="spellStart"/>
      <w:r w:rsidRPr="00A37589">
        <w:rPr>
          <w:rFonts w:ascii="Simplified Arabic" w:hAnsi="Simplified Arabic" w:cs="Simplified Arabic"/>
          <w:sz w:val="28"/>
          <w:szCs w:val="28"/>
        </w:rPr>
        <w:t>Wakhyuni</w:t>
      </w:r>
      <w:proofErr w:type="spellEnd"/>
      <w:r w:rsidRPr="00A37589">
        <w:rPr>
          <w:rFonts w:ascii="Simplified Arabic" w:hAnsi="Simplified Arabic" w:cs="Simplified Arabic"/>
          <w:sz w:val="28"/>
          <w:szCs w:val="28"/>
        </w:rPr>
        <w:t xml:space="preserve"> (2025) </w:t>
      </w:r>
      <w:r w:rsidRPr="00A37589">
        <w:rPr>
          <w:rFonts w:ascii="Simplified Arabic" w:hAnsi="Simplified Arabic" w:cs="Simplified Arabic"/>
          <w:sz w:val="28"/>
          <w:szCs w:val="28"/>
          <w:rtl/>
        </w:rPr>
        <w:t>أن أهمية الولاء الوظيفي في العصر الرقمي تتجلى في دوره الحاسم في الحد من نية ترك العمل، لا سيما في القطاعات التي تشهد تنافساً محتدماً على الكفاءات</w:t>
      </w:r>
      <w:r w:rsidRPr="00A37589">
        <w:rPr>
          <w:rFonts w:ascii="Simplified Arabic" w:hAnsi="Simplified Arabic" w:cs="Simplified Arabic"/>
          <w:sz w:val="28"/>
          <w:szCs w:val="28"/>
        </w:rPr>
        <w:t>.</w:t>
      </w:r>
    </w:p>
    <w:p w14:paraId="781E228E" w14:textId="6FE69D5A" w:rsidR="00D70CB4" w:rsidRPr="008B1451" w:rsidRDefault="00261D7D" w:rsidP="008B1451">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7" w:name="_Toc234278713"/>
      <w:r>
        <w:rPr>
          <w:rFonts w:ascii="Simplified Arabic" w:eastAsia="Times New Roman" w:hAnsi="Simplified Arabic" w:cs="Simplified Arabic" w:hint="cs"/>
          <w:b/>
          <w:bCs/>
          <w:kern w:val="0"/>
          <w:sz w:val="36"/>
          <w:szCs w:val="36"/>
          <w:rtl/>
          <w14:ligatures w14:val="none"/>
        </w:rPr>
        <w:t xml:space="preserve">4.2.2 </w:t>
      </w:r>
      <w:r w:rsidR="00D70CB4" w:rsidRPr="008B1451">
        <w:rPr>
          <w:rFonts w:ascii="Simplified Arabic" w:eastAsia="Times New Roman" w:hAnsi="Simplified Arabic" w:cs="Simplified Arabic"/>
          <w:b/>
          <w:bCs/>
          <w:kern w:val="0"/>
          <w:sz w:val="36"/>
          <w:szCs w:val="36"/>
          <w:rtl/>
          <w14:ligatures w14:val="none"/>
        </w:rPr>
        <w:t>ثالثاً: أهداف الولاء الوظيفي</w:t>
      </w:r>
      <w:bookmarkEnd w:id="47"/>
    </w:p>
    <w:p w14:paraId="37208F95"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يسعى بناء الولاء الوظيفي في المنظمات المعاصرة إلى تحقيق منظومة متكاملة من الأهداف الاستراتيجية والتشغيلية، تتجاوز مجرد الاحتفاظ بالعاملين إلى تحقيق قيمة مضافة استراتيجية للمنظمة</w:t>
      </w:r>
      <w:r w:rsidRPr="00A37589">
        <w:rPr>
          <w:rFonts w:ascii="Simplified Arabic" w:hAnsi="Simplified Arabic" w:cs="Simplified Arabic"/>
          <w:sz w:val="28"/>
          <w:szCs w:val="28"/>
        </w:rPr>
        <w:t>.</w:t>
      </w:r>
    </w:p>
    <w:p w14:paraId="7731137A"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ويُحدّد الحربي (2025) أبرز أهداف الولاء الوظيفي فيما يلي</w:t>
      </w:r>
      <w:r w:rsidRPr="00A37589">
        <w:rPr>
          <w:rFonts w:ascii="Simplified Arabic" w:hAnsi="Simplified Arabic" w:cs="Simplified Arabic"/>
          <w:sz w:val="28"/>
          <w:szCs w:val="28"/>
        </w:rPr>
        <w:t>:</w:t>
      </w:r>
    </w:p>
    <w:p w14:paraId="30C5330C"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الأداء الوظيفي للعاملين في مختلف المستويات</w:t>
      </w:r>
      <w:r w:rsidRPr="00A37589">
        <w:rPr>
          <w:rFonts w:ascii="Simplified Arabic" w:hAnsi="Simplified Arabic" w:cs="Simplified Arabic"/>
          <w:sz w:val="28"/>
          <w:szCs w:val="28"/>
        </w:rPr>
        <w:t>.</w:t>
      </w:r>
    </w:p>
    <w:p w14:paraId="1844136D"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علاقات وظيفية مستدامة بين العامل والمنظمة</w:t>
      </w:r>
      <w:r w:rsidRPr="00A37589">
        <w:rPr>
          <w:rFonts w:ascii="Simplified Arabic" w:hAnsi="Simplified Arabic" w:cs="Simplified Arabic"/>
          <w:sz w:val="28"/>
          <w:szCs w:val="28"/>
        </w:rPr>
        <w:t>.</w:t>
      </w:r>
    </w:p>
    <w:p w14:paraId="06A9FBB1"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تحقيق التوافق بين أهداف العاملين وأهداف المنظمة</w:t>
      </w:r>
      <w:r w:rsidRPr="00A37589">
        <w:rPr>
          <w:rFonts w:ascii="Simplified Arabic" w:hAnsi="Simplified Arabic" w:cs="Simplified Arabic"/>
          <w:sz w:val="28"/>
          <w:szCs w:val="28"/>
        </w:rPr>
        <w:t>.</w:t>
      </w:r>
    </w:p>
    <w:p w14:paraId="42296687" w14:textId="77777777" w:rsidR="00D70CB4" w:rsidRPr="008B1451" w:rsidRDefault="00D70CB4" w:rsidP="00A37589">
      <w:pPr>
        <w:spacing w:before="100" w:beforeAutospacing="1" w:after="100" w:afterAutospacing="1" w:line="276" w:lineRule="auto"/>
        <w:jc w:val="both"/>
        <w:rPr>
          <w:rFonts w:ascii="Simplified Arabic" w:hAnsi="Simplified Arabic" w:cs="Simplified Arabic"/>
          <w:b/>
          <w:bCs/>
          <w:sz w:val="28"/>
          <w:szCs w:val="28"/>
        </w:rPr>
      </w:pPr>
      <w:r w:rsidRPr="008B1451">
        <w:rPr>
          <w:rFonts w:ascii="Simplified Arabic" w:hAnsi="Simplified Arabic" w:cs="Simplified Arabic"/>
          <w:b/>
          <w:bCs/>
          <w:sz w:val="28"/>
          <w:szCs w:val="28"/>
          <w:rtl/>
        </w:rPr>
        <w:t>ويُضيف تباني وبوعمامة (2021) أهدافاً أخرى تشمل</w:t>
      </w:r>
      <w:r w:rsidRPr="008B1451">
        <w:rPr>
          <w:rFonts w:ascii="Simplified Arabic" w:hAnsi="Simplified Arabic" w:cs="Simplified Arabic"/>
          <w:b/>
          <w:bCs/>
          <w:sz w:val="28"/>
          <w:szCs w:val="28"/>
        </w:rPr>
        <w:t>:</w:t>
      </w:r>
    </w:p>
    <w:p w14:paraId="494F2FD8"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تعزيز الرضا الوظيفي بوصفه عاملاً مرتبطاً بالولاء التنظيمي</w:t>
      </w:r>
      <w:r w:rsidRPr="00A37589">
        <w:rPr>
          <w:rFonts w:ascii="Simplified Arabic" w:hAnsi="Simplified Arabic" w:cs="Simplified Arabic"/>
          <w:sz w:val="28"/>
          <w:szCs w:val="28"/>
        </w:rPr>
        <w:t>.</w:t>
      </w:r>
    </w:p>
    <w:p w14:paraId="7DEB5366"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بناء بيئة عمل صحية تُشجع على الانتماء</w:t>
      </w:r>
      <w:r w:rsidRPr="00A37589">
        <w:rPr>
          <w:rFonts w:ascii="Simplified Arabic" w:hAnsi="Simplified Arabic" w:cs="Simplified Arabic"/>
          <w:sz w:val="28"/>
          <w:szCs w:val="28"/>
        </w:rPr>
        <w:t>.</w:t>
      </w:r>
    </w:p>
    <w:p w14:paraId="47EB5967"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تنمية الشعور بالمسؤولية والالتزام لدى العاملين</w:t>
      </w:r>
      <w:r w:rsidRPr="00A37589">
        <w:rPr>
          <w:rFonts w:ascii="Simplified Arabic" w:hAnsi="Simplified Arabic" w:cs="Simplified Arabic"/>
          <w:sz w:val="28"/>
          <w:szCs w:val="28"/>
        </w:rPr>
        <w:t>.</w:t>
      </w:r>
    </w:p>
    <w:p w14:paraId="2AD1AD3F" w14:textId="77777777" w:rsidR="00D70CB4" w:rsidRPr="008B1451" w:rsidRDefault="00D70CB4" w:rsidP="00A37589">
      <w:pPr>
        <w:spacing w:before="100" w:beforeAutospacing="1" w:after="100" w:afterAutospacing="1" w:line="276" w:lineRule="auto"/>
        <w:jc w:val="both"/>
        <w:rPr>
          <w:rFonts w:ascii="Simplified Arabic" w:hAnsi="Simplified Arabic" w:cs="Simplified Arabic"/>
          <w:b/>
          <w:bCs/>
          <w:sz w:val="28"/>
          <w:szCs w:val="28"/>
        </w:rPr>
      </w:pPr>
      <w:r w:rsidRPr="008B1451">
        <w:rPr>
          <w:rFonts w:ascii="Simplified Arabic" w:hAnsi="Simplified Arabic" w:cs="Simplified Arabic"/>
          <w:b/>
          <w:bCs/>
          <w:sz w:val="28"/>
          <w:szCs w:val="28"/>
          <w:rtl/>
        </w:rPr>
        <w:t>ويرى السيد وجودة (2022) أن بناء الولاء الوظيفي يستهدف</w:t>
      </w:r>
      <w:r w:rsidRPr="008B1451">
        <w:rPr>
          <w:rFonts w:ascii="Simplified Arabic" w:hAnsi="Simplified Arabic" w:cs="Simplified Arabic"/>
          <w:b/>
          <w:bCs/>
          <w:sz w:val="28"/>
          <w:szCs w:val="28"/>
        </w:rPr>
        <w:t>:</w:t>
      </w:r>
    </w:p>
    <w:p w14:paraId="48F001C8"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الحد من مصادر الإحباط الوظيفي التي تُضعف الولاء</w:t>
      </w:r>
      <w:r w:rsidRPr="00A37589">
        <w:rPr>
          <w:rFonts w:ascii="Simplified Arabic" w:hAnsi="Simplified Arabic" w:cs="Simplified Arabic"/>
          <w:sz w:val="28"/>
          <w:szCs w:val="28"/>
        </w:rPr>
        <w:t>.</w:t>
      </w:r>
    </w:p>
    <w:p w14:paraId="3A8142D4"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t>توفير بيئة عمل داعمة تحول دون تسرب العاملين</w:t>
      </w:r>
      <w:r w:rsidRPr="00A37589">
        <w:rPr>
          <w:rFonts w:ascii="Simplified Arabic" w:hAnsi="Simplified Arabic" w:cs="Simplified Arabic"/>
          <w:sz w:val="28"/>
          <w:szCs w:val="28"/>
        </w:rPr>
        <w:t>.</w:t>
      </w:r>
    </w:p>
    <w:p w14:paraId="0BED8B72" w14:textId="77777777" w:rsidR="00D70CB4" w:rsidRPr="00A37589" w:rsidRDefault="00D70CB4">
      <w:pPr>
        <w:numPr>
          <w:ilvl w:val="0"/>
          <w:numId w:val="16"/>
        </w:num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تعزيز الاستقرار الوظيفي</w:t>
      </w:r>
      <w:r w:rsidRPr="00A37589">
        <w:rPr>
          <w:rFonts w:ascii="Simplified Arabic" w:hAnsi="Simplified Arabic" w:cs="Simplified Arabic"/>
          <w:sz w:val="28"/>
          <w:szCs w:val="28"/>
        </w:rPr>
        <w:t>.</w:t>
      </w:r>
    </w:p>
    <w:p w14:paraId="330B5262"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ويُشير العويمر والشبلي (2023) إلى أن بناء الولاء الوظيفي يستهدف تعزيز رفاهية الموظفين بأبعادها المختلفة النفسية والجسدية والاجتماعية والمالية، مما ينعكس إيجاباً على مستوى ارتباطهم بمنظماتهم. كما يُضيف القحطاني والعماري (2021) أن الولاء الوظيفي يستهدف تحقيق العائد الاستثماري من برامج تنمية الموارد البشرية، إذ إن المنظمات التي تستثمر في تنمية عامليها تسعى إلى الاحتفاظ بهم وتعظيم الاستفادة من هذا الاستثمار</w:t>
      </w:r>
      <w:r w:rsidRPr="00A37589">
        <w:rPr>
          <w:rFonts w:ascii="Simplified Arabic" w:hAnsi="Simplified Arabic" w:cs="Simplified Arabic"/>
          <w:sz w:val="28"/>
          <w:szCs w:val="28"/>
        </w:rPr>
        <w:t>.</w:t>
      </w:r>
    </w:p>
    <w:p w14:paraId="23613B96" w14:textId="1FDD63D7" w:rsidR="00D70CB4" w:rsidRPr="008B1451" w:rsidRDefault="00261D7D" w:rsidP="008B1451">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8" w:name="_Toc234278714"/>
      <w:r>
        <w:rPr>
          <w:rFonts w:ascii="Simplified Arabic" w:eastAsia="Times New Roman" w:hAnsi="Simplified Arabic" w:cs="Simplified Arabic" w:hint="cs"/>
          <w:b/>
          <w:bCs/>
          <w:kern w:val="0"/>
          <w:sz w:val="36"/>
          <w:szCs w:val="36"/>
          <w:rtl/>
          <w14:ligatures w14:val="none"/>
        </w:rPr>
        <w:t xml:space="preserve">5.2.2 </w:t>
      </w:r>
      <w:r w:rsidR="00D70CB4" w:rsidRPr="008B1451">
        <w:rPr>
          <w:rFonts w:ascii="Simplified Arabic" w:eastAsia="Times New Roman" w:hAnsi="Simplified Arabic" w:cs="Simplified Arabic"/>
          <w:b/>
          <w:bCs/>
          <w:kern w:val="0"/>
          <w:sz w:val="36"/>
          <w:szCs w:val="36"/>
          <w:rtl/>
          <w14:ligatures w14:val="none"/>
        </w:rPr>
        <w:t>رابعاً: أبعاد الولاء الوظيفي</w:t>
      </w:r>
      <w:bookmarkEnd w:id="48"/>
    </w:p>
    <w:p w14:paraId="64379F70"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تناولت الأدبيات الإدارية الولاء الوظيفي من زوايا متعددة، وقدّمت له تصنيفات مختلفة بحسب الإطار النظري لكل باحث. وفي الدراسة الحالية، سوف يُعامل الولاء الوظيفي بوصفه محوراً أحادياً متكاملاً يُقاس من خلال منظومة من الفقرات التي تُغطي جوانبه المختلفة، وذلك بناءً على الرؤية الشمولية التي تبناها الحربي (2025) والسيد وجودة (2022)، اللذان نظرا إلى الولاء الوظيفي بوصفه بناءً متكاملاً لا يُمكن فصل مكوناته عن بعضها البعض في السياق التطبيقي</w:t>
      </w:r>
      <w:r w:rsidRPr="00A37589">
        <w:rPr>
          <w:rFonts w:ascii="Simplified Arabic" w:hAnsi="Simplified Arabic" w:cs="Simplified Arabic"/>
          <w:sz w:val="28"/>
          <w:szCs w:val="28"/>
        </w:rPr>
        <w:t>.</w:t>
      </w:r>
    </w:p>
    <w:p w14:paraId="44EC837F"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ومع ذلك، تجدر الإشارة إلى أن الأدبيات النظرية قدّمت تصنيفات نظرية لأبعاد الولاء الوظيفي يُستفاد منها في بناء الفقرات التي تقيس هذا المتغير، ومن أبرزها التصنيف الذي أشار إليه السيد وجودة (2022) والذي يتضمن ثلاثة أبعاد نظرية متكاملة تُشكّل الأساس المفاهيمي للولاء الوظيفي</w:t>
      </w:r>
      <w:r w:rsidRPr="00A37589">
        <w:rPr>
          <w:rFonts w:ascii="Simplified Arabic" w:hAnsi="Simplified Arabic" w:cs="Simplified Arabic"/>
          <w:sz w:val="28"/>
          <w:szCs w:val="28"/>
        </w:rPr>
        <w:t>:</w:t>
      </w:r>
    </w:p>
    <w:p w14:paraId="407D89FC"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الجانب الأول: الولاء العاطفي</w:t>
      </w:r>
      <w:r w:rsidRPr="00A37589">
        <w:rPr>
          <w:rFonts w:ascii="Simplified Arabic" w:hAnsi="Simplified Arabic" w:cs="Simplified Arabic"/>
          <w:b/>
          <w:bCs/>
          <w:sz w:val="28"/>
          <w:szCs w:val="28"/>
        </w:rPr>
        <w:t xml:space="preserve"> (Affective Loyalty)</w:t>
      </w:r>
    </w:p>
    <w:p w14:paraId="2B236323"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يُشير هذا الجانب إلى الارتباط الوجداني للعامل بمنظمته، ورغبته الحقيقية في الاستمرار فيها لأنه يُريد ذلك، لا لأنه مضطر إليه. ويُمثّل الولاء العاطفي أعمق أشكال الولاء وأقواها، إذ يقوم على انسجام قيمي وثقافي بين العامل ومنظمته. ويُشير الحربي (2025) إلى أن الولاء العاطفي يتجلى في مشاعر الفخر بالانتماء للمنظمة، والحماس للعمل بها، والاستعداد لبذل جهد إضافي من أجل تحقيق أهدافها</w:t>
      </w:r>
      <w:r w:rsidRPr="00A37589">
        <w:rPr>
          <w:rFonts w:ascii="Simplified Arabic" w:hAnsi="Simplified Arabic" w:cs="Simplified Arabic"/>
          <w:sz w:val="28"/>
          <w:szCs w:val="28"/>
        </w:rPr>
        <w:t>.</w:t>
      </w:r>
    </w:p>
    <w:p w14:paraId="079F0059"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الجانب الثاني: الولاء المعياري</w:t>
      </w:r>
      <w:r w:rsidRPr="00A37589">
        <w:rPr>
          <w:rFonts w:ascii="Simplified Arabic" w:hAnsi="Simplified Arabic" w:cs="Simplified Arabic"/>
          <w:b/>
          <w:bCs/>
          <w:sz w:val="28"/>
          <w:szCs w:val="28"/>
        </w:rPr>
        <w:t xml:space="preserve"> (Normative Loyalty)</w:t>
      </w:r>
    </w:p>
    <w:p w14:paraId="79DD0682"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 xml:space="preserve">يعكس هذا الجانب الشعور بالواجب الأخلاقي تجاه المنظمة والالتزام بالبقاء فيها، وينشأ عادة نتيجة ما تُقدّمه المنظمة للعامل من دعم واستثمار في تطويره، مما يجعله يشعر بأن من واجبه رد الجميل بالبقاء والولاء. </w:t>
      </w:r>
      <w:r w:rsidRPr="00A37589">
        <w:rPr>
          <w:rFonts w:ascii="Simplified Arabic" w:hAnsi="Simplified Arabic" w:cs="Simplified Arabic"/>
          <w:sz w:val="28"/>
          <w:szCs w:val="28"/>
          <w:rtl/>
        </w:rPr>
        <w:lastRenderedPageBreak/>
        <w:t>ويرى تباني وبوعمامة (2021) أن الولاء المعياري يرتبط بالقيم الأخلاقية والاجتماعية للعامل، ويتأثر بالثقافة السائدة في المجتمع والمنظمة</w:t>
      </w:r>
      <w:r w:rsidRPr="00A37589">
        <w:rPr>
          <w:rFonts w:ascii="Simplified Arabic" w:hAnsi="Simplified Arabic" w:cs="Simplified Arabic"/>
          <w:sz w:val="28"/>
          <w:szCs w:val="28"/>
        </w:rPr>
        <w:t>.</w:t>
      </w:r>
    </w:p>
    <w:p w14:paraId="2F4FA190"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الجانب الثالث: الولاء المستمر</w:t>
      </w:r>
      <w:r w:rsidRPr="00A37589">
        <w:rPr>
          <w:rFonts w:ascii="Simplified Arabic" w:hAnsi="Simplified Arabic" w:cs="Simplified Arabic"/>
          <w:b/>
          <w:bCs/>
          <w:sz w:val="28"/>
          <w:szCs w:val="28"/>
        </w:rPr>
        <w:t xml:space="preserve"> (Continuance Loyalty)</w:t>
      </w:r>
    </w:p>
    <w:p w14:paraId="1CF5E05D"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يرتبط هذا الجانب بتقييم العامل للتكاليف والفوائد المرتبطة بالبقاء في المنظمة أو تركها، ويُشكّل نوعاً من الولاء المشروط الذي يعتمد على الحسابات العقلانية للعامل. ويُشير السيد وجودة (2022) إلى أن الولاء المستمر ينشأ حين يُدرك العامل أن تكاليف ترك المنظمة أعلى من فوائده، سواء من حيث الفوائد المالية المفقودة، أو الاستثمارات الشخصية غير القابلة للنقل، أو ندرة البدائل المتاحة</w:t>
      </w:r>
      <w:r w:rsidRPr="00A37589">
        <w:rPr>
          <w:rFonts w:ascii="Simplified Arabic" w:hAnsi="Simplified Arabic" w:cs="Simplified Arabic"/>
          <w:sz w:val="28"/>
          <w:szCs w:val="28"/>
        </w:rPr>
        <w:t>.</w:t>
      </w:r>
    </w:p>
    <w:p w14:paraId="1FAD1B77"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وبالإضافة إلى الأبعاد الثلاثة السابقة، تُشير بعض الأدبيات إلى وجود عناصر أخرى تُعزّز الولاء الوظيفي، منها</w:t>
      </w:r>
      <w:r w:rsidRPr="00A37589">
        <w:rPr>
          <w:rFonts w:ascii="Simplified Arabic" w:hAnsi="Simplified Arabic" w:cs="Simplified Arabic"/>
          <w:sz w:val="28"/>
          <w:szCs w:val="28"/>
        </w:rPr>
        <w:t>:</w:t>
      </w:r>
    </w:p>
    <w:p w14:paraId="4F03693D"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العنصر الأول: الانتماء التنظيمي</w:t>
      </w:r>
    </w:p>
    <w:p w14:paraId="50E92E2A"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يُمثّل الانتماء التنظيمي شعور العامل بأنه جزء لا يتجزأ من المنظمة، وأن هويته الشخصية والمهنية مرتبطة بها. ويرى العويمر والشبلي (2023) أن الانتماء التنظيمي يُشكّل أحد الأركان الأساسية للولاء الوظيفي، إذ لا يُمكن أن يكون العامل مخلصاً لمنظمة لا يشعر بالانتماء إليها</w:t>
      </w:r>
      <w:r w:rsidRPr="00A37589">
        <w:rPr>
          <w:rFonts w:ascii="Simplified Arabic" w:hAnsi="Simplified Arabic" w:cs="Simplified Arabic"/>
          <w:sz w:val="28"/>
          <w:szCs w:val="28"/>
        </w:rPr>
        <w:t>.</w:t>
      </w:r>
    </w:p>
    <w:p w14:paraId="1C9CD568"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العنصر الثاني: التوافق القيمي</w:t>
      </w:r>
    </w:p>
    <w:p w14:paraId="47B3A995"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tl/>
          <w:lang w:bidi="ar-EG"/>
        </w:rPr>
      </w:pPr>
      <w:r w:rsidRPr="00A37589">
        <w:rPr>
          <w:rFonts w:ascii="Simplified Arabic" w:hAnsi="Simplified Arabic" w:cs="Simplified Arabic"/>
          <w:sz w:val="28"/>
          <w:szCs w:val="28"/>
          <w:rtl/>
        </w:rPr>
        <w:t>يُشير التوافق القيمي إلى الانسجام بين قيم العامل الشخصية وقيم المنظمة، وكلما ارتفع مستوى هذا التوافق زاد مستوى الولاء الوظيفي. ويُبرز القحطاني والعماري (2021) أهمية بناء منظومة قيمية مشتركة بين المنظمة وعامليها بوصفها قاعدة للولاء الوظيفي المستدام</w:t>
      </w:r>
      <w:r w:rsidRPr="00A37589">
        <w:rPr>
          <w:rFonts w:ascii="Simplified Arabic" w:hAnsi="Simplified Arabic" w:cs="Simplified Arabic"/>
          <w:sz w:val="28"/>
          <w:szCs w:val="28"/>
        </w:rPr>
        <w:t>.</w:t>
      </w:r>
    </w:p>
    <w:p w14:paraId="527D98D0" w14:textId="77777777" w:rsidR="00D70CB4" w:rsidRPr="00A37589" w:rsidRDefault="00D70CB4" w:rsidP="00A37589">
      <w:pPr>
        <w:spacing w:before="100" w:beforeAutospacing="1" w:after="100" w:afterAutospacing="1" w:line="276" w:lineRule="auto"/>
        <w:jc w:val="both"/>
        <w:rPr>
          <w:rFonts w:ascii="Simplified Arabic" w:hAnsi="Simplified Arabic" w:cs="Simplified Arabic"/>
          <w:sz w:val="28"/>
          <w:szCs w:val="28"/>
        </w:rPr>
      </w:pPr>
      <w:r w:rsidRPr="00A37589">
        <w:rPr>
          <w:rFonts w:ascii="Simplified Arabic" w:hAnsi="Simplified Arabic" w:cs="Simplified Arabic"/>
          <w:b/>
          <w:bCs/>
          <w:sz w:val="28"/>
          <w:szCs w:val="28"/>
          <w:rtl/>
        </w:rPr>
        <w:t>العنصر الثالث: الاستعداد لبذل الجهد</w:t>
      </w:r>
    </w:p>
    <w:p w14:paraId="375C3BAE"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يعكس هذا العنصر مدى استعداد العامل لبذل جهد يفوق المتوقع منه من أجل تحقيق أهداف المنظمة، ويُمثّل تجلياً سلوكياً للولاء الوظيفي. ويُشير الحربي (2025) إلى أن الاستعداد لبذل الجهد يُميّز العاملين ذوي الولاء العالي عن غيرهم، ويُشكّل مؤشراً موثوقاً لقياس مستوى الولاء</w:t>
      </w:r>
      <w:r w:rsidRPr="00A37589">
        <w:rPr>
          <w:rFonts w:ascii="Simplified Arabic" w:hAnsi="Simplified Arabic" w:cs="Simplified Arabic"/>
          <w:sz w:val="28"/>
          <w:szCs w:val="28"/>
        </w:rPr>
        <w:t>.</w:t>
      </w:r>
    </w:p>
    <w:p w14:paraId="511B4A42" w14:textId="67D702A0" w:rsidR="00D70CB4" w:rsidRPr="008B1451" w:rsidRDefault="00261D7D" w:rsidP="008B1451">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9" w:name="_Toc234278715"/>
      <w:r>
        <w:rPr>
          <w:rFonts w:ascii="Simplified Arabic" w:eastAsia="Times New Roman" w:hAnsi="Simplified Arabic" w:cs="Simplified Arabic" w:hint="cs"/>
          <w:b/>
          <w:bCs/>
          <w:kern w:val="0"/>
          <w:sz w:val="36"/>
          <w:szCs w:val="36"/>
          <w:rtl/>
          <w14:ligatures w14:val="none"/>
        </w:rPr>
        <w:lastRenderedPageBreak/>
        <w:t xml:space="preserve">6.2.2 </w:t>
      </w:r>
      <w:r w:rsidR="00D70CB4" w:rsidRPr="008B1451">
        <w:rPr>
          <w:rFonts w:ascii="Simplified Arabic" w:eastAsia="Times New Roman" w:hAnsi="Simplified Arabic" w:cs="Simplified Arabic"/>
          <w:b/>
          <w:bCs/>
          <w:kern w:val="0"/>
          <w:sz w:val="36"/>
          <w:szCs w:val="36"/>
          <w:rtl/>
          <w14:ligatures w14:val="none"/>
        </w:rPr>
        <w:t>خامساً: مداخل دراسة الولاء الوظيفي</w:t>
      </w:r>
      <w:bookmarkEnd w:id="49"/>
    </w:p>
    <w:p w14:paraId="1EFCB1F3"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تعددت المداخل التي تناول من خلالها الباحثون الولاء الوظيفي، وتنوعت باختلاف زوايا النظر والإطار النظري لكل مدخل</w:t>
      </w:r>
      <w:r w:rsidRPr="00A37589">
        <w:rPr>
          <w:rFonts w:ascii="Simplified Arabic" w:hAnsi="Simplified Arabic" w:cs="Simplified Arabic"/>
          <w:sz w:val="28"/>
          <w:szCs w:val="28"/>
        </w:rPr>
        <w:t>.</w:t>
      </w:r>
    </w:p>
    <w:p w14:paraId="5F43874D" w14:textId="77777777" w:rsidR="00D70CB4" w:rsidRPr="008B1451" w:rsidRDefault="00D70CB4">
      <w:pPr>
        <w:pStyle w:val="a6"/>
        <w:numPr>
          <w:ilvl w:val="0"/>
          <w:numId w:val="15"/>
        </w:numPr>
        <w:spacing w:before="100" w:beforeAutospacing="1" w:after="100" w:afterAutospacing="1" w:line="276" w:lineRule="auto"/>
        <w:jc w:val="both"/>
        <w:rPr>
          <w:rFonts w:ascii="Simplified Arabic" w:hAnsi="Simplified Arabic" w:cs="Simplified Arabic"/>
          <w:sz w:val="28"/>
          <w:szCs w:val="28"/>
        </w:rPr>
      </w:pPr>
      <w:r w:rsidRPr="008B1451">
        <w:rPr>
          <w:rFonts w:ascii="Simplified Arabic" w:hAnsi="Simplified Arabic" w:cs="Simplified Arabic"/>
          <w:b/>
          <w:bCs/>
          <w:sz w:val="28"/>
          <w:szCs w:val="28"/>
          <w:rtl/>
        </w:rPr>
        <w:t>المدخل النفسي</w:t>
      </w:r>
      <w:r w:rsidRPr="008B1451">
        <w:rPr>
          <w:rFonts w:ascii="Simplified Arabic" w:hAnsi="Simplified Arabic" w:cs="Simplified Arabic"/>
          <w:b/>
          <w:bCs/>
          <w:sz w:val="28"/>
          <w:szCs w:val="28"/>
        </w:rPr>
        <w:t>:</w:t>
      </w:r>
      <w:r w:rsidRPr="008B1451">
        <w:rPr>
          <w:rFonts w:ascii="Simplified Arabic" w:hAnsi="Simplified Arabic" w:cs="Simplified Arabic"/>
          <w:sz w:val="28"/>
          <w:szCs w:val="28"/>
        </w:rPr>
        <w:t xml:space="preserve"> </w:t>
      </w:r>
      <w:r w:rsidRPr="008B1451">
        <w:rPr>
          <w:rFonts w:ascii="Simplified Arabic" w:hAnsi="Simplified Arabic" w:cs="Simplified Arabic"/>
          <w:sz w:val="28"/>
          <w:szCs w:val="28"/>
          <w:rtl/>
        </w:rPr>
        <w:t>يُركّز هذا المدخل على الجوانب النفسية والوجدانية للولاء الوظيفي، ويُقدّمه بوصفه حالة نفسية تعكس ارتباط العامل بمنظمته. ويرى تباني وبوعمامة (2021) أن هذا المدخل يُقدّم فهماً عميقاً للولاء الوظيفي من خلال الربط بينه وبين المتغيرات النفسية كالرضا الوظيفي والدافعية</w:t>
      </w:r>
      <w:r w:rsidRPr="008B1451">
        <w:rPr>
          <w:rFonts w:ascii="Simplified Arabic" w:hAnsi="Simplified Arabic" w:cs="Simplified Arabic"/>
          <w:sz w:val="28"/>
          <w:szCs w:val="28"/>
        </w:rPr>
        <w:t>.</w:t>
      </w:r>
    </w:p>
    <w:p w14:paraId="3CAA6E83" w14:textId="77777777" w:rsidR="00D70CB4" w:rsidRPr="008B1451" w:rsidRDefault="00D70CB4">
      <w:pPr>
        <w:pStyle w:val="a6"/>
        <w:numPr>
          <w:ilvl w:val="0"/>
          <w:numId w:val="15"/>
        </w:numPr>
        <w:spacing w:before="100" w:beforeAutospacing="1" w:after="100" w:afterAutospacing="1" w:line="276" w:lineRule="auto"/>
        <w:jc w:val="both"/>
        <w:rPr>
          <w:rFonts w:ascii="Simplified Arabic" w:hAnsi="Simplified Arabic" w:cs="Simplified Arabic"/>
          <w:sz w:val="28"/>
          <w:szCs w:val="28"/>
        </w:rPr>
      </w:pPr>
      <w:r w:rsidRPr="008B1451">
        <w:rPr>
          <w:rFonts w:ascii="Simplified Arabic" w:hAnsi="Simplified Arabic" w:cs="Simplified Arabic"/>
          <w:b/>
          <w:bCs/>
          <w:sz w:val="28"/>
          <w:szCs w:val="28"/>
          <w:rtl/>
        </w:rPr>
        <w:t>المدخل السلوكي</w:t>
      </w:r>
      <w:r w:rsidRPr="008B1451">
        <w:rPr>
          <w:rFonts w:ascii="Simplified Arabic" w:hAnsi="Simplified Arabic" w:cs="Simplified Arabic"/>
          <w:b/>
          <w:bCs/>
          <w:sz w:val="28"/>
          <w:szCs w:val="28"/>
        </w:rPr>
        <w:t>:</w:t>
      </w:r>
      <w:r w:rsidRPr="008B1451">
        <w:rPr>
          <w:rFonts w:ascii="Simplified Arabic" w:hAnsi="Simplified Arabic" w:cs="Simplified Arabic"/>
          <w:sz w:val="28"/>
          <w:szCs w:val="28"/>
        </w:rPr>
        <w:t xml:space="preserve"> </w:t>
      </w:r>
      <w:r w:rsidRPr="008B1451">
        <w:rPr>
          <w:rFonts w:ascii="Simplified Arabic" w:hAnsi="Simplified Arabic" w:cs="Simplified Arabic"/>
          <w:sz w:val="28"/>
          <w:szCs w:val="28"/>
          <w:rtl/>
        </w:rPr>
        <w:t>ينظر هذا المدخل إلى الولاء الوظيفي من خلال تجلياته السلوكية، كالاستمرار في العمل، وبذل الجهد، والدفاع عن المنظمة. ويُشير الحربي (2025) إلى أن المدخل السلوكي يُقدّم مؤشرات قابلة للقياس لتقييم مستوى الولاء الوظيفي</w:t>
      </w:r>
      <w:r w:rsidRPr="008B1451">
        <w:rPr>
          <w:rFonts w:ascii="Simplified Arabic" w:hAnsi="Simplified Arabic" w:cs="Simplified Arabic"/>
          <w:sz w:val="28"/>
          <w:szCs w:val="28"/>
        </w:rPr>
        <w:t>.</w:t>
      </w:r>
    </w:p>
    <w:p w14:paraId="715E73C0" w14:textId="77777777" w:rsidR="00D70CB4" w:rsidRPr="008B1451" w:rsidRDefault="00D70CB4">
      <w:pPr>
        <w:pStyle w:val="a6"/>
        <w:numPr>
          <w:ilvl w:val="0"/>
          <w:numId w:val="15"/>
        </w:numPr>
        <w:spacing w:before="100" w:beforeAutospacing="1" w:after="100" w:afterAutospacing="1" w:line="276" w:lineRule="auto"/>
        <w:jc w:val="both"/>
        <w:rPr>
          <w:rFonts w:ascii="Simplified Arabic" w:hAnsi="Simplified Arabic" w:cs="Simplified Arabic"/>
          <w:sz w:val="28"/>
          <w:szCs w:val="28"/>
        </w:rPr>
      </w:pPr>
      <w:r w:rsidRPr="008B1451">
        <w:rPr>
          <w:rFonts w:ascii="Simplified Arabic" w:hAnsi="Simplified Arabic" w:cs="Simplified Arabic"/>
          <w:b/>
          <w:bCs/>
          <w:sz w:val="28"/>
          <w:szCs w:val="28"/>
          <w:rtl/>
        </w:rPr>
        <w:t>المدخل التبادلي</w:t>
      </w:r>
      <w:r w:rsidRPr="008B1451">
        <w:rPr>
          <w:rFonts w:ascii="Simplified Arabic" w:hAnsi="Simplified Arabic" w:cs="Simplified Arabic"/>
          <w:b/>
          <w:bCs/>
          <w:sz w:val="28"/>
          <w:szCs w:val="28"/>
        </w:rPr>
        <w:t>:</w:t>
      </w:r>
      <w:r w:rsidRPr="008B1451">
        <w:rPr>
          <w:rFonts w:ascii="Simplified Arabic" w:hAnsi="Simplified Arabic" w:cs="Simplified Arabic"/>
          <w:sz w:val="28"/>
          <w:szCs w:val="28"/>
        </w:rPr>
        <w:t xml:space="preserve"> </w:t>
      </w:r>
      <w:r w:rsidRPr="008B1451">
        <w:rPr>
          <w:rFonts w:ascii="Simplified Arabic" w:hAnsi="Simplified Arabic" w:cs="Simplified Arabic"/>
          <w:sz w:val="28"/>
          <w:szCs w:val="28"/>
          <w:rtl/>
        </w:rPr>
        <w:t>يقوم هذا المدخل على مبدأ التبادل بين العامل والمنظمة، إذ يُقدّم العامل ولاءه مقابل ما يحصل عليه من مزايا ودعم. ويُبرز العويمر والشبلي (2023) هذا المدخل حين يربطان بين رفاهية الموظفين والولاء الوظيفي، مؤكدين أن العلاقة بينهما علاقة تبادلية</w:t>
      </w:r>
      <w:r w:rsidRPr="008B1451">
        <w:rPr>
          <w:rFonts w:ascii="Simplified Arabic" w:hAnsi="Simplified Arabic" w:cs="Simplified Arabic"/>
          <w:sz w:val="28"/>
          <w:szCs w:val="28"/>
        </w:rPr>
        <w:t>.</w:t>
      </w:r>
    </w:p>
    <w:p w14:paraId="4F8B76A0" w14:textId="1B74F025" w:rsidR="009C7B87" w:rsidRDefault="00D70CB4">
      <w:pPr>
        <w:pStyle w:val="a6"/>
        <w:numPr>
          <w:ilvl w:val="0"/>
          <w:numId w:val="15"/>
        </w:numPr>
        <w:spacing w:before="100" w:beforeAutospacing="1" w:after="100" w:afterAutospacing="1" w:line="276" w:lineRule="auto"/>
        <w:jc w:val="both"/>
        <w:rPr>
          <w:rFonts w:ascii="Simplified Arabic" w:hAnsi="Simplified Arabic" w:cs="Simplified Arabic"/>
          <w:sz w:val="28"/>
          <w:szCs w:val="28"/>
        </w:rPr>
      </w:pPr>
      <w:r w:rsidRPr="008B1451">
        <w:rPr>
          <w:rFonts w:ascii="Simplified Arabic" w:hAnsi="Simplified Arabic" w:cs="Simplified Arabic"/>
          <w:b/>
          <w:bCs/>
          <w:sz w:val="28"/>
          <w:szCs w:val="28"/>
          <w:rtl/>
        </w:rPr>
        <w:t>المدخل التنموي</w:t>
      </w:r>
      <w:r w:rsidRPr="008B1451">
        <w:rPr>
          <w:rFonts w:ascii="Simplified Arabic" w:hAnsi="Simplified Arabic" w:cs="Simplified Arabic"/>
          <w:b/>
          <w:bCs/>
          <w:sz w:val="28"/>
          <w:szCs w:val="28"/>
        </w:rPr>
        <w:t>:</w:t>
      </w:r>
      <w:r w:rsidRPr="008B1451">
        <w:rPr>
          <w:rFonts w:ascii="Simplified Arabic" w:hAnsi="Simplified Arabic" w:cs="Simplified Arabic"/>
          <w:sz w:val="28"/>
          <w:szCs w:val="28"/>
        </w:rPr>
        <w:t xml:space="preserve"> </w:t>
      </w:r>
      <w:r w:rsidRPr="008B1451">
        <w:rPr>
          <w:rFonts w:ascii="Simplified Arabic" w:hAnsi="Simplified Arabic" w:cs="Simplified Arabic"/>
          <w:sz w:val="28"/>
          <w:szCs w:val="28"/>
          <w:rtl/>
        </w:rPr>
        <w:t>يُركّز هذا المدخل على دور ممارسات تنمية الموارد البشرية في بناء الولاء الوظيفي، إذ يعتبر الاستثمار في تنمية العاملين استثماراً في ولائهم. ويتبنى القحطاني والعماري (2021) هذا المدخل حين يدرسان أثر تنمية الموارد البشرية على الولاء الوظيفي</w:t>
      </w:r>
      <w:r w:rsidRPr="008B1451">
        <w:rPr>
          <w:rFonts w:ascii="Simplified Arabic" w:hAnsi="Simplified Arabic" w:cs="Simplified Arabic"/>
          <w:sz w:val="28"/>
          <w:szCs w:val="28"/>
        </w:rPr>
        <w:t>.</w:t>
      </w:r>
    </w:p>
    <w:p w14:paraId="702D7582" w14:textId="77777777" w:rsidR="009C7B87" w:rsidRDefault="009C7B87">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618DF8E7" w14:textId="6203D436" w:rsidR="00D70CB4" w:rsidRPr="008B1451" w:rsidRDefault="00261D7D" w:rsidP="008B1451">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0" w:name="_Toc234278716"/>
      <w:r>
        <w:rPr>
          <w:rFonts w:ascii="Simplified Arabic" w:eastAsia="Times New Roman" w:hAnsi="Simplified Arabic" w:cs="Simplified Arabic" w:hint="cs"/>
          <w:b/>
          <w:bCs/>
          <w:kern w:val="0"/>
          <w:sz w:val="36"/>
          <w:szCs w:val="36"/>
          <w:rtl/>
          <w14:ligatures w14:val="none"/>
        </w:rPr>
        <w:lastRenderedPageBreak/>
        <w:t xml:space="preserve">7.2.2 </w:t>
      </w:r>
      <w:r w:rsidR="00D70CB4" w:rsidRPr="008B1451">
        <w:rPr>
          <w:rFonts w:ascii="Simplified Arabic" w:eastAsia="Times New Roman" w:hAnsi="Simplified Arabic" w:cs="Simplified Arabic"/>
          <w:b/>
          <w:bCs/>
          <w:kern w:val="0"/>
          <w:sz w:val="36"/>
          <w:szCs w:val="36"/>
          <w:rtl/>
          <w14:ligatures w14:val="none"/>
        </w:rPr>
        <w:t>سادساً: العوامل المؤثرة في الولاء الوظيفي</w:t>
      </w:r>
      <w:bookmarkEnd w:id="50"/>
    </w:p>
    <w:p w14:paraId="1E92A9D6"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يتأثر الولاء الوظيفي بجملة من العوامل الفردية والتنظيمية والبيئية، تتفاعل معاً لتُشكّل مستوى الولاء لدى العامل</w:t>
      </w:r>
      <w:r w:rsidRPr="00A37589">
        <w:rPr>
          <w:rFonts w:ascii="Simplified Arabic" w:hAnsi="Simplified Arabic" w:cs="Simplified Arabic"/>
          <w:sz w:val="28"/>
          <w:szCs w:val="28"/>
        </w:rPr>
        <w:t>.</w:t>
      </w:r>
    </w:p>
    <w:p w14:paraId="7B8A2A24" w14:textId="77777777" w:rsidR="00D70CB4" w:rsidRPr="008B1451" w:rsidRDefault="00D70CB4">
      <w:pPr>
        <w:pStyle w:val="a6"/>
        <w:numPr>
          <w:ilvl w:val="0"/>
          <w:numId w:val="14"/>
        </w:numPr>
        <w:spacing w:before="100" w:beforeAutospacing="1" w:after="100" w:afterAutospacing="1" w:line="276" w:lineRule="auto"/>
        <w:jc w:val="both"/>
        <w:rPr>
          <w:rFonts w:ascii="Simplified Arabic" w:hAnsi="Simplified Arabic" w:cs="Simplified Arabic"/>
          <w:sz w:val="28"/>
          <w:szCs w:val="28"/>
        </w:rPr>
      </w:pPr>
      <w:r w:rsidRPr="008B1451">
        <w:rPr>
          <w:rFonts w:ascii="Simplified Arabic" w:hAnsi="Simplified Arabic" w:cs="Simplified Arabic"/>
          <w:b/>
          <w:bCs/>
          <w:sz w:val="28"/>
          <w:szCs w:val="28"/>
          <w:rtl/>
        </w:rPr>
        <w:t>العوامل التنظيمية</w:t>
      </w:r>
      <w:r w:rsidRPr="008B1451">
        <w:rPr>
          <w:rFonts w:ascii="Simplified Arabic" w:hAnsi="Simplified Arabic" w:cs="Simplified Arabic"/>
          <w:b/>
          <w:bCs/>
          <w:sz w:val="28"/>
          <w:szCs w:val="28"/>
        </w:rPr>
        <w:t>:</w:t>
      </w:r>
      <w:r w:rsidRPr="008B1451">
        <w:rPr>
          <w:rFonts w:ascii="Simplified Arabic" w:hAnsi="Simplified Arabic" w:cs="Simplified Arabic"/>
          <w:sz w:val="28"/>
          <w:szCs w:val="28"/>
        </w:rPr>
        <w:t xml:space="preserve"> </w:t>
      </w:r>
      <w:r w:rsidRPr="008B1451">
        <w:rPr>
          <w:rFonts w:ascii="Simplified Arabic" w:hAnsi="Simplified Arabic" w:cs="Simplified Arabic"/>
          <w:sz w:val="28"/>
          <w:szCs w:val="28"/>
          <w:rtl/>
        </w:rPr>
        <w:t>تشمل هذه العوامل ممارسات الإدارة، وأسلوب القيادة، والثقافة التنظيمية، ونظام الحوافز، وبيئة العمل. ويُشير السيد وجودة (2022) إلى أن الممارسات التنظيمية السلبية كالإحباط الوظيفي وضعف الحوافز وسوء ظروف العمل تُشكّل عوامل مُضعفة للولاء الوظيفي</w:t>
      </w:r>
      <w:r w:rsidRPr="008B1451">
        <w:rPr>
          <w:rFonts w:ascii="Simplified Arabic" w:hAnsi="Simplified Arabic" w:cs="Simplified Arabic"/>
          <w:sz w:val="28"/>
          <w:szCs w:val="28"/>
        </w:rPr>
        <w:t>.</w:t>
      </w:r>
    </w:p>
    <w:p w14:paraId="7E7F9824" w14:textId="77777777" w:rsidR="00D70CB4" w:rsidRPr="008B1451" w:rsidRDefault="00D70CB4">
      <w:pPr>
        <w:pStyle w:val="a6"/>
        <w:numPr>
          <w:ilvl w:val="0"/>
          <w:numId w:val="14"/>
        </w:numPr>
        <w:spacing w:before="100" w:beforeAutospacing="1" w:after="100" w:afterAutospacing="1" w:line="276" w:lineRule="auto"/>
        <w:jc w:val="both"/>
        <w:rPr>
          <w:rFonts w:ascii="Simplified Arabic" w:hAnsi="Simplified Arabic" w:cs="Simplified Arabic"/>
          <w:sz w:val="28"/>
          <w:szCs w:val="28"/>
        </w:rPr>
      </w:pPr>
      <w:r w:rsidRPr="008B1451">
        <w:rPr>
          <w:rFonts w:ascii="Simplified Arabic" w:hAnsi="Simplified Arabic" w:cs="Simplified Arabic"/>
          <w:b/>
          <w:bCs/>
          <w:sz w:val="28"/>
          <w:szCs w:val="28"/>
          <w:rtl/>
        </w:rPr>
        <w:t>العوامل المتعلقة بالموارد البشرية</w:t>
      </w:r>
      <w:r w:rsidRPr="008B1451">
        <w:rPr>
          <w:rFonts w:ascii="Simplified Arabic" w:hAnsi="Simplified Arabic" w:cs="Simplified Arabic"/>
          <w:b/>
          <w:bCs/>
          <w:sz w:val="28"/>
          <w:szCs w:val="28"/>
        </w:rPr>
        <w:t>:</w:t>
      </w:r>
      <w:r w:rsidRPr="008B1451">
        <w:rPr>
          <w:rFonts w:ascii="Simplified Arabic" w:hAnsi="Simplified Arabic" w:cs="Simplified Arabic"/>
          <w:sz w:val="28"/>
          <w:szCs w:val="28"/>
        </w:rPr>
        <w:t xml:space="preserve"> </w:t>
      </w:r>
      <w:r w:rsidRPr="008B1451">
        <w:rPr>
          <w:rFonts w:ascii="Simplified Arabic" w:hAnsi="Simplified Arabic" w:cs="Simplified Arabic"/>
          <w:sz w:val="28"/>
          <w:szCs w:val="28"/>
          <w:rtl/>
        </w:rPr>
        <w:t>تشمل هذه العوامل ممارسات تنمية الموارد البشرية، كالتدريب والتطوير الوظيفي والتحفيز وتقييم الأداء. ويُبرز القحطاني والعماري (2021) الدور المحوري لممارسات تنمية الموارد البشرية في بناء الولاء الوظيفي</w:t>
      </w:r>
      <w:r w:rsidRPr="008B1451">
        <w:rPr>
          <w:rFonts w:ascii="Simplified Arabic" w:hAnsi="Simplified Arabic" w:cs="Simplified Arabic"/>
          <w:sz w:val="28"/>
          <w:szCs w:val="28"/>
        </w:rPr>
        <w:t>.</w:t>
      </w:r>
    </w:p>
    <w:p w14:paraId="7FFCA106" w14:textId="77777777" w:rsidR="00D70CB4" w:rsidRPr="008B1451" w:rsidRDefault="00D70CB4">
      <w:pPr>
        <w:pStyle w:val="a6"/>
        <w:numPr>
          <w:ilvl w:val="0"/>
          <w:numId w:val="14"/>
        </w:numPr>
        <w:spacing w:before="100" w:beforeAutospacing="1" w:after="100" w:afterAutospacing="1" w:line="276" w:lineRule="auto"/>
        <w:jc w:val="both"/>
        <w:rPr>
          <w:rFonts w:ascii="Simplified Arabic" w:hAnsi="Simplified Arabic" w:cs="Simplified Arabic"/>
          <w:sz w:val="28"/>
          <w:szCs w:val="28"/>
        </w:rPr>
      </w:pPr>
      <w:r w:rsidRPr="008B1451">
        <w:rPr>
          <w:rFonts w:ascii="Simplified Arabic" w:hAnsi="Simplified Arabic" w:cs="Simplified Arabic"/>
          <w:b/>
          <w:bCs/>
          <w:sz w:val="28"/>
          <w:szCs w:val="28"/>
          <w:rtl/>
        </w:rPr>
        <w:t>العوامل المتعلقة برفاهية الموظفين</w:t>
      </w:r>
      <w:r w:rsidRPr="008B1451">
        <w:rPr>
          <w:rFonts w:ascii="Simplified Arabic" w:hAnsi="Simplified Arabic" w:cs="Simplified Arabic"/>
          <w:b/>
          <w:bCs/>
          <w:sz w:val="28"/>
          <w:szCs w:val="28"/>
        </w:rPr>
        <w:t>:</w:t>
      </w:r>
      <w:r w:rsidRPr="008B1451">
        <w:rPr>
          <w:rFonts w:ascii="Simplified Arabic" w:hAnsi="Simplified Arabic" w:cs="Simplified Arabic"/>
          <w:sz w:val="28"/>
          <w:szCs w:val="28"/>
        </w:rPr>
        <w:t xml:space="preserve"> </w:t>
      </w:r>
      <w:r w:rsidRPr="008B1451">
        <w:rPr>
          <w:rFonts w:ascii="Simplified Arabic" w:hAnsi="Simplified Arabic" w:cs="Simplified Arabic"/>
          <w:sz w:val="28"/>
          <w:szCs w:val="28"/>
          <w:rtl/>
        </w:rPr>
        <w:t>تشمل هذه العوامل الرفاهية النفسية والجسدية والاجتماعية والمالية للعاملين. ويرى العويمر والشبلي (2023) أن رفاهية الموظفين تُشكّل عاملاً محورياً في بناء الولاء الوظيفي، إذ لا يُمكن أن يكون العامل مخلصاً لمنظمة لا تهتم برفاهيته</w:t>
      </w:r>
      <w:r w:rsidRPr="008B1451">
        <w:rPr>
          <w:rFonts w:ascii="Simplified Arabic" w:hAnsi="Simplified Arabic" w:cs="Simplified Arabic"/>
          <w:sz w:val="28"/>
          <w:szCs w:val="28"/>
        </w:rPr>
        <w:t>.</w:t>
      </w:r>
    </w:p>
    <w:p w14:paraId="19BA5E70" w14:textId="77777777" w:rsidR="00D70CB4" w:rsidRPr="008B1451" w:rsidRDefault="00D70CB4">
      <w:pPr>
        <w:pStyle w:val="a6"/>
        <w:numPr>
          <w:ilvl w:val="0"/>
          <w:numId w:val="14"/>
        </w:numPr>
        <w:spacing w:before="100" w:beforeAutospacing="1" w:after="100" w:afterAutospacing="1" w:line="276" w:lineRule="auto"/>
        <w:jc w:val="both"/>
        <w:rPr>
          <w:rFonts w:ascii="Simplified Arabic" w:hAnsi="Simplified Arabic" w:cs="Simplified Arabic"/>
          <w:sz w:val="28"/>
          <w:szCs w:val="28"/>
        </w:rPr>
      </w:pPr>
      <w:r w:rsidRPr="008B1451">
        <w:rPr>
          <w:rFonts w:ascii="Simplified Arabic" w:hAnsi="Simplified Arabic" w:cs="Simplified Arabic"/>
          <w:b/>
          <w:bCs/>
          <w:sz w:val="28"/>
          <w:szCs w:val="28"/>
          <w:rtl/>
        </w:rPr>
        <w:t>العوامل الشخصية</w:t>
      </w:r>
      <w:r w:rsidRPr="008B1451">
        <w:rPr>
          <w:rFonts w:ascii="Simplified Arabic" w:hAnsi="Simplified Arabic" w:cs="Simplified Arabic"/>
          <w:b/>
          <w:bCs/>
          <w:sz w:val="28"/>
          <w:szCs w:val="28"/>
        </w:rPr>
        <w:t>:</w:t>
      </w:r>
      <w:r w:rsidRPr="008B1451">
        <w:rPr>
          <w:rFonts w:ascii="Simplified Arabic" w:hAnsi="Simplified Arabic" w:cs="Simplified Arabic"/>
          <w:sz w:val="28"/>
          <w:szCs w:val="28"/>
        </w:rPr>
        <w:t xml:space="preserve"> </w:t>
      </w:r>
      <w:r w:rsidRPr="008B1451">
        <w:rPr>
          <w:rFonts w:ascii="Simplified Arabic" w:hAnsi="Simplified Arabic" w:cs="Simplified Arabic"/>
          <w:sz w:val="28"/>
          <w:szCs w:val="28"/>
          <w:rtl/>
        </w:rPr>
        <w:t>تشمل هذه العوامل خصائص العامل الشخصية كالعمر والجنس والمؤهل العلمي وسنوات الخبرة والحالة الاجتماعية، وقيمه ومعتقداته وطموحاته الشخصية</w:t>
      </w:r>
      <w:r w:rsidRPr="008B1451">
        <w:rPr>
          <w:rFonts w:ascii="Simplified Arabic" w:hAnsi="Simplified Arabic" w:cs="Simplified Arabic"/>
          <w:sz w:val="28"/>
          <w:szCs w:val="28"/>
        </w:rPr>
        <w:t>.</w:t>
      </w:r>
    </w:p>
    <w:p w14:paraId="1DC5C0E3" w14:textId="77777777" w:rsidR="00D70CB4" w:rsidRPr="008B1451" w:rsidRDefault="00D70CB4">
      <w:pPr>
        <w:pStyle w:val="a6"/>
        <w:numPr>
          <w:ilvl w:val="0"/>
          <w:numId w:val="14"/>
        </w:numPr>
        <w:spacing w:before="100" w:beforeAutospacing="1" w:after="100" w:afterAutospacing="1" w:line="276" w:lineRule="auto"/>
        <w:jc w:val="both"/>
        <w:rPr>
          <w:rFonts w:ascii="Simplified Arabic" w:hAnsi="Simplified Arabic" w:cs="Simplified Arabic"/>
          <w:sz w:val="28"/>
          <w:szCs w:val="28"/>
        </w:rPr>
      </w:pPr>
      <w:r w:rsidRPr="008B1451">
        <w:rPr>
          <w:rFonts w:ascii="Simplified Arabic" w:hAnsi="Simplified Arabic" w:cs="Simplified Arabic"/>
          <w:b/>
          <w:bCs/>
          <w:sz w:val="28"/>
          <w:szCs w:val="28"/>
          <w:rtl/>
        </w:rPr>
        <w:t>العوامل البيئية</w:t>
      </w:r>
      <w:r w:rsidRPr="008B1451">
        <w:rPr>
          <w:rFonts w:ascii="Simplified Arabic" w:hAnsi="Simplified Arabic" w:cs="Simplified Arabic"/>
          <w:b/>
          <w:bCs/>
          <w:sz w:val="28"/>
          <w:szCs w:val="28"/>
        </w:rPr>
        <w:t>:</w:t>
      </w:r>
      <w:r w:rsidRPr="008B1451">
        <w:rPr>
          <w:rFonts w:ascii="Simplified Arabic" w:hAnsi="Simplified Arabic" w:cs="Simplified Arabic"/>
          <w:sz w:val="28"/>
          <w:szCs w:val="28"/>
        </w:rPr>
        <w:t xml:space="preserve"> </w:t>
      </w:r>
      <w:r w:rsidRPr="008B1451">
        <w:rPr>
          <w:rFonts w:ascii="Simplified Arabic" w:hAnsi="Simplified Arabic" w:cs="Simplified Arabic"/>
          <w:sz w:val="28"/>
          <w:szCs w:val="28"/>
          <w:rtl/>
        </w:rPr>
        <w:t>تشمل هذه العوامل ظروف سوق العمل، ومستوى المنافسة على الكفاءات، والتحولات التكنولوجية والاقتصادية. ويُشير</w:t>
      </w:r>
      <w:r w:rsidRPr="008B1451">
        <w:rPr>
          <w:rFonts w:ascii="Simplified Arabic" w:hAnsi="Simplified Arabic" w:cs="Simplified Arabic"/>
          <w:sz w:val="28"/>
          <w:szCs w:val="28"/>
        </w:rPr>
        <w:t xml:space="preserve"> </w:t>
      </w:r>
      <w:proofErr w:type="spellStart"/>
      <w:r w:rsidRPr="008B1451">
        <w:rPr>
          <w:rFonts w:ascii="Simplified Arabic" w:hAnsi="Simplified Arabic" w:cs="Simplified Arabic"/>
          <w:sz w:val="28"/>
          <w:szCs w:val="28"/>
        </w:rPr>
        <w:t>Setiawan</w:t>
      </w:r>
      <w:proofErr w:type="spellEnd"/>
      <w:r w:rsidRPr="008B1451">
        <w:rPr>
          <w:rFonts w:ascii="Simplified Arabic" w:hAnsi="Simplified Arabic" w:cs="Simplified Arabic"/>
          <w:sz w:val="28"/>
          <w:szCs w:val="28"/>
        </w:rPr>
        <w:t xml:space="preserve"> &amp; </w:t>
      </w:r>
      <w:proofErr w:type="spellStart"/>
      <w:r w:rsidRPr="008B1451">
        <w:rPr>
          <w:rFonts w:ascii="Simplified Arabic" w:hAnsi="Simplified Arabic" w:cs="Simplified Arabic"/>
          <w:sz w:val="28"/>
          <w:szCs w:val="28"/>
        </w:rPr>
        <w:t>Wakhyuni</w:t>
      </w:r>
      <w:proofErr w:type="spellEnd"/>
      <w:r w:rsidRPr="008B1451">
        <w:rPr>
          <w:rFonts w:ascii="Simplified Arabic" w:hAnsi="Simplified Arabic" w:cs="Simplified Arabic"/>
          <w:sz w:val="28"/>
          <w:szCs w:val="28"/>
        </w:rPr>
        <w:t xml:space="preserve"> (2025) </w:t>
      </w:r>
      <w:r w:rsidRPr="008B1451">
        <w:rPr>
          <w:rFonts w:ascii="Simplified Arabic" w:hAnsi="Simplified Arabic" w:cs="Simplified Arabic"/>
          <w:sz w:val="28"/>
          <w:szCs w:val="28"/>
          <w:rtl/>
        </w:rPr>
        <w:t>إلى أن العصر الرقمي أوجد تحديات جديدة أمام بناء الولاء الوظيفي، مما يستدعي تطوير استراتيجيات جديدة تتناسب مع هذا العصر</w:t>
      </w:r>
      <w:r w:rsidRPr="008B1451">
        <w:rPr>
          <w:rFonts w:ascii="Simplified Arabic" w:hAnsi="Simplified Arabic" w:cs="Simplified Arabic"/>
          <w:sz w:val="28"/>
          <w:szCs w:val="28"/>
        </w:rPr>
        <w:t>.</w:t>
      </w:r>
    </w:p>
    <w:p w14:paraId="0AD57907" w14:textId="139FA334" w:rsidR="00D70CB4" w:rsidRPr="008B1451" w:rsidRDefault="00261D7D" w:rsidP="008B1451">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1" w:name="_Toc234278717"/>
      <w:r>
        <w:rPr>
          <w:rFonts w:ascii="Simplified Arabic" w:eastAsia="Times New Roman" w:hAnsi="Simplified Arabic" w:cs="Simplified Arabic" w:hint="cs"/>
          <w:b/>
          <w:bCs/>
          <w:kern w:val="0"/>
          <w:sz w:val="36"/>
          <w:szCs w:val="36"/>
          <w:rtl/>
          <w14:ligatures w14:val="none"/>
        </w:rPr>
        <w:t xml:space="preserve">8.2.2 </w:t>
      </w:r>
      <w:r w:rsidR="00D70CB4" w:rsidRPr="008B1451">
        <w:rPr>
          <w:rFonts w:ascii="Simplified Arabic" w:eastAsia="Times New Roman" w:hAnsi="Simplified Arabic" w:cs="Simplified Arabic"/>
          <w:b/>
          <w:bCs/>
          <w:kern w:val="0"/>
          <w:sz w:val="36"/>
          <w:szCs w:val="36"/>
          <w:rtl/>
          <w14:ligatures w14:val="none"/>
        </w:rPr>
        <w:t>سابعاً: علاقة الولاء الوظيفي بالمتغيرات الأخرى</w:t>
      </w:r>
      <w:bookmarkEnd w:id="51"/>
    </w:p>
    <w:p w14:paraId="3A90A98E"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يرتبط الولاء الوظيفي بمنظومة من المتغيرات التنظيمية والسلوكية، تتفاعل معه تأثيراً وتأثراً. فمن جهة، يتأثر الولاء الوظيفي بمتغيرات كالرضا الوظيفي، ورفاهية الموظفين، وممارسات تنمية الموارد البشرية، والإحباط الوظيفي. ومن جهة أخرى، يؤثر الولاء الوظيفي في متغيرات كالأداء الوظيفي، ونية ترك العمل، والإنتاجية، وجودة الخدمات المُقدّمة</w:t>
      </w:r>
      <w:r w:rsidRPr="00A37589">
        <w:rPr>
          <w:rFonts w:ascii="Simplified Arabic" w:hAnsi="Simplified Arabic" w:cs="Simplified Arabic"/>
          <w:sz w:val="28"/>
          <w:szCs w:val="28"/>
        </w:rPr>
        <w:t>.</w:t>
      </w:r>
    </w:p>
    <w:p w14:paraId="5AC58646"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lastRenderedPageBreak/>
        <w:t>ويُشير الحربي (2025) إلى أن الولاء الوظيفي يُشكّل محدداً مهماً للأداء الوظيفي، إذ ينعكس مستوى الولاء المرتفع في أداء متميز يفوق المتوقع. ويرى</w:t>
      </w:r>
      <w:r w:rsidRPr="00A37589">
        <w:rPr>
          <w:rFonts w:ascii="Simplified Arabic" w:hAnsi="Simplified Arabic" w:cs="Simplified Arabic"/>
          <w:sz w:val="28"/>
          <w:szCs w:val="28"/>
        </w:rPr>
        <w:t xml:space="preserve"> </w:t>
      </w:r>
      <w:proofErr w:type="spellStart"/>
      <w:r w:rsidRPr="00A37589">
        <w:rPr>
          <w:rFonts w:ascii="Simplified Arabic" w:hAnsi="Simplified Arabic" w:cs="Simplified Arabic"/>
          <w:sz w:val="28"/>
          <w:szCs w:val="28"/>
        </w:rPr>
        <w:t>Setiawan</w:t>
      </w:r>
      <w:proofErr w:type="spellEnd"/>
      <w:r w:rsidRPr="00A37589">
        <w:rPr>
          <w:rFonts w:ascii="Simplified Arabic" w:hAnsi="Simplified Arabic" w:cs="Simplified Arabic"/>
          <w:sz w:val="28"/>
          <w:szCs w:val="28"/>
        </w:rPr>
        <w:t xml:space="preserve"> &amp; </w:t>
      </w:r>
      <w:proofErr w:type="spellStart"/>
      <w:r w:rsidRPr="00A37589">
        <w:rPr>
          <w:rFonts w:ascii="Simplified Arabic" w:hAnsi="Simplified Arabic" w:cs="Simplified Arabic"/>
          <w:sz w:val="28"/>
          <w:szCs w:val="28"/>
        </w:rPr>
        <w:t>Wakhyuni</w:t>
      </w:r>
      <w:proofErr w:type="spellEnd"/>
      <w:r w:rsidRPr="00A37589">
        <w:rPr>
          <w:rFonts w:ascii="Simplified Arabic" w:hAnsi="Simplified Arabic" w:cs="Simplified Arabic"/>
          <w:sz w:val="28"/>
          <w:szCs w:val="28"/>
        </w:rPr>
        <w:t xml:space="preserve"> (2025) </w:t>
      </w:r>
      <w:r w:rsidRPr="00A37589">
        <w:rPr>
          <w:rFonts w:ascii="Simplified Arabic" w:hAnsi="Simplified Arabic" w:cs="Simplified Arabic"/>
          <w:sz w:val="28"/>
          <w:szCs w:val="28"/>
          <w:rtl/>
        </w:rPr>
        <w:t>أن الولاء الوظيفي يرتبط ارتباطاً عكسياً بنية ترك العمل، إذ يُشكّل حصناً منيعاً في وجه ظواهر التسرب الوظيفي</w:t>
      </w:r>
      <w:r w:rsidRPr="00A37589">
        <w:rPr>
          <w:rFonts w:ascii="Simplified Arabic" w:hAnsi="Simplified Arabic" w:cs="Simplified Arabic"/>
          <w:sz w:val="28"/>
          <w:szCs w:val="28"/>
        </w:rPr>
        <w:t>.</w:t>
      </w:r>
    </w:p>
    <w:p w14:paraId="66BD1587" w14:textId="77777777" w:rsidR="00D70CB4" w:rsidRPr="00A37589" w:rsidRDefault="00D70CB4" w:rsidP="008B1451">
      <w:pPr>
        <w:spacing w:before="100" w:beforeAutospacing="1" w:after="100" w:afterAutospacing="1" w:line="276" w:lineRule="auto"/>
        <w:ind w:firstLine="720"/>
        <w:jc w:val="both"/>
        <w:rPr>
          <w:rFonts w:ascii="Simplified Arabic" w:hAnsi="Simplified Arabic" w:cs="Simplified Arabic"/>
          <w:sz w:val="28"/>
          <w:szCs w:val="28"/>
        </w:rPr>
      </w:pPr>
      <w:r w:rsidRPr="00A37589">
        <w:rPr>
          <w:rFonts w:ascii="Simplified Arabic" w:hAnsi="Simplified Arabic" w:cs="Simplified Arabic"/>
          <w:sz w:val="28"/>
          <w:szCs w:val="28"/>
          <w:rtl/>
        </w:rPr>
        <w:t>كما يرتبط الولاء الوظيفي بالمتغيرات المستقلة للدراسة الحالية، وهي التحول الرقمي وإدارة المواهب، إذ إن التحول الرقمي يُوفّر بيئة عمل حديثة تُعزّز من ارتباط العاملين بمنظماتهم، فيما تُسهم ممارسات إدارة المواهب في بناء علاقات مستدامة مع الكفاءات المتميزة تُترجم إلى ولاء وظيفي عالٍ</w:t>
      </w:r>
      <w:r w:rsidRPr="00A37589">
        <w:rPr>
          <w:rFonts w:ascii="Simplified Arabic" w:hAnsi="Simplified Arabic" w:cs="Simplified Arabic"/>
          <w:sz w:val="28"/>
          <w:szCs w:val="28"/>
        </w:rPr>
        <w:t>.</w:t>
      </w:r>
    </w:p>
    <w:p w14:paraId="57DA4DFF" w14:textId="77777777" w:rsidR="00C86F97" w:rsidRDefault="008B1451">
      <w:pPr>
        <w:bidi w:val="0"/>
        <w:rPr>
          <w:rFonts w:ascii="Simplified Arabic" w:hAnsi="Simplified Arabic" w:cs="Simplified Arabic"/>
          <w:sz w:val="28"/>
          <w:szCs w:val="28"/>
          <w:rtl/>
          <w:lang w:bidi="ar-EG"/>
        </w:rPr>
        <w:sectPr w:rsidR="00C86F97" w:rsidSect="00C86F97">
          <w:footerReference w:type="default" r:id="rId9"/>
          <w:pgSz w:w="11906" w:h="16838"/>
          <w:pgMar w:top="1134" w:right="1134" w:bottom="1134" w:left="1134" w:header="709" w:footer="709" w:gutter="0"/>
          <w:cols w:space="708"/>
          <w:bidi/>
          <w:rtlGutter/>
          <w:docGrid w:linePitch="360"/>
        </w:sectPr>
      </w:pPr>
      <w:r>
        <w:rPr>
          <w:rFonts w:ascii="Simplified Arabic" w:hAnsi="Simplified Arabic" w:cs="Simplified Arabic"/>
          <w:sz w:val="28"/>
          <w:szCs w:val="28"/>
          <w:rtl/>
          <w:lang w:bidi="ar-EG"/>
        </w:rPr>
        <w:br w:type="page"/>
      </w:r>
    </w:p>
    <w:p w14:paraId="750F0D3E" w14:textId="6B7A8583" w:rsidR="008B1451" w:rsidRDefault="008B1451">
      <w:pPr>
        <w:bidi w:val="0"/>
        <w:rPr>
          <w:rFonts w:ascii="Simplified Arabic" w:hAnsi="Simplified Arabic" w:cs="Simplified Arabic"/>
          <w:sz w:val="28"/>
          <w:szCs w:val="28"/>
          <w:rtl/>
          <w:lang w:bidi="ar-EG"/>
        </w:rPr>
      </w:pPr>
    </w:p>
    <w:p w14:paraId="56D7BD2E" w14:textId="2DB019CB" w:rsidR="008A1B90" w:rsidRPr="001323C5" w:rsidRDefault="008A1B90" w:rsidP="00C86F97">
      <w:pPr>
        <w:bidi w:val="0"/>
        <w:rPr>
          <w:rFonts w:asciiTheme="majorBidi" w:eastAsia="Calibri" w:hAnsiTheme="majorBidi" w:cstheme="majorBidi"/>
          <w:b/>
          <w:bCs/>
          <w:color w:val="000000" w:themeColor="text1"/>
          <w:sz w:val="32"/>
          <w:szCs w:val="32"/>
        </w:rPr>
      </w:pPr>
      <w:r w:rsidRPr="001323C5">
        <w:rPr>
          <w:rFonts w:asciiTheme="majorBidi" w:eastAsia="Calibri" w:hAnsiTheme="majorBidi" w:cstheme="majorBidi"/>
          <w:noProof/>
          <w:color w:val="000000" w:themeColor="text1"/>
          <w:sz w:val="32"/>
          <w:szCs w:val="32"/>
        </w:rPr>
        <w:drawing>
          <wp:anchor distT="0" distB="0" distL="114300" distR="114300" simplePos="0" relativeHeight="251666432" behindDoc="1" locked="0" layoutInCell="1" allowOverlap="1" wp14:anchorId="24676A91" wp14:editId="31A08E2E">
            <wp:simplePos x="0" y="0"/>
            <wp:positionH relativeFrom="column">
              <wp:posOffset>4276725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323C5">
        <w:rPr>
          <w:rFonts w:asciiTheme="majorBidi" w:eastAsia="Calibri" w:hAnsiTheme="majorBidi" w:cstheme="majorBidi"/>
          <w:b/>
          <w:bCs/>
          <w:color w:val="000000" w:themeColor="text1"/>
          <w:sz w:val="32"/>
          <w:szCs w:val="32"/>
        </w:rPr>
        <w:t>Mid Ocean University</w:t>
      </w:r>
    </w:p>
    <w:p w14:paraId="2D816AB3" w14:textId="5385D640" w:rsidR="008A1B90" w:rsidRPr="001323C5" w:rsidRDefault="008A1B90" w:rsidP="008A1B90">
      <w:pPr>
        <w:bidi w:val="0"/>
        <w:rPr>
          <w:rFonts w:asciiTheme="majorBidi" w:eastAsia="Calibri" w:hAnsiTheme="majorBidi" w:cstheme="majorBidi"/>
          <w:b/>
          <w:bCs/>
          <w:color w:val="000000" w:themeColor="text1"/>
          <w:sz w:val="32"/>
          <w:szCs w:val="32"/>
        </w:rPr>
      </w:pPr>
      <w:r w:rsidRPr="001323C5">
        <w:rPr>
          <w:rFonts w:asciiTheme="majorBidi" w:eastAsia="Calibri" w:hAnsiTheme="majorBidi" w:cstheme="majorBidi"/>
          <w:b/>
          <w:bCs/>
          <w:color w:val="000000" w:themeColor="text1"/>
          <w:sz w:val="32"/>
          <w:szCs w:val="32"/>
        </w:rPr>
        <w:t>College of Management</w:t>
      </w:r>
    </w:p>
    <w:p w14:paraId="58E71876" w14:textId="04FC58CB" w:rsidR="008A1B90" w:rsidRPr="001323C5" w:rsidRDefault="008A1B90" w:rsidP="008A1B90">
      <w:pPr>
        <w:bidi w:val="0"/>
        <w:rPr>
          <w:rFonts w:asciiTheme="majorBidi" w:eastAsia="Calibri" w:hAnsiTheme="majorBidi" w:cstheme="majorBidi"/>
          <w:b/>
          <w:bCs/>
          <w:color w:val="000000" w:themeColor="text1"/>
          <w:sz w:val="32"/>
          <w:szCs w:val="32"/>
          <w:rtl/>
        </w:rPr>
      </w:pPr>
      <w:r w:rsidRPr="001323C5">
        <w:rPr>
          <w:rFonts w:asciiTheme="majorBidi" w:eastAsia="Calibri" w:hAnsiTheme="majorBidi" w:cstheme="majorBidi"/>
          <w:b/>
          <w:bCs/>
          <w:color w:val="000000" w:themeColor="text1"/>
          <w:sz w:val="32"/>
          <w:szCs w:val="32"/>
        </w:rPr>
        <w:t xml:space="preserve">Department of </w:t>
      </w:r>
      <w:r w:rsidR="004D4F3F" w:rsidRPr="004D4F3F">
        <w:rPr>
          <w:rFonts w:asciiTheme="majorBidi" w:eastAsia="Calibri" w:hAnsiTheme="majorBidi" w:cstheme="majorBidi"/>
          <w:b/>
          <w:bCs/>
          <w:color w:val="000000" w:themeColor="text1"/>
          <w:sz w:val="32"/>
          <w:szCs w:val="32"/>
        </w:rPr>
        <w:t>Human Resources Major</w:t>
      </w:r>
    </w:p>
    <w:p w14:paraId="0B4D7535" w14:textId="730C23CF" w:rsidR="00A37589" w:rsidRDefault="00A37589">
      <w:pPr>
        <w:bidi w:val="0"/>
      </w:pPr>
    </w:p>
    <w:p w14:paraId="5B75EDB2" w14:textId="77777777" w:rsidR="00A37589" w:rsidRDefault="00A37589" w:rsidP="00A37589">
      <w:pPr>
        <w:bidi w:val="0"/>
      </w:pPr>
    </w:p>
    <w:p w14:paraId="5E451F55" w14:textId="77777777" w:rsidR="00A37589" w:rsidRDefault="00A37589" w:rsidP="00A37589">
      <w:pPr>
        <w:bidi w:val="0"/>
        <w:rPr>
          <w:b/>
          <w:bCs/>
          <w:rtl/>
        </w:rPr>
      </w:pPr>
    </w:p>
    <w:p w14:paraId="6C6D3EB0" w14:textId="77777777" w:rsidR="00A37589" w:rsidRDefault="00A37589" w:rsidP="00A37589">
      <w:pPr>
        <w:bidi w:val="0"/>
        <w:rPr>
          <w:b/>
          <w:bCs/>
          <w:rtl/>
        </w:rPr>
      </w:pPr>
    </w:p>
    <w:p w14:paraId="3103D51C" w14:textId="77777777" w:rsidR="008A1B90" w:rsidRDefault="008A1B90" w:rsidP="008A1B90">
      <w:pPr>
        <w:bidi w:val="0"/>
        <w:rPr>
          <w:b/>
          <w:bCs/>
          <w:rtl/>
        </w:rPr>
      </w:pPr>
    </w:p>
    <w:p w14:paraId="562CBB60" w14:textId="1CCFD6B9" w:rsidR="00A37589" w:rsidRPr="008A1B90" w:rsidRDefault="00A37589" w:rsidP="008A1B90">
      <w:pPr>
        <w:bidi w:val="0"/>
        <w:jc w:val="center"/>
        <w:rPr>
          <w:rFonts w:asciiTheme="majorBidi" w:eastAsia="Calibri" w:hAnsiTheme="majorBidi" w:cstheme="majorBidi"/>
          <w:b/>
          <w:bCs/>
          <w:color w:val="000000" w:themeColor="text1"/>
          <w:sz w:val="40"/>
          <w:szCs w:val="40"/>
          <w:rtl/>
          <w:lang w:bidi="ar-EG"/>
        </w:rPr>
      </w:pPr>
      <w:r w:rsidRPr="008A1B90">
        <w:rPr>
          <w:rFonts w:asciiTheme="majorBidi" w:eastAsia="Calibri" w:hAnsiTheme="majorBidi" w:cstheme="majorBidi"/>
          <w:b/>
          <w:bCs/>
          <w:color w:val="000000" w:themeColor="text1"/>
          <w:sz w:val="40"/>
          <w:szCs w:val="40"/>
          <w:lang w:bidi="ar-EG"/>
        </w:rPr>
        <w:t>The Impact of Digital Transformation and Talent Management on Employee Loyalty in Tech Startups in Saudi Arabia</w:t>
      </w:r>
    </w:p>
    <w:p w14:paraId="60FCC09B" w14:textId="77777777" w:rsidR="006E7B50" w:rsidRDefault="006E7B50" w:rsidP="00A37589">
      <w:pPr>
        <w:bidi w:val="0"/>
        <w:rPr>
          <w:rtl/>
        </w:rPr>
      </w:pPr>
    </w:p>
    <w:p w14:paraId="315B7402" w14:textId="77777777" w:rsidR="008A1B90" w:rsidRDefault="008A1B90" w:rsidP="008A1B90">
      <w:pPr>
        <w:bidi w:val="0"/>
        <w:rPr>
          <w:rtl/>
        </w:rPr>
      </w:pPr>
    </w:p>
    <w:p w14:paraId="65A1BFDC" w14:textId="6D824C8F" w:rsidR="00DD1269" w:rsidRDefault="008A1B90" w:rsidP="00CB3B86">
      <w:pPr>
        <w:bidi w:val="0"/>
        <w:spacing w:before="100" w:beforeAutospacing="1" w:after="100" w:afterAutospacing="1" w:line="276" w:lineRule="auto"/>
        <w:jc w:val="center"/>
        <w:rPr>
          <w:rFonts w:asciiTheme="majorBidi" w:hAnsiTheme="majorBidi" w:cstheme="majorBidi"/>
          <w:b/>
          <w:bCs/>
          <w:color w:val="000000" w:themeColor="text1"/>
          <w:sz w:val="36"/>
          <w:szCs w:val="36"/>
          <w:rtl/>
          <w:lang w:bidi="ar-EG"/>
        </w:rPr>
      </w:pPr>
      <w:r w:rsidRPr="001323C5">
        <w:rPr>
          <w:rFonts w:asciiTheme="majorBidi" w:hAnsiTheme="majorBidi" w:cstheme="majorBidi"/>
          <w:b/>
          <w:bCs/>
          <w:color w:val="000000" w:themeColor="text1"/>
          <w:sz w:val="36"/>
          <w:szCs w:val="36"/>
          <w:lang w:bidi="ar-EG"/>
        </w:rPr>
        <w:t>Prepared by:</w:t>
      </w:r>
    </w:p>
    <w:p w14:paraId="70E2B37C" w14:textId="3C6A9359" w:rsidR="00CB3B86" w:rsidRPr="007627BA" w:rsidRDefault="00CB3B86" w:rsidP="00CB3B86">
      <w:pPr>
        <w:bidi w:val="0"/>
        <w:spacing w:before="100" w:beforeAutospacing="1" w:after="100" w:afterAutospacing="1" w:line="276" w:lineRule="auto"/>
        <w:jc w:val="center"/>
        <w:rPr>
          <w:rFonts w:asciiTheme="majorBidi" w:hAnsiTheme="majorBidi" w:cstheme="majorBidi"/>
          <w:color w:val="000000" w:themeColor="text1"/>
          <w:sz w:val="36"/>
          <w:szCs w:val="36"/>
          <w:lang w:bidi="ar-EG"/>
        </w:rPr>
      </w:pPr>
      <w:r w:rsidRPr="007627BA">
        <w:rPr>
          <w:rFonts w:asciiTheme="majorBidi" w:hAnsiTheme="majorBidi" w:cstheme="majorBidi" w:hint="cs"/>
          <w:color w:val="000000" w:themeColor="text1"/>
          <w:sz w:val="36"/>
          <w:szCs w:val="36"/>
          <w:rtl/>
          <w:lang w:bidi="ar-EG"/>
        </w:rPr>
        <w:t xml:space="preserve">Afnan </w:t>
      </w:r>
      <w:r w:rsidR="00E50877" w:rsidRPr="007627BA">
        <w:rPr>
          <w:rFonts w:asciiTheme="majorBidi" w:hAnsiTheme="majorBidi" w:cstheme="majorBidi" w:hint="cs"/>
          <w:color w:val="000000" w:themeColor="text1"/>
          <w:sz w:val="36"/>
          <w:szCs w:val="36"/>
          <w:rtl/>
          <w:lang w:bidi="ar-EG"/>
        </w:rPr>
        <w:t>Mu</w:t>
      </w:r>
      <w:r w:rsidR="00311760" w:rsidRPr="007627BA">
        <w:rPr>
          <w:rFonts w:asciiTheme="majorBidi" w:hAnsiTheme="majorBidi" w:cstheme="majorBidi" w:hint="cs"/>
          <w:color w:val="000000" w:themeColor="text1"/>
          <w:sz w:val="36"/>
          <w:szCs w:val="36"/>
          <w:rtl/>
          <w:lang w:bidi="ar-EG"/>
        </w:rPr>
        <w:t xml:space="preserve">teb </w:t>
      </w:r>
      <w:r w:rsidR="009720FF" w:rsidRPr="007627BA">
        <w:rPr>
          <w:rFonts w:asciiTheme="majorBidi" w:hAnsiTheme="majorBidi" w:cstheme="majorBidi" w:hint="cs"/>
          <w:color w:val="000000" w:themeColor="text1"/>
          <w:sz w:val="36"/>
          <w:szCs w:val="36"/>
          <w:rtl/>
          <w:lang w:bidi="ar-EG"/>
        </w:rPr>
        <w:t xml:space="preserve">Alshammari </w:t>
      </w:r>
    </w:p>
    <w:p w14:paraId="094EAF1B" w14:textId="77777777" w:rsidR="008A1B90" w:rsidRPr="003647A0" w:rsidRDefault="008A1B90" w:rsidP="008A1B90">
      <w:pPr>
        <w:bidi w:val="0"/>
        <w:spacing w:line="276" w:lineRule="auto"/>
        <w:jc w:val="center"/>
        <w:rPr>
          <w:rFonts w:ascii="Simplified Arabic" w:eastAsia="Calibri" w:hAnsi="Simplified Arabic" w:cs="Simplified Arabic"/>
          <w:b/>
          <w:bCs/>
          <w:kern w:val="0"/>
          <w:sz w:val="36"/>
          <w:szCs w:val="36"/>
          <w:rtl/>
          <w:lang w:bidi="ar-EG"/>
          <w14:ligatures w14:val="none"/>
        </w:rPr>
      </w:pPr>
    </w:p>
    <w:p w14:paraId="2AA04F5D" w14:textId="77777777" w:rsidR="008A1B90" w:rsidRPr="003647A0" w:rsidRDefault="008A1B90" w:rsidP="008A1B90">
      <w:pPr>
        <w:bidi w:val="0"/>
        <w:spacing w:line="276" w:lineRule="auto"/>
        <w:jc w:val="center"/>
        <w:rPr>
          <w:rFonts w:ascii="Simplified Arabic" w:eastAsia="Calibri" w:hAnsi="Simplified Arabic" w:cs="Simplified Arabic"/>
          <w:b/>
          <w:bCs/>
          <w:kern w:val="0"/>
          <w:sz w:val="36"/>
          <w:szCs w:val="36"/>
          <w:rtl/>
          <w:lang w:bidi="ar-EG"/>
          <w14:ligatures w14:val="none"/>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A1B90" w:rsidRPr="00744646" w14:paraId="2922A71F" w14:textId="77777777" w:rsidTr="003F35F1">
        <w:tc>
          <w:tcPr>
            <w:tcW w:w="4530" w:type="dxa"/>
          </w:tcPr>
          <w:p w14:paraId="6311713C" w14:textId="77777777" w:rsidR="008A1B90" w:rsidRPr="00744646" w:rsidRDefault="008A1B90"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Main supervisor</w:t>
            </w:r>
            <w:r w:rsidRPr="007446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F31EB75" w14:textId="77777777" w:rsidR="008A1B90" w:rsidRPr="00744646" w:rsidRDefault="008A1B90"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Second supervisor</w:t>
            </w:r>
            <w:r w:rsidRPr="00744646">
              <w:rPr>
                <w:rFonts w:asciiTheme="majorBidi" w:eastAsia="Calibri" w:hAnsiTheme="majorBidi" w:cstheme="majorBidi"/>
                <w:b/>
                <w:bCs/>
                <w:color w:val="000000" w:themeColor="text1"/>
                <w:kern w:val="0"/>
                <w:sz w:val="36"/>
                <w:szCs w:val="36"/>
                <w:rtl/>
                <w:lang w:bidi="ar-EG"/>
                <w14:ligatures w14:val="none"/>
              </w:rPr>
              <w:t>/</w:t>
            </w:r>
          </w:p>
        </w:tc>
      </w:tr>
      <w:tr w:rsidR="008A1B90" w:rsidRPr="00744646" w14:paraId="441A1B5A" w14:textId="77777777" w:rsidTr="003F35F1">
        <w:tc>
          <w:tcPr>
            <w:tcW w:w="4530" w:type="dxa"/>
          </w:tcPr>
          <w:p w14:paraId="31720BE8" w14:textId="77777777" w:rsidR="008A1B90" w:rsidRPr="00744646" w:rsidRDefault="008A1B90"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F3F8D3B" w14:textId="77777777" w:rsidR="008A1B90" w:rsidRPr="00744646" w:rsidRDefault="008A1B90"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Fayez Jarad</w:t>
            </w:r>
          </w:p>
        </w:tc>
      </w:tr>
    </w:tbl>
    <w:p w14:paraId="38981C8B" w14:textId="77777777" w:rsidR="008A1B90" w:rsidRPr="0038216D" w:rsidRDefault="008A1B90" w:rsidP="008A1B90">
      <w:pPr>
        <w:bidi w:val="0"/>
        <w:spacing w:line="276" w:lineRule="auto"/>
        <w:jc w:val="center"/>
        <w:rPr>
          <w:rFonts w:ascii="Simplified Arabic" w:eastAsia="Calibri" w:hAnsi="Simplified Arabic" w:cs="Simplified Arabic"/>
          <w:b/>
          <w:bCs/>
          <w:kern w:val="0"/>
          <w:sz w:val="28"/>
          <w:szCs w:val="28"/>
          <w:rtl/>
          <w:lang w:bidi="ar-EG"/>
          <w14:ligatures w14:val="none"/>
        </w:rPr>
      </w:pPr>
    </w:p>
    <w:p w14:paraId="3E8BD9F6" w14:textId="77777777" w:rsidR="008A1B90" w:rsidRPr="00744646" w:rsidRDefault="008A1B90" w:rsidP="008A1B9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44646">
        <w:rPr>
          <w:rFonts w:asciiTheme="majorBidi" w:hAnsiTheme="majorBidi" w:cstheme="majorBidi"/>
          <w:color w:val="000000" w:themeColor="text1"/>
          <w:kern w:val="0"/>
          <w:sz w:val="36"/>
          <w:szCs w:val="36"/>
          <w:rtl/>
          <w:lang w:bidi="ar-EG"/>
          <w14:ligatures w14:val="none"/>
        </w:rPr>
        <w:t>1448 – 2026</w:t>
      </w:r>
    </w:p>
    <w:p w14:paraId="16358790" w14:textId="77777777" w:rsidR="008A1B90" w:rsidRPr="003647A0" w:rsidRDefault="008A1B90" w:rsidP="008A1B90">
      <w:pPr>
        <w:bidi w:val="0"/>
        <w:spacing w:line="276" w:lineRule="auto"/>
        <w:jc w:val="center"/>
        <w:rPr>
          <w:rFonts w:ascii="Simplified Arabic" w:hAnsi="Simplified Arabic" w:cs="Simplified Arabic"/>
          <w:sz w:val="36"/>
          <w:szCs w:val="36"/>
          <w:rtl/>
        </w:rPr>
      </w:pPr>
    </w:p>
    <w:p w14:paraId="30F19187" w14:textId="77777777" w:rsidR="008A1B90" w:rsidRDefault="008A1B90" w:rsidP="008A1B90">
      <w:pPr>
        <w:bidi w:val="0"/>
      </w:pPr>
    </w:p>
    <w:sectPr w:rsidR="008A1B90" w:rsidSect="00A37589">
      <w:footerReference w:type="default" r:id="rId11"/>
      <w:pgSz w:w="11906" w:h="16838"/>
      <w:pgMar w:top="1134" w:right="1134" w:bottom="1134" w:left="1134" w:header="709" w:footer="709" w:gutter="0"/>
      <w:pgNumType w:fmt="arabicAbjad"/>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0FEF921" w14:textId="77777777" w:rsidR="00782016" w:rsidRDefault="00782016" w:rsidP="00A37589">
      <w:pPr>
        <w:spacing w:after="0" w:line="240" w:lineRule="auto"/>
      </w:pPr>
      <w:r>
        <w:separator/>
      </w:r>
    </w:p>
  </w:endnote>
  <w:endnote w:type="continuationSeparator" w:id="0">
    <w:p w14:paraId="55E227B0" w14:textId="77777777" w:rsidR="00782016" w:rsidRDefault="00782016" w:rsidP="00A37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425885878"/>
      <w:docPartObj>
        <w:docPartGallery w:val="Page Numbers (Bottom of Page)"/>
        <w:docPartUnique/>
      </w:docPartObj>
    </w:sdtPr>
    <w:sdtEndPr/>
    <w:sdtContent>
      <w:p w14:paraId="67A6C2D6" w14:textId="66FF82F0" w:rsidR="00C86F97" w:rsidRDefault="00C86F97">
        <w:pPr>
          <w:pStyle w:val="af"/>
          <w:jc w:val="center"/>
        </w:pPr>
        <w:r>
          <w:fldChar w:fldCharType="begin"/>
        </w:r>
        <w:r>
          <w:instrText>PAGE   \* MERGEFORMAT</w:instrText>
        </w:r>
        <w:r>
          <w:fldChar w:fldCharType="separate"/>
        </w:r>
        <w:r>
          <w:rPr>
            <w:rtl/>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046FA7" w14:textId="77777777" w:rsidR="00C86F97" w:rsidRPr="00A37589" w:rsidRDefault="00C86F97" w:rsidP="00A37589">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76784C" w14:textId="77777777" w:rsidR="00782016" w:rsidRDefault="00782016" w:rsidP="00A37589">
      <w:pPr>
        <w:spacing w:after="0" w:line="240" w:lineRule="auto"/>
      </w:pPr>
      <w:r>
        <w:separator/>
      </w:r>
    </w:p>
  </w:footnote>
  <w:footnote w:type="continuationSeparator" w:id="0">
    <w:p w14:paraId="397FC681" w14:textId="77777777" w:rsidR="00782016" w:rsidRDefault="00782016" w:rsidP="00A375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0E34B6"/>
    <w:multiLevelType w:val="multilevel"/>
    <w:tmpl w:val="150008F6"/>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D0810"/>
    <w:multiLevelType w:val="hybridMultilevel"/>
    <w:tmpl w:val="0F22D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65CD5"/>
    <w:multiLevelType w:val="multilevel"/>
    <w:tmpl w:val="AA18D862"/>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B5C2A"/>
    <w:multiLevelType w:val="hybridMultilevel"/>
    <w:tmpl w:val="E06AFA86"/>
    <w:lvl w:ilvl="0" w:tplc="A2285AF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E420BB"/>
    <w:multiLevelType w:val="multilevel"/>
    <w:tmpl w:val="61767156"/>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4355C"/>
    <w:multiLevelType w:val="hybridMultilevel"/>
    <w:tmpl w:val="ABFA0622"/>
    <w:lvl w:ilvl="0" w:tplc="A2285AF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170184F"/>
    <w:multiLevelType w:val="hybridMultilevel"/>
    <w:tmpl w:val="785E51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871867"/>
    <w:multiLevelType w:val="hybridMultilevel"/>
    <w:tmpl w:val="61127F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79A1D4A"/>
    <w:multiLevelType w:val="multilevel"/>
    <w:tmpl w:val="EBBC259E"/>
    <w:lvl w:ilvl="0">
      <w:start w:val="1"/>
      <w:numFmt w:val="bullet"/>
      <w:lvlText w:val=""/>
      <w:lvlJc w:val="left"/>
      <w:pPr>
        <w:tabs>
          <w:tab w:val="num" w:pos="720"/>
        </w:tabs>
        <w:ind w:left="720" w:hanging="360"/>
      </w:pPr>
      <w:rPr>
        <w:rFonts w:ascii="Wingdings" w:hAnsi="Wingdings" w:hint="default"/>
        <w:sz w:val="28"/>
        <w:szCs w:val="28"/>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B43BE0"/>
    <w:multiLevelType w:val="multilevel"/>
    <w:tmpl w:val="2F8EDCD4"/>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367A2D"/>
    <w:multiLevelType w:val="multilevel"/>
    <w:tmpl w:val="5276D010"/>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D70309"/>
    <w:multiLevelType w:val="hybridMultilevel"/>
    <w:tmpl w:val="EA0671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7E5511"/>
    <w:multiLevelType w:val="multilevel"/>
    <w:tmpl w:val="DA1622C6"/>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DB5A05"/>
    <w:multiLevelType w:val="multilevel"/>
    <w:tmpl w:val="4E22FABA"/>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EE78DD"/>
    <w:multiLevelType w:val="hybridMultilevel"/>
    <w:tmpl w:val="12E2BD1E"/>
    <w:lvl w:ilvl="0" w:tplc="A2285AF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5DE35C0"/>
    <w:multiLevelType w:val="hybridMultilevel"/>
    <w:tmpl w:val="5F5489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824884"/>
    <w:multiLevelType w:val="hybridMultilevel"/>
    <w:tmpl w:val="55340C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4E4D5D"/>
    <w:multiLevelType w:val="hybridMultilevel"/>
    <w:tmpl w:val="7B0E524E"/>
    <w:lvl w:ilvl="0" w:tplc="A2285AF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A265066"/>
    <w:multiLevelType w:val="hybridMultilevel"/>
    <w:tmpl w:val="64440D4E"/>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F148F0"/>
    <w:multiLevelType w:val="multilevel"/>
    <w:tmpl w:val="4C34DEC0"/>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0B2ACF"/>
    <w:multiLevelType w:val="hybridMultilevel"/>
    <w:tmpl w:val="098CC172"/>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0D6C01"/>
    <w:multiLevelType w:val="hybridMultilevel"/>
    <w:tmpl w:val="803CF45E"/>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755989"/>
    <w:multiLevelType w:val="hybridMultilevel"/>
    <w:tmpl w:val="61127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945F04"/>
    <w:multiLevelType w:val="hybridMultilevel"/>
    <w:tmpl w:val="D3F04A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D22B1B"/>
    <w:multiLevelType w:val="multilevel"/>
    <w:tmpl w:val="646853A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380CDD"/>
    <w:multiLevelType w:val="hybridMultilevel"/>
    <w:tmpl w:val="514052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7077AE"/>
    <w:multiLevelType w:val="hybridMultilevel"/>
    <w:tmpl w:val="2E6063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863B98"/>
    <w:multiLevelType w:val="multilevel"/>
    <w:tmpl w:val="03A62EC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A4639D"/>
    <w:multiLevelType w:val="hybridMultilevel"/>
    <w:tmpl w:val="803CF45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F0A7B89"/>
    <w:multiLevelType w:val="multilevel"/>
    <w:tmpl w:val="DB225632"/>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3555359">
    <w:abstractNumId w:val="27"/>
  </w:num>
  <w:num w:numId="2" w16cid:durableId="1831562104">
    <w:abstractNumId w:val="10"/>
  </w:num>
  <w:num w:numId="3" w16cid:durableId="289210440">
    <w:abstractNumId w:val="2"/>
  </w:num>
  <w:num w:numId="4" w16cid:durableId="1524053690">
    <w:abstractNumId w:val="19"/>
  </w:num>
  <w:num w:numId="5" w16cid:durableId="968823303">
    <w:abstractNumId w:val="9"/>
  </w:num>
  <w:num w:numId="6" w16cid:durableId="511534241">
    <w:abstractNumId w:val="11"/>
  </w:num>
  <w:num w:numId="7" w16cid:durableId="1390180962">
    <w:abstractNumId w:val="15"/>
  </w:num>
  <w:num w:numId="8" w16cid:durableId="1219902562">
    <w:abstractNumId w:val="22"/>
  </w:num>
  <w:num w:numId="9" w16cid:durableId="1582444166">
    <w:abstractNumId w:val="7"/>
  </w:num>
  <w:num w:numId="10" w16cid:durableId="25066540">
    <w:abstractNumId w:val="23"/>
  </w:num>
  <w:num w:numId="11" w16cid:durableId="1148669946">
    <w:abstractNumId w:val="26"/>
  </w:num>
  <w:num w:numId="12" w16cid:durableId="629284259">
    <w:abstractNumId w:val="12"/>
  </w:num>
  <w:num w:numId="13" w16cid:durableId="1855805629">
    <w:abstractNumId w:val="6"/>
  </w:num>
  <w:num w:numId="14" w16cid:durableId="869412863">
    <w:abstractNumId w:val="1"/>
  </w:num>
  <w:num w:numId="15" w16cid:durableId="1871449628">
    <w:abstractNumId w:val="25"/>
  </w:num>
  <w:num w:numId="16" w16cid:durableId="925109593">
    <w:abstractNumId w:val="13"/>
  </w:num>
  <w:num w:numId="17" w16cid:durableId="370344096">
    <w:abstractNumId w:val="29"/>
  </w:num>
  <w:num w:numId="18" w16cid:durableId="1148519029">
    <w:abstractNumId w:val="8"/>
  </w:num>
  <w:num w:numId="19" w16cid:durableId="2005012383">
    <w:abstractNumId w:val="21"/>
  </w:num>
  <w:num w:numId="20" w16cid:durableId="1367023444">
    <w:abstractNumId w:val="28"/>
  </w:num>
  <w:num w:numId="21" w16cid:durableId="1625651872">
    <w:abstractNumId w:val="4"/>
  </w:num>
  <w:num w:numId="22" w16cid:durableId="12222096">
    <w:abstractNumId w:val="16"/>
  </w:num>
  <w:num w:numId="23" w16cid:durableId="676422570">
    <w:abstractNumId w:val="14"/>
  </w:num>
  <w:num w:numId="24" w16cid:durableId="1580140712">
    <w:abstractNumId w:val="17"/>
  </w:num>
  <w:num w:numId="25" w16cid:durableId="715542359">
    <w:abstractNumId w:val="3"/>
  </w:num>
  <w:num w:numId="26" w16cid:durableId="1624581107">
    <w:abstractNumId w:val="0"/>
  </w:num>
  <w:num w:numId="27" w16cid:durableId="1878078415">
    <w:abstractNumId w:val="24"/>
  </w:num>
  <w:num w:numId="28" w16cid:durableId="981080115">
    <w:abstractNumId w:val="5"/>
  </w:num>
  <w:num w:numId="29" w16cid:durableId="914703483">
    <w:abstractNumId w:val="20"/>
  </w:num>
  <w:num w:numId="30" w16cid:durableId="34083058">
    <w:abstractNumId w:val="18"/>
  </w:num>
  <w:numIdMacAtCleanup w:val="3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27A"/>
    <w:rsid w:val="001469DD"/>
    <w:rsid w:val="00261D7D"/>
    <w:rsid w:val="00311760"/>
    <w:rsid w:val="00333756"/>
    <w:rsid w:val="004668FE"/>
    <w:rsid w:val="004C527A"/>
    <w:rsid w:val="004D4F3F"/>
    <w:rsid w:val="00574992"/>
    <w:rsid w:val="005D6D36"/>
    <w:rsid w:val="005F0787"/>
    <w:rsid w:val="00665143"/>
    <w:rsid w:val="006E7B50"/>
    <w:rsid w:val="007627BA"/>
    <w:rsid w:val="00782016"/>
    <w:rsid w:val="00882BBE"/>
    <w:rsid w:val="008A1B90"/>
    <w:rsid w:val="008B1451"/>
    <w:rsid w:val="009720FF"/>
    <w:rsid w:val="009C7B87"/>
    <w:rsid w:val="00A37589"/>
    <w:rsid w:val="00A93490"/>
    <w:rsid w:val="00AB1BE5"/>
    <w:rsid w:val="00B671F1"/>
    <w:rsid w:val="00C86F97"/>
    <w:rsid w:val="00CB3B86"/>
    <w:rsid w:val="00D70CB4"/>
    <w:rsid w:val="00DA4D8C"/>
    <w:rsid w:val="00DD1269"/>
    <w:rsid w:val="00E21472"/>
    <w:rsid w:val="00E50877"/>
    <w:rsid w:val="00FA1F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C7330"/>
  <w15:chartTrackingRefBased/>
  <w15:docId w15:val="{01ACC795-331A-4C13-9955-6763A45A0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C52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C52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4C527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C527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C527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C527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C527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C527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C527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C527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4C527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4C527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C527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C527A"/>
    <w:rPr>
      <w:rFonts w:eastAsiaTheme="majorEastAsia" w:cstheme="majorBidi"/>
      <w:color w:val="2F5496" w:themeColor="accent1" w:themeShade="BF"/>
    </w:rPr>
  </w:style>
  <w:style w:type="character" w:customStyle="1" w:styleId="6Char">
    <w:name w:val="عنوان 6 Char"/>
    <w:basedOn w:val="a0"/>
    <w:link w:val="6"/>
    <w:uiPriority w:val="9"/>
    <w:semiHidden/>
    <w:rsid w:val="004C527A"/>
    <w:rPr>
      <w:rFonts w:eastAsiaTheme="majorEastAsia" w:cstheme="majorBidi"/>
      <w:i/>
      <w:iCs/>
      <w:color w:val="595959" w:themeColor="text1" w:themeTint="A6"/>
    </w:rPr>
  </w:style>
  <w:style w:type="character" w:customStyle="1" w:styleId="7Char">
    <w:name w:val="عنوان 7 Char"/>
    <w:basedOn w:val="a0"/>
    <w:link w:val="7"/>
    <w:uiPriority w:val="9"/>
    <w:semiHidden/>
    <w:rsid w:val="004C527A"/>
    <w:rPr>
      <w:rFonts w:eastAsiaTheme="majorEastAsia" w:cstheme="majorBidi"/>
      <w:color w:val="595959" w:themeColor="text1" w:themeTint="A6"/>
    </w:rPr>
  </w:style>
  <w:style w:type="character" w:customStyle="1" w:styleId="8Char">
    <w:name w:val="عنوان 8 Char"/>
    <w:basedOn w:val="a0"/>
    <w:link w:val="8"/>
    <w:uiPriority w:val="9"/>
    <w:semiHidden/>
    <w:rsid w:val="004C527A"/>
    <w:rPr>
      <w:rFonts w:eastAsiaTheme="majorEastAsia" w:cstheme="majorBidi"/>
      <w:i/>
      <w:iCs/>
      <w:color w:val="272727" w:themeColor="text1" w:themeTint="D8"/>
    </w:rPr>
  </w:style>
  <w:style w:type="character" w:customStyle="1" w:styleId="9Char">
    <w:name w:val="عنوان 9 Char"/>
    <w:basedOn w:val="a0"/>
    <w:link w:val="9"/>
    <w:uiPriority w:val="9"/>
    <w:semiHidden/>
    <w:rsid w:val="004C527A"/>
    <w:rPr>
      <w:rFonts w:eastAsiaTheme="majorEastAsia" w:cstheme="majorBidi"/>
      <w:color w:val="272727" w:themeColor="text1" w:themeTint="D8"/>
    </w:rPr>
  </w:style>
  <w:style w:type="paragraph" w:styleId="a3">
    <w:name w:val="Title"/>
    <w:basedOn w:val="a"/>
    <w:next w:val="a"/>
    <w:link w:val="Char"/>
    <w:uiPriority w:val="10"/>
    <w:qFormat/>
    <w:rsid w:val="004C52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C527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C527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C527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C527A"/>
    <w:pPr>
      <w:spacing w:before="160"/>
      <w:jc w:val="center"/>
    </w:pPr>
    <w:rPr>
      <w:i/>
      <w:iCs/>
      <w:color w:val="404040" w:themeColor="text1" w:themeTint="BF"/>
    </w:rPr>
  </w:style>
  <w:style w:type="character" w:customStyle="1" w:styleId="Char1">
    <w:name w:val="اقتباس Char"/>
    <w:basedOn w:val="a0"/>
    <w:link w:val="a5"/>
    <w:uiPriority w:val="29"/>
    <w:rsid w:val="004C527A"/>
    <w:rPr>
      <w:i/>
      <w:iCs/>
      <w:color w:val="404040" w:themeColor="text1" w:themeTint="BF"/>
    </w:rPr>
  </w:style>
  <w:style w:type="paragraph" w:styleId="a6">
    <w:name w:val="List Paragraph"/>
    <w:basedOn w:val="a"/>
    <w:uiPriority w:val="34"/>
    <w:qFormat/>
    <w:rsid w:val="004C527A"/>
    <w:pPr>
      <w:ind w:left="720"/>
      <w:contextualSpacing/>
    </w:pPr>
  </w:style>
  <w:style w:type="character" w:styleId="a7">
    <w:name w:val="Intense Emphasis"/>
    <w:basedOn w:val="a0"/>
    <w:uiPriority w:val="21"/>
    <w:qFormat/>
    <w:rsid w:val="004C527A"/>
    <w:rPr>
      <w:i/>
      <w:iCs/>
      <w:color w:val="2F5496" w:themeColor="accent1" w:themeShade="BF"/>
    </w:rPr>
  </w:style>
  <w:style w:type="paragraph" w:styleId="a8">
    <w:name w:val="Intense Quote"/>
    <w:basedOn w:val="a"/>
    <w:next w:val="a"/>
    <w:link w:val="Char2"/>
    <w:uiPriority w:val="30"/>
    <w:qFormat/>
    <w:rsid w:val="004C52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C527A"/>
    <w:rPr>
      <w:i/>
      <w:iCs/>
      <w:color w:val="2F5496" w:themeColor="accent1" w:themeShade="BF"/>
    </w:rPr>
  </w:style>
  <w:style w:type="character" w:styleId="a9">
    <w:name w:val="Intense Reference"/>
    <w:basedOn w:val="a0"/>
    <w:uiPriority w:val="32"/>
    <w:qFormat/>
    <w:rsid w:val="004C527A"/>
    <w:rPr>
      <w:b/>
      <w:bCs/>
      <w:smallCaps/>
      <w:color w:val="2F5496" w:themeColor="accent1" w:themeShade="BF"/>
      <w:spacing w:val="5"/>
    </w:rPr>
  </w:style>
  <w:style w:type="character" w:styleId="Hyperlink">
    <w:name w:val="Hyperlink"/>
    <w:basedOn w:val="a0"/>
    <w:uiPriority w:val="99"/>
    <w:unhideWhenUsed/>
    <w:rsid w:val="00E21472"/>
    <w:rPr>
      <w:color w:val="0563C1" w:themeColor="hyperlink"/>
      <w:u w:val="single"/>
    </w:rPr>
  </w:style>
  <w:style w:type="character" w:styleId="aa">
    <w:name w:val="Unresolved Mention"/>
    <w:basedOn w:val="a0"/>
    <w:uiPriority w:val="99"/>
    <w:semiHidden/>
    <w:unhideWhenUsed/>
    <w:rsid w:val="00E21472"/>
    <w:rPr>
      <w:color w:val="605E5C"/>
      <w:shd w:val="clear" w:color="auto" w:fill="E1DFDD"/>
    </w:rPr>
  </w:style>
  <w:style w:type="paragraph" w:customStyle="1" w:styleId="msonormal0">
    <w:name w:val="msonormal"/>
    <w:basedOn w:val="a"/>
    <w:rsid w:val="006651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b">
    <w:name w:val="Normal (Web)"/>
    <w:basedOn w:val="a"/>
    <w:uiPriority w:val="99"/>
    <w:semiHidden/>
    <w:unhideWhenUsed/>
    <w:rsid w:val="006651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Strong"/>
    <w:basedOn w:val="a0"/>
    <w:uiPriority w:val="22"/>
    <w:qFormat/>
    <w:rsid w:val="00665143"/>
    <w:rPr>
      <w:b/>
      <w:bCs/>
    </w:rPr>
  </w:style>
  <w:style w:type="table" w:styleId="ad">
    <w:name w:val="Table Grid"/>
    <w:basedOn w:val="a1"/>
    <w:uiPriority w:val="39"/>
    <w:rsid w:val="00A37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Char3"/>
    <w:uiPriority w:val="99"/>
    <w:unhideWhenUsed/>
    <w:rsid w:val="00A37589"/>
    <w:pPr>
      <w:tabs>
        <w:tab w:val="center" w:pos="4153"/>
        <w:tab w:val="right" w:pos="8306"/>
      </w:tabs>
      <w:spacing w:after="0" w:line="240" w:lineRule="auto"/>
    </w:pPr>
  </w:style>
  <w:style w:type="character" w:customStyle="1" w:styleId="Char3">
    <w:name w:val="رأس الصفحة Char"/>
    <w:basedOn w:val="a0"/>
    <w:link w:val="ae"/>
    <w:uiPriority w:val="99"/>
    <w:rsid w:val="00A37589"/>
  </w:style>
  <w:style w:type="paragraph" w:styleId="af">
    <w:name w:val="footer"/>
    <w:basedOn w:val="a"/>
    <w:link w:val="Char4"/>
    <w:uiPriority w:val="99"/>
    <w:unhideWhenUsed/>
    <w:rsid w:val="00A37589"/>
    <w:pPr>
      <w:tabs>
        <w:tab w:val="center" w:pos="4153"/>
        <w:tab w:val="right" w:pos="8306"/>
      </w:tabs>
      <w:spacing w:after="0" w:line="240" w:lineRule="auto"/>
    </w:pPr>
  </w:style>
  <w:style w:type="character" w:customStyle="1" w:styleId="Char4">
    <w:name w:val="تذييل الصفحة Char"/>
    <w:basedOn w:val="a0"/>
    <w:link w:val="af"/>
    <w:uiPriority w:val="99"/>
    <w:rsid w:val="00A37589"/>
  </w:style>
  <w:style w:type="table" w:styleId="4-2">
    <w:name w:val="Grid Table 4 Accent 2"/>
    <w:basedOn w:val="a1"/>
    <w:uiPriority w:val="49"/>
    <w:rsid w:val="00A3758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
    <w:name w:val="Grid Table 4 Accent 3"/>
    <w:basedOn w:val="a1"/>
    <w:uiPriority w:val="49"/>
    <w:rsid w:val="005F078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0">
    <w:name w:val="TOC Heading"/>
    <w:basedOn w:val="1"/>
    <w:next w:val="a"/>
    <w:uiPriority w:val="39"/>
    <w:unhideWhenUsed/>
    <w:qFormat/>
    <w:rsid w:val="00333756"/>
    <w:pPr>
      <w:spacing w:before="240" w:after="0"/>
      <w:outlineLvl w:val="9"/>
    </w:pPr>
    <w:rPr>
      <w:kern w:val="0"/>
      <w:sz w:val="32"/>
      <w:szCs w:val="32"/>
      <w:rtl/>
      <w14:ligatures w14:val="none"/>
    </w:rPr>
  </w:style>
  <w:style w:type="paragraph" w:styleId="10">
    <w:name w:val="toc 1"/>
    <w:basedOn w:val="a"/>
    <w:next w:val="a"/>
    <w:autoRedefine/>
    <w:uiPriority w:val="39"/>
    <w:unhideWhenUsed/>
    <w:rsid w:val="00333756"/>
    <w:pPr>
      <w:spacing w:after="100"/>
    </w:pPr>
  </w:style>
  <w:style w:type="paragraph" w:styleId="20">
    <w:name w:val="toc 2"/>
    <w:basedOn w:val="a"/>
    <w:next w:val="a"/>
    <w:autoRedefine/>
    <w:uiPriority w:val="39"/>
    <w:unhideWhenUsed/>
    <w:rsid w:val="00333756"/>
    <w:pPr>
      <w:spacing w:after="100"/>
      <w:ind w:left="220"/>
    </w:pPr>
  </w:style>
  <w:style w:type="paragraph" w:styleId="30">
    <w:name w:val="toc 3"/>
    <w:basedOn w:val="a"/>
    <w:next w:val="a"/>
    <w:autoRedefine/>
    <w:uiPriority w:val="39"/>
    <w:unhideWhenUsed/>
    <w:rsid w:val="0033375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C744B-1561-4790-82CF-4FACC5642A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10941</Words>
  <Characters>62369</Characters>
  <Application>Microsoft Office Word</Application>
  <DocSecurity>0</DocSecurity>
  <Lines>519</Lines>
  <Paragraphs>146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افنان الشمري</cp:lastModifiedBy>
  <cp:revision>2</cp:revision>
  <dcterms:created xsi:type="dcterms:W3CDTF">2026-07-14T10:41:00Z</dcterms:created>
  <dcterms:modified xsi:type="dcterms:W3CDTF">2026-07-14T10:41:00Z</dcterms:modified>
</cp:coreProperties>
</file>