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494494" w:rsidR="6D4C6E53" w:rsidP="32162B0C" w:rsidRDefault="031F1CB8" w14:paraId="6F87404D" w14:textId="70B5FA61">
      <w:pPr>
        <w:spacing w:before="240" w:after="240"/>
        <w:rPr>
          <w:rFonts w:ascii="Calibri" w:hAnsi="Calibri" w:eastAsia="Calibri" w:cs="Calibri"/>
        </w:rPr>
      </w:pPr>
      <w:r w:rsidRPr="44A0C547" w:rsidR="2CF68EF9">
        <w:rPr>
          <w:rFonts w:ascii="Calibri" w:hAnsi="Calibri" w:eastAsia="Calibri" w:cs="Calibri"/>
          <w:b w:val="1"/>
          <w:bCs w:val="1"/>
          <w:color w:val="000000" w:themeColor="text1" w:themeTint="FF" w:themeShade="FF"/>
        </w:rPr>
        <w:t>Student Name:</w:t>
      </w:r>
      <w:r w:rsidRPr="44A0C547" w:rsidR="2CF68EF9">
        <w:rPr>
          <w:rFonts w:ascii="Calibri" w:hAnsi="Calibri" w:eastAsia="Calibri" w:cs="Calibri"/>
          <w:color w:val="000000" w:themeColor="text1" w:themeTint="FF" w:themeShade="FF"/>
        </w:rPr>
        <w:t xml:space="preserve"> Abdulaziz Mari</w:t>
      </w:r>
      <w:r w:rsidRPr="44A0C547" w:rsidR="40DB632C">
        <w:rPr>
          <w:rFonts w:ascii="Calibri" w:hAnsi="Calibri" w:eastAsia="Calibri" w:cs="Calibri"/>
          <w:color w:val="000000" w:themeColor="text1" w:themeTint="FF" w:themeShade="FF"/>
        </w:rPr>
        <w:t xml:space="preserve"> </w:t>
      </w:r>
      <w:r w:rsidRPr="44A0C547" w:rsidR="6186E905">
        <w:rPr>
          <w:rFonts w:ascii="Calibri" w:hAnsi="Calibri" w:eastAsia="Calibri" w:cs="Calibri"/>
          <w:color w:val="000000" w:themeColor="text1" w:themeTint="FF" w:themeShade="FF"/>
        </w:rPr>
        <w:t>(</w:t>
      </w:r>
      <w:r w:rsidRPr="44A0C547" w:rsidR="3136FDD8">
        <w:rPr>
          <w:rFonts w:ascii="Calibri" w:hAnsi="Calibri" w:eastAsia="Calibri" w:cs="Calibri"/>
          <w:color w:val="000000" w:themeColor="text1" w:themeTint="FF" w:themeShade="FF"/>
        </w:rPr>
        <w:t xml:space="preserve">papers </w:t>
      </w:r>
      <w:r w:rsidRPr="44A0C547" w:rsidR="40DB632C">
        <w:rPr>
          <w:rFonts w:ascii="Calibri" w:hAnsi="Calibri" w:eastAsia="Calibri" w:cs="Calibri"/>
          <w:color w:val="000000" w:themeColor="text1" w:themeTint="FF" w:themeShade="FF"/>
        </w:rPr>
        <w:t>1-8</w:t>
      </w:r>
      <w:r w:rsidRPr="44A0C547" w:rsidR="4741F7BB">
        <w:rPr>
          <w:rFonts w:ascii="Calibri" w:hAnsi="Calibri" w:eastAsia="Calibri" w:cs="Calibri"/>
          <w:color w:val="000000" w:themeColor="text1" w:themeTint="FF" w:themeShade="FF"/>
        </w:rPr>
        <w:t>)</w:t>
      </w:r>
      <w:r>
        <w:br/>
      </w:r>
      <w:r w:rsidRPr="44A0C547" w:rsidR="2CF68EF9">
        <w:rPr>
          <w:rFonts w:ascii="Calibri" w:hAnsi="Calibri" w:eastAsia="Calibri" w:cs="Calibri"/>
          <w:b w:val="1"/>
          <w:bCs w:val="1"/>
          <w:color w:val="000000" w:themeColor="text1" w:themeTint="FF" w:themeShade="FF"/>
        </w:rPr>
        <w:t>Partner Name:</w:t>
      </w:r>
      <w:r w:rsidRPr="44A0C547" w:rsidR="2CF68EF9">
        <w:rPr>
          <w:rFonts w:ascii="Calibri" w:hAnsi="Calibri" w:eastAsia="Calibri" w:cs="Calibri"/>
          <w:color w:val="000000" w:themeColor="text1" w:themeTint="FF" w:themeShade="FF"/>
        </w:rPr>
        <w:t xml:space="preserve"> Ali </w:t>
      </w:r>
      <w:r w:rsidRPr="44A0C547" w:rsidR="29BB8FEC">
        <w:rPr>
          <w:rFonts w:ascii="Calibri" w:hAnsi="Calibri" w:eastAsia="Calibri" w:cs="Calibri"/>
          <w:color w:val="000000" w:themeColor="text1" w:themeTint="FF" w:themeShade="FF"/>
        </w:rPr>
        <w:t>Alzunaydi (</w:t>
      </w:r>
      <w:r w:rsidRPr="44A0C547" w:rsidR="194DAB23">
        <w:rPr>
          <w:rFonts w:ascii="Calibri" w:hAnsi="Calibri" w:eastAsia="Calibri" w:cs="Calibri"/>
          <w:color w:val="000000" w:themeColor="text1" w:themeTint="FF" w:themeShade="FF"/>
        </w:rPr>
        <w:t>papers 9-15)</w:t>
      </w:r>
      <w:r>
        <w:br/>
      </w:r>
      <w:r w:rsidRPr="44A0C547" w:rsidR="2CF68EF9">
        <w:rPr>
          <w:rFonts w:ascii="Calibri" w:hAnsi="Calibri" w:eastAsia="Calibri" w:cs="Calibri"/>
          <w:b w:val="1"/>
          <w:bCs w:val="1"/>
          <w:color w:val="000000" w:themeColor="text1" w:themeTint="FF" w:themeShade="FF"/>
        </w:rPr>
        <w:t>Project Title:</w:t>
      </w:r>
      <w:r w:rsidRPr="44A0C547" w:rsidR="2CF68EF9">
        <w:rPr>
          <w:rFonts w:ascii="Calibri" w:hAnsi="Calibri" w:eastAsia="Calibri" w:cs="Calibri"/>
          <w:color w:val="000000" w:themeColor="text1" w:themeTint="FF" w:themeShade="FF"/>
        </w:rPr>
        <w:t xml:space="preserve"> AI-Based Predictive Maintenance</w:t>
      </w:r>
      <w:r>
        <w:br/>
      </w:r>
      <w:r w:rsidRPr="44A0C547" w:rsidR="2CF68EF9">
        <w:rPr>
          <w:rFonts w:ascii="Calibri" w:hAnsi="Calibri" w:eastAsia="Calibri" w:cs="Calibri"/>
          <w:b w:val="1"/>
          <w:bCs w:val="1"/>
          <w:color w:val="000000" w:themeColor="text1" w:themeTint="FF" w:themeShade="FF"/>
        </w:rPr>
        <w:t>Assignment:</w:t>
      </w:r>
      <w:r w:rsidRPr="44A0C547" w:rsidR="2CF68EF9">
        <w:rPr>
          <w:rFonts w:ascii="Calibri" w:hAnsi="Calibri" w:eastAsia="Calibri" w:cs="Calibri"/>
          <w:color w:val="000000" w:themeColor="text1" w:themeTint="FF" w:themeShade="FF"/>
        </w:rPr>
        <w:t xml:space="preserve"> Related Work Papers</w:t>
      </w:r>
    </w:p>
    <w:p w:rsidRPr="00494494" w:rsidR="3967E527" w:rsidP="3967E527" w:rsidRDefault="3967E527" w14:paraId="5971C659" w14:textId="2FF25822">
      <w:pPr>
        <w:spacing w:before="240" w:after="240"/>
        <w:rPr>
          <w:rFonts w:ascii="Calibri" w:hAnsi="Calibri" w:cs="Calibri"/>
          <w:color w:val="000000" w:themeColor="text1"/>
          <w:sz w:val="22"/>
          <w:szCs w:val="22"/>
        </w:rPr>
      </w:pPr>
    </w:p>
    <w:p w:rsidR="22C31F71" w:rsidP="44A0C547" w:rsidRDefault="57B2614B" w14:paraId="23872005" w14:textId="52C74618">
      <w:pPr>
        <w:pStyle w:val="Normal"/>
        <w:spacing w:before="240" w:after="240"/>
        <w:rPr>
          <w:rFonts w:ascii="Calibri" w:hAnsi="Calibri" w:eastAsia="Calibri" w:cs="Calibri"/>
          <w:color w:val="000000" w:themeColor="text1"/>
        </w:rPr>
      </w:pPr>
      <w:r w:rsidRPr="44A0C547" w:rsidR="71D2362B">
        <w:rPr>
          <w:rFonts w:ascii="Calibri" w:hAnsi="Calibri" w:eastAsia="Calibri" w:cs="Calibri"/>
          <w:color w:val="000000" w:themeColor="text1" w:themeTint="FF" w:themeShade="FF"/>
        </w:rPr>
        <w:t xml:space="preserve">Deng and Zhou [1] presented a hybrid </w:t>
      </w:r>
      <w:r w:rsidRPr="44A0C547" w:rsidR="4478D0AD">
        <w:rPr>
          <w:rFonts w:ascii="Calibri" w:hAnsi="Calibri" w:eastAsia="Calibri" w:cs="Calibri"/>
          <w:color w:val="000000" w:themeColor="text1" w:themeTint="FF" w:themeShade="FF"/>
        </w:rPr>
        <w:t xml:space="preserve">Convolutional Neural </w:t>
      </w:r>
      <w:r w:rsidRPr="44A0C547" w:rsidR="61319D59">
        <w:rPr>
          <w:rFonts w:ascii="Calibri" w:hAnsi="Calibri" w:eastAsia="Calibri" w:cs="Calibri"/>
          <w:color w:val="000000" w:themeColor="text1" w:themeTint="FF" w:themeShade="FF"/>
        </w:rPr>
        <w:t>Network (</w:t>
      </w:r>
      <w:r w:rsidRPr="44A0C547" w:rsidR="4478D0AD">
        <w:rPr>
          <w:rFonts w:ascii="Calibri" w:hAnsi="Calibri" w:eastAsia="Calibri" w:cs="Calibri"/>
          <w:color w:val="000000" w:themeColor="text1" w:themeTint="FF" w:themeShade="FF"/>
        </w:rPr>
        <w:t>CNN)</w:t>
      </w:r>
      <w:r w:rsidRPr="44A0C547" w:rsidR="4EE45296">
        <w:rPr>
          <w:rFonts w:ascii="Calibri" w:hAnsi="Calibri" w:eastAsia="Calibri" w:cs="Calibri"/>
          <w:color w:val="000000" w:themeColor="text1" w:themeTint="FF" w:themeShade="FF"/>
        </w:rPr>
        <w:t xml:space="preserve"> </w:t>
      </w:r>
      <w:r w:rsidRPr="44A0C547" w:rsidR="4478D0AD">
        <w:rPr>
          <w:rFonts w:ascii="Calibri" w:hAnsi="Calibri" w:eastAsia="Calibri" w:cs="Calibri"/>
          <w:color w:val="000000" w:themeColor="text1" w:themeTint="FF" w:themeShade="FF"/>
        </w:rPr>
        <w:t xml:space="preserve">Long </w:t>
      </w:r>
      <w:r w:rsidRPr="44A0C547" w:rsidR="4478D0AD">
        <w:rPr>
          <w:rFonts w:ascii="Calibri" w:hAnsi="Calibri" w:eastAsia="Calibri" w:cs="Calibri"/>
          <w:color w:val="000000" w:themeColor="text1" w:themeTint="FF" w:themeShade="FF"/>
        </w:rPr>
        <w:t>Short</w:t>
      </w:r>
      <w:r w:rsidRPr="44A0C547" w:rsidR="5CBE2A39">
        <w:rPr>
          <w:rFonts w:ascii="Calibri" w:hAnsi="Calibri" w:eastAsia="Calibri" w:cs="Calibri"/>
          <w:color w:val="000000" w:themeColor="text1" w:themeTint="FF" w:themeShade="FF"/>
        </w:rPr>
        <w:t xml:space="preserve"> </w:t>
      </w:r>
      <w:r w:rsidRPr="44A0C547" w:rsidR="4478D0AD">
        <w:rPr>
          <w:rFonts w:ascii="Calibri" w:hAnsi="Calibri" w:eastAsia="Calibri" w:cs="Calibri"/>
          <w:color w:val="000000" w:themeColor="text1" w:themeTint="FF" w:themeShade="FF"/>
        </w:rPr>
        <w:t>Term</w:t>
      </w:r>
      <w:r w:rsidRPr="44A0C547" w:rsidR="4478D0AD">
        <w:rPr>
          <w:rFonts w:ascii="Calibri" w:hAnsi="Calibri" w:eastAsia="Calibri" w:cs="Calibri"/>
          <w:color w:val="000000" w:themeColor="text1" w:themeTint="FF" w:themeShade="FF"/>
        </w:rPr>
        <w:t xml:space="preserve"> Memory (</w:t>
      </w:r>
      <w:r w:rsidRPr="44A0C547" w:rsidR="71D2362B">
        <w:rPr>
          <w:rFonts w:ascii="Calibri" w:hAnsi="Calibri" w:eastAsia="Calibri" w:cs="Calibri"/>
          <w:color w:val="000000" w:themeColor="text1" w:themeTint="FF" w:themeShade="FF"/>
        </w:rPr>
        <w:t>LSTM</w:t>
      </w:r>
      <w:r w:rsidRPr="44A0C547" w:rsidR="3853438E">
        <w:rPr>
          <w:rFonts w:ascii="Calibri" w:hAnsi="Calibri" w:eastAsia="Calibri" w:cs="Calibri"/>
          <w:color w:val="000000" w:themeColor="text1" w:themeTint="FF" w:themeShade="FF"/>
        </w:rPr>
        <w:t>) model</w:t>
      </w:r>
      <w:r w:rsidRPr="44A0C547" w:rsidR="71D2362B">
        <w:rPr>
          <w:rFonts w:ascii="Calibri" w:hAnsi="Calibri" w:eastAsia="Calibri" w:cs="Calibri"/>
          <w:color w:val="000000" w:themeColor="text1" w:themeTint="FF" w:themeShade="FF"/>
        </w:rPr>
        <w:t xml:space="preserve"> based on a deep residual network, </w:t>
      </w:r>
      <w:r w:rsidRPr="44A0C547" w:rsidR="53FF0786">
        <w:rPr>
          <w:rFonts w:ascii="Calibri" w:hAnsi="Calibri" w:eastAsia="Calibri" w:cs="Calibri"/>
          <w:color w:val="000000" w:themeColor="text1" w:themeTint="FF" w:themeShade="FF"/>
        </w:rPr>
        <w:t>LSTM</w:t>
      </w:r>
      <w:r w:rsidRPr="44A0C547" w:rsidR="71D2362B">
        <w:rPr>
          <w:rFonts w:ascii="Calibri" w:hAnsi="Calibri" w:eastAsia="Calibri" w:cs="Calibri"/>
          <w:color w:val="000000" w:themeColor="text1" w:themeTint="FF" w:themeShade="FF"/>
        </w:rPr>
        <w:t xml:space="preserve"> and an attention mechanism for predicting the </w:t>
      </w:r>
      <w:r w:rsidRPr="44A0C547" w:rsidR="0870F4FC">
        <w:rPr>
          <w:rFonts w:ascii="Calibri" w:hAnsi="Calibri" w:eastAsia="Calibri" w:cs="Calibri"/>
          <w:color w:val="000000" w:themeColor="text1" w:themeTint="FF" w:themeShade="FF"/>
        </w:rPr>
        <w:t>remaining useful life (</w:t>
      </w:r>
      <w:r w:rsidRPr="44A0C547" w:rsidR="71D2362B">
        <w:rPr>
          <w:rFonts w:ascii="Calibri" w:hAnsi="Calibri" w:eastAsia="Calibri" w:cs="Calibri"/>
          <w:color w:val="000000" w:themeColor="text1" w:themeTint="FF" w:themeShade="FF"/>
        </w:rPr>
        <w:t>RUL</w:t>
      </w:r>
      <w:r w:rsidRPr="44A0C547" w:rsidR="7DFE3B1B">
        <w:rPr>
          <w:rFonts w:ascii="Calibri" w:hAnsi="Calibri" w:eastAsia="Calibri" w:cs="Calibri"/>
          <w:color w:val="000000" w:themeColor="text1" w:themeTint="FF" w:themeShade="FF"/>
        </w:rPr>
        <w:t>)</w:t>
      </w:r>
      <w:r w:rsidRPr="44A0C547" w:rsidR="71D2362B">
        <w:rPr>
          <w:rFonts w:ascii="Calibri" w:hAnsi="Calibri" w:eastAsia="Calibri" w:cs="Calibri"/>
          <w:color w:val="000000" w:themeColor="text1" w:themeTint="FF" w:themeShade="FF"/>
        </w:rPr>
        <w:t xml:space="preserve"> of </w:t>
      </w:r>
      <w:r w:rsidRPr="44A0C547" w:rsidR="71D2362B">
        <w:rPr>
          <w:rFonts w:ascii="Calibri" w:hAnsi="Calibri" w:eastAsia="Calibri" w:cs="Calibri"/>
          <w:color w:val="000000" w:themeColor="text1" w:themeTint="FF" w:themeShade="FF"/>
        </w:rPr>
        <w:t>a</w:t>
      </w:r>
      <w:r w:rsidRPr="44A0C547" w:rsidR="71D2362B">
        <w:rPr>
          <w:rFonts w:ascii="Calibri" w:hAnsi="Calibri" w:eastAsia="Calibri" w:cs="Calibri"/>
          <w:color w:val="000000" w:themeColor="text1" w:themeTint="FF" w:themeShade="FF"/>
        </w:rPr>
        <w:t>ero-engines</w:t>
      </w:r>
      <w:r w:rsidRPr="44A0C547" w:rsidR="71D2362B">
        <w:rPr>
          <w:rFonts w:ascii="Calibri" w:hAnsi="Calibri" w:eastAsia="Calibri" w:cs="Calibri"/>
          <w:color w:val="000000" w:themeColor="text1" w:themeTint="FF" w:themeShade="FF"/>
        </w:rPr>
        <w:t>. In their proposed model, a deep residual network was adopted as the feature extractor, an LSTM was used to observe the degradation evolution over time, and an attention mechanism was added to make the model focus on the more important areas of the sequence. NASA C-MAPSS dataset was used, which includes four s</w:t>
      </w:r>
      <w:r w:rsidRPr="44A0C547" w:rsidR="71D2362B">
        <w:rPr>
          <w:rFonts w:ascii="Calibri" w:hAnsi="Calibri" w:eastAsia="Calibri" w:cs="Calibri"/>
          <w:color w:val="000000" w:themeColor="text1" w:themeTint="FF" w:themeShade="FF"/>
        </w:rPr>
        <w:t xml:space="preserve">ub-datasets, FD001, FD002, </w:t>
      </w:r>
      <w:r w:rsidRPr="44A0C547" w:rsidR="3887085B">
        <w:rPr>
          <w:rFonts w:ascii="Calibri" w:hAnsi="Calibri" w:eastAsia="Calibri" w:cs="Calibri"/>
          <w:color w:val="000000" w:themeColor="text1" w:themeTint="FF" w:themeShade="FF"/>
        </w:rPr>
        <w:t>FD003,</w:t>
      </w:r>
      <w:r w:rsidRPr="44A0C547" w:rsidR="71D2362B">
        <w:rPr>
          <w:rFonts w:ascii="Calibri" w:hAnsi="Calibri" w:eastAsia="Calibri" w:cs="Calibri"/>
          <w:color w:val="000000" w:themeColor="text1" w:themeTint="FF" w:themeShade="FF"/>
        </w:rPr>
        <w:t xml:space="preserve"> and FD004. </w:t>
      </w:r>
      <w:r w:rsidRPr="44A0C547" w:rsidR="71D2362B">
        <w:rPr>
          <w:rFonts w:ascii="Calibri" w:hAnsi="Calibri" w:eastAsia="Calibri" w:cs="Calibri"/>
          <w:color w:val="000000" w:themeColor="text1" w:themeTint="FF" w:themeShade="FF"/>
        </w:rPr>
        <w:t>The dataset contains the sensor measurements collected from aircraft turbofan engines in the course of operation until degradation and failure.</w:t>
      </w:r>
      <w:r w:rsidRPr="44A0C547" w:rsidR="71D2362B">
        <w:rPr>
          <w:rFonts w:ascii="Calibri" w:hAnsi="Calibri" w:eastAsia="Calibri" w:cs="Calibri"/>
          <w:color w:val="000000" w:themeColor="text1" w:themeTint="FF" w:themeShade="FF"/>
        </w:rPr>
        <w:t xml:space="preserve"> In addition, the dataset includes 24 columns: the engine number, cycle number, 3 operational settings, and 21 sensor readings. Different pre-processing steps were used: normalization of sensor values, generation of RUL labels and transfor</w:t>
      </w:r>
      <w:r w:rsidRPr="44A0C547" w:rsidR="71D2362B">
        <w:rPr>
          <w:rFonts w:ascii="Calibri" w:hAnsi="Calibri" w:eastAsia="Calibri" w:cs="Calibri"/>
          <w:color w:val="000000" w:themeColor="text1" w:themeTint="FF" w:themeShade="FF"/>
        </w:rPr>
        <w:t xml:space="preserve">mation of sensor data into time-series. The model was compared with </w:t>
      </w:r>
      <w:r w:rsidRPr="44A0C547" w:rsidR="53D1274A">
        <w:rPr>
          <w:rFonts w:ascii="Calibri" w:hAnsi="Calibri" w:eastAsia="Calibri" w:cs="Calibri"/>
          <w:color w:val="000000" w:themeColor="text1" w:themeTint="FF" w:themeShade="FF"/>
        </w:rPr>
        <w:t>CNN, LSTM, Back Propagation neural network (BP), Gated Recurrent Unit (GRU), Convolutional Neural Network–Gated Recurrent Unit (CNN-GRU), Deep Convolutional Neural Network (DCNN), and Temporal Convolutional Neural Network (TCN).</w:t>
      </w:r>
      <w:r w:rsidRPr="44A0C547" w:rsidR="71D2362B">
        <w:rPr>
          <w:rFonts w:ascii="Calibri" w:hAnsi="Calibri" w:eastAsia="Calibri" w:cs="Calibri"/>
          <w:color w:val="000000" w:themeColor="text1" w:themeTint="FF" w:themeShade="FF"/>
        </w:rPr>
        <w:t xml:space="preserve"> Results showed that CNN-LSTM performs best with </w:t>
      </w:r>
      <w:r w:rsidRPr="44A0C547" w:rsidR="2AB7867C">
        <w:rPr>
          <w:rFonts w:ascii="Calibri" w:hAnsi="Calibri" w:eastAsia="Calibri" w:cs="Calibri"/>
          <w:color w:val="000000" w:themeColor="text1" w:themeTint="FF" w:themeShade="FF"/>
        </w:rPr>
        <w:t>Root Mean Square Error (RMSE)</w:t>
      </w:r>
      <w:r w:rsidRPr="44A0C547" w:rsidR="71D2362B">
        <w:rPr>
          <w:rFonts w:ascii="Calibri" w:hAnsi="Calibri" w:eastAsia="Calibri" w:cs="Calibri"/>
          <w:color w:val="000000" w:themeColor="text1" w:themeTint="FF" w:themeShade="FF"/>
        </w:rPr>
        <w:t xml:space="preserve"> of 15.977 on FD001, 14.452 on FD002, 13.907 on FD003 and 16.637 on FD004.</w:t>
      </w:r>
    </w:p>
    <w:p w:rsidR="7579F3C0" w:rsidP="32162B0C" w:rsidRDefault="7579F3C0" w14:paraId="281B6E00" w14:textId="113911DE">
      <w:pPr>
        <w:spacing w:before="240" w:after="240"/>
        <w:rPr>
          <w:rFonts w:ascii="Calibri" w:hAnsi="Calibri" w:eastAsia="Calibri" w:cs="Calibri"/>
          <w:color w:val="000000" w:themeColor="text1"/>
        </w:rPr>
      </w:pPr>
    </w:p>
    <w:p w:rsidR="63D3D794" w:rsidP="32162B0C" w:rsidRDefault="63D3D794" w14:paraId="5087C5D5" w14:textId="3F3E16AC">
      <w:pPr>
        <w:spacing w:before="240" w:after="240"/>
        <w:rPr>
          <w:rFonts w:ascii="Calibri" w:hAnsi="Calibri" w:eastAsia="Calibri" w:cs="Calibri"/>
          <w:color w:val="000000" w:themeColor="text1"/>
        </w:rPr>
      </w:pPr>
      <w:r w:rsidRPr="32162B0C">
        <w:rPr>
          <w:rFonts w:ascii="Calibri" w:hAnsi="Calibri" w:eastAsia="Calibri" w:cs="Calibri"/>
          <w:color w:val="000000" w:themeColor="text1"/>
        </w:rPr>
        <w:t>Fan et al. [2] proposed a Sensor-Time Attention-based RUL prediction model (STAR) based on a two-stage attention hierarchical Transformer for predicting the RUL of turbofan engines. The stud</w:t>
      </w:r>
      <w:r w:rsidRPr="32162B0C" w:rsidR="0D3ED111">
        <w:rPr>
          <w:rFonts w:ascii="Calibri" w:hAnsi="Calibri" w:eastAsia="Calibri" w:cs="Calibri"/>
          <w:color w:val="000000" w:themeColor="text1"/>
        </w:rPr>
        <w:t>y used the NASA C-MAPSS dataset</w:t>
      </w:r>
      <w:r w:rsidRPr="32162B0C">
        <w:rPr>
          <w:rFonts w:ascii="Calibri" w:hAnsi="Calibri" w:eastAsia="Calibri" w:cs="Calibri"/>
          <w:color w:val="000000" w:themeColor="text1"/>
        </w:rPr>
        <w:t xml:space="preserve"> STAR used two attention stages to learn both sensor-wise infor</w:t>
      </w:r>
      <w:r w:rsidRPr="32162B0C" w:rsidR="0D3ED111">
        <w:rPr>
          <w:rFonts w:ascii="Calibri" w:hAnsi="Calibri" w:eastAsia="Calibri" w:cs="Calibri"/>
          <w:color w:val="000000" w:themeColor="text1"/>
        </w:rPr>
        <w:t>mation and temporal information</w:t>
      </w:r>
      <w:r w:rsidRPr="32162B0C">
        <w:rPr>
          <w:rFonts w:ascii="Calibri" w:hAnsi="Calibri" w:eastAsia="Calibri" w:cs="Calibri"/>
          <w:color w:val="000000" w:themeColor="text1"/>
        </w:rPr>
        <w:t xml:space="preserve"> It also used a hierarchical encoder-decoder structure to capture useful infor</w:t>
      </w:r>
      <w:r w:rsidRPr="32162B0C" w:rsidR="0D3ED111">
        <w:rPr>
          <w:rFonts w:ascii="Calibri" w:hAnsi="Calibri" w:eastAsia="Calibri" w:cs="Calibri"/>
          <w:color w:val="000000" w:themeColor="text1"/>
        </w:rPr>
        <w:t>mation at different time scales</w:t>
      </w:r>
      <w:r w:rsidRPr="32162B0C">
        <w:rPr>
          <w:rFonts w:ascii="Calibri" w:hAnsi="Calibri" w:eastAsia="Calibri" w:cs="Calibri"/>
          <w:color w:val="000000" w:themeColor="text1"/>
        </w:rPr>
        <w:t xml:space="preserve"> The proposed model was compared with several existing RUL prediction models, including CNN-based models,</w:t>
      </w:r>
      <w:r w:rsidRPr="32162B0C" w:rsidR="35F4785B">
        <w:rPr>
          <w:rFonts w:ascii="Calibri" w:hAnsi="Calibri" w:eastAsia="Calibri" w:cs="Calibri"/>
          <w:color w:val="000000" w:themeColor="text1"/>
        </w:rPr>
        <w:t xml:space="preserve"> Recurrent Neural Network-based models (RNN-based models) </w:t>
      </w:r>
      <w:r w:rsidRPr="32162B0C">
        <w:rPr>
          <w:rFonts w:ascii="Calibri" w:hAnsi="Calibri" w:eastAsia="Calibri" w:cs="Calibri"/>
          <w:color w:val="000000" w:themeColor="text1"/>
        </w:rPr>
        <w:t>and Transformer-based models such as Dual-Aspect Self-Attention Transformer (DAST), DLformer and BiLSTM-DAE-Transformer. The results showed that STAR ach</w:t>
      </w:r>
      <w:r w:rsidRPr="32162B0C" w:rsidR="0D3ED111">
        <w:rPr>
          <w:rFonts w:ascii="Calibri" w:hAnsi="Calibri" w:eastAsia="Calibri" w:cs="Calibri"/>
          <w:color w:val="000000" w:themeColor="text1"/>
        </w:rPr>
        <w:t>ieved an RMSE of 10.61 on FD001 13.47 on FD002</w:t>
      </w:r>
      <w:r w:rsidRPr="32162B0C">
        <w:rPr>
          <w:rFonts w:ascii="Calibri" w:hAnsi="Calibri" w:eastAsia="Calibri" w:cs="Calibri"/>
          <w:color w:val="000000" w:themeColor="text1"/>
        </w:rPr>
        <w:t xml:space="preserve"> 10</w:t>
      </w:r>
      <w:r w:rsidRPr="32162B0C" w:rsidR="0D3ED111">
        <w:rPr>
          <w:rFonts w:ascii="Calibri" w:hAnsi="Calibri" w:eastAsia="Calibri" w:cs="Calibri"/>
          <w:color w:val="000000" w:themeColor="text1"/>
        </w:rPr>
        <w:t>.71 on FD003 and 15.87 on FD004</w:t>
      </w:r>
      <w:r w:rsidRPr="32162B0C">
        <w:rPr>
          <w:rFonts w:ascii="Calibri" w:hAnsi="Calibri" w:eastAsia="Calibri" w:cs="Calibri"/>
          <w:color w:val="000000" w:themeColor="text1"/>
        </w:rPr>
        <w:t xml:space="preserve"> It also achieved </w:t>
      </w:r>
      <w:r w:rsidRPr="32162B0C" w:rsidR="70E886B7">
        <w:rPr>
          <w:rFonts w:ascii="Calibri" w:hAnsi="Calibri" w:eastAsia="Calibri" w:cs="Calibri"/>
          <w:color w:val="000000" w:themeColor="text1"/>
        </w:rPr>
        <w:t>a Score</w:t>
      </w:r>
      <w:r w:rsidRPr="32162B0C" w:rsidR="0D3ED111">
        <w:rPr>
          <w:rFonts w:ascii="Calibri" w:hAnsi="Calibri" w:eastAsia="Calibri" w:cs="Calibri"/>
          <w:color w:val="000000" w:themeColor="text1"/>
        </w:rPr>
        <w:t xml:space="preserve"> of 169 on FD001 784 on FD002 202 on FD003 and 1449 on FD004</w:t>
      </w:r>
      <w:r w:rsidRPr="32162B0C">
        <w:rPr>
          <w:rFonts w:ascii="Calibri" w:hAnsi="Calibri" w:eastAsia="Calibri" w:cs="Calibri"/>
          <w:color w:val="000000" w:themeColor="text1"/>
        </w:rPr>
        <w:t xml:space="preserve"> STAR achieved the best overall results compared with the other models.</w:t>
      </w:r>
    </w:p>
    <w:p w:rsidR="32162B0C" w:rsidP="32162B0C" w:rsidRDefault="32162B0C" w14:paraId="5CA7585B" w14:textId="46A047CF">
      <w:pPr>
        <w:spacing w:before="240" w:after="240"/>
        <w:rPr>
          <w:rFonts w:ascii="Calibri" w:hAnsi="Calibri" w:eastAsia="Calibri" w:cs="Calibri"/>
          <w:color w:val="000000" w:themeColor="text1"/>
        </w:rPr>
      </w:pPr>
    </w:p>
    <w:p w:rsidR="7579F3C0" w:rsidP="32162B0C" w:rsidRDefault="323758FE" w14:paraId="3FB4E2F8" w14:textId="5D747C68">
      <w:pPr>
        <w:spacing w:before="240" w:after="240"/>
        <w:rPr>
          <w:rFonts w:ascii="Calibri" w:hAnsi="Calibri" w:eastAsia="Calibri" w:cs="Calibri"/>
          <w:color w:val="000000" w:themeColor="text1"/>
        </w:rPr>
      </w:pPr>
      <w:r w:rsidRPr="32162B0C">
        <w:rPr>
          <w:rFonts w:ascii="Calibri" w:hAnsi="Calibri" w:eastAsia="Calibri" w:cs="Calibri"/>
          <w:color w:val="000000" w:themeColor="text1"/>
        </w:rPr>
        <w:t>Elsherif et al. [3] proposed a hybrid deep learning model called Convolutional Autoencoder and Attention-Based LSTM (CAELSTM) to predict the RUL of turbofan engines. The stud</w:t>
      </w:r>
      <w:r w:rsidRPr="32162B0C" w:rsidR="7BE54DC3">
        <w:rPr>
          <w:rFonts w:ascii="Calibri" w:hAnsi="Calibri" w:eastAsia="Calibri" w:cs="Calibri"/>
          <w:color w:val="000000" w:themeColor="text1"/>
        </w:rPr>
        <w:t>y used the NASA C-MAPSS dataset</w:t>
      </w:r>
      <w:r w:rsidRPr="32162B0C">
        <w:rPr>
          <w:rFonts w:ascii="Calibri" w:hAnsi="Calibri" w:eastAsia="Calibri" w:cs="Calibri"/>
          <w:color w:val="000000" w:themeColor="text1"/>
        </w:rPr>
        <w:t xml:space="preserve"> focusing on FD001 and FD003. The preprocessing steps included preparing the two sub-datasets and applying a piecewise linear degradation model. The model used a convolutional autoencoder to extract useful features from the sensor data. An LSTM layer with an attention mechanism was then used to learn the degradation pattern over time and focus on the most important parts of the sequence. A fully connected layer was used before the final RUL prediction. The model was compared with other RUL prediction approaches. Results showed that CAELSTM achieved RMSE values of 14.44 on FD001 and 13.40 on FD003. It also achieved </w:t>
      </w:r>
      <w:r w:rsidRPr="32162B0C" w:rsidR="1F918CBA">
        <w:rPr>
          <w:rFonts w:ascii="Calibri" w:hAnsi="Calibri" w:eastAsia="Calibri" w:cs="Calibri"/>
          <w:color w:val="000000" w:themeColor="text1"/>
        </w:rPr>
        <w:t xml:space="preserve">Mean Absolute Error (MAE) </w:t>
      </w:r>
      <w:r w:rsidRPr="32162B0C">
        <w:rPr>
          <w:rFonts w:ascii="Calibri" w:hAnsi="Calibri" w:eastAsia="Calibri" w:cs="Calibri"/>
          <w:color w:val="000000" w:themeColor="text1"/>
        </w:rPr>
        <w:t>values of 10.49 on FD001 and 10.68 on FD003, with Score values of 282.38 and 264.47.</w:t>
      </w:r>
    </w:p>
    <w:p w:rsidR="22C31F71" w:rsidP="32162B0C" w:rsidRDefault="57B2614B" w14:paraId="04254BCA" w14:textId="0A3B9DCA">
      <w:pPr>
        <w:pStyle w:val="NormalWeb"/>
        <w:rPr>
          <w:rFonts w:ascii="Calibri" w:hAnsi="Calibri" w:eastAsia="Calibri" w:cs="Calibri"/>
        </w:rPr>
      </w:pPr>
      <w:r w:rsidRPr="32162B0C">
        <w:rPr>
          <w:rFonts w:ascii="Calibri" w:hAnsi="Calibri" w:eastAsia="Calibri" w:cs="Calibri"/>
        </w:rPr>
        <w:t xml:space="preserve">Ensarioğlu et al [4] proposed a deep learning procedure for </w:t>
      </w:r>
      <w:r w:rsidRPr="32162B0C" w:rsidR="13760165">
        <w:rPr>
          <w:rFonts w:ascii="Calibri" w:hAnsi="Calibri" w:eastAsia="Calibri" w:cs="Calibri"/>
        </w:rPr>
        <w:t>the</w:t>
      </w:r>
      <w:r w:rsidRPr="32162B0C">
        <w:rPr>
          <w:rFonts w:ascii="Calibri" w:hAnsi="Calibri" w:eastAsia="Calibri" w:cs="Calibri"/>
        </w:rPr>
        <w:t xml:space="preserve"> RUL estimation of turbofan engines using change point detection based labeling and feature engineering. The study employed the NASA C MAPSS FD001 dataset which contains simulated sensor measurements from turbofan engines operating until failure. The preprocessing procedure involved selecting 14 useful sensors removing constant sensors applying min max normalization filtering noisy signals using a low pass filter extracting a single signal using an autoencoder and constructing a new difference based feature from sensor measurements. The change point detection method was used to generate engine specific piecewise linear RUL labels instead of using the same fixed initial RUL value for all engines. Within the proposed architecture the 1D CNN component was used to extract spatial features from the prepared sensor data and the LSTM component was used to capture temporal degradation information. The results showed that the 1D CNN LSTM model with the difference feature achieved the best prediction performance with RMSE 16</w:t>
      </w:r>
      <w:r w:rsidRPr="32162B0C" w:rsidR="54D54D59">
        <w:rPr>
          <w:rFonts w:ascii="Calibri" w:hAnsi="Calibri" w:eastAsia="Calibri" w:cs="Calibri"/>
        </w:rPr>
        <w:t>.</w:t>
      </w:r>
      <w:r w:rsidRPr="32162B0C">
        <w:rPr>
          <w:rFonts w:ascii="Calibri" w:hAnsi="Calibri" w:eastAsia="Calibri" w:cs="Calibri"/>
        </w:rPr>
        <w:t>1 and Score 437</w:t>
      </w:r>
      <w:r w:rsidRPr="32162B0C" w:rsidR="3270C4BC">
        <w:rPr>
          <w:rFonts w:ascii="Calibri" w:hAnsi="Calibri" w:eastAsia="Calibri" w:cs="Calibri"/>
        </w:rPr>
        <w:t>.</w:t>
      </w:r>
      <w:r w:rsidRPr="32162B0C">
        <w:rPr>
          <w:rFonts w:ascii="Calibri" w:hAnsi="Calibri" w:eastAsia="Calibri" w:cs="Calibri"/>
        </w:rPr>
        <w:t>2 compared with traditional machine learning methods and earlier deep learning methods.</w:t>
      </w:r>
    </w:p>
    <w:p w:rsidR="49258CA0" w:rsidP="44A0C547" w:rsidRDefault="3DA58DFA" w14:paraId="55FDBB72" w14:textId="6033ADC3">
      <w:pPr>
        <w:pStyle w:val="Normal"/>
        <w:spacing w:before="240" w:after="0"/>
        <w:rPr>
          <w:rFonts w:ascii="Calibri" w:hAnsi="Calibri" w:eastAsia="Calibri" w:cs="Calibri"/>
          <w:color w:val="000000" w:themeColor="text1"/>
        </w:rPr>
      </w:pPr>
      <w:r w:rsidRPr="44A0C547" w:rsidR="415DF834">
        <w:rPr>
          <w:rFonts w:ascii="Calibri" w:hAnsi="Calibri" w:eastAsia="Calibri" w:cs="Calibri"/>
          <w:color w:val="000000" w:themeColor="text1" w:themeTint="FF" w:themeShade="FF"/>
        </w:rPr>
        <w:t>Sun et al. [5] presented an end-to-end model called Multi Scale Depth Wise Separable Convolution Transformer (MDSCT) for predic</w:t>
      </w:r>
      <w:r w:rsidRPr="44A0C547" w:rsidR="415DF834">
        <w:rPr>
          <w:rFonts w:ascii="Calibri" w:hAnsi="Calibri" w:eastAsia="Calibri" w:cs="Calibri"/>
          <w:color w:val="000000" w:themeColor="text1" w:themeTint="FF" w:themeShade="FF"/>
        </w:rPr>
        <w:t xml:space="preserve">ting the RUL of rolling bearings. The model uses (MDSC) to extract local degradation features from vibration signals and an enhanced Transformer encoder called </w:t>
      </w:r>
      <w:r w:rsidRPr="44A0C547" w:rsidR="415DF834">
        <w:rPr>
          <w:rFonts w:ascii="Calibri" w:hAnsi="Calibri" w:eastAsia="Calibri" w:cs="Calibri"/>
          <w:color w:val="000000" w:themeColor="text1" w:themeTint="FF" w:themeShade="FF"/>
        </w:rPr>
        <w:t>PPSformer</w:t>
      </w:r>
      <w:r w:rsidRPr="44A0C547" w:rsidR="415DF834">
        <w:rPr>
          <w:rFonts w:ascii="Calibri" w:hAnsi="Calibri" w:eastAsia="Calibri" w:cs="Calibri"/>
          <w:color w:val="000000" w:themeColor="text1" w:themeTint="FF" w:themeShade="FF"/>
        </w:rPr>
        <w:t xml:space="preserve"> to learn long term relationships. An adaptive activation function called </w:t>
      </w:r>
      <w:r w:rsidRPr="44A0C547" w:rsidR="415DF834">
        <w:rPr>
          <w:rFonts w:ascii="Calibri" w:hAnsi="Calibri" w:eastAsia="Calibri" w:cs="Calibri"/>
          <w:color w:val="000000" w:themeColor="text1" w:themeTint="FF" w:themeShade="FF"/>
        </w:rPr>
        <w:t>AdaptH</w:t>
      </w:r>
      <w:r w:rsidRPr="44A0C547" w:rsidR="415DF834">
        <w:rPr>
          <w:rFonts w:ascii="Calibri" w:hAnsi="Calibri" w:eastAsia="Calibri" w:cs="Calibri"/>
          <w:color w:val="000000" w:themeColor="text1" w:themeTint="FF" w:themeShade="FF"/>
        </w:rPr>
        <w:t xml:space="preserve"> Swish was also used to improve the learning of nonlinear degradation patterns. The study used the PHM2012 and XJTU SY bearing datasets. Both </w:t>
      </w:r>
      <w:r w:rsidRPr="44A0C547" w:rsidR="415DF834">
        <w:rPr>
          <w:rFonts w:ascii="Calibri" w:hAnsi="Calibri" w:eastAsia="Calibri" w:cs="Calibri"/>
          <w:color w:val="000000" w:themeColor="text1" w:themeTint="FF" w:themeShade="FF"/>
        </w:rPr>
        <w:t>contain</w:t>
      </w:r>
      <w:r w:rsidRPr="44A0C547" w:rsidR="415DF834">
        <w:rPr>
          <w:rFonts w:ascii="Calibri" w:hAnsi="Calibri" w:eastAsia="Calibri" w:cs="Calibri"/>
          <w:color w:val="000000" w:themeColor="text1" w:themeTint="FF" w:themeShade="FF"/>
        </w:rPr>
        <w:t xml:space="preserve"> vibration signals collected from rolling bearings during operation until degradation and failure. The XJTU-SY dataset includes 15 bearings tested under different operating conditions with horizontal and vertical vibration signals. The model used raw vibration signals as input instead of relying on many manually designed features. MDSCT was compared with Soft-Threshold Attention Mechanism-based Temporal Convolutional Network (TCN-SA), Deep Adversarial Network (DAN), Temporal Convolutional Network with Separable Residual Blocks (TCN-RSCB), Conditional Variational Transformer (CVT), Convolutional Long Short-Term Memory Network (CLSTM), Multi-Scale Convolutional Neural Network (MCNN), Self-Attention Mechanism-based Adaptive Graph Convolutional Network (SAGCN-SA), and Deep Convolutional Neural Network (DCNN). Results showed that MDSCT achieved the best average performance on PHM2012 with a Mean Absolute Error MAE</w:t>
      </w:r>
      <w:r w:rsidRPr="44A0C547" w:rsidR="632924CA">
        <w:rPr>
          <w:rFonts w:ascii="Calibri" w:hAnsi="Calibri" w:eastAsia="Calibri" w:cs="Calibri"/>
          <w:color w:val="000000" w:themeColor="text1" w:themeTint="FF" w:themeShade="FF"/>
        </w:rPr>
        <w:t xml:space="preserve"> of</w:t>
      </w:r>
      <w:r w:rsidRPr="44A0C547" w:rsidR="415DF834">
        <w:rPr>
          <w:rFonts w:ascii="Calibri" w:hAnsi="Calibri" w:eastAsia="Calibri" w:cs="Calibri"/>
          <w:color w:val="000000" w:themeColor="text1" w:themeTint="FF" w:themeShade="FF"/>
        </w:rPr>
        <w:t xml:space="preserve"> 0.100 and RMSE of 0.124. On XJTU-SY, it achieved an average MAE of 0.134, an average RMSE of 0.160, and an average R² value of 0.667.</w:t>
      </w:r>
    </w:p>
    <w:p w:rsidR="7579F3C0" w:rsidP="32162B0C" w:rsidRDefault="7579F3C0" w14:paraId="31E1078B" w14:textId="4800FAA1">
      <w:pPr>
        <w:spacing w:after="0"/>
        <w:rPr>
          <w:rFonts w:ascii="Calibri" w:hAnsi="Calibri" w:eastAsia="Calibri" w:cs="Calibri"/>
        </w:rPr>
      </w:pPr>
    </w:p>
    <w:p w:rsidR="7EA4F356" w:rsidP="32162B0C" w:rsidRDefault="05A7713C" w14:paraId="7E9ACA02" w14:textId="2C5D75B8">
      <w:pPr>
        <w:spacing w:before="240" w:after="240"/>
        <w:rPr>
          <w:rFonts w:ascii="Calibri" w:hAnsi="Calibri" w:eastAsia="Calibri" w:cs="Calibri"/>
        </w:rPr>
      </w:pPr>
      <w:r w:rsidRPr="32162B0C">
        <w:rPr>
          <w:rFonts w:ascii="Calibri" w:hAnsi="Calibri" w:eastAsia="Calibri" w:cs="Calibri"/>
          <w:color w:val="000000" w:themeColor="text1"/>
        </w:rPr>
        <w:t>Jin et al. [6] presented a hybrid model based on Empirical Mode Decomposition (EMD) and Bidirectional Long Short-Term Memory (Bi-LSTM)–Transformer for predicting the RUL of rolling bearings. EMD was used to decompose the raw vibration signals and extract useful features. Bi-LSTM was used to learn local changes in the degradation process while the Transformer was used to learn long-term relationships in the data. The study used the PHM2012 and XJTU-SY bearing datasets. For data preparation the authors applied EMD to the vibration signals and extracted statistical features from the decomposed signals. The features were then reduced and normalized before being used as model inputs. The proposed model was compared with (TCN), GRU, and Bi-LSTM. Results showed that the proposed model achieved an average MAE of 0.0469 and RMSE of 0.0563 on PHM2012. On XJTU-SY, it achieved an average MAE of 0.0374 and RMSE of 0.0442.</w:t>
      </w:r>
      <w:r w:rsidRPr="32162B0C">
        <w:rPr>
          <w:rFonts w:ascii="Calibri" w:hAnsi="Calibri" w:eastAsia="Calibri" w:cs="Calibri"/>
        </w:rPr>
        <w:t xml:space="preserve"> </w:t>
      </w:r>
    </w:p>
    <w:p w:rsidRPr="00494494" w:rsidR="0015419D" w:rsidP="32162B0C" w:rsidRDefault="57EFB34D" w14:paraId="0F42714E" w14:textId="05042CDC">
      <w:pPr>
        <w:spacing w:before="240" w:after="240"/>
        <w:rPr>
          <w:rFonts w:ascii="Calibri" w:hAnsi="Calibri" w:eastAsia="Calibri" w:cs="Calibri"/>
          <w:color w:val="000000" w:themeColor="text1"/>
        </w:rPr>
      </w:pPr>
      <w:r w:rsidRPr="32162B0C">
        <w:rPr>
          <w:rFonts w:ascii="Calibri" w:hAnsi="Calibri" w:eastAsia="Calibri" w:cs="Calibri"/>
          <w:color w:val="000000" w:themeColor="text1"/>
        </w:rPr>
        <w:t xml:space="preserve">Wang et al. [7] presented a deep learning method for predicting the RUL of rolling bearings. The method uses a One Dimensional Deep Convolutional Autoencoder (1D-DCAE) to extract useful health features from vibration signals. These features are used to create health indicators that represent the degradation condition of the bearing The model then uses </w:t>
      </w:r>
      <w:r w:rsidRPr="32162B0C" w:rsidR="18D28D1C">
        <w:rPr>
          <w:rFonts w:ascii="Calibri" w:hAnsi="Calibri" w:eastAsia="Calibri" w:cs="Calibri"/>
          <w:color w:val="000000" w:themeColor="text1"/>
        </w:rPr>
        <w:t xml:space="preserve">a </w:t>
      </w:r>
      <w:r w:rsidRPr="32162B0C">
        <w:rPr>
          <w:rFonts w:ascii="Calibri" w:hAnsi="Calibri" w:eastAsia="Calibri" w:cs="Calibri"/>
          <w:color w:val="000000" w:themeColor="text1"/>
        </w:rPr>
        <w:t xml:space="preserve">Bi-LSTM network with a Temporal Pattern </w:t>
      </w:r>
      <w:r w:rsidRPr="32162B0C" w:rsidR="662FBFDD">
        <w:rPr>
          <w:rFonts w:ascii="Calibri" w:hAnsi="Calibri" w:eastAsia="Calibri" w:cs="Calibri"/>
          <w:color w:val="000000" w:themeColor="text1"/>
        </w:rPr>
        <w:t>Attention (</w:t>
      </w:r>
      <w:r w:rsidRPr="32162B0C">
        <w:rPr>
          <w:rFonts w:ascii="Calibri" w:hAnsi="Calibri" w:eastAsia="Calibri" w:cs="Calibri"/>
          <w:color w:val="000000" w:themeColor="text1"/>
        </w:rPr>
        <w:t>T</w:t>
      </w:r>
      <w:r w:rsidRPr="32162B0C" w:rsidR="09C3C3C2">
        <w:rPr>
          <w:rFonts w:ascii="Calibri" w:hAnsi="Calibri" w:eastAsia="Calibri" w:cs="Calibri"/>
          <w:color w:val="000000" w:themeColor="text1"/>
        </w:rPr>
        <w:t>P</w:t>
      </w:r>
      <w:r w:rsidRPr="32162B0C">
        <w:rPr>
          <w:rFonts w:ascii="Calibri" w:hAnsi="Calibri" w:eastAsia="Calibri" w:cs="Calibri"/>
          <w:color w:val="000000" w:themeColor="text1"/>
        </w:rPr>
        <w:t>A) mechanism to learn how the bearing condition changes over time. The study used the PHM2012 bearing dataset collected from the PRONOSTIA platform. The dataset contains vibration and temperature signals collected from bearings during accelerated life tests until failure. The vibration signals were sampled at 25.6 kHz for 0.1 seconds every 10 seconds. The authors used the health indicators extracted by 1D-DCAE as labels instead of depending only on traditional linear or piecewise RUL labels. The proposed method was compared with linear labeling and piecewise labeling methods. The authors also tested different versions of the model such as removing the TPA mechanism and using LSTM instead of the multilevel Bi-LSTM. Results showed that the proposed method achieved an average MAE of 0.115 and an average RMSE of 0.079 across seven bearings. It also achieved a Score of 0.699 and performed better than the other labeling methods.</w:t>
      </w:r>
    </w:p>
    <w:p w:rsidRPr="00494494" w:rsidR="00821E0F" w:rsidP="32162B0C" w:rsidRDefault="00821E0F" w14:paraId="45C83BF1" w14:textId="7B50F5A4">
      <w:pPr>
        <w:spacing w:after="0"/>
        <w:rPr>
          <w:rFonts w:ascii="Calibri" w:hAnsi="Calibri" w:eastAsia="Calibri" w:cs="Calibri"/>
          <w:color w:val="000000" w:themeColor="text1"/>
        </w:rPr>
      </w:pPr>
    </w:p>
    <w:p w:rsidRPr="00494494" w:rsidR="0015419D" w:rsidP="32162B0C" w:rsidRDefault="7C6F351B" w14:paraId="037C3E29" w14:textId="480C7BEF">
      <w:pPr>
        <w:spacing w:after="0"/>
        <w:rPr>
          <w:rFonts w:ascii="Calibri" w:hAnsi="Calibri" w:eastAsia="Calibri" w:cs="Calibri"/>
          <w:color w:val="000000" w:themeColor="text1"/>
        </w:rPr>
      </w:pPr>
      <w:r w:rsidRPr="32162B0C">
        <w:rPr>
          <w:rFonts w:ascii="Calibri" w:hAnsi="Calibri" w:eastAsia="Calibri" w:cs="Calibri"/>
          <w:color w:val="000000" w:themeColor="text1"/>
        </w:rPr>
        <w:t xml:space="preserve">Xiao and his team [8] proposed a model called Multi-Scale Dilated Fusion Attention (MDFA) for predicting RUL. The paper tried to solve some problems related to different operating conditions, multiple degradation patterns and long-term dependencies in sensor data. The study used NASA C-MAPSS, N-CMAPSS and PHM2012 datasets to test the MDFA model. N-CMAPSS is a newer turbofan engine degradation dataset that contains more detailed operating conditions and sensor information. The authors prepared the data by creating RUL labels, using a sliding window technique and applying Principal Component Analysis (PCA) to select features, reduce dimensionality and convert sensor data into time-series inputs for training. The MDFA model uses Multi-Scale Dilated Convolution to extract degradation features from multiple time scales. It also uses Channel Attention and Spatial Attention mechanisms. These mechanisms help the model focus on important sensors and time points while reducing noise. The model was compared with CNN, DCNN, TCN, </w:t>
      </w:r>
      <w:r w:rsidRPr="32162B0C" w:rsidR="10BB99E4">
        <w:rPr>
          <w:rFonts w:ascii="Calibri" w:hAnsi="Calibri" w:eastAsia="Calibri" w:cs="Calibri"/>
          <w:color w:val="000000" w:themeColor="text1"/>
        </w:rPr>
        <w:t>Time-Aware Fully Convolutional Network (TaFCN)</w:t>
      </w:r>
      <w:r w:rsidRPr="32162B0C" w:rsidR="7951FC43">
        <w:rPr>
          <w:rFonts w:ascii="Calibri" w:hAnsi="Calibri" w:eastAsia="Calibri" w:cs="Calibri"/>
          <w:color w:val="000000" w:themeColor="text1"/>
        </w:rPr>
        <w:t>,</w:t>
      </w:r>
      <w:r w:rsidRPr="32162B0C">
        <w:rPr>
          <w:rFonts w:ascii="Calibri" w:hAnsi="Calibri" w:eastAsia="Calibri" w:cs="Calibri"/>
          <w:color w:val="000000" w:themeColor="text1"/>
        </w:rPr>
        <w:t xml:space="preserve"> </w:t>
      </w:r>
      <w:r w:rsidRPr="32162B0C" w:rsidR="6691B322">
        <w:rPr>
          <w:rFonts w:ascii="Calibri" w:hAnsi="Calibri" w:eastAsia="Calibri" w:cs="Calibri"/>
          <w:color w:val="000000" w:themeColor="text1"/>
        </w:rPr>
        <w:t>Squeeze-and-Excitation Network (SeNet)</w:t>
      </w:r>
      <w:r w:rsidRPr="32162B0C">
        <w:rPr>
          <w:rFonts w:ascii="Calibri" w:hAnsi="Calibri" w:eastAsia="Calibri" w:cs="Calibri"/>
          <w:color w:val="000000" w:themeColor="text1"/>
        </w:rPr>
        <w:t>, GRU, CNN-GRU-</w:t>
      </w:r>
      <w:r w:rsidRPr="32162B0C" w:rsidR="3A5FD492">
        <w:rPr>
          <w:rFonts w:ascii="Calibri" w:hAnsi="Calibri" w:eastAsia="Calibri" w:cs="Calibri"/>
          <w:color w:val="000000" w:themeColor="text1"/>
        </w:rPr>
        <w:t>Attention,</w:t>
      </w:r>
      <w:r w:rsidRPr="32162B0C">
        <w:rPr>
          <w:rFonts w:ascii="Calibri" w:hAnsi="Calibri" w:eastAsia="Calibri" w:cs="Calibri"/>
          <w:color w:val="000000" w:themeColor="text1"/>
        </w:rPr>
        <w:t xml:space="preserve"> and Transformer. The results showed that the MDFA model achieved the best performance in predicting RUL. On C-MAPSS and N-CMAPSS datasets, it achieved MAE values between 0.018 and 0.026, RMSE values between 0.021 and 0.032 and R² values higher than 0.987. On PHM2012, it achieved MAE values between 0.023 and 0.026, RMSE values between 0.031 and 0.032 and R² values between 0.987 and 0.995.</w:t>
      </w:r>
    </w:p>
    <w:p w:rsidRPr="00494494" w:rsidR="0015419D" w:rsidP="32162B0C" w:rsidRDefault="0015419D" w14:paraId="4E99558E" w14:textId="77777777">
      <w:pPr>
        <w:spacing w:after="0"/>
        <w:rPr>
          <w:rFonts w:ascii="Calibri" w:hAnsi="Calibri" w:eastAsia="Calibri" w:cs="Calibri"/>
        </w:rPr>
      </w:pPr>
    </w:p>
    <w:p w:rsidRPr="00494494" w:rsidR="0015419D" w:rsidP="32162B0C" w:rsidRDefault="0015419D" w14:paraId="196DA035" w14:textId="5D273FD0">
      <w:pPr>
        <w:spacing w:after="0"/>
        <w:rPr>
          <w:rFonts w:ascii="Calibri" w:hAnsi="Calibri" w:eastAsia="Calibri" w:cs="Calibri"/>
        </w:rPr>
      </w:pPr>
    </w:p>
    <w:p w:rsidR="6D236C69" w:rsidP="44A0C547" w:rsidRDefault="6D236C69" w14:paraId="70CA9473" w14:textId="4782E0F8">
      <w:pPr>
        <w:pStyle w:val="Normal"/>
        <w:spacing w:after="0"/>
        <w:rPr>
          <w:rFonts w:ascii="Calibri" w:hAnsi="Calibri" w:eastAsia="Calibri" w:cs="Calibri"/>
        </w:rPr>
      </w:pPr>
      <w:r w:rsidRPr="44A0C547" w:rsidR="36D544ED">
        <w:rPr>
          <w:rFonts w:ascii="Calibri" w:hAnsi="Calibri" w:eastAsia="Calibri" w:cs="Calibri"/>
        </w:rPr>
        <w:t xml:space="preserve">Ozkan [9] studied a maintenance framework for </w:t>
      </w:r>
      <w:r w:rsidRPr="44A0C547" w:rsidR="36D544ED">
        <w:rPr>
          <w:rFonts w:ascii="Calibri" w:hAnsi="Calibri" w:eastAsia="Calibri" w:cs="Calibri"/>
        </w:rPr>
        <w:t>aircraft</w:t>
      </w:r>
      <w:r w:rsidRPr="44A0C547" w:rsidR="36D544ED">
        <w:rPr>
          <w:rFonts w:ascii="Calibri" w:hAnsi="Calibri" w:eastAsia="Calibri" w:cs="Calibri"/>
        </w:rPr>
        <w:t xml:space="preserve"> engines. It combines RUL prediction with dynamic maintenance scheduling </w:t>
      </w:r>
      <w:r w:rsidRPr="44A0C547" w:rsidR="36D544ED">
        <w:rPr>
          <w:rFonts w:ascii="Calibri" w:hAnsi="Calibri" w:eastAsia="Calibri" w:cs="Calibri"/>
        </w:rPr>
        <w:t>The</w:t>
      </w:r>
      <w:r w:rsidRPr="44A0C547" w:rsidR="36D544ED">
        <w:rPr>
          <w:rFonts w:ascii="Calibri" w:hAnsi="Calibri" w:eastAsia="Calibri" w:cs="Calibri"/>
        </w:rPr>
        <w:t xml:space="preserve"> researcher used the NASA C-MAPSS dataset, which </w:t>
      </w:r>
      <w:r w:rsidRPr="44A0C547" w:rsidR="36D544ED">
        <w:rPr>
          <w:rFonts w:ascii="Calibri" w:hAnsi="Calibri" w:eastAsia="Calibri" w:cs="Calibri"/>
        </w:rPr>
        <w:t>comprises</w:t>
      </w:r>
      <w:r w:rsidRPr="44A0C547" w:rsidR="36D544ED">
        <w:rPr>
          <w:rFonts w:ascii="Calibri" w:hAnsi="Calibri" w:eastAsia="Calibri" w:cs="Calibri"/>
        </w:rPr>
        <w:t xml:space="preserve"> all subsets—FD001, FD002, </w:t>
      </w:r>
      <w:r w:rsidRPr="44A0C547" w:rsidR="36D544ED">
        <w:rPr>
          <w:rFonts w:ascii="Calibri" w:hAnsi="Calibri" w:eastAsia="Calibri" w:cs="Calibri"/>
        </w:rPr>
        <w:t>FD003</w:t>
      </w:r>
      <w:r w:rsidRPr="44A0C547" w:rsidR="36D544ED">
        <w:rPr>
          <w:rFonts w:ascii="Calibri" w:hAnsi="Calibri" w:eastAsia="Calibri" w:cs="Calibri"/>
        </w:rPr>
        <w:t xml:space="preserve"> and FD004. These refer to varying operating conditions and failure modes. However, the paper focused on a problem traditional maintenance operations employ fixed intervals between service periods. They are not based on real-time sensor monitoring data to overcome this problem Ozkan employed machine learning models, including Light Gradient Boosting Machine (</w:t>
      </w:r>
      <w:r w:rsidRPr="44A0C547" w:rsidR="36D544ED">
        <w:rPr>
          <w:rFonts w:ascii="Calibri" w:hAnsi="Calibri" w:eastAsia="Calibri" w:cs="Calibri"/>
        </w:rPr>
        <w:t>LightGBM</w:t>
      </w:r>
      <w:r w:rsidRPr="44A0C547" w:rsidR="36D544ED">
        <w:rPr>
          <w:rFonts w:ascii="Calibri" w:hAnsi="Calibri" w:eastAsia="Calibri" w:cs="Calibri"/>
        </w:rPr>
        <w:t xml:space="preserve">), </w:t>
      </w:r>
      <w:r w:rsidRPr="44A0C547" w:rsidR="36D544ED">
        <w:rPr>
          <w:rFonts w:ascii="Calibri" w:hAnsi="Calibri" w:eastAsia="Calibri" w:cs="Calibri"/>
        </w:rPr>
        <w:t>CatBoost</w:t>
      </w:r>
      <w:r w:rsidRPr="44A0C547" w:rsidR="36D544ED">
        <w:rPr>
          <w:rFonts w:ascii="Calibri" w:hAnsi="Calibri" w:eastAsia="Calibri" w:cs="Calibri"/>
        </w:rPr>
        <w:t>, Gradient Boosting, Extreme Gradient Boosting (</w:t>
      </w:r>
      <w:r w:rsidRPr="44A0C547" w:rsidR="36D544ED">
        <w:rPr>
          <w:rFonts w:ascii="Calibri" w:hAnsi="Calibri" w:eastAsia="Calibri" w:cs="Calibri"/>
        </w:rPr>
        <w:t>XGBoost</w:t>
      </w:r>
      <w:r w:rsidRPr="44A0C547" w:rsidR="36D544ED">
        <w:rPr>
          <w:rFonts w:ascii="Calibri" w:hAnsi="Calibri" w:eastAsia="Calibri" w:cs="Calibri"/>
        </w:rPr>
        <w:t>), Support Vector Machine (SVM), K-Nearest Neighbors (KNN) and Linear Regression. Grid Search Cross-Validation (Grid Search CV) was used to find the best hyperparameter combinations. The predictions were combined in a framework, ensuring accuracy and robustness. A dynamic maintenance scheduling algorithm was developed based on the Remaining Useful Life (RUL) threshold. It activates maintenance when the predicted remaining life falls below 15 cycles</w:t>
      </w:r>
      <w:r w:rsidRPr="44A0C547" w:rsidR="36D544ED">
        <w:rPr>
          <w:rFonts w:ascii="Calibri" w:hAnsi="Calibri" w:eastAsia="Calibri" w:cs="Calibri"/>
        </w:rPr>
        <w:t xml:space="preserve"> the</w:t>
      </w:r>
      <w:r w:rsidRPr="44A0C547" w:rsidR="36D544ED">
        <w:rPr>
          <w:rFonts w:ascii="Calibri" w:hAnsi="Calibri" w:eastAsia="Calibri" w:cs="Calibri"/>
        </w:rPr>
        <w:t xml:space="preserve"> </w:t>
      </w:r>
      <w:r w:rsidRPr="44A0C547" w:rsidR="36D544ED">
        <w:rPr>
          <w:rFonts w:ascii="Calibri" w:hAnsi="Calibri" w:eastAsia="Calibri" w:cs="Calibri"/>
        </w:rPr>
        <w:t>SHapley</w:t>
      </w:r>
      <w:r w:rsidRPr="44A0C547" w:rsidR="36D544ED">
        <w:rPr>
          <w:rFonts w:ascii="Calibri" w:hAnsi="Calibri" w:eastAsia="Calibri" w:cs="Calibri"/>
        </w:rPr>
        <w:t xml:space="preserve"> Additive </w:t>
      </w:r>
      <w:r w:rsidRPr="44A0C547" w:rsidR="36D544ED">
        <w:rPr>
          <w:rFonts w:ascii="Calibri" w:hAnsi="Calibri" w:eastAsia="Calibri" w:cs="Calibri"/>
        </w:rPr>
        <w:t>exPlanations</w:t>
      </w:r>
      <w:r w:rsidRPr="44A0C547" w:rsidR="36D544ED">
        <w:rPr>
          <w:rFonts w:ascii="Calibri" w:hAnsi="Calibri" w:eastAsia="Calibri" w:cs="Calibri"/>
        </w:rPr>
        <w:t xml:space="preserve"> (SHAP) method was employed to understand the models. It highlights the key operational cycles and sensors that influence scheduling decisions. The </w:t>
      </w:r>
      <w:r w:rsidRPr="44A0C547" w:rsidR="36D544ED">
        <w:rPr>
          <w:rFonts w:ascii="Calibri" w:hAnsi="Calibri" w:eastAsia="Calibri" w:cs="Calibri"/>
        </w:rPr>
        <w:t>LightGBM</w:t>
      </w:r>
      <w:r w:rsidRPr="44A0C547" w:rsidR="36D544ED">
        <w:rPr>
          <w:rFonts w:ascii="Calibri" w:hAnsi="Calibri" w:eastAsia="Calibri" w:cs="Calibri"/>
        </w:rPr>
        <w:t xml:space="preserve">, </w:t>
      </w:r>
      <w:r w:rsidRPr="44A0C547" w:rsidR="36D544ED">
        <w:rPr>
          <w:rFonts w:ascii="Calibri" w:hAnsi="Calibri" w:eastAsia="Calibri" w:cs="Calibri"/>
        </w:rPr>
        <w:t>CatBoost</w:t>
      </w:r>
      <w:r w:rsidRPr="44A0C547" w:rsidR="36D544ED">
        <w:rPr>
          <w:rFonts w:ascii="Calibri" w:hAnsi="Calibri" w:eastAsia="Calibri" w:cs="Calibri"/>
        </w:rPr>
        <w:t xml:space="preserve"> models and their combination </w:t>
      </w:r>
      <w:r w:rsidRPr="44A0C547" w:rsidR="36D544ED">
        <w:rPr>
          <w:rFonts w:ascii="Calibri" w:hAnsi="Calibri" w:eastAsia="Calibri" w:cs="Calibri"/>
        </w:rPr>
        <w:t>observed</w:t>
      </w:r>
      <w:r w:rsidRPr="44A0C547" w:rsidR="36D544ED">
        <w:rPr>
          <w:rFonts w:ascii="Calibri" w:hAnsi="Calibri" w:eastAsia="Calibri" w:cs="Calibri"/>
        </w:rPr>
        <w:t xml:space="preserve"> an RMSE of 6.62 on FD001</w:t>
      </w:r>
      <w:r w:rsidRPr="44A0C547" w:rsidR="36D544ED">
        <w:rPr>
          <w:rFonts w:ascii="Calibri" w:hAnsi="Calibri" w:eastAsia="Calibri" w:cs="Calibri"/>
        </w:rPr>
        <w:t xml:space="preserve"> the</w:t>
      </w:r>
      <w:r w:rsidRPr="44A0C547" w:rsidR="36D544ED">
        <w:rPr>
          <w:rFonts w:ascii="Calibri" w:hAnsi="Calibri" w:eastAsia="Calibri" w:cs="Calibri"/>
        </w:rPr>
        <w:t xml:space="preserve"> </w:t>
      </w:r>
      <w:r w:rsidRPr="44A0C547" w:rsidR="36D544ED">
        <w:rPr>
          <w:rFonts w:ascii="Calibri" w:hAnsi="Calibri" w:eastAsia="Calibri" w:cs="Calibri"/>
        </w:rPr>
        <w:t>LightGBM</w:t>
      </w:r>
      <w:r w:rsidRPr="44A0C547" w:rsidR="36D544ED">
        <w:rPr>
          <w:rFonts w:ascii="Calibri" w:hAnsi="Calibri" w:eastAsia="Calibri" w:cs="Calibri"/>
        </w:rPr>
        <w:t xml:space="preserve">, </w:t>
      </w:r>
      <w:r w:rsidRPr="44A0C547" w:rsidR="36D544ED">
        <w:rPr>
          <w:rFonts w:ascii="Calibri" w:hAnsi="Calibri" w:eastAsia="Calibri" w:cs="Calibri"/>
        </w:rPr>
        <w:t>CatBoost</w:t>
      </w:r>
      <w:r w:rsidRPr="44A0C547" w:rsidR="36D544ED">
        <w:rPr>
          <w:rFonts w:ascii="Calibri" w:hAnsi="Calibri" w:eastAsia="Calibri" w:cs="Calibri"/>
        </w:rPr>
        <w:t xml:space="preserve"> and Gradient Boosting combination </w:t>
      </w:r>
      <w:r w:rsidRPr="44A0C547" w:rsidR="36D544ED">
        <w:rPr>
          <w:rFonts w:ascii="Calibri" w:hAnsi="Calibri" w:eastAsia="Calibri" w:cs="Calibri"/>
        </w:rPr>
        <w:t>observed</w:t>
      </w:r>
      <w:r w:rsidRPr="44A0C547" w:rsidR="36D544ED">
        <w:rPr>
          <w:rFonts w:ascii="Calibri" w:hAnsi="Calibri" w:eastAsia="Calibri" w:cs="Calibri"/>
        </w:rPr>
        <w:t xml:space="preserve"> an RMSE of 9.71 on FD003</w:t>
      </w:r>
      <w:r w:rsidRPr="44A0C547" w:rsidR="15795969">
        <w:rPr>
          <w:rFonts w:ascii="Calibri" w:hAnsi="Calibri" w:eastAsia="Calibri" w:cs="Calibri"/>
        </w:rPr>
        <w:t xml:space="preserve"> t</w:t>
      </w:r>
      <w:r w:rsidRPr="44A0C547" w:rsidR="36D544ED">
        <w:rPr>
          <w:rFonts w:ascii="Calibri" w:hAnsi="Calibri" w:eastAsia="Calibri" w:cs="Calibri"/>
        </w:rPr>
        <w:t>he</w:t>
      </w:r>
      <w:r w:rsidRPr="44A0C547" w:rsidR="36D544ED">
        <w:rPr>
          <w:rFonts w:ascii="Calibri" w:hAnsi="Calibri" w:eastAsia="Calibri" w:cs="Calibri"/>
        </w:rPr>
        <w:t xml:space="preserve"> other examined cases proved likewise competitive on FD002 and FD004. This confirms that the joint application of RUL estimation with scheduling improves maintenance planning, cuts operati</w:t>
      </w:r>
      <w:r w:rsidRPr="44A0C547" w:rsidR="36D544ED">
        <w:rPr>
          <w:rFonts w:ascii="Calibri" w:hAnsi="Calibri" w:eastAsia="Calibri" w:cs="Calibri"/>
        </w:rPr>
        <w:t>ng costs and limits risks.</w:t>
      </w:r>
    </w:p>
    <w:p w:rsidRPr="00494494" w:rsidR="0015419D" w:rsidP="32162B0C" w:rsidRDefault="0015419D" w14:paraId="0292A07F" w14:textId="3076E356">
      <w:pPr>
        <w:spacing w:after="0"/>
        <w:rPr>
          <w:rFonts w:ascii="Calibri" w:hAnsi="Calibri" w:eastAsia="Calibri" w:cs="Calibri"/>
        </w:rPr>
      </w:pPr>
    </w:p>
    <w:p w:rsidRPr="00494494" w:rsidR="0015419D" w:rsidP="32162B0C" w:rsidRDefault="0015419D" w14:paraId="5BFC34AE" w14:textId="757DDA43">
      <w:pPr>
        <w:spacing w:after="0"/>
        <w:rPr>
          <w:rFonts w:ascii="Calibri" w:hAnsi="Calibri" w:eastAsia="Calibri" w:cs="Calibri"/>
        </w:rPr>
      </w:pPr>
    </w:p>
    <w:p w:rsidRPr="00494494" w:rsidR="0015419D" w:rsidP="32162B0C" w:rsidRDefault="0015419D" w14:paraId="459A4D38" w14:textId="56F4A359">
      <w:pPr>
        <w:spacing w:after="0"/>
        <w:rPr>
          <w:rFonts w:ascii="Calibri" w:hAnsi="Calibri" w:eastAsia="Calibri" w:cs="Calibri"/>
        </w:rPr>
      </w:pPr>
    </w:p>
    <w:p w:rsidR="433642B3" w:rsidP="32162B0C" w:rsidRDefault="433642B3" w14:paraId="03F6D0E0" w14:textId="5BBABCDA">
      <w:pPr>
        <w:spacing w:after="0"/>
        <w:rPr>
          <w:rFonts w:ascii="Calibri" w:hAnsi="Calibri" w:eastAsia="Calibri" w:cs="Calibri"/>
        </w:rPr>
      </w:pPr>
    </w:p>
    <w:p w:rsidRPr="00494494" w:rsidR="00806BEC" w:rsidP="32162B0C" w:rsidRDefault="2DC178F1" w14:paraId="16898254" w14:textId="3FC14AB8">
      <w:pPr>
        <w:spacing w:after="200" w:line="276" w:lineRule="auto"/>
        <w:rPr>
          <w:rFonts w:ascii="Calibri" w:hAnsi="Calibri" w:eastAsia="Calibri" w:cs="Calibri"/>
        </w:rPr>
      </w:pPr>
      <w:r w:rsidRPr="32162B0C">
        <w:rPr>
          <w:rFonts w:ascii="Calibri" w:hAnsi="Calibri" w:eastAsia="Calibri" w:cs="Calibri"/>
        </w:rPr>
        <w:t>Lei et al [</w:t>
      </w:r>
      <w:r w:rsidRPr="32162B0C" w:rsidR="4890A12A">
        <w:rPr>
          <w:rFonts w:ascii="Calibri" w:hAnsi="Calibri" w:eastAsia="Calibri" w:cs="Calibri"/>
        </w:rPr>
        <w:t>1</w:t>
      </w:r>
      <w:r w:rsidRPr="32162B0C" w:rsidR="41CF930E">
        <w:rPr>
          <w:rFonts w:ascii="Calibri" w:hAnsi="Calibri" w:eastAsia="Calibri" w:cs="Calibri"/>
        </w:rPr>
        <w:t>0</w:t>
      </w:r>
      <w:r w:rsidRPr="32162B0C">
        <w:rPr>
          <w:rFonts w:ascii="Calibri" w:hAnsi="Calibri" w:eastAsia="Calibri" w:cs="Calibri"/>
        </w:rPr>
        <w:t xml:space="preserve">] proposed </w:t>
      </w:r>
      <w:r w:rsidRPr="32162B0C" w:rsidR="3AE3A92C">
        <w:rPr>
          <w:rFonts w:ascii="Calibri" w:hAnsi="Calibri" w:eastAsia="Calibri" w:cs="Calibri"/>
        </w:rPr>
        <w:t xml:space="preserve">an </w:t>
      </w:r>
      <w:r w:rsidRPr="32162B0C">
        <w:rPr>
          <w:rFonts w:ascii="Calibri" w:hAnsi="Calibri" w:eastAsia="Calibri" w:cs="Calibri"/>
        </w:rPr>
        <w:t>RUL prediction method for rolling bearings based on hierarchical clustering and a Transformer GRU hybrid model. The study used the PHM2012 rolling bearing dataset which contains vibration signals collected from the Pronostia platform under different operating conditions until failure. The preprocessing procedure involved wavelet denoising extracting time domain frequency domain and time frequency domain features smoothing and normalizing the features calculating a comprehensive feature index based on monotonicity and correlation and then removing redundant features using hierarchical clustering with the elbow meth</w:t>
      </w:r>
      <w:r w:rsidRPr="32162B0C" w:rsidR="49E04A24">
        <w:rPr>
          <w:rFonts w:ascii="Calibri" w:hAnsi="Calibri" w:eastAsia="Calibri" w:cs="Calibri"/>
        </w:rPr>
        <w:t>od w</w:t>
      </w:r>
      <w:r w:rsidRPr="32162B0C">
        <w:rPr>
          <w:rFonts w:ascii="Calibri" w:hAnsi="Calibri" w:eastAsia="Calibri" w:cs="Calibri"/>
        </w:rPr>
        <w:t>ithin the proposed architecture the Transformer encoder was used to capture dependencies across different time steps and generate high level feature representations while the GRU component was used to model the dynamic degradation trend over time. The proposed approach was compared with GRU TCN Transformer and previous related methods. The results showed that the Transformer GRU model achieved the best predictive performance with average MAE 0</w:t>
      </w:r>
      <w:r w:rsidRPr="32162B0C" w:rsidR="4BCC5454">
        <w:rPr>
          <w:rFonts w:ascii="Calibri" w:hAnsi="Calibri" w:eastAsia="Calibri" w:cs="Calibri"/>
        </w:rPr>
        <w:t>.</w:t>
      </w:r>
      <w:r w:rsidRPr="32162B0C">
        <w:rPr>
          <w:rFonts w:ascii="Calibri" w:hAnsi="Calibri" w:eastAsia="Calibri" w:cs="Calibri"/>
        </w:rPr>
        <w:t>0836 and average RMSE 0</w:t>
      </w:r>
      <w:r w:rsidRPr="32162B0C" w:rsidR="20CC62FA">
        <w:rPr>
          <w:rFonts w:ascii="Calibri" w:hAnsi="Calibri" w:eastAsia="Calibri" w:cs="Calibri"/>
        </w:rPr>
        <w:t>.</w:t>
      </w:r>
      <w:r w:rsidRPr="32162B0C">
        <w:rPr>
          <w:rFonts w:ascii="Calibri" w:hAnsi="Calibri" w:eastAsia="Calibri" w:cs="Calibri"/>
        </w:rPr>
        <w:t>1137 while feature reduction reduced training time by 8</w:t>
      </w:r>
      <w:r w:rsidRPr="32162B0C" w:rsidR="6CB25001">
        <w:rPr>
          <w:rFonts w:ascii="Calibri" w:hAnsi="Calibri" w:eastAsia="Calibri" w:cs="Calibri"/>
        </w:rPr>
        <w:t>.</w:t>
      </w:r>
      <w:r w:rsidRPr="32162B0C">
        <w:rPr>
          <w:rFonts w:ascii="Calibri" w:hAnsi="Calibri" w:eastAsia="Calibri" w:cs="Calibri"/>
        </w:rPr>
        <w:t>61 percent and model parameters by 23</w:t>
      </w:r>
      <w:r w:rsidRPr="32162B0C" w:rsidR="34994BA7">
        <w:rPr>
          <w:rFonts w:ascii="Calibri" w:hAnsi="Calibri" w:eastAsia="Calibri" w:cs="Calibri"/>
        </w:rPr>
        <w:t>.</w:t>
      </w:r>
      <w:r w:rsidRPr="32162B0C">
        <w:rPr>
          <w:rFonts w:ascii="Calibri" w:hAnsi="Calibri" w:eastAsia="Calibri" w:cs="Calibri"/>
        </w:rPr>
        <w:t>26 percent</w:t>
      </w:r>
      <w:r w:rsidRPr="32162B0C" w:rsidR="2CC41582">
        <w:rPr>
          <w:rFonts w:ascii="Calibri" w:hAnsi="Calibri" w:eastAsia="Calibri" w:cs="Calibri"/>
        </w:rPr>
        <w:t>.</w:t>
      </w:r>
    </w:p>
    <w:p w:rsidRPr="00494494" w:rsidR="00806BEC" w:rsidP="32162B0C" w:rsidRDefault="00806BEC" w14:paraId="7E46DBB0" w14:textId="4B14524F">
      <w:pPr>
        <w:spacing w:after="200" w:line="276" w:lineRule="auto"/>
        <w:rPr>
          <w:rFonts w:ascii="Calibri" w:hAnsi="Calibri" w:eastAsia="Calibri" w:cs="Calibri"/>
        </w:rPr>
      </w:pPr>
    </w:p>
    <w:p w:rsidRPr="00002D37" w:rsidR="00326E8E" w:rsidP="32162B0C" w:rsidRDefault="0BAD2F36" w14:paraId="170CBC0B" w14:textId="404D4393">
      <w:pPr>
        <w:spacing w:before="240" w:after="240"/>
        <w:rPr>
          <w:rFonts w:ascii="Calibri" w:hAnsi="Calibri" w:eastAsia="Calibri" w:cs="Calibri"/>
          <w:color w:val="000000" w:themeColor="text1"/>
        </w:rPr>
      </w:pPr>
      <w:r w:rsidRPr="32162B0C">
        <w:rPr>
          <w:rFonts w:ascii="Calibri" w:hAnsi="Calibri" w:eastAsia="Calibri" w:cs="Calibri"/>
          <w:color w:val="000000" w:themeColor="text1"/>
        </w:rPr>
        <w:t>Jin et al [11] proposed an RUL prediction method for rolling bearings based on TCN-Transformer networks using vibration signals. The study used the IEEE PHM2012 Data Challenge dataset collected from the PRONOSTIA platform. The dataset contains accelerated degradation data from 17 rolling bearings under three operating conditions. The study used horizontal vibration signals because they contain more useful degradation information than vertical signals. The preprocessing steps included extracting 32 time-domain, frequency domain and time-frequency-domain features from the vibration signals. Eight sensitive features were selected using monotonicity, correlation, predictability and robustness. PCA was then used for dimensionality reduction. The authors also constructed a Health Index and smoothed it using a moving average.</w:t>
      </w:r>
      <w:r w:rsidRPr="32162B0C" w:rsidR="7A716F85">
        <w:rPr>
          <w:rFonts w:ascii="Calibri" w:hAnsi="Calibri" w:eastAsia="Calibri" w:cs="Calibri"/>
          <w:color w:val="000000" w:themeColor="text1"/>
        </w:rPr>
        <w:t xml:space="preserve"> </w:t>
      </w:r>
      <w:r w:rsidRPr="32162B0C">
        <w:rPr>
          <w:rFonts w:ascii="Calibri" w:hAnsi="Calibri" w:eastAsia="Calibri" w:cs="Calibri"/>
          <w:color w:val="000000" w:themeColor="text1"/>
        </w:rPr>
        <w:t>The proposed TCN-Transformer model used TCN to capture local temporal features and Transformer to capture global relationships. A multi-head feature fusion attention module was then used to combine the local and global features for RUL prediction. The model was compared with RNN, LSTM, GRU, Dual-LSTM, Long Short-Term Memory with Attention Ordered Neurons (LSTM-AON), Bidirectional Gated Recurrent Unit with a gate attention mechanism (BiGRU-GSA), Temporal Convolutional Network with Residual Self-Attention (TCN-RSA) and Temporal Flow Transformer (TFT).</w:t>
      </w:r>
      <w:r w:rsidRPr="32162B0C" w:rsidR="6A84DD50">
        <w:rPr>
          <w:rFonts w:ascii="Calibri" w:hAnsi="Calibri" w:eastAsia="Calibri" w:cs="Calibri"/>
          <w:color w:val="000000" w:themeColor="text1"/>
        </w:rPr>
        <w:t xml:space="preserve"> </w:t>
      </w:r>
      <w:r w:rsidRPr="32162B0C">
        <w:rPr>
          <w:rFonts w:ascii="Calibri" w:hAnsi="Calibri" w:eastAsia="Calibri" w:cs="Calibri"/>
          <w:color w:val="000000" w:themeColor="text1"/>
        </w:rPr>
        <w:t xml:space="preserve">The results showed that TCN-Transformer achieved the best average performance with an RMSE of 0.0514, MAE of 0.0392 and </w:t>
      </w:r>
      <w:r w:rsidRPr="32162B0C" w:rsidR="4DD7C70E">
        <w:rPr>
          <w:rFonts w:ascii="Calibri" w:hAnsi="Calibri" w:eastAsia="Calibri" w:cs="Calibri"/>
          <w:color w:val="000000" w:themeColor="text1"/>
        </w:rPr>
        <w:t>a score</w:t>
      </w:r>
      <w:r w:rsidRPr="32162B0C">
        <w:rPr>
          <w:rFonts w:ascii="Calibri" w:hAnsi="Calibri" w:eastAsia="Calibri" w:cs="Calibri"/>
          <w:color w:val="000000" w:themeColor="text1"/>
        </w:rPr>
        <w:t xml:space="preserve"> of 0.6346. The model reduced RMSE by 14.62% and MAE by 9.26% and improved </w:t>
      </w:r>
      <w:r w:rsidRPr="32162B0C" w:rsidR="05F68162">
        <w:rPr>
          <w:rFonts w:ascii="Calibri" w:hAnsi="Calibri" w:eastAsia="Calibri" w:cs="Calibri"/>
          <w:color w:val="000000" w:themeColor="text1"/>
        </w:rPr>
        <w:t>a score</w:t>
      </w:r>
      <w:r w:rsidRPr="32162B0C">
        <w:rPr>
          <w:rFonts w:ascii="Calibri" w:hAnsi="Calibri" w:eastAsia="Calibri" w:cs="Calibri"/>
          <w:color w:val="000000" w:themeColor="text1"/>
        </w:rPr>
        <w:t xml:space="preserve"> </w:t>
      </w:r>
      <w:r w:rsidRPr="32162B0C" w:rsidR="4BB255D0">
        <w:rPr>
          <w:rFonts w:ascii="Calibri" w:hAnsi="Calibri" w:eastAsia="Calibri" w:cs="Calibri"/>
          <w:color w:val="000000" w:themeColor="text1"/>
        </w:rPr>
        <w:t xml:space="preserve">by </w:t>
      </w:r>
      <w:r w:rsidRPr="32162B0C">
        <w:rPr>
          <w:rFonts w:ascii="Calibri" w:hAnsi="Calibri" w:eastAsia="Calibri" w:cs="Calibri"/>
          <w:color w:val="000000" w:themeColor="text1"/>
        </w:rPr>
        <w:t>13.04% compared with the best previous model.</w:t>
      </w:r>
    </w:p>
    <w:p w:rsidR="00326E8E" w:rsidP="32162B0C" w:rsidRDefault="00326E8E" w14:paraId="4F5C209E" w14:textId="1897C771">
      <w:pPr>
        <w:spacing w:before="240" w:after="240" w:line="276" w:lineRule="auto"/>
        <w:rPr>
          <w:rFonts w:ascii="Calibri" w:hAnsi="Calibri" w:eastAsia="Calibri" w:cs="Calibri"/>
          <w:color w:val="000000" w:themeColor="text1"/>
        </w:rPr>
      </w:pPr>
    </w:p>
    <w:p w:rsidR="00821E0F" w:rsidP="32162B0C" w:rsidRDefault="00821E0F" w14:paraId="11CAF2B3" w14:textId="31CD7CCB">
      <w:pPr>
        <w:spacing w:before="240" w:after="240" w:line="276" w:lineRule="auto"/>
        <w:rPr>
          <w:rFonts w:ascii="Calibri" w:hAnsi="Calibri" w:eastAsia="Calibri" w:cs="Calibri"/>
          <w:color w:val="000000" w:themeColor="text1"/>
        </w:rPr>
      </w:pPr>
    </w:p>
    <w:p w:rsidRPr="00494494" w:rsidR="00821E0F" w:rsidP="32162B0C" w:rsidRDefault="00821E0F" w14:paraId="33394154" w14:textId="77777777">
      <w:pPr>
        <w:spacing w:before="240" w:after="240" w:line="276" w:lineRule="auto"/>
        <w:rPr>
          <w:rFonts w:ascii="Calibri" w:hAnsi="Calibri" w:eastAsia="Calibri" w:cs="Calibri"/>
          <w:color w:val="000000" w:themeColor="text1"/>
        </w:rPr>
      </w:pPr>
    </w:p>
    <w:p w:rsidRPr="00494494" w:rsidR="00326E8E" w:rsidP="32162B0C" w:rsidRDefault="45B52096" w14:paraId="5776FED7" w14:textId="6CEA59DD">
      <w:pPr>
        <w:spacing w:before="240" w:after="240" w:line="276" w:lineRule="auto"/>
        <w:rPr>
          <w:rFonts w:ascii="Calibri" w:hAnsi="Calibri" w:eastAsia="Calibri" w:cs="Calibri"/>
          <w:color w:val="000000" w:themeColor="text1"/>
        </w:rPr>
      </w:pPr>
      <w:r w:rsidRPr="32162B0C">
        <w:rPr>
          <w:rFonts w:ascii="Calibri" w:hAnsi="Calibri" w:eastAsia="Calibri" w:cs="Calibri"/>
          <w:color w:val="000000" w:themeColor="text1"/>
        </w:rPr>
        <w:t>Chen et al</w:t>
      </w:r>
      <w:r w:rsidRPr="32162B0C" w:rsidR="0393381A">
        <w:rPr>
          <w:rFonts w:ascii="Calibri" w:hAnsi="Calibri" w:eastAsia="Calibri" w:cs="Calibri"/>
          <w:color w:val="000000" w:themeColor="text1"/>
        </w:rPr>
        <w:t xml:space="preserve">  </w:t>
      </w:r>
      <w:r w:rsidRPr="32162B0C">
        <w:rPr>
          <w:rFonts w:ascii="Calibri" w:hAnsi="Calibri" w:eastAsia="Calibri" w:cs="Calibri"/>
          <w:color w:val="000000" w:themeColor="text1"/>
        </w:rPr>
        <w:t xml:space="preserve"> [12] presented a model called Spatial Attention</w:t>
      </w:r>
      <w:r w:rsidRPr="32162B0C" w:rsidR="75934C89">
        <w:rPr>
          <w:rFonts w:ascii="Calibri" w:hAnsi="Calibri" w:eastAsia="Calibri" w:cs="Calibri"/>
          <w:color w:val="000000" w:themeColor="text1"/>
        </w:rPr>
        <w:t xml:space="preserve"> </w:t>
      </w:r>
      <w:r w:rsidRPr="32162B0C">
        <w:rPr>
          <w:rFonts w:ascii="Calibri" w:hAnsi="Calibri" w:eastAsia="Calibri" w:cs="Calibri"/>
          <w:color w:val="000000" w:themeColor="text1"/>
        </w:rPr>
        <w:t>based Convolutional Transformer (SAConvFormer) for predicting the RUL of rolling bearings. The model uses CNN with a spatial attention mechanism to extract local and global features from raw vibration signals. The extracted features are then passed to a Transformer to learn about the long-term relationships related to bearing degradation. The study used the XJTU-SY bearing dataset. The data preparation included determining the First Prediction Time (FPT), normalizing the vibration data, applying a sliding window and dividing the data into training and testing sets. The model directly used raw vibration signals without additional feature engineering. SAConvFormer was compared with Bi-LSTM, Dilated CNN, Multi-Scale Convolutional Neural Network (MSCNN) and Deep Convolutional Neural Network–Multi-Layer Perceptron (DCNN-MLP). The results showed that SAConvFormer achieved strong performance across the bearing datasets. The best result was achieved on Bearing 2_2 with an RMSE of 0.065 and MAE of 0.051. The combination of spatial attention and Transformer also reduced RMSE by 23.7% and MAE by 16.9% in the Bearing 3_1 experiment.</w:t>
      </w:r>
    </w:p>
    <w:p w:rsidRPr="00494494" w:rsidR="00326E8E" w:rsidP="32162B0C" w:rsidRDefault="00326E8E" w14:paraId="3F23C3E2" w14:textId="1324835C">
      <w:pPr>
        <w:spacing w:before="240" w:after="240" w:line="276" w:lineRule="auto"/>
        <w:rPr>
          <w:rFonts w:ascii="Calibri" w:hAnsi="Calibri" w:eastAsia="Calibri" w:cs="Calibri"/>
          <w:color w:val="000000" w:themeColor="text1"/>
        </w:rPr>
      </w:pPr>
    </w:p>
    <w:p w:rsidR="00002D37" w:rsidP="44A0C547" w:rsidRDefault="1D4D060F" w14:paraId="14780BF5" w14:textId="0150F868">
      <w:pPr>
        <w:pStyle w:val="Normal"/>
        <w:spacing w:before="240" w:after="240" w:line="276" w:lineRule="auto"/>
        <w:rPr>
          <w:rFonts w:ascii="Calibri" w:hAnsi="Calibri" w:eastAsia="Calibri" w:cs="Calibri"/>
          <w:color w:val="000000" w:themeColor="text1"/>
        </w:rPr>
      </w:pPr>
      <w:r w:rsidRPr="44A0C547" w:rsidR="2E636232">
        <w:rPr>
          <w:rFonts w:ascii="Calibri" w:hAnsi="Calibri" w:eastAsia="Calibri" w:cs="Calibri"/>
          <w:color w:val="000000" w:themeColor="text1" w:themeTint="FF" w:themeShade="FF"/>
        </w:rPr>
        <w:t>Zou et al. [13] proposed an RUL prediction method based on an Attention-based Double Bidirectional Long Short Term Memory network (A-</w:t>
      </w:r>
      <w:r w:rsidRPr="44A0C547" w:rsidR="2E636232">
        <w:rPr>
          <w:rFonts w:ascii="Calibri" w:hAnsi="Calibri" w:eastAsia="Calibri" w:cs="Calibri"/>
          <w:color w:val="000000" w:themeColor="text1" w:themeTint="FF" w:themeShade="FF"/>
        </w:rPr>
        <w:t>DBiLSTM</w:t>
      </w:r>
      <w:r w:rsidRPr="44A0C547" w:rsidR="2E636232">
        <w:rPr>
          <w:rFonts w:ascii="Calibri" w:hAnsi="Calibri" w:eastAsia="Calibri" w:cs="Calibri"/>
          <w:color w:val="000000" w:themeColor="text1" w:themeTint="FF" w:themeShade="FF"/>
        </w:rPr>
        <w:t>). The study used the PHM2012 and XJTU-SY bearing datasets. For data preparation, Discrete Wavelet Transform (DWT) was used to reduce noise from vibration signals. Features were then extracted from the time</w:t>
      </w:r>
      <w:r w:rsidRPr="44A0C547" w:rsidR="48EFCF76">
        <w:rPr>
          <w:rFonts w:ascii="Calibri" w:hAnsi="Calibri" w:eastAsia="Calibri" w:cs="Calibri"/>
          <w:color w:val="000000" w:themeColor="text1" w:themeTint="FF" w:themeShade="FF"/>
        </w:rPr>
        <w:t xml:space="preserve"> </w:t>
      </w:r>
      <w:r w:rsidRPr="44A0C547" w:rsidR="2E636232">
        <w:rPr>
          <w:rFonts w:ascii="Calibri" w:hAnsi="Calibri" w:eastAsia="Calibri" w:cs="Calibri"/>
          <w:color w:val="000000" w:themeColor="text1" w:themeTint="FF" w:themeShade="FF"/>
        </w:rPr>
        <w:t>frequency, and time</w:t>
      </w:r>
      <w:r w:rsidRPr="44A0C547" w:rsidR="1898E8A3">
        <w:rPr>
          <w:rFonts w:ascii="Calibri" w:hAnsi="Calibri" w:eastAsia="Calibri" w:cs="Calibri"/>
          <w:color w:val="000000" w:themeColor="text1" w:themeTint="FF" w:themeShade="FF"/>
        </w:rPr>
        <w:t xml:space="preserve"> </w:t>
      </w:r>
      <w:r w:rsidRPr="44A0C547" w:rsidR="2E636232">
        <w:rPr>
          <w:rFonts w:ascii="Calibri" w:hAnsi="Calibri" w:eastAsia="Calibri" w:cs="Calibri"/>
          <w:color w:val="000000" w:themeColor="text1" w:themeTint="FF" w:themeShade="FF"/>
        </w:rPr>
        <w:t>frequency domains. The most useful degradation feature</w:t>
      </w:r>
      <w:r w:rsidRPr="44A0C547" w:rsidR="2E636232">
        <w:rPr>
          <w:rFonts w:ascii="Calibri" w:hAnsi="Calibri" w:eastAsia="Calibri" w:cs="Calibri"/>
          <w:color w:val="000000" w:themeColor="text1" w:themeTint="FF" w:themeShade="FF"/>
        </w:rPr>
        <w:t xml:space="preserve">s </w:t>
      </w:r>
      <w:r w:rsidRPr="44A0C547" w:rsidR="2E636232">
        <w:rPr>
          <w:rFonts w:ascii="Calibri" w:hAnsi="Calibri" w:eastAsia="Calibri" w:cs="Calibri"/>
          <w:color w:val="000000" w:themeColor="text1" w:themeTint="FF" w:themeShade="FF"/>
        </w:rPr>
        <w:t>were</w:t>
      </w:r>
      <w:r w:rsidRPr="44A0C547" w:rsidR="2E636232">
        <w:rPr>
          <w:rFonts w:ascii="Calibri" w:hAnsi="Calibri" w:eastAsia="Calibri" w:cs="Calibri"/>
          <w:color w:val="000000" w:themeColor="text1" w:themeTint="FF" w:themeShade="FF"/>
        </w:rPr>
        <w:t xml:space="preserve"> selected using monotonicity, predictability, </w:t>
      </w:r>
      <w:r w:rsidRPr="44A0C547" w:rsidR="2E636232">
        <w:rPr>
          <w:rFonts w:ascii="Calibri" w:hAnsi="Calibri" w:eastAsia="Calibri" w:cs="Calibri"/>
          <w:color w:val="000000" w:themeColor="text1" w:themeTint="FF" w:themeShade="FF"/>
        </w:rPr>
        <w:t>trendability</w:t>
      </w:r>
      <w:r w:rsidRPr="44A0C547" w:rsidR="2E636232">
        <w:rPr>
          <w:rFonts w:ascii="Calibri" w:hAnsi="Calibri" w:eastAsia="Calibri" w:cs="Calibri"/>
          <w:color w:val="000000" w:themeColor="text1" w:themeTint="FF" w:themeShade="FF"/>
        </w:rPr>
        <w:t xml:space="preserve"> and robustness. Kernel Principal Component Analysis (KPCA) was then used to combine the selected features and create a Health Index (HI). The 3-sigma method was also used to </w:t>
      </w:r>
      <w:r w:rsidRPr="44A0C547" w:rsidR="2E636232">
        <w:rPr>
          <w:rFonts w:ascii="Calibri" w:hAnsi="Calibri" w:eastAsia="Calibri" w:cs="Calibri"/>
          <w:color w:val="000000" w:themeColor="text1" w:themeTint="FF" w:themeShade="FF"/>
        </w:rPr>
        <w:t>determine</w:t>
      </w:r>
      <w:r w:rsidRPr="44A0C547" w:rsidR="2E636232">
        <w:rPr>
          <w:rFonts w:ascii="Calibri" w:hAnsi="Calibri" w:eastAsia="Calibri" w:cs="Calibri"/>
          <w:color w:val="000000" w:themeColor="text1" w:themeTint="FF" w:themeShade="FF"/>
        </w:rPr>
        <w:t xml:space="preserve"> the bearing failure threshold. The A-</w:t>
      </w:r>
      <w:r w:rsidRPr="44A0C547" w:rsidR="2E636232">
        <w:rPr>
          <w:rFonts w:ascii="Calibri" w:hAnsi="Calibri" w:eastAsia="Calibri" w:cs="Calibri"/>
          <w:color w:val="000000" w:themeColor="text1" w:themeTint="FF" w:themeShade="FF"/>
        </w:rPr>
        <w:t>DBiLSTM</w:t>
      </w:r>
      <w:r w:rsidRPr="44A0C547" w:rsidR="2E636232">
        <w:rPr>
          <w:rFonts w:ascii="Calibri" w:hAnsi="Calibri" w:eastAsia="Calibri" w:cs="Calibri"/>
          <w:color w:val="000000" w:themeColor="text1" w:themeTint="FF" w:themeShade="FF"/>
        </w:rPr>
        <w:t xml:space="preserve"> model used two Bi-LSTM layers with an attention mechanism to learn the degradation pattern and focus on </w:t>
      </w:r>
      <w:r w:rsidRPr="44A0C547" w:rsidR="2E636232">
        <w:rPr>
          <w:rFonts w:ascii="Calibri" w:hAnsi="Calibri" w:eastAsia="Calibri" w:cs="Calibri"/>
          <w:color w:val="000000" w:themeColor="text1" w:themeTint="FF" w:themeShade="FF"/>
        </w:rPr>
        <w:t>important information</w:t>
      </w:r>
      <w:r w:rsidRPr="44A0C547" w:rsidR="2E636232">
        <w:rPr>
          <w:rFonts w:ascii="Calibri" w:hAnsi="Calibri" w:eastAsia="Calibri" w:cs="Calibri"/>
          <w:color w:val="000000" w:themeColor="text1" w:themeTint="FF" w:themeShade="FF"/>
        </w:rPr>
        <w:t>. Bayesian optimization was used to select the model hyperparameters. The proposed model was compared with Bidirectional Gated Recurrent Unit (</w:t>
      </w:r>
      <w:r w:rsidRPr="44A0C547" w:rsidR="2E636232">
        <w:rPr>
          <w:rFonts w:ascii="Calibri" w:hAnsi="Calibri" w:eastAsia="Calibri" w:cs="Calibri"/>
          <w:color w:val="000000" w:themeColor="text1" w:themeTint="FF" w:themeShade="FF"/>
        </w:rPr>
        <w:t>BiGRU</w:t>
      </w:r>
      <w:r w:rsidRPr="44A0C547" w:rsidR="2E636232">
        <w:rPr>
          <w:rFonts w:ascii="Calibri" w:hAnsi="Calibri" w:eastAsia="Calibri" w:cs="Calibri"/>
          <w:color w:val="000000" w:themeColor="text1" w:themeTint="FF" w:themeShade="FF"/>
        </w:rPr>
        <w:t>) and CNN-LSTM. Results showed that A-</w:t>
      </w:r>
      <w:r w:rsidRPr="44A0C547" w:rsidR="2E636232">
        <w:rPr>
          <w:rFonts w:ascii="Calibri" w:hAnsi="Calibri" w:eastAsia="Calibri" w:cs="Calibri"/>
          <w:color w:val="000000" w:themeColor="text1" w:themeTint="FF" w:themeShade="FF"/>
        </w:rPr>
        <w:t>DBiLSTM</w:t>
      </w:r>
      <w:r w:rsidRPr="44A0C547" w:rsidR="2E636232">
        <w:rPr>
          <w:rFonts w:ascii="Calibri" w:hAnsi="Calibri" w:eastAsia="Calibri" w:cs="Calibri"/>
          <w:color w:val="000000" w:themeColor="text1" w:themeTint="FF" w:themeShade="FF"/>
        </w:rPr>
        <w:t xml:space="preserve"> achieved lower RMSE and MAE values and higher R² values than the comparison models on both PHM2012 and XJTU-SY. The statistical tests also showed significant differences with p-values below 0.05, which supported the reliability of the prediction results.</w:t>
      </w:r>
    </w:p>
    <w:p w:rsidRPr="00002D37" w:rsidR="00821E0F" w:rsidP="32162B0C" w:rsidRDefault="00821E0F" w14:paraId="324B9760" w14:textId="77777777">
      <w:pPr>
        <w:spacing w:before="240" w:after="240" w:line="276" w:lineRule="auto"/>
        <w:rPr>
          <w:rFonts w:ascii="Calibri" w:hAnsi="Calibri" w:eastAsia="Calibri" w:cs="Calibri"/>
        </w:rPr>
      </w:pPr>
    </w:p>
    <w:p w:rsidRPr="00494494" w:rsidR="00326E8E" w:rsidP="32162B0C" w:rsidRDefault="425611F2" w14:paraId="253D827A" w14:textId="2767A91C">
      <w:pPr>
        <w:spacing w:before="240" w:after="240" w:line="276" w:lineRule="auto"/>
        <w:rPr>
          <w:rFonts w:ascii="Calibri" w:hAnsi="Calibri" w:eastAsia="Calibri" w:cs="Calibri"/>
          <w:color w:val="000000" w:themeColor="text1"/>
        </w:rPr>
      </w:pPr>
      <w:r w:rsidRPr="32162B0C">
        <w:rPr>
          <w:rFonts w:ascii="Calibri" w:hAnsi="Calibri" w:eastAsia="Calibri" w:cs="Calibri"/>
          <w:color w:val="000000" w:themeColor="text1"/>
        </w:rPr>
        <w:t xml:space="preserve">Yang et al. [14] proposed a deep multiscale feature fusion network with dual attention for predicting the RUL of rollin Yang et al g bearings. The model first uses a Squeeze and Excitation attention mechanism (SE) to give more importance to useful time-step information. A multi-scale residual pyramid module is then used to extract and combine degradation features at different scales. The model also uses a Transformer encoder with enhanced multi-head attention and relative position encoding to learn relationships between different time steps. The study used the XJTU-SY bearing dataset. The authors extracted features from the time and frequency domains and normalized them before using them as model inputs. The proposed model was compared with Transformer Encoder, SE Transformer Encoder, Gated Convolutional Unit Transformer (GCU Transformer), Temporal Convolutional Network with Multi-head Attention (TCN-MA) and Informer-Encoder. The results showed that the proposed model achieved the best prediction performance. On Bearing2_2, it achieved an RMSE of 0.05301, MAE of 0.04159 and R² of 0.96186. On Bearing2_5, it achieved an RMSE of 0.07505, MAE of 0.06182 and R² of 0.93149. </w:t>
      </w:r>
    </w:p>
    <w:p w:rsidRPr="00494494" w:rsidR="00326E8E" w:rsidP="32162B0C" w:rsidRDefault="00326E8E" w14:paraId="195FE7C1" w14:textId="5D35C8A8">
      <w:pPr>
        <w:spacing w:before="240" w:after="240" w:line="276" w:lineRule="auto"/>
        <w:rPr>
          <w:rFonts w:ascii="Calibri" w:hAnsi="Calibri" w:eastAsia="Calibri" w:cs="Calibri"/>
          <w:color w:val="000000" w:themeColor="text1"/>
        </w:rPr>
      </w:pPr>
    </w:p>
    <w:p w:rsidRPr="00494494" w:rsidR="00326E8E" w:rsidP="32162B0C" w:rsidRDefault="61663D96" w14:paraId="0A75D46A" w14:textId="380D9093">
      <w:pPr>
        <w:spacing w:before="240" w:after="240" w:line="276" w:lineRule="auto"/>
        <w:rPr>
          <w:rFonts w:ascii="Calibri" w:hAnsi="Calibri" w:eastAsia="Calibri" w:cs="Calibri"/>
          <w:color w:val="000000" w:themeColor="text1"/>
        </w:rPr>
      </w:pPr>
      <w:r w:rsidRPr="32162B0C">
        <w:rPr>
          <w:rFonts w:ascii="Calibri" w:hAnsi="Calibri" w:eastAsia="Calibri" w:cs="Calibri"/>
          <w:color w:val="000000" w:themeColor="text1"/>
        </w:rPr>
        <w:t>Liu et al. [15] proposed an RUL prediction model for rolling bearings called TcLstmNet with a Convolutional Block Attention Module (TcLstmNet CBAM). The model combines TCN and LSTM in parallel. TCN is used to learn long term temporal relationships and deeper spatial features while LSTM is used to learn short term temporal relationships. The extracted features are then combined and passed through the Convolutional Block Attention Module (CBAM), which gives more importance to useful features. A fully connected layer is used at the end to predict RUL. The study used the PHM2012 and XJTU-SY bearing datasets. The model used raw vibration signals as input. The data was divided into training and testing sets, and horizontal and vertical vibration signals were extracted before feature learning. The proposed model was compared with RNN, TCN, LSTM, Soft-Threshold Attention Mechanism-based Temporal Convolutional Network (TCN-SA) and Temporal Convolutional Network with Residual Separable Convolutional Block (TCN-R). Results showed that TcLstmNet-CBAM achieved better performance than the comparison models. The model achieved an MAE of 2.287 and an RMSE of 3.123.</w:t>
      </w:r>
    </w:p>
    <w:p w:rsidRPr="00494494" w:rsidR="00326E8E" w:rsidP="433642B3" w:rsidRDefault="00326E8E" w14:paraId="1A624C63" w14:textId="1D31DC92">
      <w:pPr>
        <w:spacing w:after="200" w:line="276" w:lineRule="auto"/>
        <w:rPr>
          <w:rFonts w:ascii="Calibri" w:hAnsi="Calibri" w:eastAsia="Calibri" w:cs="Calibri"/>
          <w:color w:val="000000" w:themeColor="text1"/>
          <w:sz w:val="22"/>
          <w:szCs w:val="22"/>
        </w:rPr>
      </w:pPr>
    </w:p>
    <w:p w:rsidR="64F04F22" w:rsidP="625BFF3B" w:rsidRDefault="64F04F22" w14:paraId="160D9C9F" w14:textId="200B7BBE">
      <w:pPr>
        <w:pStyle w:val="Heading2"/>
        <w:spacing w:before="299" w:beforeAutospacing="off" w:after="299" w:afterAutospacing="off"/>
      </w:pPr>
      <w:r w:rsidRPr="625BFF3B" w:rsidR="64F04F22">
        <w:rPr>
          <w:rFonts w:ascii="Aptos" w:hAnsi="Aptos" w:eastAsia="Aptos" w:cs="Aptos"/>
          <w:b w:val="1"/>
          <w:bCs w:val="1"/>
          <w:i w:val="0"/>
          <w:iCs w:val="0"/>
          <w:caps w:val="0"/>
          <w:smallCaps w:val="0"/>
          <w:strike w:val="0"/>
          <w:dstrike w:val="0"/>
          <w:noProof w:val="0"/>
          <w:color w:val="000000" w:themeColor="text1" w:themeTint="FF" w:themeShade="FF"/>
          <w:sz w:val="36"/>
          <w:szCs w:val="36"/>
          <w:u w:val="none"/>
          <w:lang w:val="en-US"/>
        </w:rPr>
        <w:t>Background</w:t>
      </w:r>
    </w:p>
    <w:p w:rsidR="64F04F22" w:rsidP="625BFF3B" w:rsidRDefault="64F04F22" w14:paraId="3039DFA3" w14:textId="4AEFEDFB">
      <w:pPr>
        <w:pStyle w:val="Heading3"/>
        <w:spacing w:before="281" w:beforeAutospacing="off" w:after="281" w:afterAutospacing="off"/>
        <w:rPr>
          <w:rFonts w:ascii="Aptos" w:hAnsi="Aptos" w:eastAsia="Aptos" w:cs="Aptos"/>
          <w:b w:val="1"/>
          <w:bCs w:val="1"/>
          <w:i w:val="0"/>
          <w:iCs w:val="0"/>
          <w:caps w:val="0"/>
          <w:smallCaps w:val="0"/>
          <w:strike w:val="0"/>
          <w:dstrike w:val="0"/>
          <w:noProof w:val="0"/>
          <w:color w:val="000000" w:themeColor="text1" w:themeTint="FF" w:themeShade="FF"/>
          <w:sz w:val="32"/>
          <w:szCs w:val="32"/>
          <w:u w:val="none"/>
          <w:lang w:val="en-US"/>
        </w:rPr>
      </w:pPr>
      <w:r w:rsidRPr="625BFF3B" w:rsidR="64F04F22">
        <w:rPr>
          <w:rFonts w:ascii="Aptos" w:hAnsi="Aptos" w:eastAsia="Aptos" w:cs="Aptos"/>
          <w:b w:val="1"/>
          <w:bCs w:val="1"/>
          <w:i w:val="0"/>
          <w:iCs w:val="0"/>
          <w:caps w:val="0"/>
          <w:smallCaps w:val="0"/>
          <w:strike w:val="0"/>
          <w:dstrike w:val="0"/>
          <w:noProof w:val="0"/>
          <w:color w:val="000000" w:themeColor="text1" w:themeTint="FF" w:themeShade="FF"/>
          <w:sz w:val="32"/>
          <w:szCs w:val="32"/>
          <w:u w:val="none"/>
          <w:lang w:val="en-US"/>
        </w:rPr>
        <w:t>Prognostics and Health Management (PHM)</w:t>
      </w:r>
    </w:p>
    <w:p w:rsidR="64F04F22" w:rsidP="625BFF3B" w:rsidRDefault="64F04F22" w14:paraId="2E05438F" w14:textId="4D8DE2D0">
      <w:pPr>
        <w:spacing w:before="240" w:beforeAutospacing="off" w:after="240" w:afterAutospacing="off"/>
      </w:pPr>
      <w:r w:rsidRPr="625BFF3B" w:rsidR="64F04F22">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Industrial machinery often shows signs of degradation before actual failure. Failure to identify the signs of machinery degradation in time can result in unexpected machinery outages, high operating and maintenance costs, and safety issues [1].</w:t>
      </w:r>
    </w:p>
    <w:p w:rsidR="64F04F22" w:rsidP="625BFF3B" w:rsidRDefault="64F04F22" w14:paraId="519A6B4E" w14:textId="048F7D37">
      <w:pPr>
        <w:spacing w:before="240" w:beforeAutospacing="off" w:after="240" w:afterAutospacing="off"/>
      </w:pPr>
      <w:r w:rsidRPr="625BFF3B" w:rsidR="64F04F22">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Prognostics and Health Management (PHM) is a predictive health maintenance approach that relies on the combination of live sensor measurements and Machine </w:t>
      </w:r>
      <w:r w:rsidRPr="625BFF3B" w:rsidR="64F04F22">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Learning(</w:t>
      </w:r>
      <w:r w:rsidRPr="625BFF3B" w:rsidR="64F04F22">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ML) algorithms for health monitoring by assessing machinery health and predicting failures before they occur. The primary goal of PHM is</w:t>
      </w:r>
      <w:r w:rsidRPr="625BFF3B" w:rsidR="0B1DE8C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w:t>
      </w:r>
      <w:r w:rsidRPr="625BFF3B" w:rsidR="64F04F22">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w:t>
      </w:r>
      <w:r w:rsidRPr="625BFF3B" w:rsidR="64F04F22">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to</w:t>
      </w:r>
      <w:r w:rsidRPr="625BFF3B" w:rsidR="64F04F22">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w:t>
      </w:r>
      <w:r w:rsidRPr="625BFF3B" w:rsidR="64F04F22">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optimize</w:t>
      </w:r>
      <w:r w:rsidRPr="625BFF3B" w:rsidR="64F04F22">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the performance and reliability of equipment while minimizing unnecessary maintenance [1].</w:t>
      </w:r>
    </w:p>
    <w:p w:rsidR="64F04F22" w:rsidP="625BFF3B" w:rsidRDefault="64F04F22" w14:paraId="7D1BD5AE" w14:textId="4194E1A7">
      <w:pPr>
        <w:pStyle w:val="Heading3"/>
        <w:spacing w:before="281" w:beforeAutospacing="off" w:after="281" w:afterAutospacing="off"/>
        <w:rPr>
          <w:rFonts w:ascii="Aptos" w:hAnsi="Aptos" w:eastAsia="Aptos" w:cs="Aptos"/>
          <w:b w:val="1"/>
          <w:bCs w:val="1"/>
          <w:i w:val="0"/>
          <w:iCs w:val="0"/>
          <w:caps w:val="0"/>
          <w:smallCaps w:val="0"/>
          <w:strike w:val="0"/>
          <w:dstrike w:val="0"/>
          <w:noProof w:val="0"/>
          <w:color w:val="000000" w:themeColor="text1" w:themeTint="FF" w:themeShade="FF"/>
          <w:sz w:val="32"/>
          <w:szCs w:val="32"/>
          <w:u w:val="none"/>
          <w:lang w:val="en-US"/>
        </w:rPr>
      </w:pPr>
      <w:r w:rsidRPr="625BFF3B" w:rsidR="64F04F22">
        <w:rPr>
          <w:rFonts w:ascii="Aptos" w:hAnsi="Aptos" w:eastAsia="Aptos" w:cs="Aptos"/>
          <w:b w:val="1"/>
          <w:bCs w:val="1"/>
          <w:i w:val="0"/>
          <w:iCs w:val="0"/>
          <w:caps w:val="0"/>
          <w:smallCaps w:val="0"/>
          <w:strike w:val="0"/>
          <w:dstrike w:val="0"/>
          <w:noProof w:val="0"/>
          <w:color w:val="000000" w:themeColor="text1" w:themeTint="FF" w:themeShade="FF"/>
          <w:sz w:val="32"/>
          <w:szCs w:val="32"/>
          <w:u w:val="none"/>
          <w:lang w:val="en-US"/>
        </w:rPr>
        <w:t>Remaining Useful Life (RUL)</w:t>
      </w:r>
    </w:p>
    <w:p w:rsidR="64F04F22" w:rsidP="625BFF3B" w:rsidRDefault="64F04F22" w14:paraId="6582D39C" w14:textId="1117B804">
      <w:pPr>
        <w:spacing w:before="240" w:beforeAutospacing="off" w:after="240" w:afterAutospacing="off"/>
      </w:pPr>
      <w:r w:rsidRPr="625BFF3B" w:rsidR="64F04F22">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One of the most critical tasks in PHM is the prediction of Remaining Useful Life (RUL). RUL is an estimate of the cycles, working hours or the amount of time left before a specific machinery part gets to its failure state. As the output of this task is a value which falls on a range of values, RUL prediction is categorized as a regression task. An accurate RUL prediction allows maintenance engineers to plan work equipment repairs or replacements at the ideal time, thus reducing maintenance costs and unplanned equipment outages [1].</w:t>
      </w:r>
    </w:p>
    <w:p w:rsidR="64F04F22" w:rsidP="625BFF3B" w:rsidRDefault="64F04F22" w14:paraId="568896F5" w14:textId="1B736277">
      <w:pPr>
        <w:pStyle w:val="Heading3"/>
        <w:spacing w:before="281" w:beforeAutospacing="off" w:after="281" w:afterAutospacing="off"/>
        <w:rPr>
          <w:rFonts w:ascii="Aptos" w:hAnsi="Aptos" w:eastAsia="Aptos" w:cs="Aptos"/>
          <w:b w:val="1"/>
          <w:bCs w:val="1"/>
          <w:i w:val="0"/>
          <w:iCs w:val="0"/>
          <w:caps w:val="0"/>
          <w:smallCaps w:val="0"/>
          <w:strike w:val="0"/>
          <w:dstrike w:val="0"/>
          <w:noProof w:val="0"/>
          <w:color w:val="000000" w:themeColor="text1" w:themeTint="FF" w:themeShade="FF"/>
          <w:sz w:val="32"/>
          <w:szCs w:val="32"/>
          <w:u w:val="none"/>
          <w:lang w:val="en-US"/>
        </w:rPr>
      </w:pPr>
      <w:r w:rsidRPr="625BFF3B" w:rsidR="64F04F22">
        <w:rPr>
          <w:rFonts w:ascii="Aptos" w:hAnsi="Aptos" w:eastAsia="Aptos" w:cs="Aptos"/>
          <w:b w:val="1"/>
          <w:bCs w:val="1"/>
          <w:i w:val="0"/>
          <w:iCs w:val="0"/>
          <w:caps w:val="0"/>
          <w:smallCaps w:val="0"/>
          <w:strike w:val="0"/>
          <w:dstrike w:val="0"/>
          <w:noProof w:val="0"/>
          <w:color w:val="000000" w:themeColor="text1" w:themeTint="FF" w:themeShade="FF"/>
          <w:sz w:val="32"/>
          <w:szCs w:val="32"/>
          <w:u w:val="none"/>
          <w:lang w:val="en-US"/>
        </w:rPr>
        <w:t>Datasets</w:t>
      </w:r>
    </w:p>
    <w:p w:rsidR="64F04F22" w:rsidP="625BFF3B" w:rsidRDefault="64F04F22" w14:paraId="3C59FA3E" w14:textId="28F0094C">
      <w:pPr>
        <w:spacing w:before="240" w:beforeAutospacing="off" w:after="240" w:afterAutospacing="off"/>
      </w:pPr>
      <w:r w:rsidRPr="625BFF3B" w:rsidR="64F04F22">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Several benchmark datasets are commonly used to compare RUL prediction models. The NASA CMAPSS and NCMAPSS datasets </w:t>
      </w:r>
      <w:r w:rsidRPr="625BFF3B" w:rsidR="64F04F22">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contain</w:t>
      </w:r>
      <w:r w:rsidRPr="625BFF3B" w:rsidR="64F04F22">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sensor measurements and operating condition data that were gathered from turbofan engines during their degradation process. Furthermore, the PHM2012 and XJTUSY datasets consist of vibration and temperature signals that were collected from rolling bearings under various operating conditions until a failure occurred. These datasets are widely used to benchmark RUL prediction models [1]</w:t>
      </w:r>
      <w:r w:rsidRPr="625BFF3B" w:rsidR="64F04F22">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w:t>
      </w:r>
      <w:r w:rsidRPr="625BFF3B" w:rsidR="64F04F22">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15].</w:t>
      </w:r>
    </w:p>
    <w:p w:rsidR="64F04F22" w:rsidP="625BFF3B" w:rsidRDefault="64F04F22" w14:paraId="137F7BFC" w14:textId="3F73CB5C">
      <w:pPr>
        <w:pStyle w:val="Heading3"/>
        <w:spacing w:before="281" w:beforeAutospacing="off" w:after="281" w:afterAutospacing="off"/>
      </w:pPr>
      <w:r w:rsidRPr="625BFF3B" w:rsidR="64F04F22">
        <w:rPr>
          <w:rFonts w:ascii="Aptos" w:hAnsi="Aptos" w:eastAsia="Aptos" w:cs="Aptos"/>
          <w:b w:val="1"/>
          <w:bCs w:val="1"/>
          <w:i w:val="0"/>
          <w:iCs w:val="0"/>
          <w:caps w:val="0"/>
          <w:smallCaps w:val="0"/>
          <w:strike w:val="0"/>
          <w:dstrike w:val="0"/>
          <w:noProof w:val="0"/>
          <w:color w:val="000000" w:themeColor="text1" w:themeTint="FF" w:themeShade="FF"/>
          <w:sz w:val="28"/>
          <w:szCs w:val="28"/>
          <w:u w:val="none"/>
          <w:lang w:val="en-US"/>
        </w:rPr>
        <w:t>Data Pre-processing</w:t>
      </w:r>
    </w:p>
    <w:p w:rsidR="64F04F22" w:rsidP="625BFF3B" w:rsidRDefault="64F04F22" w14:paraId="4842910B" w14:textId="428AD3A8">
      <w:pPr>
        <w:spacing w:before="240" w:beforeAutospacing="off" w:after="240" w:afterAutospacing="off"/>
      </w:pPr>
      <w:r w:rsidRPr="625BFF3B" w:rsidR="64F04F22">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Sensor data require pre-processing prior to machine learning training. The most frequently used pre-processing methods include noise filtering, data normalization, removal of constant sensors, RUL label generation, sliding window segmentation and the application of feature extraction techniques such as PCA, wavelet transformation, EMD, autoencoders, and Health Indicators (HI) [4]</w:t>
      </w:r>
      <w:r w:rsidRPr="625BFF3B" w:rsidR="64F04F22">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w:t>
      </w:r>
      <w:r w:rsidRPr="625BFF3B" w:rsidR="64F04F22">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15].</w:t>
      </w:r>
    </w:p>
    <w:p w:rsidR="625BFF3B" w:rsidP="625BFF3B" w:rsidRDefault="625BFF3B" w14:paraId="1B6FDEE0" w14:textId="5E7E425A">
      <w:pPr>
        <w:spacing w:before="240" w:beforeAutospacing="off" w:after="240" w:afterAutospacing="of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pPr>
    </w:p>
    <w:p w:rsidR="0CCF0E68" w:rsidP="0CCF0E68" w:rsidRDefault="0CCF0E68" w14:paraId="52AEE60C" w14:textId="26B94159">
      <w:pPr>
        <w:pStyle w:val="Heading2"/>
      </w:pPr>
      <w:r w:rsidRPr="625BFF3B" w:rsidR="559BD4AF">
        <w:rPr>
          <w:color w:val="auto"/>
        </w:rPr>
        <w:t>Traditional Machine Learning</w:t>
      </w:r>
    </w:p>
    <w:p w:rsidR="20B5F450" w:rsidP="625BFF3B" w:rsidRDefault="20B5F450" w14:paraId="534A9D59" w14:textId="3E9A1346">
      <w:pPr>
        <w:pStyle w:val="Heading1"/>
        <w:spacing w:before="322" w:beforeAutospacing="off" w:after="322" w:afterAutospacing="off"/>
        <w:rPr>
          <w:rFonts w:ascii="Calibri" w:hAnsi="Calibri" w:eastAsia="Calibri" w:cs="Calibri"/>
          <w:b w:val="1"/>
          <w:bCs w:val="1"/>
          <w:noProof w:val="0"/>
          <w:color w:val="000000" w:themeColor="text1" w:themeTint="FF" w:themeShade="FF"/>
          <w:sz w:val="28"/>
          <w:szCs w:val="28"/>
          <w:lang w:val="en-US"/>
        </w:rPr>
      </w:pPr>
      <w:r w:rsidRPr="625BFF3B" w:rsidR="6B73834F">
        <w:rPr>
          <w:rFonts w:ascii="Calibri" w:hAnsi="Calibri" w:eastAsia="Calibri" w:cs="Calibri"/>
          <w:b w:val="1"/>
          <w:bCs w:val="1"/>
          <w:noProof w:val="0"/>
          <w:color w:val="000000" w:themeColor="text1" w:themeTint="FF" w:themeShade="FF"/>
          <w:sz w:val="28"/>
          <w:szCs w:val="28"/>
          <w:lang w:val="en-US"/>
        </w:rPr>
        <w:t>Definitions of Traditional Machine Learning Models</w:t>
      </w:r>
    </w:p>
    <w:p w:rsidR="0CCF0E68" w:rsidP="0CCF0E68" w:rsidRDefault="0CCF0E68" w14:paraId="1E142A61" w14:textId="203C8C03">
      <w:pPr>
        <w:pStyle w:val="Heading2"/>
        <w:rPr>
          <w:color w:val="auto"/>
        </w:rPr>
      </w:pPr>
    </w:p>
    <w:tbl>
      <w:tblPr>
        <w:tblStyle w:val="TableGrid"/>
        <w:bidiVisual w:val="0"/>
        <w:tblW w:w="10215" w:type="dxa"/>
        <w:tblBorders>
          <w:top w:val="single" w:sz="6"/>
          <w:left w:val="single" w:sz="6"/>
          <w:bottom w:val="single" w:sz="6"/>
          <w:right w:val="single" w:sz="6"/>
        </w:tblBorders>
        <w:tblLook w:val="06A0" w:firstRow="1" w:lastRow="0" w:firstColumn="1" w:lastColumn="0" w:noHBand="1" w:noVBand="1"/>
      </w:tblPr>
      <w:tblGrid>
        <w:gridCol w:w="3375"/>
        <w:gridCol w:w="6840"/>
      </w:tblGrid>
      <w:tr w:rsidR="0CCF0E68" w:rsidTr="625BFF3B" w14:paraId="094D2B20">
        <w:trPr>
          <w:trHeight w:val="300"/>
        </w:trPr>
        <w:tc>
          <w:tcPr>
            <w:tcW w:w="3375" w:type="dxa"/>
            <w:tcBorders>
              <w:top w:val="single" w:sz="6"/>
              <w:left w:val="single" w:sz="6"/>
              <w:bottom w:val="single" w:sz="6"/>
              <w:right w:val="single" w:sz="6"/>
            </w:tcBorders>
            <w:tcMar>
              <w:top w:w="120" w:type="dxa"/>
              <w:left w:w="180" w:type="dxa"/>
              <w:bottom w:w="120" w:type="dxa"/>
              <w:right w:w="180" w:type="dxa"/>
            </w:tcMar>
            <w:vAlign w:val="center"/>
          </w:tcPr>
          <w:p w:rsidR="0CCF0E68" w:rsidP="0CCF0E68" w:rsidRDefault="0CCF0E68" w14:paraId="6D58289F" w14:textId="64CB74C8">
            <w:pPr>
              <w:spacing w:before="240" w:beforeAutospacing="off" w:after="240" w:afterAutospacing="off"/>
              <w:jc w:val="center"/>
            </w:pPr>
            <w:r w:rsidRPr="0CCF0E68" w:rsidR="0CCF0E68">
              <w:rPr>
                <w:b w:val="1"/>
                <w:bCs w:val="1"/>
                <w:color w:val="000000" w:themeColor="text1" w:themeTint="FF" w:themeShade="FF"/>
              </w:rPr>
              <w:t>Model</w:t>
            </w:r>
          </w:p>
        </w:tc>
        <w:tc>
          <w:tcPr>
            <w:tcW w:w="6840" w:type="dxa"/>
            <w:tcBorders>
              <w:top w:val="single" w:sz="6"/>
              <w:left w:val="single" w:sz="6"/>
              <w:bottom w:val="single" w:sz="6"/>
              <w:right w:val="single" w:sz="6"/>
            </w:tcBorders>
            <w:tcMar>
              <w:top w:w="120" w:type="dxa"/>
              <w:left w:w="180" w:type="dxa"/>
              <w:bottom w:w="120" w:type="dxa"/>
              <w:right w:w="180" w:type="dxa"/>
            </w:tcMar>
            <w:vAlign w:val="center"/>
          </w:tcPr>
          <w:p w:rsidR="0CCF0E68" w:rsidP="0CCF0E68" w:rsidRDefault="0CCF0E68" w14:paraId="4FDCA4E9" w14:textId="4738780D">
            <w:pPr>
              <w:spacing w:before="240" w:beforeAutospacing="off" w:after="240" w:afterAutospacing="off"/>
              <w:jc w:val="center"/>
            </w:pPr>
            <w:r w:rsidRPr="0CCF0E68" w:rsidR="0CCF0E68">
              <w:rPr>
                <w:b w:val="1"/>
                <w:bCs w:val="1"/>
                <w:color w:val="000000" w:themeColor="text1" w:themeTint="FF" w:themeShade="FF"/>
              </w:rPr>
              <w:t>Definition</w:t>
            </w:r>
          </w:p>
        </w:tc>
      </w:tr>
      <w:tr w:rsidR="0CCF0E68" w:rsidTr="625BFF3B" w14:paraId="3AF70281">
        <w:trPr>
          <w:trHeight w:val="300"/>
        </w:trPr>
        <w:tc>
          <w:tcPr>
            <w:tcW w:w="3375" w:type="dxa"/>
            <w:tcBorders>
              <w:top w:val="single" w:sz="6"/>
              <w:left w:val="single" w:sz="6"/>
              <w:bottom w:val="single" w:sz="6"/>
              <w:right w:val="single" w:sz="6"/>
            </w:tcBorders>
            <w:tcMar>
              <w:top w:w="120" w:type="dxa"/>
              <w:left w:w="180" w:type="dxa"/>
              <w:bottom w:w="120" w:type="dxa"/>
              <w:right w:w="180" w:type="dxa"/>
            </w:tcMar>
            <w:vAlign w:val="center"/>
          </w:tcPr>
          <w:p w:rsidR="0CCF0E68" w:rsidP="0CCF0E68" w:rsidRDefault="0CCF0E68" w14:paraId="2AACC905" w14:textId="48E7F405">
            <w:pPr>
              <w:spacing w:before="240" w:beforeAutospacing="off" w:after="240" w:afterAutospacing="off"/>
            </w:pPr>
            <w:r w:rsidRPr="0CCF0E68" w:rsidR="0CCF0E68">
              <w:rPr>
                <w:color w:val="000000" w:themeColor="text1" w:themeTint="FF" w:themeShade="FF"/>
              </w:rPr>
              <w:t>Linear Regression</w:t>
            </w:r>
          </w:p>
        </w:tc>
        <w:tc>
          <w:tcPr>
            <w:tcW w:w="6840" w:type="dxa"/>
            <w:tcBorders>
              <w:top w:val="single" w:sz="6"/>
              <w:left w:val="single" w:sz="6"/>
              <w:bottom w:val="single" w:sz="6"/>
              <w:right w:val="single" w:sz="6"/>
            </w:tcBorders>
            <w:tcMar>
              <w:top w:w="120" w:type="dxa"/>
              <w:left w:w="180" w:type="dxa"/>
              <w:bottom w:w="120" w:type="dxa"/>
              <w:right w:w="180" w:type="dxa"/>
            </w:tcMar>
            <w:vAlign w:val="center"/>
          </w:tcPr>
          <w:p w:rsidR="0CCF0E68" w:rsidP="0CCF0E68" w:rsidRDefault="0CCF0E68" w14:paraId="705DF6AC" w14:textId="06870643">
            <w:pPr>
              <w:spacing w:before="240" w:beforeAutospacing="off" w:after="240" w:afterAutospacing="off"/>
            </w:pPr>
            <w:r w:rsidRPr="0CCF0E68" w:rsidR="0CCF0E68">
              <w:rPr>
                <w:color w:val="000000" w:themeColor="text1" w:themeTint="FF" w:themeShade="FF"/>
              </w:rPr>
              <w:t>Linear Regression is a supervised learning model that estimates the linear relationship between input variables and a continuous target value.</w:t>
            </w:r>
          </w:p>
        </w:tc>
      </w:tr>
      <w:tr w:rsidR="0CCF0E68" w:rsidTr="625BFF3B" w14:paraId="199EAD3F">
        <w:trPr>
          <w:trHeight w:val="300"/>
        </w:trPr>
        <w:tc>
          <w:tcPr>
            <w:tcW w:w="3375" w:type="dxa"/>
            <w:tcBorders>
              <w:top w:val="single" w:sz="6"/>
              <w:left w:val="single" w:sz="6"/>
              <w:bottom w:val="single" w:sz="6"/>
              <w:right w:val="single" w:sz="6"/>
            </w:tcBorders>
            <w:tcMar>
              <w:top w:w="120" w:type="dxa"/>
              <w:left w:w="180" w:type="dxa"/>
              <w:bottom w:w="120" w:type="dxa"/>
              <w:right w:w="180" w:type="dxa"/>
            </w:tcMar>
            <w:vAlign w:val="center"/>
          </w:tcPr>
          <w:p w:rsidR="0CCF0E68" w:rsidP="0CCF0E68" w:rsidRDefault="0CCF0E68" w14:paraId="4129FF25" w14:textId="68C746D5">
            <w:pPr>
              <w:spacing w:before="240" w:beforeAutospacing="off" w:after="240" w:afterAutospacing="off"/>
            </w:pPr>
            <w:r w:rsidRPr="0CCF0E68" w:rsidR="0CCF0E68">
              <w:rPr>
                <w:color w:val="000000" w:themeColor="text1" w:themeTint="FF" w:themeShade="FF"/>
              </w:rPr>
              <w:t>Support Vector Machine (SVM)</w:t>
            </w:r>
          </w:p>
        </w:tc>
        <w:tc>
          <w:tcPr>
            <w:tcW w:w="6840" w:type="dxa"/>
            <w:tcBorders>
              <w:top w:val="single" w:sz="6"/>
              <w:left w:val="single" w:sz="6"/>
              <w:bottom w:val="single" w:sz="6"/>
              <w:right w:val="single" w:sz="6"/>
            </w:tcBorders>
            <w:tcMar>
              <w:top w:w="120" w:type="dxa"/>
              <w:left w:w="180" w:type="dxa"/>
              <w:bottom w:w="120" w:type="dxa"/>
              <w:right w:w="180" w:type="dxa"/>
            </w:tcMar>
            <w:vAlign w:val="center"/>
          </w:tcPr>
          <w:p w:rsidR="0CCF0E68" w:rsidP="0CCF0E68" w:rsidRDefault="0CCF0E68" w14:paraId="27FF485C" w14:textId="180DB4B5">
            <w:pPr>
              <w:spacing w:before="240" w:beforeAutospacing="off" w:after="240" w:afterAutospacing="off"/>
            </w:pPr>
            <w:r w:rsidRPr="0CCF0E68" w:rsidR="0CCF0E68">
              <w:rPr>
                <w:color w:val="000000" w:themeColor="text1" w:themeTint="FF" w:themeShade="FF"/>
              </w:rPr>
              <w:t>SVM is a supervised learning method used for classification and regression. In regression, it finds a function that predicts continuous values while keeping prediction errors within an acceptable margin.</w:t>
            </w:r>
          </w:p>
        </w:tc>
      </w:tr>
      <w:tr w:rsidR="0CCF0E68" w:rsidTr="625BFF3B" w14:paraId="39D5C9E0">
        <w:trPr>
          <w:trHeight w:val="300"/>
        </w:trPr>
        <w:tc>
          <w:tcPr>
            <w:tcW w:w="3375" w:type="dxa"/>
            <w:tcBorders>
              <w:top w:val="single" w:sz="6"/>
              <w:left w:val="single" w:sz="6"/>
              <w:bottom w:val="single" w:sz="6"/>
              <w:right w:val="single" w:sz="6"/>
            </w:tcBorders>
            <w:tcMar>
              <w:top w:w="120" w:type="dxa"/>
              <w:left w:w="180" w:type="dxa"/>
              <w:bottom w:w="120" w:type="dxa"/>
              <w:right w:w="180" w:type="dxa"/>
            </w:tcMar>
            <w:vAlign w:val="center"/>
          </w:tcPr>
          <w:p w:rsidR="0CCF0E68" w:rsidP="0CCF0E68" w:rsidRDefault="0CCF0E68" w14:paraId="3A651784" w14:textId="7CCF445D">
            <w:pPr>
              <w:spacing w:before="240" w:beforeAutospacing="off" w:after="240" w:afterAutospacing="off"/>
            </w:pPr>
            <w:r w:rsidRPr="0CCF0E68" w:rsidR="0CCF0E68">
              <w:rPr>
                <w:color w:val="000000" w:themeColor="text1" w:themeTint="FF" w:themeShade="FF"/>
              </w:rPr>
              <w:t>K-Nearest Neighbors (KNN)</w:t>
            </w:r>
          </w:p>
        </w:tc>
        <w:tc>
          <w:tcPr>
            <w:tcW w:w="6840" w:type="dxa"/>
            <w:tcBorders>
              <w:top w:val="single" w:sz="6"/>
              <w:left w:val="single" w:sz="6"/>
              <w:bottom w:val="single" w:sz="6"/>
              <w:right w:val="single" w:sz="6"/>
            </w:tcBorders>
            <w:tcMar>
              <w:top w:w="120" w:type="dxa"/>
              <w:left w:w="180" w:type="dxa"/>
              <w:bottom w:w="120" w:type="dxa"/>
              <w:right w:w="180" w:type="dxa"/>
            </w:tcMar>
            <w:vAlign w:val="center"/>
          </w:tcPr>
          <w:p w:rsidR="0CCF0E68" w:rsidP="0CCF0E68" w:rsidRDefault="0CCF0E68" w14:paraId="2D553DE7" w14:textId="2F5B2BA0">
            <w:pPr>
              <w:spacing w:before="240" w:beforeAutospacing="off" w:after="240" w:afterAutospacing="off"/>
            </w:pPr>
            <w:r w:rsidRPr="0CCF0E68" w:rsidR="0CCF0E68">
              <w:rPr>
                <w:color w:val="000000" w:themeColor="text1" w:themeTint="FF" w:themeShade="FF"/>
              </w:rPr>
              <w:t>KNN is an instance-based model that predicts a new value using the target values of the nearest samples in the training data.</w:t>
            </w:r>
          </w:p>
        </w:tc>
      </w:tr>
      <w:tr w:rsidR="0CCF0E68" w:rsidTr="625BFF3B" w14:paraId="19AD4FF2">
        <w:trPr>
          <w:trHeight w:val="300"/>
        </w:trPr>
        <w:tc>
          <w:tcPr>
            <w:tcW w:w="3375" w:type="dxa"/>
            <w:tcBorders>
              <w:top w:val="single" w:sz="6"/>
              <w:left w:val="single" w:sz="6"/>
              <w:bottom w:val="single" w:sz="6"/>
              <w:right w:val="single" w:sz="6"/>
            </w:tcBorders>
            <w:tcMar>
              <w:top w:w="120" w:type="dxa"/>
              <w:left w:w="180" w:type="dxa"/>
              <w:bottom w:w="120" w:type="dxa"/>
              <w:right w:w="180" w:type="dxa"/>
            </w:tcMar>
            <w:vAlign w:val="center"/>
          </w:tcPr>
          <w:p w:rsidR="0CCF0E68" w:rsidP="0CCF0E68" w:rsidRDefault="0CCF0E68" w14:paraId="1F526F10" w14:textId="1BE85826">
            <w:pPr>
              <w:spacing w:before="240" w:beforeAutospacing="off" w:after="240" w:afterAutospacing="off"/>
            </w:pPr>
            <w:r w:rsidRPr="0CCF0E68" w:rsidR="0CCF0E68">
              <w:rPr>
                <w:color w:val="000000" w:themeColor="text1" w:themeTint="FF" w:themeShade="FF"/>
              </w:rPr>
              <w:t>Random Forest (RF)</w:t>
            </w:r>
          </w:p>
        </w:tc>
        <w:tc>
          <w:tcPr>
            <w:tcW w:w="6840" w:type="dxa"/>
            <w:tcBorders>
              <w:top w:val="single" w:sz="6"/>
              <w:left w:val="single" w:sz="6"/>
              <w:bottom w:val="single" w:sz="6"/>
              <w:right w:val="single" w:sz="6"/>
            </w:tcBorders>
            <w:tcMar>
              <w:top w:w="120" w:type="dxa"/>
              <w:left w:w="180" w:type="dxa"/>
              <w:bottom w:w="120" w:type="dxa"/>
              <w:right w:w="180" w:type="dxa"/>
            </w:tcMar>
            <w:vAlign w:val="center"/>
          </w:tcPr>
          <w:p w:rsidR="0CCF0E68" w:rsidP="0CCF0E68" w:rsidRDefault="0CCF0E68" w14:paraId="6B898486" w14:textId="5A072711">
            <w:pPr>
              <w:spacing w:before="240" w:beforeAutospacing="off" w:after="240" w:afterAutospacing="off"/>
            </w:pPr>
            <w:r w:rsidRPr="0CCF0E68" w:rsidR="0CCF0E68">
              <w:rPr>
                <w:color w:val="000000" w:themeColor="text1" w:themeTint="FF" w:themeShade="FF"/>
              </w:rPr>
              <w:t>Random Forest is an ensemble model that trains several decision trees on different samples of the data and combines their predictions, usually by averaging them.</w:t>
            </w:r>
          </w:p>
        </w:tc>
      </w:tr>
      <w:tr w:rsidR="0CCF0E68" w:rsidTr="625BFF3B" w14:paraId="2A29AD38">
        <w:trPr>
          <w:trHeight w:val="300"/>
        </w:trPr>
        <w:tc>
          <w:tcPr>
            <w:tcW w:w="3375" w:type="dxa"/>
            <w:tcBorders>
              <w:top w:val="single" w:sz="6"/>
              <w:left w:val="single" w:sz="6"/>
              <w:bottom w:val="single" w:sz="6"/>
              <w:right w:val="single" w:sz="6"/>
            </w:tcBorders>
            <w:tcMar>
              <w:top w:w="120" w:type="dxa"/>
              <w:left w:w="180" w:type="dxa"/>
              <w:bottom w:w="120" w:type="dxa"/>
              <w:right w:w="180" w:type="dxa"/>
            </w:tcMar>
            <w:vAlign w:val="center"/>
          </w:tcPr>
          <w:p w:rsidR="0CCF0E68" w:rsidP="0CCF0E68" w:rsidRDefault="0CCF0E68" w14:paraId="2DDAE397" w14:textId="722CC790">
            <w:pPr>
              <w:spacing w:before="240" w:beforeAutospacing="off" w:after="240" w:afterAutospacing="off"/>
            </w:pPr>
            <w:r w:rsidRPr="0CCF0E68" w:rsidR="0CCF0E68">
              <w:rPr>
                <w:color w:val="000000" w:themeColor="text1" w:themeTint="FF" w:themeShade="FF"/>
              </w:rPr>
              <w:t>Gradient Boosting</w:t>
            </w:r>
          </w:p>
        </w:tc>
        <w:tc>
          <w:tcPr>
            <w:tcW w:w="6840" w:type="dxa"/>
            <w:tcBorders>
              <w:top w:val="single" w:sz="6"/>
              <w:left w:val="single" w:sz="6"/>
              <w:bottom w:val="single" w:sz="6"/>
              <w:right w:val="single" w:sz="6"/>
            </w:tcBorders>
            <w:tcMar>
              <w:top w:w="120" w:type="dxa"/>
              <w:left w:w="180" w:type="dxa"/>
              <w:bottom w:w="120" w:type="dxa"/>
              <w:right w:w="180" w:type="dxa"/>
            </w:tcMar>
            <w:vAlign w:val="center"/>
          </w:tcPr>
          <w:p w:rsidR="0CCF0E68" w:rsidP="0CCF0E68" w:rsidRDefault="0CCF0E68" w14:paraId="3A94C1B7" w14:textId="4DDD4A79">
            <w:pPr>
              <w:spacing w:before="240" w:beforeAutospacing="off" w:after="240" w:afterAutospacing="off"/>
            </w:pPr>
            <w:r w:rsidRPr="0CCF0E68" w:rsidR="0CCF0E68">
              <w:rPr>
                <w:color w:val="000000" w:themeColor="text1" w:themeTint="FF" w:themeShade="FF"/>
              </w:rPr>
              <w:t>Gradient Boosting builds decision trees one after another. Each new tree attempts to correct the prediction errors made by the previous trees.</w:t>
            </w:r>
          </w:p>
        </w:tc>
      </w:tr>
      <w:tr w:rsidR="0CCF0E68" w:rsidTr="625BFF3B" w14:paraId="509BDF77">
        <w:trPr>
          <w:trHeight w:val="300"/>
        </w:trPr>
        <w:tc>
          <w:tcPr>
            <w:tcW w:w="3375" w:type="dxa"/>
            <w:tcBorders>
              <w:top w:val="single" w:sz="6"/>
              <w:left w:val="single" w:sz="6"/>
              <w:bottom w:val="single" w:sz="6"/>
              <w:right w:val="single" w:sz="6"/>
            </w:tcBorders>
            <w:tcMar>
              <w:top w:w="120" w:type="dxa"/>
              <w:left w:w="180" w:type="dxa"/>
              <w:bottom w:w="120" w:type="dxa"/>
              <w:right w:w="180" w:type="dxa"/>
            </w:tcMar>
            <w:vAlign w:val="center"/>
          </w:tcPr>
          <w:p w:rsidR="0CCF0E68" w:rsidP="0CCF0E68" w:rsidRDefault="0CCF0E68" w14:paraId="6A08A309" w14:textId="6060DA73">
            <w:pPr>
              <w:spacing w:before="240" w:beforeAutospacing="off" w:after="240" w:afterAutospacing="off"/>
            </w:pPr>
            <w:r w:rsidRPr="0CCF0E68" w:rsidR="0CCF0E68">
              <w:rPr>
                <w:color w:val="000000" w:themeColor="text1" w:themeTint="FF" w:themeShade="FF"/>
              </w:rPr>
              <w:t>Light Gradient Boosting Machine (LightGBM)</w:t>
            </w:r>
          </w:p>
        </w:tc>
        <w:tc>
          <w:tcPr>
            <w:tcW w:w="6840" w:type="dxa"/>
            <w:tcBorders>
              <w:top w:val="single" w:sz="6"/>
              <w:left w:val="single" w:sz="6"/>
              <w:bottom w:val="single" w:sz="6"/>
              <w:right w:val="single" w:sz="6"/>
            </w:tcBorders>
            <w:tcMar>
              <w:top w:w="120" w:type="dxa"/>
              <w:left w:w="180" w:type="dxa"/>
              <w:bottom w:w="120" w:type="dxa"/>
              <w:right w:w="180" w:type="dxa"/>
            </w:tcMar>
            <w:vAlign w:val="center"/>
          </w:tcPr>
          <w:p w:rsidR="0CCF0E68" w:rsidP="0CCF0E68" w:rsidRDefault="0CCF0E68" w14:paraId="784B5AA9" w14:textId="2054E7D4">
            <w:pPr>
              <w:spacing w:before="240" w:beforeAutospacing="off" w:after="240" w:afterAutospacing="off"/>
            </w:pPr>
            <w:r w:rsidRPr="0CCF0E68" w:rsidR="0CCF0E68">
              <w:rPr>
                <w:color w:val="000000" w:themeColor="text1" w:themeTint="FF" w:themeShade="FF"/>
              </w:rPr>
              <w:t>LightGBM is an efficient tree-based gradient boosting framework designed for fast training, low memory use and large datasets.</w:t>
            </w:r>
          </w:p>
        </w:tc>
      </w:tr>
      <w:tr w:rsidR="0CCF0E68" w:rsidTr="625BFF3B" w14:paraId="2265F7A8">
        <w:trPr>
          <w:trHeight w:val="300"/>
        </w:trPr>
        <w:tc>
          <w:tcPr>
            <w:tcW w:w="3375" w:type="dxa"/>
            <w:tcBorders>
              <w:top w:val="single" w:sz="6"/>
              <w:left w:val="single" w:sz="6"/>
              <w:bottom w:val="single" w:sz="6"/>
              <w:right w:val="single" w:sz="6"/>
            </w:tcBorders>
            <w:tcMar>
              <w:top w:w="120" w:type="dxa"/>
              <w:left w:w="180" w:type="dxa"/>
              <w:bottom w:w="120" w:type="dxa"/>
              <w:right w:w="180" w:type="dxa"/>
            </w:tcMar>
            <w:vAlign w:val="center"/>
          </w:tcPr>
          <w:p w:rsidR="0CCF0E68" w:rsidP="0CCF0E68" w:rsidRDefault="0CCF0E68" w14:paraId="7C4EC8D5" w14:textId="7CBB1119">
            <w:pPr>
              <w:spacing w:before="240" w:beforeAutospacing="off" w:after="240" w:afterAutospacing="off"/>
            </w:pPr>
            <w:r w:rsidRPr="0CCF0E68" w:rsidR="0CCF0E68">
              <w:rPr>
                <w:color w:val="000000" w:themeColor="text1" w:themeTint="FF" w:themeShade="FF"/>
              </w:rPr>
              <w:t>Categorical Boosting (CatBoost)</w:t>
            </w:r>
          </w:p>
        </w:tc>
        <w:tc>
          <w:tcPr>
            <w:tcW w:w="6840" w:type="dxa"/>
            <w:tcBorders>
              <w:top w:val="single" w:sz="6"/>
              <w:left w:val="single" w:sz="6"/>
              <w:bottom w:val="single" w:sz="6"/>
              <w:right w:val="single" w:sz="6"/>
            </w:tcBorders>
            <w:tcMar>
              <w:top w:w="120" w:type="dxa"/>
              <w:left w:w="180" w:type="dxa"/>
              <w:bottom w:w="120" w:type="dxa"/>
              <w:right w:w="180" w:type="dxa"/>
            </w:tcMar>
            <w:vAlign w:val="center"/>
          </w:tcPr>
          <w:p w:rsidR="0CCF0E68" w:rsidP="0CCF0E68" w:rsidRDefault="0CCF0E68" w14:paraId="0515FB4E" w14:textId="21B85ABE">
            <w:pPr>
              <w:spacing w:before="240" w:beforeAutospacing="off" w:after="240" w:afterAutospacing="off"/>
            </w:pPr>
            <w:r w:rsidRPr="0CCF0E68" w:rsidR="0CCF0E68">
              <w:rPr>
                <w:color w:val="000000" w:themeColor="text1" w:themeTint="FF" w:themeShade="FF"/>
              </w:rPr>
              <w:t>CatBoost is a gradient boosting algorithm based on decision trees. It includes methods that reduce prediction bias and can handle categorical features.</w:t>
            </w:r>
          </w:p>
        </w:tc>
      </w:tr>
      <w:tr w:rsidR="0CCF0E68" w:rsidTr="625BFF3B" w14:paraId="499A84DD">
        <w:trPr>
          <w:trHeight w:val="300"/>
        </w:trPr>
        <w:tc>
          <w:tcPr>
            <w:tcW w:w="3375" w:type="dxa"/>
            <w:tcBorders>
              <w:top w:val="single" w:sz="6"/>
              <w:left w:val="single" w:sz="6"/>
              <w:bottom w:val="single" w:sz="6"/>
              <w:right w:val="single" w:sz="6"/>
            </w:tcBorders>
            <w:tcMar>
              <w:top w:w="120" w:type="dxa"/>
              <w:left w:w="180" w:type="dxa"/>
              <w:bottom w:w="120" w:type="dxa"/>
              <w:right w:w="180" w:type="dxa"/>
            </w:tcMar>
            <w:vAlign w:val="center"/>
          </w:tcPr>
          <w:p w:rsidR="0CCF0E68" w:rsidP="44A0C547" w:rsidRDefault="0CCF0E68" w14:paraId="19EE43D9" w14:textId="68E42F50">
            <w:pPr>
              <w:pStyle w:val="Normal"/>
              <w:spacing w:before="240" w:beforeAutospacing="off" w:after="240" w:afterAutospacing="off"/>
            </w:pPr>
            <w:r w:rsidRPr="44A0C547" w:rsidR="0C47F28F">
              <w:rPr>
                <w:color w:val="000000" w:themeColor="text1" w:themeTint="FF" w:themeShade="FF"/>
              </w:rPr>
              <w:t>Extreme Gradient Boosting (</w:t>
            </w:r>
            <w:r w:rsidRPr="44A0C547" w:rsidR="0C47F28F">
              <w:rPr>
                <w:color w:val="000000" w:themeColor="text1" w:themeTint="FF" w:themeShade="FF"/>
              </w:rPr>
              <w:t>XGBoost</w:t>
            </w:r>
            <w:r w:rsidRPr="44A0C547" w:rsidR="0C47F28F">
              <w:rPr>
                <w:color w:val="000000" w:themeColor="text1" w:themeTint="FF" w:themeShade="FF"/>
              </w:rPr>
              <w:t>)</w:t>
            </w:r>
          </w:p>
        </w:tc>
        <w:tc>
          <w:tcPr>
            <w:tcW w:w="6840" w:type="dxa"/>
            <w:tcBorders>
              <w:top w:val="single" w:sz="6"/>
              <w:left w:val="single" w:sz="6"/>
              <w:bottom w:val="single" w:sz="6"/>
              <w:right w:val="single" w:sz="6"/>
            </w:tcBorders>
            <w:tcMar>
              <w:top w:w="120" w:type="dxa"/>
              <w:left w:w="180" w:type="dxa"/>
              <w:bottom w:w="120" w:type="dxa"/>
              <w:right w:w="180" w:type="dxa"/>
            </w:tcMar>
            <w:vAlign w:val="center"/>
          </w:tcPr>
          <w:p w:rsidR="0CCF0E68" w:rsidP="44A0C547" w:rsidRDefault="0CCF0E68" w14:paraId="74B66FAF" w14:textId="50D94DBD">
            <w:pPr>
              <w:pStyle w:val="Normal"/>
              <w:spacing w:before="240" w:beforeAutospacing="off" w:after="240" w:afterAutospacing="off"/>
            </w:pPr>
            <w:r w:rsidRPr="44A0C547" w:rsidR="0C47F28F">
              <w:rPr>
                <w:color w:val="000000" w:themeColor="text1" w:themeTint="FF" w:themeShade="FF"/>
              </w:rPr>
              <w:t>XGBoost</w:t>
            </w:r>
            <w:r w:rsidRPr="44A0C547" w:rsidR="0C47F28F">
              <w:rPr>
                <w:color w:val="000000" w:themeColor="text1" w:themeTint="FF" w:themeShade="FF"/>
              </w:rPr>
              <w:t xml:space="preserve"> is an optimized gradient boosting algorithm that combines several decis</w:t>
            </w:r>
            <w:r w:rsidRPr="44A0C547" w:rsidR="0C47F28F">
              <w:rPr>
                <w:color w:val="000000" w:themeColor="text1" w:themeTint="FF" w:themeShade="FF"/>
              </w:rPr>
              <w:t>ion trees and supports efficient and parallel model training.</w:t>
            </w:r>
          </w:p>
        </w:tc>
      </w:tr>
    </w:tbl>
    <w:p w:rsidR="0CCF0E68" w:rsidP="0CCF0E68" w:rsidRDefault="0CCF0E68" w14:paraId="510CC4D3" w14:textId="61D15460">
      <w:pPr>
        <w:pStyle w:val="Heading2"/>
        <w:rPr>
          <w:color w:val="auto"/>
        </w:rPr>
      </w:pPr>
    </w:p>
    <w:p w:rsidR="00735EDD" w:rsidRDefault="005C6829" w14:paraId="0988AFC6" w14:textId="77777777">
      <w:r w:rsidR="21C411D1">
        <w:rPr/>
        <w:t>Traditional RUL prediction methods include Linear Regression, SVM, KNN, Random Forest, LightGBM, CatBoost, and XGBoost. These algorithms learn the relationship between sensor measurements and equipment degradation [9].</w:t>
      </w:r>
    </w:p>
    <w:p w:rsidR="0CCF0E68" w:rsidP="625BFF3B" w:rsidRDefault="0CCF0E68" w14:paraId="5EA46010" w14:textId="4BEC5FC7">
      <w:pPr>
        <w:rPr>
          <w:rFonts w:ascii="Calibri" w:hAnsi="Calibri" w:eastAsia="Calibri" w:cs="Calibri"/>
          <w:sz w:val="32"/>
          <w:szCs w:val="32"/>
        </w:rPr>
      </w:pPr>
    </w:p>
    <w:p w:rsidR="00735EDD" w:rsidP="625BFF3B" w:rsidRDefault="005C6829" w14:paraId="07F8A6AD" w14:textId="77777777">
      <w:pPr>
        <w:pStyle w:val="Heading2"/>
        <w:rPr>
          <w:rFonts w:ascii="Calibri" w:hAnsi="Calibri" w:eastAsia="Calibri" w:cs="Calibri"/>
          <w:color w:val="auto"/>
          <w:sz w:val="32"/>
          <w:szCs w:val="32"/>
        </w:rPr>
      </w:pPr>
      <w:r w:rsidRPr="625BFF3B" w:rsidR="559BD4AF">
        <w:rPr>
          <w:rFonts w:ascii="Calibri" w:hAnsi="Calibri" w:eastAsia="Calibri" w:cs="Calibri"/>
          <w:color w:val="auto"/>
          <w:sz w:val="32"/>
          <w:szCs w:val="32"/>
        </w:rPr>
        <w:t>Deep Learning</w:t>
      </w:r>
    </w:p>
    <w:p w:rsidR="0CCF0E68" w:rsidP="0CCF0E68" w:rsidRDefault="0CCF0E68" w14:paraId="1BA7FE4C" w14:textId="76F63B10">
      <w:pPr>
        <w:pStyle w:val="Heading2"/>
        <w:rPr>
          <w:color w:val="auto"/>
        </w:rPr>
      </w:pPr>
    </w:p>
    <w:p w:rsidR="17C7CD8E" w:rsidP="625BFF3B" w:rsidRDefault="17C7CD8E" w14:paraId="67102A60" w14:textId="62F23739">
      <w:pPr>
        <w:pStyle w:val="Heading1"/>
        <w:spacing w:before="322" w:beforeAutospacing="off" w:after="322" w:afterAutospacing="off"/>
        <w:rPr>
          <w:rFonts w:ascii="Calibri" w:hAnsi="Calibri" w:eastAsia="Calibri" w:cs="Calibri"/>
          <w:b w:val="1"/>
          <w:bCs w:val="1"/>
          <w:noProof w:val="0"/>
          <w:color w:val="000000" w:themeColor="text1" w:themeTint="FF" w:themeShade="FF"/>
          <w:sz w:val="28"/>
          <w:szCs w:val="28"/>
          <w:lang w:val="en-US"/>
        </w:rPr>
      </w:pPr>
      <w:r w:rsidRPr="625BFF3B" w:rsidR="35647551">
        <w:rPr>
          <w:rFonts w:ascii="Calibri" w:hAnsi="Calibri" w:eastAsia="Calibri" w:cs="Calibri"/>
          <w:b w:val="1"/>
          <w:bCs w:val="1"/>
          <w:noProof w:val="0"/>
          <w:color w:val="000000" w:themeColor="text1" w:themeTint="FF" w:themeShade="FF"/>
          <w:sz w:val="28"/>
          <w:szCs w:val="28"/>
          <w:lang w:val="en-US"/>
        </w:rPr>
        <w:t>Definitions of Deep Learning Models</w:t>
      </w:r>
    </w:p>
    <w:p w:rsidR="0CCF0E68" w:rsidP="0CCF0E68" w:rsidRDefault="0CCF0E68" w14:paraId="3F12206F" w14:textId="5922CC80">
      <w:pPr>
        <w:pStyle w:val="Heading2"/>
        <w:rPr>
          <w:color w:val="auto"/>
        </w:rPr>
      </w:pPr>
    </w:p>
    <w:tbl>
      <w:tblPr>
        <w:tblStyle w:val="TableGrid"/>
        <w:bidiVisual w:val="0"/>
        <w:tblW w:w="10215" w:type="dxa"/>
        <w:tblBorders>
          <w:top w:val="single" w:sz="6"/>
          <w:left w:val="single" w:sz="6"/>
          <w:bottom w:val="single" w:sz="6"/>
          <w:right w:val="single" w:sz="6"/>
        </w:tblBorders>
        <w:tblLook w:val="06A0" w:firstRow="1" w:lastRow="0" w:firstColumn="1" w:lastColumn="0" w:noHBand="1" w:noVBand="1"/>
      </w:tblPr>
      <w:tblGrid>
        <w:gridCol w:w="1725"/>
        <w:gridCol w:w="8490"/>
      </w:tblGrid>
      <w:tr w:rsidR="0CCF0E68" w:rsidTr="625BFF3B" w14:paraId="5ABE97E6">
        <w:trPr>
          <w:trHeight w:val="300"/>
        </w:trPr>
        <w:tc>
          <w:tcPr>
            <w:tcW w:w="1725" w:type="dxa"/>
            <w:tcBorders>
              <w:top w:val="single" w:sz="6"/>
              <w:left w:val="single" w:sz="6"/>
              <w:bottom w:val="single" w:sz="6"/>
              <w:right w:val="single" w:sz="6"/>
            </w:tcBorders>
            <w:tcMar>
              <w:top w:w="120" w:type="dxa"/>
              <w:left w:w="180" w:type="dxa"/>
              <w:bottom w:w="120" w:type="dxa"/>
              <w:right w:w="180" w:type="dxa"/>
            </w:tcMar>
            <w:vAlign w:val="center"/>
          </w:tcPr>
          <w:p w:rsidR="0CCF0E68" w:rsidP="0CCF0E68" w:rsidRDefault="0CCF0E68" w14:paraId="6C200CD8" w14:textId="4A265A2E">
            <w:pPr>
              <w:spacing w:before="240" w:beforeAutospacing="off" w:after="240" w:afterAutospacing="off"/>
              <w:jc w:val="center"/>
            </w:pPr>
            <w:r w:rsidRPr="0CCF0E68" w:rsidR="0CCF0E68">
              <w:rPr>
                <w:b w:val="1"/>
                <w:bCs w:val="1"/>
                <w:color w:val="000000" w:themeColor="text1" w:themeTint="FF" w:themeShade="FF"/>
              </w:rPr>
              <w:t>Model</w:t>
            </w:r>
          </w:p>
        </w:tc>
        <w:tc>
          <w:tcPr>
            <w:tcW w:w="8490" w:type="dxa"/>
            <w:tcBorders>
              <w:top w:val="single" w:sz="6"/>
              <w:left w:val="single" w:sz="6"/>
              <w:bottom w:val="single" w:sz="6"/>
              <w:right w:val="single" w:sz="6"/>
            </w:tcBorders>
            <w:tcMar>
              <w:top w:w="120" w:type="dxa"/>
              <w:left w:w="180" w:type="dxa"/>
              <w:bottom w:w="120" w:type="dxa"/>
              <w:right w:w="180" w:type="dxa"/>
            </w:tcMar>
            <w:vAlign w:val="center"/>
          </w:tcPr>
          <w:p w:rsidR="0CCF0E68" w:rsidP="0CCF0E68" w:rsidRDefault="0CCF0E68" w14:paraId="06496B68" w14:textId="73B9ACE8">
            <w:pPr>
              <w:spacing w:before="240" w:beforeAutospacing="off" w:after="240" w:afterAutospacing="off"/>
              <w:jc w:val="center"/>
            </w:pPr>
            <w:r w:rsidRPr="0CCF0E68" w:rsidR="0CCF0E68">
              <w:rPr>
                <w:b w:val="1"/>
                <w:bCs w:val="1"/>
                <w:color w:val="000000" w:themeColor="text1" w:themeTint="FF" w:themeShade="FF"/>
              </w:rPr>
              <w:t>Definition</w:t>
            </w:r>
          </w:p>
        </w:tc>
      </w:tr>
      <w:tr w:rsidR="0CCF0E68" w:rsidTr="625BFF3B" w14:paraId="5B3279A8">
        <w:trPr>
          <w:trHeight w:val="300"/>
        </w:trPr>
        <w:tc>
          <w:tcPr>
            <w:tcW w:w="1725" w:type="dxa"/>
            <w:tcBorders>
              <w:top w:val="single" w:sz="6"/>
              <w:left w:val="single" w:sz="6"/>
              <w:bottom w:val="single" w:sz="6"/>
              <w:right w:val="single" w:sz="6"/>
            </w:tcBorders>
            <w:tcMar>
              <w:top w:w="120" w:type="dxa"/>
              <w:left w:w="180" w:type="dxa"/>
              <w:bottom w:w="120" w:type="dxa"/>
              <w:right w:w="180" w:type="dxa"/>
            </w:tcMar>
            <w:vAlign w:val="center"/>
          </w:tcPr>
          <w:p w:rsidR="0CCF0E68" w:rsidP="0CCF0E68" w:rsidRDefault="0CCF0E68" w14:paraId="1A8943F1" w14:textId="69D2E979">
            <w:pPr>
              <w:spacing w:before="240" w:beforeAutospacing="off" w:after="240" w:afterAutospacing="off"/>
            </w:pPr>
            <w:r w:rsidRPr="0CCF0E68" w:rsidR="0CCF0E68">
              <w:rPr>
                <w:color w:val="000000" w:themeColor="text1" w:themeTint="FF" w:themeShade="FF"/>
              </w:rPr>
              <w:t>Convolutional Neural Network (CNN)</w:t>
            </w:r>
          </w:p>
        </w:tc>
        <w:tc>
          <w:tcPr>
            <w:tcW w:w="8490" w:type="dxa"/>
            <w:tcBorders>
              <w:top w:val="single" w:sz="6"/>
              <w:left w:val="single" w:sz="6"/>
              <w:bottom w:val="single" w:sz="6"/>
              <w:right w:val="single" w:sz="6"/>
            </w:tcBorders>
            <w:tcMar>
              <w:top w:w="120" w:type="dxa"/>
              <w:left w:w="180" w:type="dxa"/>
              <w:bottom w:w="120" w:type="dxa"/>
              <w:right w:w="180" w:type="dxa"/>
            </w:tcMar>
            <w:vAlign w:val="center"/>
          </w:tcPr>
          <w:p w:rsidR="0CCF0E68" w:rsidP="0CCF0E68" w:rsidRDefault="0CCF0E68" w14:paraId="6425A3AB" w14:textId="43FAA499">
            <w:pPr>
              <w:spacing w:before="240" w:beforeAutospacing="off" w:after="240" w:afterAutospacing="off"/>
            </w:pPr>
            <w:r w:rsidRPr="0CCF0E68" w:rsidR="0CCF0E68">
              <w:rPr>
                <w:color w:val="000000" w:themeColor="text1" w:themeTint="FF" w:themeShade="FF"/>
              </w:rPr>
              <w:t>CNN is a deep learning network that uses convolution filters to automatically extract local patterns and useful features from input data such as sensor and vibration signals.</w:t>
            </w:r>
          </w:p>
        </w:tc>
      </w:tr>
      <w:tr w:rsidR="0CCF0E68" w:rsidTr="625BFF3B" w14:paraId="65AF5E93">
        <w:trPr>
          <w:trHeight w:val="300"/>
        </w:trPr>
        <w:tc>
          <w:tcPr>
            <w:tcW w:w="1725" w:type="dxa"/>
            <w:tcBorders>
              <w:top w:val="single" w:sz="6"/>
              <w:left w:val="single" w:sz="6"/>
              <w:bottom w:val="single" w:sz="6"/>
              <w:right w:val="single" w:sz="6"/>
            </w:tcBorders>
            <w:tcMar>
              <w:top w:w="120" w:type="dxa"/>
              <w:left w:w="180" w:type="dxa"/>
              <w:bottom w:w="120" w:type="dxa"/>
              <w:right w:w="180" w:type="dxa"/>
            </w:tcMar>
            <w:vAlign w:val="center"/>
          </w:tcPr>
          <w:p w:rsidR="0CCF0E68" w:rsidP="0CCF0E68" w:rsidRDefault="0CCF0E68" w14:paraId="52780B4E" w14:textId="34E0C1A8">
            <w:pPr>
              <w:spacing w:before="240" w:beforeAutospacing="off" w:after="240" w:afterAutospacing="off"/>
            </w:pPr>
            <w:r w:rsidRPr="0CCF0E68" w:rsidR="0CCF0E68">
              <w:rPr>
                <w:color w:val="000000" w:themeColor="text1" w:themeTint="FF" w:themeShade="FF"/>
              </w:rPr>
              <w:t>Long Short-Term Memory (LSTM)</w:t>
            </w:r>
          </w:p>
        </w:tc>
        <w:tc>
          <w:tcPr>
            <w:tcW w:w="8490" w:type="dxa"/>
            <w:tcBorders>
              <w:top w:val="single" w:sz="6"/>
              <w:left w:val="single" w:sz="6"/>
              <w:bottom w:val="single" w:sz="6"/>
              <w:right w:val="single" w:sz="6"/>
            </w:tcBorders>
            <w:tcMar>
              <w:top w:w="120" w:type="dxa"/>
              <w:left w:w="180" w:type="dxa"/>
              <w:bottom w:w="120" w:type="dxa"/>
              <w:right w:w="180" w:type="dxa"/>
            </w:tcMar>
            <w:vAlign w:val="center"/>
          </w:tcPr>
          <w:p w:rsidR="0CCF0E68" w:rsidP="0CCF0E68" w:rsidRDefault="0CCF0E68" w14:paraId="3F92A87E" w14:textId="2543E178">
            <w:pPr>
              <w:spacing w:before="240" w:beforeAutospacing="off" w:after="240" w:afterAutospacing="off"/>
            </w:pPr>
            <w:r w:rsidRPr="0CCF0E68" w:rsidR="0CCF0E68">
              <w:rPr>
                <w:color w:val="000000" w:themeColor="text1" w:themeTint="FF" w:themeShade="FF"/>
              </w:rPr>
              <w:t>LSTM is a type of recurrent neural network designed to learn long-term information from sequential data. It uses memory cells and gates to control which information is stored or removed.</w:t>
            </w:r>
          </w:p>
        </w:tc>
      </w:tr>
      <w:tr w:rsidR="0CCF0E68" w:rsidTr="625BFF3B" w14:paraId="4D575ADA">
        <w:trPr>
          <w:trHeight w:val="300"/>
        </w:trPr>
        <w:tc>
          <w:tcPr>
            <w:tcW w:w="1725" w:type="dxa"/>
            <w:tcBorders>
              <w:top w:val="single" w:sz="6"/>
              <w:left w:val="single" w:sz="6"/>
              <w:bottom w:val="single" w:sz="6"/>
              <w:right w:val="single" w:sz="6"/>
            </w:tcBorders>
            <w:tcMar>
              <w:top w:w="120" w:type="dxa"/>
              <w:left w:w="180" w:type="dxa"/>
              <w:bottom w:w="120" w:type="dxa"/>
              <w:right w:w="180" w:type="dxa"/>
            </w:tcMar>
            <w:vAlign w:val="center"/>
          </w:tcPr>
          <w:p w:rsidR="0CCF0E68" w:rsidP="0CCF0E68" w:rsidRDefault="0CCF0E68" w14:paraId="255973DA" w14:textId="6272BF6B">
            <w:pPr>
              <w:spacing w:before="240" w:beforeAutospacing="off" w:after="240" w:afterAutospacing="off"/>
            </w:pPr>
            <w:r w:rsidRPr="0CCF0E68" w:rsidR="0CCF0E68">
              <w:rPr>
                <w:color w:val="000000" w:themeColor="text1" w:themeTint="FF" w:themeShade="FF"/>
              </w:rPr>
              <w:t>Gated Recurrent Unit (GRU)</w:t>
            </w:r>
          </w:p>
        </w:tc>
        <w:tc>
          <w:tcPr>
            <w:tcW w:w="8490" w:type="dxa"/>
            <w:tcBorders>
              <w:top w:val="single" w:sz="6"/>
              <w:left w:val="single" w:sz="6"/>
              <w:bottom w:val="single" w:sz="6"/>
              <w:right w:val="single" w:sz="6"/>
            </w:tcBorders>
            <w:tcMar>
              <w:top w:w="120" w:type="dxa"/>
              <w:left w:w="180" w:type="dxa"/>
              <w:bottom w:w="120" w:type="dxa"/>
              <w:right w:w="180" w:type="dxa"/>
            </w:tcMar>
            <w:vAlign w:val="center"/>
          </w:tcPr>
          <w:p w:rsidR="0CCF0E68" w:rsidP="0CCF0E68" w:rsidRDefault="0CCF0E68" w14:paraId="50023050" w14:textId="47D99359">
            <w:pPr>
              <w:spacing w:before="240" w:beforeAutospacing="off" w:after="240" w:afterAutospacing="off"/>
            </w:pPr>
            <w:r w:rsidRPr="0CCF0E68" w:rsidR="0CCF0E68">
              <w:rPr>
                <w:color w:val="000000" w:themeColor="text1" w:themeTint="FF" w:themeShade="FF"/>
              </w:rPr>
              <w:t>GRU is a recurrent neural network that uses update and reset gates to control information flow. It has a simpler structure than LSTM while still learning temporal relationships.</w:t>
            </w:r>
          </w:p>
        </w:tc>
      </w:tr>
      <w:tr w:rsidR="0CCF0E68" w:rsidTr="625BFF3B" w14:paraId="227F8E05">
        <w:trPr>
          <w:trHeight w:val="300"/>
        </w:trPr>
        <w:tc>
          <w:tcPr>
            <w:tcW w:w="1725" w:type="dxa"/>
            <w:tcBorders>
              <w:top w:val="single" w:sz="6"/>
              <w:left w:val="single" w:sz="6"/>
              <w:bottom w:val="single" w:sz="6"/>
              <w:right w:val="single" w:sz="6"/>
            </w:tcBorders>
            <w:tcMar>
              <w:top w:w="120" w:type="dxa"/>
              <w:left w:w="180" w:type="dxa"/>
              <w:bottom w:w="120" w:type="dxa"/>
              <w:right w:w="180" w:type="dxa"/>
            </w:tcMar>
            <w:vAlign w:val="center"/>
          </w:tcPr>
          <w:p w:rsidR="0CCF0E68" w:rsidP="0CCF0E68" w:rsidRDefault="0CCF0E68" w14:paraId="623DB03B" w14:textId="006B6F09">
            <w:pPr>
              <w:spacing w:before="240" w:beforeAutospacing="off" w:after="240" w:afterAutospacing="off"/>
            </w:pPr>
            <w:r w:rsidRPr="0CCF0E68" w:rsidR="0CCF0E68">
              <w:rPr>
                <w:color w:val="000000" w:themeColor="text1" w:themeTint="FF" w:themeShade="FF"/>
              </w:rPr>
              <w:t>Bidirectional Long Short-Term Memory (Bi-LSTM)</w:t>
            </w:r>
          </w:p>
        </w:tc>
        <w:tc>
          <w:tcPr>
            <w:tcW w:w="8490" w:type="dxa"/>
            <w:tcBorders>
              <w:top w:val="single" w:sz="6"/>
              <w:left w:val="single" w:sz="6"/>
              <w:bottom w:val="single" w:sz="6"/>
              <w:right w:val="single" w:sz="6"/>
            </w:tcBorders>
            <w:tcMar>
              <w:top w:w="120" w:type="dxa"/>
              <w:left w:w="180" w:type="dxa"/>
              <w:bottom w:w="120" w:type="dxa"/>
              <w:right w:w="180" w:type="dxa"/>
            </w:tcMar>
            <w:vAlign w:val="center"/>
          </w:tcPr>
          <w:p w:rsidR="0CCF0E68" w:rsidP="0CCF0E68" w:rsidRDefault="0CCF0E68" w14:paraId="7C99CAF4" w14:textId="401CB79D">
            <w:pPr>
              <w:spacing w:before="240" w:beforeAutospacing="off" w:after="240" w:afterAutospacing="off"/>
            </w:pPr>
            <w:r w:rsidRPr="0CCF0E68" w:rsidR="0CCF0E68">
              <w:rPr>
                <w:color w:val="000000" w:themeColor="text1" w:themeTint="FF" w:themeShade="FF"/>
              </w:rPr>
              <w:t>Bi-LSTM processes sequential data in both forward and backward directions. This helps the model learn information from earlier and later parts of the sequence.</w:t>
            </w:r>
          </w:p>
        </w:tc>
      </w:tr>
      <w:tr w:rsidR="0CCF0E68" w:rsidTr="625BFF3B" w14:paraId="29DC98C9">
        <w:trPr>
          <w:trHeight w:val="300"/>
        </w:trPr>
        <w:tc>
          <w:tcPr>
            <w:tcW w:w="1725" w:type="dxa"/>
            <w:tcBorders>
              <w:top w:val="single" w:sz="6"/>
              <w:left w:val="single" w:sz="6"/>
              <w:bottom w:val="single" w:sz="6"/>
              <w:right w:val="single" w:sz="6"/>
            </w:tcBorders>
            <w:tcMar>
              <w:top w:w="120" w:type="dxa"/>
              <w:left w:w="180" w:type="dxa"/>
              <w:bottom w:w="120" w:type="dxa"/>
              <w:right w:w="180" w:type="dxa"/>
            </w:tcMar>
            <w:vAlign w:val="center"/>
          </w:tcPr>
          <w:p w:rsidR="0CCF0E68" w:rsidP="0CCF0E68" w:rsidRDefault="0CCF0E68" w14:paraId="4D91A249" w14:textId="777D9F64">
            <w:pPr>
              <w:spacing w:before="240" w:beforeAutospacing="off" w:after="240" w:afterAutospacing="off"/>
            </w:pPr>
            <w:r w:rsidRPr="0CCF0E68" w:rsidR="0CCF0E68">
              <w:rPr>
                <w:color w:val="000000" w:themeColor="text1" w:themeTint="FF" w:themeShade="FF"/>
              </w:rPr>
              <w:t>CNN-LSTM</w:t>
            </w:r>
          </w:p>
        </w:tc>
        <w:tc>
          <w:tcPr>
            <w:tcW w:w="8490" w:type="dxa"/>
            <w:tcBorders>
              <w:top w:val="single" w:sz="6"/>
              <w:left w:val="single" w:sz="6"/>
              <w:bottom w:val="single" w:sz="6"/>
              <w:right w:val="single" w:sz="6"/>
            </w:tcBorders>
            <w:tcMar>
              <w:top w:w="120" w:type="dxa"/>
              <w:left w:w="180" w:type="dxa"/>
              <w:bottom w:w="120" w:type="dxa"/>
              <w:right w:w="180" w:type="dxa"/>
            </w:tcMar>
            <w:vAlign w:val="center"/>
          </w:tcPr>
          <w:p w:rsidR="0CCF0E68" w:rsidP="44A0C547" w:rsidRDefault="0CCF0E68" w14:paraId="18DF1A4F" w14:textId="41AD3AA2">
            <w:pPr>
              <w:pStyle w:val="Normal"/>
              <w:spacing w:before="240" w:beforeAutospacing="off" w:after="240" w:afterAutospacing="off"/>
            </w:pPr>
            <w:r w:rsidRPr="625BFF3B" w:rsidR="0098E96E">
              <w:rPr>
                <w:color w:val="000000" w:themeColor="text1" w:themeTint="FF" w:themeShade="FF"/>
              </w:rPr>
              <w:t xml:space="preserve">CNN-LSTM is a hybrid model in which CNN extracts local features from the input </w:t>
            </w:r>
            <w:r w:rsidRPr="625BFF3B" w:rsidR="0098E96E">
              <w:rPr>
                <w:color w:val="000000" w:themeColor="text1" w:themeTint="FF" w:themeShade="FF"/>
              </w:rPr>
              <w:t>data</w:t>
            </w:r>
            <w:r w:rsidRPr="625BFF3B" w:rsidR="0098E96E">
              <w:rPr>
                <w:color w:val="000000" w:themeColor="text1" w:themeTint="FF" w:themeShade="FF"/>
              </w:rPr>
              <w:t xml:space="preserve"> and LSTM learns how these features change over time.</w:t>
            </w:r>
          </w:p>
        </w:tc>
      </w:tr>
      <w:tr w:rsidR="0CCF0E68" w:rsidTr="625BFF3B" w14:paraId="087B52B6">
        <w:trPr>
          <w:trHeight w:val="300"/>
        </w:trPr>
        <w:tc>
          <w:tcPr>
            <w:tcW w:w="1725" w:type="dxa"/>
            <w:tcBorders>
              <w:top w:val="single" w:sz="6"/>
              <w:left w:val="single" w:sz="6"/>
              <w:bottom w:val="single" w:sz="6"/>
              <w:right w:val="single" w:sz="6"/>
            </w:tcBorders>
            <w:tcMar>
              <w:top w:w="120" w:type="dxa"/>
              <w:left w:w="180" w:type="dxa"/>
              <w:bottom w:w="120" w:type="dxa"/>
              <w:right w:w="180" w:type="dxa"/>
            </w:tcMar>
            <w:vAlign w:val="center"/>
          </w:tcPr>
          <w:p w:rsidR="0CCF0E68" w:rsidP="0CCF0E68" w:rsidRDefault="0CCF0E68" w14:paraId="369D1F74" w14:textId="7D41C47F">
            <w:pPr>
              <w:spacing w:before="240" w:beforeAutospacing="off" w:after="240" w:afterAutospacing="off"/>
            </w:pPr>
            <w:r w:rsidRPr="0CCF0E68" w:rsidR="0CCF0E68">
              <w:rPr>
                <w:color w:val="000000" w:themeColor="text1" w:themeTint="FF" w:themeShade="FF"/>
              </w:rPr>
              <w:t>CNN-GRU</w:t>
            </w:r>
          </w:p>
        </w:tc>
        <w:tc>
          <w:tcPr>
            <w:tcW w:w="8490" w:type="dxa"/>
            <w:tcBorders>
              <w:top w:val="single" w:sz="6"/>
              <w:left w:val="single" w:sz="6"/>
              <w:bottom w:val="single" w:sz="6"/>
              <w:right w:val="single" w:sz="6"/>
            </w:tcBorders>
            <w:tcMar>
              <w:top w:w="120" w:type="dxa"/>
              <w:left w:w="180" w:type="dxa"/>
              <w:bottom w:w="120" w:type="dxa"/>
              <w:right w:w="180" w:type="dxa"/>
            </w:tcMar>
            <w:vAlign w:val="center"/>
          </w:tcPr>
          <w:p w:rsidR="0CCF0E68" w:rsidP="0CCF0E68" w:rsidRDefault="0CCF0E68" w14:paraId="775079A4" w14:textId="62BFACA7">
            <w:pPr>
              <w:spacing w:before="240" w:beforeAutospacing="off" w:after="240" w:afterAutospacing="off"/>
            </w:pPr>
            <w:r w:rsidRPr="0CCF0E68" w:rsidR="0CCF0E68">
              <w:rPr>
                <w:color w:val="000000" w:themeColor="text1" w:themeTint="FF" w:themeShade="FF"/>
              </w:rPr>
              <w:t>CNN-GRU is a hybrid model that uses CNN for feature extraction and GRU for learning temporal patterns from sequential data.</w:t>
            </w:r>
          </w:p>
        </w:tc>
      </w:tr>
      <w:tr w:rsidR="0CCF0E68" w:rsidTr="625BFF3B" w14:paraId="0AE43C86">
        <w:trPr>
          <w:trHeight w:val="300"/>
        </w:trPr>
        <w:tc>
          <w:tcPr>
            <w:tcW w:w="1725" w:type="dxa"/>
            <w:tcBorders>
              <w:top w:val="single" w:sz="6"/>
              <w:left w:val="single" w:sz="6"/>
              <w:bottom w:val="single" w:sz="6"/>
              <w:right w:val="single" w:sz="6"/>
            </w:tcBorders>
            <w:tcMar>
              <w:top w:w="120" w:type="dxa"/>
              <w:left w:w="180" w:type="dxa"/>
              <w:bottom w:w="120" w:type="dxa"/>
              <w:right w:w="180" w:type="dxa"/>
            </w:tcMar>
            <w:vAlign w:val="center"/>
          </w:tcPr>
          <w:p w:rsidR="0CCF0E68" w:rsidP="0CCF0E68" w:rsidRDefault="0CCF0E68" w14:paraId="0FE4A432" w14:textId="2F9DFFAE">
            <w:pPr>
              <w:spacing w:before="240" w:beforeAutospacing="off" w:after="240" w:afterAutospacing="off"/>
            </w:pPr>
            <w:r w:rsidRPr="0CCF0E68" w:rsidR="0CCF0E68">
              <w:rPr>
                <w:color w:val="000000" w:themeColor="text1" w:themeTint="FF" w:themeShade="FF"/>
              </w:rPr>
              <w:t>Autoencoder</w:t>
            </w:r>
          </w:p>
        </w:tc>
        <w:tc>
          <w:tcPr>
            <w:tcW w:w="8490" w:type="dxa"/>
            <w:tcBorders>
              <w:top w:val="single" w:sz="6"/>
              <w:left w:val="single" w:sz="6"/>
              <w:bottom w:val="single" w:sz="6"/>
              <w:right w:val="single" w:sz="6"/>
            </w:tcBorders>
            <w:tcMar>
              <w:top w:w="120" w:type="dxa"/>
              <w:left w:w="180" w:type="dxa"/>
              <w:bottom w:w="120" w:type="dxa"/>
              <w:right w:w="180" w:type="dxa"/>
            </w:tcMar>
            <w:vAlign w:val="center"/>
          </w:tcPr>
          <w:p w:rsidR="0CCF0E68" w:rsidP="625BFF3B" w:rsidRDefault="0CCF0E68" w14:paraId="2B21869B" w14:textId="1DF6911D">
            <w:pPr>
              <w:pStyle w:val="Normal"/>
              <w:spacing w:before="240" w:beforeAutospacing="off" w:after="240" w:afterAutospacing="off"/>
            </w:pPr>
            <w:r w:rsidRPr="625BFF3B" w:rsidR="3A16B1B9">
              <w:rPr>
                <w:color w:val="000000" w:themeColor="text1" w:themeTint="FF" w:themeShade="FF"/>
              </w:rPr>
              <w:t>An Autoencoder is a neural network trained to rec</w:t>
            </w:r>
            <w:r w:rsidRPr="625BFF3B" w:rsidR="3A16B1B9">
              <w:rPr>
                <w:color w:val="000000" w:themeColor="text1" w:themeTint="FF" w:themeShade="FF"/>
              </w:rPr>
              <w:t xml:space="preserve">onstruct its input. It compresses the input into a smaller representation and can be used for feature extraction, dimensionality </w:t>
            </w:r>
            <w:r w:rsidRPr="625BFF3B" w:rsidR="3A16B1B9">
              <w:rPr>
                <w:color w:val="000000" w:themeColor="text1" w:themeTint="FF" w:themeShade="FF"/>
              </w:rPr>
              <w:t>reduction</w:t>
            </w:r>
            <w:r w:rsidRPr="625BFF3B" w:rsidR="3A16B1B9">
              <w:rPr>
                <w:color w:val="000000" w:themeColor="text1" w:themeTint="FF" w:themeShade="FF"/>
              </w:rPr>
              <w:t xml:space="preserve"> and noise removal.</w:t>
            </w:r>
          </w:p>
        </w:tc>
      </w:tr>
      <w:tr w:rsidR="0CCF0E68" w:rsidTr="625BFF3B" w14:paraId="200C4B9D">
        <w:trPr>
          <w:trHeight w:val="300"/>
        </w:trPr>
        <w:tc>
          <w:tcPr>
            <w:tcW w:w="1725" w:type="dxa"/>
            <w:tcBorders>
              <w:top w:val="single" w:sz="6"/>
              <w:left w:val="single" w:sz="6"/>
              <w:bottom w:val="single" w:sz="6"/>
              <w:right w:val="single" w:sz="6"/>
            </w:tcBorders>
            <w:tcMar>
              <w:top w:w="120" w:type="dxa"/>
              <w:left w:w="180" w:type="dxa"/>
              <w:bottom w:w="120" w:type="dxa"/>
              <w:right w:w="180" w:type="dxa"/>
            </w:tcMar>
            <w:vAlign w:val="center"/>
          </w:tcPr>
          <w:p w:rsidR="0CCF0E68" w:rsidP="0CCF0E68" w:rsidRDefault="0CCF0E68" w14:paraId="59643777" w14:textId="37979453">
            <w:pPr>
              <w:spacing w:before="240" w:beforeAutospacing="off" w:after="240" w:afterAutospacing="off"/>
            </w:pPr>
            <w:r w:rsidRPr="0CCF0E68" w:rsidR="0CCF0E68">
              <w:rPr>
                <w:color w:val="000000" w:themeColor="text1" w:themeTint="FF" w:themeShade="FF"/>
              </w:rPr>
              <w:t>Attention Mechanism</w:t>
            </w:r>
          </w:p>
        </w:tc>
        <w:tc>
          <w:tcPr>
            <w:tcW w:w="8490" w:type="dxa"/>
            <w:tcBorders>
              <w:top w:val="single" w:sz="6"/>
              <w:left w:val="single" w:sz="6"/>
              <w:bottom w:val="single" w:sz="6"/>
              <w:right w:val="single" w:sz="6"/>
            </w:tcBorders>
            <w:tcMar>
              <w:top w:w="120" w:type="dxa"/>
              <w:left w:w="180" w:type="dxa"/>
              <w:bottom w:w="120" w:type="dxa"/>
              <w:right w:w="180" w:type="dxa"/>
            </w:tcMar>
            <w:vAlign w:val="center"/>
          </w:tcPr>
          <w:p w:rsidR="0CCF0E68" w:rsidP="0CCF0E68" w:rsidRDefault="0CCF0E68" w14:paraId="40347B6E" w14:textId="7EFF3ADB">
            <w:pPr>
              <w:spacing w:before="240" w:beforeAutospacing="off" w:after="240" w:afterAutospacing="off"/>
            </w:pPr>
            <w:r w:rsidRPr="0CCF0E68" w:rsidR="0CCF0E68">
              <w:rPr>
                <w:color w:val="000000" w:themeColor="text1" w:themeTint="FF" w:themeShade="FF"/>
              </w:rPr>
              <w:t>An Attention Mechanism allows a model to assign different levels of importance to the input features or time steps that are most useful for the prediction.</w:t>
            </w:r>
          </w:p>
        </w:tc>
      </w:tr>
      <w:tr w:rsidR="0CCF0E68" w:rsidTr="625BFF3B" w14:paraId="519E9CA7">
        <w:trPr>
          <w:trHeight w:val="300"/>
        </w:trPr>
        <w:tc>
          <w:tcPr>
            <w:tcW w:w="1725" w:type="dxa"/>
            <w:tcBorders>
              <w:top w:val="single" w:sz="6"/>
              <w:left w:val="single" w:sz="6"/>
              <w:bottom w:val="single" w:sz="6"/>
              <w:right w:val="single" w:sz="6"/>
            </w:tcBorders>
            <w:tcMar>
              <w:top w:w="120" w:type="dxa"/>
              <w:left w:w="180" w:type="dxa"/>
              <w:bottom w:w="120" w:type="dxa"/>
              <w:right w:w="180" w:type="dxa"/>
            </w:tcMar>
            <w:vAlign w:val="center"/>
          </w:tcPr>
          <w:p w:rsidR="0CCF0E68" w:rsidP="0CCF0E68" w:rsidRDefault="0CCF0E68" w14:paraId="1DB875C2" w14:textId="4AF0D8F0">
            <w:pPr>
              <w:spacing w:before="240" w:beforeAutospacing="off" w:after="240" w:afterAutospacing="off"/>
            </w:pPr>
            <w:r w:rsidRPr="0CCF0E68" w:rsidR="0CCF0E68">
              <w:rPr>
                <w:color w:val="000000" w:themeColor="text1" w:themeTint="FF" w:themeShade="FF"/>
              </w:rPr>
              <w:t>Transformer</w:t>
            </w:r>
          </w:p>
        </w:tc>
        <w:tc>
          <w:tcPr>
            <w:tcW w:w="8490" w:type="dxa"/>
            <w:tcBorders>
              <w:top w:val="single" w:sz="6"/>
              <w:left w:val="single" w:sz="6"/>
              <w:bottom w:val="single" w:sz="6"/>
              <w:right w:val="single" w:sz="6"/>
            </w:tcBorders>
            <w:tcMar>
              <w:top w:w="120" w:type="dxa"/>
              <w:left w:w="180" w:type="dxa"/>
              <w:bottom w:w="120" w:type="dxa"/>
              <w:right w:w="180" w:type="dxa"/>
            </w:tcMar>
            <w:vAlign w:val="center"/>
          </w:tcPr>
          <w:p w:rsidR="0CCF0E68" w:rsidP="625BFF3B" w:rsidRDefault="0CCF0E68" w14:paraId="7655D933" w14:textId="70085AD3">
            <w:pPr>
              <w:pStyle w:val="Normal"/>
              <w:spacing w:before="240" w:beforeAutospacing="off" w:after="240" w:afterAutospacing="off"/>
            </w:pPr>
            <w:r w:rsidRPr="625BFF3B" w:rsidR="3A16B1B9">
              <w:rPr>
                <w:color w:val="000000" w:themeColor="text1" w:themeTint="FF" w:themeShade="FF"/>
              </w:rPr>
              <w:t xml:space="preserve">A Transformer is a neural network architecture that uses self-attention to learn relationships between </w:t>
            </w:r>
            <w:r w:rsidRPr="625BFF3B" w:rsidR="3A16B1B9">
              <w:rPr>
                <w:color w:val="000000" w:themeColor="text1" w:themeTint="FF" w:themeShade="FF"/>
              </w:rPr>
              <w:t>different parts</w:t>
            </w:r>
            <w:r w:rsidRPr="625BFF3B" w:rsidR="3A16B1B9">
              <w:rPr>
                <w:color w:val="000000" w:themeColor="text1" w:themeTint="FF" w:themeShade="FF"/>
              </w:rPr>
              <w:t xml:space="preserve"> of a sequence without depending </w:t>
            </w:r>
            <w:r w:rsidRPr="625BFF3B" w:rsidR="3A16B1B9">
              <w:rPr>
                <w:color w:val="000000" w:themeColor="text1" w:themeTint="FF" w:themeShade="FF"/>
              </w:rPr>
              <w:t>mainly on</w:t>
            </w:r>
            <w:r w:rsidRPr="625BFF3B" w:rsidR="3A16B1B9">
              <w:rPr>
                <w:color w:val="000000" w:themeColor="text1" w:themeTint="FF" w:themeShade="FF"/>
              </w:rPr>
              <w:t xml:space="preserve"> recurrent connections.</w:t>
            </w:r>
          </w:p>
        </w:tc>
      </w:tr>
      <w:tr w:rsidR="0CCF0E68" w:rsidTr="625BFF3B" w14:paraId="7EFA7289">
        <w:trPr>
          <w:trHeight w:val="300"/>
        </w:trPr>
        <w:tc>
          <w:tcPr>
            <w:tcW w:w="1725" w:type="dxa"/>
            <w:tcBorders>
              <w:top w:val="single" w:sz="6"/>
              <w:left w:val="single" w:sz="6"/>
              <w:bottom w:val="single" w:sz="6"/>
              <w:right w:val="single" w:sz="6"/>
            </w:tcBorders>
            <w:tcMar>
              <w:top w:w="120" w:type="dxa"/>
              <w:left w:w="180" w:type="dxa"/>
              <w:bottom w:w="120" w:type="dxa"/>
              <w:right w:w="180" w:type="dxa"/>
            </w:tcMar>
            <w:vAlign w:val="center"/>
          </w:tcPr>
          <w:p w:rsidR="0CCF0E68" w:rsidP="0CCF0E68" w:rsidRDefault="0CCF0E68" w14:paraId="51409ABA" w14:textId="36917DDF">
            <w:pPr>
              <w:spacing w:before="240" w:beforeAutospacing="off" w:after="240" w:afterAutospacing="off"/>
            </w:pPr>
            <w:r w:rsidRPr="0CCF0E68" w:rsidR="0CCF0E68">
              <w:rPr>
                <w:color w:val="000000" w:themeColor="text1" w:themeTint="FF" w:themeShade="FF"/>
              </w:rPr>
              <w:t>Temporal Convolutional Network (TCN)</w:t>
            </w:r>
          </w:p>
        </w:tc>
        <w:tc>
          <w:tcPr>
            <w:tcW w:w="8490" w:type="dxa"/>
            <w:tcBorders>
              <w:top w:val="single" w:sz="6"/>
              <w:left w:val="single" w:sz="6"/>
              <w:bottom w:val="single" w:sz="6"/>
              <w:right w:val="single" w:sz="6"/>
            </w:tcBorders>
            <w:tcMar>
              <w:top w:w="120" w:type="dxa"/>
              <w:left w:w="180" w:type="dxa"/>
              <w:bottom w:w="120" w:type="dxa"/>
              <w:right w:w="180" w:type="dxa"/>
            </w:tcMar>
            <w:vAlign w:val="center"/>
          </w:tcPr>
          <w:p w:rsidR="0CCF0E68" w:rsidP="625BFF3B" w:rsidRDefault="0CCF0E68" w14:paraId="6231ADA6" w14:textId="470792A6">
            <w:pPr>
              <w:pStyle w:val="Normal"/>
              <w:spacing w:before="240" w:beforeAutospacing="off" w:after="240" w:afterAutospacing="off"/>
            </w:pPr>
            <w:r w:rsidRPr="625BFF3B" w:rsidR="3A16B1B9">
              <w:rPr>
                <w:color w:val="000000" w:themeColor="text1" w:themeTint="FF" w:themeShade="FF"/>
              </w:rPr>
              <w:t>TCN is a convolutional network designed for sequential data. It uses causal and dilated convolutions to learn short-term and long-t</w:t>
            </w:r>
            <w:r w:rsidRPr="625BFF3B" w:rsidR="3A16B1B9">
              <w:rPr>
                <w:color w:val="000000" w:themeColor="text1" w:themeTint="FF" w:themeShade="FF"/>
              </w:rPr>
              <w:t>erm temporal patterns.</w:t>
            </w:r>
          </w:p>
        </w:tc>
      </w:tr>
    </w:tbl>
    <w:p w:rsidR="0CCF0E68" w:rsidP="0CCF0E68" w:rsidRDefault="0CCF0E68" w14:paraId="02A409F2" w14:textId="55445476">
      <w:pPr>
        <w:pStyle w:val="Heading2"/>
        <w:rPr>
          <w:color w:val="auto"/>
        </w:rPr>
      </w:pPr>
    </w:p>
    <w:p w:rsidR="0CCF0E68" w:rsidP="0CCF0E68" w:rsidRDefault="0CCF0E68" w14:paraId="402F5F50" w14:textId="65D28DBB">
      <w:pPr>
        <w:pStyle w:val="Heading2"/>
        <w:rPr>
          <w:color w:val="auto"/>
        </w:rPr>
      </w:pPr>
    </w:p>
    <w:p w:rsidR="00735EDD" w:rsidRDefault="005C6829" w14:paraId="07EE5204" w14:textId="77777777">
      <w:r w:rsidR="21C411D1">
        <w:rPr/>
        <w:t>Deep learning techniques include CNN, LSTM, GRU, Bi-LSTM, CNN-LSTM, CNN-GRU, Transformer, and Attention mechanisms. Hybrid architectures generally provide better prediction accuracy because they capture both spatial and temporal degradation patterns [2], [5], [6], [8], [10]–[15].</w:t>
      </w:r>
    </w:p>
    <w:p w:rsidR="0CCF0E68" w:rsidRDefault="0CCF0E68" w14:paraId="2023304F" w14:textId="471B1B07"/>
    <w:p w:rsidR="00735EDD" w:rsidRDefault="005C6829" w14:paraId="3EE032A6" w14:textId="77777777">
      <w:pPr>
        <w:pStyle w:val="Heading2"/>
      </w:pPr>
      <w:r w:rsidRPr="0CCF0E68" w:rsidR="21C411D1">
        <w:rPr>
          <w:color w:val="auto"/>
        </w:rPr>
        <w:t>Evaluation Methods</w:t>
      </w:r>
    </w:p>
    <w:p w:rsidR="0CCF0E68" w:rsidP="0CCF0E68" w:rsidRDefault="0CCF0E68" w14:paraId="309798E2" w14:textId="174CC617">
      <w:pPr>
        <w:pStyle w:val="Heading2"/>
        <w:rPr>
          <w:color w:val="auto"/>
        </w:rPr>
      </w:pPr>
    </w:p>
    <w:p w:rsidR="25F5A741" w:rsidP="625BFF3B" w:rsidRDefault="25F5A741" w14:paraId="6CCC25BE" w14:textId="01FA91FE">
      <w:pPr>
        <w:pStyle w:val="Heading1"/>
        <w:spacing w:before="322" w:beforeAutospacing="off" w:after="322" w:afterAutospacing="off"/>
        <w:rPr>
          <w:rFonts w:ascii="Calibri" w:hAnsi="Calibri" w:eastAsia="Calibri" w:cs="Calibri"/>
          <w:b w:val="1"/>
          <w:bCs w:val="1"/>
          <w:noProof w:val="0"/>
          <w:color w:val="000000" w:themeColor="text1" w:themeTint="FF" w:themeShade="FF"/>
          <w:sz w:val="28"/>
          <w:szCs w:val="28"/>
          <w:lang w:val="en-US"/>
        </w:rPr>
      </w:pPr>
      <w:r w:rsidRPr="625BFF3B" w:rsidR="6103F91B">
        <w:rPr>
          <w:rFonts w:ascii="Calibri" w:hAnsi="Calibri" w:eastAsia="Calibri" w:cs="Calibri"/>
          <w:b w:val="1"/>
          <w:bCs w:val="1"/>
          <w:noProof w:val="0"/>
          <w:color w:val="000000" w:themeColor="text1" w:themeTint="FF" w:themeShade="FF"/>
          <w:sz w:val="28"/>
          <w:szCs w:val="28"/>
          <w:lang w:val="en-US"/>
        </w:rPr>
        <w:t>Definitions and Equations of Evaluation Methods</w:t>
      </w:r>
    </w:p>
    <w:tbl>
      <w:tblPr>
        <w:tblStyle w:val="TableGrid"/>
        <w:bidiVisual w:val="0"/>
        <w:tblW w:w="11205" w:type="dxa"/>
        <w:tblBorders>
          <w:top w:val="single" w:sz="6"/>
          <w:left w:val="single" w:sz="6"/>
          <w:bottom w:val="single" w:sz="6"/>
          <w:right w:val="single" w:sz="6"/>
        </w:tblBorders>
        <w:tblLook w:val="06A0" w:firstRow="1" w:lastRow="0" w:firstColumn="1" w:lastColumn="0" w:noHBand="1" w:noVBand="1"/>
      </w:tblPr>
      <w:tblGrid>
        <w:gridCol w:w="1620"/>
        <w:gridCol w:w="1980"/>
        <w:gridCol w:w="3435"/>
        <w:gridCol w:w="4170"/>
      </w:tblGrid>
      <w:tr w:rsidR="0CCF0E68" w:rsidTr="625BFF3B" w14:paraId="058FB926">
        <w:trPr>
          <w:trHeight w:val="300"/>
        </w:trPr>
        <w:tc>
          <w:tcPr>
            <w:tcW w:w="1620" w:type="dxa"/>
            <w:tcBorders>
              <w:top w:val="single" w:sz="6"/>
              <w:left w:val="single" w:sz="6"/>
              <w:bottom w:val="single" w:sz="6"/>
              <w:right w:val="single" w:sz="6"/>
            </w:tcBorders>
            <w:tcMar>
              <w:top w:w="120" w:type="dxa"/>
              <w:left w:w="180" w:type="dxa"/>
              <w:bottom w:w="120" w:type="dxa"/>
              <w:right w:w="180" w:type="dxa"/>
            </w:tcMar>
            <w:vAlign w:val="center"/>
          </w:tcPr>
          <w:p w:rsidR="0CCF0E68" w:rsidP="0CCF0E68" w:rsidRDefault="0CCF0E68" w14:paraId="41F10020" w14:textId="456F5B11">
            <w:pPr>
              <w:spacing w:before="240" w:beforeAutospacing="off" w:after="240" w:afterAutospacing="off"/>
              <w:jc w:val="center"/>
            </w:pPr>
            <w:r w:rsidRPr="0CCF0E68" w:rsidR="0CCF0E68">
              <w:rPr>
                <w:b w:val="1"/>
                <w:bCs w:val="1"/>
                <w:color w:val="000000" w:themeColor="text1" w:themeTint="FF" w:themeShade="FF"/>
              </w:rPr>
              <w:t>Evaluation Method</w:t>
            </w:r>
          </w:p>
        </w:tc>
        <w:tc>
          <w:tcPr>
            <w:tcW w:w="1980" w:type="dxa"/>
            <w:tcBorders>
              <w:top w:val="single" w:sz="6"/>
              <w:left w:val="single" w:sz="6"/>
              <w:bottom w:val="single" w:sz="6"/>
              <w:right w:val="single" w:sz="6"/>
            </w:tcBorders>
            <w:tcMar>
              <w:top w:w="120" w:type="dxa"/>
              <w:left w:w="180" w:type="dxa"/>
              <w:bottom w:w="120" w:type="dxa"/>
              <w:right w:w="180" w:type="dxa"/>
            </w:tcMar>
            <w:vAlign w:val="center"/>
          </w:tcPr>
          <w:p w:rsidR="0CCF0E68" w:rsidP="0CCF0E68" w:rsidRDefault="0CCF0E68" w14:paraId="74ADD41C" w14:textId="41A752BF">
            <w:pPr>
              <w:spacing w:before="240" w:beforeAutospacing="off" w:after="240" w:afterAutospacing="off"/>
              <w:jc w:val="center"/>
            </w:pPr>
            <w:r w:rsidRPr="0CCF0E68" w:rsidR="0CCF0E68">
              <w:rPr>
                <w:b w:val="1"/>
                <w:bCs w:val="1"/>
                <w:color w:val="000000" w:themeColor="text1" w:themeTint="FF" w:themeShade="FF"/>
              </w:rPr>
              <w:t>Definition</w:t>
            </w:r>
          </w:p>
        </w:tc>
        <w:tc>
          <w:tcPr>
            <w:tcW w:w="3435" w:type="dxa"/>
            <w:tcBorders>
              <w:top w:val="single" w:sz="6"/>
              <w:left w:val="single" w:sz="6"/>
              <w:bottom w:val="single" w:sz="6"/>
              <w:right w:val="single" w:sz="6"/>
            </w:tcBorders>
            <w:tcMar>
              <w:top w:w="120" w:type="dxa"/>
              <w:left w:w="180" w:type="dxa"/>
              <w:bottom w:w="120" w:type="dxa"/>
              <w:right w:w="180" w:type="dxa"/>
            </w:tcMar>
            <w:vAlign w:val="center"/>
          </w:tcPr>
          <w:p w:rsidR="0CCF0E68" w:rsidP="0CCF0E68" w:rsidRDefault="0CCF0E68" w14:paraId="41FE0685" w14:textId="3740DB5A">
            <w:pPr>
              <w:spacing w:before="240" w:beforeAutospacing="off" w:after="240" w:afterAutospacing="off"/>
              <w:jc w:val="center"/>
            </w:pPr>
            <w:r w:rsidRPr="0CCF0E68" w:rsidR="0CCF0E68">
              <w:rPr>
                <w:b w:val="1"/>
                <w:bCs w:val="1"/>
                <w:color w:val="000000" w:themeColor="text1" w:themeTint="FF" w:themeShade="FF"/>
              </w:rPr>
              <w:t>Equation</w:t>
            </w:r>
          </w:p>
        </w:tc>
        <w:tc>
          <w:tcPr>
            <w:tcW w:w="4170" w:type="dxa"/>
            <w:tcBorders>
              <w:top w:val="single" w:sz="6"/>
              <w:left w:val="single" w:sz="6"/>
              <w:bottom w:val="single" w:sz="6"/>
              <w:right w:val="single" w:sz="6"/>
            </w:tcBorders>
            <w:tcMar>
              <w:top w:w="120" w:type="dxa"/>
              <w:left w:w="180" w:type="dxa"/>
              <w:bottom w:w="120" w:type="dxa"/>
              <w:right w:w="180" w:type="dxa"/>
            </w:tcMar>
            <w:vAlign w:val="center"/>
          </w:tcPr>
          <w:p w:rsidR="0CCF0E68" w:rsidP="0CCF0E68" w:rsidRDefault="0CCF0E68" w14:paraId="7F986747" w14:textId="021CA87C">
            <w:pPr>
              <w:spacing w:before="240" w:beforeAutospacing="off" w:after="240" w:afterAutospacing="off"/>
              <w:jc w:val="center"/>
            </w:pPr>
            <w:r w:rsidRPr="0CCF0E68" w:rsidR="0CCF0E68">
              <w:rPr>
                <w:b w:val="1"/>
                <w:bCs w:val="1"/>
                <w:color w:val="000000" w:themeColor="text1" w:themeTint="FF" w:themeShade="FF"/>
              </w:rPr>
              <w:t>Interpretation</w:t>
            </w:r>
          </w:p>
        </w:tc>
      </w:tr>
      <w:tr w:rsidR="0CCF0E68" w:rsidTr="625BFF3B" w14:paraId="085129FB">
        <w:trPr>
          <w:trHeight w:val="300"/>
        </w:trPr>
        <w:tc>
          <w:tcPr>
            <w:tcW w:w="1620" w:type="dxa"/>
            <w:tcBorders>
              <w:top w:val="single" w:sz="6"/>
              <w:left w:val="single" w:sz="6"/>
              <w:bottom w:val="single" w:sz="6"/>
              <w:right w:val="single" w:sz="6"/>
            </w:tcBorders>
            <w:tcMar>
              <w:top w:w="120" w:type="dxa"/>
              <w:left w:w="180" w:type="dxa"/>
              <w:bottom w:w="120" w:type="dxa"/>
              <w:right w:w="180" w:type="dxa"/>
            </w:tcMar>
            <w:vAlign w:val="center"/>
          </w:tcPr>
          <w:p w:rsidR="0CCF0E68" w:rsidP="0CCF0E68" w:rsidRDefault="0CCF0E68" w14:paraId="33399F97" w14:textId="5CE46637">
            <w:pPr>
              <w:spacing w:before="240" w:beforeAutospacing="off" w:after="240" w:afterAutospacing="off"/>
            </w:pPr>
            <w:r w:rsidRPr="0CCF0E68" w:rsidR="0CCF0E68">
              <w:rPr>
                <w:color w:val="000000" w:themeColor="text1" w:themeTint="FF" w:themeShade="FF"/>
              </w:rPr>
              <w:t>Root Mean Square Error (RMSE)</w:t>
            </w:r>
          </w:p>
        </w:tc>
        <w:tc>
          <w:tcPr>
            <w:tcW w:w="1980" w:type="dxa"/>
            <w:tcBorders>
              <w:top w:val="single" w:sz="6"/>
              <w:left w:val="single" w:sz="6"/>
              <w:bottom w:val="single" w:sz="6"/>
              <w:right w:val="single" w:sz="6"/>
            </w:tcBorders>
            <w:tcMar>
              <w:top w:w="120" w:type="dxa"/>
              <w:left w:w="180" w:type="dxa"/>
              <w:bottom w:w="120" w:type="dxa"/>
              <w:right w:w="180" w:type="dxa"/>
            </w:tcMar>
            <w:vAlign w:val="center"/>
          </w:tcPr>
          <w:p w:rsidR="0CCF0E68" w:rsidP="625BFF3B" w:rsidRDefault="0CCF0E68" w14:paraId="29635FEE" w14:textId="49A030AC">
            <w:pPr>
              <w:pStyle w:val="Normal"/>
              <w:spacing w:before="240" w:beforeAutospacing="off" w:after="240" w:afterAutospacing="off"/>
            </w:pPr>
            <w:r w:rsidRPr="625BFF3B" w:rsidR="3A16B1B9">
              <w:rPr>
                <w:color w:val="000000" w:themeColor="text1" w:themeTint="FF" w:themeShade="FF"/>
              </w:rPr>
              <w:t>RMSE measures the square root of the average squared difference between the actual and predicted RUL values.</w:t>
            </w:r>
            <w:r w:rsidRPr="625BFF3B" w:rsidR="3A16B1B9">
              <w:rPr>
                <w:color w:val="000000" w:themeColor="text1" w:themeTint="FF" w:themeShade="FF"/>
              </w:rPr>
              <w:t xml:space="preserve"> It gives greater weight to large prediction errors.</w:t>
            </w:r>
          </w:p>
        </w:tc>
        <w:tc>
          <w:tcPr>
            <w:tcW w:w="3435" w:type="dxa"/>
            <w:tcBorders>
              <w:top w:val="single" w:sz="6"/>
              <w:left w:val="single" w:sz="6"/>
              <w:bottom w:val="single" w:sz="6"/>
              <w:right w:val="single" w:sz="6"/>
            </w:tcBorders>
            <w:tcMar>
              <w:top w:w="120" w:type="dxa"/>
              <w:left w:w="180" w:type="dxa"/>
              <w:bottom w:w="120" w:type="dxa"/>
              <w:right w:w="180" w:type="dxa"/>
            </w:tcMar>
            <w:vAlign w:val="center"/>
          </w:tcPr>
          <w:p w:rsidR="0CCF0E68" w:rsidP="625BFF3B" w:rsidRDefault="0CCF0E68" w14:paraId="4F299C8E" w14:textId="7D949E27">
            <w:pPr>
              <w:pStyle w:val="Normal"/>
              <w:spacing w:before="240" w:beforeAutospacing="off" w:after="240" w:afterAutospacing="off"/>
            </w:pPr>
            <w:r w:rsidRPr="625BFF3B" w:rsidR="3A16B1B9">
              <w:rPr>
                <w:color w:val="000000" w:themeColor="text1" w:themeTint="FF" w:themeShade="FF"/>
              </w:rPr>
              <w:t xml:space="preserve">RMSE = </w:t>
            </w:r>
            <w:r w:rsidRPr="625BFF3B" w:rsidR="3A16B1B9">
              <w:rPr>
                <w:color w:val="000000" w:themeColor="text1" w:themeTint="FF" w:themeShade="FF"/>
              </w:rPr>
              <w:t>√[</w:t>
            </w:r>
            <w:r w:rsidRPr="625BFF3B" w:rsidR="3A16B1B9">
              <w:rPr>
                <w:color w:val="000000" w:themeColor="text1" w:themeTint="FF" w:themeShade="FF"/>
              </w:rPr>
              <w:t>(1</w:t>
            </w:r>
            <w:r w:rsidRPr="625BFF3B" w:rsidR="3A16B1B9">
              <w:rPr>
                <w:color w:val="000000" w:themeColor="text1" w:themeTint="FF" w:themeShade="FF"/>
              </w:rPr>
              <w:t xml:space="preserve">/n) Σᵢ₌₁ⁿ (yᵢ − </w:t>
            </w:r>
            <w:r w:rsidRPr="625BFF3B" w:rsidR="3A16B1B9">
              <w:rPr>
                <w:color w:val="000000" w:themeColor="text1" w:themeTint="FF" w:themeShade="FF"/>
              </w:rPr>
              <w:t>ŷᵢ)²</w:t>
            </w:r>
            <w:r w:rsidRPr="625BFF3B" w:rsidR="3A16B1B9">
              <w:rPr>
                <w:color w:val="000000" w:themeColor="text1" w:themeTint="FF" w:themeShade="FF"/>
              </w:rPr>
              <w:t>]</w:t>
            </w:r>
          </w:p>
        </w:tc>
        <w:tc>
          <w:tcPr>
            <w:tcW w:w="4170" w:type="dxa"/>
            <w:tcBorders>
              <w:top w:val="single" w:sz="6"/>
              <w:left w:val="single" w:sz="6"/>
              <w:bottom w:val="single" w:sz="6"/>
              <w:right w:val="single" w:sz="6"/>
            </w:tcBorders>
            <w:tcMar>
              <w:top w:w="120" w:type="dxa"/>
              <w:left w:w="180" w:type="dxa"/>
              <w:bottom w:w="120" w:type="dxa"/>
              <w:right w:w="180" w:type="dxa"/>
            </w:tcMar>
            <w:vAlign w:val="center"/>
          </w:tcPr>
          <w:p w:rsidR="0CCF0E68" w:rsidP="0CCF0E68" w:rsidRDefault="0CCF0E68" w14:paraId="196DFDBF" w14:textId="3C0E2BF6">
            <w:pPr>
              <w:spacing w:before="240" w:beforeAutospacing="off" w:after="240" w:afterAutospacing="off"/>
            </w:pPr>
            <w:r w:rsidRPr="0CCF0E68" w:rsidR="0CCF0E68">
              <w:rPr>
                <w:color w:val="000000" w:themeColor="text1" w:themeTint="FF" w:themeShade="FF"/>
              </w:rPr>
              <w:t>A lower RMSE indicates better prediction accuracy.</w:t>
            </w:r>
          </w:p>
        </w:tc>
      </w:tr>
      <w:tr w:rsidR="0CCF0E68" w:rsidTr="625BFF3B" w14:paraId="54DEE6F7">
        <w:trPr>
          <w:trHeight w:val="300"/>
        </w:trPr>
        <w:tc>
          <w:tcPr>
            <w:tcW w:w="1620" w:type="dxa"/>
            <w:tcBorders>
              <w:top w:val="single" w:sz="6"/>
              <w:left w:val="single" w:sz="6"/>
              <w:bottom w:val="single" w:sz="6"/>
              <w:right w:val="single" w:sz="6"/>
            </w:tcBorders>
            <w:tcMar>
              <w:top w:w="120" w:type="dxa"/>
              <w:left w:w="180" w:type="dxa"/>
              <w:bottom w:w="120" w:type="dxa"/>
              <w:right w:w="180" w:type="dxa"/>
            </w:tcMar>
            <w:vAlign w:val="center"/>
          </w:tcPr>
          <w:p w:rsidR="0CCF0E68" w:rsidP="0CCF0E68" w:rsidRDefault="0CCF0E68" w14:paraId="1948FDAC" w14:textId="286F5FF0">
            <w:pPr>
              <w:spacing w:before="240" w:beforeAutospacing="off" w:after="240" w:afterAutospacing="off"/>
            </w:pPr>
            <w:r w:rsidRPr="0CCF0E68" w:rsidR="0CCF0E68">
              <w:rPr>
                <w:color w:val="000000" w:themeColor="text1" w:themeTint="FF" w:themeShade="FF"/>
              </w:rPr>
              <w:t>Mean Absolute Error (MAE)</w:t>
            </w:r>
          </w:p>
        </w:tc>
        <w:tc>
          <w:tcPr>
            <w:tcW w:w="1980" w:type="dxa"/>
            <w:tcBorders>
              <w:top w:val="single" w:sz="6"/>
              <w:left w:val="single" w:sz="6"/>
              <w:bottom w:val="single" w:sz="6"/>
              <w:right w:val="single" w:sz="6"/>
            </w:tcBorders>
            <w:tcMar>
              <w:top w:w="120" w:type="dxa"/>
              <w:left w:w="180" w:type="dxa"/>
              <w:bottom w:w="120" w:type="dxa"/>
              <w:right w:w="180" w:type="dxa"/>
            </w:tcMar>
            <w:vAlign w:val="center"/>
          </w:tcPr>
          <w:p w:rsidR="0CCF0E68" w:rsidP="625BFF3B" w:rsidRDefault="0CCF0E68" w14:paraId="43DD01A7" w14:textId="0CDAA9BE">
            <w:pPr>
              <w:pStyle w:val="Normal"/>
              <w:spacing w:before="240" w:beforeAutospacing="off" w:after="240" w:afterAutospacing="off"/>
            </w:pPr>
            <w:r w:rsidRPr="625BFF3B" w:rsidR="3A16B1B9">
              <w:rPr>
                <w:color w:val="000000" w:themeColor="text1" w:themeTint="FF" w:themeShade="FF"/>
              </w:rPr>
              <w:t>MAE measures the average absolute difference betw</w:t>
            </w:r>
            <w:r w:rsidRPr="625BFF3B" w:rsidR="3A16B1B9">
              <w:rPr>
                <w:color w:val="000000" w:themeColor="text1" w:themeTint="FF" w:themeShade="FF"/>
              </w:rPr>
              <w:t>een the actual and predicted RUL values.</w:t>
            </w:r>
          </w:p>
        </w:tc>
        <w:tc>
          <w:tcPr>
            <w:tcW w:w="3435" w:type="dxa"/>
            <w:tcBorders>
              <w:top w:val="single" w:sz="6"/>
              <w:left w:val="single" w:sz="6"/>
              <w:bottom w:val="single" w:sz="6"/>
              <w:right w:val="single" w:sz="6"/>
            </w:tcBorders>
            <w:tcMar>
              <w:top w:w="120" w:type="dxa"/>
              <w:left w:w="180" w:type="dxa"/>
              <w:bottom w:w="120" w:type="dxa"/>
              <w:right w:w="180" w:type="dxa"/>
            </w:tcMar>
            <w:vAlign w:val="center"/>
          </w:tcPr>
          <w:p w:rsidR="0CCF0E68" w:rsidP="0CCF0E68" w:rsidRDefault="0CCF0E68" w14:paraId="6A42124D" w14:textId="204F4021">
            <w:pPr>
              <w:spacing w:before="240" w:beforeAutospacing="off" w:after="240" w:afterAutospacing="off"/>
            </w:pPr>
            <w:r w:rsidRPr="0CCF0E68" w:rsidR="0CCF0E68">
              <w:rPr>
                <w:color w:val="000000" w:themeColor="text1" w:themeTint="FF" w:themeShade="FF"/>
              </w:rPr>
              <w:t>MAE = (1/n) Σᵢ₌₁ⁿ |yᵢ − ŷᵢ|</w:t>
            </w:r>
          </w:p>
        </w:tc>
        <w:tc>
          <w:tcPr>
            <w:tcW w:w="4170" w:type="dxa"/>
            <w:tcBorders>
              <w:top w:val="single" w:sz="6"/>
              <w:left w:val="single" w:sz="6"/>
              <w:bottom w:val="single" w:sz="6"/>
              <w:right w:val="single" w:sz="6"/>
            </w:tcBorders>
            <w:tcMar>
              <w:top w:w="120" w:type="dxa"/>
              <w:left w:w="180" w:type="dxa"/>
              <w:bottom w:w="120" w:type="dxa"/>
              <w:right w:w="180" w:type="dxa"/>
            </w:tcMar>
            <w:vAlign w:val="center"/>
          </w:tcPr>
          <w:p w:rsidR="0CCF0E68" w:rsidP="0CCF0E68" w:rsidRDefault="0CCF0E68" w14:paraId="333E020C" w14:textId="6AC35B99">
            <w:pPr>
              <w:spacing w:before="240" w:beforeAutospacing="off" w:after="240" w:afterAutospacing="off"/>
            </w:pPr>
            <w:r w:rsidRPr="0CCF0E68" w:rsidR="0CCF0E68">
              <w:rPr>
                <w:color w:val="000000" w:themeColor="text1" w:themeTint="FF" w:themeShade="FF"/>
              </w:rPr>
              <w:t>A lower MAE indicates smaller average prediction errors.</w:t>
            </w:r>
          </w:p>
        </w:tc>
      </w:tr>
      <w:tr w:rsidR="0CCF0E68" w:rsidTr="625BFF3B" w14:paraId="2542731B">
        <w:trPr>
          <w:trHeight w:val="300"/>
        </w:trPr>
        <w:tc>
          <w:tcPr>
            <w:tcW w:w="1620" w:type="dxa"/>
            <w:tcBorders>
              <w:top w:val="single" w:sz="6"/>
              <w:left w:val="single" w:sz="6"/>
              <w:bottom w:val="single" w:sz="6"/>
              <w:right w:val="single" w:sz="6"/>
            </w:tcBorders>
            <w:tcMar>
              <w:top w:w="120" w:type="dxa"/>
              <w:left w:w="180" w:type="dxa"/>
              <w:bottom w:w="120" w:type="dxa"/>
              <w:right w:w="180" w:type="dxa"/>
            </w:tcMar>
            <w:vAlign w:val="center"/>
          </w:tcPr>
          <w:p w:rsidR="0CCF0E68" w:rsidP="0CCF0E68" w:rsidRDefault="0CCF0E68" w14:paraId="26FAB770" w14:textId="7036EDA1">
            <w:pPr>
              <w:spacing w:before="240" w:beforeAutospacing="off" w:after="240" w:afterAutospacing="off"/>
            </w:pPr>
            <w:r w:rsidRPr="0CCF0E68" w:rsidR="0CCF0E68">
              <w:rPr>
                <w:color w:val="000000" w:themeColor="text1" w:themeTint="FF" w:themeShade="FF"/>
              </w:rPr>
              <w:t>R-squared (R²)</w:t>
            </w:r>
          </w:p>
        </w:tc>
        <w:tc>
          <w:tcPr>
            <w:tcW w:w="1980" w:type="dxa"/>
            <w:tcBorders>
              <w:top w:val="single" w:sz="6"/>
              <w:left w:val="single" w:sz="6"/>
              <w:bottom w:val="single" w:sz="6"/>
              <w:right w:val="single" w:sz="6"/>
            </w:tcBorders>
            <w:tcMar>
              <w:top w:w="120" w:type="dxa"/>
              <w:left w:w="180" w:type="dxa"/>
              <w:bottom w:w="120" w:type="dxa"/>
              <w:right w:w="180" w:type="dxa"/>
            </w:tcMar>
            <w:vAlign w:val="center"/>
          </w:tcPr>
          <w:p w:rsidR="0CCF0E68" w:rsidP="0CCF0E68" w:rsidRDefault="0CCF0E68" w14:paraId="538D0C62" w14:textId="2396189F">
            <w:pPr>
              <w:spacing w:before="240" w:beforeAutospacing="off" w:after="240" w:afterAutospacing="off"/>
            </w:pPr>
            <w:r w:rsidRPr="0CCF0E68" w:rsidR="0CCF0E68">
              <w:rPr>
                <w:color w:val="000000" w:themeColor="text1" w:themeTint="FF" w:themeShade="FF"/>
              </w:rPr>
              <w:t>R² measures the proportion of variation in the actual RUL values that can be explained by the prediction model.</w:t>
            </w:r>
          </w:p>
        </w:tc>
        <w:tc>
          <w:tcPr>
            <w:tcW w:w="3435" w:type="dxa"/>
            <w:tcBorders>
              <w:top w:val="single" w:sz="6"/>
              <w:left w:val="single" w:sz="6"/>
              <w:bottom w:val="single" w:sz="6"/>
              <w:right w:val="single" w:sz="6"/>
            </w:tcBorders>
            <w:tcMar>
              <w:top w:w="120" w:type="dxa"/>
              <w:left w:w="180" w:type="dxa"/>
              <w:bottom w:w="120" w:type="dxa"/>
              <w:right w:w="180" w:type="dxa"/>
            </w:tcMar>
            <w:vAlign w:val="center"/>
          </w:tcPr>
          <w:p w:rsidR="0CCF0E68" w:rsidP="0CCF0E68" w:rsidRDefault="0CCF0E68" w14:paraId="46237102" w14:textId="550BC626">
            <w:pPr>
              <w:spacing w:before="240" w:beforeAutospacing="off" w:after="240" w:afterAutospacing="off"/>
            </w:pPr>
            <w:r w:rsidRPr="0CCF0E68" w:rsidR="0CCF0E68">
              <w:rPr>
                <w:color w:val="000000" w:themeColor="text1" w:themeTint="FF" w:themeShade="FF"/>
              </w:rPr>
              <w:t>R² = 1 − [Σᵢ₌₁ⁿ (yᵢ − ŷᵢ)² / Σᵢ₌₁ⁿ (yᵢ − ȳ)²]</w:t>
            </w:r>
          </w:p>
        </w:tc>
        <w:tc>
          <w:tcPr>
            <w:tcW w:w="4170" w:type="dxa"/>
            <w:tcBorders>
              <w:top w:val="single" w:sz="6"/>
              <w:left w:val="single" w:sz="6"/>
              <w:bottom w:val="single" w:sz="6"/>
              <w:right w:val="single" w:sz="6"/>
            </w:tcBorders>
            <w:tcMar>
              <w:top w:w="120" w:type="dxa"/>
              <w:left w:w="180" w:type="dxa"/>
              <w:bottom w:w="120" w:type="dxa"/>
              <w:right w:w="180" w:type="dxa"/>
            </w:tcMar>
            <w:vAlign w:val="center"/>
          </w:tcPr>
          <w:p w:rsidR="0CCF0E68" w:rsidP="625BFF3B" w:rsidRDefault="0CCF0E68" w14:paraId="70CF2EB7" w14:textId="6748B5A9">
            <w:pPr>
              <w:pStyle w:val="Normal"/>
              <w:spacing w:before="240" w:beforeAutospacing="off" w:after="240" w:afterAutospacing="off"/>
            </w:pPr>
            <w:r w:rsidRPr="625BFF3B" w:rsidR="3A16B1B9">
              <w:rPr>
                <w:color w:val="000000" w:themeColor="text1" w:themeTint="FF" w:themeShade="FF"/>
              </w:rPr>
              <w:t xml:space="preserve">A value closer to 1 usually </w:t>
            </w:r>
            <w:r w:rsidRPr="625BFF3B" w:rsidR="3A16B1B9">
              <w:rPr>
                <w:color w:val="000000" w:themeColor="text1" w:themeTint="FF" w:themeShade="FF"/>
              </w:rPr>
              <w:t>indicates</w:t>
            </w:r>
            <w:r w:rsidRPr="625BFF3B" w:rsidR="3A16B1B9">
              <w:rPr>
                <w:color w:val="000000" w:themeColor="text1" w:themeTint="FF" w:themeShade="FF"/>
              </w:rPr>
              <w:t xml:space="preserve"> a better mo</w:t>
            </w:r>
            <w:r w:rsidRPr="625BFF3B" w:rsidR="3A16B1B9">
              <w:rPr>
                <w:color w:val="000000" w:themeColor="text1" w:themeTint="FF" w:themeShade="FF"/>
              </w:rPr>
              <w:t>del fit.</w:t>
            </w:r>
          </w:p>
        </w:tc>
      </w:tr>
      <w:tr w:rsidR="0CCF0E68" w:rsidTr="625BFF3B" w14:paraId="06E9CD32">
        <w:trPr>
          <w:trHeight w:val="300"/>
        </w:trPr>
        <w:tc>
          <w:tcPr>
            <w:tcW w:w="1620" w:type="dxa"/>
            <w:tcBorders>
              <w:top w:val="single" w:sz="6"/>
              <w:left w:val="single" w:sz="6"/>
              <w:bottom w:val="single" w:sz="6"/>
              <w:right w:val="single" w:sz="6"/>
            </w:tcBorders>
            <w:tcMar>
              <w:top w:w="120" w:type="dxa"/>
              <w:left w:w="180" w:type="dxa"/>
              <w:bottom w:w="120" w:type="dxa"/>
              <w:right w:w="180" w:type="dxa"/>
            </w:tcMar>
            <w:vAlign w:val="center"/>
          </w:tcPr>
          <w:p w:rsidR="0CCF0E68" w:rsidP="0CCF0E68" w:rsidRDefault="0CCF0E68" w14:paraId="2130CED6" w14:textId="25625021">
            <w:pPr>
              <w:spacing w:before="240" w:beforeAutospacing="off" w:after="240" w:afterAutospacing="off"/>
            </w:pPr>
            <w:r w:rsidRPr="0CCF0E68" w:rsidR="0CCF0E68">
              <w:rPr>
                <w:color w:val="000000" w:themeColor="text1" w:themeTint="FF" w:themeShade="FF"/>
              </w:rPr>
              <w:t>RUL Score</w:t>
            </w:r>
          </w:p>
        </w:tc>
        <w:tc>
          <w:tcPr>
            <w:tcW w:w="1980" w:type="dxa"/>
            <w:tcBorders>
              <w:top w:val="single" w:sz="6"/>
              <w:left w:val="single" w:sz="6"/>
              <w:bottom w:val="single" w:sz="6"/>
              <w:right w:val="single" w:sz="6"/>
            </w:tcBorders>
            <w:tcMar>
              <w:top w:w="120" w:type="dxa"/>
              <w:left w:w="180" w:type="dxa"/>
              <w:bottom w:w="120" w:type="dxa"/>
              <w:right w:w="180" w:type="dxa"/>
            </w:tcMar>
            <w:vAlign w:val="center"/>
          </w:tcPr>
          <w:p w:rsidR="0CCF0E68" w:rsidP="625BFF3B" w:rsidRDefault="0CCF0E68" w14:paraId="569F3B91" w14:textId="5EDD731F">
            <w:pPr>
              <w:pStyle w:val="Normal"/>
              <w:spacing w:before="240" w:beforeAutospacing="off" w:after="240" w:afterAutospacing="off"/>
            </w:pPr>
            <w:r w:rsidRPr="625BFF3B" w:rsidR="3A16B1B9">
              <w:rPr>
                <w:color w:val="000000" w:themeColor="text1" w:themeTint="FF" w:themeShade="FF"/>
              </w:rPr>
              <w:t>RUL Score is an asymmetric evaluation method that</w:t>
            </w:r>
            <w:r w:rsidRPr="625BFF3B" w:rsidR="3A16B1B9">
              <w:rPr>
                <w:color w:val="000000" w:themeColor="text1" w:themeTint="FF" w:themeShade="FF"/>
              </w:rPr>
              <w:t xml:space="preserve"> applies different penalties to early and late RUL predictions. Late predictions usually receive a larger penalty because they may delay maintenance.</w:t>
            </w:r>
          </w:p>
        </w:tc>
        <w:tc>
          <w:tcPr>
            <w:tcW w:w="3435" w:type="dxa"/>
            <w:tcBorders>
              <w:top w:val="single" w:sz="6"/>
              <w:left w:val="single" w:sz="6"/>
              <w:bottom w:val="single" w:sz="6"/>
              <w:right w:val="single" w:sz="6"/>
            </w:tcBorders>
            <w:tcMar>
              <w:top w:w="120" w:type="dxa"/>
              <w:left w:w="180" w:type="dxa"/>
              <w:bottom w:w="120" w:type="dxa"/>
              <w:right w:w="180" w:type="dxa"/>
            </w:tcMar>
            <w:vAlign w:val="center"/>
          </w:tcPr>
          <w:p w:rsidR="0CCF0E68" w:rsidP="0CCF0E68" w:rsidRDefault="0CCF0E68" w14:paraId="71ACD323" w14:textId="226581A5">
            <w:pPr>
              <w:spacing w:before="240" w:beforeAutospacing="off" w:after="240" w:afterAutospacing="off"/>
            </w:pPr>
            <w:r w:rsidRPr="0CCF0E68" w:rsidR="0CCF0E68">
              <w:rPr>
                <w:color w:val="000000" w:themeColor="text1" w:themeTint="FF" w:themeShade="FF"/>
              </w:rPr>
              <w:t>Score = Σᵢ₌₁ⁿ sᵢ</w:t>
            </w:r>
          </w:p>
        </w:tc>
        <w:tc>
          <w:tcPr>
            <w:tcW w:w="4170" w:type="dxa"/>
            <w:tcBorders>
              <w:top w:val="single" w:sz="6"/>
              <w:left w:val="single" w:sz="6"/>
              <w:bottom w:val="single" w:sz="6"/>
              <w:right w:val="single" w:sz="6"/>
            </w:tcBorders>
            <w:tcMar>
              <w:top w:w="120" w:type="dxa"/>
              <w:left w:w="180" w:type="dxa"/>
              <w:bottom w:w="120" w:type="dxa"/>
              <w:right w:w="180" w:type="dxa"/>
            </w:tcMar>
            <w:vAlign w:val="center"/>
          </w:tcPr>
          <w:p w:rsidR="0CCF0E68" w:rsidP="0CCF0E68" w:rsidRDefault="0CCF0E68" w14:paraId="0F208D78" w14:textId="5329BE52">
            <w:pPr>
              <w:spacing w:before="240" w:beforeAutospacing="off" w:after="240" w:afterAutospacing="off"/>
            </w:pPr>
            <w:r w:rsidRPr="0CCF0E68" w:rsidR="0CCF0E68">
              <w:rPr>
                <w:color w:val="000000" w:themeColor="text1" w:themeTint="FF" w:themeShade="FF"/>
              </w:rPr>
              <w:t>A lower Score indicates better performance.</w:t>
            </w:r>
          </w:p>
        </w:tc>
      </w:tr>
    </w:tbl>
    <w:p w:rsidR="0CCF0E68" w:rsidP="0CCF0E68" w:rsidRDefault="0CCF0E68" w14:paraId="7F96678E" w14:textId="44558774">
      <w:pPr>
        <w:pStyle w:val="Heading2"/>
        <w:rPr>
          <w:color w:val="auto"/>
        </w:rPr>
      </w:pPr>
    </w:p>
    <w:p w:rsidR="00735EDD" w:rsidRDefault="005C6829" w14:paraId="6D78311A" w14:textId="77777777">
      <w:r w:rsidR="21C411D1">
        <w:rPr/>
        <w:t>Model performance is commonly evaluated using RMSE, MAE, R², and RUL Score. Lower RMSE and MAE indicate better prediction accuracy, while higher R² indicates better model fitting [1]–[15].</w:t>
      </w:r>
    </w:p>
    <w:p w:rsidR="625BFF3B" w:rsidP="625BFF3B" w:rsidRDefault="625BFF3B" w14:paraId="609307E1" w14:textId="72922F5C">
      <w:pPr>
        <w:pStyle w:val="Normal"/>
      </w:pPr>
    </w:p>
    <w:p w:rsidR="423DB4F1" w:rsidP="625BFF3B" w:rsidRDefault="423DB4F1" w14:paraId="4E811DB3" w14:textId="719D77EC">
      <w:pPr>
        <w:pStyle w:val="Normal"/>
        <w:rPr>
          <w:rFonts w:ascii="Aptos" w:hAnsi="Aptos" w:eastAsia="Aptos" w:cs="Aptos"/>
          <w:b w:val="1"/>
          <w:bCs w:val="1"/>
          <w:noProof w:val="0"/>
          <w:color w:val="000000" w:themeColor="text1" w:themeTint="FF" w:themeShade="FF"/>
          <w:sz w:val="24"/>
          <w:szCs w:val="24"/>
          <w:lang w:val="en-US"/>
        </w:rPr>
      </w:pPr>
      <w:r w:rsidRPr="625BFF3B" w:rsidR="423DB4F1">
        <w:rPr>
          <w:rFonts w:ascii="Calibri" w:hAnsi="Calibri" w:eastAsia="Calibri" w:cs="Calibri"/>
          <w:b w:val="1"/>
          <w:bCs w:val="1"/>
          <w:noProof w:val="0"/>
          <w:color w:val="000000" w:themeColor="text1" w:themeTint="FF" w:themeShade="FF"/>
          <w:sz w:val="28"/>
          <w:szCs w:val="28"/>
          <w:lang w:val="en-US"/>
        </w:rPr>
        <w:t>Workflow Diagram</w:t>
      </w:r>
      <w:r>
        <w:br/>
      </w:r>
    </w:p>
    <w:p w:rsidR="43738327" w:rsidP="625BFF3B" w:rsidRDefault="43738327" w14:paraId="3D3B754F" w14:textId="438EEB68">
      <w:pPr>
        <w:pStyle w:val="Normal"/>
        <w:spacing w:before="240" w:after="240"/>
        <w:rPr>
          <w:color w:val="000000" w:themeColor="text1" w:themeTint="FF" w:themeShade="FF"/>
        </w:rPr>
      </w:pPr>
      <w:r w:rsidR="43738327">
        <w:drawing>
          <wp:inline wp14:editId="2DED0EA1" wp14:anchorId="23AB60D2">
            <wp:extent cx="5943600" cy="3343275"/>
            <wp:effectExtent l="0" t="0" r="0" b="0"/>
            <wp:docPr id="97669214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43084546" name="Picture 1443084546"/>
                    <pic:cNvPicPr/>
                  </pic:nvPicPr>
                  <pic:blipFill>
                    <a:blip xmlns:r="http://schemas.openxmlformats.org/officeDocument/2006/relationships" r:embed="rId1761209573">
                      <a:extLst>
                        <a:ext uri="{28A0092B-C50C-407E-A947-70E740481C1C}">
                          <a14:useLocalDpi xmlns:a14="http://schemas.microsoft.com/office/drawing/2010/main"/>
                        </a:ext>
                      </a:extLst>
                    </a:blip>
                    <a:stretch>
                      <a:fillRect/>
                    </a:stretch>
                  </pic:blipFill>
                  <pic:spPr>
                    <a:xfrm>
                      <a:off x="0" y="0"/>
                      <a:ext cx="5943600" cy="3343275"/>
                    </a:xfrm>
                    <a:prstGeom prst="rect">
                      <a:avLst/>
                    </a:prstGeom>
                  </pic:spPr>
                </pic:pic>
              </a:graphicData>
            </a:graphic>
          </wp:inline>
        </w:drawing>
      </w:r>
    </w:p>
    <w:p w:rsidR="625BFF3B" w:rsidP="625BFF3B" w:rsidRDefault="625BFF3B" w14:paraId="5979AE43" w14:textId="77520AC8">
      <w:pPr>
        <w:spacing w:before="240" w:after="240"/>
        <w:rPr>
          <w:rFonts w:ascii="Calibri" w:hAnsi="Calibri" w:cs="Calibri"/>
          <w:b w:val="1"/>
          <w:bCs w:val="1"/>
          <w:sz w:val="28"/>
          <w:szCs w:val="28"/>
        </w:rPr>
      </w:pPr>
    </w:p>
    <w:p w:rsidR="625BFF3B" w:rsidP="625BFF3B" w:rsidRDefault="625BFF3B" w14:paraId="4A45F537" w14:textId="1C0A4136">
      <w:pPr>
        <w:spacing w:before="240" w:after="240"/>
        <w:rPr>
          <w:rFonts w:ascii="Calibri" w:hAnsi="Calibri" w:cs="Calibri"/>
          <w:b w:val="1"/>
          <w:bCs w:val="1"/>
          <w:sz w:val="28"/>
          <w:szCs w:val="28"/>
        </w:rPr>
      </w:pPr>
    </w:p>
    <w:p w:rsidR="625BFF3B" w:rsidP="625BFF3B" w:rsidRDefault="625BFF3B" w14:paraId="4A9DE93D" w14:textId="7F64B2F4">
      <w:pPr>
        <w:spacing w:before="240" w:after="240"/>
        <w:rPr>
          <w:rFonts w:ascii="Calibri" w:hAnsi="Calibri" w:cs="Calibri"/>
          <w:b w:val="1"/>
          <w:bCs w:val="1"/>
          <w:sz w:val="28"/>
          <w:szCs w:val="28"/>
        </w:rPr>
      </w:pPr>
    </w:p>
    <w:p w:rsidR="625BFF3B" w:rsidP="625BFF3B" w:rsidRDefault="625BFF3B" w14:paraId="1F24486A" w14:textId="5A6BD012">
      <w:pPr>
        <w:spacing w:before="240" w:after="240"/>
        <w:rPr>
          <w:rFonts w:ascii="Calibri" w:hAnsi="Calibri" w:cs="Calibri"/>
          <w:b w:val="1"/>
          <w:bCs w:val="1"/>
          <w:sz w:val="28"/>
          <w:szCs w:val="28"/>
        </w:rPr>
      </w:pPr>
    </w:p>
    <w:p w:rsidR="625BFF3B" w:rsidP="625BFF3B" w:rsidRDefault="625BFF3B" w14:paraId="1A415FBB" w14:textId="037AADD5">
      <w:pPr>
        <w:spacing w:before="240" w:after="240"/>
        <w:rPr>
          <w:rFonts w:ascii="Calibri" w:hAnsi="Calibri" w:cs="Calibri"/>
          <w:b w:val="1"/>
          <w:bCs w:val="1"/>
          <w:sz w:val="28"/>
          <w:szCs w:val="28"/>
        </w:rPr>
      </w:pPr>
    </w:p>
    <w:p w:rsidR="625BFF3B" w:rsidP="625BFF3B" w:rsidRDefault="625BFF3B" w14:paraId="38C45A2A" w14:textId="29719E60">
      <w:pPr>
        <w:spacing w:before="240" w:after="240"/>
        <w:rPr>
          <w:rFonts w:ascii="Calibri" w:hAnsi="Calibri" w:cs="Calibri"/>
          <w:b w:val="1"/>
          <w:bCs w:val="1"/>
          <w:sz w:val="28"/>
          <w:szCs w:val="28"/>
        </w:rPr>
      </w:pPr>
    </w:p>
    <w:p w:rsidR="625BFF3B" w:rsidP="625BFF3B" w:rsidRDefault="625BFF3B" w14:paraId="4E6A7B1A" w14:textId="68A0D127">
      <w:pPr>
        <w:spacing w:before="240" w:after="240"/>
        <w:rPr>
          <w:rFonts w:ascii="Calibri" w:hAnsi="Calibri" w:cs="Calibri"/>
          <w:b w:val="1"/>
          <w:bCs w:val="1"/>
          <w:sz w:val="28"/>
          <w:szCs w:val="28"/>
        </w:rPr>
      </w:pPr>
    </w:p>
    <w:p w:rsidRPr="00494494" w:rsidR="00F24372" w:rsidP="433642B3" w:rsidRDefault="08D67B24" w14:paraId="1D960672" w14:textId="3A07FCF8">
      <w:pPr>
        <w:spacing w:before="240" w:after="240"/>
        <w:rPr>
          <w:rFonts w:ascii="Calibri" w:hAnsi="Calibri" w:cs="Calibri"/>
          <w:b/>
          <w:bCs/>
          <w:sz w:val="28"/>
          <w:szCs w:val="28"/>
        </w:rPr>
      </w:pPr>
      <w:r w:rsidRPr="433642B3">
        <w:rPr>
          <w:rFonts w:ascii="Calibri" w:hAnsi="Calibri" w:cs="Calibri"/>
          <w:b/>
          <w:bCs/>
          <w:sz w:val="28"/>
          <w:szCs w:val="28"/>
        </w:rPr>
        <w:t xml:space="preserve">Table </w:t>
      </w:r>
    </w:p>
    <w:tbl>
      <w:tblPr>
        <w:tblStyle w:val="TableGrid"/>
        <w:tblW w:w="9359" w:type="dxa"/>
        <w:tblBorders>
          <w:top w:val="single" w:color="auto" w:sz="6" w:space="0"/>
          <w:left w:val="single" w:color="auto" w:sz="6" w:space="0"/>
          <w:bottom w:val="single" w:color="auto" w:sz="6" w:space="0"/>
          <w:right w:val="single" w:color="auto" w:sz="6" w:space="0"/>
        </w:tblBorders>
        <w:tblLook w:val="06A0" w:firstRow="1" w:lastRow="0" w:firstColumn="1" w:lastColumn="0" w:noHBand="1" w:noVBand="1"/>
      </w:tblPr>
      <w:tblGrid>
        <w:gridCol w:w="1023"/>
        <w:gridCol w:w="985"/>
        <w:gridCol w:w="835"/>
        <w:gridCol w:w="2327"/>
        <w:gridCol w:w="1086"/>
        <w:gridCol w:w="1086"/>
        <w:gridCol w:w="1087"/>
        <w:gridCol w:w="930"/>
      </w:tblGrid>
      <w:tr w:rsidR="433642B3" w:rsidTr="625BFF3B" w14:paraId="1D15F1EB" w14:textId="77777777">
        <w:trPr>
          <w:trHeight w:val="300"/>
        </w:trPr>
        <w:tc>
          <w:tcPr>
            <w:tcW w:w="1023"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5BEA067A" w14:textId="355800F6">
            <w:pPr>
              <w:spacing w:before="240" w:after="240"/>
              <w:jc w:val="center"/>
            </w:pPr>
            <w:r w:rsidRPr="433642B3">
              <w:rPr>
                <w:b/>
                <w:bCs/>
                <w:color w:val="000000" w:themeColor="text1"/>
              </w:rPr>
              <w:t>Paper</w:t>
            </w:r>
          </w:p>
        </w:tc>
        <w:tc>
          <w:tcPr>
            <w:tcW w:w="985"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15394F6A" w14:textId="26FC5C67">
            <w:pPr>
              <w:spacing w:before="240" w:after="240"/>
              <w:jc w:val="center"/>
            </w:pPr>
            <w:r w:rsidRPr="433642B3">
              <w:rPr>
                <w:b/>
                <w:bCs/>
                <w:color w:val="000000" w:themeColor="text1"/>
              </w:rPr>
              <w:t>All Models</w:t>
            </w:r>
          </w:p>
        </w:tc>
        <w:tc>
          <w:tcPr>
            <w:tcW w:w="835"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0E19519A" w14:textId="6379080F">
            <w:pPr>
              <w:spacing w:before="240" w:after="240"/>
              <w:jc w:val="center"/>
            </w:pPr>
            <w:r w:rsidRPr="433642B3">
              <w:rPr>
                <w:b/>
                <w:bCs/>
                <w:color w:val="000000" w:themeColor="text1"/>
              </w:rPr>
              <w:t>Datasets</w:t>
            </w:r>
          </w:p>
        </w:tc>
        <w:tc>
          <w:tcPr>
            <w:tcW w:w="2327"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2707D4B5" w14:textId="75634DA5">
            <w:pPr>
              <w:spacing w:before="240" w:after="240"/>
              <w:jc w:val="center"/>
            </w:pPr>
            <w:r w:rsidRPr="433642B3">
              <w:rPr>
                <w:b/>
                <w:bCs/>
                <w:color w:val="000000" w:themeColor="text1"/>
              </w:rPr>
              <w:t>Dataset Link</w:t>
            </w:r>
          </w:p>
        </w:tc>
        <w:tc>
          <w:tcPr>
            <w:tcW w:w="1086"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31B99D69" w14:textId="65CD0DA2">
            <w:pPr>
              <w:spacing w:before="240" w:after="240"/>
              <w:jc w:val="center"/>
            </w:pPr>
            <w:r w:rsidRPr="433642B3">
              <w:rPr>
                <w:b/>
                <w:bCs/>
                <w:color w:val="000000" w:themeColor="text1"/>
              </w:rPr>
              <w:t>Limitation</w:t>
            </w:r>
          </w:p>
        </w:tc>
        <w:tc>
          <w:tcPr>
            <w:tcW w:w="1086" w:type="dxa"/>
            <w:tcBorders>
              <w:top w:val="single" w:color="auto" w:sz="6"/>
              <w:left w:val="single" w:color="auto" w:sz="6"/>
              <w:bottom w:val="single" w:color="auto" w:sz="6"/>
              <w:right w:val="single" w:color="auto" w:sz="6"/>
            </w:tcBorders>
            <w:tcMar>
              <w:top w:w="120" w:type="dxa"/>
              <w:left w:w="180" w:type="dxa"/>
              <w:bottom w:w="120" w:type="dxa"/>
              <w:right w:w="180" w:type="dxa"/>
            </w:tcMar>
            <w:vAlign w:val="center"/>
          </w:tcPr>
          <w:p w:rsidR="625BFF3B" w:rsidP="625BFF3B" w:rsidRDefault="625BFF3B" w14:paraId="5FB98666" w14:textId="7EB78B50">
            <w:pPr>
              <w:pStyle w:val="Normal"/>
              <w:jc w:val="center"/>
              <w:rPr>
                <w:b w:val="1"/>
                <w:bCs w:val="1"/>
                <w:color w:val="000000" w:themeColor="text1" w:themeTint="FF" w:themeShade="FF"/>
              </w:rPr>
            </w:pPr>
          </w:p>
        </w:tc>
        <w:tc>
          <w:tcPr>
            <w:tcW w:w="1087"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595F83F1" w14:textId="26669BC2">
            <w:pPr>
              <w:spacing w:before="240" w:after="240"/>
              <w:jc w:val="center"/>
            </w:pPr>
            <w:r w:rsidRPr="433642B3">
              <w:rPr>
                <w:b/>
                <w:bCs/>
                <w:color w:val="000000" w:themeColor="text1"/>
              </w:rPr>
              <w:t>Best Model</w:t>
            </w:r>
          </w:p>
        </w:tc>
        <w:tc>
          <w:tcPr>
            <w:tcW w:w="930"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240F4387" w14:textId="47582FA6">
            <w:pPr>
              <w:spacing w:before="240" w:after="240"/>
              <w:jc w:val="center"/>
            </w:pPr>
            <w:r w:rsidRPr="433642B3">
              <w:rPr>
                <w:b/>
                <w:bCs/>
                <w:color w:val="000000" w:themeColor="text1"/>
              </w:rPr>
              <w:t>Results</w:t>
            </w:r>
          </w:p>
        </w:tc>
      </w:tr>
      <w:tr w:rsidR="433642B3" w:rsidTr="625BFF3B" w14:paraId="5F6E4977" w14:textId="77777777">
        <w:trPr>
          <w:trHeight w:val="300"/>
        </w:trPr>
        <w:tc>
          <w:tcPr>
            <w:tcW w:w="1023"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60F7F9BD" w14:textId="63852D95">
            <w:pPr>
              <w:spacing w:before="240" w:after="240"/>
            </w:pPr>
            <w:r w:rsidRPr="433642B3">
              <w:rPr>
                <w:b/>
                <w:bCs/>
                <w:color w:val="000000" w:themeColor="text1"/>
              </w:rPr>
              <w:t>Deng and Zhou [1]</w:t>
            </w:r>
          </w:p>
        </w:tc>
        <w:tc>
          <w:tcPr>
            <w:tcW w:w="985"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27E46D22" w14:textId="131AE330">
            <w:pPr>
              <w:spacing w:before="240" w:after="240"/>
            </w:pPr>
            <w:r w:rsidRPr="433642B3">
              <w:rPr>
                <w:color w:val="000000" w:themeColor="text1"/>
              </w:rPr>
              <w:t>CNN, LSTM, CNN-LSTM, BP, GRU, CNN-GRU, DCNN, TCN</w:t>
            </w:r>
          </w:p>
        </w:tc>
        <w:tc>
          <w:tcPr>
            <w:tcW w:w="835"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09772E4D" w14:textId="3E75CBE6">
            <w:pPr>
              <w:spacing w:before="240" w:after="240"/>
            </w:pPr>
            <w:r w:rsidRPr="433642B3">
              <w:rPr>
                <w:color w:val="000000" w:themeColor="text1"/>
              </w:rPr>
              <w:t>NASA C-MAPSS FD001, FD002, FD003, FD004</w:t>
            </w:r>
          </w:p>
        </w:tc>
        <w:tc>
          <w:tcPr>
            <w:tcW w:w="2327"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68A6007F" w14:textId="1301DF31">
            <w:pPr>
              <w:spacing w:before="240" w:after="240"/>
            </w:pPr>
            <w:hyperlink r:id="rId5">
              <w:r w:rsidRPr="433642B3">
                <w:rPr>
                  <w:rStyle w:val="Hyperlink"/>
                </w:rPr>
                <w:t>https://data.nasa.gov/dataset/cmapss-jet-engine-simulated-data</w:t>
              </w:r>
            </w:hyperlink>
          </w:p>
        </w:tc>
        <w:tc>
          <w:tcPr>
            <w:tcW w:w="1086"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51E2AEA0" w14:textId="4FD95F6C">
            <w:pPr>
              <w:spacing w:before="240" w:after="240"/>
            </w:pPr>
            <w:r w:rsidRPr="433642B3">
              <w:rPr>
                <w:color w:val="000000" w:themeColor="text1"/>
              </w:rPr>
              <w:t>The study focused mainly on RUL prediction and was tested only on simulated turbofan engine data.</w:t>
            </w:r>
          </w:p>
        </w:tc>
        <w:tc>
          <w:tcPr>
            <w:tcW w:w="1086" w:type="dxa"/>
            <w:tcBorders>
              <w:top w:val="single" w:color="auto" w:sz="6"/>
              <w:left w:val="single" w:color="auto" w:sz="6"/>
              <w:bottom w:val="single" w:color="auto" w:sz="6"/>
              <w:right w:val="single" w:color="auto" w:sz="6"/>
            </w:tcBorders>
            <w:tcMar>
              <w:top w:w="120" w:type="dxa"/>
              <w:left w:w="180" w:type="dxa"/>
              <w:bottom w:w="120" w:type="dxa"/>
              <w:right w:w="180" w:type="dxa"/>
            </w:tcMar>
            <w:vAlign w:val="center"/>
          </w:tcPr>
          <w:p w:rsidR="625BFF3B" w:rsidP="625BFF3B" w:rsidRDefault="625BFF3B" w14:paraId="6BC12343" w14:textId="5FF09D69">
            <w:pPr>
              <w:pStyle w:val="Normal"/>
              <w:rPr>
                <w:color w:val="000000" w:themeColor="text1" w:themeTint="FF" w:themeShade="FF"/>
              </w:rPr>
            </w:pPr>
          </w:p>
        </w:tc>
        <w:tc>
          <w:tcPr>
            <w:tcW w:w="1087"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572AE2A9" w14:textId="1C18825A">
            <w:pPr>
              <w:spacing w:before="240" w:after="240"/>
            </w:pPr>
            <w:r w:rsidRPr="433642B3">
              <w:rPr>
                <w:color w:val="000000" w:themeColor="text1"/>
              </w:rPr>
              <w:t>CNN-LSTM with attention mechanism</w:t>
            </w:r>
          </w:p>
        </w:tc>
        <w:tc>
          <w:tcPr>
            <w:tcW w:w="930"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13A87423" w14:textId="5021E0F6">
            <w:pPr>
              <w:spacing w:before="240" w:after="240"/>
            </w:pPr>
            <w:r w:rsidRPr="433642B3">
              <w:rPr>
                <w:color w:val="000000" w:themeColor="text1"/>
              </w:rPr>
              <w:t>RMSE: FD001 = 15.977, FD002 = 14.452, FD003 = 13.907, FD004 = 16.637</w:t>
            </w:r>
          </w:p>
        </w:tc>
      </w:tr>
      <w:tr w:rsidR="433642B3" w:rsidTr="625BFF3B" w14:paraId="4A97D3D6" w14:textId="77777777">
        <w:trPr>
          <w:trHeight w:val="300"/>
        </w:trPr>
        <w:tc>
          <w:tcPr>
            <w:tcW w:w="1023"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18A376A9" w14:textId="75A5CE50">
            <w:pPr>
              <w:spacing w:before="240" w:after="240"/>
            </w:pPr>
            <w:r w:rsidRPr="433642B3">
              <w:rPr>
                <w:b/>
                <w:bCs/>
                <w:color w:val="000000" w:themeColor="text1"/>
              </w:rPr>
              <w:t>Fan et al. [2]</w:t>
            </w:r>
          </w:p>
        </w:tc>
        <w:tc>
          <w:tcPr>
            <w:tcW w:w="985"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089B02F2" w14:textId="0C4E433A">
            <w:pPr>
              <w:spacing w:before="240" w:after="240"/>
            </w:pPr>
            <w:r w:rsidRPr="433642B3">
              <w:rPr>
                <w:color w:val="000000" w:themeColor="text1"/>
              </w:rPr>
              <w:t>STAR, CNN-based models, RNN-based models, DAST, DLformer, BiLSTM-DAE-Transformer</w:t>
            </w:r>
          </w:p>
        </w:tc>
        <w:tc>
          <w:tcPr>
            <w:tcW w:w="835"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7551069D" w14:textId="61FEFDFE">
            <w:pPr>
              <w:spacing w:before="240" w:after="240"/>
            </w:pPr>
            <w:r w:rsidRPr="433642B3">
              <w:rPr>
                <w:color w:val="000000" w:themeColor="text1"/>
              </w:rPr>
              <w:t>NASA C-MAPSS FD001, FD002, FD003, FD004</w:t>
            </w:r>
          </w:p>
        </w:tc>
        <w:tc>
          <w:tcPr>
            <w:tcW w:w="2327"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7D9D399D" w14:textId="354A8E5D">
            <w:pPr>
              <w:spacing w:before="240" w:after="240"/>
            </w:pPr>
            <w:hyperlink r:id="rId6">
              <w:r w:rsidRPr="433642B3">
                <w:rPr>
                  <w:rStyle w:val="Hyperlink"/>
                </w:rPr>
                <w:t>https://data.nasa.gov/dataset/cmapss-jet-engine-simulated-data</w:t>
              </w:r>
            </w:hyperlink>
          </w:p>
        </w:tc>
        <w:tc>
          <w:tcPr>
            <w:tcW w:w="1086"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6ADFEA44" w14:textId="239B391A">
            <w:pPr>
              <w:spacing w:before="240" w:after="240"/>
            </w:pPr>
            <w:r w:rsidRPr="433642B3">
              <w:rPr>
                <w:color w:val="000000" w:themeColor="text1"/>
              </w:rPr>
              <w:t>The hierarchical Transformer structure may increase computational complexity and was tested on simulated engine data.</w:t>
            </w:r>
          </w:p>
        </w:tc>
        <w:tc>
          <w:tcPr>
            <w:tcW w:w="1086" w:type="dxa"/>
            <w:tcBorders>
              <w:top w:val="single" w:color="auto" w:sz="6"/>
              <w:left w:val="single" w:color="auto" w:sz="6"/>
              <w:bottom w:val="single" w:color="auto" w:sz="6"/>
              <w:right w:val="single" w:color="auto" w:sz="6"/>
            </w:tcBorders>
            <w:tcMar>
              <w:top w:w="120" w:type="dxa"/>
              <w:left w:w="180" w:type="dxa"/>
              <w:bottom w:w="120" w:type="dxa"/>
              <w:right w:w="180" w:type="dxa"/>
            </w:tcMar>
            <w:vAlign w:val="center"/>
          </w:tcPr>
          <w:p w:rsidR="625BFF3B" w:rsidP="625BFF3B" w:rsidRDefault="625BFF3B" w14:paraId="77343793" w14:textId="385CA757">
            <w:pPr>
              <w:pStyle w:val="Normal"/>
              <w:rPr>
                <w:color w:val="000000" w:themeColor="text1" w:themeTint="FF" w:themeShade="FF"/>
              </w:rPr>
            </w:pPr>
          </w:p>
        </w:tc>
        <w:tc>
          <w:tcPr>
            <w:tcW w:w="1087"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1980DAB1" w14:textId="480D5616">
            <w:pPr>
              <w:spacing w:before="240" w:after="240"/>
            </w:pPr>
            <w:r w:rsidRPr="433642B3">
              <w:rPr>
                <w:color w:val="000000" w:themeColor="text1"/>
              </w:rPr>
              <w:t>STAR</w:t>
            </w:r>
          </w:p>
        </w:tc>
        <w:tc>
          <w:tcPr>
            <w:tcW w:w="930"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7825F793" w14:textId="1A9A7058">
            <w:pPr>
              <w:spacing w:before="240" w:after="240"/>
            </w:pPr>
            <w:r w:rsidRPr="433642B3">
              <w:rPr>
                <w:color w:val="000000" w:themeColor="text1"/>
              </w:rPr>
              <w:t>RMSE: FD001 = 10.61, FD002 = 13.47, FD003 = 10.71, FD004 = 15.87. Score: 169, 784, 202 and 1449</w:t>
            </w:r>
          </w:p>
        </w:tc>
      </w:tr>
      <w:tr w:rsidR="433642B3" w:rsidTr="625BFF3B" w14:paraId="2630842E" w14:textId="77777777">
        <w:trPr>
          <w:trHeight w:val="300"/>
        </w:trPr>
        <w:tc>
          <w:tcPr>
            <w:tcW w:w="1023"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4BD610D5" w14:textId="38AD8C33">
            <w:pPr>
              <w:spacing w:before="240" w:after="240"/>
            </w:pPr>
            <w:r w:rsidRPr="433642B3">
              <w:rPr>
                <w:b/>
                <w:bCs/>
                <w:color w:val="000000" w:themeColor="text1"/>
              </w:rPr>
              <w:t>Elsherif et al. [3]</w:t>
            </w:r>
          </w:p>
        </w:tc>
        <w:tc>
          <w:tcPr>
            <w:tcW w:w="985"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3E9E8496" w14:textId="0BAE460A">
            <w:pPr>
              <w:spacing w:before="240" w:after="240"/>
            </w:pPr>
            <w:r w:rsidRPr="433642B3">
              <w:rPr>
                <w:color w:val="000000" w:themeColor="text1"/>
              </w:rPr>
              <w:t>CAELSTM and other RUL prediction approaches</w:t>
            </w:r>
          </w:p>
        </w:tc>
        <w:tc>
          <w:tcPr>
            <w:tcW w:w="835"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468BFE56" w14:textId="43002488">
            <w:pPr>
              <w:spacing w:before="240" w:after="240"/>
            </w:pPr>
            <w:r w:rsidRPr="433642B3">
              <w:rPr>
                <w:color w:val="000000" w:themeColor="text1"/>
              </w:rPr>
              <w:t>NASA C-MAPSS FD001 and FD003</w:t>
            </w:r>
          </w:p>
        </w:tc>
        <w:tc>
          <w:tcPr>
            <w:tcW w:w="2327"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66160798" w14:textId="6531A962">
            <w:pPr>
              <w:spacing w:before="240" w:after="240"/>
            </w:pPr>
            <w:hyperlink r:id="rId7">
              <w:r w:rsidRPr="433642B3">
                <w:rPr>
                  <w:rStyle w:val="Hyperlink"/>
                </w:rPr>
                <w:t>https://data.nasa.gov/dataset/cmapss-jet-engine-simulated-data</w:t>
              </w:r>
            </w:hyperlink>
          </w:p>
        </w:tc>
        <w:tc>
          <w:tcPr>
            <w:tcW w:w="1086"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667A3A22" w14:textId="263D3D0B">
            <w:pPr>
              <w:spacing w:before="240" w:after="240"/>
            </w:pPr>
            <w:r w:rsidRPr="433642B3">
              <w:rPr>
                <w:color w:val="000000" w:themeColor="text1"/>
              </w:rPr>
              <w:t>The model was tested only on FD001 and FD003 and needs validation on more complex operating conditions.</w:t>
            </w:r>
          </w:p>
        </w:tc>
        <w:tc>
          <w:tcPr>
            <w:tcW w:w="1086" w:type="dxa"/>
            <w:tcBorders>
              <w:top w:val="single" w:color="auto" w:sz="6"/>
              <w:left w:val="single" w:color="auto" w:sz="6"/>
              <w:bottom w:val="single" w:color="auto" w:sz="6"/>
              <w:right w:val="single" w:color="auto" w:sz="6"/>
            </w:tcBorders>
            <w:tcMar>
              <w:top w:w="120" w:type="dxa"/>
              <w:left w:w="180" w:type="dxa"/>
              <w:bottom w:w="120" w:type="dxa"/>
              <w:right w:w="180" w:type="dxa"/>
            </w:tcMar>
            <w:vAlign w:val="center"/>
          </w:tcPr>
          <w:p w:rsidR="625BFF3B" w:rsidP="625BFF3B" w:rsidRDefault="625BFF3B" w14:paraId="4AF65F65" w14:textId="4E5DB5C6">
            <w:pPr>
              <w:pStyle w:val="Normal"/>
              <w:rPr>
                <w:color w:val="000000" w:themeColor="text1" w:themeTint="FF" w:themeShade="FF"/>
              </w:rPr>
            </w:pPr>
          </w:p>
        </w:tc>
        <w:tc>
          <w:tcPr>
            <w:tcW w:w="1087"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3B880ECD" w14:textId="3B95C836">
            <w:pPr>
              <w:spacing w:before="240" w:after="240"/>
            </w:pPr>
            <w:r w:rsidRPr="433642B3">
              <w:rPr>
                <w:color w:val="000000" w:themeColor="text1"/>
              </w:rPr>
              <w:t>CAELSTM</w:t>
            </w:r>
          </w:p>
        </w:tc>
        <w:tc>
          <w:tcPr>
            <w:tcW w:w="930"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3CD98841" w14:textId="2C78DD8B">
            <w:pPr>
              <w:spacing w:before="240" w:after="240"/>
            </w:pPr>
            <w:r w:rsidRPr="433642B3">
              <w:rPr>
                <w:color w:val="000000" w:themeColor="text1"/>
              </w:rPr>
              <w:t>RMSE: FD001 = 14.44, FD003 = 13.40. MAE: FD001 = 10.49, FD003 = 10.68. Score: 282.38 and 264.47</w:t>
            </w:r>
          </w:p>
        </w:tc>
      </w:tr>
      <w:tr w:rsidR="433642B3" w:rsidTr="625BFF3B" w14:paraId="4E2708A5" w14:textId="77777777">
        <w:trPr>
          <w:trHeight w:val="300"/>
        </w:trPr>
        <w:tc>
          <w:tcPr>
            <w:tcW w:w="1023"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0F91E227" w14:textId="1F628306">
            <w:pPr>
              <w:spacing w:before="240" w:after="240"/>
            </w:pPr>
            <w:r w:rsidRPr="433642B3">
              <w:rPr>
                <w:b/>
                <w:bCs/>
                <w:color w:val="000000" w:themeColor="text1"/>
              </w:rPr>
              <w:t>Ensarioğlu et al. [4]</w:t>
            </w:r>
          </w:p>
        </w:tc>
        <w:tc>
          <w:tcPr>
            <w:tcW w:w="985"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0E3710C9" w14:textId="62E01568">
            <w:pPr>
              <w:spacing w:before="240" w:after="240"/>
            </w:pPr>
            <w:r w:rsidRPr="433642B3">
              <w:rPr>
                <w:color w:val="000000" w:themeColor="text1"/>
              </w:rPr>
              <w:t>1D CNN-LSTM, 1D CNN-LSTM with difference feature, traditional machine learning and deep learning models</w:t>
            </w:r>
          </w:p>
        </w:tc>
        <w:tc>
          <w:tcPr>
            <w:tcW w:w="835"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07BFE200" w14:textId="6D5A2585">
            <w:pPr>
              <w:spacing w:before="240" w:after="240"/>
            </w:pPr>
            <w:r w:rsidRPr="433642B3">
              <w:rPr>
                <w:color w:val="000000" w:themeColor="text1"/>
              </w:rPr>
              <w:t>NASA C-MAPSS FD001</w:t>
            </w:r>
          </w:p>
        </w:tc>
        <w:tc>
          <w:tcPr>
            <w:tcW w:w="2327"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08AF55C6" w14:textId="2AB98FF2">
            <w:pPr>
              <w:spacing w:before="240" w:after="240"/>
            </w:pPr>
            <w:hyperlink r:id="rId8">
              <w:r w:rsidRPr="433642B3">
                <w:rPr>
                  <w:rStyle w:val="Hyperlink"/>
                </w:rPr>
                <w:t>https://data.nasa.gov/dataset/cmapss-jet-engine-simulated-data</w:t>
              </w:r>
            </w:hyperlink>
          </w:p>
        </w:tc>
        <w:tc>
          <w:tcPr>
            <w:tcW w:w="1086"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0219DD08" w14:textId="6D056B38">
            <w:pPr>
              <w:spacing w:before="240" w:after="240"/>
            </w:pPr>
            <w:r w:rsidRPr="433642B3">
              <w:rPr>
                <w:color w:val="000000" w:themeColor="text1"/>
              </w:rPr>
              <w:t>The method was tested only on FD001 which has one operating condition and one fault mode.</w:t>
            </w:r>
          </w:p>
        </w:tc>
        <w:tc>
          <w:tcPr>
            <w:tcW w:w="1086" w:type="dxa"/>
            <w:tcBorders>
              <w:top w:val="single" w:color="auto" w:sz="6"/>
              <w:left w:val="single" w:color="auto" w:sz="6"/>
              <w:bottom w:val="single" w:color="auto" w:sz="6"/>
              <w:right w:val="single" w:color="auto" w:sz="6"/>
            </w:tcBorders>
            <w:tcMar>
              <w:top w:w="120" w:type="dxa"/>
              <w:left w:w="180" w:type="dxa"/>
              <w:bottom w:w="120" w:type="dxa"/>
              <w:right w:w="180" w:type="dxa"/>
            </w:tcMar>
            <w:vAlign w:val="center"/>
          </w:tcPr>
          <w:p w:rsidR="625BFF3B" w:rsidP="625BFF3B" w:rsidRDefault="625BFF3B" w14:paraId="5A8EA225" w14:textId="7AF21284">
            <w:pPr>
              <w:pStyle w:val="Normal"/>
              <w:rPr>
                <w:color w:val="000000" w:themeColor="text1" w:themeTint="FF" w:themeShade="FF"/>
              </w:rPr>
            </w:pPr>
          </w:p>
        </w:tc>
        <w:tc>
          <w:tcPr>
            <w:tcW w:w="1087"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16AFFB6C" w14:textId="0BFE54DC">
            <w:pPr>
              <w:spacing w:before="240" w:after="240"/>
            </w:pPr>
            <w:r w:rsidRPr="433642B3">
              <w:rPr>
                <w:color w:val="000000" w:themeColor="text1"/>
              </w:rPr>
              <w:t>1D CNN-LSTM with difference feature and change point based labeling</w:t>
            </w:r>
          </w:p>
        </w:tc>
        <w:tc>
          <w:tcPr>
            <w:tcW w:w="930"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3E6DAE5A" w14:textId="4ABFAA67">
            <w:pPr>
              <w:spacing w:before="240" w:after="240"/>
            </w:pPr>
            <w:r w:rsidRPr="433642B3">
              <w:rPr>
                <w:color w:val="000000" w:themeColor="text1"/>
              </w:rPr>
              <w:t>RMSE = 16.1, Score = 437.2</w:t>
            </w:r>
          </w:p>
        </w:tc>
      </w:tr>
      <w:tr w:rsidR="433642B3" w:rsidTr="625BFF3B" w14:paraId="4DA307FB" w14:textId="77777777">
        <w:trPr>
          <w:trHeight w:val="300"/>
        </w:trPr>
        <w:tc>
          <w:tcPr>
            <w:tcW w:w="1023"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3A881442" w14:textId="6676FB00">
            <w:pPr>
              <w:spacing w:before="240" w:after="240"/>
            </w:pPr>
            <w:r w:rsidRPr="433642B3">
              <w:rPr>
                <w:b/>
                <w:bCs/>
                <w:color w:val="000000" w:themeColor="text1"/>
              </w:rPr>
              <w:t>Sun et al. [5]</w:t>
            </w:r>
          </w:p>
        </w:tc>
        <w:tc>
          <w:tcPr>
            <w:tcW w:w="985"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7D8DB3CD" w14:textId="5F34CD67">
            <w:pPr>
              <w:spacing w:before="240" w:after="240"/>
            </w:pPr>
            <w:r w:rsidRPr="433642B3">
              <w:rPr>
                <w:color w:val="000000" w:themeColor="text1"/>
              </w:rPr>
              <w:t>MDSCT, TCN-SA, DAN, TCN-RSCB, CVT, CLSTM, MCNN, SAGCN-SA, DCNN</w:t>
            </w:r>
          </w:p>
        </w:tc>
        <w:tc>
          <w:tcPr>
            <w:tcW w:w="835"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3651924E" w14:textId="38EE463D">
            <w:pPr>
              <w:spacing w:before="240" w:after="240"/>
            </w:pPr>
            <w:r w:rsidRPr="433642B3">
              <w:rPr>
                <w:color w:val="000000" w:themeColor="text1"/>
              </w:rPr>
              <w:t>PHM2012 and XJTU-SY</w:t>
            </w:r>
          </w:p>
        </w:tc>
        <w:tc>
          <w:tcPr>
            <w:tcW w:w="2327"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6117799C" w14:textId="3F77C98A">
            <w:pPr>
              <w:spacing w:before="240" w:after="240"/>
            </w:pPr>
            <w:r w:rsidRPr="433642B3">
              <w:rPr>
                <w:color w:val="000000" w:themeColor="text1"/>
              </w:rPr>
              <w:t xml:space="preserve">PHM2012: </w:t>
            </w:r>
            <w:hyperlink r:id="rId9">
              <w:r w:rsidRPr="433642B3">
                <w:rPr>
                  <w:rStyle w:val="Hyperlink"/>
                </w:rPr>
                <w:t>https://github.com/wkzs111/phm-ieee-2012-data-challenge-dataset</w:t>
              </w:r>
            </w:hyperlink>
            <w:r w:rsidRPr="433642B3">
              <w:rPr>
                <w:color w:val="000000" w:themeColor="text1"/>
              </w:rPr>
              <w:t xml:space="preserve">  XJTU-SY: </w:t>
            </w:r>
            <w:hyperlink r:id="rId10">
              <w:r w:rsidRPr="433642B3">
                <w:rPr>
                  <w:rStyle w:val="Hyperlink"/>
                </w:rPr>
                <w:t>https://biaowang.tech/xjtu-sy-bearing-datasets/</w:t>
              </w:r>
            </w:hyperlink>
          </w:p>
        </w:tc>
        <w:tc>
          <w:tcPr>
            <w:tcW w:w="1086"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2D1C8515" w14:textId="417895F7">
            <w:pPr>
              <w:spacing w:before="240" w:after="240"/>
            </w:pPr>
            <w:r w:rsidRPr="433642B3">
              <w:rPr>
                <w:color w:val="000000" w:themeColor="text1"/>
              </w:rPr>
              <w:t>The model has a complex architecture and its performance varies between different bearing conditions.</w:t>
            </w:r>
          </w:p>
        </w:tc>
        <w:tc>
          <w:tcPr>
            <w:tcW w:w="1086" w:type="dxa"/>
            <w:tcBorders>
              <w:top w:val="single" w:color="auto" w:sz="6"/>
              <w:left w:val="single" w:color="auto" w:sz="6"/>
              <w:bottom w:val="single" w:color="auto" w:sz="6"/>
              <w:right w:val="single" w:color="auto" w:sz="6"/>
            </w:tcBorders>
            <w:tcMar>
              <w:top w:w="120" w:type="dxa"/>
              <w:left w:w="180" w:type="dxa"/>
              <w:bottom w:w="120" w:type="dxa"/>
              <w:right w:w="180" w:type="dxa"/>
            </w:tcMar>
            <w:vAlign w:val="center"/>
          </w:tcPr>
          <w:p w:rsidR="625BFF3B" w:rsidP="625BFF3B" w:rsidRDefault="625BFF3B" w14:paraId="61B51424" w14:textId="24199019">
            <w:pPr>
              <w:pStyle w:val="Normal"/>
              <w:rPr>
                <w:color w:val="000000" w:themeColor="text1" w:themeTint="FF" w:themeShade="FF"/>
              </w:rPr>
            </w:pPr>
          </w:p>
        </w:tc>
        <w:tc>
          <w:tcPr>
            <w:tcW w:w="1087"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5EAC5EA8" w14:textId="7C2D9637">
            <w:pPr>
              <w:spacing w:before="240" w:after="240"/>
            </w:pPr>
            <w:r w:rsidRPr="433642B3">
              <w:rPr>
                <w:color w:val="000000" w:themeColor="text1"/>
              </w:rPr>
              <w:t>MDSCT</w:t>
            </w:r>
          </w:p>
        </w:tc>
        <w:tc>
          <w:tcPr>
            <w:tcW w:w="930"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0D6B37CC" w14:textId="74325C75">
            <w:pPr>
              <w:spacing w:before="240" w:after="240"/>
            </w:pPr>
            <w:r w:rsidRPr="433642B3">
              <w:rPr>
                <w:color w:val="000000" w:themeColor="text1"/>
              </w:rPr>
              <w:t>PHM2012: MAE = 0.100, RMSE = 0.124. XJTU-SY: MAE = 0.134, RMSE = 0.160, R² = 0.667</w:t>
            </w:r>
          </w:p>
        </w:tc>
      </w:tr>
      <w:tr w:rsidR="433642B3" w:rsidTr="625BFF3B" w14:paraId="54F126B9" w14:textId="77777777">
        <w:trPr>
          <w:trHeight w:val="300"/>
        </w:trPr>
        <w:tc>
          <w:tcPr>
            <w:tcW w:w="1023"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097003D3" w14:textId="18DFF7CE">
            <w:pPr>
              <w:spacing w:before="240" w:after="240"/>
            </w:pPr>
            <w:r w:rsidRPr="433642B3">
              <w:rPr>
                <w:b/>
                <w:bCs/>
                <w:color w:val="000000" w:themeColor="text1"/>
              </w:rPr>
              <w:t>Jin et al. [6]</w:t>
            </w:r>
          </w:p>
        </w:tc>
        <w:tc>
          <w:tcPr>
            <w:tcW w:w="985"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3ACF32FE" w14:textId="3A2F8711">
            <w:pPr>
              <w:spacing w:before="240" w:after="240"/>
            </w:pPr>
            <w:r w:rsidRPr="433642B3">
              <w:rPr>
                <w:color w:val="000000" w:themeColor="text1"/>
              </w:rPr>
              <w:t>EMD-BiLSTM-Transformer, TCN, GRU, Bi-LSTM</w:t>
            </w:r>
          </w:p>
        </w:tc>
        <w:tc>
          <w:tcPr>
            <w:tcW w:w="835"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74C11504" w14:textId="31FE949A">
            <w:pPr>
              <w:spacing w:before="240" w:after="240"/>
            </w:pPr>
            <w:r w:rsidRPr="433642B3">
              <w:rPr>
                <w:color w:val="000000" w:themeColor="text1"/>
              </w:rPr>
              <w:t>PHM2012 and XJTU-SY</w:t>
            </w:r>
          </w:p>
        </w:tc>
        <w:tc>
          <w:tcPr>
            <w:tcW w:w="2327"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4C064E42" w14:textId="0581626C">
            <w:pPr>
              <w:spacing w:before="240" w:after="240"/>
            </w:pPr>
            <w:r w:rsidRPr="433642B3">
              <w:rPr>
                <w:color w:val="000000" w:themeColor="text1"/>
              </w:rPr>
              <w:t xml:space="preserve">PHM2012: </w:t>
            </w:r>
            <w:hyperlink r:id="rId11">
              <w:r w:rsidRPr="433642B3">
                <w:rPr>
                  <w:rStyle w:val="Hyperlink"/>
                </w:rPr>
                <w:t>https://github.com/wkzs111/phm-ieee-2012-data-challenge-dataset</w:t>
              </w:r>
            </w:hyperlink>
            <w:r w:rsidRPr="433642B3">
              <w:rPr>
                <w:color w:val="000000" w:themeColor="text1"/>
              </w:rPr>
              <w:t xml:space="preserve">  XJTU-SY: </w:t>
            </w:r>
            <w:hyperlink r:id="rId12">
              <w:r w:rsidRPr="433642B3">
                <w:rPr>
                  <w:rStyle w:val="Hyperlink"/>
                </w:rPr>
                <w:t>https://biaowang.tech/xjtu-sy-bearing-datasets/</w:t>
              </w:r>
            </w:hyperlink>
          </w:p>
        </w:tc>
        <w:tc>
          <w:tcPr>
            <w:tcW w:w="1086"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1BA3AD8E" w14:textId="5CA6A5BD">
            <w:pPr>
              <w:spacing w:before="240" w:after="240"/>
            </w:pPr>
            <w:r w:rsidRPr="433642B3">
              <w:rPr>
                <w:color w:val="000000" w:themeColor="text1"/>
              </w:rPr>
              <w:t>The method requires signal decomposition and feature processing before training.</w:t>
            </w:r>
          </w:p>
        </w:tc>
        <w:tc>
          <w:tcPr>
            <w:tcW w:w="1086" w:type="dxa"/>
            <w:tcBorders>
              <w:top w:val="single" w:color="auto" w:sz="6"/>
              <w:left w:val="single" w:color="auto" w:sz="6"/>
              <w:bottom w:val="single" w:color="auto" w:sz="6"/>
              <w:right w:val="single" w:color="auto" w:sz="6"/>
            </w:tcBorders>
            <w:tcMar>
              <w:top w:w="120" w:type="dxa"/>
              <w:left w:w="180" w:type="dxa"/>
              <w:bottom w:w="120" w:type="dxa"/>
              <w:right w:w="180" w:type="dxa"/>
            </w:tcMar>
            <w:vAlign w:val="center"/>
          </w:tcPr>
          <w:p w:rsidR="625BFF3B" w:rsidP="625BFF3B" w:rsidRDefault="625BFF3B" w14:paraId="565F7AB4" w14:textId="7EC712BD">
            <w:pPr>
              <w:pStyle w:val="Normal"/>
              <w:rPr>
                <w:color w:val="000000" w:themeColor="text1" w:themeTint="FF" w:themeShade="FF"/>
              </w:rPr>
            </w:pPr>
          </w:p>
        </w:tc>
        <w:tc>
          <w:tcPr>
            <w:tcW w:w="1087"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586779FF" w14:textId="28C4EC67">
            <w:pPr>
              <w:spacing w:before="240" w:after="240"/>
            </w:pPr>
            <w:r w:rsidRPr="433642B3">
              <w:rPr>
                <w:color w:val="000000" w:themeColor="text1"/>
              </w:rPr>
              <w:t>EMD-BiLSTM-Transformer</w:t>
            </w:r>
          </w:p>
        </w:tc>
        <w:tc>
          <w:tcPr>
            <w:tcW w:w="930"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47F553E4" w14:textId="3AF9378C">
            <w:pPr>
              <w:spacing w:before="240" w:after="240"/>
            </w:pPr>
            <w:r w:rsidRPr="433642B3">
              <w:rPr>
                <w:color w:val="000000" w:themeColor="text1"/>
              </w:rPr>
              <w:t>PHM2012: MAE = 0.0469, RMSE = 0.0563. XJTU-SY: MAE = 0.0374, RMSE = 0.0442</w:t>
            </w:r>
          </w:p>
        </w:tc>
      </w:tr>
      <w:tr w:rsidR="433642B3" w:rsidTr="625BFF3B" w14:paraId="0960BB5E" w14:textId="77777777">
        <w:trPr>
          <w:trHeight w:val="300"/>
        </w:trPr>
        <w:tc>
          <w:tcPr>
            <w:tcW w:w="1023"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6E684AAB" w14:textId="5173F635">
            <w:pPr>
              <w:spacing w:before="240" w:after="240"/>
            </w:pPr>
            <w:r w:rsidRPr="433642B3">
              <w:rPr>
                <w:b/>
                <w:bCs/>
                <w:color w:val="000000" w:themeColor="text1"/>
              </w:rPr>
              <w:t>Wang et al. [7]</w:t>
            </w:r>
          </w:p>
        </w:tc>
        <w:tc>
          <w:tcPr>
            <w:tcW w:w="985"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68A61E16" w14:textId="66868971">
            <w:pPr>
              <w:spacing w:before="240" w:after="240"/>
            </w:pPr>
            <w:r w:rsidRPr="433642B3">
              <w:rPr>
                <w:color w:val="000000" w:themeColor="text1"/>
              </w:rPr>
              <w:t>1D-DCAE, Bi-LSTM, Bi-LSTM with TPA, linear labeling and piecewise labeling methods</w:t>
            </w:r>
          </w:p>
        </w:tc>
        <w:tc>
          <w:tcPr>
            <w:tcW w:w="835"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47D1BC0B" w14:textId="29D3A568">
            <w:pPr>
              <w:spacing w:before="240" w:after="240"/>
            </w:pPr>
            <w:r w:rsidRPr="433642B3">
              <w:rPr>
                <w:color w:val="000000" w:themeColor="text1"/>
              </w:rPr>
              <w:t>PHM2012</w:t>
            </w:r>
          </w:p>
        </w:tc>
        <w:tc>
          <w:tcPr>
            <w:tcW w:w="2327"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0CA634CE" w14:textId="11E31A04">
            <w:pPr>
              <w:spacing w:before="240" w:after="240"/>
            </w:pPr>
            <w:hyperlink r:id="rId13">
              <w:r w:rsidRPr="433642B3">
                <w:rPr>
                  <w:rStyle w:val="Hyperlink"/>
                </w:rPr>
                <w:t>https://github.com/wkzs111/phm-ieee-2012-data-challenge-dataset</w:t>
              </w:r>
            </w:hyperlink>
          </w:p>
        </w:tc>
        <w:tc>
          <w:tcPr>
            <w:tcW w:w="1086"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22B2D115" w14:textId="19AA0936">
            <w:pPr>
              <w:spacing w:before="240" w:after="240"/>
            </w:pPr>
            <w:r w:rsidRPr="433642B3">
              <w:rPr>
                <w:color w:val="000000" w:themeColor="text1"/>
              </w:rPr>
              <w:t>The study was evaluated on a limited number of bearings and depends on learned health indicators.</w:t>
            </w:r>
          </w:p>
        </w:tc>
        <w:tc>
          <w:tcPr>
            <w:tcW w:w="1086" w:type="dxa"/>
            <w:tcBorders>
              <w:top w:val="single" w:color="auto" w:sz="6"/>
              <w:left w:val="single" w:color="auto" w:sz="6"/>
              <w:bottom w:val="single" w:color="auto" w:sz="6"/>
              <w:right w:val="single" w:color="auto" w:sz="6"/>
            </w:tcBorders>
            <w:tcMar>
              <w:top w:w="120" w:type="dxa"/>
              <w:left w:w="180" w:type="dxa"/>
              <w:bottom w:w="120" w:type="dxa"/>
              <w:right w:w="180" w:type="dxa"/>
            </w:tcMar>
            <w:vAlign w:val="center"/>
          </w:tcPr>
          <w:p w:rsidR="625BFF3B" w:rsidP="625BFF3B" w:rsidRDefault="625BFF3B" w14:paraId="6FFB255E" w14:textId="2A7FA83C">
            <w:pPr>
              <w:pStyle w:val="Normal"/>
              <w:rPr>
                <w:color w:val="000000" w:themeColor="text1" w:themeTint="FF" w:themeShade="FF"/>
              </w:rPr>
            </w:pPr>
          </w:p>
        </w:tc>
        <w:tc>
          <w:tcPr>
            <w:tcW w:w="1087"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4806E079" w14:textId="1248E99B">
            <w:pPr>
              <w:spacing w:before="240" w:after="240"/>
            </w:pPr>
            <w:r w:rsidRPr="433642B3">
              <w:rPr>
                <w:color w:val="000000" w:themeColor="text1"/>
              </w:rPr>
              <w:t>1D-DCAE with Bi-LSTM and TPA</w:t>
            </w:r>
          </w:p>
        </w:tc>
        <w:tc>
          <w:tcPr>
            <w:tcW w:w="930"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5157FFF9" w14:textId="4148E70A">
            <w:pPr>
              <w:spacing w:before="240" w:after="240"/>
            </w:pPr>
            <w:r w:rsidRPr="433642B3">
              <w:rPr>
                <w:color w:val="000000" w:themeColor="text1"/>
              </w:rPr>
              <w:t>Average MAE = 0.115, average RMSE = 0.079, Score = 0.699</w:t>
            </w:r>
          </w:p>
        </w:tc>
      </w:tr>
      <w:tr w:rsidR="433642B3" w:rsidTr="625BFF3B" w14:paraId="19F49E9C" w14:textId="77777777">
        <w:trPr>
          <w:trHeight w:val="300"/>
        </w:trPr>
        <w:tc>
          <w:tcPr>
            <w:tcW w:w="1023"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498B774D" w14:textId="5D79325F">
            <w:pPr>
              <w:spacing w:before="240" w:after="240"/>
            </w:pPr>
            <w:r w:rsidRPr="433642B3">
              <w:rPr>
                <w:b/>
                <w:bCs/>
                <w:color w:val="000000" w:themeColor="text1"/>
              </w:rPr>
              <w:t>Xiao et al. [8]</w:t>
            </w:r>
          </w:p>
        </w:tc>
        <w:tc>
          <w:tcPr>
            <w:tcW w:w="985"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010C70A9" w14:textId="5D7E560B">
            <w:pPr>
              <w:spacing w:before="240" w:after="240"/>
            </w:pPr>
            <w:r w:rsidRPr="433642B3">
              <w:rPr>
                <w:color w:val="000000" w:themeColor="text1"/>
              </w:rPr>
              <w:t>CNN, DCNN, TCN, TaFCN, SeNet, GRU, CNN-GRU-Attention, Transformer, MDFA</w:t>
            </w:r>
          </w:p>
        </w:tc>
        <w:tc>
          <w:tcPr>
            <w:tcW w:w="835"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6D2D1F74" w14:textId="5FEB4D5B">
            <w:pPr>
              <w:spacing w:before="240" w:after="240"/>
            </w:pPr>
            <w:r w:rsidRPr="433642B3">
              <w:rPr>
                <w:color w:val="000000" w:themeColor="text1"/>
              </w:rPr>
              <w:t>NASA C-MAPSS, N-CMAPSS and PHM2012</w:t>
            </w:r>
          </w:p>
        </w:tc>
        <w:tc>
          <w:tcPr>
            <w:tcW w:w="2327"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327378EE" w14:textId="1BA3385F">
            <w:pPr>
              <w:spacing w:before="240" w:after="240"/>
            </w:pPr>
            <w:r w:rsidRPr="433642B3">
              <w:rPr>
                <w:color w:val="000000" w:themeColor="text1"/>
              </w:rPr>
              <w:t xml:space="preserve">C-MAPSS: </w:t>
            </w:r>
            <w:hyperlink r:id="rId14">
              <w:r w:rsidRPr="433642B3">
                <w:rPr>
                  <w:rStyle w:val="Hyperlink"/>
                </w:rPr>
                <w:t>https://data.nasa.gov/dataset/cmapss-jet-engine-simulated-data</w:t>
              </w:r>
            </w:hyperlink>
            <w:r w:rsidRPr="433642B3">
              <w:rPr>
                <w:color w:val="000000" w:themeColor="text1"/>
              </w:rPr>
              <w:t xml:space="preserve">  PHM2012: </w:t>
            </w:r>
            <w:hyperlink r:id="rId15">
              <w:r w:rsidRPr="433642B3">
                <w:rPr>
                  <w:rStyle w:val="Hyperlink"/>
                </w:rPr>
                <w:t>https://github.com/wkzs111/phm-ieee-2012-data-challenge-dataset</w:t>
              </w:r>
            </w:hyperlink>
          </w:p>
        </w:tc>
        <w:tc>
          <w:tcPr>
            <w:tcW w:w="1086"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7C5E131F" w14:textId="217DE919">
            <w:pPr>
              <w:spacing w:before="240" w:after="240"/>
            </w:pPr>
            <w:r w:rsidRPr="433642B3">
              <w:rPr>
                <w:color w:val="000000" w:themeColor="text1"/>
              </w:rPr>
              <w:t>The model uses multiple convolution and attention modules which may increase computational complexity.</w:t>
            </w:r>
          </w:p>
        </w:tc>
        <w:tc>
          <w:tcPr>
            <w:tcW w:w="1086" w:type="dxa"/>
            <w:tcBorders>
              <w:top w:val="single" w:color="auto" w:sz="6"/>
              <w:left w:val="single" w:color="auto" w:sz="6"/>
              <w:bottom w:val="single" w:color="auto" w:sz="6"/>
              <w:right w:val="single" w:color="auto" w:sz="6"/>
            </w:tcBorders>
            <w:tcMar>
              <w:top w:w="120" w:type="dxa"/>
              <w:left w:w="180" w:type="dxa"/>
              <w:bottom w:w="120" w:type="dxa"/>
              <w:right w:w="180" w:type="dxa"/>
            </w:tcMar>
            <w:vAlign w:val="center"/>
          </w:tcPr>
          <w:p w:rsidR="625BFF3B" w:rsidP="625BFF3B" w:rsidRDefault="625BFF3B" w14:paraId="1E4C3897" w14:textId="163F427B">
            <w:pPr>
              <w:pStyle w:val="Normal"/>
              <w:rPr>
                <w:color w:val="000000" w:themeColor="text1" w:themeTint="FF" w:themeShade="FF"/>
              </w:rPr>
            </w:pPr>
          </w:p>
        </w:tc>
        <w:tc>
          <w:tcPr>
            <w:tcW w:w="1087"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200AA25C" w14:textId="1FA94A0F">
            <w:pPr>
              <w:spacing w:before="240" w:after="240"/>
            </w:pPr>
            <w:r w:rsidRPr="433642B3">
              <w:rPr>
                <w:color w:val="000000" w:themeColor="text1"/>
              </w:rPr>
              <w:t>MDFA</w:t>
            </w:r>
          </w:p>
        </w:tc>
        <w:tc>
          <w:tcPr>
            <w:tcW w:w="930"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2A910576" w14:textId="783BA26C">
            <w:pPr>
              <w:spacing w:before="240" w:after="240"/>
            </w:pPr>
            <w:r w:rsidRPr="433642B3">
              <w:rPr>
                <w:color w:val="000000" w:themeColor="text1"/>
              </w:rPr>
              <w:t>C-MAPSS and N-CMAPSS: MAE = 0.018–0.026, RMSE = 0.021–0.032, R² &gt; 0.987. PHM2012: MAE = 0.023–0.026, RMSE = 0.031–0.032, R² = 0.987–0.995</w:t>
            </w:r>
          </w:p>
        </w:tc>
      </w:tr>
      <w:tr w:rsidR="433642B3" w:rsidTr="625BFF3B" w14:paraId="236E0961" w14:textId="77777777">
        <w:trPr>
          <w:trHeight w:val="300"/>
        </w:trPr>
        <w:tc>
          <w:tcPr>
            <w:tcW w:w="1023"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54E33A67" w14:textId="40030245">
            <w:pPr>
              <w:spacing w:before="240" w:after="240"/>
            </w:pPr>
            <w:r w:rsidRPr="433642B3">
              <w:rPr>
                <w:b/>
                <w:bCs/>
                <w:color w:val="000000" w:themeColor="text1"/>
              </w:rPr>
              <w:t>Ozkan [9]</w:t>
            </w:r>
          </w:p>
        </w:tc>
        <w:tc>
          <w:tcPr>
            <w:tcW w:w="985"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2538EAD5" w14:textId="2C4E43F9">
            <w:pPr>
              <w:spacing w:before="240" w:after="240"/>
            </w:pPr>
            <w:r w:rsidRPr="433642B3">
              <w:rPr>
                <w:color w:val="000000" w:themeColor="text1"/>
              </w:rPr>
              <w:t>LightGBM, CatBoost, Gradient Boosting, XGBoost, SVM, KNN, Linear Regression and ensemble models</w:t>
            </w:r>
          </w:p>
        </w:tc>
        <w:tc>
          <w:tcPr>
            <w:tcW w:w="835"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44F1406E" w14:textId="02A41BF7">
            <w:pPr>
              <w:spacing w:before="240" w:after="240"/>
            </w:pPr>
            <w:r w:rsidRPr="433642B3">
              <w:rPr>
                <w:color w:val="000000" w:themeColor="text1"/>
              </w:rPr>
              <w:t>NASA C-MAPSS FD001, FD002, FD003, FD004</w:t>
            </w:r>
          </w:p>
        </w:tc>
        <w:tc>
          <w:tcPr>
            <w:tcW w:w="2327"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33275B86" w14:textId="625DDE23">
            <w:pPr>
              <w:spacing w:before="240" w:after="240"/>
            </w:pPr>
            <w:hyperlink r:id="rId16">
              <w:r w:rsidRPr="433642B3">
                <w:rPr>
                  <w:rStyle w:val="Hyperlink"/>
                </w:rPr>
                <w:t>https://data.nasa.gov/dataset/cmapss-jet-engine-simulated-data</w:t>
              </w:r>
            </w:hyperlink>
          </w:p>
        </w:tc>
        <w:tc>
          <w:tcPr>
            <w:tcW w:w="1086"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3885C97C" w14:textId="2BCA2109">
            <w:pPr>
              <w:spacing w:before="240" w:after="240"/>
            </w:pPr>
            <w:r w:rsidRPr="433642B3">
              <w:rPr>
                <w:color w:val="000000" w:themeColor="text1"/>
              </w:rPr>
              <w:t>The framework was tested only on C-MAPSS and used a fixed maintenance threshold of 15 cycles.</w:t>
            </w:r>
          </w:p>
        </w:tc>
        <w:tc>
          <w:tcPr>
            <w:tcW w:w="1086" w:type="dxa"/>
            <w:tcBorders>
              <w:top w:val="single" w:color="auto" w:sz="6"/>
              <w:left w:val="single" w:color="auto" w:sz="6"/>
              <w:bottom w:val="single" w:color="auto" w:sz="6"/>
              <w:right w:val="single" w:color="auto" w:sz="6"/>
            </w:tcBorders>
            <w:tcMar>
              <w:top w:w="120" w:type="dxa"/>
              <w:left w:w="180" w:type="dxa"/>
              <w:bottom w:w="120" w:type="dxa"/>
              <w:right w:w="180" w:type="dxa"/>
            </w:tcMar>
            <w:vAlign w:val="center"/>
          </w:tcPr>
          <w:p w:rsidR="625BFF3B" w:rsidP="625BFF3B" w:rsidRDefault="625BFF3B" w14:paraId="0EB1060D" w14:textId="4219D00E">
            <w:pPr>
              <w:pStyle w:val="Normal"/>
              <w:rPr>
                <w:color w:val="000000" w:themeColor="text1" w:themeTint="FF" w:themeShade="FF"/>
              </w:rPr>
            </w:pPr>
          </w:p>
        </w:tc>
        <w:tc>
          <w:tcPr>
            <w:tcW w:w="1087"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4179FEE1" w14:textId="6E835C3D">
            <w:pPr>
              <w:spacing w:before="240" w:after="240"/>
            </w:pPr>
            <w:r w:rsidRPr="433642B3">
              <w:rPr>
                <w:color w:val="000000" w:themeColor="text1"/>
              </w:rPr>
              <w:t>LightGBM and CatBoost based ensembles</w:t>
            </w:r>
          </w:p>
        </w:tc>
        <w:tc>
          <w:tcPr>
            <w:tcW w:w="930"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7BB6BD26" w14:textId="497A6DC6">
            <w:pPr>
              <w:spacing w:before="240" w:after="240"/>
            </w:pPr>
            <w:r w:rsidRPr="433642B3">
              <w:rPr>
                <w:color w:val="000000" w:themeColor="text1"/>
              </w:rPr>
              <w:t>FD001 RMSE = 6.62. FD003 RMSE = 9.71. FD002 RMSE = 10.15. FD004 RMSE = 14.12</w:t>
            </w:r>
          </w:p>
        </w:tc>
      </w:tr>
      <w:tr w:rsidR="433642B3" w:rsidTr="625BFF3B" w14:paraId="62C7B087" w14:textId="77777777">
        <w:trPr>
          <w:trHeight w:val="300"/>
        </w:trPr>
        <w:tc>
          <w:tcPr>
            <w:tcW w:w="1023"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1E29B9FB" w14:textId="4F8E07D1">
            <w:pPr>
              <w:spacing w:before="240" w:after="240"/>
            </w:pPr>
            <w:r w:rsidRPr="433642B3">
              <w:rPr>
                <w:b/>
                <w:bCs/>
                <w:color w:val="000000" w:themeColor="text1"/>
              </w:rPr>
              <w:t>Lei et al. [10]</w:t>
            </w:r>
          </w:p>
        </w:tc>
        <w:tc>
          <w:tcPr>
            <w:tcW w:w="985"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75CEE3A4" w14:textId="22106F4C">
            <w:pPr>
              <w:spacing w:before="240" w:after="240"/>
            </w:pPr>
            <w:r w:rsidRPr="433642B3">
              <w:rPr>
                <w:color w:val="000000" w:themeColor="text1"/>
              </w:rPr>
              <w:t>GRU, TCN, Transformer, Transformer-GRU</w:t>
            </w:r>
          </w:p>
        </w:tc>
        <w:tc>
          <w:tcPr>
            <w:tcW w:w="835"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5468FE3D" w14:textId="7584F84D">
            <w:pPr>
              <w:spacing w:before="240" w:after="240"/>
            </w:pPr>
            <w:r w:rsidRPr="433642B3">
              <w:rPr>
                <w:color w:val="000000" w:themeColor="text1"/>
              </w:rPr>
              <w:t>PHM2012</w:t>
            </w:r>
          </w:p>
        </w:tc>
        <w:tc>
          <w:tcPr>
            <w:tcW w:w="2327"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70CF9420" w14:textId="57002185">
            <w:pPr>
              <w:spacing w:before="240" w:after="240"/>
            </w:pPr>
            <w:hyperlink r:id="rId17">
              <w:r w:rsidRPr="433642B3">
                <w:rPr>
                  <w:rStyle w:val="Hyperlink"/>
                </w:rPr>
                <w:t>https://github.com/wkzs111/phm-ieee-2012-data-challenge-dataset</w:t>
              </w:r>
            </w:hyperlink>
          </w:p>
        </w:tc>
        <w:tc>
          <w:tcPr>
            <w:tcW w:w="1086"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2D291311" w14:textId="53369CF5">
            <w:pPr>
              <w:spacing w:before="240" w:after="240"/>
            </w:pPr>
            <w:r w:rsidRPr="433642B3">
              <w:rPr>
                <w:color w:val="000000" w:themeColor="text1"/>
              </w:rPr>
              <w:t>The method requires several feature extraction and selection steps before model training.</w:t>
            </w:r>
          </w:p>
        </w:tc>
        <w:tc>
          <w:tcPr>
            <w:tcW w:w="1086" w:type="dxa"/>
            <w:tcBorders>
              <w:top w:val="single" w:color="auto" w:sz="6"/>
              <w:left w:val="single" w:color="auto" w:sz="6"/>
              <w:bottom w:val="single" w:color="auto" w:sz="6"/>
              <w:right w:val="single" w:color="auto" w:sz="6"/>
            </w:tcBorders>
            <w:tcMar>
              <w:top w:w="120" w:type="dxa"/>
              <w:left w:w="180" w:type="dxa"/>
              <w:bottom w:w="120" w:type="dxa"/>
              <w:right w:w="180" w:type="dxa"/>
            </w:tcMar>
            <w:vAlign w:val="center"/>
          </w:tcPr>
          <w:p w:rsidR="625BFF3B" w:rsidP="625BFF3B" w:rsidRDefault="625BFF3B" w14:paraId="654EDDAB" w14:textId="5B213F75">
            <w:pPr>
              <w:pStyle w:val="Normal"/>
              <w:rPr>
                <w:color w:val="000000" w:themeColor="text1" w:themeTint="FF" w:themeShade="FF"/>
              </w:rPr>
            </w:pPr>
          </w:p>
        </w:tc>
        <w:tc>
          <w:tcPr>
            <w:tcW w:w="1087"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5C9B1628" w14:textId="6E364E31">
            <w:pPr>
              <w:spacing w:before="240" w:after="240"/>
            </w:pPr>
            <w:r w:rsidRPr="433642B3">
              <w:rPr>
                <w:color w:val="000000" w:themeColor="text1"/>
              </w:rPr>
              <w:t>Transformer-GRU with hierarchical clustering</w:t>
            </w:r>
          </w:p>
        </w:tc>
        <w:tc>
          <w:tcPr>
            <w:tcW w:w="930"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3C57E062" w14:textId="2257A9C9">
            <w:pPr>
              <w:spacing w:before="240" w:after="240"/>
            </w:pPr>
            <w:r w:rsidRPr="433642B3">
              <w:rPr>
                <w:color w:val="000000" w:themeColor="text1"/>
              </w:rPr>
              <w:t>Average MAE = 0.0836, average RMSE = 0.1137. Training time reduced by 8.61% and model parameters by 23.26%</w:t>
            </w:r>
          </w:p>
        </w:tc>
      </w:tr>
      <w:tr w:rsidR="433642B3" w:rsidTr="625BFF3B" w14:paraId="7B58A13F" w14:textId="77777777">
        <w:trPr>
          <w:trHeight w:val="300"/>
        </w:trPr>
        <w:tc>
          <w:tcPr>
            <w:tcW w:w="1023"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6F2C65E1" w14:textId="3A867E86">
            <w:pPr>
              <w:spacing w:before="240" w:after="240"/>
            </w:pPr>
            <w:r w:rsidRPr="433642B3">
              <w:rPr>
                <w:b/>
                <w:bCs/>
                <w:color w:val="000000" w:themeColor="text1"/>
              </w:rPr>
              <w:t>Jin et al. [11]</w:t>
            </w:r>
          </w:p>
        </w:tc>
        <w:tc>
          <w:tcPr>
            <w:tcW w:w="985"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12D88F1C" w14:textId="4CF378DD">
            <w:pPr>
              <w:spacing w:before="240" w:after="240"/>
            </w:pPr>
            <w:r w:rsidRPr="433642B3">
              <w:rPr>
                <w:color w:val="000000" w:themeColor="text1"/>
              </w:rPr>
              <w:t>RNN, LSTM, GRU, Dual-LSTM, LSTM-AON, BiGRU-GSA, TCN-RSA, TFT, TCN-Transformer</w:t>
            </w:r>
          </w:p>
        </w:tc>
        <w:tc>
          <w:tcPr>
            <w:tcW w:w="835"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2BC6E3F7" w14:textId="51F29040">
            <w:pPr>
              <w:spacing w:before="240" w:after="240"/>
            </w:pPr>
            <w:r w:rsidRPr="433642B3">
              <w:rPr>
                <w:color w:val="000000" w:themeColor="text1"/>
              </w:rPr>
              <w:t>IEEE PHM2012 Data Challenge</w:t>
            </w:r>
          </w:p>
        </w:tc>
        <w:tc>
          <w:tcPr>
            <w:tcW w:w="2327"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708BB1A4" w14:textId="3F831B04">
            <w:pPr>
              <w:spacing w:before="240" w:after="240"/>
            </w:pPr>
            <w:hyperlink r:id="rId18">
              <w:r w:rsidRPr="433642B3">
                <w:rPr>
                  <w:rStyle w:val="Hyperlink"/>
                </w:rPr>
                <w:t>https://github.com/wkzs111/phm-ieee-2012-data-challenge-dataset</w:t>
              </w:r>
            </w:hyperlink>
          </w:p>
        </w:tc>
        <w:tc>
          <w:tcPr>
            <w:tcW w:w="1086"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7F0A5961" w14:textId="05571C5F">
            <w:pPr>
              <w:spacing w:before="240" w:after="240"/>
            </w:pPr>
            <w:r w:rsidRPr="433642B3">
              <w:rPr>
                <w:color w:val="000000" w:themeColor="text1"/>
              </w:rPr>
              <w:t>The model still has larger errors during later degradation stages because failure behavior can become highly nonlinear.</w:t>
            </w:r>
          </w:p>
        </w:tc>
        <w:tc>
          <w:tcPr>
            <w:tcW w:w="1086" w:type="dxa"/>
            <w:tcBorders>
              <w:top w:val="single" w:color="auto" w:sz="6"/>
              <w:left w:val="single" w:color="auto" w:sz="6"/>
              <w:bottom w:val="single" w:color="auto" w:sz="6"/>
              <w:right w:val="single" w:color="auto" w:sz="6"/>
            </w:tcBorders>
            <w:tcMar>
              <w:top w:w="120" w:type="dxa"/>
              <w:left w:w="180" w:type="dxa"/>
              <w:bottom w:w="120" w:type="dxa"/>
              <w:right w:w="180" w:type="dxa"/>
            </w:tcMar>
            <w:vAlign w:val="center"/>
          </w:tcPr>
          <w:p w:rsidR="625BFF3B" w:rsidP="625BFF3B" w:rsidRDefault="625BFF3B" w14:paraId="16E588AF" w14:textId="6A0CE1B2">
            <w:pPr>
              <w:pStyle w:val="Normal"/>
              <w:rPr>
                <w:color w:val="000000" w:themeColor="text1" w:themeTint="FF" w:themeShade="FF"/>
              </w:rPr>
            </w:pPr>
          </w:p>
        </w:tc>
        <w:tc>
          <w:tcPr>
            <w:tcW w:w="1087"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70CC1999" w14:textId="697C5F5C">
            <w:pPr>
              <w:spacing w:before="240" w:after="240"/>
            </w:pPr>
            <w:r w:rsidRPr="433642B3">
              <w:rPr>
                <w:color w:val="000000" w:themeColor="text1"/>
              </w:rPr>
              <w:t>TCN-Transformer</w:t>
            </w:r>
          </w:p>
        </w:tc>
        <w:tc>
          <w:tcPr>
            <w:tcW w:w="930"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7C092084" w14:textId="601E0D11">
            <w:pPr>
              <w:spacing w:before="240" w:after="240"/>
            </w:pPr>
            <w:r w:rsidRPr="433642B3">
              <w:rPr>
                <w:color w:val="000000" w:themeColor="text1"/>
              </w:rPr>
              <w:t>RMSE = 0.0514, MAE = 0.0392, Score = 0.6346. RMSE reduced by 14.62%, MAE by 9.26% and Score improved by 13.04%</w:t>
            </w:r>
          </w:p>
        </w:tc>
      </w:tr>
      <w:tr w:rsidR="433642B3" w:rsidTr="625BFF3B" w14:paraId="6F689605" w14:textId="77777777">
        <w:trPr>
          <w:trHeight w:val="300"/>
        </w:trPr>
        <w:tc>
          <w:tcPr>
            <w:tcW w:w="1023"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4D0348A6" w14:textId="2DD4A802">
            <w:pPr>
              <w:spacing w:before="240" w:after="240"/>
            </w:pPr>
            <w:r w:rsidRPr="433642B3">
              <w:rPr>
                <w:b/>
                <w:bCs/>
                <w:color w:val="000000" w:themeColor="text1"/>
              </w:rPr>
              <w:t>Chen et al. [12]</w:t>
            </w:r>
          </w:p>
        </w:tc>
        <w:tc>
          <w:tcPr>
            <w:tcW w:w="985"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29D6ACBB" w14:textId="373F3E66">
            <w:pPr>
              <w:spacing w:before="240" w:after="240"/>
            </w:pPr>
            <w:r w:rsidRPr="433642B3">
              <w:rPr>
                <w:color w:val="000000" w:themeColor="text1"/>
              </w:rPr>
              <w:t>SAConvFormer, Bi-LSTM, Dilated CNN, MSCNN, DCNN-MLP</w:t>
            </w:r>
          </w:p>
        </w:tc>
        <w:tc>
          <w:tcPr>
            <w:tcW w:w="835"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05F2C427" w14:textId="7F861516">
            <w:pPr>
              <w:spacing w:before="240" w:after="240"/>
            </w:pPr>
            <w:r w:rsidRPr="433642B3">
              <w:rPr>
                <w:color w:val="000000" w:themeColor="text1"/>
              </w:rPr>
              <w:t>XJTU-SY</w:t>
            </w:r>
          </w:p>
        </w:tc>
        <w:tc>
          <w:tcPr>
            <w:tcW w:w="2327"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1A77237C" w14:textId="048DFEC4">
            <w:pPr>
              <w:spacing w:before="240" w:after="240"/>
            </w:pPr>
            <w:hyperlink r:id="rId19">
              <w:r w:rsidRPr="433642B3">
                <w:rPr>
                  <w:rStyle w:val="Hyperlink"/>
                </w:rPr>
                <w:t>https://biaowang.tech/xjtu-sy-bearing-datasets/</w:t>
              </w:r>
            </w:hyperlink>
          </w:p>
        </w:tc>
        <w:tc>
          <w:tcPr>
            <w:tcW w:w="1086"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77EE612D" w14:textId="0DFFA900">
            <w:pPr>
              <w:spacing w:before="240" w:after="240"/>
            </w:pPr>
            <w:r w:rsidRPr="433642B3">
              <w:rPr>
                <w:color w:val="000000" w:themeColor="text1"/>
              </w:rPr>
              <w:t>The model was tested mainly on one bearing dataset and needs validation on more industrial conditions.</w:t>
            </w:r>
          </w:p>
        </w:tc>
        <w:tc>
          <w:tcPr>
            <w:tcW w:w="1086" w:type="dxa"/>
            <w:tcBorders>
              <w:top w:val="single" w:color="auto" w:sz="6"/>
              <w:left w:val="single" w:color="auto" w:sz="6"/>
              <w:bottom w:val="single" w:color="auto" w:sz="6"/>
              <w:right w:val="single" w:color="auto" w:sz="6"/>
            </w:tcBorders>
            <w:tcMar>
              <w:top w:w="120" w:type="dxa"/>
              <w:left w:w="180" w:type="dxa"/>
              <w:bottom w:w="120" w:type="dxa"/>
              <w:right w:w="180" w:type="dxa"/>
            </w:tcMar>
            <w:vAlign w:val="center"/>
          </w:tcPr>
          <w:p w:rsidR="625BFF3B" w:rsidP="625BFF3B" w:rsidRDefault="625BFF3B" w14:paraId="37B020F7" w14:textId="735A614F">
            <w:pPr>
              <w:pStyle w:val="Normal"/>
              <w:rPr>
                <w:color w:val="000000" w:themeColor="text1" w:themeTint="FF" w:themeShade="FF"/>
              </w:rPr>
            </w:pPr>
          </w:p>
        </w:tc>
        <w:tc>
          <w:tcPr>
            <w:tcW w:w="1087"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59A6C74E" w14:textId="209E7EC6">
            <w:pPr>
              <w:spacing w:before="240" w:after="240"/>
            </w:pPr>
            <w:r w:rsidRPr="433642B3">
              <w:rPr>
                <w:color w:val="000000" w:themeColor="text1"/>
              </w:rPr>
              <w:t>SAConvFormer</w:t>
            </w:r>
          </w:p>
        </w:tc>
        <w:tc>
          <w:tcPr>
            <w:tcW w:w="930"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3516981C" w14:textId="6DD8D130">
            <w:pPr>
              <w:spacing w:before="240" w:after="240"/>
            </w:pPr>
            <w:r w:rsidRPr="433642B3">
              <w:rPr>
                <w:color w:val="000000" w:themeColor="text1"/>
              </w:rPr>
              <w:t>Bearing2_2: RMSE = 0.065, MAE = 0.051. On Bearing3_1, RMSE reduced by 23.7% and MAE by 16.9%</w:t>
            </w:r>
          </w:p>
        </w:tc>
      </w:tr>
      <w:tr w:rsidR="433642B3" w:rsidTr="625BFF3B" w14:paraId="7F6BF6DA" w14:textId="77777777">
        <w:trPr>
          <w:trHeight w:val="300"/>
        </w:trPr>
        <w:tc>
          <w:tcPr>
            <w:tcW w:w="1023"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46A58121" w14:textId="03EF98F9">
            <w:pPr>
              <w:spacing w:before="240" w:after="240"/>
            </w:pPr>
            <w:r w:rsidRPr="433642B3">
              <w:rPr>
                <w:b/>
                <w:bCs/>
                <w:color w:val="000000" w:themeColor="text1"/>
              </w:rPr>
              <w:t>Zou et al. [13]</w:t>
            </w:r>
          </w:p>
        </w:tc>
        <w:tc>
          <w:tcPr>
            <w:tcW w:w="985"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21592E79" w14:textId="72628CE0">
            <w:pPr>
              <w:spacing w:before="240" w:after="240"/>
            </w:pPr>
            <w:r w:rsidRPr="433642B3">
              <w:rPr>
                <w:color w:val="000000" w:themeColor="text1"/>
              </w:rPr>
              <w:t>A-DBiLSTM, BiGRU, CNN-LSTM</w:t>
            </w:r>
          </w:p>
        </w:tc>
        <w:tc>
          <w:tcPr>
            <w:tcW w:w="835"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63088D24" w14:textId="4883F933">
            <w:pPr>
              <w:spacing w:before="240" w:after="240"/>
            </w:pPr>
            <w:r w:rsidRPr="433642B3">
              <w:rPr>
                <w:color w:val="000000" w:themeColor="text1"/>
              </w:rPr>
              <w:t>PHM2012 and XJTU-SY</w:t>
            </w:r>
          </w:p>
        </w:tc>
        <w:tc>
          <w:tcPr>
            <w:tcW w:w="2327"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3C777C32" w14:textId="3790F49F">
            <w:pPr>
              <w:spacing w:before="240" w:after="240"/>
            </w:pPr>
            <w:r w:rsidRPr="433642B3">
              <w:rPr>
                <w:color w:val="000000" w:themeColor="text1"/>
              </w:rPr>
              <w:t xml:space="preserve">PHM2012: </w:t>
            </w:r>
            <w:hyperlink r:id="rId20">
              <w:r w:rsidRPr="433642B3">
                <w:rPr>
                  <w:rStyle w:val="Hyperlink"/>
                </w:rPr>
                <w:t>https://github.com/wkzs111/phm-ieee-2012-data-challenge-dataset</w:t>
              </w:r>
            </w:hyperlink>
            <w:r w:rsidRPr="433642B3">
              <w:rPr>
                <w:color w:val="000000" w:themeColor="text1"/>
              </w:rPr>
              <w:t xml:space="preserve">  XJTU-SY: </w:t>
            </w:r>
            <w:hyperlink r:id="rId21">
              <w:r w:rsidRPr="433642B3">
                <w:rPr>
                  <w:rStyle w:val="Hyperlink"/>
                </w:rPr>
                <w:t>https://biaowang.tech/xjtu-sy-bearing-datasets/</w:t>
              </w:r>
            </w:hyperlink>
          </w:p>
        </w:tc>
        <w:tc>
          <w:tcPr>
            <w:tcW w:w="1086"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7727948C" w14:textId="7D0D90E8">
            <w:pPr>
              <w:spacing w:before="240" w:after="240"/>
            </w:pPr>
            <w:r w:rsidRPr="433642B3">
              <w:rPr>
                <w:color w:val="000000" w:themeColor="text1"/>
              </w:rPr>
              <w:t>The method requires several preprocessing steps including DWT, feature extraction, KPCA and Bayesian optimization.</w:t>
            </w:r>
          </w:p>
        </w:tc>
        <w:tc>
          <w:tcPr>
            <w:tcW w:w="1086" w:type="dxa"/>
            <w:tcBorders>
              <w:top w:val="single" w:color="auto" w:sz="6"/>
              <w:left w:val="single" w:color="auto" w:sz="6"/>
              <w:bottom w:val="single" w:color="auto" w:sz="6"/>
              <w:right w:val="single" w:color="auto" w:sz="6"/>
            </w:tcBorders>
            <w:tcMar>
              <w:top w:w="120" w:type="dxa"/>
              <w:left w:w="180" w:type="dxa"/>
              <w:bottom w:w="120" w:type="dxa"/>
              <w:right w:w="180" w:type="dxa"/>
            </w:tcMar>
            <w:vAlign w:val="center"/>
          </w:tcPr>
          <w:p w:rsidR="625BFF3B" w:rsidP="625BFF3B" w:rsidRDefault="625BFF3B" w14:paraId="75BE0020" w14:textId="0A08F66C">
            <w:pPr>
              <w:pStyle w:val="Normal"/>
              <w:rPr>
                <w:color w:val="000000" w:themeColor="text1" w:themeTint="FF" w:themeShade="FF"/>
              </w:rPr>
            </w:pPr>
          </w:p>
        </w:tc>
        <w:tc>
          <w:tcPr>
            <w:tcW w:w="1087"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3ADD909B" w14:textId="6EB6E915">
            <w:pPr>
              <w:spacing w:before="240" w:after="240"/>
            </w:pPr>
            <w:r w:rsidRPr="433642B3">
              <w:rPr>
                <w:color w:val="000000" w:themeColor="text1"/>
              </w:rPr>
              <w:t>A-DBiLSTM</w:t>
            </w:r>
          </w:p>
        </w:tc>
        <w:tc>
          <w:tcPr>
            <w:tcW w:w="930"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790679A3" w14:textId="45AD2E77">
            <w:pPr>
              <w:spacing w:before="240" w:after="240"/>
            </w:pPr>
            <w:r w:rsidRPr="433642B3">
              <w:rPr>
                <w:color w:val="000000" w:themeColor="text1"/>
              </w:rPr>
              <w:t>The model achieved lower RMSE and MAE and higher R² than the comparison models. Statistical tests reported p-values below 0.05</w:t>
            </w:r>
          </w:p>
        </w:tc>
      </w:tr>
      <w:tr w:rsidR="433642B3" w:rsidTr="625BFF3B" w14:paraId="5E61C6D5" w14:textId="77777777">
        <w:trPr>
          <w:trHeight w:val="300"/>
        </w:trPr>
        <w:tc>
          <w:tcPr>
            <w:tcW w:w="1023"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3533E16C" w14:textId="72F355B4">
            <w:pPr>
              <w:spacing w:before="240" w:after="240"/>
            </w:pPr>
            <w:r w:rsidRPr="433642B3">
              <w:rPr>
                <w:b/>
                <w:bCs/>
                <w:color w:val="000000" w:themeColor="text1"/>
              </w:rPr>
              <w:t>Yang et al. [14]</w:t>
            </w:r>
          </w:p>
        </w:tc>
        <w:tc>
          <w:tcPr>
            <w:tcW w:w="985"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4FD55804" w14:textId="66AAFE6C">
            <w:pPr>
              <w:spacing w:before="240" w:after="240"/>
            </w:pPr>
            <w:r w:rsidRPr="433642B3">
              <w:rPr>
                <w:color w:val="000000" w:themeColor="text1"/>
              </w:rPr>
              <w:t>Transformer Encoder, SE Transformer Encoder, GCU Transformer, TCN-MA, Informer-Encoder, proposed dual-attention model</w:t>
            </w:r>
          </w:p>
        </w:tc>
        <w:tc>
          <w:tcPr>
            <w:tcW w:w="835"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46B08E95" w14:textId="7021718A">
            <w:pPr>
              <w:spacing w:before="240" w:after="240"/>
            </w:pPr>
            <w:r w:rsidRPr="433642B3">
              <w:rPr>
                <w:color w:val="000000" w:themeColor="text1"/>
              </w:rPr>
              <w:t>XJTU-SY</w:t>
            </w:r>
          </w:p>
        </w:tc>
        <w:tc>
          <w:tcPr>
            <w:tcW w:w="2327"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557BDCA9" w14:textId="3EB927A1">
            <w:pPr>
              <w:spacing w:before="240" w:after="240"/>
            </w:pPr>
            <w:hyperlink r:id="rId22">
              <w:r w:rsidRPr="433642B3">
                <w:rPr>
                  <w:rStyle w:val="Hyperlink"/>
                </w:rPr>
                <w:t>https://biaowang.tech/xjtu-sy-bearing-datasets/</w:t>
              </w:r>
            </w:hyperlink>
          </w:p>
        </w:tc>
        <w:tc>
          <w:tcPr>
            <w:tcW w:w="1086"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28000348" w14:textId="70E75533">
            <w:pPr>
              <w:spacing w:before="240" w:after="240"/>
            </w:pPr>
            <w:r w:rsidRPr="433642B3">
              <w:rPr>
                <w:color w:val="000000" w:themeColor="text1"/>
              </w:rPr>
              <w:t>The model uses several feature extraction and attention modules which may increase model complexity.</w:t>
            </w:r>
          </w:p>
        </w:tc>
        <w:tc>
          <w:tcPr>
            <w:tcW w:w="1086" w:type="dxa"/>
            <w:tcBorders>
              <w:top w:val="single" w:color="auto" w:sz="6"/>
              <w:left w:val="single" w:color="auto" w:sz="6"/>
              <w:bottom w:val="single" w:color="auto" w:sz="6"/>
              <w:right w:val="single" w:color="auto" w:sz="6"/>
            </w:tcBorders>
            <w:tcMar>
              <w:top w:w="120" w:type="dxa"/>
              <w:left w:w="180" w:type="dxa"/>
              <w:bottom w:w="120" w:type="dxa"/>
              <w:right w:w="180" w:type="dxa"/>
            </w:tcMar>
            <w:vAlign w:val="center"/>
          </w:tcPr>
          <w:p w:rsidR="625BFF3B" w:rsidP="625BFF3B" w:rsidRDefault="625BFF3B" w14:paraId="2AAA8543" w14:textId="73494DAD">
            <w:pPr>
              <w:pStyle w:val="Normal"/>
              <w:rPr>
                <w:color w:val="000000" w:themeColor="text1" w:themeTint="FF" w:themeShade="FF"/>
              </w:rPr>
            </w:pPr>
          </w:p>
        </w:tc>
        <w:tc>
          <w:tcPr>
            <w:tcW w:w="1087"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64913874" w14:textId="6A6E5DE4">
            <w:pPr>
              <w:spacing w:before="240" w:after="240"/>
            </w:pPr>
            <w:r w:rsidRPr="433642B3">
              <w:rPr>
                <w:color w:val="000000" w:themeColor="text1"/>
              </w:rPr>
              <w:t>Deep multiscale feature fusion network with dual attention</w:t>
            </w:r>
          </w:p>
        </w:tc>
        <w:tc>
          <w:tcPr>
            <w:tcW w:w="930"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6C3016F9" w14:textId="66D5C152">
            <w:pPr>
              <w:spacing w:before="240" w:after="240"/>
            </w:pPr>
            <w:r w:rsidRPr="433642B3">
              <w:rPr>
                <w:color w:val="000000" w:themeColor="text1"/>
              </w:rPr>
              <w:t>Bearing2_2: RMSE = 0.05301, MAE = 0.04159, R² = 0.96186. Bearing2_5: RMSE = 0.07505, MAE = 0.06182, R² = 0.93149</w:t>
            </w:r>
          </w:p>
        </w:tc>
      </w:tr>
      <w:tr w:rsidR="433642B3" w:rsidTr="625BFF3B" w14:paraId="4DDB5C99" w14:textId="77777777">
        <w:trPr>
          <w:trHeight w:val="300"/>
        </w:trPr>
        <w:tc>
          <w:tcPr>
            <w:tcW w:w="1023"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0669C1BC" w14:textId="49C01D9E">
            <w:pPr>
              <w:spacing w:before="240" w:after="240"/>
            </w:pPr>
            <w:r w:rsidRPr="433642B3">
              <w:rPr>
                <w:b/>
                <w:bCs/>
                <w:color w:val="000000" w:themeColor="text1"/>
              </w:rPr>
              <w:t>Liu et al. [15]</w:t>
            </w:r>
          </w:p>
        </w:tc>
        <w:tc>
          <w:tcPr>
            <w:tcW w:w="985"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327C6806" w14:textId="7D97F09E">
            <w:pPr>
              <w:spacing w:before="240" w:after="240"/>
            </w:pPr>
            <w:r w:rsidRPr="433642B3">
              <w:rPr>
                <w:color w:val="000000" w:themeColor="text1"/>
              </w:rPr>
              <w:t>TcLstmNet-CBAM, RNN, TCN, LSTM, TCN-SA, TCN-R</w:t>
            </w:r>
          </w:p>
        </w:tc>
        <w:tc>
          <w:tcPr>
            <w:tcW w:w="835"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3321CFF9" w14:textId="41579CED">
            <w:pPr>
              <w:spacing w:before="240" w:after="240"/>
            </w:pPr>
            <w:r w:rsidRPr="433642B3">
              <w:rPr>
                <w:color w:val="000000" w:themeColor="text1"/>
              </w:rPr>
              <w:t>PHM2012 and XJTU-SY</w:t>
            </w:r>
          </w:p>
        </w:tc>
        <w:tc>
          <w:tcPr>
            <w:tcW w:w="2327"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0F8B68D0" w14:textId="36FE6B7D">
            <w:pPr>
              <w:spacing w:before="240" w:after="240"/>
            </w:pPr>
            <w:r w:rsidRPr="433642B3">
              <w:rPr>
                <w:color w:val="000000" w:themeColor="text1"/>
              </w:rPr>
              <w:t xml:space="preserve">PHM2012: </w:t>
            </w:r>
            <w:hyperlink r:id="rId23">
              <w:r w:rsidRPr="433642B3">
                <w:rPr>
                  <w:rStyle w:val="Hyperlink"/>
                </w:rPr>
                <w:t>https://github.com/wkzs111/phm-ieee-2012-data-challenge-dataset</w:t>
              </w:r>
            </w:hyperlink>
            <w:r w:rsidRPr="433642B3">
              <w:rPr>
                <w:color w:val="000000" w:themeColor="text1"/>
              </w:rPr>
              <w:t xml:space="preserve">  XJTU-SY: </w:t>
            </w:r>
            <w:hyperlink r:id="rId24">
              <w:r w:rsidRPr="433642B3">
                <w:rPr>
                  <w:rStyle w:val="Hyperlink"/>
                </w:rPr>
                <w:t>https://biaowang.tech/xjtu-sy-bearing-datasets/</w:t>
              </w:r>
            </w:hyperlink>
          </w:p>
        </w:tc>
        <w:tc>
          <w:tcPr>
            <w:tcW w:w="1086"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7518202D" w14:textId="466882A8">
            <w:pPr>
              <w:spacing w:before="240" w:after="240"/>
            </w:pPr>
            <w:r w:rsidRPr="433642B3">
              <w:rPr>
                <w:color w:val="000000" w:themeColor="text1"/>
              </w:rPr>
              <w:t>The model combines several parallel and attention modules which may increase computational requirements.</w:t>
            </w:r>
          </w:p>
        </w:tc>
        <w:tc>
          <w:tcPr>
            <w:tcW w:w="1086" w:type="dxa"/>
            <w:tcBorders>
              <w:top w:val="single" w:color="auto" w:sz="6"/>
              <w:left w:val="single" w:color="auto" w:sz="6"/>
              <w:bottom w:val="single" w:color="auto" w:sz="6"/>
              <w:right w:val="single" w:color="auto" w:sz="6"/>
            </w:tcBorders>
            <w:tcMar>
              <w:top w:w="120" w:type="dxa"/>
              <w:left w:w="180" w:type="dxa"/>
              <w:bottom w:w="120" w:type="dxa"/>
              <w:right w:w="180" w:type="dxa"/>
            </w:tcMar>
            <w:vAlign w:val="center"/>
          </w:tcPr>
          <w:p w:rsidR="625BFF3B" w:rsidP="625BFF3B" w:rsidRDefault="625BFF3B" w14:paraId="07DE2C30" w14:textId="257DC2DA">
            <w:pPr>
              <w:pStyle w:val="Normal"/>
              <w:rPr>
                <w:color w:val="000000" w:themeColor="text1" w:themeTint="FF" w:themeShade="FF"/>
              </w:rPr>
            </w:pPr>
          </w:p>
        </w:tc>
        <w:tc>
          <w:tcPr>
            <w:tcW w:w="1087"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2E847721" w14:textId="5AD71432">
            <w:pPr>
              <w:spacing w:before="240" w:after="240"/>
            </w:pPr>
            <w:r w:rsidRPr="433642B3">
              <w:rPr>
                <w:color w:val="000000" w:themeColor="text1"/>
              </w:rPr>
              <w:t>TcLstmNet-CBAM</w:t>
            </w:r>
          </w:p>
        </w:tc>
        <w:tc>
          <w:tcPr>
            <w:tcW w:w="930"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26F16837" w14:textId="3A659F53">
            <w:pPr>
              <w:spacing w:before="240" w:after="240"/>
            </w:pPr>
            <w:r w:rsidRPr="433642B3">
              <w:rPr>
                <w:color w:val="000000" w:themeColor="text1"/>
              </w:rPr>
              <w:t>MAE = 2.287, RMSE = 3.123</w:t>
            </w:r>
          </w:p>
        </w:tc>
      </w:tr>
    </w:tbl>
    <w:p w:rsidRPr="00494494" w:rsidR="00D2241C" w:rsidP="007D77C4" w:rsidRDefault="00D2241C" w14:paraId="461F652F" w14:textId="6400525C">
      <w:pPr>
        <w:spacing w:before="240" w:after="240"/>
        <w:rPr>
          <w:rFonts w:ascii="Calibri" w:hAnsi="Calibri" w:cs="Calibri"/>
          <w:sz w:val="22"/>
          <w:szCs w:val="22"/>
        </w:rPr>
      </w:pPr>
    </w:p>
    <w:p w:rsidRPr="00494494" w:rsidR="00D2241C" w:rsidP="007D77C4" w:rsidRDefault="00D2241C" w14:paraId="3D79995C" w14:textId="77777777">
      <w:pPr>
        <w:spacing w:before="240" w:after="240"/>
        <w:rPr>
          <w:rFonts w:ascii="Calibri" w:hAnsi="Calibri" w:cs="Calibri"/>
          <w:sz w:val="22"/>
          <w:szCs w:val="22"/>
        </w:rPr>
      </w:pPr>
    </w:p>
    <w:p w:rsidRPr="00494494" w:rsidR="00D2241C" w:rsidP="433642B3" w:rsidRDefault="73C90334" w14:paraId="14660DB0" w14:textId="4E7B156A">
      <w:pPr>
        <w:spacing w:before="240" w:after="240"/>
        <w:rPr>
          <w:rFonts w:ascii="Calibri" w:hAnsi="Calibri" w:eastAsia="Calibri" w:cs="Calibri"/>
          <w:b/>
          <w:bCs/>
          <w:color w:val="000000" w:themeColor="text1"/>
          <w:sz w:val="28"/>
          <w:szCs w:val="28"/>
        </w:rPr>
      </w:pPr>
      <w:r w:rsidRPr="433642B3">
        <w:rPr>
          <w:rFonts w:ascii="Calibri" w:hAnsi="Calibri" w:eastAsia="Calibri" w:cs="Calibri"/>
          <w:b/>
          <w:bCs/>
          <w:color w:val="000000" w:themeColor="text1"/>
          <w:sz w:val="28"/>
          <w:szCs w:val="28"/>
        </w:rPr>
        <w:t>References</w:t>
      </w:r>
    </w:p>
    <w:p w:rsidRPr="00494494" w:rsidR="00D2241C" w:rsidP="433642B3" w:rsidRDefault="73C90334" w14:paraId="76ECA68A" w14:textId="340DEB77">
      <w:pPr>
        <w:spacing w:before="240" w:after="240"/>
      </w:pPr>
      <w:r w:rsidRPr="433642B3">
        <w:rPr>
          <w:rFonts w:ascii="Calibri" w:hAnsi="Calibri" w:eastAsia="Calibri" w:cs="Calibri"/>
          <w:color w:val="000000" w:themeColor="text1"/>
          <w:sz w:val="22"/>
          <w:szCs w:val="22"/>
        </w:rPr>
        <w:t xml:space="preserve">[1] Deng, S., and Zhou, J. “Prediction of Remaining Useful Life of Aero-engines Based on CNN-LSTM-Attention.” </w:t>
      </w:r>
      <w:r w:rsidRPr="433642B3">
        <w:rPr>
          <w:rFonts w:ascii="Calibri" w:hAnsi="Calibri" w:eastAsia="Calibri" w:cs="Calibri"/>
          <w:i/>
          <w:iCs/>
          <w:color w:val="000000" w:themeColor="text1"/>
          <w:sz w:val="22"/>
          <w:szCs w:val="22"/>
        </w:rPr>
        <w:t>International Journal of Computational Intelligence Systems</w:t>
      </w:r>
      <w:r w:rsidRPr="433642B3">
        <w:rPr>
          <w:rFonts w:ascii="Calibri" w:hAnsi="Calibri" w:eastAsia="Calibri" w:cs="Calibri"/>
          <w:color w:val="000000" w:themeColor="text1"/>
          <w:sz w:val="22"/>
          <w:szCs w:val="22"/>
        </w:rPr>
        <w:t xml:space="preserve">, vol. 17, article 232, 2024. DOI: 10.1007/s44196-024-00639-w. </w:t>
      </w:r>
    </w:p>
    <w:p w:rsidRPr="00494494" w:rsidR="00D2241C" w:rsidP="433642B3" w:rsidRDefault="73C90334" w14:paraId="434ED681" w14:textId="01B95F48">
      <w:pPr>
        <w:spacing w:before="240" w:after="240"/>
      </w:pPr>
      <w:r w:rsidRPr="433642B3">
        <w:rPr>
          <w:rFonts w:ascii="Calibri" w:hAnsi="Calibri" w:eastAsia="Calibri" w:cs="Calibri"/>
          <w:color w:val="000000" w:themeColor="text1"/>
          <w:sz w:val="22"/>
          <w:szCs w:val="22"/>
        </w:rPr>
        <w:t xml:space="preserve">[2] Fan, Z., Li, W., and Chang, K.-C. “A Two-Stage Attention-Based Hierarchical Transformer for Turbofan Engine Remaining Useful Life Prediction.” </w:t>
      </w:r>
      <w:r w:rsidRPr="433642B3">
        <w:rPr>
          <w:rFonts w:ascii="Calibri" w:hAnsi="Calibri" w:eastAsia="Calibri" w:cs="Calibri"/>
          <w:i/>
          <w:iCs/>
          <w:color w:val="000000" w:themeColor="text1"/>
          <w:sz w:val="22"/>
          <w:szCs w:val="22"/>
        </w:rPr>
        <w:t>Sensors</w:t>
      </w:r>
      <w:r w:rsidRPr="433642B3">
        <w:rPr>
          <w:rFonts w:ascii="Calibri" w:hAnsi="Calibri" w:eastAsia="Calibri" w:cs="Calibri"/>
          <w:color w:val="000000" w:themeColor="text1"/>
          <w:sz w:val="22"/>
          <w:szCs w:val="22"/>
        </w:rPr>
        <w:t xml:space="preserve">, vol. 24, no. 3, article 824, 2024. DOI: 10.3390/s24030824. </w:t>
      </w:r>
    </w:p>
    <w:p w:rsidRPr="00494494" w:rsidR="00D2241C" w:rsidP="433642B3" w:rsidRDefault="73C90334" w14:paraId="3D4C8EA6" w14:textId="254CD78F">
      <w:pPr>
        <w:spacing w:before="240" w:after="240"/>
      </w:pPr>
      <w:r w:rsidRPr="433642B3">
        <w:rPr>
          <w:rFonts w:ascii="Calibri" w:hAnsi="Calibri" w:eastAsia="Calibri" w:cs="Calibri"/>
          <w:color w:val="000000" w:themeColor="text1"/>
          <w:sz w:val="22"/>
          <w:szCs w:val="22"/>
        </w:rPr>
        <w:t xml:space="preserve">[3] Elsherif, S. M., Hafiz, B., Makhlouf, M. A., and Farouk, O. “A Deep Learning-Based Prognostic Approach for Predicting Turbofan Engine Degradation and Remaining Useful Life.” </w:t>
      </w:r>
      <w:r w:rsidRPr="433642B3">
        <w:rPr>
          <w:rFonts w:ascii="Calibri" w:hAnsi="Calibri" w:eastAsia="Calibri" w:cs="Calibri"/>
          <w:i/>
          <w:iCs/>
          <w:color w:val="000000" w:themeColor="text1"/>
          <w:sz w:val="22"/>
          <w:szCs w:val="22"/>
        </w:rPr>
        <w:t>Scientific Reports</w:t>
      </w:r>
      <w:r w:rsidRPr="433642B3">
        <w:rPr>
          <w:rFonts w:ascii="Calibri" w:hAnsi="Calibri" w:eastAsia="Calibri" w:cs="Calibri"/>
          <w:color w:val="000000" w:themeColor="text1"/>
          <w:sz w:val="22"/>
          <w:szCs w:val="22"/>
        </w:rPr>
        <w:t xml:space="preserve">, vol. 15, article 26251, 2025. DOI: 10.1038/s41598-025-09155-z. </w:t>
      </w:r>
    </w:p>
    <w:p w:rsidRPr="00494494" w:rsidR="00D2241C" w:rsidP="433642B3" w:rsidRDefault="73C90334" w14:paraId="1E360257" w14:textId="7441161D">
      <w:pPr>
        <w:spacing w:before="240" w:after="240"/>
      </w:pPr>
      <w:r w:rsidRPr="433642B3">
        <w:rPr>
          <w:rFonts w:ascii="Calibri" w:hAnsi="Calibri" w:eastAsia="Calibri" w:cs="Calibri"/>
          <w:color w:val="000000" w:themeColor="text1"/>
          <w:sz w:val="22"/>
          <w:szCs w:val="22"/>
        </w:rPr>
        <w:t xml:space="preserve">[4] Ensarioğlu, K., İnkaya, T., and Emel, E. “Remaining Useful Life Estimation of Turbofan Engines with Deep Learning Using Change-Point Detection Based Labeling and Feature Engineering.” </w:t>
      </w:r>
      <w:r w:rsidRPr="433642B3">
        <w:rPr>
          <w:rFonts w:ascii="Calibri" w:hAnsi="Calibri" w:eastAsia="Calibri" w:cs="Calibri"/>
          <w:i/>
          <w:iCs/>
          <w:color w:val="000000" w:themeColor="text1"/>
          <w:sz w:val="22"/>
          <w:szCs w:val="22"/>
        </w:rPr>
        <w:t>Applied Sciences</w:t>
      </w:r>
      <w:r w:rsidRPr="433642B3">
        <w:rPr>
          <w:rFonts w:ascii="Calibri" w:hAnsi="Calibri" w:eastAsia="Calibri" w:cs="Calibri"/>
          <w:color w:val="000000" w:themeColor="text1"/>
          <w:sz w:val="22"/>
          <w:szCs w:val="22"/>
        </w:rPr>
        <w:t xml:space="preserve">, vol. 13, no. 21, article 11893, 2023. DOI: 10.3390/app132111893. </w:t>
      </w:r>
    </w:p>
    <w:p w:rsidRPr="00494494" w:rsidR="00D2241C" w:rsidP="433642B3" w:rsidRDefault="73C90334" w14:paraId="5B72259F" w14:textId="666708D1">
      <w:pPr>
        <w:spacing w:before="240" w:after="240"/>
      </w:pPr>
      <w:r w:rsidRPr="433642B3">
        <w:rPr>
          <w:rFonts w:ascii="Calibri" w:hAnsi="Calibri" w:eastAsia="Calibri" w:cs="Calibri"/>
          <w:color w:val="000000" w:themeColor="text1"/>
          <w:sz w:val="22"/>
          <w:szCs w:val="22"/>
        </w:rPr>
        <w:t xml:space="preserve">[5] Sun, N., Tang, J., Ye, X., Zhang, C., Zhu, S., Wang, S., and Sun, Y. “Remaining Useful Life Prognostics of Bearings Based on Convolution Attention Networks and Enhanced Transformer.” </w:t>
      </w:r>
      <w:r w:rsidRPr="433642B3">
        <w:rPr>
          <w:rFonts w:ascii="Calibri" w:hAnsi="Calibri" w:eastAsia="Calibri" w:cs="Calibri"/>
          <w:i/>
          <w:iCs/>
          <w:color w:val="000000" w:themeColor="text1"/>
          <w:sz w:val="22"/>
          <w:szCs w:val="22"/>
        </w:rPr>
        <w:t>Heliyon</w:t>
      </w:r>
      <w:r w:rsidRPr="433642B3">
        <w:rPr>
          <w:rFonts w:ascii="Calibri" w:hAnsi="Calibri" w:eastAsia="Calibri" w:cs="Calibri"/>
          <w:color w:val="000000" w:themeColor="text1"/>
          <w:sz w:val="22"/>
          <w:szCs w:val="22"/>
        </w:rPr>
        <w:t xml:space="preserve">, vol. 10, no. 19, article e38317, 2024. DOI: 10.1016/j.heliyon.2024.e38317. </w:t>
      </w:r>
    </w:p>
    <w:p w:rsidRPr="00494494" w:rsidR="00D2241C" w:rsidP="433642B3" w:rsidRDefault="73C90334" w14:paraId="5BD5FE49" w14:textId="71CC33BA">
      <w:pPr>
        <w:spacing w:before="240" w:after="240"/>
      </w:pPr>
      <w:r w:rsidRPr="433642B3">
        <w:rPr>
          <w:rFonts w:ascii="Calibri" w:hAnsi="Calibri" w:eastAsia="Calibri" w:cs="Calibri"/>
          <w:color w:val="000000" w:themeColor="text1"/>
          <w:sz w:val="22"/>
          <w:szCs w:val="22"/>
        </w:rPr>
        <w:t xml:space="preserve">[6] Jin, C., Li, B., Yang, Y., Yuan, X., Tu, R., Qiu, L., and Chen, X. “Remaining Useful Life Prediction of Rolling Bearings Based on Empirical Mode Decomposition and Transformer Bi-LSTM Network.” </w:t>
      </w:r>
      <w:r w:rsidRPr="433642B3">
        <w:rPr>
          <w:rFonts w:ascii="Calibri" w:hAnsi="Calibri" w:eastAsia="Calibri" w:cs="Calibri"/>
          <w:i/>
          <w:iCs/>
          <w:color w:val="000000" w:themeColor="text1"/>
          <w:sz w:val="22"/>
          <w:szCs w:val="22"/>
        </w:rPr>
        <w:t>Applied Sciences</w:t>
      </w:r>
      <w:r w:rsidRPr="433642B3">
        <w:rPr>
          <w:rFonts w:ascii="Calibri" w:hAnsi="Calibri" w:eastAsia="Calibri" w:cs="Calibri"/>
          <w:color w:val="000000" w:themeColor="text1"/>
          <w:sz w:val="22"/>
          <w:szCs w:val="22"/>
        </w:rPr>
        <w:t xml:space="preserve">, vol. 15, no. 17, article 9529, 2025. DOI: 10.3390/app15179529. </w:t>
      </w:r>
    </w:p>
    <w:p w:rsidRPr="00494494" w:rsidR="00D2241C" w:rsidP="433642B3" w:rsidRDefault="73C90334" w14:paraId="5A4FE687" w14:textId="6B831A61">
      <w:pPr>
        <w:spacing w:before="240" w:after="240"/>
      </w:pPr>
      <w:r w:rsidRPr="433642B3">
        <w:rPr>
          <w:rFonts w:ascii="Calibri" w:hAnsi="Calibri" w:eastAsia="Calibri" w:cs="Calibri"/>
          <w:color w:val="000000" w:themeColor="text1"/>
          <w:sz w:val="22"/>
          <w:szCs w:val="22"/>
        </w:rPr>
        <w:t xml:space="preserve">[7] Wang, C., Jiang, W., Shi, L., et al. “Rolling Bearing Remaining Useful Life Prediction Using Deep Learning Based on High-Quality Representation.” </w:t>
      </w:r>
      <w:r w:rsidRPr="433642B3">
        <w:rPr>
          <w:rFonts w:ascii="Calibri" w:hAnsi="Calibri" w:eastAsia="Calibri" w:cs="Calibri"/>
          <w:i/>
          <w:iCs/>
          <w:color w:val="000000" w:themeColor="text1"/>
          <w:sz w:val="22"/>
          <w:szCs w:val="22"/>
        </w:rPr>
        <w:t>Scientific Reports</w:t>
      </w:r>
      <w:r w:rsidRPr="433642B3">
        <w:rPr>
          <w:rFonts w:ascii="Calibri" w:hAnsi="Calibri" w:eastAsia="Calibri" w:cs="Calibri"/>
          <w:color w:val="000000" w:themeColor="text1"/>
          <w:sz w:val="22"/>
          <w:szCs w:val="22"/>
        </w:rPr>
        <w:t xml:space="preserve">, vol. 15, article 8228, 2025. DOI: 10.1038/s41598-025-93165-4. </w:t>
      </w:r>
    </w:p>
    <w:p w:rsidRPr="00494494" w:rsidR="00D2241C" w:rsidP="433642B3" w:rsidRDefault="73C90334" w14:paraId="355644E8" w14:textId="0B7AB04B">
      <w:pPr>
        <w:spacing w:before="240" w:after="240"/>
      </w:pPr>
      <w:r w:rsidRPr="433642B3">
        <w:rPr>
          <w:rFonts w:ascii="Calibri" w:hAnsi="Calibri" w:eastAsia="Calibri" w:cs="Calibri"/>
          <w:color w:val="000000" w:themeColor="text1"/>
          <w:sz w:val="22"/>
          <w:szCs w:val="22"/>
        </w:rPr>
        <w:t xml:space="preserve">[8] Xiao, G., Jin, C., and Bai, J. “Remaining Useful Life Prediction for Aero-Engines Based on Multi-Scale Dilated Fusion Attention Model.” </w:t>
      </w:r>
      <w:r w:rsidRPr="433642B3">
        <w:rPr>
          <w:rFonts w:ascii="Calibri" w:hAnsi="Calibri" w:eastAsia="Calibri" w:cs="Calibri"/>
          <w:i/>
          <w:iCs/>
          <w:color w:val="000000" w:themeColor="text1"/>
          <w:sz w:val="22"/>
          <w:szCs w:val="22"/>
        </w:rPr>
        <w:t>Applied Sciences</w:t>
      </w:r>
      <w:r w:rsidRPr="433642B3">
        <w:rPr>
          <w:rFonts w:ascii="Calibri" w:hAnsi="Calibri" w:eastAsia="Calibri" w:cs="Calibri"/>
          <w:color w:val="000000" w:themeColor="text1"/>
          <w:sz w:val="22"/>
          <w:szCs w:val="22"/>
        </w:rPr>
        <w:t xml:space="preserve">, vol. 15, no. 17, article 9813, 2025. DOI: 10.3390/app15179813. </w:t>
      </w:r>
    </w:p>
    <w:p w:rsidRPr="00494494" w:rsidR="00D2241C" w:rsidP="433642B3" w:rsidRDefault="73C90334" w14:paraId="63760FF0" w14:textId="4DAC010F">
      <w:pPr>
        <w:spacing w:before="240" w:after="240"/>
      </w:pPr>
      <w:r w:rsidRPr="433642B3">
        <w:rPr>
          <w:rFonts w:ascii="Calibri" w:hAnsi="Calibri" w:eastAsia="Calibri" w:cs="Calibri"/>
          <w:color w:val="000000" w:themeColor="text1"/>
          <w:sz w:val="22"/>
          <w:szCs w:val="22"/>
        </w:rPr>
        <w:t xml:space="preserve">[9] Özcan, H. “Interpretable Ensemble Remaining Useful Life Prediction Enables Dynamic Maintenance Scheduling for Aircraft Engines.” </w:t>
      </w:r>
      <w:r w:rsidRPr="433642B3">
        <w:rPr>
          <w:rFonts w:ascii="Calibri" w:hAnsi="Calibri" w:eastAsia="Calibri" w:cs="Calibri"/>
          <w:i/>
          <w:iCs/>
          <w:color w:val="000000" w:themeColor="text1"/>
          <w:sz w:val="22"/>
          <w:szCs w:val="22"/>
        </w:rPr>
        <w:t>Scientific Reports</w:t>
      </w:r>
      <w:r w:rsidRPr="433642B3">
        <w:rPr>
          <w:rFonts w:ascii="Calibri" w:hAnsi="Calibri" w:eastAsia="Calibri" w:cs="Calibri"/>
          <w:color w:val="000000" w:themeColor="text1"/>
          <w:sz w:val="22"/>
          <w:szCs w:val="22"/>
        </w:rPr>
        <w:t xml:space="preserve">, vol. 15, article 39795, 2025. DOI: 10.1038/s41598-025-23473-2. </w:t>
      </w:r>
    </w:p>
    <w:p w:rsidRPr="00494494" w:rsidR="00D2241C" w:rsidP="433642B3" w:rsidRDefault="73C90334" w14:paraId="4D72F501" w14:textId="6465C1DD">
      <w:pPr>
        <w:spacing w:before="240" w:after="240"/>
      </w:pPr>
      <w:r w:rsidRPr="433642B3">
        <w:rPr>
          <w:rFonts w:ascii="Calibri" w:hAnsi="Calibri" w:eastAsia="Calibri" w:cs="Calibri"/>
          <w:color w:val="000000" w:themeColor="text1"/>
          <w:sz w:val="22"/>
          <w:szCs w:val="22"/>
        </w:rPr>
        <w:t xml:space="preserve">[10] Lei, W., Dong, X., Cui, F., and Huang, G. “A Remaining Useful Life Prediction Method for Rolling Bearings Based on Hierarchical Clustering and Transformer–GRU.” </w:t>
      </w:r>
      <w:r w:rsidRPr="433642B3">
        <w:rPr>
          <w:rFonts w:ascii="Calibri" w:hAnsi="Calibri" w:eastAsia="Calibri" w:cs="Calibri"/>
          <w:i/>
          <w:iCs/>
          <w:color w:val="000000" w:themeColor="text1"/>
          <w:sz w:val="22"/>
          <w:szCs w:val="22"/>
        </w:rPr>
        <w:t>Applied Sciences</w:t>
      </w:r>
      <w:r w:rsidRPr="433642B3">
        <w:rPr>
          <w:rFonts w:ascii="Calibri" w:hAnsi="Calibri" w:eastAsia="Calibri" w:cs="Calibri"/>
          <w:color w:val="000000" w:themeColor="text1"/>
          <w:sz w:val="22"/>
          <w:szCs w:val="22"/>
        </w:rPr>
        <w:t xml:space="preserve">, vol. 15, no. 10, article 5369, 2025. DOI: 10.3390/app15105369. </w:t>
      </w:r>
    </w:p>
    <w:p w:rsidRPr="00494494" w:rsidR="00D2241C" w:rsidP="433642B3" w:rsidRDefault="73C90334" w14:paraId="6ACEFEF4" w14:textId="1FC69C73">
      <w:pPr>
        <w:spacing w:before="240" w:after="240"/>
      </w:pPr>
      <w:r w:rsidRPr="433642B3">
        <w:rPr>
          <w:rFonts w:ascii="Calibri" w:hAnsi="Calibri" w:eastAsia="Calibri" w:cs="Calibri"/>
          <w:color w:val="000000" w:themeColor="text1"/>
          <w:sz w:val="22"/>
          <w:szCs w:val="22"/>
        </w:rPr>
        <w:t xml:space="preserve">[11] Jin, X., Ji, Y., Li, S., Lv, K., Xu, J., Jiang, H., and Fu, S. “Remaining Useful Life Prediction for Rolling Bearings Based on TCN–Transformer Networks Using Vibration Signals.” </w:t>
      </w:r>
      <w:r w:rsidRPr="433642B3">
        <w:rPr>
          <w:rFonts w:ascii="Calibri" w:hAnsi="Calibri" w:eastAsia="Calibri" w:cs="Calibri"/>
          <w:i/>
          <w:iCs/>
          <w:color w:val="000000" w:themeColor="text1"/>
          <w:sz w:val="22"/>
          <w:szCs w:val="22"/>
        </w:rPr>
        <w:t>Sensors</w:t>
      </w:r>
      <w:r w:rsidRPr="433642B3">
        <w:rPr>
          <w:rFonts w:ascii="Calibri" w:hAnsi="Calibri" w:eastAsia="Calibri" w:cs="Calibri"/>
          <w:color w:val="000000" w:themeColor="text1"/>
          <w:sz w:val="22"/>
          <w:szCs w:val="22"/>
        </w:rPr>
        <w:t xml:space="preserve">, vol. 25, no. 11, article 3571, 2025. DOI: 10.3390/s25113571. </w:t>
      </w:r>
    </w:p>
    <w:p w:rsidRPr="00494494" w:rsidR="00D2241C" w:rsidP="433642B3" w:rsidRDefault="73C90334" w14:paraId="2A33DF19" w14:textId="0A782AF9">
      <w:pPr>
        <w:spacing w:before="240" w:after="240"/>
      </w:pPr>
      <w:r w:rsidRPr="433642B3">
        <w:rPr>
          <w:rFonts w:ascii="Calibri" w:hAnsi="Calibri" w:eastAsia="Calibri" w:cs="Calibri"/>
          <w:color w:val="000000" w:themeColor="text1"/>
          <w:sz w:val="22"/>
          <w:szCs w:val="22"/>
        </w:rPr>
        <w:t xml:space="preserve">[12] Chen, C., Wang, T., Liu, Y., Cheng, L., and Qin, J. “Spatial-Attention-Based Convolutional Transformer for Bearing Remaining Useful Life Prediction.” </w:t>
      </w:r>
      <w:r w:rsidRPr="433642B3">
        <w:rPr>
          <w:rFonts w:ascii="Calibri" w:hAnsi="Calibri" w:eastAsia="Calibri" w:cs="Calibri"/>
          <w:i/>
          <w:iCs/>
          <w:color w:val="000000" w:themeColor="text1"/>
          <w:sz w:val="22"/>
          <w:szCs w:val="22"/>
        </w:rPr>
        <w:t>Measurement Science and Technology</w:t>
      </w:r>
      <w:r w:rsidRPr="433642B3">
        <w:rPr>
          <w:rFonts w:ascii="Calibri" w:hAnsi="Calibri" w:eastAsia="Calibri" w:cs="Calibri"/>
          <w:color w:val="000000" w:themeColor="text1"/>
          <w:sz w:val="22"/>
          <w:szCs w:val="22"/>
        </w:rPr>
        <w:t xml:space="preserve">, vol. 33, no. 11, article 114001, 2022. DOI: 10.1088/1361-6501/ac7c5b. </w:t>
      </w:r>
    </w:p>
    <w:p w:rsidRPr="00494494" w:rsidR="00D2241C" w:rsidP="433642B3" w:rsidRDefault="73C90334" w14:paraId="2B1F571E" w14:textId="2A5DDC5D">
      <w:pPr>
        <w:spacing w:before="240" w:after="240"/>
      </w:pPr>
      <w:r w:rsidRPr="433642B3">
        <w:rPr>
          <w:rFonts w:ascii="Calibri" w:hAnsi="Calibri" w:eastAsia="Calibri" w:cs="Calibri"/>
          <w:color w:val="000000" w:themeColor="text1"/>
          <w:sz w:val="22"/>
          <w:szCs w:val="22"/>
        </w:rPr>
        <w:t xml:space="preserve">[13] Zou, Y., Sun, W., Wang, H., Xu, T., and Wang, B. “Research on Bearing Remaining Useful Life Prediction Method Based on Double Bidirectional Long Short-Term Memory.” </w:t>
      </w:r>
      <w:r w:rsidRPr="433642B3">
        <w:rPr>
          <w:rFonts w:ascii="Calibri" w:hAnsi="Calibri" w:eastAsia="Calibri" w:cs="Calibri"/>
          <w:i/>
          <w:iCs/>
          <w:color w:val="000000" w:themeColor="text1"/>
          <w:sz w:val="22"/>
          <w:szCs w:val="22"/>
        </w:rPr>
        <w:t>Applied Sciences</w:t>
      </w:r>
      <w:r w:rsidRPr="433642B3">
        <w:rPr>
          <w:rFonts w:ascii="Calibri" w:hAnsi="Calibri" w:eastAsia="Calibri" w:cs="Calibri"/>
          <w:color w:val="000000" w:themeColor="text1"/>
          <w:sz w:val="22"/>
          <w:szCs w:val="22"/>
        </w:rPr>
        <w:t xml:space="preserve">, vol. 15, no. 8, article 4441, 2025. DOI: 10.3390/app15084441. </w:t>
      </w:r>
    </w:p>
    <w:p w:rsidRPr="00494494" w:rsidR="00D2241C" w:rsidP="433642B3" w:rsidRDefault="73C90334" w14:paraId="3860F3B5" w14:textId="0109ACD1">
      <w:pPr>
        <w:spacing w:before="240" w:after="240"/>
      </w:pPr>
      <w:r w:rsidRPr="433642B3">
        <w:rPr>
          <w:rFonts w:ascii="Calibri" w:hAnsi="Calibri" w:eastAsia="Calibri" w:cs="Calibri"/>
          <w:color w:val="000000" w:themeColor="text1"/>
          <w:sz w:val="22"/>
          <w:szCs w:val="22"/>
        </w:rPr>
        <w:t xml:space="preserve">[14] Yang, Y., Wang, Z., Liu, X., Liu, T., et al. “Deep Multiscale Feature Fusion Network with Dual Attention for Rolling Bearing Remaining Useful Life Prediction.” </w:t>
      </w:r>
      <w:r w:rsidRPr="433642B3">
        <w:rPr>
          <w:rFonts w:ascii="Calibri" w:hAnsi="Calibri" w:eastAsia="Calibri" w:cs="Calibri"/>
          <w:i/>
          <w:iCs/>
          <w:color w:val="000000" w:themeColor="text1"/>
          <w:sz w:val="22"/>
          <w:szCs w:val="22"/>
        </w:rPr>
        <w:t>Scientific Reports</w:t>
      </w:r>
      <w:r w:rsidRPr="433642B3">
        <w:rPr>
          <w:rFonts w:ascii="Calibri" w:hAnsi="Calibri" w:eastAsia="Calibri" w:cs="Calibri"/>
          <w:color w:val="000000" w:themeColor="text1"/>
          <w:sz w:val="22"/>
          <w:szCs w:val="22"/>
        </w:rPr>
        <w:t xml:space="preserve">, vol. 15, article 14868, 2025. DOI: 10.1038/s41598-025-97380-x. </w:t>
      </w:r>
    </w:p>
    <w:p w:rsidRPr="00494494" w:rsidR="00D2241C" w:rsidP="433642B3" w:rsidRDefault="73C90334" w14:paraId="1608DCF8" w14:textId="594A840B">
      <w:pPr>
        <w:spacing w:before="240" w:after="240"/>
      </w:pPr>
      <w:r w:rsidRPr="433642B3">
        <w:rPr>
          <w:rFonts w:ascii="Calibri" w:hAnsi="Calibri" w:eastAsia="Calibri" w:cs="Calibri"/>
          <w:color w:val="000000" w:themeColor="text1"/>
          <w:sz w:val="22"/>
          <w:szCs w:val="22"/>
        </w:rPr>
        <w:t xml:space="preserve">[15] Liu, Q., Dai, Z., Lai, H., Chen, M., Huang, H., Fu, J., Hou, M., Xu, X., Wang, G., et al. “A Noval RUL Prediction Method for Rolling Bearing: TcLstmNet-CBAM.” </w:t>
      </w:r>
      <w:r w:rsidRPr="433642B3">
        <w:rPr>
          <w:rFonts w:ascii="Calibri" w:hAnsi="Calibri" w:eastAsia="Calibri" w:cs="Calibri"/>
          <w:i/>
          <w:iCs/>
          <w:color w:val="000000" w:themeColor="text1"/>
          <w:sz w:val="22"/>
          <w:szCs w:val="22"/>
        </w:rPr>
        <w:t>Scientific Reports</w:t>
      </w:r>
      <w:r w:rsidRPr="433642B3">
        <w:rPr>
          <w:rFonts w:ascii="Calibri" w:hAnsi="Calibri" w:eastAsia="Calibri" w:cs="Calibri"/>
          <w:color w:val="000000" w:themeColor="text1"/>
          <w:sz w:val="22"/>
          <w:szCs w:val="22"/>
        </w:rPr>
        <w:t>, vol. 15, article 14055, 2025. DOI: 10.1038/s41598-025-98845-9.</w:t>
      </w:r>
    </w:p>
    <w:p w:rsidRPr="00494494" w:rsidR="00D2241C" w:rsidP="007D77C4" w:rsidRDefault="00D2241C" w14:paraId="7CFD3DBA" w14:textId="3EFBB7AA">
      <w:pPr>
        <w:rPr>
          <w:rFonts w:ascii="Calibri" w:hAnsi="Calibri" w:cs="Calibri"/>
          <w:sz w:val="22"/>
          <w:szCs w:val="22"/>
        </w:rPr>
      </w:pPr>
    </w:p>
    <w:p w:rsidRPr="00494494" w:rsidR="00D2241C" w:rsidP="007D77C4" w:rsidRDefault="00D2241C" w14:paraId="16A974F5" w14:textId="77777777">
      <w:pPr>
        <w:spacing w:before="240" w:after="240"/>
        <w:rPr>
          <w:rFonts w:ascii="Calibri" w:hAnsi="Calibri" w:cs="Calibri"/>
          <w:sz w:val="22"/>
          <w:szCs w:val="22"/>
        </w:rPr>
      </w:pPr>
    </w:p>
    <w:p w:rsidRPr="00494494" w:rsidR="00D2241C" w:rsidP="007D77C4" w:rsidRDefault="00D2241C" w14:paraId="6DCF9A85" w14:textId="77777777">
      <w:pPr>
        <w:spacing w:before="240" w:after="240"/>
        <w:rPr>
          <w:rFonts w:ascii="Calibri" w:hAnsi="Calibri" w:cs="Calibri"/>
          <w:sz w:val="22"/>
          <w:szCs w:val="22"/>
        </w:rPr>
      </w:pPr>
    </w:p>
    <w:p w:rsidRPr="00494494" w:rsidR="00D2241C" w:rsidP="007D77C4" w:rsidRDefault="00D2241C" w14:paraId="5067E251" w14:textId="77777777">
      <w:pPr>
        <w:rPr>
          <w:rFonts w:ascii="Calibri" w:hAnsi="Calibri" w:cs="Calibri"/>
          <w:sz w:val="22"/>
          <w:szCs w:val="22"/>
        </w:rPr>
      </w:pPr>
    </w:p>
    <w:p w:rsidRPr="00494494" w:rsidR="00D2241C" w:rsidP="3D50A96E" w:rsidRDefault="00D2241C" w14:paraId="5AD470D9" w14:textId="77777777">
      <w:pPr>
        <w:spacing w:before="240" w:after="240"/>
        <w:rPr>
          <w:rFonts w:ascii="Calibri" w:hAnsi="Calibri" w:cs="Calibri"/>
          <w:sz w:val="22"/>
          <w:szCs w:val="22"/>
        </w:rPr>
      </w:pPr>
    </w:p>
    <w:p w:rsidRPr="00494494" w:rsidR="00691A0B" w:rsidRDefault="00691A0B" w14:paraId="2C078E63" w14:textId="2DE5932C">
      <w:pPr>
        <w:rPr>
          <w:rFonts w:ascii="Calibri" w:hAnsi="Calibri" w:cs="Calibri"/>
          <w:sz w:val="22"/>
          <w:szCs w:val="22"/>
        </w:rPr>
      </w:pPr>
    </w:p>
    <w:sectPr w:rsidRPr="00494494" w:rsidR="00691A0B">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dbLeQSugbFXZoe" int2:id="fJvez8qJ">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6F7855D"/>
    <w:multiLevelType w:val="hybridMultilevel"/>
    <w:tmpl w:val="FFFFFFFF"/>
    <w:lvl w:ilvl="0" w:tplc="7F64A848">
      <w:start w:val="1"/>
      <w:numFmt w:val="bullet"/>
      <w:lvlText w:val=""/>
      <w:lvlJc w:val="left"/>
      <w:pPr>
        <w:ind w:left="720" w:hanging="360"/>
      </w:pPr>
      <w:rPr>
        <w:rFonts w:hint="default" w:ascii="Symbol" w:hAnsi="Symbol"/>
      </w:rPr>
    </w:lvl>
    <w:lvl w:ilvl="1" w:tplc="5866C43A">
      <w:start w:val="1"/>
      <w:numFmt w:val="bullet"/>
      <w:lvlText w:val="o"/>
      <w:lvlJc w:val="left"/>
      <w:pPr>
        <w:ind w:left="1440" w:hanging="360"/>
      </w:pPr>
      <w:rPr>
        <w:rFonts w:hint="default" w:ascii="Courier New" w:hAnsi="Courier New"/>
      </w:rPr>
    </w:lvl>
    <w:lvl w:ilvl="2" w:tplc="71066B76">
      <w:start w:val="1"/>
      <w:numFmt w:val="bullet"/>
      <w:lvlText w:val=""/>
      <w:lvlJc w:val="left"/>
      <w:pPr>
        <w:ind w:left="2160" w:hanging="360"/>
      </w:pPr>
      <w:rPr>
        <w:rFonts w:hint="default" w:ascii="Wingdings" w:hAnsi="Wingdings"/>
      </w:rPr>
    </w:lvl>
    <w:lvl w:ilvl="3" w:tplc="3040953C">
      <w:start w:val="1"/>
      <w:numFmt w:val="bullet"/>
      <w:lvlText w:val=""/>
      <w:lvlJc w:val="left"/>
      <w:pPr>
        <w:ind w:left="2880" w:hanging="360"/>
      </w:pPr>
      <w:rPr>
        <w:rFonts w:hint="default" w:ascii="Symbol" w:hAnsi="Symbol"/>
      </w:rPr>
    </w:lvl>
    <w:lvl w:ilvl="4" w:tplc="BBC04720">
      <w:start w:val="1"/>
      <w:numFmt w:val="bullet"/>
      <w:lvlText w:val="o"/>
      <w:lvlJc w:val="left"/>
      <w:pPr>
        <w:ind w:left="3600" w:hanging="360"/>
      </w:pPr>
      <w:rPr>
        <w:rFonts w:hint="default" w:ascii="Courier New" w:hAnsi="Courier New"/>
      </w:rPr>
    </w:lvl>
    <w:lvl w:ilvl="5" w:tplc="F796CEC8">
      <w:start w:val="1"/>
      <w:numFmt w:val="bullet"/>
      <w:lvlText w:val=""/>
      <w:lvlJc w:val="left"/>
      <w:pPr>
        <w:ind w:left="4320" w:hanging="360"/>
      </w:pPr>
      <w:rPr>
        <w:rFonts w:hint="default" w:ascii="Wingdings" w:hAnsi="Wingdings"/>
      </w:rPr>
    </w:lvl>
    <w:lvl w:ilvl="6" w:tplc="56F09D66">
      <w:start w:val="1"/>
      <w:numFmt w:val="bullet"/>
      <w:lvlText w:val=""/>
      <w:lvlJc w:val="left"/>
      <w:pPr>
        <w:ind w:left="5040" w:hanging="360"/>
      </w:pPr>
      <w:rPr>
        <w:rFonts w:hint="default" w:ascii="Symbol" w:hAnsi="Symbol"/>
      </w:rPr>
    </w:lvl>
    <w:lvl w:ilvl="7" w:tplc="C0FC2700">
      <w:start w:val="1"/>
      <w:numFmt w:val="bullet"/>
      <w:lvlText w:val="o"/>
      <w:lvlJc w:val="left"/>
      <w:pPr>
        <w:ind w:left="5760" w:hanging="360"/>
      </w:pPr>
      <w:rPr>
        <w:rFonts w:hint="default" w:ascii="Courier New" w:hAnsi="Courier New"/>
      </w:rPr>
    </w:lvl>
    <w:lvl w:ilvl="8" w:tplc="AECEBCBC">
      <w:start w:val="1"/>
      <w:numFmt w:val="bullet"/>
      <w:lvlText w:val=""/>
      <w:lvlJc w:val="left"/>
      <w:pPr>
        <w:ind w:left="6480" w:hanging="360"/>
      </w:pPr>
      <w:rPr>
        <w:rFonts w:hint="default" w:ascii="Wingdings" w:hAnsi="Wingdings"/>
      </w:rPr>
    </w:lvl>
  </w:abstractNum>
  <w:num w:numId="1" w16cid:durableId="5731261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dirty"/>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B1536DD"/>
    <w:rsid w:val="00002D37"/>
    <w:rsid w:val="001073EC"/>
    <w:rsid w:val="00120C4E"/>
    <w:rsid w:val="0015419D"/>
    <w:rsid w:val="00154E06"/>
    <w:rsid w:val="001956B0"/>
    <w:rsid w:val="00213E86"/>
    <w:rsid w:val="00271A83"/>
    <w:rsid w:val="0027594C"/>
    <w:rsid w:val="00295E54"/>
    <w:rsid w:val="002E786F"/>
    <w:rsid w:val="00326E8E"/>
    <w:rsid w:val="00327FD5"/>
    <w:rsid w:val="003C5C19"/>
    <w:rsid w:val="003D15A6"/>
    <w:rsid w:val="004873B0"/>
    <w:rsid w:val="00494494"/>
    <w:rsid w:val="004B37FD"/>
    <w:rsid w:val="00577CE7"/>
    <w:rsid w:val="005C6829"/>
    <w:rsid w:val="00616E3F"/>
    <w:rsid w:val="00691A0B"/>
    <w:rsid w:val="006B6B2A"/>
    <w:rsid w:val="00735EDD"/>
    <w:rsid w:val="007E492D"/>
    <w:rsid w:val="00806BEC"/>
    <w:rsid w:val="00821E0F"/>
    <w:rsid w:val="008B7A97"/>
    <w:rsid w:val="00954044"/>
    <w:rsid w:val="0098E96E"/>
    <w:rsid w:val="009A3921"/>
    <w:rsid w:val="009C20F6"/>
    <w:rsid w:val="009D0E06"/>
    <w:rsid w:val="009F4105"/>
    <w:rsid w:val="00A73B8D"/>
    <w:rsid w:val="00AA6E9F"/>
    <w:rsid w:val="00AC657F"/>
    <w:rsid w:val="00B01A4E"/>
    <w:rsid w:val="00B0EEB8"/>
    <w:rsid w:val="00B142A4"/>
    <w:rsid w:val="00B229A5"/>
    <w:rsid w:val="00B42048"/>
    <w:rsid w:val="00B613A2"/>
    <w:rsid w:val="00B66C52"/>
    <w:rsid w:val="00B82404"/>
    <w:rsid w:val="00BB2B1B"/>
    <w:rsid w:val="00BC3EF3"/>
    <w:rsid w:val="00BD59B2"/>
    <w:rsid w:val="00C07BD6"/>
    <w:rsid w:val="00C2536C"/>
    <w:rsid w:val="00C307B6"/>
    <w:rsid w:val="00C30FE0"/>
    <w:rsid w:val="00C96AAE"/>
    <w:rsid w:val="00CA74C0"/>
    <w:rsid w:val="00CF6185"/>
    <w:rsid w:val="00D2241C"/>
    <w:rsid w:val="00D51028"/>
    <w:rsid w:val="00D67E01"/>
    <w:rsid w:val="00DA6CA8"/>
    <w:rsid w:val="00DF12D9"/>
    <w:rsid w:val="00E00CE1"/>
    <w:rsid w:val="00E055FC"/>
    <w:rsid w:val="00E13ECF"/>
    <w:rsid w:val="00E3AB73"/>
    <w:rsid w:val="00E96384"/>
    <w:rsid w:val="00F23B80"/>
    <w:rsid w:val="00F24372"/>
    <w:rsid w:val="00F3A651"/>
    <w:rsid w:val="00FC2DAC"/>
    <w:rsid w:val="0100776F"/>
    <w:rsid w:val="0168B1DD"/>
    <w:rsid w:val="0168B1DD"/>
    <w:rsid w:val="02221786"/>
    <w:rsid w:val="02276208"/>
    <w:rsid w:val="02722320"/>
    <w:rsid w:val="030E54EF"/>
    <w:rsid w:val="031F1CB8"/>
    <w:rsid w:val="037A514B"/>
    <w:rsid w:val="0393381A"/>
    <w:rsid w:val="0472EF1D"/>
    <w:rsid w:val="04B9D7DD"/>
    <w:rsid w:val="04E72007"/>
    <w:rsid w:val="04F9F491"/>
    <w:rsid w:val="051FFFAE"/>
    <w:rsid w:val="0562B85E"/>
    <w:rsid w:val="05A7713C"/>
    <w:rsid w:val="05BEF749"/>
    <w:rsid w:val="05DA5C2A"/>
    <w:rsid w:val="05F68162"/>
    <w:rsid w:val="07A81936"/>
    <w:rsid w:val="0849AFFA"/>
    <w:rsid w:val="0870F4FC"/>
    <w:rsid w:val="08BA9F15"/>
    <w:rsid w:val="08D67B24"/>
    <w:rsid w:val="09777DBD"/>
    <w:rsid w:val="09A9F4BC"/>
    <w:rsid w:val="09C3C3C2"/>
    <w:rsid w:val="0A0E44D2"/>
    <w:rsid w:val="0A9FBC4A"/>
    <w:rsid w:val="0AB99165"/>
    <w:rsid w:val="0B1DE8C3"/>
    <w:rsid w:val="0B96954F"/>
    <w:rsid w:val="0BAD2F36"/>
    <w:rsid w:val="0BAE2E63"/>
    <w:rsid w:val="0BF9BAE8"/>
    <w:rsid w:val="0C3B836A"/>
    <w:rsid w:val="0C47F28F"/>
    <w:rsid w:val="0C4AA3DF"/>
    <w:rsid w:val="0CCF0E68"/>
    <w:rsid w:val="0CCF4584"/>
    <w:rsid w:val="0CE0965B"/>
    <w:rsid w:val="0D251FAF"/>
    <w:rsid w:val="0D3ED111"/>
    <w:rsid w:val="0D68A82D"/>
    <w:rsid w:val="0D825782"/>
    <w:rsid w:val="0DB2B118"/>
    <w:rsid w:val="0DFE1358"/>
    <w:rsid w:val="0E19C359"/>
    <w:rsid w:val="0E97E609"/>
    <w:rsid w:val="0EEFC04F"/>
    <w:rsid w:val="0FC748CF"/>
    <w:rsid w:val="0FE07BCE"/>
    <w:rsid w:val="1043E704"/>
    <w:rsid w:val="1071E6AE"/>
    <w:rsid w:val="10999D0D"/>
    <w:rsid w:val="10AB5D32"/>
    <w:rsid w:val="10BB99E4"/>
    <w:rsid w:val="111A17AA"/>
    <w:rsid w:val="11289AB1"/>
    <w:rsid w:val="112A5ACC"/>
    <w:rsid w:val="11B46D48"/>
    <w:rsid w:val="11EF289A"/>
    <w:rsid w:val="12279828"/>
    <w:rsid w:val="12522C90"/>
    <w:rsid w:val="1288B9A3"/>
    <w:rsid w:val="12974B9B"/>
    <w:rsid w:val="1327D4E2"/>
    <w:rsid w:val="13280E53"/>
    <w:rsid w:val="133B9BFF"/>
    <w:rsid w:val="13760165"/>
    <w:rsid w:val="13CD28CC"/>
    <w:rsid w:val="1487B210"/>
    <w:rsid w:val="14AEA196"/>
    <w:rsid w:val="1526C895"/>
    <w:rsid w:val="154283C5"/>
    <w:rsid w:val="15795969"/>
    <w:rsid w:val="15955C00"/>
    <w:rsid w:val="15988500"/>
    <w:rsid w:val="15C9C92E"/>
    <w:rsid w:val="17C7CD8E"/>
    <w:rsid w:val="18198831"/>
    <w:rsid w:val="1898E8A3"/>
    <w:rsid w:val="18D28D1C"/>
    <w:rsid w:val="18EEBC9A"/>
    <w:rsid w:val="191B0593"/>
    <w:rsid w:val="194DAB23"/>
    <w:rsid w:val="198C6CF7"/>
    <w:rsid w:val="198CAB45"/>
    <w:rsid w:val="19E5380D"/>
    <w:rsid w:val="1AB987AB"/>
    <w:rsid w:val="1ACA8B27"/>
    <w:rsid w:val="1AD06700"/>
    <w:rsid w:val="1B1536DD"/>
    <w:rsid w:val="1BCB6300"/>
    <w:rsid w:val="1C0B5366"/>
    <w:rsid w:val="1C3ACD0D"/>
    <w:rsid w:val="1C552465"/>
    <w:rsid w:val="1D4D060F"/>
    <w:rsid w:val="1D74A765"/>
    <w:rsid w:val="1DD96013"/>
    <w:rsid w:val="1DE58D24"/>
    <w:rsid w:val="1E14C043"/>
    <w:rsid w:val="1E6A289F"/>
    <w:rsid w:val="1E7757E8"/>
    <w:rsid w:val="1ED0559D"/>
    <w:rsid w:val="1EEFA368"/>
    <w:rsid w:val="1F26B605"/>
    <w:rsid w:val="1F3D7462"/>
    <w:rsid w:val="1F605A8D"/>
    <w:rsid w:val="1F705654"/>
    <w:rsid w:val="1F918CBA"/>
    <w:rsid w:val="1FE2F282"/>
    <w:rsid w:val="2095F60B"/>
    <w:rsid w:val="20AEC08F"/>
    <w:rsid w:val="20B5F450"/>
    <w:rsid w:val="20C26B51"/>
    <w:rsid w:val="20CC62FA"/>
    <w:rsid w:val="210D3047"/>
    <w:rsid w:val="2176EC9F"/>
    <w:rsid w:val="2196865F"/>
    <w:rsid w:val="21C411D1"/>
    <w:rsid w:val="21E0B57C"/>
    <w:rsid w:val="22557363"/>
    <w:rsid w:val="22C31F71"/>
    <w:rsid w:val="22D45B85"/>
    <w:rsid w:val="2358B2C5"/>
    <w:rsid w:val="23642AB5"/>
    <w:rsid w:val="2391C8EE"/>
    <w:rsid w:val="24344968"/>
    <w:rsid w:val="249453A7"/>
    <w:rsid w:val="24A569CC"/>
    <w:rsid w:val="24B39988"/>
    <w:rsid w:val="24C3F03C"/>
    <w:rsid w:val="24CD0AD0"/>
    <w:rsid w:val="250B11F3"/>
    <w:rsid w:val="2511B31A"/>
    <w:rsid w:val="259551C5"/>
    <w:rsid w:val="25CF75B5"/>
    <w:rsid w:val="25D1D583"/>
    <w:rsid w:val="25F5A741"/>
    <w:rsid w:val="26531715"/>
    <w:rsid w:val="26D29201"/>
    <w:rsid w:val="272B2F3A"/>
    <w:rsid w:val="274D2B12"/>
    <w:rsid w:val="274E6ED2"/>
    <w:rsid w:val="2762249B"/>
    <w:rsid w:val="28A7B387"/>
    <w:rsid w:val="28BA46A9"/>
    <w:rsid w:val="28CE7A11"/>
    <w:rsid w:val="290349AB"/>
    <w:rsid w:val="2947FDEF"/>
    <w:rsid w:val="294BFD58"/>
    <w:rsid w:val="29BB8FEC"/>
    <w:rsid w:val="29CD4B59"/>
    <w:rsid w:val="2A042657"/>
    <w:rsid w:val="2A28A60A"/>
    <w:rsid w:val="2A35248A"/>
    <w:rsid w:val="2AA9A671"/>
    <w:rsid w:val="2AB7867C"/>
    <w:rsid w:val="2AD40A69"/>
    <w:rsid w:val="2ADE9F90"/>
    <w:rsid w:val="2B62EC71"/>
    <w:rsid w:val="2C32ED91"/>
    <w:rsid w:val="2C6C7617"/>
    <w:rsid w:val="2CC41582"/>
    <w:rsid w:val="2CF68EF9"/>
    <w:rsid w:val="2D3B7E3E"/>
    <w:rsid w:val="2DA64EC9"/>
    <w:rsid w:val="2DAA79FC"/>
    <w:rsid w:val="2DBF70D0"/>
    <w:rsid w:val="2DC178F1"/>
    <w:rsid w:val="2E4F02BE"/>
    <w:rsid w:val="2E636232"/>
    <w:rsid w:val="2EC171CE"/>
    <w:rsid w:val="2F0D7B58"/>
    <w:rsid w:val="2F518B52"/>
    <w:rsid w:val="2FB7A00A"/>
    <w:rsid w:val="2FBBC7D1"/>
    <w:rsid w:val="308ADAE3"/>
    <w:rsid w:val="30BB7F58"/>
    <w:rsid w:val="3100EA2D"/>
    <w:rsid w:val="3136FDD8"/>
    <w:rsid w:val="3142AF08"/>
    <w:rsid w:val="31DCCAAF"/>
    <w:rsid w:val="31F5DB33"/>
    <w:rsid w:val="32162B0C"/>
    <w:rsid w:val="323758FE"/>
    <w:rsid w:val="325BAA27"/>
    <w:rsid w:val="3270C4BC"/>
    <w:rsid w:val="32906071"/>
    <w:rsid w:val="329426DC"/>
    <w:rsid w:val="32CC0C67"/>
    <w:rsid w:val="32D1AB22"/>
    <w:rsid w:val="32DB76B8"/>
    <w:rsid w:val="32E5E416"/>
    <w:rsid w:val="33022441"/>
    <w:rsid w:val="33B46AD8"/>
    <w:rsid w:val="34994BA7"/>
    <w:rsid w:val="34B4E19C"/>
    <w:rsid w:val="34E111DE"/>
    <w:rsid w:val="35647551"/>
    <w:rsid w:val="35E6725B"/>
    <w:rsid w:val="35F4785B"/>
    <w:rsid w:val="3632A1BF"/>
    <w:rsid w:val="3681028E"/>
    <w:rsid w:val="36D544ED"/>
    <w:rsid w:val="375A9C09"/>
    <w:rsid w:val="375B6D2A"/>
    <w:rsid w:val="37A0A395"/>
    <w:rsid w:val="37B2D610"/>
    <w:rsid w:val="37DC727D"/>
    <w:rsid w:val="37FD4D56"/>
    <w:rsid w:val="3853438E"/>
    <w:rsid w:val="385DA977"/>
    <w:rsid w:val="3887085B"/>
    <w:rsid w:val="38E1C352"/>
    <w:rsid w:val="395E8274"/>
    <w:rsid w:val="3967E527"/>
    <w:rsid w:val="3A16B1B9"/>
    <w:rsid w:val="3A5FD492"/>
    <w:rsid w:val="3AA4E3EB"/>
    <w:rsid w:val="3AB5D1B8"/>
    <w:rsid w:val="3AE3A92C"/>
    <w:rsid w:val="3C2E71D2"/>
    <w:rsid w:val="3C5D0F39"/>
    <w:rsid w:val="3C766C0E"/>
    <w:rsid w:val="3CE5C566"/>
    <w:rsid w:val="3CF89C43"/>
    <w:rsid w:val="3D08EDB9"/>
    <w:rsid w:val="3D1E378E"/>
    <w:rsid w:val="3D50A96E"/>
    <w:rsid w:val="3D747144"/>
    <w:rsid w:val="3DA58DFA"/>
    <w:rsid w:val="3EA0C6B9"/>
    <w:rsid w:val="3EBE50BA"/>
    <w:rsid w:val="3F604642"/>
    <w:rsid w:val="4004C27A"/>
    <w:rsid w:val="40C0FCDF"/>
    <w:rsid w:val="40DB632C"/>
    <w:rsid w:val="40E3B41E"/>
    <w:rsid w:val="410A10A9"/>
    <w:rsid w:val="415DF834"/>
    <w:rsid w:val="41CF930E"/>
    <w:rsid w:val="423DB4F1"/>
    <w:rsid w:val="425611F2"/>
    <w:rsid w:val="427DD516"/>
    <w:rsid w:val="42A24426"/>
    <w:rsid w:val="42BC63BE"/>
    <w:rsid w:val="42F3BB64"/>
    <w:rsid w:val="4307A511"/>
    <w:rsid w:val="433642B3"/>
    <w:rsid w:val="43738327"/>
    <w:rsid w:val="437B095D"/>
    <w:rsid w:val="43A38888"/>
    <w:rsid w:val="44001ADC"/>
    <w:rsid w:val="4478D0AD"/>
    <w:rsid w:val="44A0C547"/>
    <w:rsid w:val="45B52096"/>
    <w:rsid w:val="45C1E107"/>
    <w:rsid w:val="4605C0EB"/>
    <w:rsid w:val="463205D1"/>
    <w:rsid w:val="4686E5A2"/>
    <w:rsid w:val="46E9566C"/>
    <w:rsid w:val="46FDF041"/>
    <w:rsid w:val="4741F7BB"/>
    <w:rsid w:val="482BA3D6"/>
    <w:rsid w:val="48360F86"/>
    <w:rsid w:val="484001AD"/>
    <w:rsid w:val="485BED63"/>
    <w:rsid w:val="488F5C28"/>
    <w:rsid w:val="4890A12A"/>
    <w:rsid w:val="48EFCF76"/>
    <w:rsid w:val="49258CA0"/>
    <w:rsid w:val="49A19A82"/>
    <w:rsid w:val="49BDBA79"/>
    <w:rsid w:val="49E04A24"/>
    <w:rsid w:val="4A220423"/>
    <w:rsid w:val="4A6E0DC5"/>
    <w:rsid w:val="4B172A64"/>
    <w:rsid w:val="4BAB89FD"/>
    <w:rsid w:val="4BB255D0"/>
    <w:rsid w:val="4BBD0EA9"/>
    <w:rsid w:val="4BCC5454"/>
    <w:rsid w:val="4BE05EF0"/>
    <w:rsid w:val="4C33B1C6"/>
    <w:rsid w:val="4C5A47F2"/>
    <w:rsid w:val="4CD34901"/>
    <w:rsid w:val="4DA87F3A"/>
    <w:rsid w:val="4DA8A79D"/>
    <w:rsid w:val="4DD7C70E"/>
    <w:rsid w:val="4E27F6A0"/>
    <w:rsid w:val="4E865FF0"/>
    <w:rsid w:val="4EDF2EF4"/>
    <w:rsid w:val="4EDFA8E7"/>
    <w:rsid w:val="4EE45296"/>
    <w:rsid w:val="4EEE427E"/>
    <w:rsid w:val="4EF764AE"/>
    <w:rsid w:val="4EF8837E"/>
    <w:rsid w:val="4EF897A9"/>
    <w:rsid w:val="4F1417C7"/>
    <w:rsid w:val="4F7D604C"/>
    <w:rsid w:val="4FEF99C8"/>
    <w:rsid w:val="5027738A"/>
    <w:rsid w:val="50429BC7"/>
    <w:rsid w:val="50BF4C75"/>
    <w:rsid w:val="50DA0C2D"/>
    <w:rsid w:val="510CB35B"/>
    <w:rsid w:val="5177CC5D"/>
    <w:rsid w:val="519660F7"/>
    <w:rsid w:val="51C8D6D8"/>
    <w:rsid w:val="52634FDB"/>
    <w:rsid w:val="52FAB447"/>
    <w:rsid w:val="53D1274A"/>
    <w:rsid w:val="53FF0786"/>
    <w:rsid w:val="5407A472"/>
    <w:rsid w:val="54480A7C"/>
    <w:rsid w:val="5468E28C"/>
    <w:rsid w:val="54D54D59"/>
    <w:rsid w:val="54EFF50B"/>
    <w:rsid w:val="5524D515"/>
    <w:rsid w:val="5558B9F2"/>
    <w:rsid w:val="5593E228"/>
    <w:rsid w:val="559BD4AF"/>
    <w:rsid w:val="5664C580"/>
    <w:rsid w:val="56DA42E7"/>
    <w:rsid w:val="56F8916A"/>
    <w:rsid w:val="574E3DDD"/>
    <w:rsid w:val="57798ADE"/>
    <w:rsid w:val="57B2614B"/>
    <w:rsid w:val="57BCB908"/>
    <w:rsid w:val="57EFB34D"/>
    <w:rsid w:val="58A6EED3"/>
    <w:rsid w:val="58C6D870"/>
    <w:rsid w:val="590CCE1B"/>
    <w:rsid w:val="5A4E7E4D"/>
    <w:rsid w:val="5A4FAA3B"/>
    <w:rsid w:val="5ADEE370"/>
    <w:rsid w:val="5AEA72EA"/>
    <w:rsid w:val="5B272CA3"/>
    <w:rsid w:val="5B45F35D"/>
    <w:rsid w:val="5B56FA74"/>
    <w:rsid w:val="5BF3CE0F"/>
    <w:rsid w:val="5C5113EC"/>
    <w:rsid w:val="5CBE2A39"/>
    <w:rsid w:val="5DBABC24"/>
    <w:rsid w:val="5DE31901"/>
    <w:rsid w:val="5E28102C"/>
    <w:rsid w:val="5E6C5568"/>
    <w:rsid w:val="5E74B8F7"/>
    <w:rsid w:val="5F072993"/>
    <w:rsid w:val="5F3885F8"/>
    <w:rsid w:val="5F5E0CF1"/>
    <w:rsid w:val="5F80A86C"/>
    <w:rsid w:val="606A0C90"/>
    <w:rsid w:val="60850F7C"/>
    <w:rsid w:val="60D30556"/>
    <w:rsid w:val="60F15D1A"/>
    <w:rsid w:val="6103F91B"/>
    <w:rsid w:val="61319D59"/>
    <w:rsid w:val="61662E58"/>
    <w:rsid w:val="61663D96"/>
    <w:rsid w:val="61781564"/>
    <w:rsid w:val="6186E905"/>
    <w:rsid w:val="61B792C9"/>
    <w:rsid w:val="61EE9800"/>
    <w:rsid w:val="6230E1F9"/>
    <w:rsid w:val="623A8B9B"/>
    <w:rsid w:val="625BFF3B"/>
    <w:rsid w:val="632924CA"/>
    <w:rsid w:val="636182B0"/>
    <w:rsid w:val="639DCF50"/>
    <w:rsid w:val="63D3D794"/>
    <w:rsid w:val="63F7AC87"/>
    <w:rsid w:val="6490FB3D"/>
    <w:rsid w:val="64BD5071"/>
    <w:rsid w:val="64BEFC44"/>
    <w:rsid w:val="64C9B0A3"/>
    <w:rsid w:val="64EA9F43"/>
    <w:rsid w:val="64F04F22"/>
    <w:rsid w:val="655E0E2D"/>
    <w:rsid w:val="6582BF34"/>
    <w:rsid w:val="65C29E69"/>
    <w:rsid w:val="662FBFDD"/>
    <w:rsid w:val="6691B322"/>
    <w:rsid w:val="675816E0"/>
    <w:rsid w:val="67609661"/>
    <w:rsid w:val="68F13F09"/>
    <w:rsid w:val="69C6D1FD"/>
    <w:rsid w:val="69DCD699"/>
    <w:rsid w:val="6A7626E1"/>
    <w:rsid w:val="6A84DD50"/>
    <w:rsid w:val="6A916A05"/>
    <w:rsid w:val="6AE5B9BF"/>
    <w:rsid w:val="6B73834F"/>
    <w:rsid w:val="6BF7862C"/>
    <w:rsid w:val="6C004818"/>
    <w:rsid w:val="6C51DD86"/>
    <w:rsid w:val="6CB25001"/>
    <w:rsid w:val="6D0BE8D0"/>
    <w:rsid w:val="6D1FA5E0"/>
    <w:rsid w:val="6D236C69"/>
    <w:rsid w:val="6D246DD7"/>
    <w:rsid w:val="6D4C6E53"/>
    <w:rsid w:val="6DC73D4D"/>
    <w:rsid w:val="6E0C208B"/>
    <w:rsid w:val="6E278CA2"/>
    <w:rsid w:val="6E278CA2"/>
    <w:rsid w:val="6ED31D2B"/>
    <w:rsid w:val="6F55DA56"/>
    <w:rsid w:val="6FA09B8A"/>
    <w:rsid w:val="6FC453E2"/>
    <w:rsid w:val="6FD6383E"/>
    <w:rsid w:val="7024A3D1"/>
    <w:rsid w:val="702AEDF2"/>
    <w:rsid w:val="70495F1F"/>
    <w:rsid w:val="70BF97F5"/>
    <w:rsid w:val="70C36C84"/>
    <w:rsid w:val="70E886B7"/>
    <w:rsid w:val="713D1ED6"/>
    <w:rsid w:val="714C7602"/>
    <w:rsid w:val="71B0E9C9"/>
    <w:rsid w:val="71D2362B"/>
    <w:rsid w:val="7240CA0F"/>
    <w:rsid w:val="731B4D67"/>
    <w:rsid w:val="7367FC1D"/>
    <w:rsid w:val="739ACD6E"/>
    <w:rsid w:val="73A7AF77"/>
    <w:rsid w:val="73C90334"/>
    <w:rsid w:val="7413C067"/>
    <w:rsid w:val="74717122"/>
    <w:rsid w:val="74D41529"/>
    <w:rsid w:val="7544700A"/>
    <w:rsid w:val="7579F3C0"/>
    <w:rsid w:val="75934C89"/>
    <w:rsid w:val="759F270B"/>
    <w:rsid w:val="75DA4BB7"/>
    <w:rsid w:val="75FD7D4D"/>
    <w:rsid w:val="76547000"/>
    <w:rsid w:val="7684A46A"/>
    <w:rsid w:val="76A42B1F"/>
    <w:rsid w:val="76CCE621"/>
    <w:rsid w:val="76E74074"/>
    <w:rsid w:val="77247B5C"/>
    <w:rsid w:val="774E39C4"/>
    <w:rsid w:val="77ABC374"/>
    <w:rsid w:val="78434640"/>
    <w:rsid w:val="78A49C94"/>
    <w:rsid w:val="78CD4E62"/>
    <w:rsid w:val="7927B992"/>
    <w:rsid w:val="7951FC43"/>
    <w:rsid w:val="798F29D5"/>
    <w:rsid w:val="79DEE500"/>
    <w:rsid w:val="7A716F85"/>
    <w:rsid w:val="7A8B9021"/>
    <w:rsid w:val="7AD16ED6"/>
    <w:rsid w:val="7B71F3CA"/>
    <w:rsid w:val="7B8B2840"/>
    <w:rsid w:val="7BC0E7AA"/>
    <w:rsid w:val="7BC7E9E0"/>
    <w:rsid w:val="7BE54DC3"/>
    <w:rsid w:val="7C513D8D"/>
    <w:rsid w:val="7C6F351B"/>
    <w:rsid w:val="7CB81B79"/>
    <w:rsid w:val="7CD16C17"/>
    <w:rsid w:val="7D11E4FD"/>
    <w:rsid w:val="7D527D5E"/>
    <w:rsid w:val="7DCE4A88"/>
    <w:rsid w:val="7DE432C2"/>
    <w:rsid w:val="7DFE3B1B"/>
    <w:rsid w:val="7E46002B"/>
    <w:rsid w:val="7E52A7AE"/>
    <w:rsid w:val="7E6B31FF"/>
    <w:rsid w:val="7EA4F356"/>
    <w:rsid w:val="7ECBC29C"/>
    <w:rsid w:val="7ED06A33"/>
    <w:rsid w:val="7EEE939D"/>
    <w:rsid w:val="7EF35699"/>
    <w:rsid w:val="7F44788C"/>
    <w:rsid w:val="7F98B546"/>
    <w:rsid w:val="7FD8874E"/>
    <w:rsid w:val="7FD920B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3AC88E"/>
  <w15:chartTrackingRefBased/>
  <w15:docId w15:val="{14AFFDB2-0484-4FAA-9B12-C73F93B026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2">
    <w:name w:val="heading 2"/>
    <w:uiPriority w:val="9"/>
    <w:unhideWhenUsed/>
    <w:qFormat/>
    <w:rsid w:val="1E14C043"/>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yperlink">
    <w:name w:val="Hyperlink"/>
    <w:uiPriority w:val="99"/>
    <w:unhideWhenUsed/>
    <w:rsid w:val="3967E527"/>
    <w:rPr>
      <w:color w:val="467886"/>
      <w:u w:val="single"/>
    </w:rPr>
  </w:style>
  <w:style w:type="paragraph" w:styleId="NormalWeb">
    <w:name w:val="Normal (Web)"/>
    <w:uiPriority w:val="99"/>
    <w:semiHidden/>
    <w:unhideWhenUsed/>
    <w:rsid w:val="1ED0559D"/>
    <w:pPr>
      <w:spacing w:beforeAutospacing="1" w:afterAutospacing="1" w:line="240" w:lineRule="auto"/>
    </w:pPr>
    <w:rPr>
      <w:rFonts w:ascii="Times New Roman" w:hAnsi="Times New Roman" w:eastAsia="Times New Roman" w:cs="Times New Roman"/>
      <w:lang w:val="en-GB" w:eastAsia="en-GB"/>
    </w:rPr>
  </w:style>
  <w:style w:type="paragraph" w:styleId="ListParagraph">
    <w:name w:val="List Paragraph"/>
    <w:uiPriority w:val="34"/>
    <w:qFormat/>
    <w:rsid w:val="1ED0559D"/>
    <w:pPr>
      <w:ind w:left="720"/>
      <w:contextualSpacing/>
    </w:pPr>
  </w:style>
  <w:style w:type="paragraph" w:styleId="Heading1">
    <w:uiPriority w:val="9"/>
    <w:name w:val="heading 1"/>
    <w:basedOn w:val="Normal"/>
    <w:next w:val="Normal"/>
    <w:qFormat/>
    <w:rsid w:val="0CCF0E68"/>
    <w:rPr>
      <w:rFonts w:ascii="Aptos Display" w:hAnsi="Aptos Display" w:eastAsia="ＭＳ ゴシック" w:cs="Times New Roman"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3">
    <w:uiPriority w:val="9"/>
    <w:name w:val="heading 3"/>
    <w:basedOn w:val="Normal"/>
    <w:next w:val="Normal"/>
    <w:unhideWhenUsed/>
    <w:qFormat/>
    <w:rsid w:val="625BFF3B"/>
    <w:rPr>
      <w:rFonts w:eastAsia="ＭＳ ゴシック" w:cs="Times New Roman" w:eastAsiaTheme="majorEastAsia" w:cstheme="majorBidi"/>
      <w:color w:val="0F4761" w:themeColor="accent1" w:themeTint="FF" w:themeShade="BF"/>
      <w:sz w:val="28"/>
      <w:szCs w:val="28"/>
    </w:rPr>
    <w:pPr>
      <w:keepNext w:val="1"/>
      <w:keepLines w:val="1"/>
      <w:spacing w:before="160" w:after="80"/>
      <w:outlineLvl w:val="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457651">
      <w:bodyDiv w:val="1"/>
      <w:marLeft w:val="0"/>
      <w:marRight w:val="0"/>
      <w:marTop w:val="0"/>
      <w:marBottom w:val="0"/>
      <w:divBdr>
        <w:top w:val="none" w:sz="0" w:space="0" w:color="auto"/>
        <w:left w:val="none" w:sz="0" w:space="0" w:color="auto"/>
        <w:bottom w:val="none" w:sz="0" w:space="0" w:color="auto"/>
        <w:right w:val="none" w:sz="0" w:space="0" w:color="auto"/>
      </w:divBdr>
    </w:div>
    <w:div w:id="546182741">
      <w:bodyDiv w:val="1"/>
      <w:marLeft w:val="0"/>
      <w:marRight w:val="0"/>
      <w:marTop w:val="0"/>
      <w:marBottom w:val="0"/>
      <w:divBdr>
        <w:top w:val="none" w:sz="0" w:space="0" w:color="auto"/>
        <w:left w:val="none" w:sz="0" w:space="0" w:color="auto"/>
        <w:bottom w:val="none" w:sz="0" w:space="0" w:color="auto"/>
        <w:right w:val="none" w:sz="0" w:space="0" w:color="auto"/>
      </w:divBdr>
    </w:div>
    <w:div w:id="861895374">
      <w:bodyDiv w:val="1"/>
      <w:marLeft w:val="0"/>
      <w:marRight w:val="0"/>
      <w:marTop w:val="0"/>
      <w:marBottom w:val="0"/>
      <w:divBdr>
        <w:top w:val="none" w:sz="0" w:space="0" w:color="auto"/>
        <w:left w:val="none" w:sz="0" w:space="0" w:color="auto"/>
        <w:bottom w:val="none" w:sz="0" w:space="0" w:color="auto"/>
        <w:right w:val="none" w:sz="0" w:space="0" w:color="auto"/>
      </w:divBdr>
    </w:div>
    <w:div w:id="1544978343">
      <w:bodyDiv w:val="1"/>
      <w:marLeft w:val="0"/>
      <w:marRight w:val="0"/>
      <w:marTop w:val="0"/>
      <w:marBottom w:val="0"/>
      <w:divBdr>
        <w:top w:val="none" w:sz="0" w:space="0" w:color="auto"/>
        <w:left w:val="none" w:sz="0" w:space="0" w:color="auto"/>
        <w:bottom w:val="none" w:sz="0" w:space="0" w:color="auto"/>
        <w:right w:val="none" w:sz="0" w:space="0" w:color="auto"/>
      </w:divBdr>
    </w:div>
    <w:div w:id="2061589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data.nasa.gov/dataset/cmapss-jet-engine-simulated-data" TargetMode="External" Id="rId8" /><Relationship Type="http://schemas.openxmlformats.org/officeDocument/2006/relationships/hyperlink" Target="https://github.com/wkzs111/phm-ieee-2012-data-challenge-dataset" TargetMode="External" Id="rId13" /><Relationship Type="http://schemas.openxmlformats.org/officeDocument/2006/relationships/hyperlink" Target="https://github.com/wkzs111/phm-ieee-2012-data-challenge-dataset" TargetMode="External" Id="rId18" /><Relationship Type="http://schemas.openxmlformats.org/officeDocument/2006/relationships/theme" Target="theme/theme1.xml" Id="rId26" /><Relationship Type="http://schemas.openxmlformats.org/officeDocument/2006/relationships/settings" Target="settings.xml" Id="rId3" /><Relationship Type="http://schemas.openxmlformats.org/officeDocument/2006/relationships/hyperlink" Target="https://biaowang.tech/xjtu-sy-bearing-datasets/" TargetMode="External" Id="rId21" /><Relationship Type="http://schemas.openxmlformats.org/officeDocument/2006/relationships/hyperlink" Target="https://data.nasa.gov/dataset/cmapss-jet-engine-simulated-data" TargetMode="External" Id="rId7" /><Relationship Type="http://schemas.openxmlformats.org/officeDocument/2006/relationships/hyperlink" Target="https://biaowang.tech/xjtu-sy-bearing-datasets/" TargetMode="External" Id="rId12" /><Relationship Type="http://schemas.openxmlformats.org/officeDocument/2006/relationships/hyperlink" Target="https://github.com/wkzs111/phm-ieee-2012-data-challenge-dataset" TargetMode="External" Id="rId17" /><Relationship Type="http://schemas.openxmlformats.org/officeDocument/2006/relationships/fontTable" Target="fontTable.xml" Id="rId25" /><Relationship Type="http://schemas.openxmlformats.org/officeDocument/2006/relationships/styles" Target="styles.xml" Id="rId2" /><Relationship Type="http://schemas.openxmlformats.org/officeDocument/2006/relationships/hyperlink" Target="https://data.nasa.gov/dataset/cmapss-jet-engine-simulated-data" TargetMode="External" Id="rId16" /><Relationship Type="http://schemas.openxmlformats.org/officeDocument/2006/relationships/hyperlink" Target="https://github.com/wkzs111/phm-ieee-2012-data-challenge-dataset" TargetMode="External" Id="rId20" /><Relationship Type="http://schemas.openxmlformats.org/officeDocument/2006/relationships/numbering" Target="numbering.xml" Id="rId1" /><Relationship Type="http://schemas.openxmlformats.org/officeDocument/2006/relationships/hyperlink" Target="https://data.nasa.gov/dataset/cmapss-jet-engine-simulated-data" TargetMode="External" Id="rId6" /><Relationship Type="http://schemas.openxmlformats.org/officeDocument/2006/relationships/hyperlink" Target="https://github.com/wkzs111/phm-ieee-2012-data-challenge-dataset" TargetMode="External" Id="rId11" /><Relationship Type="http://schemas.openxmlformats.org/officeDocument/2006/relationships/hyperlink" Target="https://biaowang.tech/xjtu-sy-bearing-datasets/" TargetMode="External" Id="rId24" /><Relationship Type="http://schemas.openxmlformats.org/officeDocument/2006/relationships/hyperlink" Target="https://data.nasa.gov/dataset/cmapss-jet-engine-simulated-data" TargetMode="External" Id="rId5" /><Relationship Type="http://schemas.openxmlformats.org/officeDocument/2006/relationships/hyperlink" Target="https://github.com/wkzs111/phm-ieee-2012-data-challenge-dataset" TargetMode="External" Id="rId15" /><Relationship Type="http://schemas.openxmlformats.org/officeDocument/2006/relationships/hyperlink" Target="https://github.com/wkzs111/phm-ieee-2012-data-challenge-dataset" TargetMode="External" Id="rId23" /><Relationship Type="http://schemas.openxmlformats.org/officeDocument/2006/relationships/hyperlink" Target="https://biaowang.tech/xjtu-sy-bearing-datasets/" TargetMode="External" Id="rId10" /><Relationship Type="http://schemas.openxmlformats.org/officeDocument/2006/relationships/hyperlink" Target="https://biaowang.tech/xjtu-sy-bearing-datasets/" TargetMode="External" Id="rId19" /><Relationship Type="http://schemas.openxmlformats.org/officeDocument/2006/relationships/webSettings" Target="webSettings.xml" Id="rId4" /><Relationship Type="http://schemas.openxmlformats.org/officeDocument/2006/relationships/hyperlink" Target="https://github.com/wkzs111/phm-ieee-2012-data-challenge-dataset" TargetMode="External" Id="rId9" /><Relationship Type="http://schemas.openxmlformats.org/officeDocument/2006/relationships/hyperlink" Target="https://data.nasa.gov/dataset/cmapss-jet-engine-simulated-data" TargetMode="External" Id="rId14" /><Relationship Type="http://schemas.openxmlformats.org/officeDocument/2006/relationships/hyperlink" Target="https://biaowang.tech/xjtu-sy-bearing-datasets/" TargetMode="External" Id="rId22" /><Relationship Type="http://schemas.microsoft.com/office/2020/10/relationships/intelligence" Target="intelligence2.xml" Id="rId27" /><Relationship Type="http://schemas.openxmlformats.org/officeDocument/2006/relationships/image" Target="/media/image.png" Id="rId1761209573"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Abdulaziz Mari</dc:creator>
  <keywords/>
  <dc:description/>
  <lastModifiedBy>Abdulaziz Mari</lastModifiedBy>
  <revision>24</revision>
  <lastPrinted>2026-06-30T20:19:00.0000000Z</lastPrinted>
  <dcterms:created xsi:type="dcterms:W3CDTF">2026-07-30T16:19:00.0000000Z</dcterms:created>
  <dcterms:modified xsi:type="dcterms:W3CDTF">2026-07-30T16:53:55.8613719Z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daf2ef22-9606-4319-b5c3-5d3b5ae9baf5</vt:lpwstr>
  </property>
</Properties>
</file>