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91B66AB" w:rsidR="009125CE" w:rsidRPr="007273B0" w:rsidRDefault="004713E0" w:rsidP="004713E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273B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C5F3E19">
            <wp:simplePos x="0" y="0"/>
            <wp:positionH relativeFrom="margin">
              <wp:posOffset>312420</wp:posOffset>
            </wp:positionH>
            <wp:positionV relativeFrom="margin">
              <wp:posOffset>-86995</wp:posOffset>
            </wp:positionV>
            <wp:extent cx="1560033" cy="1447800"/>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0033" cy="1447800"/>
                    </a:xfrm>
                    <a:prstGeom prst="rect">
                      <a:avLst/>
                    </a:prstGeom>
                  </pic:spPr>
                </pic:pic>
              </a:graphicData>
            </a:graphic>
            <wp14:sizeRelH relativeFrom="margin">
              <wp14:pctWidth>0</wp14:pctWidth>
            </wp14:sizeRelH>
            <wp14:sizeRelV relativeFrom="margin">
              <wp14:pctHeight>0</wp14:pctHeight>
            </wp14:sizeRelV>
          </wp:anchor>
        </w:drawing>
      </w:r>
      <w:r w:rsidR="009125CE" w:rsidRPr="007273B0">
        <w:rPr>
          <w:rFonts w:ascii="Simplified Arabic" w:hAnsi="Simplified Arabic" w:cs="Simplified Arabic"/>
          <w:b/>
          <w:bCs/>
          <w:color w:val="000000" w:themeColor="text1"/>
          <w:sz w:val="32"/>
          <w:szCs w:val="32"/>
          <w:rtl/>
          <w:lang w:bidi="ar-EG"/>
        </w:rPr>
        <w:t xml:space="preserve">جامعة ميدأوشن </w:t>
      </w:r>
    </w:p>
    <w:p w14:paraId="1E957002" w14:textId="08B73FE8" w:rsidR="00F546CE" w:rsidRPr="007273B0" w:rsidRDefault="009125CE" w:rsidP="004713E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273B0">
        <w:rPr>
          <w:rFonts w:ascii="Simplified Arabic" w:hAnsi="Simplified Arabic" w:cs="Simplified Arabic"/>
          <w:b/>
          <w:bCs/>
          <w:color w:val="000000" w:themeColor="text1"/>
          <w:sz w:val="32"/>
          <w:szCs w:val="32"/>
          <w:rtl/>
          <w:lang w:bidi="ar-EG"/>
        </w:rPr>
        <w:t xml:space="preserve">كلية </w:t>
      </w:r>
      <w:r w:rsidR="008C42C1" w:rsidRPr="007273B0">
        <w:rPr>
          <w:rFonts w:ascii="Simplified Arabic" w:hAnsi="Simplified Arabic" w:cs="Simplified Arabic"/>
          <w:b/>
          <w:bCs/>
          <w:color w:val="000000" w:themeColor="text1"/>
          <w:sz w:val="32"/>
          <w:szCs w:val="32"/>
          <w:rtl/>
          <w:lang w:bidi="ar-EG"/>
        </w:rPr>
        <w:t>الإدارة</w:t>
      </w:r>
      <w:r w:rsidRPr="007273B0">
        <w:rPr>
          <w:rFonts w:ascii="Simplified Arabic" w:hAnsi="Simplified Arabic" w:cs="Simplified Arabic"/>
          <w:b/>
          <w:bCs/>
          <w:color w:val="000000" w:themeColor="text1"/>
          <w:sz w:val="32"/>
          <w:szCs w:val="32"/>
          <w:rtl/>
          <w:lang w:bidi="ar-EG"/>
        </w:rPr>
        <w:t xml:space="preserve"> </w:t>
      </w:r>
    </w:p>
    <w:p w14:paraId="0A25F43C" w14:textId="051DE7F2" w:rsidR="008C7BB4" w:rsidRPr="007273B0" w:rsidRDefault="0070623F" w:rsidP="004713E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273B0">
        <w:rPr>
          <w:rFonts w:ascii="Simplified Arabic" w:hAnsi="Simplified Arabic" w:cs="Simplified Arabic"/>
          <w:b/>
          <w:bCs/>
          <w:color w:val="000000" w:themeColor="text1"/>
          <w:sz w:val="32"/>
          <w:szCs w:val="32"/>
          <w:rtl/>
          <w:lang w:bidi="ar-EG"/>
        </w:rPr>
        <w:t xml:space="preserve">ماجستير </w:t>
      </w:r>
      <w:r w:rsidR="00EA754F" w:rsidRPr="007273B0">
        <w:rPr>
          <w:rFonts w:ascii="Simplified Arabic" w:hAnsi="Simplified Arabic" w:cs="Simplified Arabic"/>
          <w:b/>
          <w:bCs/>
          <w:color w:val="000000" w:themeColor="text1"/>
          <w:sz w:val="32"/>
          <w:szCs w:val="32"/>
          <w:rtl/>
          <w:lang w:bidi="ar-EG"/>
        </w:rPr>
        <w:t xml:space="preserve">إدارة مخاطر </w:t>
      </w:r>
    </w:p>
    <w:p w14:paraId="5F6542BF" w14:textId="77777777" w:rsidR="009125CE" w:rsidRPr="007273B0" w:rsidRDefault="009125CE" w:rsidP="004713E0">
      <w:pPr>
        <w:spacing w:before="100" w:beforeAutospacing="1" w:after="100" w:afterAutospacing="1" w:line="276" w:lineRule="auto"/>
        <w:jc w:val="both"/>
        <w:rPr>
          <w:rFonts w:ascii="Simplified Arabic" w:hAnsi="Simplified Arabic" w:cs="Simplified Arabic"/>
          <w:color w:val="000000" w:themeColor="text1"/>
          <w:sz w:val="28"/>
          <w:szCs w:val="28"/>
          <w:u w:val="single"/>
          <w:rtl/>
          <w:lang w:bidi="ar-EG"/>
        </w:rPr>
      </w:pPr>
    </w:p>
    <w:p w14:paraId="0198833D" w14:textId="43CD827C" w:rsidR="00156D45" w:rsidRPr="007273B0" w:rsidRDefault="009E41F4" w:rsidP="004713E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7273B0">
        <w:rPr>
          <w:rFonts w:ascii="Simplified Arabic" w:hAnsi="Simplified Arabic" w:cs="Simplified Arabic"/>
          <w:b/>
          <w:bCs/>
          <w:color w:val="000000" w:themeColor="text1"/>
          <w:sz w:val="40"/>
          <w:szCs w:val="40"/>
          <w:rtl/>
        </w:rPr>
        <w:t>أثر إدارة المخاطر التنظيمية على الالتزام بمعايير الاستدامة العقارية: دراسة ميدانية على مشاريع رؤية 2030 العقارية</w:t>
      </w:r>
      <w:r w:rsidR="00156D45" w:rsidRPr="007273B0">
        <w:rPr>
          <w:rFonts w:ascii="Simplified Arabic" w:hAnsi="Simplified Arabic" w:cs="Simplified Arabic"/>
          <w:b/>
          <w:bCs/>
          <w:color w:val="000000" w:themeColor="text1"/>
          <w:sz w:val="40"/>
          <w:szCs w:val="40"/>
        </w:rPr>
        <w:t>.</w:t>
      </w:r>
    </w:p>
    <w:p w14:paraId="75AEC5CC" w14:textId="77777777" w:rsidR="004713E0" w:rsidRPr="007273B0" w:rsidRDefault="004713E0" w:rsidP="004713E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DCFA441" w:rsidR="009125CE" w:rsidRPr="007273B0" w:rsidRDefault="009125CE" w:rsidP="004713E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hAnsi="Simplified Arabic" w:cs="Simplified Arabic"/>
          <w:b/>
          <w:bCs/>
          <w:color w:val="000000" w:themeColor="text1"/>
          <w:sz w:val="36"/>
          <w:szCs w:val="36"/>
          <w:rtl/>
          <w:lang w:bidi="ar-EG"/>
        </w:rPr>
        <w:t>إعداد الطالب/</w:t>
      </w:r>
    </w:p>
    <w:p w14:paraId="6C210354" w14:textId="0B58D85C" w:rsidR="00156D45" w:rsidRPr="007273B0" w:rsidRDefault="009E41F4" w:rsidP="004713E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273B0">
        <w:rPr>
          <w:rFonts w:ascii="Simplified Arabic" w:hAnsi="Simplified Arabic" w:cs="Simplified Arabic"/>
          <w:color w:val="000000" w:themeColor="text1"/>
          <w:sz w:val="36"/>
          <w:szCs w:val="36"/>
          <w:rtl/>
        </w:rPr>
        <w:t>محمد علي غزواني</w:t>
      </w:r>
    </w:p>
    <w:p w14:paraId="4CE716CC" w14:textId="77777777" w:rsidR="004713E0" w:rsidRPr="007273B0" w:rsidRDefault="004713E0" w:rsidP="004713E0">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713E0" w:rsidRPr="007273B0" w14:paraId="491D2143" w14:textId="77777777" w:rsidTr="000519A7">
        <w:tc>
          <w:tcPr>
            <w:tcW w:w="4530" w:type="dxa"/>
          </w:tcPr>
          <w:p w14:paraId="2750D464" w14:textId="77777777" w:rsidR="004713E0" w:rsidRPr="007273B0" w:rsidRDefault="004713E0" w:rsidP="000519A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hAnsi="Simplified Arabic" w:cs="Simplified Arabic" w:hint="cs"/>
                <w:b/>
                <w:bCs/>
                <w:color w:val="000000" w:themeColor="text1"/>
                <w:sz w:val="36"/>
                <w:szCs w:val="36"/>
                <w:rtl/>
                <w:lang w:bidi="ar-EG"/>
              </w:rPr>
              <w:t>المشرف الرئيسي/</w:t>
            </w:r>
          </w:p>
        </w:tc>
        <w:tc>
          <w:tcPr>
            <w:tcW w:w="4531" w:type="dxa"/>
          </w:tcPr>
          <w:p w14:paraId="62F0C0B1" w14:textId="77777777" w:rsidR="004713E0" w:rsidRPr="007273B0" w:rsidRDefault="004713E0" w:rsidP="000519A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hAnsi="Simplified Arabic" w:cs="Simplified Arabic" w:hint="cs"/>
                <w:b/>
                <w:bCs/>
                <w:color w:val="000000" w:themeColor="text1"/>
                <w:sz w:val="36"/>
                <w:szCs w:val="36"/>
                <w:rtl/>
                <w:lang w:bidi="ar-EG"/>
              </w:rPr>
              <w:t>المشرف الثاني/</w:t>
            </w:r>
          </w:p>
        </w:tc>
      </w:tr>
      <w:tr w:rsidR="004713E0" w:rsidRPr="007273B0" w14:paraId="63FFAF58" w14:textId="77777777" w:rsidTr="000519A7">
        <w:tc>
          <w:tcPr>
            <w:tcW w:w="4530" w:type="dxa"/>
          </w:tcPr>
          <w:p w14:paraId="7D91F4CF" w14:textId="77777777" w:rsidR="004713E0" w:rsidRPr="007273B0" w:rsidRDefault="004713E0" w:rsidP="000519A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369917F" w14:textId="77777777" w:rsidR="004713E0" w:rsidRPr="007273B0" w:rsidRDefault="004713E0" w:rsidP="000519A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eastAsia="Calibri" w:hAnsi="Simplified Arabic" w:cs="Simplified Arabic"/>
                <w:color w:val="000000" w:themeColor="text1"/>
                <w:kern w:val="0"/>
                <w:sz w:val="36"/>
                <w:szCs w:val="36"/>
                <w:rtl/>
                <w:lang w:bidi="ar-EG"/>
                <w14:ligatures w14:val="none"/>
              </w:rPr>
              <w:t>د.فايز جراد</w:t>
            </w:r>
          </w:p>
        </w:tc>
      </w:tr>
    </w:tbl>
    <w:p w14:paraId="62F6A69F" w14:textId="77777777" w:rsidR="004713E0" w:rsidRPr="007273B0" w:rsidRDefault="004713E0" w:rsidP="004713E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273B0">
        <w:rPr>
          <w:rFonts w:ascii="Simplified Arabic" w:hAnsi="Simplified Arabic" w:cs="Simplified Arabic"/>
          <w:b/>
          <w:bCs/>
          <w:color w:val="000000" w:themeColor="text1"/>
          <w:sz w:val="36"/>
          <w:szCs w:val="36"/>
          <w:rtl/>
          <w:lang w:bidi="ar-EG"/>
        </w:rPr>
        <w:t>العام الدراسي:</w:t>
      </w:r>
    </w:p>
    <w:p w14:paraId="2B6311EE" w14:textId="77777777" w:rsidR="004713E0" w:rsidRPr="007273B0" w:rsidRDefault="004713E0" w:rsidP="004713E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713E0" w:rsidRPr="007273B0" w:rsidSect="000519A7">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7273B0">
        <w:rPr>
          <w:rFonts w:ascii="Simplified Arabic" w:hAnsi="Simplified Arabic" w:cs="Simplified Arabic" w:hint="cs"/>
          <w:color w:val="000000" w:themeColor="text1"/>
          <w:sz w:val="36"/>
          <w:szCs w:val="36"/>
          <w:rtl/>
          <w:lang w:bidi="ar-EG"/>
        </w:rPr>
        <w:t xml:space="preserve">1448 </w:t>
      </w:r>
      <w:r w:rsidRPr="007273B0">
        <w:rPr>
          <w:rFonts w:ascii="Simplified Arabic" w:hAnsi="Simplified Arabic" w:cs="Simplified Arabic"/>
          <w:color w:val="000000" w:themeColor="text1"/>
          <w:sz w:val="36"/>
          <w:szCs w:val="36"/>
          <w:rtl/>
          <w:lang w:bidi="ar-EG"/>
        </w:rPr>
        <w:t>–</w:t>
      </w:r>
      <w:r w:rsidRPr="007273B0">
        <w:rPr>
          <w:rFonts w:ascii="Simplified Arabic" w:hAnsi="Simplified Arabic" w:cs="Simplified Arabic" w:hint="cs"/>
          <w:color w:val="000000" w:themeColor="text1"/>
          <w:sz w:val="36"/>
          <w:szCs w:val="36"/>
          <w:rtl/>
          <w:lang w:bidi="ar-EG"/>
        </w:rPr>
        <w:t xml:space="preserve"> 2026</w:t>
      </w:r>
    </w:p>
    <w:p w14:paraId="58627B55" w14:textId="77777777" w:rsidR="004713E0" w:rsidRPr="007273B0" w:rsidRDefault="004713E0" w:rsidP="004713E0">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0C89541C" w14:textId="1F48DD55" w:rsidR="00D75AD3" w:rsidRPr="007273B0" w:rsidRDefault="00D75AD3" w:rsidP="004713E0">
      <w:pPr>
        <w:spacing w:before="100" w:beforeAutospacing="1" w:after="100" w:afterAutospacing="1" w:line="276" w:lineRule="auto"/>
        <w:jc w:val="both"/>
        <w:rPr>
          <w:rFonts w:ascii="Simplified Arabic" w:hAnsi="Simplified Arabic" w:cs="Simplified Arabic"/>
          <w:noProof/>
          <w:color w:val="000000" w:themeColor="text1"/>
          <w:sz w:val="28"/>
          <w:szCs w:val="28"/>
          <w:rtl/>
        </w:rPr>
      </w:pPr>
      <w:bookmarkStart w:id="0" w:name="_Toc169790487"/>
    </w:p>
    <w:p w14:paraId="19B23E62" w14:textId="329F5737" w:rsidR="004713E0" w:rsidRPr="007273B0" w:rsidRDefault="004713E0" w:rsidP="004713E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23914276"/>
      <w:bookmarkStart w:id="2" w:name="_Hlk172151144"/>
      <w:bookmarkStart w:id="3" w:name="_Toc169790489"/>
      <w:bookmarkStart w:id="4" w:name="_Toc233580386"/>
      <w:bookmarkEnd w:id="0"/>
      <w:r w:rsidRPr="007273B0">
        <w:rPr>
          <w:rFonts w:ascii="Simplified Arabic" w:hAnsi="Simplified Arabic" w:cs="Simplified Arabic" w:hint="cs"/>
          <w:b/>
          <w:bCs/>
          <w:color w:val="000000" w:themeColor="text1"/>
          <w:sz w:val="40"/>
          <w:szCs w:val="40"/>
          <w:rtl/>
        </w:rPr>
        <w:t>الفصل الأول: الإطار العام للدراسة</w:t>
      </w:r>
      <w:bookmarkEnd w:id="4"/>
    </w:p>
    <w:p w14:paraId="14F44072" w14:textId="340830EC" w:rsidR="004713E0" w:rsidRPr="007273B0" w:rsidRDefault="004713E0" w:rsidP="004713E0">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5" w:name="_Toc233580387"/>
      <w:r w:rsidRPr="007273B0">
        <w:rPr>
          <w:rFonts w:ascii="Simplified Arabic" w:hAnsi="Simplified Arabic" w:cs="Simplified Arabic" w:hint="cs"/>
          <w:b/>
          <w:bCs/>
          <w:color w:val="000000" w:themeColor="text1"/>
          <w:sz w:val="36"/>
          <w:szCs w:val="36"/>
          <w:rtl/>
        </w:rPr>
        <w:t>1.1 المقدمة</w:t>
      </w:r>
      <w:bookmarkEnd w:id="5"/>
    </w:p>
    <w:p w14:paraId="21D23170" w14:textId="186902F3" w:rsidR="00682B9E" w:rsidRPr="007273B0" w:rsidRDefault="00682B9E" w:rsidP="004713E0">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تُمثّل إدارة المخاطر في العصر الراهن أحد أبرز المرتكزات الاستراتيجية التي تعتمد عليها المنظمات المعاصرة في مختلف القطاعات لضمان استمراريتها وتحقيق أهدافها في بيئات أعمال تتسم بالتعقيد وعدم اليقين والتغير المتسارع. وقد تطور مفهوم إدارة المخاطر من كونه مجرد وظيفة رقابية تقليدية تُعنى بالتعامل مع الأزمات بعد وقوعها إلى منظومة استباقية شاملة تتكامل مع الاستراتيجية المؤسسية وتُسهم في صنع القرار وتعزيز الفاعلية التنظيمية، إذ أكدت الأدبيات الإدارية الحديثة أن المنظمات التي تتبنى إطاراً متكاملاً لإدارة المخاطر تكون أكثر قدرة على التكيف مع المتغيرات والحفاظ على ميزتها التنافسية</w:t>
      </w:r>
      <w:r w:rsidRPr="007273B0">
        <w:rPr>
          <w:rFonts w:ascii="Simplified Arabic" w:hAnsi="Simplified Arabic" w:cs="Simplified Arabic"/>
          <w:color w:val="000000" w:themeColor="text1"/>
          <w:sz w:val="28"/>
          <w:szCs w:val="28"/>
        </w:rPr>
        <w:t xml:space="preserve"> (Adeniran et al, 2024).</w:t>
      </w:r>
    </w:p>
    <w:p w14:paraId="17BF6C75" w14:textId="54D1B83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وتكتسب إدارة المخاطر التنظيمية أهمية خاصة في القطاع العقاري بالنظر إلى طبيعة هذا القطاع التي تتسم بضخامة الاستثمارات وطول دورة حياة المشاريع وتعدد الأطراف المعنية وتشابك المتطلبات التنظيمية والفنية، وهو ما يجعل عمليات تحديد المخاطر وتقييمها والاستجابة لها ومراقبتها ضرورة حتمية وليست خياراً إدارياً. وقد أوضحت الدراسات أن التكامل بين أدوات إدارة المخاطر والعمليات التجارية في قطاع العقارات المؤسسية يُعزّز القدرة على اتخاذ قرارات استباقية ويُحسّن كفاءة العمليات التشغيلية ويدعم التخطيط الاستراتيجي بعيد المدى</w:t>
      </w:r>
      <w:r w:rsidRPr="007273B0">
        <w:rPr>
          <w:rFonts w:ascii="Simplified Arabic" w:hAnsi="Simplified Arabic" w:cs="Simplified Arabic"/>
          <w:color w:val="000000" w:themeColor="text1"/>
          <w:sz w:val="28"/>
          <w:szCs w:val="28"/>
        </w:rPr>
        <w:t xml:space="preserve"> (Battisti</w:t>
      </w:r>
      <w:r w:rsidRPr="007273B0">
        <w:rPr>
          <w:rFonts w:ascii="Simplified Arabic" w:eastAsiaTheme="minorHAnsi" w:hAnsi="Simplified Arabic" w:cs="Simplified Arabic"/>
          <w:color w:val="000000" w:themeColor="text1"/>
          <w:kern w:val="2"/>
          <w:sz w:val="28"/>
          <w:szCs w:val="28"/>
          <w14:ligatures w14:val="standardContextual"/>
        </w:rPr>
        <w:t xml:space="preserve"> </w:t>
      </w:r>
      <w:r w:rsidRPr="007273B0">
        <w:rPr>
          <w:rFonts w:ascii="Simplified Arabic" w:hAnsi="Simplified Arabic" w:cs="Simplified Arabic"/>
          <w:color w:val="000000" w:themeColor="text1"/>
          <w:sz w:val="28"/>
          <w:szCs w:val="28"/>
        </w:rPr>
        <w:t xml:space="preserve">et al, 2020). </w:t>
      </w:r>
      <w:r w:rsidRPr="007273B0">
        <w:rPr>
          <w:rFonts w:ascii="Simplified Arabic" w:hAnsi="Simplified Arabic" w:cs="Simplified Arabic"/>
          <w:color w:val="000000" w:themeColor="text1"/>
          <w:sz w:val="28"/>
          <w:szCs w:val="28"/>
          <w:rtl/>
        </w:rPr>
        <w:t>كما أثبتت الأدبيات أن تطبيق إدارة المخاطر يُسهم إسهاماً جوهرياً في تحقيق الفاعلية التنظيمية حين يُدمَج مع القدرات الجوهرية للمنظمة ويُمارَس بشكل منهجي ومستمر (حمدان والبشابشة، 2024)</w:t>
      </w:r>
      <w:r w:rsidRPr="007273B0">
        <w:rPr>
          <w:rFonts w:ascii="Simplified Arabic" w:hAnsi="Simplified Arabic" w:cs="Simplified Arabic"/>
          <w:color w:val="000000" w:themeColor="text1"/>
          <w:sz w:val="28"/>
          <w:szCs w:val="28"/>
        </w:rPr>
        <w:t>.</w:t>
      </w:r>
    </w:p>
    <w:p w14:paraId="25B08505" w14:textId="62C2E0F0"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 xml:space="preserve">وبالتوازي مع تنامي أهمية إدارة المخاطر، يشهد العالم اهتماماً متصاعداً بمفهوم الاستدامة بوصفه إطاراً شاملاً يسعى إلى تحقيق التوازن بين الأبعاد البيئية والاجتماعية والاقتصادية في ممارسات المنظمات وأنشطتها. وفي قطاع العقارات تحديداً، لم تعد الاستدامة مجرد توجه اختياري بل أضحت متطلباً تنظيمياً واستثمارياً تفرضه التشريعات الوطنية والدولية وتوقعات أصحاب المصلحة والمستثمرين، </w:t>
      </w:r>
      <w:r w:rsidRPr="007273B0">
        <w:rPr>
          <w:rFonts w:ascii="Simplified Arabic" w:hAnsi="Simplified Arabic" w:cs="Simplified Arabic"/>
          <w:color w:val="000000" w:themeColor="text1"/>
          <w:sz w:val="28"/>
          <w:szCs w:val="28"/>
          <w:rtl/>
        </w:rPr>
        <w:lastRenderedPageBreak/>
        <w:t>حيث تتزايد الضغوط على الشركات العقارية لتبني معايير البناء الأخضر والإفصاح عن أدائها البيئي والاجتماعي</w:t>
      </w:r>
      <w:r w:rsidRPr="007273B0">
        <w:rPr>
          <w:rFonts w:ascii="Simplified Arabic" w:hAnsi="Simplified Arabic" w:cs="Simplified Arabic"/>
          <w:color w:val="000000" w:themeColor="text1"/>
          <w:sz w:val="28"/>
          <w:szCs w:val="28"/>
        </w:rPr>
        <w:t xml:space="preserve"> (Matemilola &amp; Muraina, 2023). </w:t>
      </w:r>
    </w:p>
    <w:p w14:paraId="7FEBD359" w14:textId="367B27A6"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ويبرز التقاطع بين إدارة المخاطر التنظيمية والالتزام بمعايير الاستدامة العقارية بوصفه مساحة بحثية واعدة تستوجب الدراسة والتحليل، إذ إن الاستدامة ذاتها أصبحت تُصنَّف كفئة من فئات إدارة المخاطر في القطاع العقاري، وأن المنظمات التي تُخفق في دمج اعتبارات الاستدامة ضمن أطر إدارة المخاطر لديها تُعرّض نفسها لمخاطر تنظيمية ومالية وسمعية متزايدة</w:t>
      </w:r>
      <w:r w:rsidRPr="007273B0">
        <w:rPr>
          <w:rFonts w:ascii="Simplified Arabic" w:hAnsi="Simplified Arabic" w:cs="Simplified Arabic"/>
          <w:color w:val="000000" w:themeColor="text1"/>
          <w:sz w:val="28"/>
          <w:szCs w:val="28"/>
        </w:rPr>
        <w:t xml:space="preserve"> (Brodowicz, 2025). </w:t>
      </w:r>
    </w:p>
    <w:p w14:paraId="151808ED" w14:textId="7777777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وانطلاقاً مما سبق، تأتي هذه الدراسة لتتناول أثر إدارة المخاطر التنظيمية بأبعادها (تحديد المخاطر، تقييم المخاطر، الاستجابة للمخاطر، مراقبة المخاطر) على الالتزام بمعايير الاستدامة العقارية في مشاريع رؤية 2030 العقارية، ساعيةً إلى تقديم إسهام علمي وعملي يُثري الأدبيات الإدارية العربية في هذا المجال البحثي الناشئ، ويُزوّد صانعي القرار في المشاريع العقارية الكبرى بأدلة تطبيقية تُعينهم على توظيف إدارة المخاطر التنظيمية كآلية فاعلة لتعزيز الالتزام بمعايير الاستدامة وتحقيق المستهدفات الوطنية الطموحة</w:t>
      </w:r>
      <w:r w:rsidRPr="007273B0">
        <w:rPr>
          <w:rFonts w:ascii="Simplified Arabic" w:hAnsi="Simplified Arabic" w:cs="Simplified Arabic"/>
          <w:color w:val="000000" w:themeColor="text1"/>
          <w:sz w:val="28"/>
          <w:szCs w:val="28"/>
        </w:rPr>
        <w:t>.</w:t>
      </w:r>
    </w:p>
    <w:p w14:paraId="0F34D2C3" w14:textId="4CCE8019" w:rsidR="004713E0" w:rsidRPr="007273B0" w:rsidRDefault="004713E0" w:rsidP="004713E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6" w:name="_Toc223914277"/>
      <w:bookmarkStart w:id="7" w:name="_Toc169790500"/>
      <w:bookmarkStart w:id="8" w:name="_Toc233580388"/>
      <w:bookmarkEnd w:id="1"/>
      <w:bookmarkEnd w:id="2"/>
      <w:bookmarkEnd w:id="3"/>
      <w:r w:rsidRPr="007273B0">
        <w:rPr>
          <w:rFonts w:ascii="Simplified Arabic" w:hAnsi="Simplified Arabic" w:cs="Simplified Arabic"/>
          <w:b/>
          <w:bCs/>
          <w:color w:val="000000" w:themeColor="text1"/>
          <w:sz w:val="36"/>
          <w:szCs w:val="36"/>
          <w:rtl/>
        </w:rPr>
        <w:t>2.1 مشكلة الدراسة</w:t>
      </w:r>
      <w:bookmarkEnd w:id="8"/>
    </w:p>
    <w:p w14:paraId="476FE7B8" w14:textId="7777777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 xml:space="preserve">يشهد القطاع العقاري في المملكة العربية السعودية تحولات جوهرية غير مسبوقة في ظل مستهدفات رؤية 2030 التي أولت هذا القطاع أهمية استراتيجية بالغة، إذ يُعدّ أحد الركائز الأساسية للتنويع الاقتصادي وتعزيز جودة الحياة ورفع نسبة تملّك المساكن إلى 70% بحلول عام </w:t>
      </w:r>
      <w:r w:rsidRPr="007273B0">
        <w:rPr>
          <w:rFonts w:ascii="Simplified Arabic" w:hAnsi="Simplified Arabic" w:cs="Simplified Arabic"/>
          <w:color w:val="000000" w:themeColor="text1"/>
          <w:sz w:val="28"/>
          <w:szCs w:val="28"/>
        </w:rPr>
        <w:t xml:space="preserve">2030. </w:t>
      </w:r>
      <w:r w:rsidRPr="007273B0">
        <w:rPr>
          <w:rFonts w:ascii="Simplified Arabic" w:hAnsi="Simplified Arabic" w:cs="Simplified Arabic"/>
          <w:color w:val="000000" w:themeColor="text1"/>
          <w:sz w:val="28"/>
          <w:szCs w:val="28"/>
          <w:rtl/>
        </w:rPr>
        <w:t>وقد أفرزت هذه التحولات مشاريع عقارية ضخمة ذات طابع تنموي شامل، كمشروع نيوم وروشن والبحر الأحمر والقدية والشركة الوطنية للإسكان، وهي مشاريع تتسم بتعقيد بيئاتها التشغيلية وتعدد أصحاب المصلحة وضخامة حجم الاستثمارات وتشابك المتطلبات التنظيمية والبيئية والاجتماعية. غير أن هذا الطموح التنموي المتسارع يُواجَه بتحديات متصاعدة تتعلق بكيفية تحقيق التوازن بين تسريع وتيرة التنفيذ من جهة، والالتزام بمعايير الاستدامة العقارية بأبعادها البيئية والاجتماعية والاقتصادية ومعايير الحوكمة من جهة أخرى</w:t>
      </w:r>
      <w:r w:rsidRPr="007273B0">
        <w:rPr>
          <w:rFonts w:ascii="Simplified Arabic" w:hAnsi="Simplified Arabic" w:cs="Simplified Arabic"/>
          <w:color w:val="000000" w:themeColor="text1"/>
          <w:sz w:val="28"/>
          <w:szCs w:val="28"/>
        </w:rPr>
        <w:t>.</w:t>
      </w:r>
    </w:p>
    <w:p w14:paraId="2B195CDB" w14:textId="7777777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 xml:space="preserve">وتبرز المشكلة البحثية في أن كثيراً من المشاريع العقارية الكبرى تتعامل مع إدارة المخاطر التنظيمية بوصفها وظيفة إدارية منفصلة عن منظومة الاستدامة، مما يُفضي إلى فجوة واضحة بين ممارسات إدارة </w:t>
      </w:r>
      <w:r w:rsidRPr="007273B0">
        <w:rPr>
          <w:rFonts w:ascii="Simplified Arabic" w:hAnsi="Simplified Arabic" w:cs="Simplified Arabic"/>
          <w:color w:val="000000" w:themeColor="text1"/>
          <w:sz w:val="28"/>
          <w:szCs w:val="28"/>
          <w:rtl/>
        </w:rPr>
        <w:lastRenderedPageBreak/>
        <w:t xml:space="preserve">المخاطر ومتطلبات الالتزام بمعايير الاستدامة العقارية. وقد أشارت دراسة </w:t>
      </w:r>
      <w:r w:rsidRPr="007273B0">
        <w:rPr>
          <w:rFonts w:ascii="Simplified Arabic" w:hAnsi="Simplified Arabic" w:cs="Simplified Arabic"/>
          <w:color w:val="000000" w:themeColor="text1"/>
          <w:sz w:val="28"/>
          <w:szCs w:val="28"/>
        </w:rPr>
        <w:t xml:space="preserve">(Walraven, Wattamwar &amp; Curzi, 2025) </w:t>
      </w:r>
      <w:r w:rsidRPr="007273B0">
        <w:rPr>
          <w:rFonts w:ascii="Simplified Arabic" w:hAnsi="Simplified Arabic" w:cs="Simplified Arabic"/>
          <w:color w:val="000000" w:themeColor="text1"/>
          <w:sz w:val="28"/>
          <w:szCs w:val="28"/>
          <w:rtl/>
        </w:rPr>
        <w:t>إلى أن الاستدامة لم تعد مجرد خيار تطوعي بل أصبحت فئة أساسية من فئات إدارة المخاطر في قطاع العقارات المؤسسية، فيما أكدت دراسة</w:t>
      </w:r>
      <w:r w:rsidRPr="007273B0">
        <w:rPr>
          <w:rFonts w:ascii="Simplified Arabic" w:hAnsi="Simplified Arabic" w:cs="Simplified Arabic"/>
          <w:color w:val="000000" w:themeColor="text1"/>
          <w:sz w:val="28"/>
          <w:szCs w:val="28"/>
        </w:rPr>
        <w:t xml:space="preserve"> (Brodowicz, 2025) </w:t>
      </w:r>
      <w:r w:rsidRPr="007273B0">
        <w:rPr>
          <w:rFonts w:ascii="Simplified Arabic" w:hAnsi="Simplified Arabic" w:cs="Simplified Arabic"/>
          <w:color w:val="000000" w:themeColor="text1"/>
          <w:sz w:val="28"/>
          <w:szCs w:val="28"/>
          <w:rtl/>
        </w:rPr>
        <w:t>أن أكثر من ثلث الشركات العقارية المستطلعة لا تزال غير واضحة في موقفها من توظيف الاستثمار المسؤول كأداة لإدارة المخاطر، كما كشفت عن ممارسات واسعة للغسل الأخضر تُقوّض جدية الالتزام بمعايير الاستدامة. وعلى الصعيد المحلي، أوضحت دراسة (البلوي وغيث، 2021) أن واقع تطبيق آليات الحوكمة في مؤسسات القطاع العام السعودي ـ بما فيها وزارة الشؤون البلدية والقروية والإسكان ـ لا يزال ضعيفاً مقارنة بالمعايير المثلى، مما ينعكس سلباً على إدارة مخاطر العمل المؤسسي، بينما أثبتت دراسة (حمدان والبشابشة، 2024) وجود أثر جوهري لإدارة المخاطر في تحقيق الفاعلية التنظيمية، مما يؤكد الحاجة إلى دراسة هذا الأثر في سياق الاستدامة العقارية تحديداً</w:t>
      </w:r>
      <w:r w:rsidRPr="007273B0">
        <w:rPr>
          <w:rFonts w:ascii="Simplified Arabic" w:hAnsi="Simplified Arabic" w:cs="Simplified Arabic"/>
          <w:color w:val="000000" w:themeColor="text1"/>
          <w:sz w:val="28"/>
          <w:szCs w:val="28"/>
        </w:rPr>
        <w:t>.</w:t>
      </w:r>
    </w:p>
    <w:p w14:paraId="070BFD54" w14:textId="7777777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وتتعمّق المشكلة حين نُدرك أن القطاع العقاري السعودي يخضع لمتطلبات تنظيمية متزايدة التعقيد تفرضها الهيئة العامة للعقار والجهات الرقابية ذات العلاقة، في ظل توجه المملكة نحو تبني معايير البناء الأخضر والشهادات الدولية مثل</w:t>
      </w:r>
      <w:r w:rsidRPr="007273B0">
        <w:rPr>
          <w:rFonts w:ascii="Simplified Arabic" w:hAnsi="Simplified Arabic" w:cs="Simplified Arabic"/>
          <w:color w:val="000000" w:themeColor="text1"/>
          <w:sz w:val="28"/>
          <w:szCs w:val="28"/>
        </w:rPr>
        <w:t xml:space="preserve"> LEED </w:t>
      </w:r>
      <w:r w:rsidRPr="007273B0">
        <w:rPr>
          <w:rFonts w:ascii="Simplified Arabic" w:hAnsi="Simplified Arabic" w:cs="Simplified Arabic"/>
          <w:color w:val="000000" w:themeColor="text1"/>
          <w:sz w:val="28"/>
          <w:szCs w:val="28"/>
          <w:rtl/>
        </w:rPr>
        <w:t>و</w:t>
      </w:r>
      <w:r w:rsidRPr="007273B0">
        <w:rPr>
          <w:rFonts w:ascii="Simplified Arabic" w:hAnsi="Simplified Arabic" w:cs="Simplified Arabic"/>
          <w:color w:val="000000" w:themeColor="text1"/>
          <w:sz w:val="28"/>
          <w:szCs w:val="28"/>
        </w:rPr>
        <w:t xml:space="preserve">BREEAM </w:t>
      </w:r>
      <w:r w:rsidRPr="007273B0">
        <w:rPr>
          <w:rFonts w:ascii="Simplified Arabic" w:hAnsi="Simplified Arabic" w:cs="Simplified Arabic"/>
          <w:color w:val="000000" w:themeColor="text1"/>
          <w:sz w:val="28"/>
          <w:szCs w:val="28"/>
          <w:rtl/>
        </w:rPr>
        <w:t>ومبادرة السعودية الخضراء، وهو ما يستلزم منظومة إدارة مخاطر تنظيمية متكاملة قادرة على التعرف المنهجي على المخاطر البيئية والاجتماعية والتنظيمية وتقييمها والاستجابة لها ومراقبتها بشكل مستمر. وقد أكدت دراسة</w:t>
      </w:r>
      <w:r w:rsidRPr="007273B0">
        <w:rPr>
          <w:rFonts w:ascii="Simplified Arabic" w:hAnsi="Simplified Arabic" w:cs="Simplified Arabic"/>
          <w:color w:val="000000" w:themeColor="text1"/>
          <w:sz w:val="28"/>
          <w:szCs w:val="28"/>
        </w:rPr>
        <w:t xml:space="preserve"> (Battisti et al., 2020) </w:t>
      </w:r>
      <w:r w:rsidRPr="007273B0">
        <w:rPr>
          <w:rFonts w:ascii="Simplified Arabic" w:hAnsi="Simplified Arabic" w:cs="Simplified Arabic"/>
          <w:color w:val="000000" w:themeColor="text1"/>
          <w:sz w:val="28"/>
          <w:szCs w:val="28"/>
          <w:rtl/>
        </w:rPr>
        <w:t>أن غياب التكامل بين البيانات الضخمة وإدارة المخاطر في العمليات التجارية يُضعف القدرة على اتخاذ قرارات استباقية فعّالة في قطاع العقارات المؤسسية، فيما نبّهت دراسة</w:t>
      </w:r>
      <w:r w:rsidRPr="007273B0">
        <w:rPr>
          <w:rFonts w:ascii="Simplified Arabic" w:hAnsi="Simplified Arabic" w:cs="Simplified Arabic"/>
          <w:color w:val="000000" w:themeColor="text1"/>
          <w:sz w:val="28"/>
          <w:szCs w:val="28"/>
        </w:rPr>
        <w:t xml:space="preserve"> (Adeniran et al., 2024) </w:t>
      </w:r>
      <w:r w:rsidRPr="007273B0">
        <w:rPr>
          <w:rFonts w:ascii="Simplified Arabic" w:hAnsi="Simplified Arabic" w:cs="Simplified Arabic"/>
          <w:color w:val="000000" w:themeColor="text1"/>
          <w:sz w:val="28"/>
          <w:szCs w:val="28"/>
          <w:rtl/>
        </w:rPr>
        <w:t>إلى أن إدارة المخاطر الاستراتيجية لا تكتمل فاعليتها إلا بدمجها مع استراتيجية الأعمال وأهداف الامتثال التنظيمي</w:t>
      </w:r>
      <w:r w:rsidRPr="007273B0">
        <w:rPr>
          <w:rFonts w:ascii="Simplified Arabic" w:hAnsi="Simplified Arabic" w:cs="Simplified Arabic"/>
          <w:color w:val="000000" w:themeColor="text1"/>
          <w:sz w:val="28"/>
          <w:szCs w:val="28"/>
        </w:rPr>
        <w:t>.</w:t>
      </w:r>
    </w:p>
    <w:p w14:paraId="720222BB" w14:textId="77777777" w:rsidR="00682B9E"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ومما يُعزّز الإشكالية البحثية أن الأدبيات العربية والسعودية تفتقر إلى دراسات تطبيقية تربط بشكل مباشر بين إدارة المخاطر التنظيمية بأبعادها الأربعة (تحديد المخاطر، تقييم المخاطر، الاستجابة للمخاطر، مراقبة المخاطر) والالتزام بمعايير الاستدامة العقارية في سياق المشاريع التنموية الكبرى. وهذه الفجوة المعرفية تُشكّل مبرراً علمياً وعملياً جوهرياً لإجراء هذه الدراسة التي تسعى إلى سدّ هذا النقص من خلال دراسة ميدانية على مشاريع رؤية 2030 العقارية. وعليه يمكن بلورة مشكلة الدراسة في التساؤل الرئيسي التالي</w:t>
      </w:r>
      <w:r w:rsidRPr="007273B0">
        <w:rPr>
          <w:rFonts w:ascii="Simplified Arabic" w:hAnsi="Simplified Arabic" w:cs="Simplified Arabic"/>
          <w:color w:val="000000" w:themeColor="text1"/>
          <w:sz w:val="28"/>
          <w:szCs w:val="28"/>
        </w:rPr>
        <w:t xml:space="preserve">: </w:t>
      </w:r>
      <w:r w:rsidRPr="007273B0">
        <w:rPr>
          <w:rStyle w:val="Strong"/>
          <w:rFonts w:ascii="Simplified Arabic" w:hAnsi="Simplified Arabic" w:cs="Simplified Arabic"/>
          <w:b w:val="0"/>
          <w:bCs w:val="0"/>
          <w:color w:val="000000" w:themeColor="text1"/>
          <w:sz w:val="28"/>
          <w:szCs w:val="28"/>
          <w:rtl/>
        </w:rPr>
        <w:t xml:space="preserve">ما أثر إدارة المخاطر التنظيمية بأبعادها (تحديد المخاطر، تقييم المخاطر، الاستجابة </w:t>
      </w:r>
      <w:r w:rsidRPr="007273B0">
        <w:rPr>
          <w:rStyle w:val="Strong"/>
          <w:rFonts w:ascii="Simplified Arabic" w:hAnsi="Simplified Arabic" w:cs="Simplified Arabic"/>
          <w:b w:val="0"/>
          <w:bCs w:val="0"/>
          <w:color w:val="000000" w:themeColor="text1"/>
          <w:sz w:val="28"/>
          <w:szCs w:val="28"/>
          <w:rtl/>
        </w:rPr>
        <w:lastRenderedPageBreak/>
        <w:t xml:space="preserve">للمخاطر، مراقبة المخاطر) على الالتزام بمعايير الاستدامة العقارية في مشاريع رؤية </w:t>
      </w:r>
      <w:r w:rsidRPr="007273B0">
        <w:rPr>
          <w:rStyle w:val="Strong"/>
          <w:rFonts w:ascii="Simplified Arabic" w:hAnsi="Simplified Arabic" w:cs="Simplified Arabic"/>
          <w:b w:val="0"/>
          <w:bCs w:val="0"/>
          <w:color w:val="000000" w:themeColor="text1"/>
          <w:sz w:val="28"/>
          <w:szCs w:val="28"/>
        </w:rPr>
        <w:t xml:space="preserve">2030 </w:t>
      </w:r>
      <w:r w:rsidRPr="007273B0">
        <w:rPr>
          <w:rStyle w:val="Strong"/>
          <w:rFonts w:ascii="Simplified Arabic" w:hAnsi="Simplified Arabic" w:cs="Simplified Arabic"/>
          <w:b w:val="0"/>
          <w:bCs w:val="0"/>
          <w:color w:val="000000" w:themeColor="text1"/>
          <w:sz w:val="28"/>
          <w:szCs w:val="28"/>
          <w:rtl/>
        </w:rPr>
        <w:t>العقارية بالمملكة العربية السعودية؟</w:t>
      </w:r>
    </w:p>
    <w:p w14:paraId="74947CD8" w14:textId="6EF8FBF3" w:rsidR="004713E0"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23914286"/>
      <w:bookmarkStart w:id="10" w:name="_Toc233580389"/>
      <w:bookmarkEnd w:id="6"/>
      <w:r w:rsidRPr="007273B0">
        <w:rPr>
          <w:rFonts w:ascii="Simplified Arabic" w:eastAsia="Times New Roman" w:hAnsi="Simplified Arabic" w:cs="Simplified Arabic"/>
          <w:b/>
          <w:bCs/>
          <w:color w:val="000000" w:themeColor="text1"/>
          <w:kern w:val="0"/>
          <w:sz w:val="36"/>
          <w:szCs w:val="36"/>
          <w:rtl/>
          <w14:ligatures w14:val="none"/>
        </w:rPr>
        <w:t>3.1 أهدف الدراسة</w:t>
      </w:r>
      <w:bookmarkEnd w:id="10"/>
    </w:p>
    <w:p w14:paraId="27DEE9CB"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تهدف هذه الدراسة إلى دراسة أثر إدارة المخاطر التنظيمية بأبعادها (تحديد المخاطر، تقييم المخاطر، الاستجابة للمخاطر، مراقبة المخاطر) على الالتزام بمعايير الاستدامة العقارية في مشاريع رؤية </w:t>
      </w:r>
      <w:r w:rsidRPr="007273B0">
        <w:rPr>
          <w:rFonts w:ascii="Simplified Arabic" w:eastAsia="Times New Roman" w:hAnsi="Simplified Arabic" w:cs="Simplified Arabic"/>
          <w:color w:val="000000" w:themeColor="text1"/>
          <w:kern w:val="0"/>
          <w:sz w:val="28"/>
          <w:szCs w:val="28"/>
          <w14:ligatures w14:val="none"/>
        </w:rPr>
        <w:t xml:space="preserve">2030 </w:t>
      </w:r>
      <w:r w:rsidRPr="007273B0">
        <w:rPr>
          <w:rFonts w:ascii="Simplified Arabic" w:eastAsia="Times New Roman" w:hAnsi="Simplified Arabic" w:cs="Simplified Arabic"/>
          <w:color w:val="000000" w:themeColor="text1"/>
          <w:kern w:val="0"/>
          <w:sz w:val="28"/>
          <w:szCs w:val="28"/>
          <w:rtl/>
          <w14:ligatures w14:val="none"/>
        </w:rPr>
        <w:t>العقارية بالمملكة العربية السعودية</w:t>
      </w:r>
      <w:r w:rsidRPr="007273B0">
        <w:rPr>
          <w:rFonts w:ascii="Simplified Arabic" w:eastAsia="Times New Roman" w:hAnsi="Simplified Arabic" w:cs="Simplified Arabic"/>
          <w:color w:val="000000" w:themeColor="text1"/>
          <w:kern w:val="0"/>
          <w:sz w:val="28"/>
          <w:szCs w:val="28"/>
          <w14:ligatures w14:val="none"/>
        </w:rPr>
        <w:t>.</w:t>
      </w:r>
    </w:p>
    <w:p w14:paraId="1B2F24AB"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7273B0">
        <w:rPr>
          <w:rFonts w:ascii="Simplified Arabic" w:eastAsia="Times New Roman" w:hAnsi="Simplified Arabic" w:cs="Simplified Arabic"/>
          <w:b/>
          <w:bCs/>
          <w:color w:val="000000" w:themeColor="text1"/>
          <w:kern w:val="0"/>
          <w:sz w:val="28"/>
          <w:szCs w:val="28"/>
          <w14:ligatures w14:val="none"/>
        </w:rPr>
        <w:t>:</w:t>
      </w:r>
    </w:p>
    <w:p w14:paraId="7A9E81AB"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التعرف على مستوى تطبيق إدارة المخاطر التنظيمية بأبعادها الأربعة (تحديد المخاطر، تقييم المخاطر، الاستجابة للمخاطر، مراقبة المخاطر)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2DE17D40"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قياس مستوى الالتزام بمعايير الاستدامة العقارية (البيئية، والاجتماعية، والاقتصادية، والحوكمة)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3E8ECB1B"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أثر بُعد تحديد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07128FE5"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أثر بُعد تقييم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6E2709CC"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أثر بُعد الاستجابة للمخاطر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6AAFCD7E"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أثر بُعد مراقبة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1D7A5B3B" w14:textId="77777777" w:rsidR="00682B9E" w:rsidRPr="007273B0" w:rsidRDefault="00682B9E" w:rsidP="00CD45F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استكشاف مدى مساهمة التكامل بين إدارة المخاطر التنظيمية ومعايير الاستدامة العقارية في تحقيق المستهدفات الاستراتيجية لرؤية 2030 في القطاع العقاري</w:t>
      </w:r>
      <w:r w:rsidRPr="007273B0">
        <w:rPr>
          <w:rFonts w:ascii="Simplified Arabic" w:eastAsia="Times New Roman" w:hAnsi="Simplified Arabic" w:cs="Simplified Arabic"/>
          <w:color w:val="000000" w:themeColor="text1"/>
          <w:kern w:val="0"/>
          <w:sz w:val="28"/>
          <w:szCs w:val="28"/>
          <w14:ligatures w14:val="none"/>
        </w:rPr>
        <w:t>.</w:t>
      </w:r>
    </w:p>
    <w:p w14:paraId="69B07439" w14:textId="77777777" w:rsidR="004713E0" w:rsidRPr="007273B0" w:rsidRDefault="004713E0" w:rsidP="004713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580390"/>
      <w:r w:rsidRPr="007273B0">
        <w:rPr>
          <w:rFonts w:ascii="Simplified Arabic" w:eastAsia="Times New Roman" w:hAnsi="Simplified Arabic" w:cs="Simplified Arabic"/>
          <w:b/>
          <w:bCs/>
          <w:color w:val="000000" w:themeColor="text1"/>
          <w:kern w:val="0"/>
          <w:sz w:val="36"/>
          <w:szCs w:val="36"/>
          <w:rtl/>
          <w14:ligatures w14:val="none"/>
        </w:rPr>
        <w:t>4.1 أسئلة الدراسة</w:t>
      </w:r>
      <w:bookmarkEnd w:id="11"/>
    </w:p>
    <w:p w14:paraId="649B0752" w14:textId="31679283" w:rsidR="004713E0" w:rsidRPr="007273B0" w:rsidRDefault="004713E0"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السؤال الرئيسي</w:t>
      </w:r>
    </w:p>
    <w:p w14:paraId="1682186F"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ما أثر إدارة المخاطر التنظيمية بأبعادها (تحديد المخاطر، تقييم المخاطر، الاستجابة للمخاطر، مراقبة المخاطر) على الالتزام بمعايير الاستدامة العقارية في مشاريع رؤية 2030 العقارية بالمملكة العربية السعودية؟</w:t>
      </w:r>
    </w:p>
    <w:p w14:paraId="17F024BB"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الأسئلة الفرعية</w:t>
      </w:r>
    </w:p>
    <w:p w14:paraId="72BDDB91" w14:textId="77777777" w:rsidR="00682B9E" w:rsidRPr="007273B0" w:rsidRDefault="00682B9E" w:rsidP="00CD45F1">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ما مستوى تطبيق إدارة المخاطر التنظيمية بأبعادها الأربعة (تحديد المخاطر، تقييم المخاطر، الاستجابة للمخاطر، مراقبة المخاطر) في مشاريع رؤية 2030 العقارية؟</w:t>
      </w:r>
    </w:p>
    <w:p w14:paraId="789D4E5F" w14:textId="77777777" w:rsidR="00682B9E" w:rsidRPr="007273B0" w:rsidRDefault="00682B9E" w:rsidP="00CD45F1">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ما مستوى الالتزام بمعايير الاستدامة العقارية (البيئية، والاجتماعية، والاقتصادية، والحوكمة) في مشاريع رؤية 2030 العقارية؟</w:t>
      </w:r>
    </w:p>
    <w:p w14:paraId="1D4B3650" w14:textId="77777777" w:rsidR="00682B9E" w:rsidRPr="007273B0" w:rsidRDefault="00682B9E" w:rsidP="00CD45F1">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ما أبرز التحديات التي تواجه التكامل بين إدارة المخاطر التنظيمية ومعايير الاستدامة العقارية في مشاريع رؤية 2030؟</w:t>
      </w:r>
    </w:p>
    <w:p w14:paraId="5D1604CF" w14:textId="77777777" w:rsidR="004713E0" w:rsidRPr="007273B0" w:rsidRDefault="004713E0" w:rsidP="004713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580391"/>
      <w:r w:rsidRPr="007273B0">
        <w:rPr>
          <w:rFonts w:ascii="Simplified Arabic" w:eastAsia="Times New Roman" w:hAnsi="Simplified Arabic" w:cs="Simplified Arabic"/>
          <w:b/>
          <w:bCs/>
          <w:color w:val="000000" w:themeColor="text1"/>
          <w:kern w:val="0"/>
          <w:sz w:val="36"/>
          <w:szCs w:val="36"/>
          <w:rtl/>
          <w14:ligatures w14:val="none"/>
        </w:rPr>
        <w:t>5.1 فروض الدراسة</w:t>
      </w:r>
      <w:bookmarkEnd w:id="12"/>
    </w:p>
    <w:p w14:paraId="75E7B894" w14:textId="30C35F8D" w:rsidR="004713E0" w:rsidRPr="007273B0" w:rsidRDefault="004713E0"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الفرضية الرئيسية</w:t>
      </w:r>
    </w:p>
    <w:p w14:paraId="59835876" w14:textId="77777777" w:rsidR="00682B9E" w:rsidRPr="007273B0" w:rsidRDefault="00682B9E" w:rsidP="00CD45F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H0: </w:t>
      </w:r>
      <w:r w:rsidRPr="007273B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Cambria" w:eastAsia="Times New Roman" w:hAnsi="Cambria" w:cs="Cambria"/>
          <w:color w:val="000000" w:themeColor="text1"/>
          <w:kern w:val="0"/>
          <w:sz w:val="28"/>
          <w:szCs w:val="28"/>
          <w14:ligatures w14:val="none"/>
        </w:rPr>
        <w:t>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Times New Roman" w:eastAsia="Times New Roman" w:hAnsi="Times New Roman" w:cs="Times New Roman"/>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14:ligatures w14:val="none"/>
        </w:rPr>
        <w:t xml:space="preserve"> 0.05) </w:t>
      </w:r>
      <w:r w:rsidRPr="007273B0">
        <w:rPr>
          <w:rFonts w:ascii="Simplified Arabic" w:eastAsia="Times New Roman" w:hAnsi="Simplified Arabic" w:cs="Simplified Arabic"/>
          <w:color w:val="000000" w:themeColor="text1"/>
          <w:kern w:val="0"/>
          <w:sz w:val="28"/>
          <w:szCs w:val="28"/>
          <w:rtl/>
          <w14:ligatures w14:val="none"/>
        </w:rPr>
        <w:t>لإدارة المخاطر التنظيمية بأبعادها (تحديد المخاطر، تقييم المخاطر، الاستجابة للمخاطر، مراقبة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1EE592EB"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الفرضيات الفرعية</w:t>
      </w:r>
    </w:p>
    <w:p w14:paraId="6841F1FF" w14:textId="77777777" w:rsidR="00682B9E" w:rsidRPr="007273B0" w:rsidRDefault="00682B9E" w:rsidP="00CD45F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H0-1: </w:t>
      </w:r>
      <w:r w:rsidRPr="007273B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Cambria" w:eastAsia="Times New Roman" w:hAnsi="Cambria" w:cs="Cambria"/>
          <w:color w:val="000000" w:themeColor="text1"/>
          <w:kern w:val="0"/>
          <w:sz w:val="28"/>
          <w:szCs w:val="28"/>
          <w14:ligatures w14:val="none"/>
        </w:rPr>
        <w:t>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Times New Roman" w:eastAsia="Times New Roman" w:hAnsi="Times New Roman" w:cs="Times New Roman"/>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14:ligatures w14:val="none"/>
        </w:rPr>
        <w:t xml:space="preserve"> 0.05) </w:t>
      </w:r>
      <w:r w:rsidRPr="007273B0">
        <w:rPr>
          <w:rFonts w:ascii="Simplified Arabic" w:eastAsia="Times New Roman" w:hAnsi="Simplified Arabic" w:cs="Simplified Arabic"/>
          <w:color w:val="000000" w:themeColor="text1"/>
          <w:kern w:val="0"/>
          <w:sz w:val="28"/>
          <w:szCs w:val="28"/>
          <w:rtl/>
          <w14:ligatures w14:val="none"/>
        </w:rPr>
        <w:t>لبُعد تحديد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44EDBF6B" w14:textId="77777777" w:rsidR="00682B9E" w:rsidRPr="007273B0" w:rsidRDefault="00682B9E" w:rsidP="00CD45F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H0-2: </w:t>
      </w:r>
      <w:r w:rsidRPr="007273B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Cambria" w:eastAsia="Times New Roman" w:hAnsi="Cambria" w:cs="Cambria"/>
          <w:color w:val="000000" w:themeColor="text1"/>
          <w:kern w:val="0"/>
          <w:sz w:val="28"/>
          <w:szCs w:val="28"/>
          <w14:ligatures w14:val="none"/>
        </w:rPr>
        <w:t>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Times New Roman" w:eastAsia="Times New Roman" w:hAnsi="Times New Roman" w:cs="Times New Roman"/>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14:ligatures w14:val="none"/>
        </w:rPr>
        <w:t xml:space="preserve"> 0.05) </w:t>
      </w:r>
      <w:r w:rsidRPr="007273B0">
        <w:rPr>
          <w:rFonts w:ascii="Simplified Arabic" w:eastAsia="Times New Roman" w:hAnsi="Simplified Arabic" w:cs="Simplified Arabic"/>
          <w:color w:val="000000" w:themeColor="text1"/>
          <w:kern w:val="0"/>
          <w:sz w:val="28"/>
          <w:szCs w:val="28"/>
          <w:rtl/>
          <w14:ligatures w14:val="none"/>
        </w:rPr>
        <w:t>لبُعد تقييم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6FD54868" w14:textId="77777777" w:rsidR="00682B9E" w:rsidRPr="007273B0" w:rsidRDefault="00682B9E" w:rsidP="00CD45F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H0-3: </w:t>
      </w:r>
      <w:r w:rsidRPr="007273B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Cambria" w:eastAsia="Times New Roman" w:hAnsi="Cambria" w:cs="Cambria"/>
          <w:color w:val="000000" w:themeColor="text1"/>
          <w:kern w:val="0"/>
          <w:sz w:val="28"/>
          <w:szCs w:val="28"/>
          <w14:ligatures w14:val="none"/>
        </w:rPr>
        <w:t>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Times New Roman" w:eastAsia="Times New Roman" w:hAnsi="Times New Roman" w:cs="Times New Roman"/>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14:ligatures w14:val="none"/>
        </w:rPr>
        <w:t xml:space="preserve"> 0.05) </w:t>
      </w:r>
      <w:r w:rsidRPr="007273B0">
        <w:rPr>
          <w:rFonts w:ascii="Simplified Arabic" w:eastAsia="Times New Roman" w:hAnsi="Simplified Arabic" w:cs="Simplified Arabic"/>
          <w:color w:val="000000" w:themeColor="text1"/>
          <w:kern w:val="0"/>
          <w:sz w:val="28"/>
          <w:szCs w:val="28"/>
          <w:rtl/>
          <w14:ligatures w14:val="none"/>
        </w:rPr>
        <w:t>لبُعد الاستجابة للمخاطر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6447A422" w14:textId="77777777" w:rsidR="00682B9E" w:rsidRPr="007273B0" w:rsidRDefault="00682B9E" w:rsidP="00CD45F1">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lastRenderedPageBreak/>
        <w:t xml:space="preserve">H0-4: </w:t>
      </w:r>
      <w:r w:rsidRPr="007273B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Cambria" w:eastAsia="Times New Roman" w:hAnsi="Cambria" w:cs="Cambria"/>
          <w:color w:val="000000" w:themeColor="text1"/>
          <w:kern w:val="0"/>
          <w:sz w:val="28"/>
          <w:szCs w:val="28"/>
          <w14:ligatures w14:val="none"/>
        </w:rPr>
        <w:t>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Times New Roman" w:eastAsia="Times New Roman" w:hAnsi="Times New Roman" w:cs="Times New Roman"/>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14:ligatures w14:val="none"/>
        </w:rPr>
        <w:t xml:space="preserve"> 0.05) </w:t>
      </w:r>
      <w:r w:rsidRPr="007273B0">
        <w:rPr>
          <w:rFonts w:ascii="Simplified Arabic" w:eastAsia="Times New Roman" w:hAnsi="Simplified Arabic" w:cs="Simplified Arabic"/>
          <w:color w:val="000000" w:themeColor="text1"/>
          <w:kern w:val="0"/>
          <w:sz w:val="28"/>
          <w:szCs w:val="28"/>
          <w:rtl/>
          <w14:ligatures w14:val="none"/>
        </w:rPr>
        <w:t>لبُعد مراقبة المخاطر على الالتزام بمعايير الاستدامة العقارية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401934E9" w14:textId="77777777" w:rsidR="004713E0" w:rsidRPr="007273B0" w:rsidRDefault="004713E0" w:rsidP="004713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580392"/>
      <w:r w:rsidRPr="007273B0">
        <w:rPr>
          <w:rFonts w:ascii="Simplified Arabic" w:eastAsia="Times New Roman" w:hAnsi="Simplified Arabic" w:cs="Simplified Arabic"/>
          <w:b/>
          <w:bCs/>
          <w:color w:val="000000" w:themeColor="text1"/>
          <w:kern w:val="0"/>
          <w:sz w:val="36"/>
          <w:szCs w:val="36"/>
          <w:rtl/>
          <w14:ligatures w14:val="none"/>
        </w:rPr>
        <w:t>6.1  أهمية الدراسة</w:t>
      </w:r>
      <w:bookmarkEnd w:id="13"/>
    </w:p>
    <w:p w14:paraId="69D07FA8" w14:textId="220F94A1" w:rsidR="004713E0" w:rsidRPr="007273B0" w:rsidRDefault="004713E0"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ADAA7F4" w14:textId="77CC0B0A" w:rsidR="00682B9E" w:rsidRPr="007273B0" w:rsidRDefault="00682B9E" w:rsidP="00CD45F1">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تُسهم هذه الدراسة في سد فجوة معرفية واضحة في الأدبيات العربية والعالمية من خلال الربط النظري بين مفهومي إدارة المخاطر التنظيمية ومعايير الاستدامة العقارية ضمن إطار تكاملي واحد، وهو ما أشارت الدراسات السابقة إلى ندرته خاصة في السياق العربي والسعودي</w:t>
      </w:r>
      <w:r w:rsidRPr="007273B0">
        <w:rPr>
          <w:rFonts w:ascii="Simplified Arabic" w:eastAsia="Times New Roman" w:hAnsi="Simplified Arabic" w:cs="Simplified Arabic"/>
          <w:color w:val="000000" w:themeColor="text1"/>
          <w:kern w:val="0"/>
          <w:sz w:val="28"/>
          <w:szCs w:val="28"/>
          <w14:ligatures w14:val="none"/>
        </w:rPr>
        <w:t>.</w:t>
      </w:r>
    </w:p>
    <w:p w14:paraId="716A1B52" w14:textId="0F40CD4E" w:rsidR="00682B9E" w:rsidRPr="007273B0" w:rsidRDefault="00682B9E" w:rsidP="00CD45F1">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تُقدّم الدراسة نموذجاً نظرياً يوضّح العلاقة السببية بين أبعاد إدارة المخاطر التنظيمية الأربعة (تحديد المخاطر، تقييم المخاطر، الاستجابة للمخاطر، مراقبة المخاطر) والالتزام بمعايير الاستدامة العقارية، مما يُثري النظريات الإدارية المتعلقة بإدارة المخاطر ونظريات الاستدامة المؤسسية</w:t>
      </w:r>
      <w:r w:rsidRPr="007273B0">
        <w:rPr>
          <w:rFonts w:ascii="Simplified Arabic" w:eastAsia="Times New Roman" w:hAnsi="Simplified Arabic" w:cs="Simplified Arabic"/>
          <w:color w:val="000000" w:themeColor="text1"/>
          <w:kern w:val="0"/>
          <w:sz w:val="28"/>
          <w:szCs w:val="28"/>
          <w14:ligatures w14:val="none"/>
        </w:rPr>
        <w:t>.</w:t>
      </w:r>
    </w:p>
    <w:p w14:paraId="0EA71745" w14:textId="57A60CB5" w:rsidR="00682B9E" w:rsidRPr="007273B0" w:rsidRDefault="00682B9E" w:rsidP="00CD45F1">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تُسهم الدراسة في توسيع نطاق تطبيق نظريات إدارة المخاطر المؤسسية مثل إطار</w:t>
      </w:r>
      <w:r w:rsidRPr="007273B0">
        <w:rPr>
          <w:rFonts w:ascii="Simplified Arabic" w:eastAsia="Times New Roman" w:hAnsi="Simplified Arabic" w:cs="Simplified Arabic"/>
          <w:color w:val="000000" w:themeColor="text1"/>
          <w:kern w:val="0"/>
          <w:sz w:val="28"/>
          <w:szCs w:val="28"/>
          <w14:ligatures w14:val="none"/>
        </w:rPr>
        <w:t xml:space="preserve"> COSO </w:t>
      </w:r>
      <w:r w:rsidRPr="007273B0">
        <w:rPr>
          <w:rFonts w:ascii="Simplified Arabic" w:eastAsia="Times New Roman" w:hAnsi="Simplified Arabic" w:cs="Simplified Arabic"/>
          <w:color w:val="000000" w:themeColor="text1"/>
          <w:kern w:val="0"/>
          <w:sz w:val="28"/>
          <w:szCs w:val="28"/>
          <w:rtl/>
          <w14:ligatures w14:val="none"/>
        </w:rPr>
        <w:t>ونظرية أصحاب المصلحة على القطاع العقاري في بيئة المشاريع الضخمة والتنموية، مما يفتح آفاقاً جديدة للبحث الأكاديمي</w:t>
      </w:r>
      <w:r w:rsidRPr="007273B0">
        <w:rPr>
          <w:rFonts w:ascii="Simplified Arabic" w:eastAsia="Times New Roman" w:hAnsi="Simplified Arabic" w:cs="Simplified Arabic"/>
          <w:color w:val="000000" w:themeColor="text1"/>
          <w:kern w:val="0"/>
          <w:sz w:val="28"/>
          <w:szCs w:val="28"/>
          <w14:ligatures w14:val="none"/>
        </w:rPr>
        <w:t>.</w:t>
      </w:r>
    </w:p>
    <w:p w14:paraId="338B9580"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0CF31304" w14:textId="46E856B7" w:rsidR="00682B9E" w:rsidRPr="007273B0" w:rsidRDefault="00682B9E" w:rsidP="00CD45F1">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تُزوّد الدراسة القيادات التنفيذية والمديرين في المشاريع العقارية الكبرى ضمن رؤية 2030 (نيوم، القدية، مشروع البحر الأحمر، روشن وغيرها) بأدلة تطبيقية حول كيفية توظيف إدارة المخاطر التنظيمية لتعزيز مستوى الالتزام بمعايير الاستدامة العقارية</w:t>
      </w:r>
      <w:r w:rsidRPr="007273B0">
        <w:rPr>
          <w:rFonts w:ascii="Simplified Arabic" w:eastAsia="Times New Roman" w:hAnsi="Simplified Arabic" w:cs="Simplified Arabic"/>
          <w:color w:val="000000" w:themeColor="text1"/>
          <w:kern w:val="0"/>
          <w:sz w:val="28"/>
          <w:szCs w:val="28"/>
          <w14:ligatures w14:val="none"/>
        </w:rPr>
        <w:t>.</w:t>
      </w:r>
    </w:p>
    <w:p w14:paraId="642D26D1" w14:textId="4FB4DEB9" w:rsidR="00682B9E" w:rsidRPr="007273B0" w:rsidRDefault="00682B9E" w:rsidP="00CD45F1">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تُساعد نتائج الدراسة الشركات العقارية العاملة في المملكة على تطوير سياساتها وإجراءاتها المتعلقة بإدارة المخاطر بما يتوافق مع متطلبات الاستدامة، مما ينعكس إيجاباً على أدائها المؤسسي وتنافسيتها في السوق</w:t>
      </w:r>
      <w:r w:rsidRPr="007273B0">
        <w:rPr>
          <w:rFonts w:ascii="Simplified Arabic" w:eastAsia="Times New Roman" w:hAnsi="Simplified Arabic" w:cs="Simplified Arabic"/>
          <w:color w:val="000000" w:themeColor="text1"/>
          <w:kern w:val="0"/>
          <w:sz w:val="28"/>
          <w:szCs w:val="28"/>
          <w14:ligatures w14:val="none"/>
        </w:rPr>
        <w:t>.</w:t>
      </w:r>
    </w:p>
    <w:p w14:paraId="3336F9C4" w14:textId="68D12C28" w:rsidR="00682B9E" w:rsidRPr="007273B0" w:rsidRDefault="00682B9E" w:rsidP="00CD45F1">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تُقدّم الدراسة توصيات عملية تُساعد الجهات التنظيمية والرقابية (مثل الهيئة العامة للعقار ووزارة الشؤون البلدية والقروية والإسكان) على تطوير أطر تنظيمية فعّالة تربط بين إدارة المخاطر ومعايير الاستدامة في القطاع العقاري</w:t>
      </w:r>
      <w:r w:rsidRPr="007273B0">
        <w:rPr>
          <w:rFonts w:ascii="Simplified Arabic" w:eastAsia="Times New Roman" w:hAnsi="Simplified Arabic" w:cs="Simplified Arabic"/>
          <w:color w:val="000000" w:themeColor="text1"/>
          <w:kern w:val="0"/>
          <w:sz w:val="28"/>
          <w:szCs w:val="28"/>
          <w14:ligatures w14:val="none"/>
        </w:rPr>
        <w:t>.</w:t>
      </w:r>
    </w:p>
    <w:p w14:paraId="1B22941D" w14:textId="77777777" w:rsidR="004713E0" w:rsidRPr="007273B0" w:rsidRDefault="004713E0" w:rsidP="004713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169790501"/>
      <w:bookmarkStart w:id="15" w:name="_Toc233580393"/>
      <w:bookmarkEnd w:id="7"/>
      <w:bookmarkEnd w:id="9"/>
      <w:r w:rsidRPr="007273B0">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5"/>
    </w:p>
    <w:p w14:paraId="2598FCB5" w14:textId="1898DD93" w:rsidR="004713E0" w:rsidRPr="007273B0" w:rsidRDefault="004713E0"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273B0">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7480ED5D"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(البلوي وغيث، 2021): "أثر تطبيق آليات الحوكمة على إدارة مخاطر العمل المؤسسي في القطاع العام</w:t>
      </w:r>
      <w:r w:rsidRPr="007273B0">
        <w:rPr>
          <w:rFonts w:ascii="Simplified Arabic" w:eastAsia="Times New Roman" w:hAnsi="Simplified Arabic" w:cs="Simplified Arabic"/>
          <w:b/>
          <w:bCs/>
          <w:color w:val="000000" w:themeColor="text1"/>
          <w:kern w:val="0"/>
          <w:sz w:val="28"/>
          <w:szCs w:val="28"/>
          <w14:ligatures w14:val="none"/>
        </w:rPr>
        <w:t>"</w:t>
      </w:r>
    </w:p>
    <w:p w14:paraId="7AA058F0" w14:textId="6DFC2B6A"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آليات الحوكمة بأبعادها (الشفافية، والمساءلة، والمشاركة) على إدارة مخاطر العمل المؤسسي في القطاع العام السعودي، بالتطبيق على وزارة الشؤون البلدية والقروية والإسكان بمدينة الرياض. واستخدمت الدراسة المنهج الوصفي التحليلي، وتكوّنت عينة الدراسة من الموظفين الإداريين في الوزارة، واستُخدِمَت الاستبانة أداةً لجمع البيانات. وتوصلت نتائج الدراسة إلى أن واقع تطبيق الحوكمة في مؤسسات القطاع العام السعودي ضعيف مقارنة بمبادئ الحوكمة المثلى، وأن واقع تطبيق الشفافية والمساءلة والمشاركة جاء بمستوى متوسط، مع وجود محاولات لتطبيق مبادئ وأسس الحوكمة من جانب المسؤولين</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وأوصت الدراسة بنشر ثقافة الحوكمة والتعريف بمبادئها وآليات تنفيذها من خلال عقد الاجتماعات والبرامج التدريبية، وتدعيم مبادئ تطبيق الحوكمة في مؤسسات القطاع العام السعودي، وتطوير الهياكل التنظيمية للإدارات المختلفة لاستيعاب الاتجاهات الإدارية الحديثة</w:t>
      </w:r>
      <w:r w:rsidRPr="007273B0">
        <w:rPr>
          <w:rFonts w:ascii="Simplified Arabic" w:eastAsia="Times New Roman" w:hAnsi="Simplified Arabic" w:cs="Simplified Arabic"/>
          <w:color w:val="000000" w:themeColor="text1"/>
          <w:kern w:val="0"/>
          <w:sz w:val="28"/>
          <w:szCs w:val="28"/>
          <w14:ligatures w14:val="none"/>
        </w:rPr>
        <w:t>.</w:t>
      </w:r>
    </w:p>
    <w:p w14:paraId="64D292B6" w14:textId="77777777" w:rsidR="00682B9E" w:rsidRPr="007273B0" w:rsidRDefault="00682B9E"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(الدباغ وصبيح، 2023): "تلبية النظام المحاسبي الموحد لمتطلبات معايير محاسبة الاستدامة: دراسة نظرية</w:t>
      </w:r>
      <w:r w:rsidRPr="007273B0">
        <w:rPr>
          <w:rFonts w:ascii="Simplified Arabic" w:eastAsia="Times New Roman" w:hAnsi="Simplified Arabic" w:cs="Simplified Arabic"/>
          <w:b/>
          <w:bCs/>
          <w:color w:val="000000" w:themeColor="text1"/>
          <w:kern w:val="0"/>
          <w:sz w:val="28"/>
          <w:szCs w:val="28"/>
          <w14:ligatures w14:val="none"/>
        </w:rPr>
        <w:t>"</w:t>
      </w:r>
    </w:p>
    <w:p w14:paraId="7D53363E"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طبيعة محاسبة الاستدامة والمعايير الدولية الصادرة عنها بأبعادها (البيئية، والاجتماعية، والاقتصادية) وعلى مدى ملاءمة النظام المحاسبي الموحد لتطبيق معايير محاسبة الاستدامة في القطاع النفطي العراقي. واستخدمت الدراسة المنهج الوصفي النظري من خلال الاستعانة بمصادر الأدبيات المحاسبية ذات الصلة من الدوريات العلمية والكتب والمصادر الرصينة. وتوصلت نتائج الدراسة إلى أن محاسبة الاستدامة ذات فائدة وأهمية كبيرة حيث تستخدمها الوحدات لتحقيق الاستدامة عن طريق تكييف معلومات المحاسبة المالية وتوسيعها لتغطي أبعاد الاستدامة كافة، كما تبيّن وجود صعوبة في الإفصاح عن الاستدامة ضمن القوائم المالية لأنها تُعَدّ وفق المبادئ والمعايير المحاسبية المتعارف عليها والتي يكون فيها الإفصاح عن المعلومات مقيداً. وأوصت الدراسة بحث القطاع النفطي في العراق على الالتزام بمعايير الاستدامة وأبعادها وتكييف عمله وفقها، وبالإفصاح عن أدائه المستدام </w:t>
      </w:r>
      <w:r w:rsidRPr="007273B0">
        <w:rPr>
          <w:rFonts w:ascii="Simplified Arabic" w:eastAsia="Times New Roman" w:hAnsi="Simplified Arabic" w:cs="Simplified Arabic"/>
          <w:color w:val="000000" w:themeColor="text1"/>
          <w:kern w:val="0"/>
          <w:sz w:val="28"/>
          <w:szCs w:val="28"/>
          <w:rtl/>
          <w14:ligatures w14:val="none"/>
        </w:rPr>
        <w:lastRenderedPageBreak/>
        <w:t>من خلال التقارير المالية وتقارير الإنجاز السنوية، كما أوصت بتحديث النظام المحاسبي الموحد الخاص بالقطاع النفطي وفق معايير الاستدامة</w:t>
      </w:r>
      <w:r w:rsidRPr="007273B0">
        <w:rPr>
          <w:rFonts w:ascii="Simplified Arabic" w:eastAsia="Times New Roman" w:hAnsi="Simplified Arabic" w:cs="Simplified Arabic"/>
          <w:color w:val="000000" w:themeColor="text1"/>
          <w:kern w:val="0"/>
          <w:sz w:val="28"/>
          <w:szCs w:val="28"/>
          <w14:ligatures w14:val="none"/>
        </w:rPr>
        <w:t>.</w:t>
      </w:r>
    </w:p>
    <w:p w14:paraId="5ED9632D"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(حمدان والبشابشة، 2023): "أثر تطبيق إدارة المخاطر في تحقيق الفاعلية التنظيمية من خلال القدرات الجوهرية متغير وسيط: دراسة ميدانية شركات الأدوية الأردنية</w:t>
      </w:r>
      <w:r w:rsidRPr="007273B0">
        <w:rPr>
          <w:rFonts w:ascii="Simplified Arabic" w:eastAsia="Times New Roman" w:hAnsi="Simplified Arabic" w:cs="Simplified Arabic"/>
          <w:b/>
          <w:bCs/>
          <w:color w:val="000000" w:themeColor="text1"/>
          <w:kern w:val="0"/>
          <w:sz w:val="28"/>
          <w:szCs w:val="28"/>
          <w14:ligatures w14:val="none"/>
        </w:rPr>
        <w:t>"</w:t>
      </w:r>
    </w:p>
    <w:p w14:paraId="54BEAB35" w14:textId="77777777"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إدارة المخاطر بأبعادها (تحديد المخاطر، وتقييم المخاطر، والاستجابة للمخاطر، ومراقبة المخاطر) على تحقيق الفاعلية التنظيمية من خلال القدرات الجوهرية كمتغير وسيط في شركات الأدوية الأردنية. واستخدمت الدراسة المنهج الوصفي التحليلي، وتكوّن مجتمع الدراسة من العاملين في الإدارتين العليا والوسطى في شركات الأدوية الأردنية، وطُوِّرَت استبانة وُزِّعَت على مجتمع الدراسة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لتطبيق إدارة المخاطر في تحقيق الفاعلية التنظيمية، وأن القدرات الجوهرية تلعب دوراً وسيطاً في هذه العلاقة. وأوصت الدراسة بالاهتمام بتعزيز القدرات الجوهرية في شركات الأدوية بوصفها آلية تُعظّم أثر إدارة المخاطر على الفاعلية التنظيمية، والاستمرار في تطوير منظومة إدارة المخاطر بشكل شامل ومتكامل</w:t>
      </w:r>
      <w:r w:rsidRPr="007273B0">
        <w:rPr>
          <w:rFonts w:ascii="Simplified Arabic" w:eastAsia="Times New Roman" w:hAnsi="Simplified Arabic" w:cs="Simplified Arabic"/>
          <w:color w:val="000000" w:themeColor="text1"/>
          <w:kern w:val="0"/>
          <w:sz w:val="28"/>
          <w:szCs w:val="28"/>
          <w14:ligatures w14:val="none"/>
        </w:rPr>
        <w:t>.</w:t>
      </w:r>
    </w:p>
    <w:p w14:paraId="31BB05BE"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(الطراونة والحايك، 2023): "أثر استخدام بطاقة الأداء المتوازن على فاعلية إدارة المخاطر في ظل بيئة الثقافة التنظيمية</w:t>
      </w:r>
      <w:r w:rsidRPr="007273B0">
        <w:rPr>
          <w:rFonts w:ascii="Simplified Arabic" w:eastAsia="Times New Roman" w:hAnsi="Simplified Arabic" w:cs="Simplified Arabic"/>
          <w:b/>
          <w:bCs/>
          <w:color w:val="000000" w:themeColor="text1"/>
          <w:kern w:val="0"/>
          <w:sz w:val="28"/>
          <w:szCs w:val="28"/>
          <w14:ligatures w14:val="none"/>
        </w:rPr>
        <w:t>"</w:t>
      </w:r>
    </w:p>
    <w:p w14:paraId="64064030" w14:textId="73D0B35F"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بطاقة الأداء المتوازن بأبعادها (البعد المالي، وبعد العملاء، وبعد العمليات الداخلية، وبعد التعلم والنمو) على فاعلية إدارة المخاطر في ظل بيئة الثقافة التنظيمية كمتغير معدّل في البنوك التجارية الأردنية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عينة الدراسة من العاملين في البنوك التجارية الأردنية، واستُخدِمَت الاستبانة أداةً لجمع البيانات. وتوصلت نتائج الدراسة إلى وجود أثر ذي دلالة إحصائية لاستخدام بطاقة الأداء المتوازن على فاعلية إدارة المخاطر، وأن الثقافة التنظيمية تلعب دوراً معدّلاً في تعزيز هذه العلاقة. وأوصت الدراسة بضرورة تبني البنوك التجارية الأردنية لبطاقة الأداء المتوازن كأداة استراتيجية لتعزيز فاعلية إدارة المخاطر، والعمل على بناء ثقافة تنظيمية داعمة لممارسات إدارة المخاطر</w:t>
      </w:r>
      <w:r w:rsidRPr="007273B0">
        <w:rPr>
          <w:rFonts w:ascii="Simplified Arabic" w:eastAsia="Times New Roman" w:hAnsi="Simplified Arabic" w:cs="Simplified Arabic"/>
          <w:color w:val="000000" w:themeColor="text1"/>
          <w:kern w:val="0"/>
          <w:sz w:val="28"/>
          <w:szCs w:val="28"/>
          <w14:ligatures w14:val="none"/>
        </w:rPr>
        <w:t>.</w:t>
      </w:r>
    </w:p>
    <w:p w14:paraId="5E013574" w14:textId="77777777" w:rsidR="00682B9E" w:rsidRPr="007273B0" w:rsidRDefault="00682B9E"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 xml:space="preserve">دراسة (القيسي والحسيناوي والسليماوي، </w:t>
      </w:r>
      <w:r w:rsidRPr="007273B0">
        <w:rPr>
          <w:rFonts w:ascii="Simplified Arabic" w:eastAsia="Times New Roman" w:hAnsi="Simplified Arabic" w:cs="Simplified Arabic"/>
          <w:b/>
          <w:bCs/>
          <w:color w:val="000000" w:themeColor="text1"/>
          <w:kern w:val="0"/>
          <w:sz w:val="28"/>
          <w:szCs w:val="28"/>
          <w14:ligatures w14:val="none"/>
        </w:rPr>
        <w:t>2024): "</w:t>
      </w:r>
      <w:r w:rsidRPr="007273B0">
        <w:rPr>
          <w:rFonts w:ascii="Simplified Arabic" w:eastAsia="Times New Roman" w:hAnsi="Simplified Arabic" w:cs="Simplified Arabic"/>
          <w:b/>
          <w:bCs/>
          <w:color w:val="000000" w:themeColor="text1"/>
          <w:kern w:val="0"/>
          <w:sz w:val="28"/>
          <w:szCs w:val="28"/>
          <w:rtl/>
          <w14:ligatures w14:val="none"/>
        </w:rPr>
        <w:t>رؤية مقترحة لتطبيق معايير استدامة الخدمات الترفيهية: المدن الاستثمارية الجديدة أنموذجاً</w:t>
      </w:r>
      <w:r w:rsidRPr="007273B0">
        <w:rPr>
          <w:rFonts w:ascii="Simplified Arabic" w:eastAsia="Times New Roman" w:hAnsi="Simplified Arabic" w:cs="Simplified Arabic"/>
          <w:b/>
          <w:bCs/>
          <w:color w:val="000000" w:themeColor="text1"/>
          <w:kern w:val="0"/>
          <w:sz w:val="28"/>
          <w:szCs w:val="28"/>
          <w14:ligatures w14:val="none"/>
        </w:rPr>
        <w:t>"</w:t>
      </w:r>
    </w:p>
    <w:p w14:paraId="6F6C9674"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إمكانية التكامل بين معايير استدامة الخدمات الترفيهية بأبعادها (الاقتصادية، والاجتماعية، والبيئية) ومستوى تنفيذها ضمن المدن الاستثمارية الجديدة في العراق، فضلاً عن التعرف على مستوى التكامل بين القطاعين العام والاستثماري لتعزيز واقع الفعاليات الترفيهية المستدامة وفق خطة أهداف التنمية المستدامة 2015-2030</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واستخدمت الدراسة الأسلوب الوصفي المعزز بالمتغيرات الكمية من خلال اعتماد البيانات والإحصائيات الصادرة من الجهات الرسمية والنشرات الحكومية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وتوصلت نتائج الدراسة إلى أن الاستثمار بالمدن المستحدثة يُسهم في تقديم خدمات بنية تحتية صديقة للبيئة ويحد من التلوث البيئي، مما يشجع على الاستدامة ويحقق مبدأ المساواة والعدالة الاجتماعية والتنمية الاقتصادية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وأوصت الدراسة بضرورة تعزيز الشراكة بين القطاعين العام والخاص في تطبيق معايير الاستدامة ضمن المدن الاستثمارية الجديدة، وتوفير آليات رقابية فعّالة لضمان الالتزام بمعايير الاستدامة البيئية والاجتماعية</w:t>
      </w:r>
      <w:r w:rsidRPr="007273B0">
        <w:rPr>
          <w:rFonts w:ascii="Simplified Arabic" w:eastAsia="Times New Roman" w:hAnsi="Simplified Arabic" w:cs="Simplified Arabic"/>
          <w:color w:val="000000" w:themeColor="text1"/>
          <w:kern w:val="0"/>
          <w:sz w:val="28"/>
          <w:szCs w:val="28"/>
          <w14:ligatures w14:val="none"/>
        </w:rPr>
        <w:t>.</w:t>
      </w:r>
    </w:p>
    <w:p w14:paraId="6E2971EC"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(حمدان والبشابشة، 2024): "أثر تطبيق إدارة المخاطر في تحقيق الفاعلية التنظيمية في شركات الأدوية الأردنية</w:t>
      </w:r>
      <w:r w:rsidRPr="007273B0">
        <w:rPr>
          <w:rFonts w:ascii="Simplified Arabic" w:eastAsia="Times New Roman" w:hAnsi="Simplified Arabic" w:cs="Simplified Arabic"/>
          <w:b/>
          <w:bCs/>
          <w:color w:val="000000" w:themeColor="text1"/>
          <w:kern w:val="0"/>
          <w:sz w:val="28"/>
          <w:szCs w:val="28"/>
          <w14:ligatures w14:val="none"/>
        </w:rPr>
        <w:t>"</w:t>
      </w:r>
    </w:p>
    <w:p w14:paraId="47046C5C" w14:textId="77777777"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إدارة المخاطر بأبعادها (تحديد المخاطر، وتقييم المخاطر، والاستجابة للمخاطر، ومراقبة المخاطر) على الفاعلية التنظيمية في شركات الأدوية الأردنية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 مجتمع الدراسة من</w:t>
      </w:r>
      <w:r w:rsidRPr="007273B0">
        <w:rPr>
          <w:rFonts w:ascii="Simplified Arabic" w:eastAsia="Times New Roman" w:hAnsi="Simplified Arabic" w:cs="Simplified Arabic"/>
          <w:color w:val="000000" w:themeColor="text1"/>
          <w:kern w:val="0"/>
          <w:sz w:val="28"/>
          <w:szCs w:val="28"/>
          <w14:ligatures w14:val="none"/>
        </w:rPr>
        <w:t xml:space="preserve"> (400) </w:t>
      </w:r>
      <w:r w:rsidRPr="007273B0">
        <w:rPr>
          <w:rFonts w:ascii="Simplified Arabic" w:eastAsia="Times New Roman" w:hAnsi="Simplified Arabic" w:cs="Simplified Arabic"/>
          <w:color w:val="000000" w:themeColor="text1"/>
          <w:kern w:val="0"/>
          <w:sz w:val="28"/>
          <w:szCs w:val="28"/>
          <w:rtl/>
          <w14:ligatures w14:val="none"/>
        </w:rPr>
        <w:t xml:space="preserve">فرد من العاملين في الإدارتين العليا والوسطى في شركات الأدوية الأردنية المستجيبة، وتم تطوير استبانة بلغ عدد الاستبانات الصالحة للتحليل منها </w:t>
      </w:r>
      <w:r w:rsidRPr="007273B0">
        <w:rPr>
          <w:rFonts w:ascii="Simplified Arabic" w:eastAsia="Times New Roman" w:hAnsi="Simplified Arabic" w:cs="Simplified Arabic"/>
          <w:color w:val="000000" w:themeColor="text1"/>
          <w:kern w:val="0"/>
          <w:sz w:val="28"/>
          <w:szCs w:val="28"/>
          <w14:ligatures w14:val="none"/>
        </w:rPr>
        <w:t xml:space="preserve">(372) </w:t>
      </w:r>
      <w:r w:rsidRPr="007273B0">
        <w:rPr>
          <w:rFonts w:ascii="Simplified Arabic" w:eastAsia="Times New Roman" w:hAnsi="Simplified Arabic" w:cs="Simplified Arabic"/>
          <w:color w:val="000000" w:themeColor="text1"/>
          <w:kern w:val="0"/>
          <w:sz w:val="28"/>
          <w:szCs w:val="28"/>
          <w:rtl/>
          <w14:ligatures w14:val="none"/>
        </w:rPr>
        <w:t>استبانة، واستُخدِمَت الحزمة الإحصائية للعلوم الاجتماعية</w:t>
      </w:r>
      <w:r w:rsidRPr="007273B0">
        <w:rPr>
          <w:rFonts w:ascii="Simplified Arabic" w:eastAsia="Times New Roman" w:hAnsi="Simplified Arabic" w:cs="Simplified Arabic"/>
          <w:color w:val="000000" w:themeColor="text1"/>
          <w:kern w:val="0"/>
          <w:sz w:val="28"/>
          <w:szCs w:val="28"/>
          <w14:ligatures w14:val="none"/>
        </w:rPr>
        <w:t xml:space="preserve"> (SPSS V26) </w:t>
      </w:r>
      <w:r w:rsidRPr="007273B0">
        <w:rPr>
          <w:rFonts w:ascii="Simplified Arabic" w:eastAsia="Times New Roman" w:hAnsi="Simplified Arabic" w:cs="Simplified Arabic"/>
          <w:color w:val="000000" w:themeColor="text1"/>
          <w:kern w:val="0"/>
          <w:sz w:val="28"/>
          <w:szCs w:val="28"/>
          <w:rtl/>
          <w14:ligatures w14:val="none"/>
        </w:rPr>
        <w:t>لاختبار الفرضيات. وتوصلت نتائج الدراسة إلى أن مستوى تطبيق إدارة المخاطر والفاعلية التنظيمية في شركات الأدوية الأردنية جاء بدرجة مرتفعة، كما دلّت النتائج على وجود أثر ذي دلالة إحصائية لتطبيق إدارة المخاطر في الفاعلية التنظيمية. وأوصت الدراسة بالاستمرار في المحافظة على المستوى المرتفع لتطبيق إدارة المخاطر والفاعلية التنظيمية في شركات الأدوية الأردنية، والعمل على نقل هذه التجربة الناجحة إلى قطاعات أخرى</w:t>
      </w:r>
      <w:r w:rsidRPr="007273B0">
        <w:rPr>
          <w:rFonts w:ascii="Simplified Arabic" w:eastAsia="Times New Roman" w:hAnsi="Simplified Arabic" w:cs="Simplified Arabic"/>
          <w:color w:val="000000" w:themeColor="text1"/>
          <w:kern w:val="0"/>
          <w:sz w:val="28"/>
          <w:szCs w:val="28"/>
          <w14:ligatures w14:val="none"/>
        </w:rPr>
        <w:t>.</w:t>
      </w:r>
    </w:p>
    <w:p w14:paraId="06119FED" w14:textId="77777777" w:rsidR="00682B9E" w:rsidRPr="007273B0" w:rsidRDefault="00682B9E"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 (ندا ومنصور وسعودي وعبدالرحيم، 2025): "تقييم معايير ومؤشرات الاستدامة المؤسسية ببعض الأندية الرياضية</w:t>
      </w:r>
      <w:r w:rsidRPr="007273B0">
        <w:rPr>
          <w:rFonts w:ascii="Simplified Arabic" w:eastAsia="Times New Roman" w:hAnsi="Simplified Arabic" w:cs="Simplified Arabic"/>
          <w:b/>
          <w:bCs/>
          <w:color w:val="000000" w:themeColor="text1"/>
          <w:kern w:val="0"/>
          <w:sz w:val="28"/>
          <w:szCs w:val="28"/>
          <w14:ligatures w14:val="none"/>
        </w:rPr>
        <w:t>"</w:t>
      </w:r>
    </w:p>
    <w:p w14:paraId="6D31092F"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تقييم معايير ومؤشرات الاستدامة المؤسسية بأبعادها (الاقتصادية، والاجتماعية، والبيئية) في بعض الأندية الرياضية بجمهورية مصر العربية. واستخدمت الدراسة المنهج الوصفي بأسلوب الدراسات المسحية، وتكوّن مجتمع البحث من الأندية الرياضية الكبرى في مصر والبالغ عددها (119) نادياً، حيث تم سحب عينة البحث بالطريقة الطبقية العشوائية من (7) أندية رياضية كبرى بلغ عدد أفرادها (300) فرد من مجالس الإدارة والمديرين التنفيذيين وإدارات التسويق والاستثمار والجهاز الفني والإداري، واستُخدِمَت الاستبانة أداةً لجمع البيانات. وأشارت أهم النتائج إلى ضعف مستوى تطبيق معايير ومؤشرات الاستدامة المؤسسية في الأندية الرياضية، وتغليب الجانب الاقتصادي على الجانب الاجتماعي عند تطبيق النظم والآليات الاقتصادية في المشروعات الاستثمارية، وعدم القدرة على تعزيز قدرة الأنظمة البيئية على التكيف ومواجهة المخاطر. وأوصت الدراسة بضرورة تبني نهج متكامل لتطبيق معايير الاستدامة المؤسسية يشمل الأبعاد الثلاثة بشكل متوازن</w:t>
      </w:r>
      <w:r w:rsidRPr="007273B0">
        <w:rPr>
          <w:rFonts w:ascii="Simplified Arabic" w:eastAsia="Times New Roman" w:hAnsi="Simplified Arabic" w:cs="Simplified Arabic"/>
          <w:color w:val="000000" w:themeColor="text1"/>
          <w:kern w:val="0"/>
          <w:sz w:val="28"/>
          <w:szCs w:val="28"/>
          <w14:ligatures w14:val="none"/>
        </w:rPr>
        <w:t>.</w:t>
      </w:r>
    </w:p>
    <w:p w14:paraId="50004981"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color w:val="000000" w:themeColor="text1"/>
          <w:kern w:val="0"/>
          <w:sz w:val="36"/>
          <w:szCs w:val="36"/>
          <w14:ligatures w14:val="none"/>
        </w:rPr>
      </w:pPr>
      <w:r w:rsidRPr="007273B0">
        <w:rPr>
          <w:rFonts w:ascii="Simplified Arabic" w:eastAsia="Times New Roman" w:hAnsi="Simplified Arabic" w:cs="Simplified Arabic"/>
          <w:color w:val="000000" w:themeColor="text1"/>
          <w:kern w:val="0"/>
          <w:sz w:val="36"/>
          <w:szCs w:val="36"/>
          <w:rtl/>
          <w14:ligatures w14:val="none"/>
        </w:rPr>
        <w:t>ثانياً: الدراسات الأجنبية</w:t>
      </w:r>
    </w:p>
    <w:p w14:paraId="1D153703"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w:t>
      </w:r>
      <w:r w:rsidRPr="007273B0">
        <w:rPr>
          <w:rFonts w:ascii="Simplified Arabic" w:eastAsia="Times New Roman" w:hAnsi="Simplified Arabic" w:cs="Simplified Arabic"/>
          <w:b/>
          <w:bCs/>
          <w:color w:val="000000" w:themeColor="text1"/>
          <w:kern w:val="0"/>
          <w:sz w:val="28"/>
          <w:szCs w:val="28"/>
          <w14:ligatures w14:val="none"/>
        </w:rPr>
        <w:t xml:space="preserve"> (Battisti, Shams, Sakka &amp; Miglietta, 2020): "Big Data and Risk Management in Business Processes: Implications for Corporate Real Estate"</w:t>
      </w:r>
    </w:p>
    <w:p w14:paraId="5957EC68" w14:textId="6D180F18"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التكامل بين البيانات الضخمة وإدارة المخاطر في العمليات التجارية بأبعاده (حجم البيانات، وتنوع البيانات، وسرعة البيانات) على العقارات المؤسسية</w:t>
      </w:r>
      <w:r w:rsidRPr="007273B0">
        <w:rPr>
          <w:rFonts w:ascii="Simplified Arabic" w:eastAsia="Times New Roman" w:hAnsi="Simplified Arabic" w:cs="Simplified Arabic"/>
          <w:color w:val="000000" w:themeColor="text1"/>
          <w:kern w:val="0"/>
          <w:sz w:val="28"/>
          <w:szCs w:val="28"/>
          <w14:ligatures w14:val="none"/>
        </w:rPr>
        <w:t xml:space="preserve"> (CRE) </w:t>
      </w:r>
      <w:r w:rsidRPr="007273B0">
        <w:rPr>
          <w:rFonts w:ascii="Simplified Arabic" w:eastAsia="Times New Roman" w:hAnsi="Simplified Arabic" w:cs="Simplified Arabic"/>
          <w:color w:val="000000" w:themeColor="text1"/>
          <w:kern w:val="0"/>
          <w:sz w:val="28"/>
          <w:szCs w:val="28"/>
          <w:rtl/>
          <w14:ligatures w14:val="none"/>
        </w:rPr>
        <w:t>وإدارة العمليات التجارية</w:t>
      </w:r>
      <w:r w:rsidRPr="007273B0">
        <w:rPr>
          <w:rFonts w:ascii="Simplified Arabic" w:eastAsia="Times New Roman" w:hAnsi="Simplified Arabic" w:cs="Simplified Arabic"/>
          <w:color w:val="000000" w:themeColor="text1"/>
          <w:kern w:val="0"/>
          <w:sz w:val="28"/>
          <w:szCs w:val="28"/>
          <w14:ligatures w14:val="none"/>
        </w:rPr>
        <w:t xml:space="preserve"> (BPM). </w:t>
      </w:r>
      <w:r w:rsidRPr="007273B0">
        <w:rPr>
          <w:rFonts w:ascii="Simplified Arabic" w:eastAsia="Times New Roman" w:hAnsi="Simplified Arabic" w:cs="Simplified Arabic"/>
          <w:color w:val="000000" w:themeColor="text1"/>
          <w:kern w:val="0"/>
          <w:sz w:val="28"/>
          <w:szCs w:val="28"/>
          <w:rtl/>
          <w14:ligatures w14:val="none"/>
        </w:rPr>
        <w:t>واستخدمت الدراسة المنهج المفاهيمي التحليلي من خلال عملية بناء التماسك النصّي المُركّب، حيث اعتمدت بشكل كبير على الأدلة النظرية المنشورة في أدبيات التمويل المؤسسي وإدارة الأعمال. وتوصلت نتائج الدراسة إلى تقديم إطار مفاهيمي جديد للعقارات المؤسسية لتطوير رؤى استباقية حول الفوائد المحتملة لاستخدام البيانات الضخمة كاستراتيجية عمل، حيث وُجِد أن هذا النهج يُعزّز عمليات صنع القرار ويُشجّع على إدارة أفضل للمخاطر مع تداعيات مهمة على إدارة العمليات التجارية. وأوصت الدراسة بضرورة استثمار الشركات العقارية في تقنيات البيانات الضخمة والتحليلات المتقدمة لتعزيز قدراتها في إدارة المخاطر وتحسين كفاءة العمليات، وأن أتمتة الأنشطة كثيفة البيانات وتحليلها يمكن أن يؤدي إلى كفاءة أفضل في إدارة المخاطر وتحسين العمليات</w:t>
      </w:r>
      <w:r w:rsidRPr="007273B0">
        <w:rPr>
          <w:rFonts w:ascii="Simplified Arabic" w:eastAsia="Times New Roman" w:hAnsi="Simplified Arabic" w:cs="Simplified Arabic"/>
          <w:color w:val="000000" w:themeColor="text1"/>
          <w:kern w:val="0"/>
          <w:sz w:val="28"/>
          <w:szCs w:val="28"/>
          <w14:ligatures w14:val="none"/>
        </w:rPr>
        <w:t>.</w:t>
      </w:r>
    </w:p>
    <w:p w14:paraId="4D806DE0"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lastRenderedPageBreak/>
        <w:t>دراسة</w:t>
      </w:r>
      <w:r w:rsidRPr="007273B0">
        <w:rPr>
          <w:rFonts w:ascii="Simplified Arabic" w:eastAsia="Times New Roman" w:hAnsi="Simplified Arabic" w:cs="Simplified Arabic"/>
          <w:b/>
          <w:bCs/>
          <w:color w:val="000000" w:themeColor="text1"/>
          <w:kern w:val="0"/>
          <w:sz w:val="28"/>
          <w:szCs w:val="28"/>
          <w14:ligatures w14:val="none"/>
        </w:rPr>
        <w:t xml:space="preserve"> (Matemilola &amp; Muraina, 2023): "Sustainability and Sustainable Development in Real Estate Industry"</w:t>
      </w:r>
    </w:p>
    <w:p w14:paraId="5304045D" w14:textId="77777777"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مفهوم الاستدامة والتنمية المستدامة في صناعة العقارات بأبعادها (البيئية، والاجتماعية، والاقتصادية) على ممارسات التطوير العقاري المعاصرة. واستخدمت الدراسة المنهج الوصفي التحليلي من خلال مراجعة الأدبيات والتحليل النظري للمفاهيم والممارسات المتعلقة بالاستدامة في القطاع العقاري كفصل ضمن موسوعة الإدارة المستدامة الصادرة عن سبرنغر. وتوصلت نتائج الدراسة إلى أن التركيز على تكاليف رأس المال من خلال تغيير المباني القائمة وإعادة استخدامها يقلّل التكاليف على المواد الخام والنفايات، وأن دمج معايير الاستدامة في القطاع العقاري يُعزّز القيمة طويلة الأجل للأصول ويُسهم في تحقيق التوازن بين النمو الاقتصادي والحفاظ على البيئة. وأوصت الدراسة بضرورة تبني ممارسات البناء الأخضر واعتماد معايير الاستدامة الدولية في مشاريع التطوير العقاري، وتعزيز الوعي لدى المطورين والمستثمرين العقاريين بأهمية الاستدامة كعامل رئيسي في تعظيم قيمة الأصول العقارية</w:t>
      </w:r>
      <w:r w:rsidRPr="007273B0">
        <w:rPr>
          <w:rFonts w:ascii="Simplified Arabic" w:eastAsia="Times New Roman" w:hAnsi="Simplified Arabic" w:cs="Simplified Arabic"/>
          <w:color w:val="000000" w:themeColor="text1"/>
          <w:kern w:val="0"/>
          <w:sz w:val="28"/>
          <w:szCs w:val="28"/>
          <w14:ligatures w14:val="none"/>
        </w:rPr>
        <w:t>.</w:t>
      </w:r>
    </w:p>
    <w:p w14:paraId="5C284364" w14:textId="77777777" w:rsidR="004713E0" w:rsidRPr="007273B0" w:rsidRDefault="004713E0"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w:t>
      </w:r>
      <w:r w:rsidRPr="007273B0">
        <w:rPr>
          <w:rFonts w:ascii="Simplified Arabic" w:eastAsia="Times New Roman" w:hAnsi="Simplified Arabic" w:cs="Simplified Arabic"/>
          <w:b/>
          <w:bCs/>
          <w:color w:val="000000" w:themeColor="text1"/>
          <w:kern w:val="0"/>
          <w:sz w:val="28"/>
          <w:szCs w:val="28"/>
          <w14:ligatures w14:val="none"/>
        </w:rPr>
        <w:t xml:space="preserve"> (Adeniran, Abhulimen, Obiki-Osafiele, Osundare, Agu &amp; Efunniyi, 2024): "Strategic Risk Management in Financial Institutions: Ensuring Robust Regulatory Compliance"</w:t>
      </w:r>
    </w:p>
    <w:p w14:paraId="5580E93B" w14:textId="2C79E915" w:rsidR="004713E0" w:rsidRPr="007273B0" w:rsidRDefault="004713E0"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الطبيعة متعددة الأوجه لإدارة المخاطر الاستراتيجية بأبعادها (تحديد المخاطر، وتقييم المخاطر، وتخفيف المخاطر، ومراقبة المخاطر) على ضمان الامتثال التنظيمي القوي والحفاظ على الاستقرار المالي في المؤسسات المالية. واستخدمت الدراسة منهج المراجعة النظرية الشاملة</w:t>
      </w:r>
      <w:r w:rsidRPr="007273B0">
        <w:rPr>
          <w:rFonts w:ascii="Simplified Arabic" w:eastAsia="Times New Roman" w:hAnsi="Simplified Arabic" w:cs="Simplified Arabic"/>
          <w:color w:val="000000" w:themeColor="text1"/>
          <w:kern w:val="0"/>
          <w:sz w:val="28"/>
          <w:szCs w:val="28"/>
          <w14:ligatures w14:val="none"/>
        </w:rPr>
        <w:t xml:space="preserve"> (Review) </w:t>
      </w:r>
      <w:r w:rsidRPr="007273B0">
        <w:rPr>
          <w:rFonts w:ascii="Simplified Arabic" w:eastAsia="Times New Roman" w:hAnsi="Simplified Arabic" w:cs="Simplified Arabic"/>
          <w:color w:val="000000" w:themeColor="text1"/>
          <w:kern w:val="0"/>
          <w:sz w:val="28"/>
          <w:szCs w:val="28"/>
          <w:rtl/>
          <w14:ligatures w14:val="none"/>
        </w:rPr>
        <w:t>من خلال تحليل الأطر التنظيمية الرئيسية بما في ذلك بازل</w:t>
      </w:r>
      <w:r w:rsidRPr="007273B0">
        <w:rPr>
          <w:rFonts w:ascii="Simplified Arabic" w:eastAsia="Times New Roman" w:hAnsi="Simplified Arabic" w:cs="Simplified Arabic"/>
          <w:color w:val="000000" w:themeColor="text1"/>
          <w:kern w:val="0"/>
          <w:sz w:val="28"/>
          <w:szCs w:val="28"/>
          <w14:ligatures w14:val="none"/>
        </w:rPr>
        <w:t xml:space="preserve"> III </w:t>
      </w:r>
      <w:r w:rsidRPr="007273B0">
        <w:rPr>
          <w:rFonts w:ascii="Simplified Arabic" w:eastAsia="Times New Roman" w:hAnsi="Simplified Arabic" w:cs="Simplified Arabic"/>
          <w:color w:val="000000" w:themeColor="text1"/>
          <w:kern w:val="0"/>
          <w:sz w:val="28"/>
          <w:szCs w:val="28"/>
          <w:rtl/>
          <w14:ligatures w14:val="none"/>
        </w:rPr>
        <w:t>وقانون دود-فرانك وإرشادات الهيئة المصرفية الأوروبية ودراسة حالات تطبيقية ناجحة وأخرى فاشلة في إدارة المخاطر</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إطار إدارة المخاطر القوي يدمج جهود الامتثال مع استراتيجية الأعمال مما يضمن التزام المؤسسات بالتفويضات التنظيمية ومواءمة شهيتها للمخاطر مع أهدافها الاستراتيجية، وأن التكنولوجيا وتحليلات البيانات والرصد في الوقت الفعلي والأمن السيبراني تُعدّ عوامل تمكينية حاسمة لإدارة المخاطر الفعّالة. وأوصت الدراسة بتبني تقنيات الذكاء الاصطناعي والتعلم الآلي لتعزيز </w:t>
      </w:r>
      <w:r w:rsidRPr="007273B0">
        <w:rPr>
          <w:rFonts w:ascii="Simplified Arabic" w:eastAsia="Times New Roman" w:hAnsi="Simplified Arabic" w:cs="Simplified Arabic"/>
          <w:color w:val="000000" w:themeColor="text1"/>
          <w:kern w:val="0"/>
          <w:sz w:val="28"/>
          <w:szCs w:val="28"/>
          <w:rtl/>
          <w14:ligatures w14:val="none"/>
        </w:rPr>
        <w:lastRenderedPageBreak/>
        <w:t>قدرات إدارة المخاطر، وتعزيز التعاون في الصناعة وتبادل أفضل الممارسات، والاستثمار في تطوير الكوادر البشرية وبرامج التدريب للتعامل مع البيئات التنظيمية المعقدة</w:t>
      </w:r>
      <w:r w:rsidRPr="007273B0">
        <w:rPr>
          <w:rFonts w:ascii="Simplified Arabic" w:eastAsia="Times New Roman" w:hAnsi="Simplified Arabic" w:cs="Simplified Arabic"/>
          <w:color w:val="000000" w:themeColor="text1"/>
          <w:kern w:val="0"/>
          <w:sz w:val="28"/>
          <w:szCs w:val="28"/>
          <w14:ligatures w14:val="none"/>
        </w:rPr>
        <w:t>.</w:t>
      </w:r>
    </w:p>
    <w:p w14:paraId="3610BE58" w14:textId="77777777" w:rsidR="00682B9E" w:rsidRPr="007273B0" w:rsidRDefault="00682B9E"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w:t>
      </w:r>
      <w:r w:rsidRPr="007273B0">
        <w:rPr>
          <w:rFonts w:ascii="Simplified Arabic" w:eastAsia="Times New Roman" w:hAnsi="Simplified Arabic" w:cs="Simplified Arabic"/>
          <w:b/>
          <w:bCs/>
          <w:color w:val="000000" w:themeColor="text1"/>
          <w:kern w:val="0"/>
          <w:sz w:val="28"/>
          <w:szCs w:val="28"/>
          <w14:ligatures w14:val="none"/>
        </w:rPr>
        <w:t xml:space="preserve"> (Brodowicz, 2025): "Investment Risk Management: Contemporary Approaches to Responsible Investing in the Real Estate Market"</w:t>
      </w:r>
    </w:p>
    <w:p w14:paraId="3B62FFB3"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كيفية عمل الاستثمار العقاري المسؤول</w:t>
      </w:r>
      <w:r w:rsidRPr="007273B0">
        <w:rPr>
          <w:rFonts w:ascii="Simplified Arabic" w:eastAsia="Times New Roman" w:hAnsi="Simplified Arabic" w:cs="Simplified Arabic"/>
          <w:color w:val="000000" w:themeColor="text1"/>
          <w:kern w:val="0"/>
          <w:sz w:val="28"/>
          <w:szCs w:val="28"/>
          <w14:ligatures w14:val="none"/>
        </w:rPr>
        <w:t xml:space="preserve"> (RPI) </w:t>
      </w:r>
      <w:r w:rsidRPr="007273B0">
        <w:rPr>
          <w:rFonts w:ascii="Simplified Arabic" w:eastAsia="Times New Roman" w:hAnsi="Simplified Arabic" w:cs="Simplified Arabic"/>
          <w:color w:val="000000" w:themeColor="text1"/>
          <w:kern w:val="0"/>
          <w:sz w:val="28"/>
          <w:szCs w:val="28"/>
          <w:rtl/>
          <w14:ligatures w14:val="none"/>
        </w:rPr>
        <w:t>كأداة للتخفيف من المخاطر في العقارات التجارية بأبعاده</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المعايير البيئية، والاجتماعية، والحوكمة</w:t>
      </w:r>
      <w:r w:rsidRPr="007273B0">
        <w:rPr>
          <w:rFonts w:ascii="Simplified Arabic" w:eastAsia="Times New Roman" w:hAnsi="Simplified Arabic" w:cs="Simplified Arabic"/>
          <w:color w:val="000000" w:themeColor="text1"/>
          <w:kern w:val="0"/>
          <w:sz w:val="28"/>
          <w:szCs w:val="28"/>
          <w14:ligatures w14:val="none"/>
        </w:rPr>
        <w:t xml:space="preserve"> ESG) </w:t>
      </w:r>
      <w:r w:rsidRPr="007273B0">
        <w:rPr>
          <w:rFonts w:ascii="Simplified Arabic" w:eastAsia="Times New Roman" w:hAnsi="Simplified Arabic" w:cs="Simplified Arabic"/>
          <w:color w:val="000000" w:themeColor="text1"/>
          <w:kern w:val="0"/>
          <w:sz w:val="28"/>
          <w:szCs w:val="28"/>
          <w:rtl/>
          <w14:ligatures w14:val="none"/>
        </w:rPr>
        <w:t xml:space="preserve">على قرارات الاستثمار العقاري في الشركات العقارية البولندية خلال فترات عدم استقرار السوق وتزايد المتطلبات التنظيمية. واستخدمت الدراسة منهجاً مختلطاً على ثلاث مراحل شمل البحث المكتبي لاستراتيجيات (100) شركة عقارية بولندية كبرى، وإجراء مقابلات نوعية مع متخصصين في الصناعة، ومسح هاتفي </w:t>
      </w:r>
      <w:r w:rsidRPr="007273B0">
        <w:rPr>
          <w:rFonts w:ascii="Simplified Arabic" w:eastAsia="Times New Roman" w:hAnsi="Simplified Arabic" w:cs="Simplified Arabic"/>
          <w:color w:val="000000" w:themeColor="text1"/>
          <w:kern w:val="0"/>
          <w:sz w:val="28"/>
          <w:szCs w:val="28"/>
          <w14:ligatures w14:val="none"/>
        </w:rPr>
        <w:t xml:space="preserve">(CATI) </w:t>
      </w:r>
      <w:r w:rsidRPr="007273B0">
        <w:rPr>
          <w:rFonts w:ascii="Simplified Arabic" w:eastAsia="Times New Roman" w:hAnsi="Simplified Arabic" w:cs="Simplified Arabic"/>
          <w:color w:val="000000" w:themeColor="text1"/>
          <w:kern w:val="0"/>
          <w:sz w:val="28"/>
          <w:szCs w:val="28"/>
          <w:rtl/>
          <w14:ligatures w14:val="none"/>
        </w:rPr>
        <w:t xml:space="preserve">لعدد (54) شركة يعمل أغلبها في السوق البولندي منذ أكثر من 15 عاماً. وتوصلت نتائج الدراسة إلى أن أكثر من نصف المنظمات المستطلعة </w:t>
      </w:r>
      <w:r w:rsidRPr="007273B0">
        <w:rPr>
          <w:rFonts w:ascii="Simplified Arabic" w:eastAsia="Times New Roman" w:hAnsi="Simplified Arabic" w:cs="Simplified Arabic"/>
          <w:color w:val="000000" w:themeColor="text1"/>
          <w:kern w:val="0"/>
          <w:sz w:val="28"/>
          <w:szCs w:val="28"/>
          <w14:ligatures w14:val="none"/>
        </w:rPr>
        <w:t xml:space="preserve">(53.7%) </w:t>
      </w:r>
      <w:r w:rsidRPr="007273B0">
        <w:rPr>
          <w:rFonts w:ascii="Simplified Arabic" w:eastAsia="Times New Roman" w:hAnsi="Simplified Arabic" w:cs="Simplified Arabic"/>
          <w:color w:val="000000" w:themeColor="text1"/>
          <w:kern w:val="0"/>
          <w:sz w:val="28"/>
          <w:szCs w:val="28"/>
          <w:rtl/>
          <w14:ligatures w14:val="none"/>
        </w:rPr>
        <w:t>تعترف بالاستثمار العقاري المسؤول كنهج لإدارة المخاطر، إلا أن تطبيقه يتفاوت بين الشركات، كما أن الامتثال التنظيمي وكفاءة الطاقة والشهادات الرسمية كانت المحركات الرئيسية بينما حظيت الجوانب الاجتماعية باهتمام أقل، مع وجود ممارسات واسعة للغسل الأخضر</w:t>
      </w:r>
      <w:r w:rsidRPr="007273B0">
        <w:rPr>
          <w:rFonts w:ascii="Simplified Arabic" w:eastAsia="Times New Roman" w:hAnsi="Simplified Arabic" w:cs="Simplified Arabic"/>
          <w:color w:val="000000" w:themeColor="text1"/>
          <w:kern w:val="0"/>
          <w:sz w:val="28"/>
          <w:szCs w:val="28"/>
          <w14:ligatures w14:val="none"/>
        </w:rPr>
        <w:t xml:space="preserve"> (Greenwashing). </w:t>
      </w:r>
      <w:r w:rsidRPr="007273B0">
        <w:rPr>
          <w:rFonts w:ascii="Simplified Arabic" w:eastAsia="Times New Roman" w:hAnsi="Simplified Arabic" w:cs="Simplified Arabic"/>
          <w:color w:val="000000" w:themeColor="text1"/>
          <w:kern w:val="0"/>
          <w:sz w:val="28"/>
          <w:szCs w:val="28"/>
          <w:rtl/>
          <w14:ligatures w14:val="none"/>
        </w:rPr>
        <w:t>وأوصت الدراسة بضرورة تعزيز الرقابة التنظيمية وتحسين تعليم المستثمرين وتوحيد مقاييس الاستدامة، ومواءمة الخطط الداخلية للشركات مع معايير</w:t>
      </w:r>
      <w:r w:rsidRPr="007273B0">
        <w:rPr>
          <w:rFonts w:ascii="Simplified Arabic" w:eastAsia="Times New Roman" w:hAnsi="Simplified Arabic" w:cs="Simplified Arabic"/>
          <w:color w:val="000000" w:themeColor="text1"/>
          <w:kern w:val="0"/>
          <w:sz w:val="28"/>
          <w:szCs w:val="28"/>
          <w14:ligatures w14:val="none"/>
        </w:rPr>
        <w:t xml:space="preserve"> ESG </w:t>
      </w:r>
      <w:r w:rsidRPr="007273B0">
        <w:rPr>
          <w:rFonts w:ascii="Simplified Arabic" w:eastAsia="Times New Roman" w:hAnsi="Simplified Arabic" w:cs="Simplified Arabic"/>
          <w:color w:val="000000" w:themeColor="text1"/>
          <w:kern w:val="0"/>
          <w:sz w:val="28"/>
          <w:szCs w:val="28"/>
          <w:rtl/>
          <w14:ligatures w14:val="none"/>
        </w:rPr>
        <w:t>المتطورة لحماية سمعتها وتعظيم قيمة أصولها على المدى الطويل</w:t>
      </w:r>
      <w:r w:rsidRPr="007273B0">
        <w:rPr>
          <w:rFonts w:ascii="Simplified Arabic" w:eastAsia="Times New Roman" w:hAnsi="Simplified Arabic" w:cs="Simplified Arabic"/>
          <w:color w:val="000000" w:themeColor="text1"/>
          <w:kern w:val="0"/>
          <w:sz w:val="28"/>
          <w:szCs w:val="28"/>
          <w14:ligatures w14:val="none"/>
        </w:rPr>
        <w:t>.</w:t>
      </w:r>
    </w:p>
    <w:p w14:paraId="5295DAE8" w14:textId="77777777" w:rsidR="00682B9E" w:rsidRPr="007273B0" w:rsidRDefault="00682B9E" w:rsidP="00CD45F1">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دراسة</w:t>
      </w:r>
      <w:r w:rsidRPr="007273B0">
        <w:rPr>
          <w:rFonts w:ascii="Simplified Arabic" w:eastAsia="Times New Roman" w:hAnsi="Simplified Arabic" w:cs="Simplified Arabic"/>
          <w:b/>
          <w:bCs/>
          <w:color w:val="000000" w:themeColor="text1"/>
          <w:kern w:val="0"/>
          <w:sz w:val="28"/>
          <w:szCs w:val="28"/>
          <w14:ligatures w14:val="none"/>
        </w:rPr>
        <w:t xml:space="preserve"> (Walraven, Wattamwar &amp; Curzi, 2025): "Sustainability: The Risk Management Category"</w:t>
      </w:r>
    </w:p>
    <w:p w14:paraId="59FBE70C"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الاستدامة وإدارة المخاطر في قطاع العقارات المؤسسية بأبعادها (المعايير البيئية والاجتماعية والحوكمة والمرونة</w:t>
      </w:r>
      <w:r w:rsidRPr="007273B0">
        <w:rPr>
          <w:rFonts w:ascii="Simplified Arabic" w:eastAsia="Times New Roman" w:hAnsi="Simplified Arabic" w:cs="Simplified Arabic"/>
          <w:color w:val="000000" w:themeColor="text1"/>
          <w:kern w:val="0"/>
          <w:sz w:val="28"/>
          <w:szCs w:val="28"/>
          <w14:ligatures w14:val="none"/>
        </w:rPr>
        <w:t xml:space="preserve"> ESG+R) </w:t>
      </w:r>
      <w:r w:rsidRPr="007273B0">
        <w:rPr>
          <w:rFonts w:ascii="Simplified Arabic" w:eastAsia="Times New Roman" w:hAnsi="Simplified Arabic" w:cs="Simplified Arabic"/>
          <w:color w:val="000000" w:themeColor="text1"/>
          <w:kern w:val="0"/>
          <w:sz w:val="28"/>
          <w:szCs w:val="28"/>
          <w:rtl/>
          <w14:ligatures w14:val="none"/>
        </w:rPr>
        <w:t xml:space="preserve">على الكفاءة التشغيلية وقيمة الأصول العقارية في ظل المتطلبات التنظيمية المتزايدة. واستخدمت الدراسة المنهج التحليلي الوصفي من خلال مراجعة الأطر التنظيمية وتحليل التشريعات المتعلقة بالاستدامة مثل لائحة الإفصاح عن التمويل المستدام الأوروبية </w:t>
      </w:r>
      <w:r w:rsidRPr="007273B0">
        <w:rPr>
          <w:rFonts w:ascii="Simplified Arabic" w:eastAsia="Times New Roman" w:hAnsi="Simplified Arabic" w:cs="Simplified Arabic"/>
          <w:color w:val="000000" w:themeColor="text1"/>
          <w:kern w:val="0"/>
          <w:sz w:val="28"/>
          <w:szCs w:val="28"/>
          <w14:ligatures w14:val="none"/>
        </w:rPr>
        <w:t xml:space="preserve">(SFDR) </w:t>
      </w:r>
      <w:r w:rsidRPr="007273B0">
        <w:rPr>
          <w:rFonts w:ascii="Simplified Arabic" w:eastAsia="Times New Roman" w:hAnsi="Simplified Arabic" w:cs="Simplified Arabic"/>
          <w:color w:val="000000" w:themeColor="text1"/>
          <w:kern w:val="0"/>
          <w:sz w:val="28"/>
          <w:szCs w:val="28"/>
          <w:rtl/>
          <w14:ligatures w14:val="none"/>
        </w:rPr>
        <w:t>وقواعد الإفصاح المناخي لهيئة الأوراق المالية الأمريكية</w:t>
      </w:r>
      <w:r w:rsidRPr="007273B0">
        <w:rPr>
          <w:rFonts w:ascii="Simplified Arabic" w:eastAsia="Times New Roman" w:hAnsi="Simplified Arabic" w:cs="Simplified Arabic"/>
          <w:color w:val="000000" w:themeColor="text1"/>
          <w:kern w:val="0"/>
          <w:sz w:val="28"/>
          <w:szCs w:val="28"/>
          <w14:ligatures w14:val="none"/>
        </w:rPr>
        <w:t xml:space="preserve"> (SEC) </w:t>
      </w:r>
      <w:r w:rsidRPr="007273B0">
        <w:rPr>
          <w:rFonts w:ascii="Simplified Arabic" w:eastAsia="Times New Roman" w:hAnsi="Simplified Arabic" w:cs="Simplified Arabic"/>
          <w:color w:val="000000" w:themeColor="text1"/>
          <w:kern w:val="0"/>
          <w:sz w:val="28"/>
          <w:szCs w:val="28"/>
          <w:rtl/>
          <w14:ligatures w14:val="none"/>
        </w:rPr>
        <w:t xml:space="preserve">ومعايير أداء المباني المحلية. وتوصلت نتائج الدراسة إلى أن دمج مبادرات </w:t>
      </w:r>
      <w:r w:rsidRPr="007273B0">
        <w:rPr>
          <w:rFonts w:ascii="Simplified Arabic" w:eastAsia="Times New Roman" w:hAnsi="Simplified Arabic" w:cs="Simplified Arabic"/>
          <w:color w:val="000000" w:themeColor="text1"/>
          <w:kern w:val="0"/>
          <w:sz w:val="28"/>
          <w:szCs w:val="28"/>
          <w14:ligatures w14:val="none"/>
        </w:rPr>
        <w:t xml:space="preserve">ESG+R </w:t>
      </w:r>
      <w:r w:rsidRPr="007273B0">
        <w:rPr>
          <w:rFonts w:ascii="Simplified Arabic" w:eastAsia="Times New Roman" w:hAnsi="Simplified Arabic" w:cs="Simplified Arabic"/>
          <w:color w:val="000000" w:themeColor="text1"/>
          <w:kern w:val="0"/>
          <w:sz w:val="28"/>
          <w:szCs w:val="28"/>
          <w:rtl/>
          <w14:ligatures w14:val="none"/>
        </w:rPr>
        <w:t xml:space="preserve">يُحسّن الكفاءة التشغيلية ويؤدي إلى توفير التكاليف وتعزيز رضا المستأجرين وزيادة قيمة الأصول، وأن إدارة المخاطر المناخية </w:t>
      </w:r>
      <w:r w:rsidRPr="007273B0">
        <w:rPr>
          <w:rFonts w:ascii="Simplified Arabic" w:eastAsia="Times New Roman" w:hAnsi="Simplified Arabic" w:cs="Simplified Arabic"/>
          <w:color w:val="000000" w:themeColor="text1"/>
          <w:kern w:val="0"/>
          <w:sz w:val="28"/>
          <w:szCs w:val="28"/>
          <w:rtl/>
          <w14:ligatures w14:val="none"/>
        </w:rPr>
        <w:lastRenderedPageBreak/>
        <w:t>الفعّالة تتطلب تعاوناً عبر المستويات التنظيمية وتخطيطاً استراتيجياً لتحقيق أهداف الاستدامة وتحسين عوائد الاستثمار طويلة الأجل. وأوصت الدراسة بضرورة انخراط مالكي ومشغلي العقارات في إدارة مخاطر التحول المناخي والمخاطر المادية من الأعلى إلى الأسفل ومن الأسفل إلى الأعلى، وتبني أطر مثل فريق العمل المعني بالإفصاحات المالية المتعلقة بالمناخ</w:t>
      </w:r>
      <w:r w:rsidRPr="007273B0">
        <w:rPr>
          <w:rFonts w:ascii="Simplified Arabic" w:eastAsia="Times New Roman" w:hAnsi="Simplified Arabic" w:cs="Simplified Arabic"/>
          <w:color w:val="000000" w:themeColor="text1"/>
          <w:kern w:val="0"/>
          <w:sz w:val="28"/>
          <w:szCs w:val="28"/>
          <w14:ligatures w14:val="none"/>
        </w:rPr>
        <w:t xml:space="preserve"> (TCFD) </w:t>
      </w:r>
      <w:r w:rsidRPr="007273B0">
        <w:rPr>
          <w:rFonts w:ascii="Simplified Arabic" w:eastAsia="Times New Roman" w:hAnsi="Simplified Arabic" w:cs="Simplified Arabic"/>
          <w:color w:val="000000" w:themeColor="text1"/>
          <w:kern w:val="0"/>
          <w:sz w:val="28"/>
          <w:szCs w:val="28"/>
          <w:rtl/>
          <w14:ligatures w14:val="none"/>
        </w:rPr>
        <w:t>ومعايير التقارير المالية الدولية</w:t>
      </w:r>
      <w:r w:rsidRPr="007273B0">
        <w:rPr>
          <w:rFonts w:ascii="Simplified Arabic" w:eastAsia="Times New Roman" w:hAnsi="Simplified Arabic" w:cs="Simplified Arabic"/>
          <w:color w:val="000000" w:themeColor="text1"/>
          <w:kern w:val="0"/>
          <w:sz w:val="28"/>
          <w:szCs w:val="28"/>
          <w14:ligatures w14:val="none"/>
        </w:rPr>
        <w:t xml:space="preserve"> (IFRS) </w:t>
      </w:r>
      <w:r w:rsidRPr="007273B0">
        <w:rPr>
          <w:rFonts w:ascii="Simplified Arabic" w:eastAsia="Times New Roman" w:hAnsi="Simplified Arabic" w:cs="Simplified Arabic"/>
          <w:color w:val="000000" w:themeColor="text1"/>
          <w:kern w:val="0"/>
          <w:sz w:val="28"/>
          <w:szCs w:val="28"/>
          <w:rtl/>
          <w14:ligatures w14:val="none"/>
        </w:rPr>
        <w:t>لتقييم المخاطر</w:t>
      </w:r>
      <w:r w:rsidRPr="007273B0">
        <w:rPr>
          <w:rFonts w:ascii="Simplified Arabic" w:eastAsia="Times New Roman" w:hAnsi="Simplified Arabic" w:cs="Simplified Arabic"/>
          <w:color w:val="000000" w:themeColor="text1"/>
          <w:kern w:val="0"/>
          <w:sz w:val="28"/>
          <w:szCs w:val="28"/>
          <w14:ligatures w14:val="none"/>
        </w:rPr>
        <w:t>.</w:t>
      </w:r>
    </w:p>
    <w:p w14:paraId="6FA6B7BD" w14:textId="77E9A47B" w:rsidR="00CC6261"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6" w:name="_Toc233580394"/>
      <w:r w:rsidRPr="007273B0">
        <w:rPr>
          <w:rFonts w:ascii="Simplified Arabic" w:eastAsia="Times New Roman" w:hAnsi="Simplified Arabic" w:cs="Simplified Arabic" w:hint="cs"/>
          <w:b/>
          <w:bCs/>
          <w:color w:val="000000" w:themeColor="text1"/>
          <w:kern w:val="36"/>
          <w:sz w:val="36"/>
          <w:szCs w:val="36"/>
          <w:rtl/>
          <w14:ligatures w14:val="none"/>
        </w:rPr>
        <w:t xml:space="preserve">8.1 </w:t>
      </w:r>
      <w:r w:rsidR="00CC6261" w:rsidRPr="007273B0">
        <w:rPr>
          <w:rFonts w:ascii="Simplified Arabic" w:eastAsia="Times New Roman" w:hAnsi="Simplified Arabic" w:cs="Simplified Arabic"/>
          <w:b/>
          <w:bCs/>
          <w:color w:val="000000" w:themeColor="text1"/>
          <w:kern w:val="36"/>
          <w:sz w:val="36"/>
          <w:szCs w:val="36"/>
          <w:rtl/>
          <w14:ligatures w14:val="none"/>
        </w:rPr>
        <w:t>الفجوة البحثية</w:t>
      </w:r>
      <w:bookmarkEnd w:id="16"/>
    </w:p>
    <w:p w14:paraId="5D0D3CEF" w14:textId="410B9920" w:rsidR="00156D45" w:rsidRPr="007273B0" w:rsidRDefault="00682B9E" w:rsidP="004713E0">
      <w:pPr>
        <w:pStyle w:val="NormalWeb"/>
        <w:bidi/>
        <w:spacing w:line="276" w:lineRule="auto"/>
        <w:ind w:firstLine="424"/>
        <w:jc w:val="both"/>
        <w:rPr>
          <w:rFonts w:ascii="Simplified Arabic" w:hAnsi="Simplified Arabic" w:cs="Simplified Arabic"/>
          <w:color w:val="000000" w:themeColor="text1"/>
          <w:sz w:val="28"/>
          <w:szCs w:val="28"/>
        </w:rPr>
      </w:pPr>
      <w:r w:rsidRPr="007273B0">
        <w:rPr>
          <w:rFonts w:ascii="Simplified Arabic" w:hAnsi="Simplified Arabic" w:cs="Simplified Arabic"/>
          <w:color w:val="000000" w:themeColor="text1"/>
          <w:sz w:val="28"/>
          <w:szCs w:val="28"/>
          <w:rtl/>
        </w:rPr>
        <w:t xml:space="preserve">من خلال الاستعراض التحليلي للدراسات السابقة العربية والأجنبية ذات الصلة بموضوع الدراسة الحالية، يتضح أن الأدبيات الإدارية قد تناولت إدارة المخاطر التنظيمية ومعايير الاستدامة كمتغيرات مستقلة في سياقات قطاعية متنوعة، إلا أنها لم تتناول العلاقة التكاملية المباشرة بينهما في القطاع العقاري بالشكل الكافي. فعلى صعيد إدارة المخاطر، ركّزت دراسة (حمدان والبشابشة، 2023؛ 2024) على أثرها في الفاعلية التنظيمية في قطاع الأدوية الأردني، بينما تناولت دراسة (الطراونة والحايك، 2023) علاقتها ببطاقة الأداء المتوازن في البنوك التجارية، ودرست (البلوي وغيث، 2021) أثر آليات الحوكمة على إدارة المخاطر في القطاع العام السعودي، فيما بحثت دراسة </w:t>
      </w:r>
      <w:r w:rsidRPr="007273B0">
        <w:rPr>
          <w:rFonts w:ascii="Simplified Arabic" w:hAnsi="Simplified Arabic" w:cs="Simplified Arabic"/>
          <w:color w:val="000000" w:themeColor="text1"/>
          <w:sz w:val="28"/>
          <w:szCs w:val="28"/>
        </w:rPr>
        <w:t xml:space="preserve">(Adeniran et al., 2024) </w:t>
      </w:r>
      <w:r w:rsidRPr="007273B0">
        <w:rPr>
          <w:rFonts w:ascii="Simplified Arabic" w:hAnsi="Simplified Arabic" w:cs="Simplified Arabic"/>
          <w:color w:val="000000" w:themeColor="text1"/>
          <w:sz w:val="28"/>
          <w:szCs w:val="28"/>
          <w:rtl/>
        </w:rPr>
        <w:t>في إدارة المخاطر الاستراتيجية في المؤسسات المالية، ودراسة</w:t>
      </w:r>
      <w:r w:rsidRPr="007273B0">
        <w:rPr>
          <w:rFonts w:ascii="Simplified Arabic" w:hAnsi="Simplified Arabic" w:cs="Simplified Arabic"/>
          <w:color w:val="000000" w:themeColor="text1"/>
          <w:sz w:val="28"/>
          <w:szCs w:val="28"/>
        </w:rPr>
        <w:t xml:space="preserve"> (Battisti et al., 2020) </w:t>
      </w:r>
      <w:r w:rsidRPr="007273B0">
        <w:rPr>
          <w:rFonts w:ascii="Simplified Arabic" w:hAnsi="Simplified Arabic" w:cs="Simplified Arabic"/>
          <w:color w:val="000000" w:themeColor="text1"/>
          <w:sz w:val="28"/>
          <w:szCs w:val="28"/>
          <w:rtl/>
        </w:rPr>
        <w:t>في العلاقة بين البيانات الضخمة وإدارة المخاطر في العقارات المؤسسية. أما على صعيد الاستدامة، فقد عالجت دراسة (الدباغ وصبيح، 2023) معايير محاسبة الاستدامة في القطاع النفطي، وتناولت دراسة (القيسي والحسيناوي والسليماوي، 2024) استدامة الخدمات الترفيهية في المدن الاستثمارية، وبحثت دراسة (ندا ومنصور وسعودي وعبدالرحيم، 2025) في الاستدامة المؤسسية بالأندية الرياضية، بينما استعرضت دراسة</w:t>
      </w:r>
      <w:r w:rsidRPr="007273B0">
        <w:rPr>
          <w:rFonts w:ascii="Simplified Arabic" w:hAnsi="Simplified Arabic" w:cs="Simplified Arabic"/>
          <w:color w:val="000000" w:themeColor="text1"/>
          <w:sz w:val="28"/>
          <w:szCs w:val="28"/>
        </w:rPr>
        <w:t xml:space="preserve"> (Matemilola &amp; Muraina, 2023) </w:t>
      </w:r>
      <w:r w:rsidRPr="007273B0">
        <w:rPr>
          <w:rFonts w:ascii="Simplified Arabic" w:hAnsi="Simplified Arabic" w:cs="Simplified Arabic"/>
          <w:color w:val="000000" w:themeColor="text1"/>
          <w:sz w:val="28"/>
          <w:szCs w:val="28"/>
          <w:rtl/>
        </w:rPr>
        <w:t>الاستدامة في صناعة العقارات نظرياً، وربطت دراسة</w:t>
      </w:r>
      <w:r w:rsidRPr="007273B0">
        <w:rPr>
          <w:rFonts w:ascii="Simplified Arabic" w:hAnsi="Simplified Arabic" w:cs="Simplified Arabic"/>
          <w:color w:val="000000" w:themeColor="text1"/>
          <w:sz w:val="28"/>
          <w:szCs w:val="28"/>
        </w:rPr>
        <w:t xml:space="preserve"> (Walraven et al., 2025) </w:t>
      </w:r>
      <w:r w:rsidRPr="007273B0">
        <w:rPr>
          <w:rFonts w:ascii="Simplified Arabic" w:hAnsi="Simplified Arabic" w:cs="Simplified Arabic"/>
          <w:color w:val="000000" w:themeColor="text1"/>
          <w:sz w:val="28"/>
          <w:szCs w:val="28"/>
          <w:rtl/>
        </w:rPr>
        <w:t>بين الاستدامة وإدارة المخاطر في العقارات المؤسسية، ودرست</w:t>
      </w:r>
      <w:r w:rsidRPr="007273B0">
        <w:rPr>
          <w:rFonts w:ascii="Simplified Arabic" w:hAnsi="Simplified Arabic" w:cs="Simplified Arabic"/>
          <w:color w:val="000000" w:themeColor="text1"/>
          <w:sz w:val="28"/>
          <w:szCs w:val="28"/>
        </w:rPr>
        <w:t xml:space="preserve"> (Brodowicz, 2025) </w:t>
      </w:r>
      <w:r w:rsidRPr="007273B0">
        <w:rPr>
          <w:rFonts w:ascii="Simplified Arabic" w:hAnsi="Simplified Arabic" w:cs="Simplified Arabic"/>
          <w:color w:val="000000" w:themeColor="text1"/>
          <w:sz w:val="28"/>
          <w:szCs w:val="28"/>
          <w:rtl/>
        </w:rPr>
        <w:t xml:space="preserve">الاستثمار المسؤول كأداة لإدارة المخاطر في السوق العقاري البولندي. ويتبيّن من هذا الاستعراض أن الفجوة البحثية تتمثل في غياب دراسة تطبيقية تربط بشكل مباشر بين إدارة المخاطر التنظيمية بأبعادها الأربعة (تحديد المخاطر، تقييم المخاطر، الاستجابة للمخاطر، مراقبة المخاطر) كمتغير مستقل والالتزام بمعايير الاستدامة العقارية كمتغير تابع في سياق المشاريع العقارية التنموية الكبرى، وتحديداً في البيئة السعودية ومشاريع رؤية 2030 العقارية التي تتسم بخصوصية فريدة </w:t>
      </w:r>
      <w:r w:rsidRPr="007273B0">
        <w:rPr>
          <w:rFonts w:ascii="Simplified Arabic" w:hAnsi="Simplified Arabic" w:cs="Simplified Arabic"/>
          <w:color w:val="000000" w:themeColor="text1"/>
          <w:sz w:val="28"/>
          <w:szCs w:val="28"/>
          <w:rtl/>
        </w:rPr>
        <w:lastRenderedPageBreak/>
        <w:t>من حيث حجمها وطموحها ومتطلباتها التنظيمية، وهو ما تسعى هذه الدراسة إلى سدّه من خلال تقديم إطار تحليلي ميداني يكشف عن طبيعة هذا الأثر وحجمه واتجاهه</w:t>
      </w:r>
      <w:r w:rsidRPr="007273B0">
        <w:rPr>
          <w:rFonts w:ascii="Simplified Arabic" w:hAnsi="Simplified Arabic" w:cs="Simplified Arabic"/>
          <w:color w:val="000000" w:themeColor="text1"/>
          <w:sz w:val="28"/>
          <w:szCs w:val="28"/>
        </w:rPr>
        <w:t>.</w:t>
      </w:r>
      <w:r w:rsidR="00156D45" w:rsidRPr="007273B0">
        <w:rPr>
          <w:rFonts w:ascii="Simplified Arabic" w:hAnsi="Simplified Arabic" w:cs="Simplified Arabic"/>
          <w:color w:val="000000" w:themeColor="text1"/>
          <w:sz w:val="28"/>
          <w:szCs w:val="28"/>
        </w:rPr>
        <w:t>.</w:t>
      </w:r>
    </w:p>
    <w:p w14:paraId="24B5D1A1" w14:textId="77777777" w:rsidR="004713E0" w:rsidRPr="007273B0" w:rsidRDefault="004713E0" w:rsidP="004713E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2"/>
      <w:bookmarkStart w:id="18" w:name="_Toc223914290"/>
      <w:bookmarkStart w:id="19" w:name="_Toc233580395"/>
      <w:bookmarkEnd w:id="14"/>
      <w:r w:rsidRPr="007273B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58774CDA" w14:textId="6E37E6A7" w:rsidR="004713E0" w:rsidRPr="007273B0" w:rsidRDefault="004713E0"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273B0">
        <w:rPr>
          <w:rFonts w:ascii="Simplified Arabic" w:eastAsia="Times New Roman" w:hAnsi="Simplified Arabic" w:cs="Simplified Arabic"/>
          <w:b/>
          <w:bCs/>
          <w:color w:val="000000" w:themeColor="text1"/>
          <w:kern w:val="0"/>
          <w:sz w:val="32"/>
          <w:szCs w:val="32"/>
          <w:rtl/>
          <w14:ligatures w14:val="none"/>
        </w:rPr>
        <w:t>مفهوم إدارة المخاطر التنظيمية</w:t>
      </w:r>
    </w:p>
    <w:p w14:paraId="7EE9237D"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تُعدّ إدارة المخاطر التنظيمية من المفاهيم الإدارية المحورية التي حظيت باهتمام متزايد في الفكر الإداري المعاصر، ولا سيما في ظل التحولات المتسارعة التي تشهدها بيئات الأعمال على المستويين المحلي والدولي. ويُشير مفهوم إدارة المخاطر التنظيمية إلى ذلك النظام المتكامل من العمليات والإجراءات والسياسات التي تتبناها المنظمة بشكل منهجي ومنظّم للتعرف على المخاطر المحتملة التي قد تُهدد تحقيق أهدافها الاستراتيجية والتشغيلية، وتحليلها وتقييمها، ووضع الاستراتيجيات الملائمة للتعامل معها، ومتابعتها بشكل مستمر لضمان فاعلية الاستجابة لها. وقد عرّفها</w:t>
      </w:r>
      <w:r w:rsidRPr="007273B0">
        <w:rPr>
          <w:rFonts w:ascii="Simplified Arabic" w:eastAsia="Times New Roman" w:hAnsi="Simplified Arabic" w:cs="Simplified Arabic"/>
          <w:color w:val="000000" w:themeColor="text1"/>
          <w:kern w:val="0"/>
          <w:sz w:val="28"/>
          <w:szCs w:val="28"/>
          <w14:ligatures w14:val="none"/>
        </w:rPr>
        <w:t xml:space="preserve"> (Adeniran et al., 2024) </w:t>
      </w:r>
      <w:r w:rsidRPr="007273B0">
        <w:rPr>
          <w:rFonts w:ascii="Simplified Arabic" w:eastAsia="Times New Roman" w:hAnsi="Simplified Arabic" w:cs="Simplified Arabic"/>
          <w:color w:val="000000" w:themeColor="text1"/>
          <w:kern w:val="0"/>
          <w:sz w:val="28"/>
          <w:szCs w:val="28"/>
          <w:rtl/>
          <w14:ligatures w14:val="none"/>
        </w:rPr>
        <w:t xml:space="preserve">بأنها عملية منهجية شاملة تتضمن تحديد المخاطر وتقييمها وتخفيفها ومراقبتها بما يُمكّن المنظمة من التعامل مع تعقيدات المتطلبات التنظيمية ومواءمة شهيتها للمخاطر مع أهدافها الاستراتيجية. وتتجاوز إدارة المخاطر التنظيمية في مفهومها الحديث الإطار التقليدي المقتصر على المخاطر المالية والتشغيلية لتشمل المخاطر البيئية والاجتماعية والتنظيمية والسمعية، وهو ما أكدته دراسة (حمدان والبشابشة، </w:t>
      </w:r>
      <w:r w:rsidRPr="007273B0">
        <w:rPr>
          <w:rFonts w:ascii="Simplified Arabic" w:eastAsia="Times New Roman" w:hAnsi="Simplified Arabic" w:cs="Simplified Arabic"/>
          <w:color w:val="000000" w:themeColor="text1"/>
          <w:kern w:val="0"/>
          <w:sz w:val="28"/>
          <w:szCs w:val="28"/>
          <w14:ligatures w14:val="none"/>
        </w:rPr>
        <w:t xml:space="preserve">2024) </w:t>
      </w:r>
      <w:r w:rsidRPr="007273B0">
        <w:rPr>
          <w:rFonts w:ascii="Simplified Arabic" w:eastAsia="Times New Roman" w:hAnsi="Simplified Arabic" w:cs="Simplified Arabic"/>
          <w:color w:val="000000" w:themeColor="text1"/>
          <w:kern w:val="0"/>
          <w:sz w:val="28"/>
          <w:szCs w:val="28"/>
          <w:rtl/>
          <w14:ligatures w14:val="none"/>
        </w:rPr>
        <w:t>التي أوضحت أن إدارة المخاطر بمفهومها الشامل تُسهم إسهاماً جوهرياً في تحقيق الفاعلية التنظيمية حين تُمارَس بشكل منهجي ومتكامل مع البنية الاستراتيجية للمنظمة. وفي قطاع العقارات تحديداً، أشار</w:t>
      </w:r>
      <w:r w:rsidRPr="007273B0">
        <w:rPr>
          <w:rFonts w:ascii="Simplified Arabic" w:eastAsia="Times New Roman" w:hAnsi="Simplified Arabic" w:cs="Simplified Arabic"/>
          <w:color w:val="000000" w:themeColor="text1"/>
          <w:kern w:val="0"/>
          <w:sz w:val="28"/>
          <w:szCs w:val="28"/>
          <w14:ligatures w14:val="none"/>
        </w:rPr>
        <w:t xml:space="preserve"> (Battisti et al., 2020) </w:t>
      </w:r>
      <w:r w:rsidRPr="007273B0">
        <w:rPr>
          <w:rFonts w:ascii="Simplified Arabic" w:eastAsia="Times New Roman" w:hAnsi="Simplified Arabic" w:cs="Simplified Arabic"/>
          <w:color w:val="000000" w:themeColor="text1"/>
          <w:kern w:val="0"/>
          <w:sz w:val="28"/>
          <w:szCs w:val="28"/>
          <w:rtl/>
          <w14:ligatures w14:val="none"/>
        </w:rPr>
        <w:t>إلى أن إدارة المخاطر في العقارات المؤسسية تحتاج إلى تكامل مع العمليات التجارية وأدوات التحليل المتقدمة لتعزيز القدرة على اتخاذ قرارات استباقية فعّالة في بيئة تتسم بالتعقيد وتعدد المتغيرات</w:t>
      </w:r>
      <w:r w:rsidRPr="007273B0">
        <w:rPr>
          <w:rFonts w:ascii="Simplified Arabic" w:eastAsia="Times New Roman" w:hAnsi="Simplified Arabic" w:cs="Simplified Arabic"/>
          <w:color w:val="000000" w:themeColor="text1"/>
          <w:kern w:val="0"/>
          <w:sz w:val="28"/>
          <w:szCs w:val="28"/>
          <w14:ligatures w14:val="none"/>
        </w:rPr>
        <w:t>.</w:t>
      </w:r>
    </w:p>
    <w:p w14:paraId="510361FA" w14:textId="54B4209D"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أبعاد إدارة المخاطر التنظيمية</w:t>
      </w:r>
    </w:p>
    <w:p w14:paraId="09D29F7F"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تقوم إدارة المخاطر التنظيمية على أربعة أبعاد مترابطة ومتسلسلة تُشكّل دورة متكاملة ومستمرة، وهي</w:t>
      </w:r>
      <w:r w:rsidRPr="007273B0">
        <w:rPr>
          <w:rFonts w:ascii="Simplified Arabic" w:eastAsia="Times New Roman" w:hAnsi="Simplified Arabic" w:cs="Simplified Arabic"/>
          <w:b/>
          <w:bCs/>
          <w:color w:val="000000" w:themeColor="text1"/>
          <w:kern w:val="0"/>
          <w:sz w:val="28"/>
          <w:szCs w:val="28"/>
          <w14:ligatures w14:val="none"/>
        </w:rPr>
        <w:t>:</w:t>
      </w:r>
    </w:p>
    <w:p w14:paraId="703D7F49"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تحديد المخاطر</w:t>
      </w:r>
      <w:r w:rsidRPr="007273B0">
        <w:rPr>
          <w:rFonts w:ascii="Simplified Arabic" w:eastAsia="Times New Roman" w:hAnsi="Simplified Arabic" w:cs="Simplified Arabic"/>
          <w:color w:val="000000" w:themeColor="text1"/>
          <w:kern w:val="0"/>
          <w:sz w:val="28"/>
          <w:szCs w:val="28"/>
          <w14:ligatures w14:val="none"/>
        </w:rPr>
        <w:t xml:space="preserve"> (Risk Identification): </w:t>
      </w:r>
      <w:r w:rsidRPr="007273B0">
        <w:rPr>
          <w:rFonts w:ascii="Simplified Arabic" w:eastAsia="Times New Roman" w:hAnsi="Simplified Arabic" w:cs="Simplified Arabic"/>
          <w:color w:val="000000" w:themeColor="text1"/>
          <w:kern w:val="0"/>
          <w:sz w:val="28"/>
          <w:szCs w:val="28"/>
          <w:rtl/>
          <w14:ligatures w14:val="none"/>
        </w:rPr>
        <w:t xml:space="preserve">يُمثّل البُعد الأول والأساسي في منظومة إدارة المخاطر، ويُعرَّف بأنه العملية المنهجية التي يتم من خلالها التعرف على جميع المخاطر المحتملة التي قد تؤثر </w:t>
      </w:r>
      <w:r w:rsidRPr="007273B0">
        <w:rPr>
          <w:rFonts w:ascii="Simplified Arabic" w:eastAsia="Times New Roman" w:hAnsi="Simplified Arabic" w:cs="Simplified Arabic"/>
          <w:color w:val="000000" w:themeColor="text1"/>
          <w:kern w:val="0"/>
          <w:sz w:val="28"/>
          <w:szCs w:val="28"/>
          <w:rtl/>
          <w14:ligatures w14:val="none"/>
        </w:rPr>
        <w:lastRenderedPageBreak/>
        <w:t>سلباً على تحقيق أهداف المنظمة، سواء كانت مخاطر داخلية ناجمة عن العمليات والإجراءات والموارد البشرية، أو مخاطر خارجية مرتبطة بالبيئة التنظيمية والتشريعية والاقتصادية والبيئية. ويتضمن هذا البُعد استخدام أدوات متعددة كالعصف الذهني وقوائم المراجعة وتحليل السيناريوهات والاستفادة من الخبرات السابقة، بهدف إنشاء سجل شامل للمخاطر يُوثّق كل خطر محتمل ومصادره وخصائصه. وقد أكدت دراسة (البلوي وغيث، 2021) أن التحديد الدقيق للمخاطر يُعدّ نقطة الانطلاق الحقيقية لأي منظومة فعّالة لإدارة المخاطر المؤسسية</w:t>
      </w:r>
      <w:r w:rsidRPr="007273B0">
        <w:rPr>
          <w:rFonts w:ascii="Simplified Arabic" w:eastAsia="Times New Roman" w:hAnsi="Simplified Arabic" w:cs="Simplified Arabic"/>
          <w:color w:val="000000" w:themeColor="text1"/>
          <w:kern w:val="0"/>
          <w:sz w:val="28"/>
          <w:szCs w:val="28"/>
          <w14:ligatures w14:val="none"/>
        </w:rPr>
        <w:t>.</w:t>
      </w:r>
    </w:p>
    <w:p w14:paraId="0248FD8C"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تقييم المخاطر</w:t>
      </w:r>
      <w:r w:rsidRPr="007273B0">
        <w:rPr>
          <w:rFonts w:ascii="Simplified Arabic" w:eastAsia="Times New Roman" w:hAnsi="Simplified Arabic" w:cs="Simplified Arabic"/>
          <w:color w:val="000000" w:themeColor="text1"/>
          <w:kern w:val="0"/>
          <w:sz w:val="28"/>
          <w:szCs w:val="28"/>
          <w14:ligatures w14:val="none"/>
        </w:rPr>
        <w:t xml:space="preserve"> (Risk Assessment): </w:t>
      </w:r>
      <w:r w:rsidRPr="007273B0">
        <w:rPr>
          <w:rFonts w:ascii="Simplified Arabic" w:eastAsia="Times New Roman" w:hAnsi="Simplified Arabic" w:cs="Simplified Arabic"/>
          <w:color w:val="000000" w:themeColor="text1"/>
          <w:kern w:val="0"/>
          <w:sz w:val="28"/>
          <w:szCs w:val="28"/>
          <w:rtl/>
          <w14:ligatures w14:val="none"/>
        </w:rPr>
        <w:t>يُعرَّف بأنه العملية التحليلية التي يتم من خلالها تقدير احتمالية وقوع كل خطر من المخاطر المُحدَّدة وتقدير حجم تأثيره المحتمل على المنظمة، ومن ثم ترتيب المخاطر وفقاً لأولويتها. ويعتمد هذا البُعد على أساليب التحليل الكمي والنوعي ومصفوفات المخاطر وأدوات المحاكاة، بما يُمكّن المنظمة من تخصيص مواردها بكفاءة للتعامل مع المخاطر الأكثر خطورة وإلحاحاً. وقد أشارت دراسة (الطراونة والحايك، 2023) إلى أن استخدام أدوات تقييم الأداء كبطاقة الأداء المتوازن يُعزّز من فاعلية تقييم المخاطر من خلال توفير رؤية متعددة الأبعاد</w:t>
      </w:r>
      <w:r w:rsidRPr="007273B0">
        <w:rPr>
          <w:rFonts w:ascii="Simplified Arabic" w:eastAsia="Times New Roman" w:hAnsi="Simplified Arabic" w:cs="Simplified Arabic"/>
          <w:color w:val="000000" w:themeColor="text1"/>
          <w:kern w:val="0"/>
          <w:sz w:val="28"/>
          <w:szCs w:val="28"/>
          <w14:ligatures w14:val="none"/>
        </w:rPr>
        <w:t>.</w:t>
      </w:r>
    </w:p>
    <w:p w14:paraId="4533983C"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الاستجابة للمخاطر</w:t>
      </w:r>
      <w:r w:rsidRPr="007273B0">
        <w:rPr>
          <w:rFonts w:ascii="Simplified Arabic" w:eastAsia="Times New Roman" w:hAnsi="Simplified Arabic" w:cs="Simplified Arabic"/>
          <w:color w:val="000000" w:themeColor="text1"/>
          <w:kern w:val="0"/>
          <w:sz w:val="28"/>
          <w:szCs w:val="28"/>
          <w14:ligatures w14:val="none"/>
        </w:rPr>
        <w:t xml:space="preserve"> (Risk Response): </w:t>
      </w:r>
      <w:r w:rsidRPr="007273B0">
        <w:rPr>
          <w:rFonts w:ascii="Simplified Arabic" w:eastAsia="Times New Roman" w:hAnsi="Simplified Arabic" w:cs="Simplified Arabic"/>
          <w:color w:val="000000" w:themeColor="text1"/>
          <w:kern w:val="0"/>
          <w:sz w:val="28"/>
          <w:szCs w:val="28"/>
          <w:rtl/>
          <w14:ligatures w14:val="none"/>
        </w:rPr>
        <w:t>يُعرَّف بأنه مجموعة الاستراتيجيات والإجراءات التي تتخذها المنظمة للتعامل مع المخاطر المُقيَّمة بهدف تقليل احتمالية وقوعها أو تخفيف أثرها أو نقلها إلى أطراف أخرى أو قبولها وفقاً لطبيعتها ومستوى خطورتها. وتتضمن استراتيجيات الاستجابة أربعة خيارات رئيسية هي: تجنب الخطر، وتخفيف الخطر، ونقل الخطر، وقبول الخطر، ولكل استراتيجية ظروفها ومبرراتها التي تُحدَّد في ضوء نتائج التقييم وشهية المنظمة للمخاطر. وقد أوضحت دراسة (حمدان والبشابشة، 2023) أن فاعلية الاستجابة للمخاطر تتعزز حين تتكامل مع القدرات الجوهرية للمنظمة وتُمارَس ضمن إطار مؤسسي داعم</w:t>
      </w:r>
      <w:r w:rsidRPr="007273B0">
        <w:rPr>
          <w:rFonts w:ascii="Simplified Arabic" w:eastAsia="Times New Roman" w:hAnsi="Simplified Arabic" w:cs="Simplified Arabic"/>
          <w:color w:val="000000" w:themeColor="text1"/>
          <w:kern w:val="0"/>
          <w:sz w:val="28"/>
          <w:szCs w:val="28"/>
          <w14:ligatures w14:val="none"/>
        </w:rPr>
        <w:t>.</w:t>
      </w:r>
    </w:p>
    <w:p w14:paraId="67640E5D"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مراقبة المخاطر</w:t>
      </w:r>
      <w:r w:rsidRPr="007273B0">
        <w:rPr>
          <w:rFonts w:ascii="Simplified Arabic" w:eastAsia="Times New Roman" w:hAnsi="Simplified Arabic" w:cs="Simplified Arabic"/>
          <w:color w:val="000000" w:themeColor="text1"/>
          <w:kern w:val="0"/>
          <w:sz w:val="28"/>
          <w:szCs w:val="28"/>
          <w14:ligatures w14:val="none"/>
        </w:rPr>
        <w:t xml:space="preserve"> (Risk Monitoring): </w:t>
      </w:r>
      <w:r w:rsidRPr="007273B0">
        <w:rPr>
          <w:rFonts w:ascii="Simplified Arabic" w:eastAsia="Times New Roman" w:hAnsi="Simplified Arabic" w:cs="Simplified Arabic"/>
          <w:color w:val="000000" w:themeColor="text1"/>
          <w:kern w:val="0"/>
          <w:sz w:val="28"/>
          <w:szCs w:val="28"/>
          <w:rtl/>
          <w14:ligatures w14:val="none"/>
        </w:rPr>
        <w:t xml:space="preserve">يُعرَّف بأنه العملية المستمرة التي يتم من خلالها متابعة المخاطر المُحدَّدة ورصد المخاطر الجديدة المحتملة، ومراجعة فاعلية استراتيجيات الاستجابة وتحديثها، وإعداد التقارير الدورية لأصحاب المصلحة والإدارة العليا بشأن حالة المخاطر. ويتضمن هذا البُعد إنشاء أنظمة إنذار مبكر ومؤشرات أداء رئيسية للمخاطر وآليات تصعيد واضحة، بما يضمن استمرارية فاعلية منظومة إدارة المخاطر واستجابتها للتغيرات. وقد أكدت دراسة </w:t>
      </w:r>
      <w:r w:rsidRPr="007273B0">
        <w:rPr>
          <w:rFonts w:ascii="Simplified Arabic" w:eastAsia="Times New Roman" w:hAnsi="Simplified Arabic" w:cs="Simplified Arabic"/>
          <w:color w:val="000000" w:themeColor="text1"/>
          <w:kern w:val="0"/>
          <w:sz w:val="28"/>
          <w:szCs w:val="28"/>
          <w14:ligatures w14:val="none"/>
        </w:rPr>
        <w:t xml:space="preserve">(Adeniran et al., 2024) </w:t>
      </w:r>
      <w:r w:rsidRPr="007273B0">
        <w:rPr>
          <w:rFonts w:ascii="Simplified Arabic" w:eastAsia="Times New Roman" w:hAnsi="Simplified Arabic" w:cs="Simplified Arabic"/>
          <w:color w:val="000000" w:themeColor="text1"/>
          <w:kern w:val="0"/>
          <w:sz w:val="28"/>
          <w:szCs w:val="28"/>
          <w:rtl/>
          <w14:ligatures w14:val="none"/>
        </w:rPr>
        <w:t xml:space="preserve">أن المراقبة </w:t>
      </w:r>
      <w:r w:rsidRPr="007273B0">
        <w:rPr>
          <w:rFonts w:ascii="Simplified Arabic" w:eastAsia="Times New Roman" w:hAnsi="Simplified Arabic" w:cs="Simplified Arabic"/>
          <w:color w:val="000000" w:themeColor="text1"/>
          <w:kern w:val="0"/>
          <w:sz w:val="28"/>
          <w:szCs w:val="28"/>
          <w:rtl/>
          <w14:ligatures w14:val="none"/>
        </w:rPr>
        <w:lastRenderedPageBreak/>
        <w:t>المستمرة وإعداد التقارير المنتظمة يُعدّان عنصرين جوهريين في الحفاظ على الشفافية وتمكين الإدارة من اتخاذ قرارات استباقية</w:t>
      </w:r>
      <w:r w:rsidRPr="007273B0">
        <w:rPr>
          <w:rFonts w:ascii="Simplified Arabic" w:eastAsia="Times New Roman" w:hAnsi="Simplified Arabic" w:cs="Simplified Arabic"/>
          <w:color w:val="000000" w:themeColor="text1"/>
          <w:kern w:val="0"/>
          <w:sz w:val="28"/>
          <w:szCs w:val="28"/>
          <w14:ligatures w14:val="none"/>
        </w:rPr>
        <w:t>.</w:t>
      </w:r>
    </w:p>
    <w:p w14:paraId="6D529B02"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ثانياً: الالتزام بمعايير الاستدامة العقارية (المتغير التابع)</w:t>
      </w:r>
    </w:p>
    <w:p w14:paraId="15118AC6"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مفهوم الاستدامة العقارية</w:t>
      </w:r>
    </w:p>
    <w:p w14:paraId="5D0588E6"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يُعدّ مفهوم الاستدامة العقارية من المفاهيم المتطورة التي نشأت من تقاطع مبادئ التنمية المستدامة مع ممارسات صناعة العقارات والتشييد. ويُشير هذا المفهوم إلى تبني المشاريع والمنظمات العقارية لمنهج شامل يُوازن بين تحقيق العوائد الاقتصادية والحفاظ على البيئة الطبيعية وتعزيز الرفاهية الاجتماعية وتطبيق مبادئ الحوكمة الرشيدة عبر دورة حياة المشروع العقاري بأكملها. وقد عرّف</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 </w:t>
      </w:r>
      <w:r w:rsidRPr="007273B0">
        <w:rPr>
          <w:rFonts w:ascii="Simplified Arabic" w:eastAsia="Times New Roman" w:hAnsi="Simplified Arabic" w:cs="Simplified Arabic"/>
          <w:color w:val="000000" w:themeColor="text1"/>
          <w:kern w:val="0"/>
          <w:sz w:val="28"/>
          <w:szCs w:val="28"/>
          <w:rtl/>
          <w14:ligatures w14:val="none"/>
        </w:rPr>
        <w:t xml:space="preserve">الاستدامة في صناعة العقارات بأنها النهج الذي يسعى إلى تقليل الأثر البيئي السلبي لعمليات البناء والتشغيل مع تعظيم القيمة الاقتصادية والاجتماعية للمشاريع العقارية على المدى الطويل. كما أشار </w:t>
      </w:r>
      <w:r w:rsidRPr="007273B0">
        <w:rPr>
          <w:rFonts w:ascii="Simplified Arabic" w:eastAsia="Times New Roman" w:hAnsi="Simplified Arabic" w:cs="Simplified Arabic"/>
          <w:color w:val="000000" w:themeColor="text1"/>
          <w:kern w:val="0"/>
          <w:sz w:val="28"/>
          <w:szCs w:val="28"/>
          <w14:ligatures w14:val="none"/>
        </w:rPr>
        <w:t xml:space="preserve">(Brodowicz, 2025) </w:t>
      </w:r>
      <w:r w:rsidRPr="007273B0">
        <w:rPr>
          <w:rFonts w:ascii="Simplified Arabic" w:eastAsia="Times New Roman" w:hAnsi="Simplified Arabic" w:cs="Simplified Arabic"/>
          <w:color w:val="000000" w:themeColor="text1"/>
          <w:kern w:val="0"/>
          <w:sz w:val="28"/>
          <w:szCs w:val="28"/>
          <w:rtl/>
          <w14:ligatures w14:val="none"/>
        </w:rPr>
        <w:t>إلى أن الاستثمار العقاري المسؤول يتجاوز مجرد تحقيق الأداء المالي ليشمل تعزيز الحماية البيئية والمسؤولية الاجتماعية وفقاً لمعايير</w:t>
      </w:r>
      <w:r w:rsidRPr="007273B0">
        <w:rPr>
          <w:rFonts w:ascii="Simplified Arabic" w:eastAsia="Times New Roman" w:hAnsi="Simplified Arabic" w:cs="Simplified Arabic"/>
          <w:color w:val="000000" w:themeColor="text1"/>
          <w:kern w:val="0"/>
          <w:sz w:val="28"/>
          <w:szCs w:val="28"/>
          <w14:ligatures w14:val="none"/>
        </w:rPr>
        <w:t xml:space="preserve"> ESG.</w:t>
      </w:r>
    </w:p>
    <w:p w14:paraId="3861B785"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مفهوم الالتزام بمعايير الاستدامة العقارية</w:t>
      </w:r>
    </w:p>
    <w:p w14:paraId="17CA4C99"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يُعرَّف الالتزام بمعايير الاستدامة العقارية إجرائياً في هذه الدراسة بأنه الدرجة التي تتقيّد بها المشاريع العقارية ضمن رؤية 2030 بالمتطلبات والمعايير والمواصفات البيئية والاجتماعية والاقتصادية ومعايير الحوكمة المنصوص عليها في الأطر التنظيمية الوطنية والدولية ذات الصلة بالاستدامة العقارية، ويشمل ذلك الالتزام بمعايير البناء الأخضر وكفاءة الطاقة والحد من الانبعاثات والمسؤولية المجتمعية والشفافية والإفصاح. وقد أوضحت دراسة</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أن الالتزام بمعايير الاستدامة في قطاع العقارات لم يعد خياراً اختيارياً بل أصبح مدفوعاً بالمتطلبات التنظيمية وتوقعات أصحاب المصلحة والنتائج المالية الإيجابية المترتبة عليه، كما أكدت دراسة (الدباغ وصبيح، 2023) أن الالتزام بمعايير الاستدامة يستلزم تكييف الأنظمة المحاسبية والإدارية وتوسيعها لتغطي أبعاد الاستدامة كافة وليس الأبعاد المالية فحسب. ومن جهته، أشار (القيسي والحسيناوي والسليماوي، 2024) إلى أن تطبيق معايير الاستدامة في المشاريع الاستثمارية يتطلب تكاملاً بين القطاعين العام والخاص وفق معطيات خطة أهداف التنمية المستدامة 2015-2030</w:t>
      </w:r>
      <w:r w:rsidRPr="007273B0">
        <w:rPr>
          <w:rFonts w:ascii="Simplified Arabic" w:eastAsia="Times New Roman" w:hAnsi="Simplified Arabic" w:cs="Simplified Arabic"/>
          <w:color w:val="000000" w:themeColor="text1"/>
          <w:kern w:val="0"/>
          <w:sz w:val="28"/>
          <w:szCs w:val="28"/>
          <w14:ligatures w14:val="none"/>
        </w:rPr>
        <w:t>.</w:t>
      </w:r>
    </w:p>
    <w:p w14:paraId="00B7ED82"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lastRenderedPageBreak/>
        <w:t>ثالثاً: العلاقة بين إدارة المخاطر التنظيمية والالتزام بمعايير الاستدامة العقارية</w:t>
      </w:r>
    </w:p>
    <w:p w14:paraId="2B1F44EE"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تتأسس العلاقة النظرية بين إدارة المخاطر التنظيمية والالتزام بمعايير الاستدامة العقارية على عدة نظريات إدارية تُوفّر الإطار التفسيري لهذه العلاقة. فمن منظور نظرية أصحاب المصلحة </w:t>
      </w:r>
      <w:r w:rsidRPr="007273B0">
        <w:rPr>
          <w:rFonts w:ascii="Simplified Arabic" w:eastAsia="Times New Roman" w:hAnsi="Simplified Arabic" w:cs="Simplified Arabic"/>
          <w:color w:val="000000" w:themeColor="text1"/>
          <w:kern w:val="0"/>
          <w:sz w:val="28"/>
          <w:szCs w:val="28"/>
          <w14:ligatures w14:val="none"/>
        </w:rPr>
        <w:t>(Stakeholder Theory)</w:t>
      </w:r>
      <w:r w:rsidRPr="007273B0">
        <w:rPr>
          <w:rFonts w:ascii="Simplified Arabic" w:eastAsia="Times New Roman" w:hAnsi="Simplified Arabic" w:cs="Simplified Arabic"/>
          <w:color w:val="000000" w:themeColor="text1"/>
          <w:kern w:val="0"/>
          <w:sz w:val="28"/>
          <w:szCs w:val="28"/>
          <w:rtl/>
          <w14:ligatures w14:val="none"/>
        </w:rPr>
        <w:t>، فإن المنظمات مطالبة بالاستجابة لتوقعات مختلف أصحاب المصلحة بما فيها التوقعات البيئية والاجتماعية، وأن إدارة المخاطر التنظيمية تُمثّل الآلية التي تُمكّن المنظمة من تحديد هذه التوقعات والمخاطر المرتبطة بعدم تلبيتها والاستجابة لها بفاعلية. كما تُوفّر نظرية إدارة المخاطر المؤسسية</w:t>
      </w:r>
      <w:r w:rsidRPr="007273B0">
        <w:rPr>
          <w:rFonts w:ascii="Simplified Arabic" w:eastAsia="Times New Roman" w:hAnsi="Simplified Arabic" w:cs="Simplified Arabic"/>
          <w:color w:val="000000" w:themeColor="text1"/>
          <w:kern w:val="0"/>
          <w:sz w:val="28"/>
          <w:szCs w:val="28"/>
          <w14:ligatures w14:val="none"/>
        </w:rPr>
        <w:t xml:space="preserve"> (Enterprise Risk Management - ERM) </w:t>
      </w:r>
      <w:r w:rsidRPr="007273B0">
        <w:rPr>
          <w:rFonts w:ascii="Simplified Arabic" w:eastAsia="Times New Roman" w:hAnsi="Simplified Arabic" w:cs="Simplified Arabic"/>
          <w:color w:val="000000" w:themeColor="text1"/>
          <w:kern w:val="0"/>
          <w:sz w:val="28"/>
          <w:szCs w:val="28"/>
          <w:rtl/>
          <w14:ligatures w14:val="none"/>
        </w:rPr>
        <w:t>وإطار</w:t>
      </w:r>
      <w:r w:rsidRPr="007273B0">
        <w:rPr>
          <w:rFonts w:ascii="Simplified Arabic" w:eastAsia="Times New Roman" w:hAnsi="Simplified Arabic" w:cs="Simplified Arabic"/>
          <w:color w:val="000000" w:themeColor="text1"/>
          <w:kern w:val="0"/>
          <w:sz w:val="28"/>
          <w:szCs w:val="28"/>
          <w14:ligatures w14:val="none"/>
        </w:rPr>
        <w:t xml:space="preserve"> COSO </w:t>
      </w:r>
      <w:r w:rsidRPr="007273B0">
        <w:rPr>
          <w:rFonts w:ascii="Simplified Arabic" w:eastAsia="Times New Roman" w:hAnsi="Simplified Arabic" w:cs="Simplified Arabic"/>
          <w:color w:val="000000" w:themeColor="text1"/>
          <w:kern w:val="0"/>
          <w:sz w:val="28"/>
          <w:szCs w:val="28"/>
          <w:rtl/>
          <w14:ligatures w14:val="none"/>
        </w:rPr>
        <w:t>الأساس المنهجي لفهم كيفية تأثير الأبعاد الأربعة لإدارة المخاطر التنظيمية في تعزيز قدرة المنظمة على الوفاء بالتزاماتها تجاه معايير الاستدامة. وقد أكدت دراسة</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أن الاستدامة أصبحت فعلياً فئة من فئات إدارة المخاطر في القطاع العقاري، بينما أوضحت دراسة (ندا ومنصور وسعودي وعبدالرحيم، 2025</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أن ضعف إدارة المخاطر المؤسسية ينعكس مباشرة على مستوى تطبيق معايير الاستدامة المؤسسية</w:t>
      </w:r>
      <w:r w:rsidRPr="007273B0">
        <w:rPr>
          <w:rFonts w:ascii="Simplified Arabic" w:eastAsia="Times New Roman" w:hAnsi="Simplified Arabic" w:cs="Simplified Arabic"/>
          <w:color w:val="000000" w:themeColor="text1"/>
          <w:kern w:val="0"/>
          <w:sz w:val="28"/>
          <w:szCs w:val="28"/>
          <w14:ligatures w14:val="none"/>
        </w:rPr>
        <w:t>.</w:t>
      </w:r>
    </w:p>
    <w:p w14:paraId="5C727ABF" w14:textId="77777777" w:rsidR="00682B9E" w:rsidRPr="007273B0" w:rsidRDefault="00682B9E"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273B0">
        <w:rPr>
          <w:rFonts w:ascii="Simplified Arabic" w:eastAsia="Times New Roman" w:hAnsi="Simplified Arabic" w:cs="Simplified Arabic"/>
          <w:b/>
          <w:bCs/>
          <w:color w:val="000000" w:themeColor="text1"/>
          <w:kern w:val="0"/>
          <w:sz w:val="32"/>
          <w:szCs w:val="32"/>
          <w:rtl/>
          <w14:ligatures w14:val="none"/>
        </w:rPr>
        <w:t>رابعاً: مصطلحات الدراسة</w:t>
      </w:r>
    </w:p>
    <w:p w14:paraId="2EDBE6BA"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إدارة المخاطر التنظيمية</w:t>
      </w:r>
      <w:r w:rsidRPr="007273B0">
        <w:rPr>
          <w:rFonts w:ascii="Simplified Arabic" w:eastAsia="Times New Roman" w:hAnsi="Simplified Arabic" w:cs="Simplified Arabic"/>
          <w:color w:val="000000" w:themeColor="text1"/>
          <w:kern w:val="0"/>
          <w:sz w:val="28"/>
          <w:szCs w:val="28"/>
          <w14:ligatures w14:val="none"/>
        </w:rPr>
        <w:t xml:space="preserve"> (Organizational Risk Management): </w:t>
      </w:r>
      <w:r w:rsidRPr="007273B0">
        <w:rPr>
          <w:rFonts w:ascii="Simplified Arabic" w:eastAsia="Times New Roman" w:hAnsi="Simplified Arabic" w:cs="Simplified Arabic"/>
          <w:color w:val="000000" w:themeColor="text1"/>
          <w:kern w:val="0"/>
          <w:sz w:val="28"/>
          <w:szCs w:val="28"/>
          <w:rtl/>
          <w14:ligatures w14:val="none"/>
        </w:rPr>
        <w:t>منظومة متكاملة من العمليات المنهجية التي تتبناها المنظمة لتحديد المخاطر المحتملة وتقييمها والاستجابة لها ومراقبتها بشكل مستمر بهدف تقليل تأثيراتها السلبية على تحقيق الأهداف الاستراتيجية والتشغيلية، وتُقاس في هذه الدراسة من خلال أربعة أبعاد هي: تحديد المخاطر، وتقييم المخاطر، والاستجابة للمخاطر، ومراقبة المخاطر</w:t>
      </w:r>
      <w:r w:rsidRPr="007273B0">
        <w:rPr>
          <w:rFonts w:ascii="Simplified Arabic" w:eastAsia="Times New Roman" w:hAnsi="Simplified Arabic" w:cs="Simplified Arabic"/>
          <w:color w:val="000000" w:themeColor="text1"/>
          <w:kern w:val="0"/>
          <w:sz w:val="28"/>
          <w:szCs w:val="28"/>
          <w14:ligatures w14:val="none"/>
        </w:rPr>
        <w:t>.</w:t>
      </w:r>
    </w:p>
    <w:p w14:paraId="452F3248"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معايير الاستدامة العقارية</w:t>
      </w:r>
      <w:r w:rsidRPr="007273B0">
        <w:rPr>
          <w:rFonts w:ascii="Simplified Arabic" w:eastAsia="Times New Roman" w:hAnsi="Simplified Arabic" w:cs="Simplified Arabic"/>
          <w:color w:val="000000" w:themeColor="text1"/>
          <w:kern w:val="0"/>
          <w:sz w:val="28"/>
          <w:szCs w:val="28"/>
          <w14:ligatures w14:val="none"/>
        </w:rPr>
        <w:t xml:space="preserve"> (Real Estate Sustainability Standards): </w:t>
      </w:r>
      <w:r w:rsidRPr="007273B0">
        <w:rPr>
          <w:rFonts w:ascii="Simplified Arabic" w:eastAsia="Times New Roman" w:hAnsi="Simplified Arabic" w:cs="Simplified Arabic"/>
          <w:color w:val="000000" w:themeColor="text1"/>
          <w:kern w:val="0"/>
          <w:sz w:val="28"/>
          <w:szCs w:val="28"/>
          <w:rtl/>
          <w14:ligatures w14:val="none"/>
        </w:rPr>
        <w:t>مجموعة المعايير والمواصفات والمتطلبات البيئية والاجتماعية والاقتصادية ومعايير الحوكمة التي ينبغي أن تلتزم بها المشاريع العقارية لتحقيق التوازن بين الأداء الاقتصادي والمسؤولية البيئية والاجتماعية عبر دورة حياة المشروع</w:t>
      </w:r>
      <w:r w:rsidRPr="007273B0">
        <w:rPr>
          <w:rFonts w:ascii="Simplified Arabic" w:eastAsia="Times New Roman" w:hAnsi="Simplified Arabic" w:cs="Simplified Arabic"/>
          <w:color w:val="000000" w:themeColor="text1"/>
          <w:kern w:val="0"/>
          <w:sz w:val="28"/>
          <w:szCs w:val="28"/>
          <w14:ligatures w14:val="none"/>
        </w:rPr>
        <w:t>.</w:t>
      </w:r>
    </w:p>
    <w:p w14:paraId="3EA8BD49"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الالتزام بمعايير الاستدامة العقارية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الدرجة التي تتقيّد بها المشاريع العقارية بالمتطلبات والمعايير البيئية والاجتماعية والاقتصادية ومعايير الحوكمة المنصوص عليها في الأطر التنظيمية الوطنية والدولية، وتُقاس في هذه الدراسة من خلال استجابات أفراد العينة على (10) فقرات وفقاً لمقياس ليكرت الخماسي</w:t>
      </w:r>
      <w:r w:rsidRPr="007273B0">
        <w:rPr>
          <w:rFonts w:ascii="Simplified Arabic" w:eastAsia="Times New Roman" w:hAnsi="Simplified Arabic" w:cs="Simplified Arabic"/>
          <w:color w:val="000000" w:themeColor="text1"/>
          <w:kern w:val="0"/>
          <w:sz w:val="28"/>
          <w:szCs w:val="28"/>
          <w14:ligatures w14:val="none"/>
        </w:rPr>
        <w:t>.</w:t>
      </w:r>
    </w:p>
    <w:p w14:paraId="6A727E25"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مشاريع رؤية 2030 العقارية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المشاريع العقارية التنموية الكبرى التي أُطلقت في إطار رؤية المملكة العربية السعودية 2030 بهدف تحقيق التنويع الاقتصادي وتعزيز جودة الحياة ورفع نسبة تملّك المساكن، وتشمل في هذه الدراسة مشاريع نيوم وروشن والبحر الأحمر الدولي والقدية والشركة الوطنية للإسكان</w:t>
      </w:r>
      <w:r w:rsidRPr="007273B0">
        <w:rPr>
          <w:rFonts w:ascii="Simplified Arabic" w:eastAsia="Times New Roman" w:hAnsi="Simplified Arabic" w:cs="Simplified Arabic"/>
          <w:color w:val="000000" w:themeColor="text1"/>
          <w:kern w:val="0"/>
          <w:sz w:val="28"/>
          <w:szCs w:val="28"/>
          <w14:ligatures w14:val="none"/>
        </w:rPr>
        <w:t>.</w:t>
      </w:r>
    </w:p>
    <w:p w14:paraId="218F553A" w14:textId="2AD8BA70" w:rsidR="004713E0"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6"/>
      <w:bookmarkStart w:id="21" w:name="_Toc233580396"/>
      <w:bookmarkEnd w:id="17"/>
      <w:bookmarkEnd w:id="18"/>
      <w:r w:rsidRPr="007273B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1"/>
    </w:p>
    <w:p w14:paraId="6944605E"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بوصفه المنهج الأكثر ملاءمة لطبيعة الدراسة وأهدافها، إذ يُمكّن الباحث من وصف الظاهرة محل الدراسة وصفاً دقيقاً وتحليل العلاقات بين متغيراتها تحليلاً كمياً وكيفياً. وسيتم توظيف هذا المنهج في شقّين متكاملين: الشق النظري الذي سيعتمد على مراجعة الأدبيات والدراسات السابقة والكتب والدوريات العلمية المحكّمة والتقارير الرسمية ذات الصلة بإدارة المخاطر التنظيمية ومعايير الاستدامة العقارية، بهدف بناء الإطار النظري والمفاهيمي للدراسة وتطوير نموذجها البحثي. أما الشق الميداني فسيعتمد على تصميم استبانة محكّمة وتوزيعها على أفراد عينة الدراسة لجمع البيانات الأولية اللازمة لاختبار الفرضيات والإجابة عن تساؤلات الدراسة</w:t>
      </w:r>
      <w:r w:rsidRPr="007273B0">
        <w:rPr>
          <w:rFonts w:ascii="Simplified Arabic" w:eastAsia="Times New Roman" w:hAnsi="Simplified Arabic" w:cs="Simplified Arabic"/>
          <w:color w:val="000000" w:themeColor="text1"/>
          <w:kern w:val="0"/>
          <w:sz w:val="28"/>
          <w:szCs w:val="28"/>
          <w14:ligatures w14:val="none"/>
        </w:rPr>
        <w:t>.</w:t>
      </w:r>
    </w:p>
    <w:p w14:paraId="7F31EC15" w14:textId="783A8460"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وسيتم تحليل البيانات المُجمّعة باستخدام الأساليب الإحصائية المناسبة من خلال برنامج الحزمة الإحصائية للعلوم الاجتماعية</w:t>
      </w:r>
      <w:r w:rsidRPr="007273B0">
        <w:rPr>
          <w:rFonts w:ascii="Simplified Arabic" w:eastAsia="Times New Roman" w:hAnsi="Simplified Arabic" w:cs="Simplified Arabic"/>
          <w:color w:val="000000" w:themeColor="text1"/>
          <w:kern w:val="0"/>
          <w:sz w:val="28"/>
          <w:szCs w:val="28"/>
          <w14:ligatures w14:val="none"/>
        </w:rPr>
        <w:t xml:space="preserve"> (SPSS) </w:t>
      </w:r>
      <w:r w:rsidRPr="007273B0">
        <w:rPr>
          <w:rFonts w:ascii="Simplified Arabic" w:eastAsia="Times New Roman" w:hAnsi="Simplified Arabic" w:cs="Simplified Arabic"/>
          <w:color w:val="000000" w:themeColor="text1"/>
          <w:kern w:val="0"/>
          <w:sz w:val="28"/>
          <w:szCs w:val="28"/>
          <w:rtl/>
          <w14:ligatures w14:val="none"/>
        </w:rPr>
        <w:t>وبرنامج</w:t>
      </w:r>
      <w:r w:rsidRPr="007273B0">
        <w:rPr>
          <w:rFonts w:ascii="Simplified Arabic" w:eastAsia="Times New Roman" w:hAnsi="Simplified Arabic" w:cs="Simplified Arabic"/>
          <w:color w:val="000000" w:themeColor="text1"/>
          <w:kern w:val="0"/>
          <w:sz w:val="28"/>
          <w:szCs w:val="28"/>
          <w14:ligatures w14:val="none"/>
        </w:rPr>
        <w:t xml:space="preserve"> (AMOS) </w:t>
      </w:r>
      <w:r w:rsidRPr="007273B0">
        <w:rPr>
          <w:rFonts w:ascii="Simplified Arabic" w:eastAsia="Times New Roman" w:hAnsi="Simplified Arabic" w:cs="Simplified Arabic"/>
          <w:color w:val="000000" w:themeColor="text1"/>
          <w:kern w:val="0"/>
          <w:sz w:val="28"/>
          <w:szCs w:val="28"/>
          <w:rtl/>
          <w14:ligatures w14:val="none"/>
        </w:rPr>
        <w:t xml:space="preserve">للنمذجة بالمعادلات البنائية، وذلك للتحقق من صدق أداة الدراسة وثباتها، واختبار العلاقات السببية بين المتغير المستقل (إدارة المخاطر التنظيمية) بأبعاده الأربعة والمتغير التابع (الالتزام بمعايير الاستدامة العقارية)، ومن ثم التوصل إلى نتائج علمية دقيقة تُمكّن الباحث من تقديم توصيات عملية قابلة للتطبيق في مشاريع رؤية </w:t>
      </w:r>
      <w:r w:rsidRPr="007273B0">
        <w:rPr>
          <w:rFonts w:ascii="Simplified Arabic" w:eastAsia="Times New Roman" w:hAnsi="Simplified Arabic" w:cs="Simplified Arabic"/>
          <w:color w:val="000000" w:themeColor="text1"/>
          <w:kern w:val="0"/>
          <w:sz w:val="28"/>
          <w:szCs w:val="28"/>
          <w14:ligatures w14:val="none"/>
        </w:rPr>
        <w:t xml:space="preserve">2030 </w:t>
      </w:r>
      <w:r w:rsidRPr="007273B0">
        <w:rPr>
          <w:rFonts w:ascii="Simplified Arabic" w:eastAsia="Times New Roman" w:hAnsi="Simplified Arabic" w:cs="Simplified Arabic"/>
          <w:color w:val="000000" w:themeColor="text1"/>
          <w:kern w:val="0"/>
          <w:sz w:val="28"/>
          <w:szCs w:val="28"/>
          <w:rtl/>
          <w14:ligatures w14:val="none"/>
        </w:rPr>
        <w:t>العقارية</w:t>
      </w:r>
      <w:r w:rsidRPr="007273B0">
        <w:rPr>
          <w:rFonts w:ascii="Simplified Arabic" w:eastAsia="Times New Roman" w:hAnsi="Simplified Arabic" w:cs="Simplified Arabic"/>
          <w:color w:val="000000" w:themeColor="text1"/>
          <w:kern w:val="0"/>
          <w:sz w:val="28"/>
          <w:szCs w:val="28"/>
          <w14:ligatures w14:val="none"/>
        </w:rPr>
        <w:t>.</w:t>
      </w:r>
    </w:p>
    <w:p w14:paraId="4C9FB159" w14:textId="3337B919" w:rsidR="004713E0"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580397"/>
      <w:r w:rsidRPr="007273B0">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22"/>
    </w:p>
    <w:p w14:paraId="5AF74F73"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العليا والوسطى والإشرافية في الشركات والهيئات العاملة في مشاريع رؤية 2030 العقارية الكبرى بالمملكة العربية السعودية، والتي تشمل شركة نيوم</w:t>
      </w:r>
      <w:r w:rsidRPr="007273B0">
        <w:rPr>
          <w:rFonts w:ascii="Simplified Arabic" w:eastAsia="Times New Roman" w:hAnsi="Simplified Arabic" w:cs="Simplified Arabic"/>
          <w:color w:val="000000" w:themeColor="text1"/>
          <w:kern w:val="0"/>
          <w:sz w:val="28"/>
          <w:szCs w:val="28"/>
          <w14:ligatures w14:val="none"/>
        </w:rPr>
        <w:t xml:space="preserve"> (NEOM)</w:t>
      </w:r>
      <w:r w:rsidRPr="007273B0">
        <w:rPr>
          <w:rFonts w:ascii="Simplified Arabic" w:eastAsia="Times New Roman" w:hAnsi="Simplified Arabic" w:cs="Simplified Arabic"/>
          <w:color w:val="000000" w:themeColor="text1"/>
          <w:kern w:val="0"/>
          <w:sz w:val="28"/>
          <w:szCs w:val="28"/>
          <w:rtl/>
          <w14:ligatures w14:val="none"/>
        </w:rPr>
        <w:t>، وشركة روشن العقارية</w:t>
      </w:r>
      <w:r w:rsidRPr="007273B0">
        <w:rPr>
          <w:rFonts w:ascii="Simplified Arabic" w:eastAsia="Times New Roman" w:hAnsi="Simplified Arabic" w:cs="Simplified Arabic"/>
          <w:color w:val="000000" w:themeColor="text1"/>
          <w:kern w:val="0"/>
          <w:sz w:val="28"/>
          <w:szCs w:val="28"/>
          <w14:ligatures w14:val="none"/>
        </w:rPr>
        <w:t xml:space="preserve"> (ROSHN)</w:t>
      </w:r>
      <w:r w:rsidRPr="007273B0">
        <w:rPr>
          <w:rFonts w:ascii="Simplified Arabic" w:eastAsia="Times New Roman" w:hAnsi="Simplified Arabic" w:cs="Simplified Arabic"/>
          <w:color w:val="000000" w:themeColor="text1"/>
          <w:kern w:val="0"/>
          <w:sz w:val="28"/>
          <w:szCs w:val="28"/>
          <w:rtl/>
          <w14:ligatures w14:val="none"/>
        </w:rPr>
        <w:t>، ومشروع البحر الأحمر الدولي</w:t>
      </w:r>
      <w:r w:rsidRPr="007273B0">
        <w:rPr>
          <w:rFonts w:ascii="Simplified Arabic" w:eastAsia="Times New Roman" w:hAnsi="Simplified Arabic" w:cs="Simplified Arabic"/>
          <w:color w:val="000000" w:themeColor="text1"/>
          <w:kern w:val="0"/>
          <w:sz w:val="28"/>
          <w:szCs w:val="28"/>
          <w14:ligatures w14:val="none"/>
        </w:rPr>
        <w:t xml:space="preserve"> (Red Sea Global)</w:t>
      </w:r>
      <w:r w:rsidRPr="007273B0">
        <w:rPr>
          <w:rFonts w:ascii="Simplified Arabic" w:eastAsia="Times New Roman" w:hAnsi="Simplified Arabic" w:cs="Simplified Arabic"/>
          <w:color w:val="000000" w:themeColor="text1"/>
          <w:kern w:val="0"/>
          <w:sz w:val="28"/>
          <w:szCs w:val="28"/>
          <w:rtl/>
          <w14:ligatures w14:val="none"/>
        </w:rPr>
        <w:t>، وشركة القدية للاستثمار</w:t>
      </w:r>
      <w:r w:rsidRPr="007273B0">
        <w:rPr>
          <w:rFonts w:ascii="Simplified Arabic" w:eastAsia="Times New Roman" w:hAnsi="Simplified Arabic" w:cs="Simplified Arabic"/>
          <w:color w:val="000000" w:themeColor="text1"/>
          <w:kern w:val="0"/>
          <w:sz w:val="28"/>
          <w:szCs w:val="28"/>
          <w14:ligatures w14:val="none"/>
        </w:rPr>
        <w:t xml:space="preserve"> (Qiddiya)</w:t>
      </w:r>
      <w:r w:rsidRPr="007273B0">
        <w:rPr>
          <w:rFonts w:ascii="Simplified Arabic" w:eastAsia="Times New Roman" w:hAnsi="Simplified Arabic" w:cs="Simplified Arabic"/>
          <w:color w:val="000000" w:themeColor="text1"/>
          <w:kern w:val="0"/>
          <w:sz w:val="28"/>
          <w:szCs w:val="28"/>
          <w:rtl/>
          <w14:ligatures w14:val="none"/>
        </w:rPr>
        <w:t>، والشركة الوطنية للإسكان</w:t>
      </w:r>
      <w:r w:rsidRPr="007273B0">
        <w:rPr>
          <w:rFonts w:ascii="Simplified Arabic" w:eastAsia="Times New Roman" w:hAnsi="Simplified Arabic" w:cs="Simplified Arabic"/>
          <w:color w:val="000000" w:themeColor="text1"/>
          <w:kern w:val="0"/>
          <w:sz w:val="28"/>
          <w:szCs w:val="28"/>
          <w14:ligatures w14:val="none"/>
        </w:rPr>
        <w:t xml:space="preserve"> (NHC)</w:t>
      </w:r>
      <w:r w:rsidRPr="007273B0">
        <w:rPr>
          <w:rFonts w:ascii="Simplified Arabic" w:eastAsia="Times New Roman" w:hAnsi="Simplified Arabic" w:cs="Simplified Arabic"/>
          <w:color w:val="000000" w:themeColor="text1"/>
          <w:kern w:val="0"/>
          <w:sz w:val="28"/>
          <w:szCs w:val="28"/>
          <w:rtl/>
          <w14:ligatures w14:val="none"/>
        </w:rPr>
        <w:t xml:space="preserve">، بالإضافة إلى الهيئة العامة للعقار والجهات التنظيمية ذات العلاقة. ويُقدّر حجم المجتمع الكلي بنحو </w:t>
      </w:r>
      <w:r w:rsidRPr="007273B0">
        <w:rPr>
          <w:rFonts w:ascii="Simplified Arabic" w:eastAsia="Times New Roman" w:hAnsi="Simplified Arabic" w:cs="Simplified Arabic"/>
          <w:color w:val="000000" w:themeColor="text1"/>
          <w:kern w:val="0"/>
          <w:sz w:val="28"/>
          <w:szCs w:val="28"/>
          <w:rtl/>
          <w14:ligatures w14:val="none"/>
        </w:rPr>
        <w:lastRenderedPageBreak/>
        <w:t>(2,800) فرد من المديرين التنفيذيين ومديري المشاريع ومديري إدارات المخاطر ومديري الاستدامة والجودة والمهندسين المشرفين في تلك الجهات</w:t>
      </w:r>
      <w:r w:rsidRPr="007273B0">
        <w:rPr>
          <w:rFonts w:ascii="Simplified Arabic" w:eastAsia="Times New Roman" w:hAnsi="Simplified Arabic" w:cs="Simplified Arabic"/>
          <w:color w:val="000000" w:themeColor="text1"/>
          <w:kern w:val="0"/>
          <w:sz w:val="28"/>
          <w:szCs w:val="28"/>
          <w14:ligatures w14:val="none"/>
        </w:rPr>
        <w:t>.</w:t>
      </w:r>
    </w:p>
    <w:p w14:paraId="5CAFCC83"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الطبقية العشوائية التناسبية لضمان تمثيل جميع الشركات والمشاريع المستهدفة تمثيلاً عادلاً، وسيُحدَّد حجم العينة وفقاً لجدول</w:t>
      </w:r>
      <w:r w:rsidRPr="007273B0">
        <w:rPr>
          <w:rFonts w:ascii="Simplified Arabic" w:eastAsia="Times New Roman" w:hAnsi="Simplified Arabic" w:cs="Simplified Arabic"/>
          <w:color w:val="000000" w:themeColor="text1"/>
          <w:kern w:val="0"/>
          <w:sz w:val="28"/>
          <w:szCs w:val="28"/>
          <w14:ligatures w14:val="none"/>
        </w:rPr>
        <w:t xml:space="preserve"> (Krejcie &amp; Morgan, 1970) </w:t>
      </w:r>
      <w:r w:rsidRPr="007273B0">
        <w:rPr>
          <w:rFonts w:ascii="Simplified Arabic" w:eastAsia="Times New Roman" w:hAnsi="Simplified Arabic" w:cs="Simplified Arabic"/>
          <w:color w:val="000000" w:themeColor="text1"/>
          <w:kern w:val="0"/>
          <w:sz w:val="28"/>
          <w:szCs w:val="28"/>
          <w:rtl/>
          <w14:ligatures w14:val="none"/>
        </w:rPr>
        <w:t>لتحديد حجم العينات، حيث سيبلغ الحد الأدنى المطلوب للعينة (338</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مفردة عند مجتمع قوامه (2,800) فرد وبمستوى ثقة (95%) وهامش خطأ</w:t>
      </w:r>
      <w:r w:rsidRPr="007273B0">
        <w:rPr>
          <w:rFonts w:ascii="Simplified Arabic" w:eastAsia="Times New Roman" w:hAnsi="Simplified Arabic" w:cs="Simplified Arabic"/>
          <w:color w:val="000000" w:themeColor="text1"/>
          <w:kern w:val="0"/>
          <w:sz w:val="28"/>
          <w:szCs w:val="28"/>
          <w14:ligatures w14:val="none"/>
        </w:rPr>
        <w:t xml:space="preserve"> (5%). </w:t>
      </w:r>
      <w:r w:rsidRPr="007273B0">
        <w:rPr>
          <w:rFonts w:ascii="Simplified Arabic" w:eastAsia="Times New Roman" w:hAnsi="Simplified Arabic" w:cs="Simplified Arabic"/>
          <w:color w:val="000000" w:themeColor="text1"/>
          <w:kern w:val="0"/>
          <w:sz w:val="28"/>
          <w:szCs w:val="28"/>
          <w:rtl/>
          <w14:ligatures w14:val="none"/>
        </w:rPr>
        <w:t>وسيتم توزيع (400) استبانة لتعويض الفاقد المتوقع وضمان الحصول على عدد كافٍ من الاستبانات الصالحة للتحليل الإحصائي، مع مراعاة التوزيع التناسبي على المشاريع المختلفة بحسب حجم العاملين في كل مشروع</w:t>
      </w:r>
      <w:r w:rsidRPr="007273B0">
        <w:rPr>
          <w:rFonts w:ascii="Simplified Arabic" w:eastAsia="Times New Roman" w:hAnsi="Simplified Arabic" w:cs="Simplified Arabic"/>
          <w:color w:val="000000" w:themeColor="text1"/>
          <w:kern w:val="0"/>
          <w:sz w:val="28"/>
          <w:szCs w:val="28"/>
          <w14:ligatures w14:val="none"/>
        </w:rPr>
        <w:t>.</w:t>
      </w:r>
    </w:p>
    <w:p w14:paraId="0D25393F" w14:textId="7C1D5E14" w:rsidR="00682B9E"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580398"/>
      <w:r w:rsidRPr="007273B0">
        <w:rPr>
          <w:rFonts w:ascii="Simplified Arabic" w:eastAsia="Times New Roman" w:hAnsi="Simplified Arabic" w:cs="Simplified Arabic" w:hint="cs"/>
          <w:b/>
          <w:bCs/>
          <w:color w:val="000000" w:themeColor="text1"/>
          <w:kern w:val="0"/>
          <w:sz w:val="36"/>
          <w:szCs w:val="36"/>
          <w:rtl/>
          <w14:ligatures w14:val="none"/>
        </w:rPr>
        <w:t xml:space="preserve">12.1 </w:t>
      </w:r>
      <w:r w:rsidR="00682B9E" w:rsidRPr="007273B0">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3"/>
    </w:p>
    <w:p w14:paraId="10FA68E2" w14:textId="0C87B0EC" w:rsidR="00682B9E" w:rsidRPr="007273B0" w:rsidRDefault="00682B9E" w:rsidP="00CD45F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المصادر الثانوية</w:t>
      </w:r>
      <w:r w:rsidR="004713E0" w:rsidRPr="007273B0">
        <w:rPr>
          <w:rFonts w:ascii="Simplified Arabic" w:eastAsia="Times New Roman" w:hAnsi="Simplified Arabic" w:cs="Simplified Arabic" w:hint="cs"/>
          <w:b/>
          <w:bCs/>
          <w:color w:val="000000" w:themeColor="text1"/>
          <w:kern w:val="0"/>
          <w:sz w:val="28"/>
          <w:szCs w:val="28"/>
          <w:rtl/>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سيتم الاعتماد على المصادر الثانوية في بناء الإطار النظري للدراسة، وتشمل الكتب والمراجع العلمية المتخصصة في إدارة المخاطر والاستدامة العقارية، والدوريات والمجلات العلمية المحكّمة العربية والأجنبية، والرسائل الجامعية (ماجستير ودكتوراه)، والتقارير الرسمية الصادرة عن الجهات الحكومية السعودية كالهيئة العامة للعقار ووزارة الشؤون البلدية والقروية والإسكان، وتقارير رؤية 2030 السنوية، فضلاً عن المواقع الإلكترونية الرسمية وقواعد البيانات العلمية المعتمدة</w:t>
      </w:r>
      <w:r w:rsidRPr="007273B0">
        <w:rPr>
          <w:rFonts w:ascii="Simplified Arabic" w:eastAsia="Times New Roman" w:hAnsi="Simplified Arabic" w:cs="Simplified Arabic"/>
          <w:color w:val="000000" w:themeColor="text1"/>
          <w:kern w:val="0"/>
          <w:sz w:val="28"/>
          <w:szCs w:val="28"/>
          <w14:ligatures w14:val="none"/>
        </w:rPr>
        <w:t>.</w:t>
      </w:r>
    </w:p>
    <w:p w14:paraId="2E4B07B5" w14:textId="650D6F42" w:rsidR="00682B9E" w:rsidRPr="007273B0" w:rsidRDefault="00682B9E" w:rsidP="00CD45F1">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المصادر الأولية</w:t>
      </w:r>
      <w:r w:rsidR="004713E0" w:rsidRPr="007273B0">
        <w:rPr>
          <w:rFonts w:ascii="Simplified Arabic" w:eastAsia="Times New Roman" w:hAnsi="Simplified Arabic" w:cs="Simplified Arabic" w:hint="cs"/>
          <w:b/>
          <w:bCs/>
          <w:color w:val="000000" w:themeColor="text1"/>
          <w:kern w:val="0"/>
          <w:sz w:val="28"/>
          <w:szCs w:val="28"/>
          <w:rtl/>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سيتم جمع البيانات الأولية من خلال الاستبانة التي سيُصمّمها الباحث خصيصاً لأغراض هذه الدراسة، والتي ستُوزَّع إلكترونياً وورقياً على أفراد عينة الدراسة في مشاريع رؤية 2030 العقارية المستهدفة</w:t>
      </w:r>
      <w:r w:rsidRPr="007273B0">
        <w:rPr>
          <w:rFonts w:ascii="Simplified Arabic" w:eastAsia="Times New Roman" w:hAnsi="Simplified Arabic" w:cs="Simplified Arabic"/>
          <w:color w:val="000000" w:themeColor="text1"/>
          <w:kern w:val="0"/>
          <w:sz w:val="28"/>
          <w:szCs w:val="28"/>
          <w14:ligatures w14:val="none"/>
        </w:rPr>
        <w:t>.</w:t>
      </w:r>
    </w:p>
    <w:p w14:paraId="5DACCD26" w14:textId="35E07A10" w:rsidR="00682B9E"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33580399"/>
      <w:r w:rsidRPr="007273B0">
        <w:rPr>
          <w:rFonts w:ascii="Simplified Arabic" w:eastAsia="Times New Roman" w:hAnsi="Simplified Arabic" w:cs="Simplified Arabic" w:hint="cs"/>
          <w:b/>
          <w:bCs/>
          <w:color w:val="000000" w:themeColor="text1"/>
          <w:kern w:val="0"/>
          <w:sz w:val="36"/>
          <w:szCs w:val="36"/>
          <w:rtl/>
          <w14:ligatures w14:val="none"/>
        </w:rPr>
        <w:t xml:space="preserve">13.1 </w:t>
      </w:r>
      <w:r w:rsidR="00682B9E" w:rsidRPr="007273B0">
        <w:rPr>
          <w:rFonts w:ascii="Simplified Arabic" w:eastAsia="Times New Roman" w:hAnsi="Simplified Arabic" w:cs="Simplified Arabic"/>
          <w:b/>
          <w:bCs/>
          <w:color w:val="000000" w:themeColor="text1"/>
          <w:kern w:val="0"/>
          <w:sz w:val="36"/>
          <w:szCs w:val="36"/>
          <w:rtl/>
          <w14:ligatures w14:val="none"/>
        </w:rPr>
        <w:t>أداة الدراسة</w:t>
      </w:r>
      <w:bookmarkEnd w:id="24"/>
    </w:p>
    <w:p w14:paraId="49470C70"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وستتكوّن من ثلاثة أقسام رئيسية على النحو التالي</w:t>
      </w:r>
      <w:r w:rsidRPr="007273B0">
        <w:rPr>
          <w:rFonts w:ascii="Simplified Arabic" w:eastAsia="Times New Roman" w:hAnsi="Simplified Arabic" w:cs="Simplified Arabic"/>
          <w:color w:val="000000" w:themeColor="text1"/>
          <w:kern w:val="0"/>
          <w:sz w:val="28"/>
          <w:szCs w:val="28"/>
          <w14:ligatures w14:val="none"/>
        </w:rPr>
        <w:t>:</w:t>
      </w:r>
    </w:p>
    <w:p w14:paraId="45B4F22A"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lastRenderedPageBreak/>
        <w:t>القسم الأول</w:t>
      </w:r>
      <w:r w:rsidRPr="007273B0">
        <w:rPr>
          <w:rFonts w:ascii="Simplified Arabic" w:eastAsia="Times New Roman" w:hAnsi="Simplified Arabic" w:cs="Simplified Arabic"/>
          <w:color w:val="000000" w:themeColor="text1"/>
          <w:kern w:val="0"/>
          <w:sz w:val="28"/>
          <w:szCs w:val="28"/>
          <w:rtl/>
          <w14:ligatures w14:val="none"/>
        </w:rPr>
        <w:t>: البيانات الديموغرافية والوظيفية سيتضمّن هذا القسم (5) فقرات تتعلق بالخصائص الشخصية والوظيفية لأفراد العينة، وتشمل: الجنس، والمؤهل العلمي، وسنوات الخبرة، والمسمى الوظيفي، وطبيعة المشروع</w:t>
      </w:r>
      <w:r w:rsidRPr="007273B0">
        <w:rPr>
          <w:rFonts w:ascii="Simplified Arabic" w:eastAsia="Times New Roman" w:hAnsi="Simplified Arabic" w:cs="Simplified Arabic"/>
          <w:color w:val="000000" w:themeColor="text1"/>
          <w:kern w:val="0"/>
          <w:sz w:val="28"/>
          <w:szCs w:val="28"/>
          <w14:ligatures w14:val="none"/>
        </w:rPr>
        <w:t>.</w:t>
      </w:r>
    </w:p>
    <w:p w14:paraId="49BB080E"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القسم الثاني</w:t>
      </w:r>
      <w:r w:rsidRPr="007273B0">
        <w:rPr>
          <w:rFonts w:ascii="Simplified Arabic" w:eastAsia="Times New Roman" w:hAnsi="Simplified Arabic" w:cs="Simplified Arabic"/>
          <w:color w:val="000000" w:themeColor="text1"/>
          <w:kern w:val="0"/>
          <w:sz w:val="28"/>
          <w:szCs w:val="28"/>
          <w:rtl/>
          <w14:ligatures w14:val="none"/>
        </w:rPr>
        <w:t>: المتغير المستقل – إدارة المخاطر التنظيمية (16 فقرة) سيتضمّن هذا القسم أربعة أبعاد يقيس كل منها جانباً من جوانب إدارة المخاطر التنظيمية، وذلك على النحو التالي</w:t>
      </w:r>
      <w:r w:rsidRPr="007273B0">
        <w:rPr>
          <w:rFonts w:ascii="Simplified Arabic" w:eastAsia="Times New Roman" w:hAnsi="Simplified Arabic" w:cs="Simplified Arabic"/>
          <w:color w:val="000000" w:themeColor="text1"/>
          <w:kern w:val="0"/>
          <w:sz w:val="28"/>
          <w:szCs w:val="28"/>
          <w14:ligatures w14:val="none"/>
        </w:rPr>
        <w:t>:</w:t>
      </w:r>
    </w:p>
    <w:p w14:paraId="2730CFEA" w14:textId="77777777" w:rsidR="00682B9E" w:rsidRPr="007273B0" w:rsidRDefault="00682B9E" w:rsidP="00CD45F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البُعد الأول – تحديد المخاطر</w:t>
      </w:r>
      <w:r w:rsidRPr="007273B0">
        <w:rPr>
          <w:rFonts w:ascii="Simplified Arabic" w:eastAsia="Times New Roman" w:hAnsi="Simplified Arabic" w:cs="Simplified Arabic"/>
          <w:color w:val="000000" w:themeColor="text1"/>
          <w:kern w:val="0"/>
          <w:sz w:val="28"/>
          <w:szCs w:val="28"/>
          <w14:ligatures w14:val="none"/>
        </w:rPr>
        <w:t xml:space="preserve">: (4) </w:t>
      </w:r>
      <w:r w:rsidRPr="007273B0">
        <w:rPr>
          <w:rFonts w:ascii="Simplified Arabic" w:eastAsia="Times New Roman" w:hAnsi="Simplified Arabic" w:cs="Simplified Arabic"/>
          <w:color w:val="000000" w:themeColor="text1"/>
          <w:kern w:val="0"/>
          <w:sz w:val="28"/>
          <w:szCs w:val="28"/>
          <w:rtl/>
          <w14:ligatures w14:val="none"/>
        </w:rPr>
        <w:t>فقرات تقيس مدى قدرة المشاريع العقارية على التعرف المنهجي على المخاطر المحتملة وتصنيفها وتوثيقها</w:t>
      </w:r>
      <w:r w:rsidRPr="007273B0">
        <w:rPr>
          <w:rFonts w:ascii="Simplified Arabic" w:eastAsia="Times New Roman" w:hAnsi="Simplified Arabic" w:cs="Simplified Arabic"/>
          <w:color w:val="000000" w:themeColor="text1"/>
          <w:kern w:val="0"/>
          <w:sz w:val="28"/>
          <w:szCs w:val="28"/>
          <w14:ligatures w14:val="none"/>
        </w:rPr>
        <w:t>.</w:t>
      </w:r>
    </w:p>
    <w:p w14:paraId="16A4FAC9" w14:textId="77777777" w:rsidR="00682B9E" w:rsidRPr="007273B0" w:rsidRDefault="00682B9E" w:rsidP="00CD45F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البُعد الثاني – تقييم المخاطر</w:t>
      </w:r>
      <w:r w:rsidRPr="007273B0">
        <w:rPr>
          <w:rFonts w:ascii="Simplified Arabic" w:eastAsia="Times New Roman" w:hAnsi="Simplified Arabic" w:cs="Simplified Arabic"/>
          <w:color w:val="000000" w:themeColor="text1"/>
          <w:kern w:val="0"/>
          <w:sz w:val="28"/>
          <w:szCs w:val="28"/>
          <w14:ligatures w14:val="none"/>
        </w:rPr>
        <w:t xml:space="preserve">: (4) </w:t>
      </w:r>
      <w:r w:rsidRPr="007273B0">
        <w:rPr>
          <w:rFonts w:ascii="Simplified Arabic" w:eastAsia="Times New Roman" w:hAnsi="Simplified Arabic" w:cs="Simplified Arabic"/>
          <w:color w:val="000000" w:themeColor="text1"/>
          <w:kern w:val="0"/>
          <w:sz w:val="28"/>
          <w:szCs w:val="28"/>
          <w:rtl/>
          <w14:ligatures w14:val="none"/>
        </w:rPr>
        <w:t>فقرات تقيس مدى قدرة المشاريع على تحليل المخاطر المُحدَّدة وتقدير احتمالية وقوعها وحجم تأثيرها وترتيب أولوياتها</w:t>
      </w:r>
      <w:r w:rsidRPr="007273B0">
        <w:rPr>
          <w:rFonts w:ascii="Simplified Arabic" w:eastAsia="Times New Roman" w:hAnsi="Simplified Arabic" w:cs="Simplified Arabic"/>
          <w:color w:val="000000" w:themeColor="text1"/>
          <w:kern w:val="0"/>
          <w:sz w:val="28"/>
          <w:szCs w:val="28"/>
          <w14:ligatures w14:val="none"/>
        </w:rPr>
        <w:t>.</w:t>
      </w:r>
    </w:p>
    <w:p w14:paraId="52359C07" w14:textId="77777777" w:rsidR="00682B9E" w:rsidRPr="007273B0" w:rsidRDefault="00682B9E" w:rsidP="00CD45F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البُعد الثالث – الاستجابة للمخاطر</w:t>
      </w:r>
      <w:r w:rsidRPr="007273B0">
        <w:rPr>
          <w:rFonts w:ascii="Simplified Arabic" w:eastAsia="Times New Roman" w:hAnsi="Simplified Arabic" w:cs="Simplified Arabic"/>
          <w:color w:val="000000" w:themeColor="text1"/>
          <w:kern w:val="0"/>
          <w:sz w:val="28"/>
          <w:szCs w:val="28"/>
          <w14:ligatures w14:val="none"/>
        </w:rPr>
        <w:t xml:space="preserve">: (4) </w:t>
      </w:r>
      <w:r w:rsidRPr="007273B0">
        <w:rPr>
          <w:rFonts w:ascii="Simplified Arabic" w:eastAsia="Times New Roman" w:hAnsi="Simplified Arabic" w:cs="Simplified Arabic"/>
          <w:color w:val="000000" w:themeColor="text1"/>
          <w:kern w:val="0"/>
          <w:sz w:val="28"/>
          <w:szCs w:val="28"/>
          <w:rtl/>
          <w14:ligatures w14:val="none"/>
        </w:rPr>
        <w:t>فقرات تقيس مدى فاعلية الاستراتيجيات والإجراءات المُتّخذة للتعامل مع المخاطر سواء بالتجنب أو التخفيف أو النقل أو القبول</w:t>
      </w:r>
      <w:r w:rsidRPr="007273B0">
        <w:rPr>
          <w:rFonts w:ascii="Simplified Arabic" w:eastAsia="Times New Roman" w:hAnsi="Simplified Arabic" w:cs="Simplified Arabic"/>
          <w:color w:val="000000" w:themeColor="text1"/>
          <w:kern w:val="0"/>
          <w:sz w:val="28"/>
          <w:szCs w:val="28"/>
          <w14:ligatures w14:val="none"/>
        </w:rPr>
        <w:t>.</w:t>
      </w:r>
    </w:p>
    <w:p w14:paraId="6DAF9C6B" w14:textId="77777777" w:rsidR="00682B9E" w:rsidRPr="007273B0" w:rsidRDefault="00682B9E" w:rsidP="00CD45F1">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البُعد الرابع – مراقبة المخاطر</w:t>
      </w:r>
      <w:r w:rsidRPr="007273B0">
        <w:rPr>
          <w:rFonts w:ascii="Simplified Arabic" w:eastAsia="Times New Roman" w:hAnsi="Simplified Arabic" w:cs="Simplified Arabic"/>
          <w:color w:val="000000" w:themeColor="text1"/>
          <w:kern w:val="0"/>
          <w:sz w:val="28"/>
          <w:szCs w:val="28"/>
          <w14:ligatures w14:val="none"/>
        </w:rPr>
        <w:t xml:space="preserve">: (4) </w:t>
      </w:r>
      <w:r w:rsidRPr="007273B0">
        <w:rPr>
          <w:rFonts w:ascii="Simplified Arabic" w:eastAsia="Times New Roman" w:hAnsi="Simplified Arabic" w:cs="Simplified Arabic"/>
          <w:color w:val="000000" w:themeColor="text1"/>
          <w:kern w:val="0"/>
          <w:sz w:val="28"/>
          <w:szCs w:val="28"/>
          <w:rtl/>
          <w14:ligatures w14:val="none"/>
        </w:rPr>
        <w:t>فقرات تقيس مدى فاعلية أنظمة المتابعة المستمرة للمخاطر ومراجعة خطط الاستجابة وتحديثها والإبلاغ عنها</w:t>
      </w:r>
      <w:r w:rsidRPr="007273B0">
        <w:rPr>
          <w:rFonts w:ascii="Simplified Arabic" w:eastAsia="Times New Roman" w:hAnsi="Simplified Arabic" w:cs="Simplified Arabic"/>
          <w:color w:val="000000" w:themeColor="text1"/>
          <w:kern w:val="0"/>
          <w:sz w:val="28"/>
          <w:szCs w:val="28"/>
          <w14:ligatures w14:val="none"/>
        </w:rPr>
        <w:t>.</w:t>
      </w:r>
    </w:p>
    <w:p w14:paraId="0510B9F3"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القسم الثالث</w:t>
      </w:r>
      <w:r w:rsidRPr="007273B0">
        <w:rPr>
          <w:rFonts w:ascii="Simplified Arabic" w:eastAsia="Times New Roman" w:hAnsi="Simplified Arabic" w:cs="Simplified Arabic"/>
          <w:color w:val="000000" w:themeColor="text1"/>
          <w:kern w:val="0"/>
          <w:sz w:val="28"/>
          <w:szCs w:val="28"/>
          <w:rtl/>
          <w14:ligatures w14:val="none"/>
        </w:rPr>
        <w:t>: المتغير التابع – الالتزام بمعايير الاستدامة العقارية (10 فقرات) سيتضمّن هذا القسم محوراً واحداً يتكوّن من (10) فقرات تقيس مستوى الالتزام بمعايير الاستدامة العقارية بأبعادها المتكاملة (البيئية، والاجتماعية، والاقتصادية، والحوكمة) في مشاريع رؤية 2030 العقارية</w:t>
      </w:r>
      <w:r w:rsidRPr="007273B0">
        <w:rPr>
          <w:rFonts w:ascii="Simplified Arabic" w:eastAsia="Times New Roman" w:hAnsi="Simplified Arabic" w:cs="Simplified Arabic"/>
          <w:color w:val="000000" w:themeColor="text1"/>
          <w:kern w:val="0"/>
          <w:sz w:val="28"/>
          <w:szCs w:val="28"/>
          <w14:ligatures w14:val="none"/>
        </w:rPr>
        <w:t>.</w:t>
      </w:r>
    </w:p>
    <w:p w14:paraId="6DBA432A" w14:textId="716A19A2"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وبذلك سيبلغ إجمالي فقرات الاستبانة </w:t>
      </w:r>
      <w:r w:rsidRPr="007273B0">
        <w:rPr>
          <w:rFonts w:ascii="Simplified Arabic" w:eastAsia="Times New Roman" w:hAnsi="Simplified Arabic" w:cs="Simplified Arabic"/>
          <w:color w:val="000000" w:themeColor="text1"/>
          <w:kern w:val="0"/>
          <w:sz w:val="28"/>
          <w:szCs w:val="28"/>
          <w14:ligatures w14:val="none"/>
        </w:rPr>
        <w:t xml:space="preserve">(31) </w:t>
      </w:r>
      <w:r w:rsidRPr="007273B0">
        <w:rPr>
          <w:rFonts w:ascii="Simplified Arabic" w:eastAsia="Times New Roman" w:hAnsi="Simplified Arabic" w:cs="Simplified Arabic"/>
          <w:color w:val="000000" w:themeColor="text1"/>
          <w:kern w:val="0"/>
          <w:sz w:val="28"/>
          <w:szCs w:val="28"/>
          <w:rtl/>
          <w14:ligatures w14:val="none"/>
        </w:rPr>
        <w:t xml:space="preserve">فقرة </w:t>
      </w:r>
      <w:r w:rsidRPr="007273B0">
        <w:rPr>
          <w:rFonts w:ascii="Simplified Arabic" w:eastAsia="Times New Roman" w:hAnsi="Simplified Arabic" w:cs="Simplified Arabic"/>
          <w:color w:val="000000" w:themeColor="text1"/>
          <w:kern w:val="0"/>
          <w:sz w:val="28"/>
          <w:szCs w:val="28"/>
          <w14:ligatures w14:val="none"/>
        </w:rPr>
        <w:t xml:space="preserve">(5 </w:t>
      </w:r>
      <w:r w:rsidRPr="007273B0">
        <w:rPr>
          <w:rFonts w:ascii="Simplified Arabic" w:eastAsia="Times New Roman" w:hAnsi="Simplified Arabic" w:cs="Simplified Arabic"/>
          <w:color w:val="000000" w:themeColor="text1"/>
          <w:kern w:val="0"/>
          <w:sz w:val="28"/>
          <w:szCs w:val="28"/>
          <w:rtl/>
          <w14:ligatures w14:val="none"/>
        </w:rPr>
        <w:t>فقرات ديموغرافية + 16 فقرة للمتغير المستقل + 10 فقرات للمتغير التابع)، وسيتم قياس استجابات أفراد العينة وفقاً لمقياس ليكرت الخماسي المتدرج (موافق بشدة = 5، موافق = 4، محايد = 3، غير موافق = 2، غير موافق بشدة = 1</w:t>
      </w:r>
      <w:r w:rsidR="004713E0" w:rsidRPr="007273B0">
        <w:rPr>
          <w:rFonts w:ascii="Simplified Arabic" w:eastAsia="Times New Roman" w:hAnsi="Simplified Arabic" w:cs="Simplified Arabic" w:hint="cs"/>
          <w:color w:val="000000" w:themeColor="text1"/>
          <w:kern w:val="0"/>
          <w:sz w:val="28"/>
          <w:szCs w:val="28"/>
          <w:rtl/>
          <w14:ligatures w14:val="none"/>
        </w:rPr>
        <w:t>)</w:t>
      </w:r>
      <w:r w:rsidRPr="007273B0">
        <w:rPr>
          <w:rFonts w:ascii="Simplified Arabic" w:eastAsia="Times New Roman" w:hAnsi="Simplified Arabic" w:cs="Simplified Arabic"/>
          <w:color w:val="000000" w:themeColor="text1"/>
          <w:kern w:val="0"/>
          <w:sz w:val="28"/>
          <w:szCs w:val="28"/>
          <w14:ligatures w14:val="none"/>
        </w:rPr>
        <w:t>.</w:t>
      </w:r>
    </w:p>
    <w:p w14:paraId="7600FA4C" w14:textId="05E46A83" w:rsidR="00682B9E"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33580400"/>
      <w:r w:rsidRPr="007273B0">
        <w:rPr>
          <w:rFonts w:ascii="Simplified Arabic" w:eastAsia="Times New Roman" w:hAnsi="Simplified Arabic" w:cs="Simplified Arabic" w:hint="cs"/>
          <w:b/>
          <w:bCs/>
          <w:color w:val="000000" w:themeColor="text1"/>
          <w:kern w:val="0"/>
          <w:sz w:val="36"/>
          <w:szCs w:val="36"/>
          <w:rtl/>
          <w14:ligatures w14:val="none"/>
        </w:rPr>
        <w:t xml:space="preserve">14.1 </w:t>
      </w:r>
      <w:r w:rsidR="00682B9E" w:rsidRPr="007273B0">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5"/>
    </w:p>
    <w:p w14:paraId="1E8F36F0" w14:textId="77777777" w:rsidR="00682B9E" w:rsidRPr="007273B0" w:rsidRDefault="00682B9E" w:rsidP="004713E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سيتم استخدام مجموعة من الأساليب الإحصائية الوصفية والاستدلالية لتحليل بيانات الدراسة، وتشمل</w:t>
      </w:r>
      <w:r w:rsidRPr="007273B0">
        <w:rPr>
          <w:rFonts w:ascii="Simplified Arabic" w:eastAsia="Times New Roman" w:hAnsi="Simplified Arabic" w:cs="Simplified Arabic"/>
          <w:b/>
          <w:bCs/>
          <w:color w:val="000000" w:themeColor="text1"/>
          <w:kern w:val="0"/>
          <w:sz w:val="28"/>
          <w:szCs w:val="28"/>
          <w14:ligatures w14:val="none"/>
        </w:rPr>
        <w:t>:</w:t>
      </w:r>
    </w:p>
    <w:p w14:paraId="773B5C71"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معامل ألفا كرونباخ</w:t>
      </w:r>
      <w:r w:rsidRPr="007273B0">
        <w:rPr>
          <w:rFonts w:ascii="Simplified Arabic" w:eastAsia="Times New Roman" w:hAnsi="Simplified Arabic" w:cs="Simplified Arabic"/>
          <w:color w:val="000000" w:themeColor="text1"/>
          <w:kern w:val="0"/>
          <w:sz w:val="28"/>
          <w:szCs w:val="28"/>
          <w14:ligatures w14:val="none"/>
        </w:rPr>
        <w:t xml:space="preserve"> (Cronbach's Alpha): </w:t>
      </w:r>
      <w:r w:rsidRPr="007273B0">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7273B0">
        <w:rPr>
          <w:rFonts w:ascii="Simplified Arabic" w:eastAsia="Times New Roman" w:hAnsi="Simplified Arabic" w:cs="Simplified Arabic"/>
          <w:color w:val="000000" w:themeColor="text1"/>
          <w:kern w:val="0"/>
          <w:sz w:val="28"/>
          <w:szCs w:val="28"/>
          <w14:ligatures w14:val="none"/>
        </w:rPr>
        <w:t>.</w:t>
      </w:r>
    </w:p>
    <w:p w14:paraId="3B56514A"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التحليل العاملي التوكيدي</w:t>
      </w:r>
      <w:r w:rsidRPr="007273B0">
        <w:rPr>
          <w:rFonts w:ascii="Simplified Arabic" w:eastAsia="Times New Roman" w:hAnsi="Simplified Arabic" w:cs="Simplified Arabic"/>
          <w:color w:val="000000" w:themeColor="text1"/>
          <w:kern w:val="0"/>
          <w:sz w:val="28"/>
          <w:szCs w:val="28"/>
          <w14:ligatures w14:val="none"/>
        </w:rPr>
        <w:t xml:space="preserve"> (CFA): </w:t>
      </w:r>
      <w:r w:rsidRPr="007273B0">
        <w:rPr>
          <w:rFonts w:ascii="Simplified Arabic" w:eastAsia="Times New Roman" w:hAnsi="Simplified Arabic" w:cs="Simplified Arabic"/>
          <w:color w:val="000000" w:themeColor="text1"/>
          <w:kern w:val="0"/>
          <w:sz w:val="28"/>
          <w:szCs w:val="28"/>
          <w:rtl/>
          <w14:ligatures w14:val="none"/>
        </w:rPr>
        <w:t>للتحقق من صدق البناء الهيكلي لأداة الدراسة ومطابقة النموذج للبيانات</w:t>
      </w:r>
      <w:r w:rsidRPr="007273B0">
        <w:rPr>
          <w:rFonts w:ascii="Simplified Arabic" w:eastAsia="Times New Roman" w:hAnsi="Simplified Arabic" w:cs="Simplified Arabic"/>
          <w:color w:val="000000" w:themeColor="text1"/>
          <w:kern w:val="0"/>
          <w:sz w:val="28"/>
          <w:szCs w:val="28"/>
          <w14:ligatures w14:val="none"/>
        </w:rPr>
        <w:t>.</w:t>
      </w:r>
    </w:p>
    <w:p w14:paraId="79794FA2"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الإحصاءات الوصفية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لوصف خصائص العينة ومستوى استجابات أفرادها</w:t>
      </w:r>
      <w:r w:rsidRPr="007273B0">
        <w:rPr>
          <w:rFonts w:ascii="Simplified Arabic" w:eastAsia="Times New Roman" w:hAnsi="Simplified Arabic" w:cs="Simplified Arabic"/>
          <w:color w:val="000000" w:themeColor="text1"/>
          <w:kern w:val="0"/>
          <w:sz w:val="28"/>
          <w:szCs w:val="28"/>
          <w14:ligatures w14:val="none"/>
        </w:rPr>
        <w:t>.</w:t>
      </w:r>
    </w:p>
    <w:p w14:paraId="3DF0EC31"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معامل ارتباط بيرسون</w:t>
      </w:r>
      <w:r w:rsidRPr="007273B0">
        <w:rPr>
          <w:rFonts w:ascii="Simplified Arabic" w:eastAsia="Times New Roman" w:hAnsi="Simplified Arabic" w:cs="Simplified Arabic"/>
          <w:color w:val="000000" w:themeColor="text1"/>
          <w:kern w:val="0"/>
          <w:sz w:val="28"/>
          <w:szCs w:val="28"/>
          <w14:ligatures w14:val="none"/>
        </w:rPr>
        <w:t xml:space="preserve"> (Pearson Correlation): </w:t>
      </w:r>
      <w:r w:rsidRPr="007273B0">
        <w:rPr>
          <w:rFonts w:ascii="Simplified Arabic" w:eastAsia="Times New Roman" w:hAnsi="Simplified Arabic" w:cs="Simplified Arabic"/>
          <w:color w:val="000000" w:themeColor="text1"/>
          <w:kern w:val="0"/>
          <w:sz w:val="28"/>
          <w:szCs w:val="28"/>
          <w:rtl/>
          <w14:ligatures w14:val="none"/>
        </w:rPr>
        <w:t>لقياس قوة واتجاه العلاقة الارتباطية بين المتغير المستقل بأبعاده والمتغير التابع</w:t>
      </w:r>
      <w:r w:rsidRPr="007273B0">
        <w:rPr>
          <w:rFonts w:ascii="Simplified Arabic" w:eastAsia="Times New Roman" w:hAnsi="Simplified Arabic" w:cs="Simplified Arabic"/>
          <w:color w:val="000000" w:themeColor="text1"/>
          <w:kern w:val="0"/>
          <w:sz w:val="28"/>
          <w:szCs w:val="28"/>
          <w14:ligatures w14:val="none"/>
        </w:rPr>
        <w:t>.</w:t>
      </w:r>
    </w:p>
    <w:p w14:paraId="5EA1F4D5"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الانحدار المتعدد</w:t>
      </w:r>
      <w:r w:rsidRPr="007273B0">
        <w:rPr>
          <w:rFonts w:ascii="Simplified Arabic" w:eastAsia="Times New Roman" w:hAnsi="Simplified Arabic" w:cs="Simplified Arabic"/>
          <w:color w:val="000000" w:themeColor="text1"/>
          <w:kern w:val="0"/>
          <w:sz w:val="28"/>
          <w:szCs w:val="28"/>
          <w14:ligatures w14:val="none"/>
        </w:rPr>
        <w:t xml:space="preserve"> (Multiple Regression Analysis): </w:t>
      </w:r>
      <w:r w:rsidRPr="007273B0">
        <w:rPr>
          <w:rFonts w:ascii="Simplified Arabic" w:eastAsia="Times New Roman" w:hAnsi="Simplified Arabic" w:cs="Simplified Arabic"/>
          <w:color w:val="000000" w:themeColor="text1"/>
          <w:kern w:val="0"/>
          <w:sz w:val="28"/>
          <w:szCs w:val="28"/>
          <w:rtl/>
          <w14:ligatures w14:val="none"/>
        </w:rPr>
        <w:t>لاختبار أثر أبعاد إدارة المخاطر التنظيمية مجتمعة ومنفردة على الالتزام بمعايير الاستدامة العقارية وتحديد الأهمية النسبية لكل بُعد</w:t>
      </w:r>
      <w:r w:rsidRPr="007273B0">
        <w:rPr>
          <w:rFonts w:ascii="Simplified Arabic" w:eastAsia="Times New Roman" w:hAnsi="Simplified Arabic" w:cs="Simplified Arabic"/>
          <w:color w:val="000000" w:themeColor="text1"/>
          <w:kern w:val="0"/>
          <w:sz w:val="28"/>
          <w:szCs w:val="28"/>
          <w14:ligatures w14:val="none"/>
        </w:rPr>
        <w:t>.</w:t>
      </w:r>
    </w:p>
    <w:p w14:paraId="063A71D7"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الانحدار التدريجي</w:t>
      </w:r>
      <w:r w:rsidRPr="007273B0">
        <w:rPr>
          <w:rFonts w:ascii="Simplified Arabic" w:eastAsia="Times New Roman" w:hAnsi="Simplified Arabic" w:cs="Simplified Arabic"/>
          <w:color w:val="000000" w:themeColor="text1"/>
          <w:kern w:val="0"/>
          <w:sz w:val="28"/>
          <w:szCs w:val="28"/>
          <w14:ligatures w14:val="none"/>
        </w:rPr>
        <w:t xml:space="preserve"> (Stepwise Regression): </w:t>
      </w:r>
      <w:r w:rsidRPr="007273B0">
        <w:rPr>
          <w:rFonts w:ascii="Simplified Arabic" w:eastAsia="Times New Roman" w:hAnsi="Simplified Arabic" w:cs="Simplified Arabic"/>
          <w:color w:val="000000" w:themeColor="text1"/>
          <w:kern w:val="0"/>
          <w:sz w:val="28"/>
          <w:szCs w:val="28"/>
          <w:rtl/>
          <w14:ligatures w14:val="none"/>
        </w:rPr>
        <w:t>لتحديد أكثر أبعاد إدارة المخاطر التنظيمية إسهاماً في تفسير التباين في المتغير التابع</w:t>
      </w:r>
      <w:r w:rsidRPr="007273B0">
        <w:rPr>
          <w:rFonts w:ascii="Simplified Arabic" w:eastAsia="Times New Roman" w:hAnsi="Simplified Arabic" w:cs="Simplified Arabic"/>
          <w:color w:val="000000" w:themeColor="text1"/>
          <w:kern w:val="0"/>
          <w:sz w:val="28"/>
          <w:szCs w:val="28"/>
          <w14:ligatures w14:val="none"/>
        </w:rPr>
        <w:t>.</w:t>
      </w:r>
    </w:p>
    <w:p w14:paraId="0B2DEC26"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اختبار</w:t>
      </w:r>
      <w:r w:rsidRPr="007273B0">
        <w:rPr>
          <w:rFonts w:ascii="Simplified Arabic" w:eastAsia="Times New Roman" w:hAnsi="Simplified Arabic" w:cs="Simplified Arabic"/>
          <w:color w:val="000000" w:themeColor="text1"/>
          <w:kern w:val="0"/>
          <w:sz w:val="28"/>
          <w:szCs w:val="28"/>
          <w14:ligatures w14:val="none"/>
        </w:rPr>
        <w:t xml:space="preserve"> (T-Test): </w:t>
      </w:r>
      <w:r w:rsidRPr="007273B0">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ثنائية الفئات (الجنس)</w:t>
      </w:r>
      <w:r w:rsidRPr="007273B0">
        <w:rPr>
          <w:rFonts w:ascii="Simplified Arabic" w:eastAsia="Times New Roman" w:hAnsi="Simplified Arabic" w:cs="Simplified Arabic"/>
          <w:color w:val="000000" w:themeColor="text1"/>
          <w:kern w:val="0"/>
          <w:sz w:val="28"/>
          <w:szCs w:val="28"/>
          <w14:ligatures w14:val="none"/>
        </w:rPr>
        <w:t>.</w:t>
      </w:r>
    </w:p>
    <w:p w14:paraId="7BC91344"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تحليل التباين الأحادي</w:t>
      </w:r>
      <w:r w:rsidRPr="007273B0">
        <w:rPr>
          <w:rFonts w:ascii="Simplified Arabic" w:eastAsia="Times New Roman" w:hAnsi="Simplified Arabic" w:cs="Simplified Arabic"/>
          <w:color w:val="000000" w:themeColor="text1"/>
          <w:kern w:val="0"/>
          <w:sz w:val="28"/>
          <w:szCs w:val="28"/>
          <w14:ligatures w14:val="none"/>
        </w:rPr>
        <w:t xml:space="preserve"> (One-Way ANOVA): </w:t>
      </w:r>
      <w:r w:rsidRPr="007273B0">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متعددة الفئات (المؤهل العلمي، سنوات الخبرة، المسمى الوظيفي، طبيعة المشروع</w:t>
      </w:r>
      <w:r w:rsidRPr="007273B0">
        <w:rPr>
          <w:rFonts w:ascii="Simplified Arabic" w:eastAsia="Times New Roman" w:hAnsi="Simplified Arabic" w:cs="Simplified Arabic"/>
          <w:color w:val="000000" w:themeColor="text1"/>
          <w:kern w:val="0"/>
          <w:sz w:val="28"/>
          <w:szCs w:val="28"/>
          <w14:ligatures w14:val="none"/>
        </w:rPr>
        <w:t>).</w:t>
      </w:r>
    </w:p>
    <w:p w14:paraId="6BF51102"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اختبار شيفيه</w:t>
      </w:r>
      <w:r w:rsidRPr="007273B0">
        <w:rPr>
          <w:rFonts w:ascii="Simplified Arabic" w:eastAsia="Times New Roman" w:hAnsi="Simplified Arabic" w:cs="Simplified Arabic"/>
          <w:color w:val="000000" w:themeColor="text1"/>
          <w:kern w:val="0"/>
          <w:sz w:val="28"/>
          <w:szCs w:val="28"/>
          <w14:ligatures w14:val="none"/>
        </w:rPr>
        <w:t xml:space="preserve"> (Scheffé Test): </w:t>
      </w:r>
      <w:r w:rsidRPr="007273B0">
        <w:rPr>
          <w:rFonts w:ascii="Simplified Arabic" w:eastAsia="Times New Roman" w:hAnsi="Simplified Arabic" w:cs="Simplified Arabic"/>
          <w:color w:val="000000" w:themeColor="text1"/>
          <w:kern w:val="0"/>
          <w:sz w:val="28"/>
          <w:szCs w:val="28"/>
          <w:rtl/>
          <w14:ligatures w14:val="none"/>
        </w:rPr>
        <w:t>للمقارنات البعدية لتحديد مصادر الفروق بين المجموعات في حال وجود فروق دالة إحصائياً</w:t>
      </w:r>
      <w:r w:rsidRPr="007273B0">
        <w:rPr>
          <w:rFonts w:ascii="Simplified Arabic" w:eastAsia="Times New Roman" w:hAnsi="Simplified Arabic" w:cs="Simplified Arabic"/>
          <w:color w:val="000000" w:themeColor="text1"/>
          <w:kern w:val="0"/>
          <w:sz w:val="28"/>
          <w:szCs w:val="28"/>
          <w14:ligatures w14:val="none"/>
        </w:rPr>
        <w:t>.</w:t>
      </w:r>
    </w:p>
    <w:p w14:paraId="339A7CED"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اختبار التوزيع الطبيعي</w:t>
      </w:r>
      <w:r w:rsidRPr="007273B0">
        <w:rPr>
          <w:rFonts w:ascii="Simplified Arabic" w:eastAsia="Times New Roman" w:hAnsi="Simplified Arabic" w:cs="Simplified Arabic"/>
          <w:color w:val="000000" w:themeColor="text1"/>
          <w:kern w:val="0"/>
          <w:sz w:val="28"/>
          <w:szCs w:val="28"/>
          <w14:ligatures w14:val="none"/>
        </w:rPr>
        <w:t xml:space="preserve"> (Kolmogorov-Smirnov): </w:t>
      </w:r>
      <w:r w:rsidRPr="007273B0">
        <w:rPr>
          <w:rFonts w:ascii="Simplified Arabic" w:eastAsia="Times New Roman" w:hAnsi="Simplified Arabic" w:cs="Simplified Arabic"/>
          <w:color w:val="000000" w:themeColor="text1"/>
          <w:kern w:val="0"/>
          <w:sz w:val="28"/>
          <w:szCs w:val="28"/>
          <w:rtl/>
          <w14:ligatures w14:val="none"/>
        </w:rPr>
        <w:t>للتحقق من اعتدالية توزيع البيانات قبل إجراء الاختبارات المعلمية</w:t>
      </w:r>
      <w:r w:rsidRPr="007273B0">
        <w:rPr>
          <w:rFonts w:ascii="Simplified Arabic" w:eastAsia="Times New Roman" w:hAnsi="Simplified Arabic" w:cs="Simplified Arabic"/>
          <w:color w:val="000000" w:themeColor="text1"/>
          <w:kern w:val="0"/>
          <w:sz w:val="28"/>
          <w:szCs w:val="28"/>
          <w14:ligatures w14:val="none"/>
        </w:rPr>
        <w:t>.</w:t>
      </w:r>
    </w:p>
    <w:p w14:paraId="48B76C09"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7273B0">
        <w:rPr>
          <w:rFonts w:ascii="Simplified Arabic" w:eastAsia="Times New Roman" w:hAnsi="Simplified Arabic" w:cs="Simplified Arabic"/>
          <w:color w:val="000000" w:themeColor="text1"/>
          <w:kern w:val="0"/>
          <w:sz w:val="28"/>
          <w:szCs w:val="28"/>
          <w14:ligatures w14:val="none"/>
        </w:rPr>
        <w:t xml:space="preserve"> (VIF) </w:t>
      </w:r>
      <w:r w:rsidRPr="007273B0">
        <w:rPr>
          <w:rFonts w:ascii="Simplified Arabic" w:eastAsia="Times New Roman" w:hAnsi="Simplified Arabic" w:cs="Simplified Arabic"/>
          <w:color w:val="000000" w:themeColor="text1"/>
          <w:kern w:val="0"/>
          <w:sz w:val="28"/>
          <w:szCs w:val="28"/>
          <w:rtl/>
          <w14:ligatures w14:val="none"/>
        </w:rPr>
        <w:t>واختبار التحمل</w:t>
      </w:r>
      <w:r w:rsidRPr="007273B0">
        <w:rPr>
          <w:rFonts w:ascii="Simplified Arabic" w:eastAsia="Times New Roman" w:hAnsi="Simplified Arabic" w:cs="Simplified Arabic"/>
          <w:color w:val="000000" w:themeColor="text1"/>
          <w:kern w:val="0"/>
          <w:sz w:val="28"/>
          <w:szCs w:val="28"/>
          <w14:ligatures w14:val="none"/>
        </w:rPr>
        <w:t xml:space="preserve"> (Tolerance): </w:t>
      </w:r>
      <w:r w:rsidRPr="007273B0">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 بين المتغيرات المستقلة</w:t>
      </w:r>
      <w:r w:rsidRPr="007273B0">
        <w:rPr>
          <w:rFonts w:ascii="Simplified Arabic" w:eastAsia="Times New Roman" w:hAnsi="Simplified Arabic" w:cs="Simplified Arabic"/>
          <w:color w:val="000000" w:themeColor="text1"/>
          <w:kern w:val="0"/>
          <w:sz w:val="28"/>
          <w:szCs w:val="28"/>
          <w14:ligatures w14:val="none"/>
        </w:rPr>
        <w:t>.</w:t>
      </w:r>
    </w:p>
    <w:p w14:paraId="3FB86A3D" w14:textId="77777777" w:rsidR="00682B9E" w:rsidRPr="007273B0" w:rsidRDefault="00682B9E" w:rsidP="00CD45F1">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النمذجة بالمعادلات البنائية</w:t>
      </w:r>
      <w:r w:rsidRPr="007273B0">
        <w:rPr>
          <w:rFonts w:ascii="Simplified Arabic" w:eastAsia="Times New Roman" w:hAnsi="Simplified Arabic" w:cs="Simplified Arabic"/>
          <w:color w:val="000000" w:themeColor="text1"/>
          <w:kern w:val="0"/>
          <w:sz w:val="28"/>
          <w:szCs w:val="28"/>
          <w14:ligatures w14:val="none"/>
        </w:rPr>
        <w:t xml:space="preserve"> (SEM): </w:t>
      </w:r>
      <w:r w:rsidRPr="007273B0">
        <w:rPr>
          <w:rFonts w:ascii="Simplified Arabic" w:eastAsia="Times New Roman" w:hAnsi="Simplified Arabic" w:cs="Simplified Arabic"/>
          <w:color w:val="000000" w:themeColor="text1"/>
          <w:kern w:val="0"/>
          <w:sz w:val="28"/>
          <w:szCs w:val="28"/>
          <w:rtl/>
          <w14:ligatures w14:val="none"/>
        </w:rPr>
        <w:t>باستخدام برنامج</w:t>
      </w:r>
      <w:r w:rsidRPr="007273B0">
        <w:rPr>
          <w:rFonts w:ascii="Simplified Arabic" w:eastAsia="Times New Roman" w:hAnsi="Simplified Arabic" w:cs="Simplified Arabic"/>
          <w:color w:val="000000" w:themeColor="text1"/>
          <w:kern w:val="0"/>
          <w:sz w:val="28"/>
          <w:szCs w:val="28"/>
          <w14:ligatures w14:val="none"/>
        </w:rPr>
        <w:t xml:space="preserve"> AMOS </w:t>
      </w:r>
      <w:r w:rsidRPr="007273B0">
        <w:rPr>
          <w:rFonts w:ascii="Simplified Arabic" w:eastAsia="Times New Roman" w:hAnsi="Simplified Arabic" w:cs="Simplified Arabic"/>
          <w:color w:val="000000" w:themeColor="text1"/>
          <w:kern w:val="0"/>
          <w:sz w:val="28"/>
          <w:szCs w:val="28"/>
          <w:rtl/>
          <w14:ligatures w14:val="none"/>
        </w:rPr>
        <w:t>لاختبار النموذج الهيكلي للدراسة والتحقق من جودة مطابقته للبيانات</w:t>
      </w:r>
      <w:r w:rsidRPr="007273B0">
        <w:rPr>
          <w:rFonts w:ascii="Simplified Arabic" w:eastAsia="Times New Roman" w:hAnsi="Simplified Arabic" w:cs="Simplified Arabic"/>
          <w:color w:val="000000" w:themeColor="text1"/>
          <w:kern w:val="0"/>
          <w:sz w:val="28"/>
          <w:szCs w:val="28"/>
          <w14:ligatures w14:val="none"/>
        </w:rPr>
        <w:t>.</w:t>
      </w:r>
    </w:p>
    <w:p w14:paraId="79AE92F6" w14:textId="53C421C1" w:rsidR="00682B9E" w:rsidRPr="007273B0" w:rsidRDefault="004713E0" w:rsidP="004713E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580401"/>
      <w:r w:rsidRPr="007273B0">
        <w:rPr>
          <w:rFonts w:ascii="Simplified Arabic" w:eastAsia="Times New Roman" w:hAnsi="Simplified Arabic" w:cs="Simplified Arabic" w:hint="cs"/>
          <w:b/>
          <w:bCs/>
          <w:color w:val="000000" w:themeColor="text1"/>
          <w:kern w:val="0"/>
          <w:sz w:val="36"/>
          <w:szCs w:val="36"/>
          <w:rtl/>
          <w14:ligatures w14:val="none"/>
        </w:rPr>
        <w:t xml:space="preserve">15.1 </w:t>
      </w:r>
      <w:r w:rsidR="00682B9E" w:rsidRPr="007273B0">
        <w:rPr>
          <w:rFonts w:ascii="Simplified Arabic" w:eastAsia="Times New Roman" w:hAnsi="Simplified Arabic" w:cs="Simplified Arabic"/>
          <w:b/>
          <w:bCs/>
          <w:color w:val="000000" w:themeColor="text1"/>
          <w:kern w:val="0"/>
          <w:sz w:val="36"/>
          <w:szCs w:val="36"/>
          <w:rtl/>
          <w14:ligatures w14:val="none"/>
        </w:rPr>
        <w:t>حدود الدراسة</w:t>
      </w:r>
      <w:bookmarkEnd w:id="26"/>
    </w:p>
    <w:p w14:paraId="3948E9F8" w14:textId="77777777" w:rsidR="00682B9E" w:rsidRPr="007273B0" w:rsidRDefault="00682B9E" w:rsidP="00CD45F1">
      <w:pPr>
        <w:pStyle w:val="ListParagraph"/>
        <w:numPr>
          <w:ilvl w:val="0"/>
          <w:numId w:val="10"/>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الحدود الموضوعية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إدارة المخاطر التنظيمية بأبعادها الأربعة (تحديد المخاطر، تقييم المخاطر، الاستجابة للمخاطر، مراقبة المخاطر) على الالتزام بمعايير </w:t>
      </w:r>
      <w:r w:rsidRPr="007273B0">
        <w:rPr>
          <w:rFonts w:ascii="Simplified Arabic" w:eastAsia="Times New Roman" w:hAnsi="Simplified Arabic" w:cs="Simplified Arabic"/>
          <w:color w:val="000000" w:themeColor="text1"/>
          <w:kern w:val="0"/>
          <w:sz w:val="28"/>
          <w:szCs w:val="28"/>
          <w:rtl/>
          <w14:ligatures w14:val="none"/>
        </w:rPr>
        <w:lastRenderedPageBreak/>
        <w:t>الاستدامة العقارية، دون التطرق إلى أنواع أخرى من المخاطر كالمخاطر المالية أو التقنية بشكل منفصل</w:t>
      </w:r>
      <w:r w:rsidRPr="007273B0">
        <w:rPr>
          <w:rFonts w:ascii="Simplified Arabic" w:eastAsia="Times New Roman" w:hAnsi="Simplified Arabic" w:cs="Simplified Arabic"/>
          <w:color w:val="000000" w:themeColor="text1"/>
          <w:kern w:val="0"/>
          <w:sz w:val="28"/>
          <w:szCs w:val="28"/>
          <w14:ligatures w14:val="none"/>
        </w:rPr>
        <w:t>.</w:t>
      </w:r>
    </w:p>
    <w:p w14:paraId="3D4499A6" w14:textId="77777777" w:rsidR="00682B9E" w:rsidRPr="007273B0" w:rsidRDefault="00682B9E" w:rsidP="00CD45F1">
      <w:pPr>
        <w:pStyle w:val="ListParagraph"/>
        <w:numPr>
          <w:ilvl w:val="0"/>
          <w:numId w:val="10"/>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الحدود المكانية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ستُطبَّق الدراسة على مشاريع رؤية 2030 العقارية الكبرى في المملكة العربية السعودية، وتشمل شركة نيوم، وشركة روشن العقارية، ومشروع البحر الأحمر الدولي، وشركة القدية للاستثمار، والشركة الوطنية للإسكان</w:t>
      </w:r>
      <w:r w:rsidRPr="007273B0">
        <w:rPr>
          <w:rFonts w:ascii="Simplified Arabic" w:eastAsia="Times New Roman" w:hAnsi="Simplified Arabic" w:cs="Simplified Arabic"/>
          <w:color w:val="000000" w:themeColor="text1"/>
          <w:kern w:val="0"/>
          <w:sz w:val="28"/>
          <w:szCs w:val="28"/>
          <w14:ligatures w14:val="none"/>
        </w:rPr>
        <w:t>.</w:t>
      </w:r>
    </w:p>
    <w:p w14:paraId="0BC744E2" w14:textId="77777777" w:rsidR="00682B9E" w:rsidRPr="007273B0" w:rsidRDefault="00682B9E" w:rsidP="00CD45F1">
      <w:pPr>
        <w:pStyle w:val="ListParagraph"/>
        <w:numPr>
          <w:ilvl w:val="0"/>
          <w:numId w:val="10"/>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الحدود الزمانية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 xml:space="preserve">سيتم جمع البيانات الميدانية خلال الفصل الدراسي الثاني من العام الأكاديمي </w:t>
      </w:r>
      <w:r w:rsidRPr="007273B0">
        <w:rPr>
          <w:rFonts w:ascii="Simplified Arabic" w:eastAsia="Times New Roman" w:hAnsi="Simplified Arabic" w:cs="Simplified Arabic"/>
          <w:color w:val="000000" w:themeColor="text1"/>
          <w:kern w:val="0"/>
          <w:sz w:val="28"/>
          <w:szCs w:val="28"/>
          <w14:ligatures w14:val="none"/>
        </w:rPr>
        <w:t>2025/2026</w:t>
      </w:r>
      <w:r w:rsidRPr="007273B0">
        <w:rPr>
          <w:rFonts w:ascii="Simplified Arabic" w:eastAsia="Times New Roman" w:hAnsi="Simplified Arabic" w:cs="Simplified Arabic"/>
          <w:color w:val="000000" w:themeColor="text1"/>
          <w:kern w:val="0"/>
          <w:sz w:val="28"/>
          <w:szCs w:val="28"/>
          <w:rtl/>
          <w14:ligatures w14:val="none"/>
        </w:rPr>
        <w:t>م، وتحديداً خلال الفترة من شهر مايو إلى شهر أغسطس 2026م</w:t>
      </w:r>
      <w:r w:rsidRPr="007273B0">
        <w:rPr>
          <w:rFonts w:ascii="Simplified Arabic" w:eastAsia="Times New Roman" w:hAnsi="Simplified Arabic" w:cs="Simplified Arabic"/>
          <w:color w:val="000000" w:themeColor="text1"/>
          <w:kern w:val="0"/>
          <w:sz w:val="28"/>
          <w:szCs w:val="28"/>
          <w14:ligatures w14:val="none"/>
        </w:rPr>
        <w:t>.</w:t>
      </w:r>
    </w:p>
    <w:p w14:paraId="76AA41D4" w14:textId="77777777" w:rsidR="00682B9E" w:rsidRPr="007273B0" w:rsidRDefault="00682B9E" w:rsidP="00CD45F1">
      <w:pPr>
        <w:pStyle w:val="ListParagraph"/>
        <w:numPr>
          <w:ilvl w:val="0"/>
          <w:numId w:val="10"/>
        </w:numPr>
        <w:tabs>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الحدود البشرية</w:t>
      </w:r>
      <w:r w:rsidRPr="007273B0">
        <w:rPr>
          <w:rFonts w:ascii="Simplified Arabic" w:eastAsia="Times New Roman" w:hAnsi="Simplified Arabic" w:cs="Simplified Arabic"/>
          <w:color w:val="000000" w:themeColor="text1"/>
          <w:kern w:val="0"/>
          <w:sz w:val="28"/>
          <w:szCs w:val="28"/>
          <w14:ligatures w14:val="none"/>
        </w:rPr>
        <w:t xml:space="preserve">: </w:t>
      </w:r>
      <w:r w:rsidRPr="007273B0">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والإشرافية في الشركات والمشاريع المستهدفة، من المديرين التنفيذيين ومديري المشاريع ومديري إدارات المخاطر والاستدامة والجودة والمهندسين المشرفين</w:t>
      </w:r>
      <w:r w:rsidRPr="007273B0">
        <w:rPr>
          <w:rFonts w:ascii="Simplified Arabic" w:eastAsia="Times New Roman" w:hAnsi="Simplified Arabic" w:cs="Simplified Arabic"/>
          <w:color w:val="000000" w:themeColor="text1"/>
          <w:kern w:val="0"/>
          <w:sz w:val="28"/>
          <w:szCs w:val="28"/>
          <w14:ligatures w14:val="none"/>
        </w:rPr>
        <w:t>.</w:t>
      </w:r>
    </w:p>
    <w:p w14:paraId="2B2B19B3" w14:textId="2BC85B4C" w:rsidR="0065335C" w:rsidRPr="007273B0" w:rsidRDefault="004713E0" w:rsidP="000519A7">
      <w:pPr>
        <w:jc w:val="center"/>
        <w:outlineLvl w:val="0"/>
        <w:rPr>
          <w:rFonts w:ascii="Simplified Arabic" w:eastAsia="Times New Roman" w:hAnsi="Simplified Arabic" w:cs="Simplified Arabic"/>
          <w:b/>
          <w:bCs/>
          <w:color w:val="000000" w:themeColor="text1"/>
          <w:kern w:val="0"/>
          <w:sz w:val="40"/>
          <w:szCs w:val="40"/>
          <w14:ligatures w14:val="none"/>
        </w:rPr>
      </w:pPr>
      <w:r w:rsidRPr="007273B0">
        <w:rPr>
          <w:rFonts w:ascii="Simplified Arabic" w:eastAsia="Times New Roman" w:hAnsi="Simplified Arabic" w:cs="Simplified Arabic"/>
          <w:b/>
          <w:bCs/>
          <w:color w:val="000000" w:themeColor="text1"/>
          <w:kern w:val="0"/>
          <w:sz w:val="40"/>
          <w:szCs w:val="40"/>
          <w:rtl/>
          <w14:ligatures w14:val="none"/>
        </w:rPr>
        <w:br w:type="page"/>
      </w:r>
      <w:bookmarkStart w:id="27" w:name="_Toc233580402"/>
      <w:r w:rsidRPr="007273B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65335C" w:rsidRPr="007273B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7"/>
    </w:p>
    <w:p w14:paraId="2F85AF6F" w14:textId="77777777" w:rsidR="0065335C" w:rsidRPr="007273B0" w:rsidRDefault="0065335C" w:rsidP="000519A7">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8" w:name="_Toc233580403"/>
      <w:r w:rsidRPr="007273B0">
        <w:rPr>
          <w:rFonts w:ascii="Simplified Arabic" w:eastAsia="Times New Roman" w:hAnsi="Simplified Arabic" w:cs="Simplified Arabic"/>
          <w:b/>
          <w:bCs/>
          <w:color w:val="000000" w:themeColor="text1"/>
          <w:kern w:val="0"/>
          <w:sz w:val="36"/>
          <w:szCs w:val="36"/>
          <w:rtl/>
          <w14:ligatures w14:val="none"/>
        </w:rPr>
        <w:t>المبحث الأول: إدارة المخاطر التنظيمية</w:t>
      </w:r>
      <w:bookmarkEnd w:id="28"/>
    </w:p>
    <w:p w14:paraId="36A81323" w14:textId="56C17FCE"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580404"/>
      <w:r w:rsidRPr="007273B0">
        <w:rPr>
          <w:rFonts w:ascii="Simplified Arabic" w:eastAsia="Times New Roman" w:hAnsi="Simplified Arabic" w:cs="Simplified Arabic" w:hint="cs"/>
          <w:b/>
          <w:bCs/>
          <w:color w:val="000000" w:themeColor="text1"/>
          <w:kern w:val="0"/>
          <w:sz w:val="32"/>
          <w:szCs w:val="32"/>
          <w:rtl/>
          <w14:ligatures w14:val="none"/>
        </w:rPr>
        <w:t xml:space="preserve">1.1.2 </w:t>
      </w:r>
      <w:r w:rsidR="0065335C" w:rsidRPr="007273B0">
        <w:rPr>
          <w:rFonts w:ascii="Simplified Arabic" w:eastAsia="Times New Roman" w:hAnsi="Simplified Arabic" w:cs="Simplified Arabic"/>
          <w:b/>
          <w:bCs/>
          <w:color w:val="000000" w:themeColor="text1"/>
          <w:kern w:val="0"/>
          <w:sz w:val="32"/>
          <w:szCs w:val="32"/>
          <w:rtl/>
          <w14:ligatures w14:val="none"/>
        </w:rPr>
        <w:t>تمهيد</w:t>
      </w:r>
      <w:bookmarkEnd w:id="29"/>
    </w:p>
    <w:p w14:paraId="68F2E913"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تُمثّل إدارة المخاطر التنظيمية أحد أبرز الحقول المعرفية التي استقطبت اهتمام الباحثين والممارسين في حقل إدارة الأعمال خلال العقود الأخيرة، وذلك في ضوء تنامي حالة عدم اليقين التي باتت تحيط ببيئة المنظمات المعاصرة، وتزايد تعقيد العمليات الإدارية والمالية والتشغيلية التي تضطلع بها هذه المنظمات في ظل اقتصاد عالمي شديد التشابك. وقد أفرز هذا الواقع الجديد ضرورة منهجية مُلحّة لتبنّي مدخل تنظيمي متكامل يُمكّن المنظمات من استشراف المخاطر التي تتهدد بقاءها واستدامتها، ومن ثمّ التعامل معها بأساليب علمية مُمنهجة، بدلاً من الاكتفاء بردود الفعل العشوائية التي طالما اتّسمت بها الممارسات الإدارية التقليدية. وفي هذا السياق، انتقلت إدارة المخاطر من كونها وظيفة فرعية تُمارَس على هامش العمل التنظيمي، إلى منظومة استراتيجية متكاملة تتغلغل في نسيج القرارات الإدارية على مختلف مستوياتها، وتُسهم في تحديد التوجهات الكبرى للمنظمة</w:t>
      </w:r>
      <w:r w:rsidRPr="007273B0">
        <w:rPr>
          <w:rFonts w:ascii="Simplified Arabic" w:eastAsia="Times New Roman" w:hAnsi="Simplified Arabic" w:cs="Simplified Arabic"/>
          <w:color w:val="000000" w:themeColor="text1"/>
          <w:kern w:val="0"/>
          <w:sz w:val="28"/>
          <w:szCs w:val="28"/>
          <w14:ligatures w14:val="none"/>
        </w:rPr>
        <w:t>.</w:t>
      </w:r>
    </w:p>
    <w:p w14:paraId="49E4630E"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ويكتسب هذا المتغير أهمية مضاعفة حين يُنظر إليه في سياق المشاريع العقارية الكبرى، إذ تتميّز هذه المشاريع بحجم استثماري ضخم، ومدة تنفيذ ممتدة، وتداخل واسع بين أطراف متعددة من ممولين ومقاولين وجهات تنظيمية ومستفيدين نهائيين، ممّا يجعلها عرضة لطيف واسع من المخاطر التي تتنوّع بين ما هو مالي وما هو تشغيلي وما هو بيئي وما هو قانوني وما هو سُمعي. ولأن مشاريع رؤية المملكة العربية السعودية 2030 العقارية تنطوي على طموحات تنموية واستثمارية كبرى تستهدف إعادة تشكيل المشهد العمراني والاقتصادي، فإن إخضاع هذه المشاريع لمنظومة إدارة مخاطر تنظيمية رصينة يُعدّ مدخلاً ضرورياً لضمان تحقيق الأهداف المرسومة لها، وصون الموارد الاستثمارية الموجَّهة إليها</w:t>
      </w:r>
      <w:r w:rsidRPr="007273B0">
        <w:rPr>
          <w:rFonts w:ascii="Simplified Arabic" w:eastAsia="Times New Roman" w:hAnsi="Simplified Arabic" w:cs="Simplified Arabic"/>
          <w:color w:val="000000" w:themeColor="text1"/>
          <w:kern w:val="0"/>
          <w:sz w:val="28"/>
          <w:szCs w:val="28"/>
          <w14:ligatures w14:val="none"/>
        </w:rPr>
        <w:t>.</w:t>
      </w:r>
    </w:p>
    <w:p w14:paraId="59B8F22A"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ويسعى هذا المبحث إلى تقديم معالجة نظرية متكاملة لمفهوم إدارة المخاطر التنظيمية، تبدأ باستعراض التعريفات المختلفة التي طرحها الباحثون لهذا المفهوم وتحليلها، ثم تنتقل إلى بيان أهميته التنظيمية والإدارية، فأهدافه التي ترسم له ملامح التطبيق، ثم أبعاده الإجرائية المُعتمدة في الدراسة الحالية والمتمثلة في تحديد المخاطر وتقييمها والاستجابة لها ومراقبتها، فضلاً عن استعراض </w:t>
      </w:r>
      <w:r w:rsidRPr="007273B0">
        <w:rPr>
          <w:rFonts w:ascii="Simplified Arabic" w:eastAsia="Times New Roman" w:hAnsi="Simplified Arabic" w:cs="Simplified Arabic"/>
          <w:color w:val="000000" w:themeColor="text1"/>
          <w:kern w:val="0"/>
          <w:sz w:val="28"/>
          <w:szCs w:val="28"/>
          <w:rtl/>
          <w14:ligatures w14:val="none"/>
        </w:rPr>
        <w:lastRenderedPageBreak/>
        <w:t>الاستراتيجيات والمداخل التي تُؤطّر الممارسة التطبيقية لهذا المتغير، وصولاً إلى عرض جملة من المعالجات البحثية ذات الصلة التي تُمثّل رصيداً معرفياً تُفيد منه الدراسة الحالية في بناء إطارها التحليلي</w:t>
      </w:r>
      <w:r w:rsidRPr="007273B0">
        <w:rPr>
          <w:rFonts w:ascii="Simplified Arabic" w:eastAsia="Times New Roman" w:hAnsi="Simplified Arabic" w:cs="Simplified Arabic"/>
          <w:color w:val="000000" w:themeColor="text1"/>
          <w:kern w:val="0"/>
          <w:sz w:val="28"/>
          <w:szCs w:val="28"/>
          <w14:ligatures w14:val="none"/>
        </w:rPr>
        <w:t>.</w:t>
      </w:r>
    </w:p>
    <w:p w14:paraId="272F2C8C" w14:textId="62768831"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580405"/>
      <w:r w:rsidRPr="007273B0">
        <w:rPr>
          <w:rFonts w:ascii="Simplified Arabic" w:eastAsia="Times New Roman" w:hAnsi="Simplified Arabic" w:cs="Simplified Arabic" w:hint="cs"/>
          <w:b/>
          <w:bCs/>
          <w:color w:val="000000" w:themeColor="text1"/>
          <w:kern w:val="0"/>
          <w:sz w:val="32"/>
          <w:szCs w:val="32"/>
          <w:rtl/>
          <w14:ligatures w14:val="none"/>
        </w:rPr>
        <w:t>2.1.2</w:t>
      </w:r>
      <w:r w:rsidR="0065335C" w:rsidRPr="007273B0">
        <w:rPr>
          <w:rFonts w:ascii="Simplified Arabic" w:eastAsia="Times New Roman" w:hAnsi="Simplified Arabic" w:cs="Simplified Arabic"/>
          <w:b/>
          <w:bCs/>
          <w:color w:val="000000" w:themeColor="text1"/>
          <w:kern w:val="0"/>
          <w:sz w:val="32"/>
          <w:szCs w:val="32"/>
          <w:rtl/>
          <w14:ligatures w14:val="none"/>
        </w:rPr>
        <w:t xml:space="preserve"> مفهوم إدارة المخاطر التنظيمية</w:t>
      </w:r>
      <w:bookmarkEnd w:id="30"/>
    </w:p>
    <w:p w14:paraId="57CCB0ED"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تتعدّد الزوايا التي تناول الباحثون من خلالها مفهوم إدارة المخاطر التنظيمية، ويعكس هذا التعدّد في ذاته ثراء الحقل المعرفي وتطوّره عبر الزمن، وانتقاله من المعالجات الضيقة التي حصرت المفهوم في الجوانب المالية والتأمينية، إلى المعالجات الموسّعة التي تنظر إليه بوصفه منظومة استراتيجية متكاملة. ويُشير حمدان والبشابشة (2024) إلى أن إدارة المخاطر تُمثّل عملية منهجية متكاملة تتولّى المنظمة من خلالها التعرّف على مصادر الخطر المحتملة التي قد تُعطّل تحقيق أهدافها التنظيمية، ثم تحليل هذه المصادر وقياس أثرها المحتمل، وصياغة الاستجابات المناسبة لها بما يُمكّن المنظمة من الحفاظ على مسارها التشغيلي وفاعليتها الكلية. ويُلاحَظ في هذا التعريف أنه يربط إدارة المخاطر ربطاً وثيقاً بمفهوم الفاعلية التنظيمية، ممّا يعكس النظرة الحديثة التي ترى أن إدارة المخاطر ليست هدفاً في ذاتها، بل وسيلة لتحقيق غايات أعلى تتعلّق بأداء المنظمة وقدرتها على البقاء</w:t>
      </w:r>
      <w:r w:rsidRPr="007273B0">
        <w:rPr>
          <w:rFonts w:ascii="Simplified Arabic" w:eastAsia="Times New Roman" w:hAnsi="Simplified Arabic" w:cs="Simplified Arabic"/>
          <w:color w:val="000000" w:themeColor="text1"/>
          <w:kern w:val="0"/>
          <w:sz w:val="28"/>
          <w:szCs w:val="28"/>
          <w14:ligatures w14:val="none"/>
        </w:rPr>
        <w:t>.</w:t>
      </w:r>
    </w:p>
    <w:p w14:paraId="62AC6B88"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مقاربة مغايرة، يتناول الطراونة والحايك (2023) إدارة المخاطر باعتبارها حزمة من السياسات والإجراءات والممارسات الإدارية التي تنتظم في إطار منهجي مُحكم بهدف التعامل مع حالات عدم التأكد التي تكتنف بيئة العمل، حيث ينطلق هذا التعامل من فرضية أساسية مفادها أن الخطر ظاهرة لا يمكن إلغاؤها كلياً، ولكن يمكن تطويعها وتقليص آثارها السلبية من خلال تدخل إداري واعٍ ومُخطَّط. ويُضيف هذا التعريف بُعداً مهماً يتمثّل في النظرة الواقعية للخطر، إذ لا يتعامل معه باعتباره عنصراً يجب التخلّص منه كلياً، بل باعتباره عنصراً متأصّلاً في طبيعة النشاط الإداري ينبغي إدارته باقتدار</w:t>
      </w:r>
      <w:r w:rsidRPr="007273B0">
        <w:rPr>
          <w:rFonts w:ascii="Simplified Arabic" w:eastAsia="Times New Roman" w:hAnsi="Simplified Arabic" w:cs="Simplified Arabic"/>
          <w:color w:val="000000" w:themeColor="text1"/>
          <w:kern w:val="0"/>
          <w:sz w:val="28"/>
          <w:szCs w:val="28"/>
          <w14:ligatures w14:val="none"/>
        </w:rPr>
        <w:t>.</w:t>
      </w:r>
    </w:p>
    <w:p w14:paraId="0BA62EC7"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أكثر تركيزاً على البُعد الاستراتيجي، يطرح حسب الله ومحمد (2023) مفهوم إدارة المخاطر الاستراتيجية باعتبارها عملية متقدّمة تتجاوز التعامل التشغيلي اليومي مع المخاطر، لتصبح جزءاً عضوياً من عملية صنع القرار الاستراتيجي في المنظمة، بحيث تُؤخذ المخاطر في الحسبان منذ المراحل الأولى لصياغة الاستراتيجية، لا في مراحل التنفيذ فحسب. ويُمثّل هذا الطرح نقلة نوعية في فهم المفهوم، إذ يضعه في مرتبة العمليات العليا التي تُمارسها الإدارة العليا، ويُخرجه من نطاق المهام التشغيلية المُسنَدة إلى وحدات وظيفية محدّدة</w:t>
      </w:r>
      <w:r w:rsidRPr="007273B0">
        <w:rPr>
          <w:rFonts w:ascii="Simplified Arabic" w:eastAsia="Times New Roman" w:hAnsi="Simplified Arabic" w:cs="Simplified Arabic"/>
          <w:color w:val="000000" w:themeColor="text1"/>
          <w:kern w:val="0"/>
          <w:sz w:val="28"/>
          <w:szCs w:val="28"/>
          <w14:ligatures w14:val="none"/>
        </w:rPr>
        <w:t>.</w:t>
      </w:r>
    </w:p>
    <w:p w14:paraId="015D5121"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أما في السياق العقاري على وجه الخصوص، فيُعرّف</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إدارة المخاطر الاستثمارية في السوق العقارية بأنها منظومة معاصرة تتكامل فيها الأساليب التحليلية والتقنية لرصد المخاطر المرتبطة بالاستثمار المسؤول في الأصول العقارية، وتقدير تأثيراتها على العائد المتوقع، وصياغة الاستجابات الملائمة في ضوء معايير الاستدامة والمسؤولية البيئية والاجتماعية. ويُبرز هذا التعريف الطابع الخصوصي لإدارة المخاطر في القطاع العقاري، حيث تتشابك المخاطر التقليدية المرتبطة بالسوق والتمويل والتشغيل، مع مخاطر معاصرة ترتبط بالاستدامة والمسؤولية الاجتماعية للشركات</w:t>
      </w:r>
      <w:r w:rsidRPr="007273B0">
        <w:rPr>
          <w:rFonts w:ascii="Simplified Arabic" w:eastAsia="Times New Roman" w:hAnsi="Simplified Arabic" w:cs="Simplified Arabic"/>
          <w:color w:val="000000" w:themeColor="text1"/>
          <w:kern w:val="0"/>
          <w:sz w:val="28"/>
          <w:szCs w:val="28"/>
          <w14:ligatures w14:val="none"/>
        </w:rPr>
        <w:t>.</w:t>
      </w:r>
    </w:p>
    <w:p w14:paraId="73FE0161"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السياق ذاته، يُقدّم</w:t>
      </w:r>
      <w:r w:rsidRPr="007273B0">
        <w:rPr>
          <w:rFonts w:ascii="Simplified Arabic" w:eastAsia="Times New Roman" w:hAnsi="Simplified Arabic" w:cs="Simplified Arabic"/>
          <w:color w:val="000000" w:themeColor="text1"/>
          <w:kern w:val="0"/>
          <w:sz w:val="28"/>
          <w:szCs w:val="28"/>
          <w14:ligatures w14:val="none"/>
        </w:rPr>
        <w:t xml:space="preserve"> Battisti </w:t>
      </w:r>
      <w:r w:rsidRPr="007273B0">
        <w:rPr>
          <w:rFonts w:ascii="Simplified Arabic" w:eastAsia="Times New Roman" w:hAnsi="Simplified Arabic" w:cs="Simplified Arabic"/>
          <w:color w:val="000000" w:themeColor="text1"/>
          <w:kern w:val="0"/>
          <w:sz w:val="28"/>
          <w:szCs w:val="28"/>
          <w:rtl/>
          <w14:ligatures w14:val="none"/>
        </w:rPr>
        <w:t>وآخرون (2020) معالجة مفاهيمية تنظر إلى إدارة المخاطر في عمليات الأعمال العقارية باعتبارها عملية تعتمد بصورة متزايدة على البيانات الضخمة وأدوات التحليل المتقدّم، بحيث لم تعد ممارسة تعتمد على الحدس والخبرة فحسب، بل ممارسة قائمة على الأدلة والمعالجات الكمية الدقيقة. ويعكس هذا التعريف التحوّل الرقمي الذي يشهده الحقل، والذي أعاد تشكيل ممارسات إدارة المخاطر بحيث باتت تستند إلى قدرات تحليلية فائقة تُمكّنها من استشراف المخاطر بدقّة أعلى وفي وقت أبكر</w:t>
      </w:r>
      <w:r w:rsidRPr="007273B0">
        <w:rPr>
          <w:rFonts w:ascii="Simplified Arabic" w:eastAsia="Times New Roman" w:hAnsi="Simplified Arabic" w:cs="Simplified Arabic"/>
          <w:color w:val="000000" w:themeColor="text1"/>
          <w:kern w:val="0"/>
          <w:sz w:val="28"/>
          <w:szCs w:val="28"/>
          <w14:ligatures w14:val="none"/>
        </w:rPr>
        <w:t>.</w:t>
      </w:r>
    </w:p>
    <w:p w14:paraId="7287CE63"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زاوية القطاع المالي، يطرح</w:t>
      </w:r>
      <w:r w:rsidRPr="007273B0">
        <w:rPr>
          <w:rFonts w:ascii="Simplified Arabic" w:eastAsia="Times New Roman" w:hAnsi="Simplified Arabic" w:cs="Simplified Arabic"/>
          <w:color w:val="000000" w:themeColor="text1"/>
          <w:kern w:val="0"/>
          <w:sz w:val="28"/>
          <w:szCs w:val="28"/>
          <w14:ligatures w14:val="none"/>
        </w:rPr>
        <w:t xml:space="preserve"> Adeniran </w:t>
      </w:r>
      <w:r w:rsidRPr="007273B0">
        <w:rPr>
          <w:rFonts w:ascii="Simplified Arabic" w:eastAsia="Times New Roman" w:hAnsi="Simplified Arabic" w:cs="Simplified Arabic"/>
          <w:color w:val="000000" w:themeColor="text1"/>
          <w:kern w:val="0"/>
          <w:sz w:val="28"/>
          <w:szCs w:val="28"/>
          <w:rtl/>
          <w14:ligatures w14:val="none"/>
        </w:rPr>
        <w:t>وآخرون (2024) مفهوم إدارة المخاطر الاستراتيجية في المؤسسات المالية باعتبارها عملية متكاملة تستهدف ضمان الامتثال التنظيمي القوي، وحماية المؤسسة من الانكشافات المالية والقانونية والسُمعية التي قد تنشأ عن الإخفاق في الالتزام بالأطر التشريعية والرقابية المعمول بها. ويُسهم هذا التعريف في توسيع نطاق المفهوم ليشمل بُعد الامتثال التنظيمي بوصفه عنصراً جوهرياً في منظومة إدارة المخاطر المعاصرة، وهو بُعد بالغ الأهمية في القطاع العقاري الذي يخضع لتنظيمات متشعّبة ومتطوّرة</w:t>
      </w:r>
      <w:r w:rsidRPr="007273B0">
        <w:rPr>
          <w:rFonts w:ascii="Simplified Arabic" w:eastAsia="Times New Roman" w:hAnsi="Simplified Arabic" w:cs="Simplified Arabic"/>
          <w:color w:val="000000" w:themeColor="text1"/>
          <w:kern w:val="0"/>
          <w:sz w:val="28"/>
          <w:szCs w:val="28"/>
          <w14:ligatures w14:val="none"/>
        </w:rPr>
        <w:t>.</w:t>
      </w:r>
    </w:p>
    <w:p w14:paraId="5F05A3C6"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ويستخلص الباحث من خلال استعراض هذه التعريفات المتنوّعة أن إدارة المخاطر التنظيمية تُمثّل منظومة إدارية واستراتيجية متكاملة تنتظم في إطارها مجموعة من العمليات المتسلسلة والمترابطة التي تبدأ بالتعرّف المنهجي على المخاطر المحتملة التي تكتنف نشاط المنظمة في مختلف أبعاده، وتمتدّ لتشمل تقييم هذه المخاطر وقياس آثارها واحتمالات وقوعها، وصياغة الاستجابات الملائمة لها وفق منطق التكلفة والعائد، ومراقبتها بصورة مستمرة لضمان ملاءمة الاستجابات للمستجدات. ويرى الباحث أن خصوصية تطبيق هذا المفهوم في سياق المشاريع العقارية الكبرى تستدعي توسيع نطاقه ليتجاوز </w:t>
      </w:r>
      <w:r w:rsidRPr="007273B0">
        <w:rPr>
          <w:rFonts w:ascii="Simplified Arabic" w:eastAsia="Times New Roman" w:hAnsi="Simplified Arabic" w:cs="Simplified Arabic"/>
          <w:color w:val="000000" w:themeColor="text1"/>
          <w:kern w:val="0"/>
          <w:sz w:val="28"/>
          <w:szCs w:val="28"/>
          <w:rtl/>
          <w14:ligatures w14:val="none"/>
        </w:rPr>
        <w:lastRenderedPageBreak/>
        <w:t>المعالجات المالية والتشغيلية التقليدية، نحو معالجات أكثر شمولاً تأخذ في الحسبان المخاطر المرتبطة بالاستدامة البيئية والاجتماعية والحوكمية، باعتبارها مخاطر بنيوية تُؤثّر في الجدوى الكلية للمشروع العقاري على المدى الطويل، ولا يمكن عزلها عن الإطار العام لإدارة المخاطر التنظيمية في هذا القطاع الحيوي</w:t>
      </w:r>
      <w:r w:rsidRPr="007273B0">
        <w:rPr>
          <w:rFonts w:ascii="Simplified Arabic" w:eastAsia="Times New Roman" w:hAnsi="Simplified Arabic" w:cs="Simplified Arabic"/>
          <w:color w:val="000000" w:themeColor="text1"/>
          <w:kern w:val="0"/>
          <w:sz w:val="28"/>
          <w:szCs w:val="28"/>
          <w14:ligatures w14:val="none"/>
        </w:rPr>
        <w:t>.</w:t>
      </w:r>
    </w:p>
    <w:p w14:paraId="7668CDD9" w14:textId="5E33022A"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580406"/>
      <w:r w:rsidRPr="007273B0">
        <w:rPr>
          <w:rFonts w:ascii="Simplified Arabic" w:eastAsia="Times New Roman" w:hAnsi="Simplified Arabic" w:cs="Simplified Arabic" w:hint="cs"/>
          <w:b/>
          <w:bCs/>
          <w:color w:val="000000" w:themeColor="text1"/>
          <w:kern w:val="0"/>
          <w:sz w:val="32"/>
          <w:szCs w:val="32"/>
          <w:rtl/>
          <w14:ligatures w14:val="none"/>
        </w:rPr>
        <w:t>3.1.2</w:t>
      </w:r>
      <w:r w:rsidR="0065335C" w:rsidRPr="007273B0">
        <w:rPr>
          <w:rFonts w:ascii="Simplified Arabic" w:eastAsia="Times New Roman" w:hAnsi="Simplified Arabic" w:cs="Simplified Arabic"/>
          <w:b/>
          <w:bCs/>
          <w:color w:val="000000" w:themeColor="text1"/>
          <w:kern w:val="0"/>
          <w:sz w:val="32"/>
          <w:szCs w:val="32"/>
          <w:rtl/>
          <w14:ligatures w14:val="none"/>
        </w:rPr>
        <w:t xml:space="preserve"> أهمية إدارة المخاطر التنظيمية</w:t>
      </w:r>
      <w:bookmarkEnd w:id="31"/>
    </w:p>
    <w:p w14:paraId="2DAE05C1"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تنبع أهمية إدارة المخاطر التنظيمية من كونها تُمثّل صمّام الأمان الذي يحول دون انجراف المنظمة في تيارات عدم اليقين التي تتلاطم من حولها في بيئة الأعمال المعاصرة، إذ لم يعد بمقدور أي منظمة معاصرة، مهما بلغت من القوة المالية والكفاءة التشغيلية، أن تتجاهل المخاطر المحتملة التي تتربّص بها من زوايا متعدّدة. وقد فرضت التحوّلات الاقتصادية والتكنولوجية والبيئية المتسارعة واقعاً جديداً يستلزم من المنظمات تطوير قدراتها في استشراف المستقبل والتعامل مع متغيراته بوعي ومنهجية، الأمر الذي رفع من قيمة إدارة المخاطر بوصفها وظيفة استراتيجية لا غنى عنها في بناء المنظمات الرشيدة القادرة على البقاء والنمو</w:t>
      </w:r>
      <w:r w:rsidRPr="007273B0">
        <w:rPr>
          <w:rFonts w:ascii="Simplified Arabic" w:eastAsia="Times New Roman" w:hAnsi="Simplified Arabic" w:cs="Simplified Arabic"/>
          <w:color w:val="000000" w:themeColor="text1"/>
          <w:kern w:val="0"/>
          <w:sz w:val="28"/>
          <w:szCs w:val="28"/>
          <w14:ligatures w14:val="none"/>
        </w:rPr>
        <w:t>.</w:t>
      </w:r>
    </w:p>
    <w:p w14:paraId="081F83C6"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ويُشير الطراونة والحايك (2023) إلى أن أهمية إدارة المخاطر تتجلّى في جوانب متعدّدة يمكن استعراضها على النحو التالي: أولها أنها تُسهم في تعزيز كفاءة استخدام الموارد التنظيمية المتاحة، إذ تُمكّن المنظمة من توجيه مواردها نحو الأنشطة الأكثر جدوى وأماناً، وتجنّب الإهدار الذي قد ينجم عن الانكشاف على مخاطر غير محسوبة. وثانيها أنها تُعزّز قدرة المنظمة على اتخاذ قرارات إدارية أكثر رشداً وعقلانية، وذلك من خلال توفير قاعدة معلوماتية رصينة عن طبيعة المخاطر المحتملة وآثارها المتوقعة، ممّا يُقلّل من هامش الخطأ في القرارات الاستراتيجية. وثالثها أنها تُسهم في حماية سمعة المنظمة في السوق وعلاقاتها مع أصحاب المصلحة المختلفين، إذ إن الإخفاق في إدارة المخاطر قد يُفضي إلى أزمات سُمعية يصعب تجاوز آثارها على المدى البعيد. ورابعها أنها تُمثّل ضرورة لضمان استمرارية الأعمال في مواجهة الاضطرابات والصدمات الخارجية المفاجئة</w:t>
      </w:r>
      <w:r w:rsidRPr="007273B0">
        <w:rPr>
          <w:rFonts w:ascii="Simplified Arabic" w:eastAsia="Times New Roman" w:hAnsi="Simplified Arabic" w:cs="Simplified Arabic"/>
          <w:color w:val="000000" w:themeColor="text1"/>
          <w:kern w:val="0"/>
          <w:sz w:val="28"/>
          <w:szCs w:val="28"/>
          <w14:ligatures w14:val="none"/>
        </w:rPr>
        <w:t>.</w:t>
      </w:r>
    </w:p>
    <w:p w14:paraId="3C0F016C"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ويرى البلوي وغيث (2021) أن إدارة المخاطر تكتسب أهمية مضاعفة في سياق المنظمات والمؤسسات التي تعمل في القطاع العام والقطاعات ذات الطابع الاستراتيجي، حيث تتشابك المخاطر التنظيمية مع مخاطر السياسة العامة، ويستوجب الإخفاق فيها كلفاً اجتماعية واقتصادية ضخمة. ويُضيف الباحثان أن آليات الحوكمة الرشيدة تُمثّل البيئة الحاضنة التي تُمارَس فيها إدارة المخاطر بصورة فاعلة، </w:t>
      </w:r>
      <w:r w:rsidRPr="007273B0">
        <w:rPr>
          <w:rFonts w:ascii="Simplified Arabic" w:eastAsia="Times New Roman" w:hAnsi="Simplified Arabic" w:cs="Simplified Arabic"/>
          <w:color w:val="000000" w:themeColor="text1"/>
          <w:kern w:val="0"/>
          <w:sz w:val="28"/>
          <w:szCs w:val="28"/>
          <w:rtl/>
          <w14:ligatures w14:val="none"/>
        </w:rPr>
        <w:lastRenderedPageBreak/>
        <w:t>إذ توفّر الحوكمة الأطر المؤسسية الضامنة للشفافية والمساءلة، وهي شروط أساسية لنجاح أي منظومة لإدارة المخاطر، فضلاً عن أن إدارة المخاطر بدورها تُغذّي منظومة الحوكمة بالمعلومات والتحليلات التي تُمكّنها من تصويب القرارات وتعزيز الرقابة الذاتية</w:t>
      </w:r>
      <w:r w:rsidRPr="007273B0">
        <w:rPr>
          <w:rFonts w:ascii="Simplified Arabic" w:eastAsia="Times New Roman" w:hAnsi="Simplified Arabic" w:cs="Simplified Arabic"/>
          <w:color w:val="000000" w:themeColor="text1"/>
          <w:kern w:val="0"/>
          <w:sz w:val="28"/>
          <w:szCs w:val="28"/>
          <w14:ligatures w14:val="none"/>
        </w:rPr>
        <w:t>.</w:t>
      </w:r>
    </w:p>
    <w:p w14:paraId="26B65272"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المنظمات الأهلية ومنظمات المجتمع المدني، يطرح حسب الله ومحمد (2023) رؤية تُبرز الأهمية المضاعفة لإدارة المخاطر الاستراتيجية في ضمان استمرارية الأعمال، إذ إن هذه المنظمات تعمل في بيئة تتّسم بتقلّب مصادر التمويل وتعدّد أصحاب المصلحة وتشعّب المتطلبات التنظيمية، ممّا يجعل قدرتها على البقاء مرتبطة ارتباطاً وثيقاً بقدرتها على إدارة المخاطر بصورة استباقية ومتكاملة. ويُشير الباحثان إلى أن إدارة المخاطر تُؤدّي دوراً وسيطاً مهماً يربط بين متطلبات التمويل المستدام ومتطلبات استمرارية الأعمال، بحيث تُمثّل آلية الربط التي تُحوّل الموارد المتاحة إلى نتائج مستدامة</w:t>
      </w:r>
      <w:r w:rsidRPr="007273B0">
        <w:rPr>
          <w:rFonts w:ascii="Simplified Arabic" w:eastAsia="Times New Roman" w:hAnsi="Simplified Arabic" w:cs="Simplified Arabic"/>
          <w:color w:val="000000" w:themeColor="text1"/>
          <w:kern w:val="0"/>
          <w:sz w:val="28"/>
          <w:szCs w:val="28"/>
          <w14:ligatures w14:val="none"/>
        </w:rPr>
        <w:t>.</w:t>
      </w:r>
    </w:p>
    <w:p w14:paraId="3B859A75"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زاوية القطاع المالي، يُؤكّد</w:t>
      </w:r>
      <w:r w:rsidRPr="007273B0">
        <w:rPr>
          <w:rFonts w:ascii="Simplified Arabic" w:eastAsia="Times New Roman" w:hAnsi="Simplified Arabic" w:cs="Simplified Arabic"/>
          <w:color w:val="000000" w:themeColor="text1"/>
          <w:kern w:val="0"/>
          <w:sz w:val="28"/>
          <w:szCs w:val="28"/>
          <w14:ligatures w14:val="none"/>
        </w:rPr>
        <w:t xml:space="preserve"> Adeniran </w:t>
      </w:r>
      <w:r w:rsidRPr="007273B0">
        <w:rPr>
          <w:rFonts w:ascii="Simplified Arabic" w:eastAsia="Times New Roman" w:hAnsi="Simplified Arabic" w:cs="Simplified Arabic"/>
          <w:color w:val="000000" w:themeColor="text1"/>
          <w:kern w:val="0"/>
          <w:sz w:val="28"/>
          <w:szCs w:val="28"/>
          <w:rtl/>
          <w14:ligatures w14:val="none"/>
        </w:rPr>
        <w:t>وآخرون (2024) أن إدارة المخاطر الاستراتيجية تُمثّل ركيزة جوهرية في ضمان الامتثال التنظيمي القوي للمؤسسات المالية، وأن أهميتها تتجلّى في حماية المؤسسة من العقوبات التنظيمية المحتملة، وتعزيز ثقة المستثمرين والمتعاملين، وصون مكانتها التنافسية في سوق يتّسم بتشدّد المتطلبات الرقابية وتسارع تطوّرها. ويُضيف الباحثون أن إدارة المخاطر باتت تُمثّل ميزة تنافسية بحدّ ذاتها، إذ تُمكّن المؤسسات التي تتقنها من اقتحام أسواق جديدة وتقديم منتجات مبتكرة كانت ستظلّ بعيدة المنال في غياب القدرة على إدارة المخاطر المصاحبة لها</w:t>
      </w:r>
      <w:r w:rsidRPr="007273B0">
        <w:rPr>
          <w:rFonts w:ascii="Simplified Arabic" w:eastAsia="Times New Roman" w:hAnsi="Simplified Arabic" w:cs="Simplified Arabic"/>
          <w:color w:val="000000" w:themeColor="text1"/>
          <w:kern w:val="0"/>
          <w:sz w:val="28"/>
          <w:szCs w:val="28"/>
          <w14:ligatures w14:val="none"/>
        </w:rPr>
        <w:t>.</w:t>
      </w:r>
    </w:p>
    <w:p w14:paraId="0F835971"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السياق العقاري تحديداً، يرى</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أن إدارة المخاطر تُكتسب أهمية استثنائية في ضوء الطبيعة الخاصة للاستثمار العقاري، الذي يتميّز بطول دورة الاستثمار، وارتفاع حجم رأس المال المُستثمر، وتعدّد المخاطر التي تكتنف هذه الاستثمارات، وتزايد الضغوط المتعلّقة بمعايير الاستثمار المسؤول. ويُؤكّد الباحث أن المداخل المعاصرة لإدارة المخاطر الاستثمارية في السوق العقارية باتت تنطوي على مهمة مزدوجة، تتمثّل في حماية العائد الاستثماري من جهة، وضمان توافق الاستثمار مع متطلبات الاستثمار المسؤول والمعايير البيئية والاجتماعية والحوكمية من جهة أخرى، وهي مهمة لا يمكن الاضطلاع بها في غياب منظومة متطوّرة لإدارة المخاطر</w:t>
      </w:r>
      <w:r w:rsidRPr="007273B0">
        <w:rPr>
          <w:rFonts w:ascii="Simplified Arabic" w:eastAsia="Times New Roman" w:hAnsi="Simplified Arabic" w:cs="Simplified Arabic"/>
          <w:color w:val="000000" w:themeColor="text1"/>
          <w:kern w:val="0"/>
          <w:sz w:val="28"/>
          <w:szCs w:val="28"/>
          <w14:ligatures w14:val="none"/>
        </w:rPr>
        <w:t>.</w:t>
      </w:r>
    </w:p>
    <w:p w14:paraId="3D0AFCD9"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رقمي، يُبرز</w:t>
      </w:r>
      <w:r w:rsidRPr="007273B0">
        <w:rPr>
          <w:rFonts w:ascii="Simplified Arabic" w:eastAsia="Times New Roman" w:hAnsi="Simplified Arabic" w:cs="Simplified Arabic"/>
          <w:color w:val="000000" w:themeColor="text1"/>
          <w:kern w:val="0"/>
          <w:sz w:val="28"/>
          <w:szCs w:val="28"/>
          <w14:ligatures w14:val="none"/>
        </w:rPr>
        <w:t xml:space="preserve"> Battisti </w:t>
      </w:r>
      <w:r w:rsidRPr="007273B0">
        <w:rPr>
          <w:rFonts w:ascii="Simplified Arabic" w:eastAsia="Times New Roman" w:hAnsi="Simplified Arabic" w:cs="Simplified Arabic"/>
          <w:color w:val="000000" w:themeColor="text1"/>
          <w:kern w:val="0"/>
          <w:sz w:val="28"/>
          <w:szCs w:val="28"/>
          <w:rtl/>
          <w14:ligatures w14:val="none"/>
        </w:rPr>
        <w:t xml:space="preserve">وآخرون (2020) أهمية إدارة المخاطر في ظل التحوّل الرقمي وانتشار البيانات الضخمة، إذ باتت المنظمات الرائدة في القطاع العقاري تستخدم هذه البيانات لاستشراف المخاطر بدقّة غير مسبوقة، ولاتخاذ قرارات تنطوي على هامش أعلى من اليقين. ويُؤكّد الباحثون أن </w:t>
      </w:r>
      <w:r w:rsidRPr="007273B0">
        <w:rPr>
          <w:rFonts w:ascii="Simplified Arabic" w:eastAsia="Times New Roman" w:hAnsi="Simplified Arabic" w:cs="Simplified Arabic"/>
          <w:color w:val="000000" w:themeColor="text1"/>
          <w:kern w:val="0"/>
          <w:sz w:val="28"/>
          <w:szCs w:val="28"/>
          <w:rtl/>
          <w14:ligatures w14:val="none"/>
        </w:rPr>
        <w:lastRenderedPageBreak/>
        <w:t>المنظمات التي تتأخّر في تطوير قدراتها في هذا المجال ستجد نفسها في موقع تنافسي ضعيف أمام نظيراتها التي تمتلك قدرات متقدّمة في إدارة المخاطر القائمة على البيانات</w:t>
      </w:r>
      <w:r w:rsidRPr="007273B0">
        <w:rPr>
          <w:rFonts w:ascii="Simplified Arabic" w:eastAsia="Times New Roman" w:hAnsi="Simplified Arabic" w:cs="Simplified Arabic"/>
          <w:color w:val="000000" w:themeColor="text1"/>
          <w:kern w:val="0"/>
          <w:sz w:val="28"/>
          <w:szCs w:val="28"/>
          <w14:ligatures w14:val="none"/>
        </w:rPr>
        <w:t>.</w:t>
      </w:r>
    </w:p>
    <w:p w14:paraId="6992DE88" w14:textId="623F4FC7"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580407"/>
      <w:r w:rsidRPr="007273B0">
        <w:rPr>
          <w:rFonts w:ascii="Simplified Arabic" w:eastAsia="Times New Roman" w:hAnsi="Simplified Arabic" w:cs="Simplified Arabic" w:hint="cs"/>
          <w:b/>
          <w:bCs/>
          <w:color w:val="000000" w:themeColor="text1"/>
          <w:kern w:val="0"/>
          <w:sz w:val="32"/>
          <w:szCs w:val="32"/>
          <w:rtl/>
          <w14:ligatures w14:val="none"/>
        </w:rPr>
        <w:t>4.1.2</w:t>
      </w:r>
      <w:r w:rsidR="0065335C" w:rsidRPr="007273B0">
        <w:rPr>
          <w:rFonts w:ascii="Simplified Arabic" w:eastAsia="Times New Roman" w:hAnsi="Simplified Arabic" w:cs="Simplified Arabic"/>
          <w:b/>
          <w:bCs/>
          <w:color w:val="000000" w:themeColor="text1"/>
          <w:kern w:val="0"/>
          <w:sz w:val="32"/>
          <w:szCs w:val="32"/>
          <w:rtl/>
          <w14:ligatures w14:val="none"/>
        </w:rPr>
        <w:t xml:space="preserve"> أهداف إدارة المخاطر التنظيمية</w:t>
      </w:r>
      <w:bookmarkEnd w:id="32"/>
    </w:p>
    <w:p w14:paraId="426FEF1B"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تتعدّد الأهداف التي تسعى إدارة المخاطر التنظيمية إلى تحقيقها، وتعكس هذه الأهداف الطبيعة المركّبة لهذا الحقل المعرفي، وتداخله مع جملة من الوظائف الإدارية الأخرى. وقد تنوّعت معالجات الباحثين لهذه الأهداف بحسب الزوايا التي تناولوا منها المفهوم</w:t>
      </w:r>
      <w:r w:rsidRPr="007273B0">
        <w:rPr>
          <w:rFonts w:ascii="Simplified Arabic" w:eastAsia="Times New Roman" w:hAnsi="Simplified Arabic" w:cs="Simplified Arabic"/>
          <w:color w:val="000000" w:themeColor="text1"/>
          <w:kern w:val="0"/>
          <w:sz w:val="28"/>
          <w:szCs w:val="28"/>
          <w14:ligatures w14:val="none"/>
        </w:rPr>
        <w:t>.</w:t>
      </w:r>
    </w:p>
    <w:p w14:paraId="5B34C7A2"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ويرى حمدان والبشابشة (2023) أن أهداف إدارة المخاطر التنظيمية تتمحور حول جملة من الغايات الجوهرية، يمكن إجمالها فيما يلي: أولاً، تعزيز قدرة المنظمة على تحقيق أهدافها الاستراتيجية من خلال تقليص المخاطر التي قد تُعطّل مسارها أو تُحرفها عن وجهتها. وثانياً، حماية القدرات الجوهرية للمنظمة وصونها من الانكشاف على مخاطر قد تُفقدها ميزتها التنافسية. وثالثاً، تطوير منظومة المعلومات الإدارية بحيث تتضمّن معلومات مفصّلة عن المخاطر المحتملة وآثارها واحتمالات وقوعها. ورابعاً، تعزيز ثقافة الوعي بالمخاطر داخل المنظمة بحيث تتحوّل من مسؤولية وحدة إدارية محدّدة إلى مسؤولية مشتركة يضطلع بها العاملون على مختلف مستوياتهم. وخامساً، توفير مرجعية موضوعية لتقييم الأداء التنظيمي يُؤخذ فيها بالحسبان البُعد المخاطري إلى جانب أبعاد الكفاءة والفاعلية</w:t>
      </w:r>
      <w:r w:rsidRPr="007273B0">
        <w:rPr>
          <w:rFonts w:ascii="Simplified Arabic" w:eastAsia="Times New Roman" w:hAnsi="Simplified Arabic" w:cs="Simplified Arabic"/>
          <w:color w:val="000000" w:themeColor="text1"/>
          <w:kern w:val="0"/>
          <w:sz w:val="28"/>
          <w:szCs w:val="28"/>
          <w14:ligatures w14:val="none"/>
        </w:rPr>
        <w:t>.</w:t>
      </w:r>
    </w:p>
    <w:p w14:paraId="12DB701D"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بطاقة الأداء المتوازن، يطرح الطراونة والحايك (2023) جملة من الأهداف تتمحور حول: ربط إدارة المخاطر بالأبعاد الاستراتيجية للأداء التنظيمي، وضمان توافق إجراءات إدارة المخاطر مع التوجهات الاستراتيجية العليا للمنظمة، وتطوير مؤشرات قياس تُمكّن من رصد فاعلية إدارة المخاطر بصورة كمّية وموضوعية، فضلاً عن دمج اعتبارات المخاطر في عمليات التخطيط والتنفيذ والمتابعة، وبناء بيئة ثقافية تنظيمية تحتضن الممارسات الفاعلة لإدارة المخاطر وتُعزّزها</w:t>
      </w:r>
      <w:r w:rsidRPr="007273B0">
        <w:rPr>
          <w:rFonts w:ascii="Simplified Arabic" w:eastAsia="Times New Roman" w:hAnsi="Simplified Arabic" w:cs="Simplified Arabic"/>
          <w:color w:val="000000" w:themeColor="text1"/>
          <w:kern w:val="0"/>
          <w:sz w:val="28"/>
          <w:szCs w:val="28"/>
          <w14:ligatures w14:val="none"/>
        </w:rPr>
        <w:t>.</w:t>
      </w:r>
    </w:p>
    <w:p w14:paraId="0768CF59"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ويُضيف عكبور (2025) من منظور إدارة المخاطر السلعية جملة من الأهداف تشمل: تطوير قدرات النمذجة الكمّية للمخاطر التي تكتنف الأسواق والسلع، وتعزيز القدرة على التنبؤ بحركة الأسعار والاتجاهات السوقية، وتقليص الانكشاف على تقلبات الأسواق من خلال أدوات التحوّط الملائمة، ودعم عمليات التسعير بقاعدة معلوماتية رصينة تستوعب الأبعاد المخاطرية المختلفة. ويُلاحَظ أن هذه الأهداف، </w:t>
      </w:r>
      <w:r w:rsidRPr="007273B0">
        <w:rPr>
          <w:rFonts w:ascii="Simplified Arabic" w:eastAsia="Times New Roman" w:hAnsi="Simplified Arabic" w:cs="Simplified Arabic"/>
          <w:color w:val="000000" w:themeColor="text1"/>
          <w:kern w:val="0"/>
          <w:sz w:val="28"/>
          <w:szCs w:val="28"/>
          <w:rtl/>
          <w14:ligatures w14:val="none"/>
        </w:rPr>
        <w:lastRenderedPageBreak/>
        <w:t>وإن نشأت في سياق إدارة مخاطر السلع، تظلّ ذات صلة وثيقة بإدارة المخاطر في القطاع العقاري، نظراً للتشابه القائم بين الأصول العقارية والأصول السلعية في كثير من خصائصها الاقتصادية</w:t>
      </w:r>
      <w:r w:rsidRPr="007273B0">
        <w:rPr>
          <w:rFonts w:ascii="Simplified Arabic" w:eastAsia="Times New Roman" w:hAnsi="Simplified Arabic" w:cs="Simplified Arabic"/>
          <w:color w:val="000000" w:themeColor="text1"/>
          <w:kern w:val="0"/>
          <w:sz w:val="28"/>
          <w:szCs w:val="28"/>
          <w14:ligatures w14:val="none"/>
        </w:rPr>
        <w:t>.</w:t>
      </w:r>
    </w:p>
    <w:p w14:paraId="5AE72F65"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المنظور الاستراتيجي للمؤسسات المالية، يُحدّد</w:t>
      </w:r>
      <w:r w:rsidRPr="007273B0">
        <w:rPr>
          <w:rFonts w:ascii="Simplified Arabic" w:eastAsia="Times New Roman" w:hAnsi="Simplified Arabic" w:cs="Simplified Arabic"/>
          <w:color w:val="000000" w:themeColor="text1"/>
          <w:kern w:val="0"/>
          <w:sz w:val="28"/>
          <w:szCs w:val="28"/>
          <w14:ligatures w14:val="none"/>
        </w:rPr>
        <w:t xml:space="preserve"> Adeniran </w:t>
      </w:r>
      <w:r w:rsidRPr="007273B0">
        <w:rPr>
          <w:rFonts w:ascii="Simplified Arabic" w:eastAsia="Times New Roman" w:hAnsi="Simplified Arabic" w:cs="Simplified Arabic"/>
          <w:color w:val="000000" w:themeColor="text1"/>
          <w:kern w:val="0"/>
          <w:sz w:val="28"/>
          <w:szCs w:val="28"/>
          <w:rtl/>
          <w14:ligatures w14:val="none"/>
        </w:rPr>
        <w:t>وآخرون (2024) جملة من الأهداف تتضمّن: ضمان الامتثال التنظيمي القوي للأطر التشريعية والرقابية، وحماية المؤسسة من الانكشافات المالية والقانونية والسُمعية، وتعزيز قدرة المؤسسة على التكيّف مع المتغيرات التنظيمية المتسارعة، ودعم مكانة المؤسسة التنافسية في سوق شديد التنافسية، وبناء جسور الثقة مع المنظمين والمستثمرين والعملاء</w:t>
      </w:r>
      <w:r w:rsidRPr="007273B0">
        <w:rPr>
          <w:rFonts w:ascii="Simplified Arabic" w:eastAsia="Times New Roman" w:hAnsi="Simplified Arabic" w:cs="Simplified Arabic"/>
          <w:color w:val="000000" w:themeColor="text1"/>
          <w:kern w:val="0"/>
          <w:sz w:val="28"/>
          <w:szCs w:val="28"/>
          <w14:ligatures w14:val="none"/>
        </w:rPr>
        <w:t>.</w:t>
      </w:r>
    </w:p>
    <w:p w14:paraId="72121A05"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القطاع العقاري، يطرح</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جملة من الأهداف تتمحور حول: تحقيق التوازن بين العائد الاستثماري واعتبارات المسؤولية البيئية والاجتماعية، وضمان توافق الاستثمارات العقارية مع معايير الاستثمار المسؤول، وتطوير منهجيات حديثة لتقييم المخاطر تستوعب الأبعاد المعاصرة للاستدامة، وحماية المستثمرين من المخاطر الجديدة المرتبطة بالتحوّلات البيئية والمناخية، ودعم اتخاذ القرارات الاستثمارية في بيئة تتّسم بتسارع التغيير وتعدّد مصادر عدم اليقين</w:t>
      </w:r>
      <w:r w:rsidRPr="007273B0">
        <w:rPr>
          <w:rFonts w:ascii="Simplified Arabic" w:eastAsia="Times New Roman" w:hAnsi="Simplified Arabic" w:cs="Simplified Arabic"/>
          <w:color w:val="000000" w:themeColor="text1"/>
          <w:kern w:val="0"/>
          <w:sz w:val="28"/>
          <w:szCs w:val="28"/>
          <w14:ligatures w14:val="none"/>
        </w:rPr>
        <w:t>.</w:t>
      </w:r>
    </w:p>
    <w:p w14:paraId="3B7D13F9" w14:textId="073D4B53"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580408"/>
      <w:r w:rsidRPr="007273B0">
        <w:rPr>
          <w:rFonts w:ascii="Simplified Arabic" w:eastAsia="Times New Roman" w:hAnsi="Simplified Arabic" w:cs="Simplified Arabic" w:hint="cs"/>
          <w:b/>
          <w:bCs/>
          <w:color w:val="000000" w:themeColor="text1"/>
          <w:kern w:val="0"/>
          <w:sz w:val="32"/>
          <w:szCs w:val="32"/>
          <w:rtl/>
          <w14:ligatures w14:val="none"/>
        </w:rPr>
        <w:t>5.1.2</w:t>
      </w:r>
      <w:r w:rsidR="0065335C" w:rsidRPr="007273B0">
        <w:rPr>
          <w:rFonts w:ascii="Simplified Arabic" w:eastAsia="Times New Roman" w:hAnsi="Simplified Arabic" w:cs="Simplified Arabic"/>
          <w:b/>
          <w:bCs/>
          <w:color w:val="000000" w:themeColor="text1"/>
          <w:kern w:val="0"/>
          <w:sz w:val="32"/>
          <w:szCs w:val="32"/>
          <w:rtl/>
          <w14:ligatures w14:val="none"/>
        </w:rPr>
        <w:t xml:space="preserve"> أبعاد إدارة المخاطر التنظيمية</w:t>
      </w:r>
      <w:bookmarkEnd w:id="33"/>
    </w:p>
    <w:p w14:paraId="48740F7F"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تمّ تحديد أبعاد إدارة المخاطر التنظيمية في الدراسة الحالية بناءً على دراسة حمدان والبشابشة (2024)، ودراسة الطراونة والحايك (2023)، حيث تتكامل هاتان الدراستان في تقديم تصوّر متكامل لأبعاد هذا المتغير، يتمحور حول أربعة أبعاد رئيسية تُمثّل دورة عمل متّصلة تبدأ بتحديد المخاطر، وتمتدّ إلى تقييمها، فالاستجابة لها، فمراقبتها بصورة مستمرة. وفيما يلي عرض تفصيلي لهذه الأبعاد</w:t>
      </w:r>
      <w:r w:rsidRPr="007273B0">
        <w:rPr>
          <w:rFonts w:ascii="Simplified Arabic" w:eastAsia="Times New Roman" w:hAnsi="Simplified Arabic" w:cs="Simplified Arabic"/>
          <w:color w:val="000000" w:themeColor="text1"/>
          <w:kern w:val="0"/>
          <w:sz w:val="28"/>
          <w:szCs w:val="28"/>
          <w14:ligatures w14:val="none"/>
        </w:rPr>
        <w:t>:</w:t>
      </w:r>
    </w:p>
    <w:p w14:paraId="27836563" w14:textId="77777777" w:rsidR="0065335C" w:rsidRPr="007273B0" w:rsidRDefault="0065335C"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الأول: تحديد المخاطر</w:t>
      </w:r>
    </w:p>
    <w:p w14:paraId="76D5502B"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يُمثّل تحديد المخاطر الخطوة الأولى والمدخل الجوهري لمنظومة إدارة المخاطر التنظيمية، إذ لا يمكن إدارة ما لم يُعرَف، ولا يمكن مواجهة ما لم يُحدَّد. ويُشير حمدان والبشابشة (2024) إلى أن تحديد المخاطر يتضمّن عملية منهجية يجري من خلالها التعرّف على المخاطر المحتملة التي قد تواجه المنظمة في مختلف مجالات عملها، وتصنيف هذه المخاطر وفق معايير علمية مُحدَّدة، وتوثيقها في سجلات نظامية تُمكّن من الرجوع إليها واستخدامها في مراحل لاحقة من دورة إدارة المخاطر. ويستلزم هذا </w:t>
      </w:r>
      <w:r w:rsidRPr="007273B0">
        <w:rPr>
          <w:rFonts w:ascii="Simplified Arabic" w:eastAsia="Times New Roman" w:hAnsi="Simplified Arabic" w:cs="Simplified Arabic"/>
          <w:color w:val="000000" w:themeColor="text1"/>
          <w:kern w:val="0"/>
          <w:sz w:val="28"/>
          <w:szCs w:val="28"/>
          <w:rtl/>
          <w14:ligatures w14:val="none"/>
        </w:rPr>
        <w:lastRenderedPageBreak/>
        <w:t>البُعد قدرة عالية على استقراء الواقع التنظيمي وتفكيكه إلى عناصره الأساسية، ورصد مصادر الخطر الكامنة فيه سواءً تلك التي تنبع من البيئة الداخلية للمنظمة أو تلك التي تتسلّل إليها من بيئتها الخارجية</w:t>
      </w:r>
      <w:r w:rsidRPr="007273B0">
        <w:rPr>
          <w:rFonts w:ascii="Simplified Arabic" w:eastAsia="Times New Roman" w:hAnsi="Simplified Arabic" w:cs="Simplified Arabic"/>
          <w:color w:val="000000" w:themeColor="text1"/>
          <w:kern w:val="0"/>
          <w:sz w:val="28"/>
          <w:szCs w:val="28"/>
          <w14:ligatures w14:val="none"/>
        </w:rPr>
        <w:t>.</w:t>
      </w:r>
    </w:p>
    <w:p w14:paraId="70716D37"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ويتطلّب تحديد المخاطر في السياق العقاري وعياً عميقاً بخصوصية هذا القطاع وتشعّب مصادر الخطر فيه، إذ تتنوّع هذه المصادر بين ما هو مرتبط بطبيعة السوق العقارية وتقلباتها، وما هو مرتبط بالأطر التنظيمية والتشريعية التي تحكم هذا القطاع، وما هو مرتبط بالظروف البيئية والمناخية التي باتت تُلقي بظلالها على الاستثمارات العقارية. ويُؤكّد</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أن المنظومات المعاصرة لتحديد المخاطر في القطاع العقاري باتت تستوعب فئات جديدة من المخاطر لم تكن مأخوذة بالحسبان في الممارسات التقليدية، ومنها مخاطر الاستدامة والمخاطر المناخية ومخاطر الحوكمة، وأن استيعاب هذه الفئات الجديدة يتطلّب تطوير أدوات ومنهجيات تحديد تتجاوز الأطر الكلاسيكية</w:t>
      </w:r>
      <w:r w:rsidRPr="007273B0">
        <w:rPr>
          <w:rFonts w:ascii="Simplified Arabic" w:eastAsia="Times New Roman" w:hAnsi="Simplified Arabic" w:cs="Simplified Arabic"/>
          <w:color w:val="000000" w:themeColor="text1"/>
          <w:kern w:val="0"/>
          <w:sz w:val="28"/>
          <w:szCs w:val="28"/>
          <w14:ligatures w14:val="none"/>
        </w:rPr>
        <w:t>.</w:t>
      </w:r>
    </w:p>
    <w:p w14:paraId="4A77D0E3" w14:textId="77777777" w:rsidR="0065335C" w:rsidRPr="007273B0" w:rsidRDefault="0065335C"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الثاني: تقييم المخاطر</w:t>
      </w:r>
    </w:p>
    <w:p w14:paraId="719582AF"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يُمثّل تقييم المخاطر البُعد الثاني في منظومة إدارة المخاطر التنظيمية، ويتولّى هذا البُعد مهمة تحليل المخاطر المُحدَّدة في المرحلة السابقة، وتقدير احتمالية وقوعها وحجم تأثيرها المحتمل على المنظمة، وترتيب أولوياتها وفق منطق علمي يأخذ بالحسبان العلاقة بين الاحتمال والأثر. ويتناول الطراونة والحايك (2023) هذا البُعد باعتباره عملية تحليلية مركّبة تستلزم استخدام أدوات كمّية ونوعية متنوّعة، تتراوح بين النماذج الإحصائية المتقدّمة وأساليب التحليل النوعي القائمة على آراء الخبراء وتقديراتهم المهنية</w:t>
      </w:r>
      <w:r w:rsidRPr="007273B0">
        <w:rPr>
          <w:rFonts w:ascii="Simplified Arabic" w:eastAsia="Times New Roman" w:hAnsi="Simplified Arabic" w:cs="Simplified Arabic"/>
          <w:color w:val="000000" w:themeColor="text1"/>
          <w:kern w:val="0"/>
          <w:sz w:val="28"/>
          <w:szCs w:val="28"/>
          <w14:ligatures w14:val="none"/>
        </w:rPr>
        <w:t>.</w:t>
      </w:r>
    </w:p>
    <w:p w14:paraId="0FC354D6"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ويُعدّ تقييم المخاطر مرحلة بالغة الحساسية، إذ يتوقّف على دقّة التقييم وموضوعيته صواب القرارات اللاحقة المتعلّقة بالاستجابة للمخاطر. ويُبرز عكبور (2025) أهمية النمذجة الكمّية في تقييم المخاطر، مُؤكّداً أن المنظومات الحديثة لتقييم المخاطر باتت تعتمد بصورة متزايدة على نماذج رياضية متقدّمة تُمكّن من تقدير المخاطر بدقّة أعلى، ومن استشراف تطوّرها المحتمل في ظل سيناريوهات بديلة. ويتكامل هذا الطرح مع ما يُشير إليه</w:t>
      </w:r>
      <w:r w:rsidRPr="007273B0">
        <w:rPr>
          <w:rFonts w:ascii="Simplified Arabic" w:eastAsia="Times New Roman" w:hAnsi="Simplified Arabic" w:cs="Simplified Arabic"/>
          <w:color w:val="000000" w:themeColor="text1"/>
          <w:kern w:val="0"/>
          <w:sz w:val="28"/>
          <w:szCs w:val="28"/>
          <w14:ligatures w14:val="none"/>
        </w:rPr>
        <w:t xml:space="preserve"> Battisti </w:t>
      </w:r>
      <w:r w:rsidRPr="007273B0">
        <w:rPr>
          <w:rFonts w:ascii="Simplified Arabic" w:eastAsia="Times New Roman" w:hAnsi="Simplified Arabic" w:cs="Simplified Arabic"/>
          <w:color w:val="000000" w:themeColor="text1"/>
          <w:kern w:val="0"/>
          <w:sz w:val="28"/>
          <w:szCs w:val="28"/>
          <w:rtl/>
          <w14:ligatures w14:val="none"/>
        </w:rPr>
        <w:t>وآخرون (2020) من أن البيانات الضخمة باتت تُمثّل وقوداً جوهرياً لعمليات تقييم المخاطر، إذ تُتيح لمنظومات التقييم الاستناد إلى قواعد بيانات هائلة الحجم ومتعدّدة المصادر، ممّا يُعزّز موثوقية التقييم ويُقلّل من هامش الخطأ فيه</w:t>
      </w:r>
      <w:r w:rsidRPr="007273B0">
        <w:rPr>
          <w:rFonts w:ascii="Simplified Arabic" w:eastAsia="Times New Roman" w:hAnsi="Simplified Arabic" w:cs="Simplified Arabic"/>
          <w:color w:val="000000" w:themeColor="text1"/>
          <w:kern w:val="0"/>
          <w:sz w:val="28"/>
          <w:szCs w:val="28"/>
          <w14:ligatures w14:val="none"/>
        </w:rPr>
        <w:t>.</w:t>
      </w:r>
    </w:p>
    <w:p w14:paraId="539A4086" w14:textId="77777777" w:rsidR="0065335C" w:rsidRPr="007273B0" w:rsidRDefault="0065335C"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الثالث: الاستجابة للمخاطر</w:t>
      </w:r>
    </w:p>
    <w:p w14:paraId="5FAA4A04"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تنتقل منظومة إدارة المخاطر التنظيمية بعد مرحلة التقييم إلى مرحلة الاستجابة، وهي المرحلة التي يجري فيها صياغة الاستراتيجيات والإجراءات المُتّخذة للتعامل مع المخاطر المُقيَّمة. ويُشير حمدان والبشابشة (2023) في رسالته الدكتوراه إلى أن الاستجابة للمخاطر تنطوي على طيف من الخيارات الاستراتيجية التي يجري المفاضلة بينها وفق معطيات كل خطر على حدة، وتشمل هذه الخيارات: تجنّب الخطر من خلال الامتناع عن النشاط الذي يولّده، وتخفيفه من خلال تطبيق ضوابط تُقلّل من احتمال وقوعه أو من حجم أثره، ونقله إلى أطراف أخرى من خلال آليات التأمين والتعاقد، وقبوله حين تكون كلفة معالجته أكبر من كلفته المحتملة</w:t>
      </w:r>
      <w:r w:rsidRPr="007273B0">
        <w:rPr>
          <w:rFonts w:ascii="Simplified Arabic" w:eastAsia="Times New Roman" w:hAnsi="Simplified Arabic" w:cs="Simplified Arabic"/>
          <w:color w:val="000000" w:themeColor="text1"/>
          <w:kern w:val="0"/>
          <w:sz w:val="28"/>
          <w:szCs w:val="28"/>
          <w14:ligatures w14:val="none"/>
        </w:rPr>
        <w:t>.</w:t>
      </w:r>
    </w:p>
    <w:p w14:paraId="22E66687"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ويتطلّب اختيار الاستجابة الملائمة تحليلاً دقيقاً للعلاقة بين كلفة الاستجابة والعائد المتوقع منها، فضلاً عن مراعاة الاتساق بين الاستجابة المختارة والتوجهات الاستراتيجية للمنظمة. ويُبرز</w:t>
      </w:r>
      <w:r w:rsidRPr="007273B0">
        <w:rPr>
          <w:rFonts w:ascii="Simplified Arabic" w:eastAsia="Times New Roman" w:hAnsi="Simplified Arabic" w:cs="Simplified Arabic"/>
          <w:color w:val="000000" w:themeColor="text1"/>
          <w:kern w:val="0"/>
          <w:sz w:val="28"/>
          <w:szCs w:val="28"/>
          <w14:ligatures w14:val="none"/>
        </w:rPr>
        <w:t xml:space="preserve"> Adeniran </w:t>
      </w:r>
      <w:r w:rsidRPr="007273B0">
        <w:rPr>
          <w:rFonts w:ascii="Simplified Arabic" w:eastAsia="Times New Roman" w:hAnsi="Simplified Arabic" w:cs="Simplified Arabic"/>
          <w:color w:val="000000" w:themeColor="text1"/>
          <w:kern w:val="0"/>
          <w:sz w:val="28"/>
          <w:szCs w:val="28"/>
          <w:rtl/>
          <w14:ligatures w14:val="none"/>
        </w:rPr>
        <w:t>وآخرون (2024) أهمية أن تكون الاستجابات للمخاطر منسجمة مع متطلبات الامتثال التنظيمي، وأن تأخذ بالحسبان الانعكاسات المحتملة لكل استجابة على علاقة المنظمة بالجهات الرقابية والمنظمة لقطاعها. ويُضيف</w:t>
      </w:r>
      <w:r w:rsidRPr="007273B0">
        <w:rPr>
          <w:rFonts w:ascii="Simplified Arabic" w:eastAsia="Times New Roman" w:hAnsi="Simplified Arabic" w:cs="Simplified Arabic"/>
          <w:color w:val="000000" w:themeColor="text1"/>
          <w:kern w:val="0"/>
          <w:sz w:val="28"/>
          <w:szCs w:val="28"/>
          <w14:ligatures w14:val="none"/>
        </w:rPr>
        <w:t xml:space="preserve"> Walraven </w:t>
      </w:r>
      <w:r w:rsidRPr="007273B0">
        <w:rPr>
          <w:rFonts w:ascii="Simplified Arabic" w:eastAsia="Times New Roman" w:hAnsi="Simplified Arabic" w:cs="Simplified Arabic"/>
          <w:color w:val="000000" w:themeColor="text1"/>
          <w:kern w:val="0"/>
          <w:sz w:val="28"/>
          <w:szCs w:val="28"/>
          <w:rtl/>
          <w14:ligatures w14:val="none"/>
        </w:rPr>
        <w:t>وآخرون (2025) أن الاستجابات الفاعلة للمخاطر في القطاع العقاري باتت تستوعب البُعد الاستدامي بشكل جوهري، بحيث تُصبح الاستجابات أداةً مزدوجة لإدارة الخطر وتعزيز الاستدامة في آن واحد</w:t>
      </w:r>
      <w:r w:rsidRPr="007273B0">
        <w:rPr>
          <w:rFonts w:ascii="Simplified Arabic" w:eastAsia="Times New Roman" w:hAnsi="Simplified Arabic" w:cs="Simplified Arabic"/>
          <w:color w:val="000000" w:themeColor="text1"/>
          <w:kern w:val="0"/>
          <w:sz w:val="28"/>
          <w:szCs w:val="28"/>
          <w14:ligatures w14:val="none"/>
        </w:rPr>
        <w:t>.</w:t>
      </w:r>
    </w:p>
    <w:p w14:paraId="7BF8122B" w14:textId="77777777" w:rsidR="0065335C" w:rsidRPr="007273B0" w:rsidRDefault="0065335C"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الرابع: مراقبة المخاطر</w:t>
      </w:r>
    </w:p>
    <w:p w14:paraId="76DE069C"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يُمثّل البُعد الرابع والأخير في منظومة إدارة المخاطر التنظيمية، ويتولّى مهمة المتابعة المستمرة للمخاطر ومراجعة خطط الاستجابة وتحديثها والإبلاغ عنها للأطراف المعنية. وتنبع أهمية هذا البُعد من الطبيعة الديناميكية للمخاطر، إذ تتغيّر المخاطر باستمرار في طبيعتها واحتمالات وقوعها وحجم أثرها، ممّا يستدعي وجود منظومة رقابية مرنة قادرة على رصد هذه التغيرات والاستجابة لها بسرعة وفاعلية</w:t>
      </w:r>
      <w:r w:rsidRPr="007273B0">
        <w:rPr>
          <w:rFonts w:ascii="Simplified Arabic" w:eastAsia="Times New Roman" w:hAnsi="Simplified Arabic" w:cs="Simplified Arabic"/>
          <w:color w:val="000000" w:themeColor="text1"/>
          <w:kern w:val="0"/>
          <w:sz w:val="28"/>
          <w:szCs w:val="28"/>
          <w14:ligatures w14:val="none"/>
        </w:rPr>
        <w:t>.</w:t>
      </w:r>
    </w:p>
    <w:p w14:paraId="3EB08CC7"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ويُشير حمدان والبشابشة (2024) إلى أن مراقبة المخاطر تتضمّن آليات متعدّدة، تشمل: التقارير الدورية عن حالة المخاطر، والمراجعات المنتظمة لخطط الاستجابة، والمؤشرات المُسبَقة للإنذار التي تُتيح الكشف المبكّر عن تطوّر المخاطر، ومنظومات التواصل التي تضمن وصول المعلومات المخاطرية إلى صنّاع القرار في الوقت المناسب. ويُؤكّد البلوي وغيث (2021) أن آليات الحوكمة الرشيدة تُمثّل الإطار المؤسسي الذي تنتظم فيه عمليات مراقبة المخاطر، حيث توفّر الحوكمة المتطلبات المعيارية للشفافية والمساءلة التي تضمن فاعلية المراقبة وموثوقية تقاريرها</w:t>
      </w:r>
      <w:r w:rsidRPr="007273B0">
        <w:rPr>
          <w:rFonts w:ascii="Simplified Arabic" w:eastAsia="Times New Roman" w:hAnsi="Simplified Arabic" w:cs="Simplified Arabic"/>
          <w:color w:val="000000" w:themeColor="text1"/>
          <w:kern w:val="0"/>
          <w:sz w:val="28"/>
          <w:szCs w:val="28"/>
          <w14:ligatures w14:val="none"/>
        </w:rPr>
        <w:t>.</w:t>
      </w:r>
    </w:p>
    <w:p w14:paraId="16157CBF" w14:textId="436C2962" w:rsidR="0065335C"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580409"/>
      <w:r w:rsidRPr="007273B0">
        <w:rPr>
          <w:rFonts w:ascii="Simplified Arabic" w:eastAsia="Times New Roman" w:hAnsi="Simplified Arabic" w:cs="Simplified Arabic" w:hint="cs"/>
          <w:b/>
          <w:bCs/>
          <w:color w:val="000000" w:themeColor="text1"/>
          <w:kern w:val="0"/>
          <w:sz w:val="32"/>
          <w:szCs w:val="32"/>
          <w:rtl/>
          <w14:ligatures w14:val="none"/>
        </w:rPr>
        <w:lastRenderedPageBreak/>
        <w:t>6.1.2</w:t>
      </w:r>
      <w:r w:rsidR="0065335C" w:rsidRPr="007273B0">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المخاطر التنظيمية والمداخل الحديثة لتطبيقها</w:t>
      </w:r>
      <w:bookmarkEnd w:id="34"/>
    </w:p>
    <w:p w14:paraId="515F65AE"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تتنوّع الاستراتيجيات التي تُؤطّر الممارسة التطبيقية لإدارة المخاطر التنظيمية، وتعكس هذه الاستراتيجيات تطوّر الحقل المعرفي وتفاعله مع المستجدات الإدارية والتقنية. وتُمثّل استراتيجية إدارة المخاطر القائمة على البيانات الضخمة أحد أبرز هذه المداخل المعاصرة، حيث يُؤكّد</w:t>
      </w:r>
      <w:r w:rsidRPr="007273B0">
        <w:rPr>
          <w:rFonts w:ascii="Simplified Arabic" w:eastAsia="Times New Roman" w:hAnsi="Simplified Arabic" w:cs="Simplified Arabic"/>
          <w:color w:val="000000" w:themeColor="text1"/>
          <w:kern w:val="0"/>
          <w:sz w:val="28"/>
          <w:szCs w:val="28"/>
          <w14:ligatures w14:val="none"/>
        </w:rPr>
        <w:t xml:space="preserve"> Battisti </w:t>
      </w:r>
      <w:r w:rsidRPr="007273B0">
        <w:rPr>
          <w:rFonts w:ascii="Simplified Arabic" w:eastAsia="Times New Roman" w:hAnsi="Simplified Arabic" w:cs="Simplified Arabic"/>
          <w:color w:val="000000" w:themeColor="text1"/>
          <w:kern w:val="0"/>
          <w:sz w:val="28"/>
          <w:szCs w:val="28"/>
          <w:rtl/>
          <w14:ligatures w14:val="none"/>
        </w:rPr>
        <w:t>وآخرون (2020) أن دمج البيانات الضخمة في عمليات إدارة المخاطر يُعيد تشكيل هذه الممارسة بصورة جذرية، إذ يُتيح للمنظمات الانتقال من المعالجات الاستردادية المعتمدة على الأحداث الماضية إلى المعالجات الاستباقية القائمة على استشراف المستقبل. ويتطلّب تبنّي هذا المدخل توافر بنية تحتية تقنية متطوّرة، وكفاءات بشرية متخصّصة، وثقافة تنظيمية تحتضن الابتكار وتُشجّع على الاستفادة من إمكانيات التحوّل الرقمي</w:t>
      </w:r>
      <w:r w:rsidRPr="007273B0">
        <w:rPr>
          <w:rFonts w:ascii="Simplified Arabic" w:eastAsia="Times New Roman" w:hAnsi="Simplified Arabic" w:cs="Simplified Arabic"/>
          <w:color w:val="000000" w:themeColor="text1"/>
          <w:kern w:val="0"/>
          <w:sz w:val="28"/>
          <w:szCs w:val="28"/>
          <w14:ligatures w14:val="none"/>
        </w:rPr>
        <w:t>.</w:t>
      </w:r>
    </w:p>
    <w:p w14:paraId="53CCAA30"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وتُمثّل استراتيجية الربط بين إدارة المخاطر والحوكمة المؤسسية مدخلاً آخر بالغ الأهمية، حيث يُبرز البلوي وغيث (2021) أن آليات الحوكمة الرشيدة تُمثّل البيئة الحاضنة التي تُمارَس فيها إدارة المخاطر بصورة فاعلة، وأن نجاح إدارة المخاطر يستلزم تكاملها العضوي مع منظومة الحوكمة بمختلف عناصرها. ويتمحور هذا المدخل حول جملة من المبادئ، تشمل: ضمان الفصل بين مهام الإدارة التنفيذية ومهام الإشراف والرقابة، وتعزيز الشفافية في الإفصاح عن المخاطر، وتوفير قنوات مساءلة فاعلة، وتمكين أصحاب المصلحة من المشاركة في الرقابة على منظومة إدارة المخاطر</w:t>
      </w:r>
      <w:r w:rsidRPr="007273B0">
        <w:rPr>
          <w:rFonts w:ascii="Simplified Arabic" w:eastAsia="Times New Roman" w:hAnsi="Simplified Arabic" w:cs="Simplified Arabic"/>
          <w:color w:val="000000" w:themeColor="text1"/>
          <w:kern w:val="0"/>
          <w:sz w:val="28"/>
          <w:szCs w:val="28"/>
          <w14:ligatures w14:val="none"/>
        </w:rPr>
        <w:t>.</w:t>
      </w:r>
    </w:p>
    <w:p w14:paraId="6DA9D571"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وتطرح استراتيجية إدارة المخاطر الاستراتيجية المتكاملة مع التمويل المستدام مدخلاً معاصراً يستجيب للمتطلبات الجديدة لبيئة الأعمال. ويُشير حسب الله ومحمد (2023) إلى أن هذا المدخل يقوم على ربط عضوي بين القرارات المخاطرية والقرارات التمويلية، بحيث تُصبح إدارة المخاطر أداةً لتعزيز قدرة المنظمة على الوصول إلى مصادر التمويل المستدام، وتُصبح مصادر التمويل المستدام بدورها أداةً لتقليص الانكشاف على المخاطر الاستراتيجية بعيدة المدى</w:t>
      </w:r>
      <w:r w:rsidRPr="007273B0">
        <w:rPr>
          <w:rFonts w:ascii="Simplified Arabic" w:eastAsia="Times New Roman" w:hAnsi="Simplified Arabic" w:cs="Simplified Arabic"/>
          <w:color w:val="000000" w:themeColor="text1"/>
          <w:kern w:val="0"/>
          <w:sz w:val="28"/>
          <w:szCs w:val="28"/>
          <w14:ligatures w14:val="none"/>
        </w:rPr>
        <w:t>.</w:t>
      </w:r>
    </w:p>
    <w:p w14:paraId="276E405F"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السياق العقاري، تطرح استراتيجية الاستثمار المسؤول مدخلاً متخصّصاً لإدارة المخاطر، حيث يُؤكّد</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 xml:space="preserve">أن المداخل المعاصرة لإدارة المخاطر الاستثمارية في السوق العقارية باتت تنطلق من فلسفة الاستثمار المسؤول، التي تدمج اعتبارات الاستدامة البيئية والاجتماعية والحوكمية في صلب عمليات اتخاذ القرار الاستثماري. ويتميّز هذا المدخل بنظرته الشاملة للمخاطر، إذ لا يكتفي </w:t>
      </w:r>
      <w:r w:rsidRPr="007273B0">
        <w:rPr>
          <w:rFonts w:ascii="Simplified Arabic" w:eastAsia="Times New Roman" w:hAnsi="Simplified Arabic" w:cs="Simplified Arabic"/>
          <w:color w:val="000000" w:themeColor="text1"/>
          <w:kern w:val="0"/>
          <w:sz w:val="28"/>
          <w:szCs w:val="28"/>
          <w:rtl/>
          <w14:ligatures w14:val="none"/>
        </w:rPr>
        <w:lastRenderedPageBreak/>
        <w:t>بالنظر إلى المخاطر التقليدية المرتبطة بالعائد المالي، بل يستوعب أيضاً المخاطر المعاصرة المرتبطة بالتحوّلات المجتمعية والبيئية وتأثيراتها على القيمة الاستثمارية للأصول العقارية</w:t>
      </w:r>
      <w:r w:rsidRPr="007273B0">
        <w:rPr>
          <w:rFonts w:ascii="Simplified Arabic" w:eastAsia="Times New Roman" w:hAnsi="Simplified Arabic" w:cs="Simplified Arabic"/>
          <w:color w:val="000000" w:themeColor="text1"/>
          <w:kern w:val="0"/>
          <w:sz w:val="28"/>
          <w:szCs w:val="28"/>
          <w14:ligatures w14:val="none"/>
        </w:rPr>
        <w:t>.</w:t>
      </w:r>
    </w:p>
    <w:p w14:paraId="4BA83AC7" w14:textId="77777777" w:rsidR="0065335C" w:rsidRPr="007273B0" w:rsidRDefault="0065335C"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وتُمثّل استراتيجية إدارة المخاطر بوصفها فئة استدامية مدخلاً متقدّماً ومبتكراً، حيث يطرح</w:t>
      </w:r>
      <w:r w:rsidRPr="007273B0">
        <w:rPr>
          <w:rFonts w:ascii="Simplified Arabic" w:eastAsia="Times New Roman" w:hAnsi="Simplified Arabic" w:cs="Simplified Arabic"/>
          <w:color w:val="000000" w:themeColor="text1"/>
          <w:kern w:val="0"/>
          <w:sz w:val="28"/>
          <w:szCs w:val="28"/>
          <w14:ligatures w14:val="none"/>
        </w:rPr>
        <w:t xml:space="preserve"> Walraven </w:t>
      </w:r>
      <w:r w:rsidRPr="007273B0">
        <w:rPr>
          <w:rFonts w:ascii="Simplified Arabic" w:eastAsia="Times New Roman" w:hAnsi="Simplified Arabic" w:cs="Simplified Arabic"/>
          <w:color w:val="000000" w:themeColor="text1"/>
          <w:kern w:val="0"/>
          <w:sz w:val="28"/>
          <w:szCs w:val="28"/>
          <w:rtl/>
          <w14:ligatures w14:val="none"/>
        </w:rPr>
        <w:t>وآخرون (2025) رؤية تنظر إلى الاستدامة باعتبارها فئة من فئات إدارة المخاطر في القطاع العقاري، بحيث تُدمج اعتبارات الاستدامة في صلب منظومة إدارة المخاطر بدلاً من أن تكون موضوعاً مستقلاً يُعالَج بمعزل عنها. ويُقدّم هذا المدخل تحوّلاً نوعياً في فهم العلاقة بين إدارة المخاطر والاستدامة، إذ يجعل من إدارة المخاطر هي المظلة التي تنتظم تحتها مختلف المبادرات الاستدامية، ويُضفي عليها صفة المنهجية والانضباط التي يتطلّبها العمل المخاطري</w:t>
      </w:r>
      <w:r w:rsidRPr="007273B0">
        <w:rPr>
          <w:rFonts w:ascii="Simplified Arabic" w:eastAsia="Times New Roman" w:hAnsi="Simplified Arabic" w:cs="Simplified Arabic"/>
          <w:color w:val="000000" w:themeColor="text1"/>
          <w:kern w:val="0"/>
          <w:sz w:val="28"/>
          <w:szCs w:val="28"/>
          <w14:ligatures w14:val="none"/>
        </w:rPr>
        <w:t>.</w:t>
      </w:r>
    </w:p>
    <w:p w14:paraId="064BC447" w14:textId="3FE67273" w:rsidR="00A23CC6" w:rsidRPr="007273B0" w:rsidRDefault="000519A7" w:rsidP="000519A7">
      <w:pPr>
        <w:jc w:val="center"/>
        <w:outlineLvl w:val="1"/>
        <w:rPr>
          <w:rFonts w:ascii="Simplified Arabic" w:eastAsia="Times New Roman" w:hAnsi="Simplified Arabic" w:cs="Simplified Arabic"/>
          <w:b/>
          <w:bCs/>
          <w:color w:val="000000" w:themeColor="text1"/>
          <w:kern w:val="0"/>
          <w:sz w:val="36"/>
          <w:szCs w:val="36"/>
          <w14:ligatures w14:val="none"/>
        </w:rPr>
      </w:pPr>
      <w:r w:rsidRPr="007273B0">
        <w:rPr>
          <w:rFonts w:ascii="Simplified Arabic" w:eastAsia="Times New Roman" w:hAnsi="Simplified Arabic" w:cs="Simplified Arabic"/>
          <w:b/>
          <w:bCs/>
          <w:color w:val="000000" w:themeColor="text1"/>
          <w:kern w:val="0"/>
          <w:sz w:val="36"/>
          <w:szCs w:val="36"/>
          <w:rtl/>
          <w14:ligatures w14:val="none"/>
        </w:rPr>
        <w:br w:type="page"/>
      </w:r>
      <w:bookmarkStart w:id="35" w:name="_Toc233580410"/>
      <w:r w:rsidR="00A23CC6" w:rsidRPr="007273B0">
        <w:rPr>
          <w:rFonts w:ascii="Simplified Arabic" w:eastAsia="Times New Roman" w:hAnsi="Simplified Arabic" w:cs="Simplified Arabic"/>
          <w:b/>
          <w:bCs/>
          <w:color w:val="000000" w:themeColor="text1"/>
          <w:kern w:val="0"/>
          <w:sz w:val="36"/>
          <w:szCs w:val="36"/>
          <w:rtl/>
          <w14:ligatures w14:val="none"/>
        </w:rPr>
        <w:lastRenderedPageBreak/>
        <w:t>المبحث الثاني: الالتزام بمعايير الاستدامة العقارية</w:t>
      </w:r>
      <w:bookmarkEnd w:id="35"/>
    </w:p>
    <w:p w14:paraId="23B595B0" w14:textId="46CE265E"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580411"/>
      <w:r w:rsidRPr="007273B0">
        <w:rPr>
          <w:rFonts w:ascii="Simplified Arabic" w:eastAsia="Times New Roman" w:hAnsi="Simplified Arabic" w:cs="Simplified Arabic" w:hint="cs"/>
          <w:b/>
          <w:bCs/>
          <w:color w:val="000000" w:themeColor="text1"/>
          <w:kern w:val="0"/>
          <w:sz w:val="32"/>
          <w:szCs w:val="32"/>
          <w:rtl/>
          <w14:ligatures w14:val="none"/>
        </w:rPr>
        <w:t xml:space="preserve">1.2.2 </w:t>
      </w:r>
      <w:r w:rsidR="00A23CC6" w:rsidRPr="007273B0">
        <w:rPr>
          <w:rFonts w:ascii="Simplified Arabic" w:eastAsia="Times New Roman" w:hAnsi="Simplified Arabic" w:cs="Simplified Arabic"/>
          <w:b/>
          <w:bCs/>
          <w:color w:val="000000" w:themeColor="text1"/>
          <w:kern w:val="0"/>
          <w:sz w:val="32"/>
          <w:szCs w:val="32"/>
          <w:rtl/>
          <w14:ligatures w14:val="none"/>
        </w:rPr>
        <w:t>تمهيد</w:t>
      </w:r>
      <w:bookmarkEnd w:id="36"/>
    </w:p>
    <w:p w14:paraId="083C35C4"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شهد العقدان الأخيران تحوّلاً جوهرياً في فلسفة الصناعة العقارية على المستويين الدولي والإقليمي، انتقلت من خلاله هذه الصناعة من النموذج الكلاسيكي الذي يُعطي الأولوية المطلقة للعائد الاستثماري والكفاءة التشغيلية، إلى نموذج أكثر شمولاً وتوازناً يستوعب أبعاد الاستدامة بوصفها معياراً حاكماً للقرارات العقارية في جميع مراحلها. وقد جاء هذا التحوّل استجابةً لجملة من الضغوط المتشابكة التي فرضتها التحدّيات البيئية والمناخية المتصاعدة، والتطلّعات المجتمعية المتنامية نحو نمط حياة أكثر استدامة، فضلاً عن تطوّر المنظومة التشريعية والتنظيمية الدولية والوطنية التي باتت تُلزم القطاع العقاري بمعايير صارمة تتعلّق بالأثر البيئي والاجتماعي والحوكمي للمشاريع العقارية</w:t>
      </w:r>
      <w:r w:rsidRPr="007273B0">
        <w:rPr>
          <w:rFonts w:ascii="Simplified Arabic" w:eastAsia="Times New Roman" w:hAnsi="Simplified Arabic" w:cs="Simplified Arabic"/>
          <w:color w:val="000000" w:themeColor="text1"/>
          <w:kern w:val="0"/>
          <w:sz w:val="28"/>
          <w:szCs w:val="28"/>
          <w14:ligatures w14:val="none"/>
        </w:rPr>
        <w:t>.</w:t>
      </w:r>
    </w:p>
    <w:p w14:paraId="08E755D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ويكتسب موضوع الالتزام بمعايير الاستدامة العقارية أهمية استثنائية في السياق السعودي المعاصر، الذي يشهد إطلاق جملة من المشاريع العقارية الكبرى ضمن إطار رؤية المملكة ٢٠٣٠، والتي تُمثّل تحوّلاً تاريخياً في المشهد العمراني والاقتصادي للمملكة. وقد جعلت رؤية ٢٠٣٠ من الاستدامة محوراً جوهرياً في مشاريعها العقارية الكبرى، انطلاقاً من إدراك عميق بأن الاستدامة لم تعد خياراً تكميلياً يُضاف إلى المشروع العقاري، بل باتت شرطاً جوهرياً لجدواه الاقتصادية والاجتماعية والبيئية على المدى البعيد، ومدخلاً ضرورياً لاندماج هذه المشاريع في المنظومة العقارية العالمية وفق المعايير المُعتمَدة دولياً</w:t>
      </w:r>
      <w:r w:rsidRPr="007273B0">
        <w:rPr>
          <w:rFonts w:ascii="Simplified Arabic" w:eastAsia="Times New Roman" w:hAnsi="Simplified Arabic" w:cs="Simplified Arabic"/>
          <w:color w:val="000000" w:themeColor="text1"/>
          <w:kern w:val="0"/>
          <w:sz w:val="28"/>
          <w:szCs w:val="28"/>
          <w14:ligatures w14:val="none"/>
        </w:rPr>
        <w:t>.</w:t>
      </w:r>
    </w:p>
    <w:p w14:paraId="2DD56822"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ويتناول هذا المبحث المتغير التابع للدراسة المتمثّل في الالتزام بمعايير الاستدامة العقارية، من خلال استعراض المفهوم وتعريفاته المختلفة، وأهميته في سياق الصناعة العقارية المعاصرة، والأهداف التي يسعى إلى تحقيقها، والأبعاد التي يقوم عليها، فضلاً عن الاستراتيجيات والمداخل المعاصرة لتطبيقه، وعرض جملة من المعالجات البحثية ذات الصلة التي تُمثّل رصيداً معرفياً تُفيد منه الدراسة الحالية في بناء إطارها التحليلي</w:t>
      </w:r>
      <w:r w:rsidRPr="007273B0">
        <w:rPr>
          <w:rFonts w:ascii="Simplified Arabic" w:eastAsia="Times New Roman" w:hAnsi="Simplified Arabic" w:cs="Simplified Arabic"/>
          <w:color w:val="000000" w:themeColor="text1"/>
          <w:kern w:val="0"/>
          <w:sz w:val="28"/>
          <w:szCs w:val="28"/>
          <w14:ligatures w14:val="none"/>
        </w:rPr>
        <w:t>.</w:t>
      </w:r>
    </w:p>
    <w:p w14:paraId="6F08B551" w14:textId="23648695"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580412"/>
      <w:r w:rsidRPr="007273B0">
        <w:rPr>
          <w:rFonts w:ascii="Simplified Arabic" w:eastAsia="Times New Roman" w:hAnsi="Simplified Arabic" w:cs="Simplified Arabic" w:hint="cs"/>
          <w:b/>
          <w:bCs/>
          <w:color w:val="000000" w:themeColor="text1"/>
          <w:kern w:val="0"/>
          <w:sz w:val="32"/>
          <w:szCs w:val="32"/>
          <w:rtl/>
          <w14:ligatures w14:val="none"/>
        </w:rPr>
        <w:t>2.2.2</w:t>
      </w:r>
      <w:r w:rsidR="00A23CC6" w:rsidRPr="007273B0">
        <w:rPr>
          <w:rFonts w:ascii="Simplified Arabic" w:eastAsia="Times New Roman" w:hAnsi="Simplified Arabic" w:cs="Simplified Arabic"/>
          <w:b/>
          <w:bCs/>
          <w:color w:val="000000" w:themeColor="text1"/>
          <w:kern w:val="0"/>
          <w:sz w:val="32"/>
          <w:szCs w:val="32"/>
          <w:rtl/>
          <w14:ligatures w14:val="none"/>
        </w:rPr>
        <w:t xml:space="preserve"> مفهوم الالتزام بمعايير الاستدامة العقارية</w:t>
      </w:r>
      <w:bookmarkEnd w:id="37"/>
    </w:p>
    <w:p w14:paraId="3C20E3E1"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تتعدّد المعالجات المفاهيمية للالتزام بمعايير الاستدامة العقارية، ويعكس هذا التعدّد ثراء الحقل المعرفي وتطوّره المتسارع في ضوء التحوّلات الاقتصادية والبيئية المعاصرة. ويُعرّف</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 </w:t>
      </w:r>
      <w:r w:rsidRPr="007273B0">
        <w:rPr>
          <w:rFonts w:ascii="Simplified Arabic" w:eastAsia="Times New Roman" w:hAnsi="Simplified Arabic" w:cs="Simplified Arabic"/>
          <w:color w:val="000000" w:themeColor="text1"/>
          <w:kern w:val="0"/>
          <w:sz w:val="28"/>
          <w:szCs w:val="28"/>
          <w:rtl/>
          <w14:ligatures w14:val="none"/>
        </w:rPr>
        <w:t>الاستدامة في صناعة العقارات بأنها مقاربة شاملة تستهدف تحقيق التوازن بين الاعتبارات البيئية والاجتماعية والاقتصادية في جميع مراحل دورة حياة الأصل العقاري، بدءاً من التصميم والتخطيط، ومروراً بالتنفيذ والتشغيل، وانتهاءً بإعادة التأهيل أو الهدم وإعادة الاستخدام. ويُلاحَظ في هذا التعريف اتّساع المنظور الزماني الذي يستوعب الدورة الكاملة للأصل العقاري، وعدم اقتصاره على مرحلة بعينها، ممّا يعكس النضج المفاهيمي الذي بلغته الاستدامة العقارية بوصفها فلسفة إدارية ممتدّة</w:t>
      </w:r>
      <w:r w:rsidRPr="007273B0">
        <w:rPr>
          <w:rFonts w:ascii="Simplified Arabic" w:eastAsia="Times New Roman" w:hAnsi="Simplified Arabic" w:cs="Simplified Arabic"/>
          <w:color w:val="000000" w:themeColor="text1"/>
          <w:kern w:val="0"/>
          <w:sz w:val="28"/>
          <w:szCs w:val="28"/>
          <w14:ligatures w14:val="none"/>
        </w:rPr>
        <w:t>.</w:t>
      </w:r>
    </w:p>
    <w:p w14:paraId="54D30787"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أكثر إجرائية، يطرح</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معالجة مفاهيمية تنظر إلى الالتزام بمعايير الاستدامة العقارية بوصفه فئة من فئات إدارة المخاطر، تتضمّن جملة من الممارسات المنهجية التي تُمكّن المنظمة من إدماج الاعتبارات البيئية والاجتماعية والحوكمية في صلب قراراتها العقارية، بدلاً من معالجتها بوصفها متطلبات هامشية أو مسائل امتثال شكلي. ويُسهم هذا الطرح في إعادة تأطير العلاقة بين الاستدامة وإدارة المخاطر، إذ ينقل الاستدامة من موقع المتطلب الخارجي إلى موقع المكوّن الجوهري في منظومة الإدارة الاستراتيجية للأصل العقاري</w:t>
      </w:r>
      <w:r w:rsidRPr="007273B0">
        <w:rPr>
          <w:rFonts w:ascii="Simplified Arabic" w:eastAsia="Times New Roman" w:hAnsi="Simplified Arabic" w:cs="Simplified Arabic"/>
          <w:color w:val="000000" w:themeColor="text1"/>
          <w:kern w:val="0"/>
          <w:sz w:val="28"/>
          <w:szCs w:val="28"/>
          <w14:ligatures w14:val="none"/>
        </w:rPr>
        <w:t>.</w:t>
      </w:r>
    </w:p>
    <w:p w14:paraId="3ED4A940"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معالجة استثمارية متخصّصة، يُعرّف</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الالتزام بمعايير الاستدامة العقارية في سياق الاستثمار المسؤول بأنه منظومة من المعايير والمؤشرات التي تُتيح تقييم المشاريع العقارية وفق مبادئ الاستثمار المسؤول، ومواءمتها مع المتطلبات البيئية والاجتماعية والحوكمية المُعتمَدة دولياً، بحيث تتحوّل هذه المشاريع من مجرّد أوعية استثمارية تستهدف العائد المالي، إلى أدوات تنموية شاملة تُسهم في تحقيق الغايات المستدامة. ويُبرز هذا التعريف الطابع المزدوج للاستدامة العقارية، إذ يجمع بين البُعد الاستثماري والبُعد التنموي في إطار واحد متكامل</w:t>
      </w:r>
      <w:r w:rsidRPr="007273B0">
        <w:rPr>
          <w:rFonts w:ascii="Simplified Arabic" w:eastAsia="Times New Roman" w:hAnsi="Simplified Arabic" w:cs="Simplified Arabic"/>
          <w:color w:val="000000" w:themeColor="text1"/>
          <w:kern w:val="0"/>
          <w:sz w:val="28"/>
          <w:szCs w:val="28"/>
          <w14:ligatures w14:val="none"/>
        </w:rPr>
        <w:t>.</w:t>
      </w:r>
    </w:p>
    <w:p w14:paraId="7F6DC29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تكامل الاستدامة في تشغيل الأصول العقارية المؤسسية، يُقدّم</w:t>
      </w:r>
      <w:r w:rsidRPr="007273B0">
        <w:rPr>
          <w:rFonts w:ascii="Simplified Arabic" w:eastAsia="Times New Roman" w:hAnsi="Simplified Arabic" w:cs="Simplified Arabic"/>
          <w:color w:val="000000" w:themeColor="text1"/>
          <w:kern w:val="0"/>
          <w:sz w:val="28"/>
          <w:szCs w:val="28"/>
          <w14:ligatures w14:val="none"/>
        </w:rPr>
        <w:t xml:space="preserve"> (Akin &amp; Akin, 2025) </w:t>
      </w:r>
      <w:r w:rsidRPr="007273B0">
        <w:rPr>
          <w:rFonts w:ascii="Simplified Arabic" w:eastAsia="Times New Roman" w:hAnsi="Simplified Arabic" w:cs="Simplified Arabic"/>
          <w:color w:val="000000" w:themeColor="text1"/>
          <w:kern w:val="0"/>
          <w:sz w:val="28"/>
          <w:szCs w:val="28"/>
          <w:rtl/>
          <w14:ligatures w14:val="none"/>
        </w:rPr>
        <w:t>معالجة مفاهيمية تنظر إلى الالتزام بمعايير الاستدامة العقارية بوصفه عملية ترجمة عملية لمبادئ التنمية المستدامة في القطاع العقاري، عبر توظيف الاستثمارات الخضراء والممارسات صديقة البيئة في تطوير الأصول العقارية وتشغيلها. ويتميّز هذا التعريف بإبرازه للطابع التطبيقي للاستدامة العقارية، وعدم اقتصاره على المعالجة النظرية المفاهيمية المجرّدة</w:t>
      </w:r>
      <w:r w:rsidRPr="007273B0">
        <w:rPr>
          <w:rFonts w:ascii="Simplified Arabic" w:eastAsia="Times New Roman" w:hAnsi="Simplified Arabic" w:cs="Simplified Arabic"/>
          <w:color w:val="000000" w:themeColor="text1"/>
          <w:kern w:val="0"/>
          <w:sz w:val="28"/>
          <w:szCs w:val="28"/>
          <w14:ligatures w14:val="none"/>
        </w:rPr>
        <w:t>.</w:t>
      </w:r>
    </w:p>
    <w:p w14:paraId="30CFA3A7"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ومن زاوية البُعد التنظيمي والتشريعي، يطرح</w:t>
      </w:r>
      <w:r w:rsidRPr="007273B0">
        <w:rPr>
          <w:rFonts w:ascii="Simplified Arabic" w:eastAsia="Times New Roman" w:hAnsi="Simplified Arabic" w:cs="Simplified Arabic"/>
          <w:color w:val="000000" w:themeColor="text1"/>
          <w:kern w:val="0"/>
          <w:sz w:val="28"/>
          <w:szCs w:val="28"/>
          <w14:ligatures w14:val="none"/>
        </w:rPr>
        <w:t xml:space="preserve"> (McAllister &amp; Nase, 2023) </w:t>
      </w:r>
      <w:r w:rsidRPr="007273B0">
        <w:rPr>
          <w:rFonts w:ascii="Simplified Arabic" w:eastAsia="Times New Roman" w:hAnsi="Simplified Arabic" w:cs="Simplified Arabic"/>
          <w:color w:val="000000" w:themeColor="text1"/>
          <w:kern w:val="0"/>
          <w:sz w:val="28"/>
          <w:szCs w:val="28"/>
          <w:rtl/>
          <w14:ligatures w14:val="none"/>
        </w:rPr>
        <w:t>معالجة تتناول الالتزام بمعايير الاستدامة العقارية في ضوء الأطر التشريعية الإلزامية، ولا سيّما تلك المتعلّقة بمعايير الكفاءة الطاقية الدنيا في القطاع العقاري التجاري. ويتضمّن هذا الطرح فهماً للالتزام بوصفه استجابة لمنظومة تشريعية مُحكَمة تُحدّد الحدود الدنيا للأداء الاستدامي، وتُلزم الجهات العقارية بتحقيقها، تحت طائلة العقوبات أو فقدان الترخيص أو الاستبعاد من السوق</w:t>
      </w:r>
      <w:r w:rsidRPr="007273B0">
        <w:rPr>
          <w:rFonts w:ascii="Simplified Arabic" w:eastAsia="Times New Roman" w:hAnsi="Simplified Arabic" w:cs="Simplified Arabic"/>
          <w:color w:val="000000" w:themeColor="text1"/>
          <w:kern w:val="0"/>
          <w:sz w:val="28"/>
          <w:szCs w:val="28"/>
          <w14:ligatures w14:val="none"/>
        </w:rPr>
        <w:t>.</w:t>
      </w:r>
    </w:p>
    <w:p w14:paraId="28C61483"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معالجة محاسبية متخصّصة، يُقدّم (الدباغ وصبيح، ٢٠٢٣) فهماً للاستدامة العقارية من زاوية متطلبات معايير محاسبة الاستدامة، باعتبارها منظومة من الاشتراطات المحاسبية والإفصاحية التي تُلزم المنشآت بقياس أدائها الاستدامي والإفصاح عنه بصورة منهجية تتيح للمستثمرين وأصحاب المصلحة تقييم مستوى الالتزام. ويُسهم هذا التعريف في توسيع نطاق المفهوم ليشمل البُعد القياسي والإفصاحي للاستدامة، الذي يُمثّل عنصراً جوهرياً في ضمان مصداقية الالتزام وشفافيته</w:t>
      </w:r>
      <w:r w:rsidRPr="007273B0">
        <w:rPr>
          <w:rFonts w:ascii="Simplified Arabic" w:eastAsia="Times New Roman" w:hAnsi="Simplified Arabic" w:cs="Simplified Arabic"/>
          <w:color w:val="000000" w:themeColor="text1"/>
          <w:kern w:val="0"/>
          <w:sz w:val="28"/>
          <w:szCs w:val="28"/>
          <w14:ligatures w14:val="none"/>
        </w:rPr>
        <w:t>.</w:t>
      </w:r>
    </w:p>
    <w:p w14:paraId="520DAD12"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تطبيقي على المدن الاستثمارية، يطرح (القيسي وآخرون، ٢٠٢٤) معالجة تتناول الاستدامة العقارية في سياق المدن الاستثمارية الجديدة، باعتبارها منظومة معايير شاملة تتجاوز البُعد البيئي لتشمل الأبعاد الترفيهية والاجتماعية والاقتصادية، بحيث تُسهم هذه المعايير في بناء بيئة عمرانية متكاملة تستجيب لاحتياجات الإنسان المعاصر. ويتميّز هذا الطرح بنظرته الإنسانية للاستدامة، إذ يجعل من جودة الحياة محوراً جوهرياً في صياغة المعايير الاستدامية للمشاريع العقارية</w:t>
      </w:r>
      <w:r w:rsidRPr="007273B0">
        <w:rPr>
          <w:rFonts w:ascii="Simplified Arabic" w:eastAsia="Times New Roman" w:hAnsi="Simplified Arabic" w:cs="Simplified Arabic"/>
          <w:color w:val="000000" w:themeColor="text1"/>
          <w:kern w:val="0"/>
          <w:sz w:val="28"/>
          <w:szCs w:val="28"/>
          <w14:ligatures w14:val="none"/>
        </w:rPr>
        <w:t>.</w:t>
      </w:r>
    </w:p>
    <w:p w14:paraId="71B57051"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زاوية قانونية تنظيمية، تُقدّم (قسوري، ٢٠٢٥) معالجة تتناول الالتزام بمعايير الاستدامة العقارية في ضوء عقود الترقية العقارية، باعتباره يستلزم تطوير الأدوات القانونية والتعاقدية لتستوعب متطلبات الاستدامة، وضمان توافق هذه العقود مع التوجهات الاستدامية المعاصرة. ويُبرز هذا التعريف البُعد التعاقدي والمؤسسي للاستدامة، الذي يُمثّل أحد التحدّيات العملية التي تواجه ترسيخ ثقافة الالتزام في القطاع العقاري</w:t>
      </w:r>
      <w:r w:rsidRPr="007273B0">
        <w:rPr>
          <w:rFonts w:ascii="Simplified Arabic" w:eastAsia="Times New Roman" w:hAnsi="Simplified Arabic" w:cs="Simplified Arabic"/>
          <w:color w:val="000000" w:themeColor="text1"/>
          <w:kern w:val="0"/>
          <w:sz w:val="28"/>
          <w:szCs w:val="28"/>
          <w14:ligatures w14:val="none"/>
        </w:rPr>
        <w:t>.</w:t>
      </w:r>
    </w:p>
    <w:p w14:paraId="58A2B907"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ويستخلص الباحث من خلال هذه المعالجات المتعدّدة أن الالتزام بمعايير الاستدامة العقارية يُمثّل منظومة متكاملة من المبادئ والممارسات والإجراءات التي تُؤطّر دورة حياة المشروع العقاري بحيث تتحقّق فيه التوازنات الضرورية بين الأبعاد البيئية والاجتماعية والاقتصادية والحوكمية، وفق معايير محدّدة قابلة للقياس والإفصاح، يجري الالتزام بها تطوّعاً أو إلزاماً، وبحيث تُحقّق هذه المنظومة الجدوى الكاملة للمشروع على المدى البعيد. ويرى الباحث أن خصوصية تطبيق هذا المفهوم في سياق مشاريع </w:t>
      </w:r>
      <w:r w:rsidRPr="007273B0">
        <w:rPr>
          <w:rFonts w:ascii="Simplified Arabic" w:eastAsia="Times New Roman" w:hAnsi="Simplified Arabic" w:cs="Simplified Arabic"/>
          <w:color w:val="000000" w:themeColor="text1"/>
          <w:kern w:val="0"/>
          <w:sz w:val="28"/>
          <w:szCs w:val="28"/>
          <w:rtl/>
          <w14:ligatures w14:val="none"/>
        </w:rPr>
        <w:lastRenderedPageBreak/>
        <w:t>رؤية ٢٠٣٠ العقارية تستدعي توظيفه بوصفه أداةً مزدوجة لتحقيق الأهداف التنموية للرؤية من جهة، ولاندماج هذه المشاريع في المنظومة العقارية العالمية وفق أحدث المعايير الدولية من جهة أخرى</w:t>
      </w:r>
      <w:r w:rsidRPr="007273B0">
        <w:rPr>
          <w:rFonts w:ascii="Simplified Arabic" w:eastAsia="Times New Roman" w:hAnsi="Simplified Arabic" w:cs="Simplified Arabic"/>
          <w:color w:val="000000" w:themeColor="text1"/>
          <w:kern w:val="0"/>
          <w:sz w:val="28"/>
          <w:szCs w:val="28"/>
          <w14:ligatures w14:val="none"/>
        </w:rPr>
        <w:t>.</w:t>
      </w:r>
    </w:p>
    <w:p w14:paraId="75A12711" w14:textId="4F985A88"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580413"/>
      <w:r w:rsidRPr="007273B0">
        <w:rPr>
          <w:rFonts w:ascii="Simplified Arabic" w:eastAsia="Times New Roman" w:hAnsi="Simplified Arabic" w:cs="Simplified Arabic" w:hint="cs"/>
          <w:b/>
          <w:bCs/>
          <w:color w:val="000000" w:themeColor="text1"/>
          <w:kern w:val="0"/>
          <w:sz w:val="32"/>
          <w:szCs w:val="32"/>
          <w:rtl/>
          <w14:ligatures w14:val="none"/>
        </w:rPr>
        <w:t>3.2.2</w:t>
      </w:r>
      <w:r w:rsidR="00A23CC6" w:rsidRPr="007273B0">
        <w:rPr>
          <w:rFonts w:ascii="Simplified Arabic" w:eastAsia="Times New Roman" w:hAnsi="Simplified Arabic" w:cs="Simplified Arabic"/>
          <w:b/>
          <w:bCs/>
          <w:color w:val="000000" w:themeColor="text1"/>
          <w:kern w:val="0"/>
          <w:sz w:val="32"/>
          <w:szCs w:val="32"/>
          <w:rtl/>
          <w14:ligatures w14:val="none"/>
        </w:rPr>
        <w:t xml:space="preserve"> أهمية الالتزام بمعايير الاستدامة العقارية</w:t>
      </w:r>
      <w:bookmarkEnd w:id="38"/>
    </w:p>
    <w:p w14:paraId="4264BC19"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تنبع أهمية الالتزام بمعايير الاستدامة العقارية من الموقع المحوري الذي يحتلّه القطاع العقاري في الاقتصاد المعاصر، ومن الأثر الواسع الذي تُخلّفه المشاريع العقارية على البيئة والمجتمع والاقتصاد. فالقطاع العقاري يُمثّل أحد أكبر القطاعات استهلاكاً للطاقة وإنتاجاً للانبعاثات الكربونية، كما يُؤدّي دوراً حاسماً في تشكيل البيئة العمرانية التي يعيش فيها الإنسان ويُمارس فيها أنشطته اليومية، فضلاً عن أنه يستقطب نسبة كبيرة من الاستثمارات الوطنية والدولية، ويُسهم في خلق فرص العمل وتوليد الثروة. وفي ضوء هذا الموقع المحوري، فإن انتظام هذا القطاع وفق معايير الاستدامة يُمثّل مدخلاً ضرورياً لتحقيق التنمية المستدامة على المستوى الوطني والعالمي</w:t>
      </w:r>
      <w:r w:rsidRPr="007273B0">
        <w:rPr>
          <w:rFonts w:ascii="Simplified Arabic" w:eastAsia="Times New Roman" w:hAnsi="Simplified Arabic" w:cs="Simplified Arabic"/>
          <w:color w:val="000000" w:themeColor="text1"/>
          <w:kern w:val="0"/>
          <w:sz w:val="28"/>
          <w:szCs w:val="28"/>
          <w14:ligatures w14:val="none"/>
        </w:rPr>
        <w:t>.</w:t>
      </w:r>
    </w:p>
    <w:p w14:paraId="2D90EDEA"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ويُشير</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 </w:t>
      </w:r>
      <w:r w:rsidRPr="007273B0">
        <w:rPr>
          <w:rFonts w:ascii="Simplified Arabic" w:eastAsia="Times New Roman" w:hAnsi="Simplified Arabic" w:cs="Simplified Arabic"/>
          <w:color w:val="000000" w:themeColor="text1"/>
          <w:kern w:val="0"/>
          <w:sz w:val="28"/>
          <w:szCs w:val="28"/>
          <w:rtl/>
          <w14:ligatures w14:val="none"/>
        </w:rPr>
        <w:t>إلى أن أهمية الالتزام بمعايير الاستدامة العقارية تتجلّى في جوانب متعدّدة يمكن استعراضها على النحو التالي: أوّلها أنه يُسهم في تقليص البصمة الكربونية للقطاع العقاري والحدّ من استهلاك الموارد الطبيعية غير المتجدّدة، ممّا يُعزّز قدرة هذا القطاع على الاستجابة للتحدّيات المناخية المتصاعدة. وثانيها أنه يُحقّق وفورات اقتصادية كبيرة على المدى البعيد، إذ إن المباني المستدامة تستهلك طاقة وموارد أقل في مرحلة التشغيل، ممّا يُقلّل من تكاليفها الإجمالية. وثالثها أنه يُعزّز جودة البيئة الداخلية للمباني وأثرها الإيجابي على صحّة المستخدمين وإنتاجيتهم، ممّا يُترجم إلى منافع اجتماعية واقتصادية واسعة. ورابعها أنه يدعم التنمية المستدامة في صناعة العقارات بوصفها قطاعاً استراتيجياً يُؤثّر في جميع جوانب الحياة الاقتصادية والاجتماعية</w:t>
      </w:r>
      <w:r w:rsidRPr="007273B0">
        <w:rPr>
          <w:rFonts w:ascii="Simplified Arabic" w:eastAsia="Times New Roman" w:hAnsi="Simplified Arabic" w:cs="Simplified Arabic"/>
          <w:color w:val="000000" w:themeColor="text1"/>
          <w:kern w:val="0"/>
          <w:sz w:val="28"/>
          <w:szCs w:val="28"/>
          <w14:ligatures w14:val="none"/>
        </w:rPr>
        <w:t>.</w:t>
      </w:r>
    </w:p>
    <w:p w14:paraId="2C03F3E3"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ويرى</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أن الالتزام بمعايير الاستدامة العقارية يكتسب أهمية مضاعفة في سياق الاستثمار العقاري المعاصر، حيث باتت معايير الاستدامة تُمثّل عاملاً حاكماً في توجيه التدفقات الاستثمارية الدولية، إذ يُحجم المستثمرون المؤسسيون الكبار بصورة متزايدة عن الاستثمار في الأصول العقارية التي لا تتوافق مع معايير الاستثمار المسؤول. ويُضيف الباحث أن المداخل المعاصرة للاستثمار العقاري باتت تُدمج معايير الاستدامة بوصفها مكوّناً عضوياً في عملية اتخاذ القرار الاستثماري، لا بوصفها متطلباً هامشياً يُؤخذ بالحسبان في مرحلة لاحقة</w:t>
      </w:r>
      <w:r w:rsidRPr="007273B0">
        <w:rPr>
          <w:rFonts w:ascii="Simplified Arabic" w:eastAsia="Times New Roman" w:hAnsi="Simplified Arabic" w:cs="Simplified Arabic"/>
          <w:color w:val="000000" w:themeColor="text1"/>
          <w:kern w:val="0"/>
          <w:sz w:val="28"/>
          <w:szCs w:val="28"/>
          <w14:ligatures w14:val="none"/>
        </w:rPr>
        <w:t>.</w:t>
      </w:r>
    </w:p>
    <w:p w14:paraId="2EB0290D"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وفي السياق التشريعي، يُؤكّد</w:t>
      </w:r>
      <w:r w:rsidRPr="007273B0">
        <w:rPr>
          <w:rFonts w:ascii="Simplified Arabic" w:eastAsia="Times New Roman" w:hAnsi="Simplified Arabic" w:cs="Simplified Arabic"/>
          <w:color w:val="000000" w:themeColor="text1"/>
          <w:kern w:val="0"/>
          <w:sz w:val="28"/>
          <w:szCs w:val="28"/>
          <w14:ligatures w14:val="none"/>
        </w:rPr>
        <w:t xml:space="preserve"> (McAllister &amp; Nase, 2023) </w:t>
      </w:r>
      <w:r w:rsidRPr="007273B0">
        <w:rPr>
          <w:rFonts w:ascii="Simplified Arabic" w:eastAsia="Times New Roman" w:hAnsi="Simplified Arabic" w:cs="Simplified Arabic"/>
          <w:color w:val="000000" w:themeColor="text1"/>
          <w:kern w:val="0"/>
          <w:sz w:val="28"/>
          <w:szCs w:val="28"/>
          <w:rtl/>
          <w14:ligatures w14:val="none"/>
        </w:rPr>
        <w:t>أن أهمية الالتزام بمعايير الاستدامة العقارية تتجلّى في كونه استجابة ضرورية للمنظومة التشريعية المتنامية في هذا المجال، إذ باتت كثير من الدول تتبنّى تشريعات إلزامية تتعلّق بمعايير الكفاءة الطاقية الدنيا للمباني التجارية، تحت طائلة عقوبات وقيود تنظيمية. ويُلاحظ الباحثان أن المؤسسات العقارية التي تتأخّر في التكيّف مع هذه المتطلبات التشريعية ستجد نفسها في موقع تنافسي ضعيف، وقد تتعرّض لمخاطر تنظيمية وقانونية واسعة</w:t>
      </w:r>
      <w:r w:rsidRPr="007273B0">
        <w:rPr>
          <w:rFonts w:ascii="Simplified Arabic" w:eastAsia="Times New Roman" w:hAnsi="Simplified Arabic" w:cs="Simplified Arabic"/>
          <w:color w:val="000000" w:themeColor="text1"/>
          <w:kern w:val="0"/>
          <w:sz w:val="28"/>
          <w:szCs w:val="28"/>
          <w14:ligatures w14:val="none"/>
        </w:rPr>
        <w:t>.</w:t>
      </w:r>
    </w:p>
    <w:p w14:paraId="3723AC8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تقني وتشغيلي، يطرح</w:t>
      </w:r>
      <w:r w:rsidRPr="007273B0">
        <w:rPr>
          <w:rFonts w:ascii="Simplified Arabic" w:eastAsia="Times New Roman" w:hAnsi="Simplified Arabic" w:cs="Simplified Arabic"/>
          <w:color w:val="000000" w:themeColor="text1"/>
          <w:kern w:val="0"/>
          <w:sz w:val="28"/>
          <w:szCs w:val="28"/>
          <w14:ligatures w14:val="none"/>
        </w:rPr>
        <w:t xml:space="preserve"> (Akin &amp; Akin, 2025) </w:t>
      </w:r>
      <w:r w:rsidRPr="007273B0">
        <w:rPr>
          <w:rFonts w:ascii="Simplified Arabic" w:eastAsia="Times New Roman" w:hAnsi="Simplified Arabic" w:cs="Simplified Arabic"/>
          <w:color w:val="000000" w:themeColor="text1"/>
          <w:kern w:val="0"/>
          <w:sz w:val="28"/>
          <w:szCs w:val="28"/>
          <w:rtl/>
          <w14:ligatures w14:val="none"/>
        </w:rPr>
        <w:t>رؤية تُبرز أهمية الالتزام بمعايير الاستدامة العقارية بوصفه مدخلاً لتعزيز الممارسات المستدامة من خلال الاستثمارات الخضراء، إذ إن هذه الاستثمارات تُمثّل وسيلة فاعلة لتسريع التحوّل الاستدامي في صناعة العقارات، وتوفير الموارد المالية اللازمة لتبنّي التقنيات الخضراء المتقدّمة في مشاريع التطوير العقاري. ويُؤكّد الباحثان أن الاستثمارات الخضراء تخلق دورة تعزيز متبادلة بين توافر التمويل وتنامي الالتزام بالمعايير الاستدامية</w:t>
      </w:r>
      <w:r w:rsidRPr="007273B0">
        <w:rPr>
          <w:rFonts w:ascii="Simplified Arabic" w:eastAsia="Times New Roman" w:hAnsi="Simplified Arabic" w:cs="Simplified Arabic"/>
          <w:color w:val="000000" w:themeColor="text1"/>
          <w:kern w:val="0"/>
          <w:sz w:val="28"/>
          <w:szCs w:val="28"/>
          <w14:ligatures w14:val="none"/>
        </w:rPr>
        <w:t>.</w:t>
      </w:r>
    </w:p>
    <w:p w14:paraId="6E9F1BA6"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محاسبي وإفصاحي، يُبرز (الدباغ وصبيح، ٢٠٢٣) الأهمية المضاعفة للالتزام بمعايير الاستدامة في تحقيق متطلبات معايير محاسبة الاستدامة، وفي تطوير منظومة الإفصاح والشفافية في المنشآت، بما يُتيح لأصحاب المصلحة تقييم الأداء الاستدامي بصورة موضوعية ومنهجية. ويُشير الباحثان إلى أن هذا الالتزام يُمثّل ضرورة لاندماج المنشآت في المنظومة الاقتصادية العالمية، التي باتت تشترط مستويات متقدّمة من الإفصاح الاستدامي للوصول إلى الأسواق المالية الدولية</w:t>
      </w:r>
      <w:r w:rsidRPr="007273B0">
        <w:rPr>
          <w:rFonts w:ascii="Simplified Arabic" w:eastAsia="Times New Roman" w:hAnsi="Simplified Arabic" w:cs="Simplified Arabic"/>
          <w:color w:val="000000" w:themeColor="text1"/>
          <w:kern w:val="0"/>
          <w:sz w:val="28"/>
          <w:szCs w:val="28"/>
          <w14:ligatures w14:val="none"/>
        </w:rPr>
        <w:t>.</w:t>
      </w:r>
    </w:p>
    <w:p w14:paraId="68F49042"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زاوية بناء المدن والتجمعات العمرانية، يطرح (القيسي وآخرون، ٢٠٢٤) رؤية تُبرز أهمية الالتزام بمعايير الاستدامة في المدن الاستثمارية الجديدة، باعتباره مدخلاً جوهرياً لبناء بيئة عمرانية متكاملة تستجيب لاحتياجات الإنسان المعاصر، وتُحقّق التوازن بين الكفاءة الاقتصادية وجودة الحياة. ويُؤكّد الباحثون أن المدن الاستثمارية الجديدة تُمثّل فرصة تاريخية لتطبيق معايير الاستدامة من البداية، دون أن تواجه قيود التراث العمراني القائم التي تواجهها المدن التقليدية</w:t>
      </w:r>
      <w:r w:rsidRPr="007273B0">
        <w:rPr>
          <w:rFonts w:ascii="Simplified Arabic" w:eastAsia="Times New Roman" w:hAnsi="Simplified Arabic" w:cs="Simplified Arabic"/>
          <w:color w:val="000000" w:themeColor="text1"/>
          <w:kern w:val="0"/>
          <w:sz w:val="28"/>
          <w:szCs w:val="28"/>
          <w14:ligatures w14:val="none"/>
        </w:rPr>
        <w:t>.</w:t>
      </w:r>
    </w:p>
    <w:p w14:paraId="094F35F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وفي السياق المؤسسي، يُبرز (ندا وآخرون، ٢٠٢٥) أهمية تقييم معايير ومؤشرات الاستدامة المؤسسية في القطاعات الخدمية، باعتباره أداةً لقياس مستوى التزام هذه المؤسسات بمتطلبات الاستدامة، ولتوجيه جهود التحسين المستمر فيها. ويعكس هذا الطرح اتّساع نطاق تطبيق معايير الاستدامة لتشمل قطاعات متنوّعة، تتجاوز القطاع العقاري السكني والتجاري التقليدي</w:t>
      </w:r>
      <w:r w:rsidRPr="007273B0">
        <w:rPr>
          <w:rFonts w:ascii="Simplified Arabic" w:eastAsia="Times New Roman" w:hAnsi="Simplified Arabic" w:cs="Simplified Arabic"/>
          <w:color w:val="000000" w:themeColor="text1"/>
          <w:kern w:val="0"/>
          <w:sz w:val="28"/>
          <w:szCs w:val="28"/>
          <w14:ligatures w14:val="none"/>
        </w:rPr>
        <w:t>.</w:t>
      </w:r>
    </w:p>
    <w:p w14:paraId="3ED69748" w14:textId="23513BBA"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580414"/>
      <w:r w:rsidRPr="007273B0">
        <w:rPr>
          <w:rFonts w:ascii="Simplified Arabic" w:eastAsia="Times New Roman" w:hAnsi="Simplified Arabic" w:cs="Simplified Arabic" w:hint="cs"/>
          <w:b/>
          <w:bCs/>
          <w:color w:val="000000" w:themeColor="text1"/>
          <w:kern w:val="0"/>
          <w:sz w:val="32"/>
          <w:szCs w:val="32"/>
          <w:rtl/>
          <w14:ligatures w14:val="none"/>
        </w:rPr>
        <w:lastRenderedPageBreak/>
        <w:t>4.2.2</w:t>
      </w:r>
      <w:r w:rsidR="00A23CC6" w:rsidRPr="007273B0">
        <w:rPr>
          <w:rFonts w:ascii="Simplified Arabic" w:eastAsia="Times New Roman" w:hAnsi="Simplified Arabic" w:cs="Simplified Arabic"/>
          <w:b/>
          <w:bCs/>
          <w:color w:val="000000" w:themeColor="text1"/>
          <w:kern w:val="0"/>
          <w:sz w:val="32"/>
          <w:szCs w:val="32"/>
          <w:rtl/>
          <w14:ligatures w14:val="none"/>
        </w:rPr>
        <w:t xml:space="preserve"> أهداف الالتزام بمعايير الاستدامة العقارية</w:t>
      </w:r>
      <w:bookmarkEnd w:id="39"/>
    </w:p>
    <w:p w14:paraId="4976685E"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يسعى الالتزام بمعايير الاستدامة العقارية إلى تحقيق جملة من الأهداف المتشعّبة التي تعكس الطبيعة المركّبة للمفهوم، وتشابكه مع جملة من الاعتبارات البيئية والاجتماعية والاقتصادية والحوكمية. وقد تنوّعت معالجات الباحثين لهذه الأهداف بحسب الزوايا التي تناولوا منها المفهوم</w:t>
      </w:r>
      <w:r w:rsidRPr="007273B0">
        <w:rPr>
          <w:rFonts w:ascii="Simplified Arabic" w:eastAsia="Times New Roman" w:hAnsi="Simplified Arabic" w:cs="Simplified Arabic"/>
          <w:color w:val="000000" w:themeColor="text1"/>
          <w:kern w:val="0"/>
          <w:sz w:val="28"/>
          <w:szCs w:val="28"/>
          <w14:ligatures w14:val="none"/>
        </w:rPr>
        <w:t>.</w:t>
      </w:r>
    </w:p>
    <w:p w14:paraId="5E8EB55D"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ويرى</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 </w:t>
      </w:r>
      <w:r w:rsidRPr="007273B0">
        <w:rPr>
          <w:rFonts w:ascii="Simplified Arabic" w:eastAsia="Times New Roman" w:hAnsi="Simplified Arabic" w:cs="Simplified Arabic"/>
          <w:color w:val="000000" w:themeColor="text1"/>
          <w:kern w:val="0"/>
          <w:sz w:val="28"/>
          <w:szCs w:val="28"/>
          <w:rtl/>
          <w14:ligatures w14:val="none"/>
        </w:rPr>
        <w:t>أن أهداف الالتزام بمعايير الاستدامة العقارية تتمحور حول جملة من الغايات الجوهرية، يمكن إجمالها فيما يلي: أولاً، تقليص البصمة البيئية للقطاع العقاري من خلال الحدّ من استهلاك الطاقة والمياه وانبعاثات الغازات الدفيئة. وثانياً، تعزيز الكفاءة في استخدام الموارد الطبيعية وتشجيع استخدام المواد المستدامة وقابلة للتدوير. وثالثاً، تحسين جودة البيئة الداخلية للمباني وأثرها على صحّة المستخدمين ورفاهيتهم. ورابعاً، دعم التنمية المستدامة في صناعة العقارات بوصفها قطاعاً استراتيجياً. وخامساً، الإسهام في تحقيق أهداف التنمية المستدامة على المستويين الوطني والعالمي</w:t>
      </w:r>
      <w:r w:rsidRPr="007273B0">
        <w:rPr>
          <w:rFonts w:ascii="Simplified Arabic" w:eastAsia="Times New Roman" w:hAnsi="Simplified Arabic" w:cs="Simplified Arabic"/>
          <w:color w:val="000000" w:themeColor="text1"/>
          <w:kern w:val="0"/>
          <w:sz w:val="28"/>
          <w:szCs w:val="28"/>
          <w14:ligatures w14:val="none"/>
        </w:rPr>
        <w:t>.</w:t>
      </w:r>
    </w:p>
    <w:p w14:paraId="23D09B1C"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إدارة المخاطر، يطرح</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جملة من الأهداف تتمحور حول: دمج اعتبارات الاستدامة في صلب منظومة إدارة المخاطر للأصول العقارية، وتعزيز قدرة الأصول العقارية على مقاومة المخاطر المرتبطة بالتحوّلات البيئية والمناخية، وضمان استمرارية القيمة الاستثمارية للأصول العقارية في ظل المتغيرات التنظيمية والسوقية المعاصرة، وتطوير منظومة شاملة لرصد المخاطر الاستدامية وإدارتها في الأصول العقارية المؤسسية</w:t>
      </w:r>
      <w:r w:rsidRPr="007273B0">
        <w:rPr>
          <w:rFonts w:ascii="Simplified Arabic" w:eastAsia="Times New Roman" w:hAnsi="Simplified Arabic" w:cs="Simplified Arabic"/>
          <w:color w:val="000000" w:themeColor="text1"/>
          <w:kern w:val="0"/>
          <w:sz w:val="28"/>
          <w:szCs w:val="28"/>
          <w14:ligatures w14:val="none"/>
        </w:rPr>
        <w:t>.</w:t>
      </w:r>
    </w:p>
    <w:p w14:paraId="14DB5159"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ويُضيف</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جملة من الأهداف الاستثمارية تشمل: مواءمة الاستثمارات العقارية مع مبادئ الاستثمار المسؤول، وتعزيز جاذبية الأصول العقارية لشريحة المستثمرين المؤسسيين الذين يلتزمون بمعايير الاستدامة، وتحقيق التوازن بين العائد المالي والأثر البيئي والاجتماعي، وحماية القيمة الاستثمارية للأصول العقارية من المخاطر طويلة الأمد المرتبطة بالتغيّر المناخي والتحوّلات التنظيمية</w:t>
      </w:r>
      <w:r w:rsidRPr="007273B0">
        <w:rPr>
          <w:rFonts w:ascii="Simplified Arabic" w:eastAsia="Times New Roman" w:hAnsi="Simplified Arabic" w:cs="Simplified Arabic"/>
          <w:color w:val="000000" w:themeColor="text1"/>
          <w:kern w:val="0"/>
          <w:sz w:val="28"/>
          <w:szCs w:val="28"/>
          <w14:ligatures w14:val="none"/>
        </w:rPr>
        <w:t>.</w:t>
      </w:r>
    </w:p>
    <w:p w14:paraId="3CCC8472"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المنظور التشريعي، يطرح</w:t>
      </w:r>
      <w:r w:rsidRPr="007273B0">
        <w:rPr>
          <w:rFonts w:ascii="Simplified Arabic" w:eastAsia="Times New Roman" w:hAnsi="Simplified Arabic" w:cs="Simplified Arabic"/>
          <w:color w:val="000000" w:themeColor="text1"/>
          <w:kern w:val="0"/>
          <w:sz w:val="28"/>
          <w:szCs w:val="28"/>
          <w14:ligatures w14:val="none"/>
        </w:rPr>
        <w:t xml:space="preserve"> (McAllister &amp; Nase, 2023) </w:t>
      </w:r>
      <w:r w:rsidRPr="007273B0">
        <w:rPr>
          <w:rFonts w:ascii="Simplified Arabic" w:eastAsia="Times New Roman" w:hAnsi="Simplified Arabic" w:cs="Simplified Arabic"/>
          <w:color w:val="000000" w:themeColor="text1"/>
          <w:kern w:val="0"/>
          <w:sz w:val="28"/>
          <w:szCs w:val="28"/>
          <w:rtl/>
          <w14:ligatures w14:val="none"/>
        </w:rPr>
        <w:t xml:space="preserve">جملة من الأهداف تتضمّن: ضمان التوافق مع المتطلبات التشريعية الإلزامية المتعلّقة بمعايير الكفاءة الطاقية، وتجنّب العقوبات </w:t>
      </w:r>
      <w:r w:rsidRPr="007273B0">
        <w:rPr>
          <w:rFonts w:ascii="Simplified Arabic" w:eastAsia="Times New Roman" w:hAnsi="Simplified Arabic" w:cs="Simplified Arabic"/>
          <w:color w:val="000000" w:themeColor="text1"/>
          <w:kern w:val="0"/>
          <w:sz w:val="28"/>
          <w:szCs w:val="28"/>
          <w:rtl/>
          <w14:ligatures w14:val="none"/>
        </w:rPr>
        <w:lastRenderedPageBreak/>
        <w:t>التنظيمية والقيود القانونية، وتعزيز الاندماج في الأسواق العقارية المتقدّمة التي تشترط مستويات مرتفعة من الالتزام، ودعم التحوّل التدريجي للقطاع العقاري نحو نماذج أكثر استدامة</w:t>
      </w:r>
      <w:r w:rsidRPr="007273B0">
        <w:rPr>
          <w:rFonts w:ascii="Simplified Arabic" w:eastAsia="Times New Roman" w:hAnsi="Simplified Arabic" w:cs="Simplified Arabic"/>
          <w:color w:val="000000" w:themeColor="text1"/>
          <w:kern w:val="0"/>
          <w:sz w:val="28"/>
          <w:szCs w:val="28"/>
          <w14:ligatures w14:val="none"/>
        </w:rPr>
        <w:t>.</w:t>
      </w:r>
    </w:p>
    <w:p w14:paraId="0D01DD56"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التمويل الأخضر، يطرح</w:t>
      </w:r>
      <w:r w:rsidRPr="007273B0">
        <w:rPr>
          <w:rFonts w:ascii="Simplified Arabic" w:eastAsia="Times New Roman" w:hAnsi="Simplified Arabic" w:cs="Simplified Arabic"/>
          <w:color w:val="000000" w:themeColor="text1"/>
          <w:kern w:val="0"/>
          <w:sz w:val="28"/>
          <w:szCs w:val="28"/>
          <w14:ligatures w14:val="none"/>
        </w:rPr>
        <w:t xml:space="preserve"> (Yang et al., 2022) </w:t>
      </w:r>
      <w:r w:rsidRPr="007273B0">
        <w:rPr>
          <w:rFonts w:ascii="Simplified Arabic" w:eastAsia="Times New Roman" w:hAnsi="Simplified Arabic" w:cs="Simplified Arabic"/>
          <w:color w:val="000000" w:themeColor="text1"/>
          <w:kern w:val="0"/>
          <w:sz w:val="28"/>
          <w:szCs w:val="28"/>
          <w:rtl/>
          <w14:ligatures w14:val="none"/>
        </w:rPr>
        <w:t>أهدافاً تتمحور حول: تعزيز التكامل بين التمويل الأخضر والطاقة النظيفة والممارسات الاقتصادية الخضراء، ودعم الأداء المستدام من خلال مؤشرات الحوكمة البيئية والاجتماعية، وتطوير منظومة استدامية متكاملة تستجيب لمتطلبات الاقتصاد الأخضر، وتعزيز قدرة القطاعات الاقتصادية على تحقيق التحوّل المستدام في ضوء التحدّيات المعاصرة</w:t>
      </w:r>
      <w:r w:rsidRPr="007273B0">
        <w:rPr>
          <w:rFonts w:ascii="Simplified Arabic" w:eastAsia="Times New Roman" w:hAnsi="Simplified Arabic" w:cs="Simplified Arabic"/>
          <w:color w:val="000000" w:themeColor="text1"/>
          <w:kern w:val="0"/>
          <w:sz w:val="28"/>
          <w:szCs w:val="28"/>
          <w14:ligatures w14:val="none"/>
        </w:rPr>
        <w:t>.</w:t>
      </w:r>
    </w:p>
    <w:p w14:paraId="1B94F081"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المعايير الصناعية، يطرح</w:t>
      </w:r>
      <w:r w:rsidRPr="007273B0">
        <w:rPr>
          <w:rFonts w:ascii="Simplified Arabic" w:eastAsia="Times New Roman" w:hAnsi="Simplified Arabic" w:cs="Simplified Arabic"/>
          <w:color w:val="000000" w:themeColor="text1"/>
          <w:kern w:val="0"/>
          <w:sz w:val="28"/>
          <w:szCs w:val="28"/>
          <w14:ligatures w14:val="none"/>
        </w:rPr>
        <w:t xml:space="preserve"> (Plakantonaki et al., 2023) </w:t>
      </w:r>
      <w:r w:rsidRPr="007273B0">
        <w:rPr>
          <w:rFonts w:ascii="Simplified Arabic" w:eastAsia="Times New Roman" w:hAnsi="Simplified Arabic" w:cs="Simplified Arabic"/>
          <w:color w:val="000000" w:themeColor="text1"/>
          <w:kern w:val="0"/>
          <w:sz w:val="28"/>
          <w:szCs w:val="28"/>
          <w:rtl/>
          <w14:ligatures w14:val="none"/>
        </w:rPr>
        <w:t>أهدافاً تشمل: تطوير معايير الاستدامة بحيث تستوعب الجوانب البيئية والاجتماعية والاقتصادية، وتعزيز التصنيف البيئي للمنتجات والخدمات، وتوفير مرجعية موضوعية لتقييم الأداء الاستدامي، وضمان مصداقية ادّعاءات الاستدامة عبر منظومة معايير دولية موحّدة</w:t>
      </w:r>
      <w:r w:rsidRPr="007273B0">
        <w:rPr>
          <w:rFonts w:ascii="Simplified Arabic" w:eastAsia="Times New Roman" w:hAnsi="Simplified Arabic" w:cs="Simplified Arabic"/>
          <w:color w:val="000000" w:themeColor="text1"/>
          <w:kern w:val="0"/>
          <w:sz w:val="28"/>
          <w:szCs w:val="28"/>
          <w14:ligatures w14:val="none"/>
        </w:rPr>
        <w:t>.</w:t>
      </w:r>
    </w:p>
    <w:p w14:paraId="3BDB4A8C"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ومن منظور سعودي مؤسسي، يطرح (ندا وآخرون، ٢٠٢٥) جملة من الأهداف تشمل: تطوير مؤشرات لقياس مستوى الاستدامة المؤسسية، وتوفير أدوات للتقييم الدوري للأداء الاستدامي، وتعزيز الوعي المؤسسي بمتطلبات الاستدامة وأبعادها، ودعم اتخاذ القرار في المؤسسات بناءً على معطيات استدامية موضوعية</w:t>
      </w:r>
      <w:r w:rsidRPr="007273B0">
        <w:rPr>
          <w:rFonts w:ascii="Simplified Arabic" w:eastAsia="Times New Roman" w:hAnsi="Simplified Arabic" w:cs="Simplified Arabic"/>
          <w:color w:val="000000" w:themeColor="text1"/>
          <w:kern w:val="0"/>
          <w:sz w:val="28"/>
          <w:szCs w:val="28"/>
          <w14:ligatures w14:val="none"/>
        </w:rPr>
        <w:t>.</w:t>
      </w:r>
    </w:p>
    <w:p w14:paraId="66C7B3D9" w14:textId="5011B10F"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580415"/>
      <w:r w:rsidRPr="007273B0">
        <w:rPr>
          <w:rFonts w:ascii="Simplified Arabic" w:eastAsia="Times New Roman" w:hAnsi="Simplified Arabic" w:cs="Simplified Arabic" w:hint="cs"/>
          <w:b/>
          <w:bCs/>
          <w:color w:val="000000" w:themeColor="text1"/>
          <w:kern w:val="0"/>
          <w:sz w:val="32"/>
          <w:szCs w:val="32"/>
          <w:rtl/>
          <w14:ligatures w14:val="none"/>
        </w:rPr>
        <w:t>5.2.2</w:t>
      </w:r>
      <w:r w:rsidR="00A23CC6" w:rsidRPr="007273B0">
        <w:rPr>
          <w:rFonts w:ascii="Simplified Arabic" w:eastAsia="Times New Roman" w:hAnsi="Simplified Arabic" w:cs="Simplified Arabic"/>
          <w:b/>
          <w:bCs/>
          <w:color w:val="000000" w:themeColor="text1"/>
          <w:kern w:val="0"/>
          <w:sz w:val="32"/>
          <w:szCs w:val="32"/>
          <w:rtl/>
          <w14:ligatures w14:val="none"/>
        </w:rPr>
        <w:t xml:space="preserve"> أبعاد الالتزام بمعايير الاستدامة العقارية</w:t>
      </w:r>
      <w:bookmarkEnd w:id="40"/>
    </w:p>
    <w:p w14:paraId="164B879E"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تمّ تحديد أبعاد الالتزام بمعايير الاستدامة العقارية في الدراسة الحالية بناءً على دراسة</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w:t>
      </w:r>
      <w:r w:rsidRPr="007273B0">
        <w:rPr>
          <w:rFonts w:ascii="Simplified Arabic" w:eastAsia="Times New Roman" w:hAnsi="Simplified Arabic" w:cs="Simplified Arabic"/>
          <w:color w:val="000000" w:themeColor="text1"/>
          <w:kern w:val="0"/>
          <w:sz w:val="28"/>
          <w:szCs w:val="28"/>
          <w:rtl/>
          <w14:ligatures w14:val="none"/>
        </w:rPr>
        <w:t>، ودراسة</w:t>
      </w:r>
      <w:r w:rsidRPr="007273B0">
        <w:rPr>
          <w:rFonts w:ascii="Simplified Arabic" w:eastAsia="Times New Roman" w:hAnsi="Simplified Arabic" w:cs="Simplified Arabic"/>
          <w:color w:val="000000" w:themeColor="text1"/>
          <w:kern w:val="0"/>
          <w:sz w:val="28"/>
          <w:szCs w:val="28"/>
          <w14:ligatures w14:val="none"/>
        </w:rPr>
        <w:t xml:space="preserve"> (Walraven et al., 2025</w:t>
      </w:r>
      <w:proofErr w:type="gramStart"/>
      <w:r w:rsidRPr="007273B0">
        <w:rPr>
          <w:rFonts w:ascii="Simplified Arabic" w:eastAsia="Times New Roman" w:hAnsi="Simplified Arabic" w:cs="Simplified Arabic"/>
          <w:color w:val="000000" w:themeColor="text1"/>
          <w:kern w:val="0"/>
          <w:sz w:val="28"/>
          <w:szCs w:val="28"/>
          <w14:ligatures w14:val="none"/>
        </w:rPr>
        <w:t>)</w:t>
      </w:r>
      <w:r w:rsidRPr="007273B0">
        <w:rPr>
          <w:rFonts w:ascii="Simplified Arabic" w:eastAsia="Times New Roman" w:hAnsi="Simplified Arabic" w:cs="Simplified Arabic"/>
          <w:color w:val="000000" w:themeColor="text1"/>
          <w:kern w:val="0"/>
          <w:sz w:val="28"/>
          <w:szCs w:val="28"/>
          <w:rtl/>
          <w14:ligatures w14:val="none"/>
        </w:rPr>
        <w:t>،</w:t>
      </w:r>
      <w:proofErr w:type="gramEnd"/>
      <w:r w:rsidRPr="007273B0">
        <w:rPr>
          <w:rFonts w:ascii="Simplified Arabic" w:eastAsia="Times New Roman" w:hAnsi="Simplified Arabic" w:cs="Simplified Arabic"/>
          <w:color w:val="000000" w:themeColor="text1"/>
          <w:kern w:val="0"/>
          <w:sz w:val="28"/>
          <w:szCs w:val="28"/>
          <w:rtl/>
          <w14:ligatures w14:val="none"/>
        </w:rPr>
        <w:t xml:space="preserve"> ودراسة (ندا وآخرون، ٢٠٢٥)، حيث تتكامل هذه الدراسات في تقديم تصوّر متكامل لأبعاد هذا المتغير، يتمحور حول أربعة أبعاد رئيسية متداخلة هي: البُعد البيئي، والبُعد الاجتماعي، والبُعد الاقتصادي، وبُعد الحوكمة. وفيما يلي عرض تفصيلي لهذه الأبعاد</w:t>
      </w:r>
      <w:r w:rsidRPr="007273B0">
        <w:rPr>
          <w:rFonts w:ascii="Simplified Arabic" w:eastAsia="Times New Roman" w:hAnsi="Simplified Arabic" w:cs="Simplified Arabic"/>
          <w:color w:val="000000" w:themeColor="text1"/>
          <w:kern w:val="0"/>
          <w:sz w:val="28"/>
          <w:szCs w:val="28"/>
          <w14:ligatures w14:val="none"/>
        </w:rPr>
        <w:t>:</w:t>
      </w:r>
    </w:p>
    <w:p w14:paraId="6A9E6E92" w14:textId="77777777" w:rsidR="00A23CC6" w:rsidRPr="007273B0" w:rsidRDefault="00A23CC6"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الأول: البُعد البيئي</w:t>
      </w:r>
    </w:p>
    <w:p w14:paraId="5B04BD64"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 xml:space="preserve">يُمثّل البُعد البيئي الركيزة التأسيسية في منظومة الاستدامة العقارية، إذ كان البُعد الأول الذي استقطب الاهتمام العلمي والمؤسسي حين بدأت معايير الاستدامة في التبلور، ولا يزال يحتفظ بمكانته المركزية </w:t>
      </w:r>
      <w:r w:rsidRPr="007273B0">
        <w:rPr>
          <w:rFonts w:ascii="Simplified Arabic" w:eastAsia="Times New Roman" w:hAnsi="Simplified Arabic" w:cs="Simplified Arabic"/>
          <w:color w:val="000000" w:themeColor="text1"/>
          <w:kern w:val="0"/>
          <w:sz w:val="28"/>
          <w:szCs w:val="28"/>
          <w:rtl/>
          <w14:ligatures w14:val="none"/>
        </w:rPr>
        <w:lastRenderedPageBreak/>
        <w:t>في مختلف منظومات التقييم الاستدامي للأصول العقارية. ويتضمّن هذا البُعد جملة من العناصر الفرعية، أبرزها: كفاءة استهلاك الطاقة في المباني العقارية، وتقليص انبعاثات الغازات الدفيئة، وكفاءة استهلاك المياه، وإدارة النفايات والمخلّفات الإنشائية، واستخدام المواد المستدامة وقابلة للتدوير، والحفاظ على التنوّع البيولوجي في المواقع العقارية، وتعزيز جودة البيئة الداخلية للمباني</w:t>
      </w:r>
      <w:r w:rsidRPr="007273B0">
        <w:rPr>
          <w:rFonts w:ascii="Simplified Arabic" w:eastAsia="Times New Roman" w:hAnsi="Simplified Arabic" w:cs="Simplified Arabic"/>
          <w:color w:val="000000" w:themeColor="text1"/>
          <w:kern w:val="0"/>
          <w:sz w:val="28"/>
          <w:szCs w:val="28"/>
          <w14:ligatures w14:val="none"/>
        </w:rPr>
        <w:t>.</w:t>
      </w:r>
    </w:p>
    <w:p w14:paraId="5FE283D0"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ويُشير</w:t>
      </w:r>
      <w:r w:rsidRPr="007273B0">
        <w:rPr>
          <w:rFonts w:ascii="Simplified Arabic" w:eastAsia="Times New Roman" w:hAnsi="Simplified Arabic" w:cs="Simplified Arabic"/>
          <w:color w:val="000000" w:themeColor="text1"/>
          <w:kern w:val="0"/>
          <w:sz w:val="28"/>
          <w:szCs w:val="28"/>
          <w14:ligatures w14:val="none"/>
        </w:rPr>
        <w:t xml:space="preserve"> (Matemilola &amp; Muraina, 2023) </w:t>
      </w:r>
      <w:r w:rsidRPr="007273B0">
        <w:rPr>
          <w:rFonts w:ascii="Simplified Arabic" w:eastAsia="Times New Roman" w:hAnsi="Simplified Arabic" w:cs="Simplified Arabic"/>
          <w:color w:val="000000" w:themeColor="text1"/>
          <w:kern w:val="0"/>
          <w:sz w:val="28"/>
          <w:szCs w:val="28"/>
          <w:rtl/>
          <w14:ligatures w14:val="none"/>
        </w:rPr>
        <w:t>إلى أن البُعد البيئي للاستدامة العقارية يستلزم نقلة منهجية في الطريقة التي تُصمَّم بها المشاريع العقارية وتُنفَّذ وتُشغَّل، بحيث تنتقل من نموذج الاستهلاك المفرط للموارد الطبيعية إلى نموذج الاقتصاد الدائري الذي يقوم على إعادة استخدام الموارد وتدويرها وتقليص الفاقد إلى حدّه الأدنى. ويُضيف</w:t>
      </w:r>
      <w:r w:rsidRPr="007273B0">
        <w:rPr>
          <w:rFonts w:ascii="Simplified Arabic" w:eastAsia="Times New Roman" w:hAnsi="Simplified Arabic" w:cs="Simplified Arabic"/>
          <w:color w:val="000000" w:themeColor="text1"/>
          <w:kern w:val="0"/>
          <w:sz w:val="28"/>
          <w:szCs w:val="28"/>
          <w14:ligatures w14:val="none"/>
        </w:rPr>
        <w:t xml:space="preserve"> (McAllister &amp; Nase, 2023) </w:t>
      </w:r>
      <w:r w:rsidRPr="007273B0">
        <w:rPr>
          <w:rFonts w:ascii="Simplified Arabic" w:eastAsia="Times New Roman" w:hAnsi="Simplified Arabic" w:cs="Simplified Arabic"/>
          <w:color w:val="000000" w:themeColor="text1"/>
          <w:kern w:val="0"/>
          <w:sz w:val="28"/>
          <w:szCs w:val="28"/>
          <w:rtl/>
          <w14:ligatures w14:val="none"/>
        </w:rPr>
        <w:t>أن الأطر التشريعية المعاصرة في القطاع العقاري التجاري باتت تُولي اهتماماً متزايداً بمعايير الكفاءة الطاقية الدنيا، باعتبارها العنصر الأكثر إلزامية في البُعد البيئي، وأن هذه الأطر التشريعية تُمثّل آلية فاعلة لدفع القطاع العقاري نحو تبنّي الممارسات صديقة البيئة</w:t>
      </w:r>
      <w:r w:rsidRPr="007273B0">
        <w:rPr>
          <w:rFonts w:ascii="Simplified Arabic" w:eastAsia="Times New Roman" w:hAnsi="Simplified Arabic" w:cs="Simplified Arabic"/>
          <w:color w:val="000000" w:themeColor="text1"/>
          <w:kern w:val="0"/>
          <w:sz w:val="28"/>
          <w:szCs w:val="28"/>
          <w14:ligatures w14:val="none"/>
        </w:rPr>
        <w:t>.</w:t>
      </w:r>
    </w:p>
    <w:p w14:paraId="0FE79E47" w14:textId="77777777" w:rsidR="00A23CC6" w:rsidRPr="007273B0" w:rsidRDefault="00A23CC6"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الثاني: البُعد الاجتماعي</w:t>
      </w:r>
    </w:p>
    <w:p w14:paraId="43AFC9D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يُمثّل البُعد الاجتماعي التطوّر النوعي الذي شهده مفهوم الاستدامة العقارية، حين انتقل من التركيز الحصري على البيئة الطبيعية إلى استيعاب البيئة الإنسانية والاجتماعية المحيطة بالمشروع العقاري. ويتضمّن هذا البُعد جملة من العناصر، أبرزها: تعزيز جودة الحياة للمستخدمين والساكنين، وضمان توفّر المرافق الترفيهية والخدمية اللازمة، وتعزيز الوصول العادل للأصول العقارية، ومراعاة احتياجات الفئات الخاصة، وتوفير بيئة عمل آمنة وصحّية للعاملين في تنفيذ المشاريع، وتعزيز الانتماء المجتمعي للمشروع العقاري وتفاعله مع المجتمع المحلي</w:t>
      </w:r>
      <w:r w:rsidRPr="007273B0">
        <w:rPr>
          <w:rFonts w:ascii="Simplified Arabic" w:eastAsia="Times New Roman" w:hAnsi="Simplified Arabic" w:cs="Simplified Arabic"/>
          <w:color w:val="000000" w:themeColor="text1"/>
          <w:kern w:val="0"/>
          <w:sz w:val="28"/>
          <w:szCs w:val="28"/>
          <w14:ligatures w14:val="none"/>
        </w:rPr>
        <w:t>.</w:t>
      </w:r>
    </w:p>
    <w:p w14:paraId="49DFBC03"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ويطرح (القيسي وآخرون، ٢٠٢٤) رؤية تُبرز أهمية البُعد الاجتماعي في المدن الاستثمارية الجديدة، باعتباره العنصر الذي يُحوّل المشروع العقاري من مجرّد منشأة عمرانية إلى بيئة حياتية متكاملة تستجيب لاحتياجات الإنسان في مختلف جوانب حياته اليومية. ويُضيف الباحثون أن إدماج معايير الاستدامة الترفيهية في المشاريع العقارية يُمثّل أحد أبرز عناصر البُعد الاجتماعي، إذ يُسهم في تعزيز جودة الحياة وتشكيل بيئة عمرانية أكثر إنسانية</w:t>
      </w:r>
      <w:r w:rsidRPr="007273B0">
        <w:rPr>
          <w:rFonts w:ascii="Simplified Arabic" w:eastAsia="Times New Roman" w:hAnsi="Simplified Arabic" w:cs="Simplified Arabic"/>
          <w:color w:val="000000" w:themeColor="text1"/>
          <w:kern w:val="0"/>
          <w:sz w:val="28"/>
          <w:szCs w:val="28"/>
          <w14:ligatures w14:val="none"/>
        </w:rPr>
        <w:t>.</w:t>
      </w:r>
    </w:p>
    <w:p w14:paraId="273C96AF" w14:textId="77777777" w:rsidR="00A23CC6" w:rsidRPr="007273B0" w:rsidRDefault="00A23CC6"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الثالث: البُعد الاقتصادي</w:t>
      </w:r>
    </w:p>
    <w:p w14:paraId="5A6D7803"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يُمثّل البُعد الاقتصادي العنصر الذي يضمن استدامة المشروع العقاري ذاته، إذ لا يمكن لمشروع غير قابل للاستمرار اقتصادياً أن يُحقّق غايات الاستدامة على المدى البعيد. ويتضمّن هذا البُعد جملة من العناصر، أبرزها: تحقيق الجدوى الاقتصادية للمشروع، وتعزيز كفاءة استخدام الموارد المالية، وإدماج اعتبارات التكلفة الإجمالية لدورة حياة المشروع في القرارات الاستثمارية، وتعزيز القدرة التنافسية للأصل العقاري في السوق، والمساهمة في خلق فرص العمل والتنمية الاقتصادية المحلية</w:t>
      </w:r>
      <w:r w:rsidRPr="007273B0">
        <w:rPr>
          <w:rFonts w:ascii="Simplified Arabic" w:eastAsia="Times New Roman" w:hAnsi="Simplified Arabic" w:cs="Simplified Arabic"/>
          <w:color w:val="000000" w:themeColor="text1"/>
          <w:kern w:val="0"/>
          <w:sz w:val="28"/>
          <w:szCs w:val="28"/>
          <w14:ligatures w14:val="none"/>
        </w:rPr>
        <w:t>.</w:t>
      </w:r>
    </w:p>
    <w:p w14:paraId="34A1ED06"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ويُؤكّد</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أن البُعد الاقتصادي للاستدامة العقارية لا يتعارض مع البُعد البيئي والاجتماعي، بل يتكامل معهما في إطار فلسفة الاستثمار المسؤول، التي ترى أن الاستثمار المستدام يُحقّق على المدى البعيد عوائد أفضل واستقراراً أعلى من الاستثمار التقليدي، نظراً لقدرته على استيعاب المخاطر المتنوّعة وتجنّبها. ويُضيف</w:t>
      </w:r>
      <w:r w:rsidRPr="007273B0">
        <w:rPr>
          <w:rFonts w:ascii="Simplified Arabic" w:eastAsia="Times New Roman" w:hAnsi="Simplified Arabic" w:cs="Simplified Arabic"/>
          <w:color w:val="000000" w:themeColor="text1"/>
          <w:kern w:val="0"/>
          <w:sz w:val="28"/>
          <w:szCs w:val="28"/>
          <w14:ligatures w14:val="none"/>
        </w:rPr>
        <w:t xml:space="preserve"> (Akin &amp; Akin, 2025) </w:t>
      </w:r>
      <w:r w:rsidRPr="007273B0">
        <w:rPr>
          <w:rFonts w:ascii="Simplified Arabic" w:eastAsia="Times New Roman" w:hAnsi="Simplified Arabic" w:cs="Simplified Arabic"/>
          <w:color w:val="000000" w:themeColor="text1"/>
          <w:kern w:val="0"/>
          <w:sz w:val="28"/>
          <w:szCs w:val="28"/>
          <w:rtl/>
          <w14:ligatures w14:val="none"/>
        </w:rPr>
        <w:t>أن الاستثمارات الخضراء في القطاع العقاري تُمثّل تجسيداً للبُعد الاقتصادي للاستدامة، إذ تجمع بين تحقيق العائد الاستثماري والإسهام في تحقيق الأهداف البيئية والاجتماعية</w:t>
      </w:r>
      <w:r w:rsidRPr="007273B0">
        <w:rPr>
          <w:rFonts w:ascii="Simplified Arabic" w:eastAsia="Times New Roman" w:hAnsi="Simplified Arabic" w:cs="Simplified Arabic"/>
          <w:color w:val="000000" w:themeColor="text1"/>
          <w:kern w:val="0"/>
          <w:sz w:val="28"/>
          <w:szCs w:val="28"/>
          <w14:ligatures w14:val="none"/>
        </w:rPr>
        <w:t>.</w:t>
      </w:r>
    </w:p>
    <w:p w14:paraId="430EC22A" w14:textId="77777777" w:rsidR="00A23CC6" w:rsidRPr="007273B0" w:rsidRDefault="00A23CC6" w:rsidP="004713E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273B0">
        <w:rPr>
          <w:rFonts w:ascii="Simplified Arabic" w:eastAsia="Times New Roman" w:hAnsi="Simplified Arabic" w:cs="Simplified Arabic"/>
          <w:b/>
          <w:bCs/>
          <w:color w:val="000000" w:themeColor="text1"/>
          <w:kern w:val="0"/>
          <w:sz w:val="28"/>
          <w:szCs w:val="28"/>
          <w:rtl/>
          <w14:ligatures w14:val="none"/>
        </w:rPr>
        <w:t>البُعد الرابع: بُعد الحوكمة</w:t>
      </w:r>
    </w:p>
    <w:p w14:paraId="283BADEF"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يُمثّل بُعد الحوكمة الإطار المؤسسي الذي تنتظم فيه باقي أبعاد الاستدامة العقارية، إذ يُوفّر الآليات التنظيمية والإدارية التي تضمن الالتزام بالمعايير وتُتيح متابعتها وتقييمها. ويتضمّن هذا البُعد جملة من العناصر، أبرزها: ترسيخ الشفافية في إدارة المشاريع العقارية، وتوفير آليات المساءلة عن الأداء الاستدامي، والإفصاح المنهجي عن مؤشرات الاستدامة وفق المعايير المعتمدة دولياً، وإشراك أصحاب المصلحة في القرارات المتعلّقة بالأصول العقارية، وضمان النزاهة في عمليات التعاقد والتنفيذ، ومكافحة الفساد في القطاع العقاري</w:t>
      </w:r>
      <w:r w:rsidRPr="007273B0">
        <w:rPr>
          <w:rFonts w:ascii="Simplified Arabic" w:eastAsia="Times New Roman" w:hAnsi="Simplified Arabic" w:cs="Simplified Arabic"/>
          <w:color w:val="000000" w:themeColor="text1"/>
          <w:kern w:val="0"/>
          <w:sz w:val="28"/>
          <w:szCs w:val="28"/>
          <w14:ligatures w14:val="none"/>
        </w:rPr>
        <w:t>.</w:t>
      </w:r>
    </w:p>
    <w:p w14:paraId="148C7A26"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ويُبرز (الدباغ وصبيح، ٢٠٢٣) أهمية البُعد الحوكمي في منظومة الاستدامة العقارية، من خلال طرحه لمتطلبات معايير محاسبة الاستدامة، التي تُمثّل أحد أبرز التجلّيات العملية لهذا البُعد. ويُشير الباحثان إلى أن النظام المحاسبي الموحّد يحتاج إلى تطوير مستمر لاستيعاب متطلبات الإفصاح الاستدامي، بما يضمن مصداقية المعلومات الاستدامية المتاحة لأصحاب المصلحة. ويُضيف</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أن دمج اعتبارات الاستدامة في صلب منظومة إدارة المخاطر يُمثّل أحد أرقى أشكال الحوكمة الاستدامية في القطاع العقاري، إذ ينقل الاستدامة من موقع الالتزام الشكلي إلى موقع المكوّن العضوي في صنع القرار</w:t>
      </w:r>
      <w:r w:rsidRPr="007273B0">
        <w:rPr>
          <w:rFonts w:ascii="Simplified Arabic" w:eastAsia="Times New Roman" w:hAnsi="Simplified Arabic" w:cs="Simplified Arabic"/>
          <w:color w:val="000000" w:themeColor="text1"/>
          <w:kern w:val="0"/>
          <w:sz w:val="28"/>
          <w:szCs w:val="28"/>
          <w14:ligatures w14:val="none"/>
        </w:rPr>
        <w:t>.</w:t>
      </w:r>
    </w:p>
    <w:p w14:paraId="6C36D2DA"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ومن العناصر الإضافية التي تُكمّل منظومة أبعاد الاستدامة العقارية، يمكن الإشارة إلى البُعد التقني الذي يتعلّق بتوظيف التقنيات الحديثة في تعزيز الأداء الاستدامي للأصول العقارية، والبُعد الثقافي الذي يتعلّق بترسيخ ثقافة الاستدامة لدى العاملين في القطاع العقاري والمستفيدين منه، والبُعد التشريعي الذي يتعلّق بالامتثال للأطر التنظيمية والقانونية المُؤطّرة لمعايير الاستدامة العقارية. وتتكامل هذه الأبعاد الإضافية مع الأبعاد الأربعة الرئيسية في تشكيل المنظومة المتكاملة للاستدامة العقارية</w:t>
      </w:r>
      <w:r w:rsidRPr="007273B0">
        <w:rPr>
          <w:rFonts w:ascii="Simplified Arabic" w:eastAsia="Times New Roman" w:hAnsi="Simplified Arabic" w:cs="Simplified Arabic"/>
          <w:color w:val="000000" w:themeColor="text1"/>
          <w:kern w:val="0"/>
          <w:sz w:val="28"/>
          <w:szCs w:val="28"/>
          <w14:ligatures w14:val="none"/>
        </w:rPr>
        <w:t>.</w:t>
      </w:r>
    </w:p>
    <w:p w14:paraId="0E43E73D" w14:textId="2FCB21AD" w:rsidR="00A23CC6" w:rsidRPr="007273B0" w:rsidRDefault="000519A7" w:rsidP="000519A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580416"/>
      <w:r w:rsidRPr="007273B0">
        <w:rPr>
          <w:rFonts w:ascii="Simplified Arabic" w:eastAsia="Times New Roman" w:hAnsi="Simplified Arabic" w:cs="Simplified Arabic" w:hint="cs"/>
          <w:b/>
          <w:bCs/>
          <w:color w:val="000000" w:themeColor="text1"/>
          <w:kern w:val="0"/>
          <w:sz w:val="32"/>
          <w:szCs w:val="32"/>
          <w:rtl/>
          <w14:ligatures w14:val="none"/>
        </w:rPr>
        <w:t>6.2.2</w:t>
      </w:r>
      <w:r w:rsidR="00A23CC6" w:rsidRPr="007273B0">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الالتزام بمعايير الاستدامة العقارية والمداخل المعاصرة</w:t>
      </w:r>
      <w:bookmarkEnd w:id="41"/>
    </w:p>
    <w:p w14:paraId="5E0AD451"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تتنوّع الاستراتيجيات التي تُؤطّر التطبيق العملي للالتزام بمعايير الاستدامة العقارية، وتعكس هذه الاستراتيجيات تطوّر الحقل المعرفي وتفاعله مع المستجدات التقنية والاقتصادية والتشريعية. وتُمثّل استراتيجية الاستثمار الأخضر أحد أبرز هذه المداخل المعاصرة، حيث يُؤكّد</w:t>
      </w:r>
      <w:r w:rsidRPr="007273B0">
        <w:rPr>
          <w:rFonts w:ascii="Simplified Arabic" w:eastAsia="Times New Roman" w:hAnsi="Simplified Arabic" w:cs="Simplified Arabic"/>
          <w:color w:val="000000" w:themeColor="text1"/>
          <w:kern w:val="0"/>
          <w:sz w:val="28"/>
          <w:szCs w:val="28"/>
          <w14:ligatures w14:val="none"/>
        </w:rPr>
        <w:t xml:space="preserve"> (Akin &amp; Akin, 2025) </w:t>
      </w:r>
      <w:r w:rsidRPr="007273B0">
        <w:rPr>
          <w:rFonts w:ascii="Simplified Arabic" w:eastAsia="Times New Roman" w:hAnsi="Simplified Arabic" w:cs="Simplified Arabic"/>
          <w:color w:val="000000" w:themeColor="text1"/>
          <w:kern w:val="0"/>
          <w:sz w:val="28"/>
          <w:szCs w:val="28"/>
          <w:rtl/>
          <w14:ligatures w14:val="none"/>
        </w:rPr>
        <w:t>أن توظيف الاستثمارات الخضراء في صناعة العقارات يُمثّل أحد أكثر المداخل فاعلية لتعزيز الممارسات المستدامة، إذ يُوفّر التمويل اللازم لتبنّي التقنيات الخضراء المتقدّمة، ويُسهم في خلق دورة إيجابية تتغذّى فيها الاستدامة على التمويل الأخضر، ويتغذّى فيها التمويل الأخضر على نضج الممارسات الاستدامية</w:t>
      </w:r>
      <w:r w:rsidRPr="007273B0">
        <w:rPr>
          <w:rFonts w:ascii="Simplified Arabic" w:eastAsia="Times New Roman" w:hAnsi="Simplified Arabic" w:cs="Simplified Arabic"/>
          <w:color w:val="000000" w:themeColor="text1"/>
          <w:kern w:val="0"/>
          <w:sz w:val="28"/>
          <w:szCs w:val="28"/>
          <w14:ligatures w14:val="none"/>
        </w:rPr>
        <w:t>.</w:t>
      </w:r>
    </w:p>
    <w:p w14:paraId="60801A5D"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وتُمثّل استراتيجية إدماج الاستدامة في منظومة إدارة المخاطر مدخلاً متقدّماً ومبتكراً، حيث يطرح</w:t>
      </w:r>
      <w:r w:rsidRPr="007273B0">
        <w:rPr>
          <w:rFonts w:ascii="Simplified Arabic" w:eastAsia="Times New Roman" w:hAnsi="Simplified Arabic" w:cs="Simplified Arabic"/>
          <w:color w:val="000000" w:themeColor="text1"/>
          <w:kern w:val="0"/>
          <w:sz w:val="28"/>
          <w:szCs w:val="28"/>
          <w14:ligatures w14:val="none"/>
        </w:rPr>
        <w:t xml:space="preserve"> (Walraven et al., 2025) </w:t>
      </w:r>
      <w:r w:rsidRPr="007273B0">
        <w:rPr>
          <w:rFonts w:ascii="Simplified Arabic" w:eastAsia="Times New Roman" w:hAnsi="Simplified Arabic" w:cs="Simplified Arabic"/>
          <w:color w:val="000000" w:themeColor="text1"/>
          <w:kern w:val="0"/>
          <w:sz w:val="28"/>
          <w:szCs w:val="28"/>
          <w:rtl/>
          <w14:ligatures w14:val="none"/>
        </w:rPr>
        <w:t>رؤية تنظر إلى الاستدامة بوصفها فئة من فئات إدارة المخاطر في القطاع العقاري، بحيث تُدمج اعتبارات الاستدامة في صلب منظومة إدارة المخاطر بدلاً من أن تكون موضوعاً مستقلاً يُعالَج بمعزل عنها. ويُقدّم هذا المدخل تحوّلاً نوعياً في فهم العلاقة بين إدارة المخاطر والاستدامة، إذ يجعل من إدارة المخاطر هي المظلة التي تنتظم تحتها مختلف المبادرات الاستدامية، ويُضفي عليها صفة المنهجية والانضباط التي يتطلّبها العمل المخاطري</w:t>
      </w:r>
      <w:r w:rsidRPr="007273B0">
        <w:rPr>
          <w:rFonts w:ascii="Simplified Arabic" w:eastAsia="Times New Roman" w:hAnsi="Simplified Arabic" w:cs="Simplified Arabic"/>
          <w:color w:val="000000" w:themeColor="text1"/>
          <w:kern w:val="0"/>
          <w:sz w:val="28"/>
          <w:szCs w:val="28"/>
          <w14:ligatures w14:val="none"/>
        </w:rPr>
        <w:t>.</w:t>
      </w:r>
    </w:p>
    <w:p w14:paraId="2D80540D"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وتطرح استراتيجية الاستثمار المسؤول مدخلاً متخصّصاً للالتزام بمعايير الاستدامة العقارية، حيث يُؤكّد</w:t>
      </w:r>
      <w:r w:rsidRPr="007273B0">
        <w:rPr>
          <w:rFonts w:ascii="Simplified Arabic" w:eastAsia="Times New Roman" w:hAnsi="Simplified Arabic" w:cs="Simplified Arabic"/>
          <w:color w:val="000000" w:themeColor="text1"/>
          <w:kern w:val="0"/>
          <w:sz w:val="28"/>
          <w:szCs w:val="28"/>
          <w14:ligatures w14:val="none"/>
        </w:rPr>
        <w:t xml:space="preserve"> (Brodowicz, 2025) </w:t>
      </w:r>
      <w:r w:rsidRPr="007273B0">
        <w:rPr>
          <w:rFonts w:ascii="Simplified Arabic" w:eastAsia="Times New Roman" w:hAnsi="Simplified Arabic" w:cs="Simplified Arabic"/>
          <w:color w:val="000000" w:themeColor="text1"/>
          <w:kern w:val="0"/>
          <w:sz w:val="28"/>
          <w:szCs w:val="28"/>
          <w:rtl/>
          <w14:ligatures w14:val="none"/>
        </w:rPr>
        <w:t>أن المداخل المعاصرة للاستثمار العقاري المسؤول باتت تنطلق من فلسفة شاملة تدمج اعتبارات الاستدامة البيئية والاجتماعية والحوكمية في صلب عمليات اتخاذ القرار الاستثماري. ويتميّز هذا المدخل بنظرته الشاملة، إذ لا يكتفي بالنظر إلى المعايير الاستدامية كمتطلبات خارجية يُلتزَم بها، بل يستوعبها كمكوّنات جوهرية في صياغة الاستراتيجية الاستثمارية</w:t>
      </w:r>
      <w:r w:rsidRPr="007273B0">
        <w:rPr>
          <w:rFonts w:ascii="Simplified Arabic" w:eastAsia="Times New Roman" w:hAnsi="Simplified Arabic" w:cs="Simplified Arabic"/>
          <w:color w:val="000000" w:themeColor="text1"/>
          <w:kern w:val="0"/>
          <w:sz w:val="28"/>
          <w:szCs w:val="28"/>
          <w14:ligatures w14:val="none"/>
        </w:rPr>
        <w:t>.</w:t>
      </w:r>
    </w:p>
    <w:p w14:paraId="2F2550A3"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lastRenderedPageBreak/>
        <w:t>وتُمثّل استراتيجية الامتثال التشريعي للمعايير الإلزامية مدخلاً تقليدياً لكنه يحتفظ بأهميته المركزية، حيث يُبرز</w:t>
      </w:r>
      <w:r w:rsidRPr="007273B0">
        <w:rPr>
          <w:rFonts w:ascii="Simplified Arabic" w:eastAsia="Times New Roman" w:hAnsi="Simplified Arabic" w:cs="Simplified Arabic"/>
          <w:color w:val="000000" w:themeColor="text1"/>
          <w:kern w:val="0"/>
          <w:sz w:val="28"/>
          <w:szCs w:val="28"/>
          <w14:ligatures w14:val="none"/>
        </w:rPr>
        <w:t xml:space="preserve"> (McAllister &amp; Nase, 2023) </w:t>
      </w:r>
      <w:r w:rsidRPr="007273B0">
        <w:rPr>
          <w:rFonts w:ascii="Simplified Arabic" w:eastAsia="Times New Roman" w:hAnsi="Simplified Arabic" w:cs="Simplified Arabic"/>
          <w:color w:val="000000" w:themeColor="text1"/>
          <w:kern w:val="0"/>
          <w:sz w:val="28"/>
          <w:szCs w:val="28"/>
          <w:rtl/>
          <w14:ligatures w14:val="none"/>
        </w:rPr>
        <w:t>أن أنظمة السياسات المتعلّقة بمعايير الكفاءة الطاقية الدنيا في القطاع العقاري التجاري تُمثّل آلية فاعلة لدفع القطاع نحو تبنّي ممارسات استدامية أعمق وأشمل. ويتمحور هذا المدخل حول جملة من المبادئ، تشمل: الالتزام بالحدود الدنيا للأداء الاستدامي المُحدَّدة تشريعياً، وتوفير الإطار المؤسسي اللازم للامتثال، وتطوير منظومة الرقابة على الالتزام، والتعامل بكفاءة مع المتطلبات التنظيمية المتجدّدة</w:t>
      </w:r>
      <w:r w:rsidRPr="007273B0">
        <w:rPr>
          <w:rFonts w:ascii="Simplified Arabic" w:eastAsia="Times New Roman" w:hAnsi="Simplified Arabic" w:cs="Simplified Arabic"/>
          <w:color w:val="000000" w:themeColor="text1"/>
          <w:kern w:val="0"/>
          <w:sz w:val="28"/>
          <w:szCs w:val="28"/>
          <w14:ligatures w14:val="none"/>
        </w:rPr>
        <w:t>.</w:t>
      </w:r>
    </w:p>
    <w:p w14:paraId="459355DB"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وتطرح استراتيجية التمويل الأخضر والممارسات الاقتصادية الخضراء مدخلاً اقتصادياً معاصراً، حيث يُؤكّد</w:t>
      </w:r>
      <w:r w:rsidRPr="007273B0">
        <w:rPr>
          <w:rFonts w:ascii="Simplified Arabic" w:eastAsia="Times New Roman" w:hAnsi="Simplified Arabic" w:cs="Simplified Arabic"/>
          <w:color w:val="000000" w:themeColor="text1"/>
          <w:kern w:val="0"/>
          <w:sz w:val="28"/>
          <w:szCs w:val="28"/>
          <w14:ligatures w14:val="none"/>
        </w:rPr>
        <w:t xml:space="preserve"> (Yang et al., 2022) </w:t>
      </w:r>
      <w:r w:rsidRPr="007273B0">
        <w:rPr>
          <w:rFonts w:ascii="Simplified Arabic" w:eastAsia="Times New Roman" w:hAnsi="Simplified Arabic" w:cs="Simplified Arabic"/>
          <w:color w:val="000000" w:themeColor="text1"/>
          <w:kern w:val="0"/>
          <w:sz w:val="28"/>
          <w:szCs w:val="28"/>
          <w:rtl/>
          <w14:ligatures w14:val="none"/>
        </w:rPr>
        <w:t>أهمية التكامل بين التمويل الأخضر والطاقة النظيفة والممارسات الاقتصادية الخضراء، وأثر هذا التكامل في تعزيز الأداء المستدام من خلال مؤشرات الحوكمة البيئية والاجتماعية. ويتميّز هذا المدخل بنظرته الكلية، إذ يربط بين الاستدامة العقارية والمنظومة الاقتصادية الأوسع التي تعمل فيها</w:t>
      </w:r>
      <w:r w:rsidRPr="007273B0">
        <w:rPr>
          <w:rFonts w:ascii="Simplified Arabic" w:eastAsia="Times New Roman" w:hAnsi="Simplified Arabic" w:cs="Simplified Arabic"/>
          <w:color w:val="000000" w:themeColor="text1"/>
          <w:kern w:val="0"/>
          <w:sz w:val="28"/>
          <w:szCs w:val="28"/>
          <w14:ligatures w14:val="none"/>
        </w:rPr>
        <w:t>.</w:t>
      </w:r>
    </w:p>
    <w:p w14:paraId="405187D4"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وتُمثّل استراتيجية المعايير الموحّدة والتصنيف البيئي مدخلاً متخصّصاً، حيث يطرح</w:t>
      </w:r>
      <w:r w:rsidRPr="007273B0">
        <w:rPr>
          <w:rFonts w:ascii="Simplified Arabic" w:eastAsia="Times New Roman" w:hAnsi="Simplified Arabic" w:cs="Simplified Arabic"/>
          <w:color w:val="000000" w:themeColor="text1"/>
          <w:kern w:val="0"/>
          <w:sz w:val="28"/>
          <w:szCs w:val="28"/>
          <w14:ligatures w14:val="none"/>
        </w:rPr>
        <w:t xml:space="preserve"> (Plakantonaki et al., 2023) </w:t>
      </w:r>
      <w:r w:rsidRPr="007273B0">
        <w:rPr>
          <w:rFonts w:ascii="Simplified Arabic" w:eastAsia="Times New Roman" w:hAnsi="Simplified Arabic" w:cs="Simplified Arabic"/>
          <w:color w:val="000000" w:themeColor="text1"/>
          <w:kern w:val="0"/>
          <w:sz w:val="28"/>
          <w:szCs w:val="28"/>
          <w:rtl/>
          <w14:ligatures w14:val="none"/>
        </w:rPr>
        <w:t>معالجة تتناول معايير الاستدامة وآليات التصنيف البيئي، باعتبارها أدوات منهجية لقياس الأداء الاستدامي ومقارنته وتعزيز شفافيته. ويتميّز هذا المدخل بقدرته على توفير مرجعية موضوعية لتقييم الالتزام، والحدّ من ادّعاءات الاستدامة غير المسنودة بمعايير علمية موثوقة</w:t>
      </w:r>
      <w:r w:rsidRPr="007273B0">
        <w:rPr>
          <w:rFonts w:ascii="Simplified Arabic" w:eastAsia="Times New Roman" w:hAnsi="Simplified Arabic" w:cs="Simplified Arabic"/>
          <w:color w:val="000000" w:themeColor="text1"/>
          <w:kern w:val="0"/>
          <w:sz w:val="28"/>
          <w:szCs w:val="28"/>
          <w14:ligatures w14:val="none"/>
        </w:rPr>
        <w:t>.</w:t>
      </w:r>
    </w:p>
    <w:p w14:paraId="12D49E9E" w14:textId="77777777" w:rsidR="00A23CC6" w:rsidRPr="007273B0" w:rsidRDefault="00A23CC6" w:rsidP="000519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273B0">
        <w:rPr>
          <w:rFonts w:ascii="Simplified Arabic" w:eastAsia="Times New Roman" w:hAnsi="Simplified Arabic" w:cs="Simplified Arabic"/>
          <w:color w:val="000000" w:themeColor="text1"/>
          <w:kern w:val="0"/>
          <w:sz w:val="28"/>
          <w:szCs w:val="28"/>
          <w:rtl/>
          <w14:ligatures w14:val="none"/>
        </w:rPr>
        <w:t>وتطرح استراتيجية المحاسبة الاستدامية مدخلاً متخصّصاً، حيث يُؤكّد (الدباغ وصبيح، ٢٠٢٣) أن تطوير النظام المحاسبي الموحّد لاستيعاب متطلبات معايير محاسبة الاستدامة يُمثّل خطوة جوهرية في ترسيخ منظومة الالتزام الاستدامي، إذ يُوفّر الإطار القياسي الذي يُتيح للمنشآت رصد أدائها الاستدامي والإفصاح عنه وفق معايير موحّدة وموثوقة</w:t>
      </w:r>
      <w:r w:rsidRPr="007273B0">
        <w:rPr>
          <w:rFonts w:ascii="Simplified Arabic" w:eastAsia="Times New Roman" w:hAnsi="Simplified Arabic" w:cs="Simplified Arabic"/>
          <w:color w:val="000000" w:themeColor="text1"/>
          <w:kern w:val="0"/>
          <w:sz w:val="28"/>
          <w:szCs w:val="28"/>
          <w14:ligatures w14:val="none"/>
        </w:rPr>
        <w:t>.</w:t>
      </w:r>
    </w:p>
    <w:p w14:paraId="2E791DA8" w14:textId="339E8917" w:rsidR="007273B0" w:rsidRPr="007273B0" w:rsidRDefault="000519A7" w:rsidP="00EE5580">
      <w:pPr>
        <w:jc w:val="center"/>
        <w:outlineLvl w:val="0"/>
        <w:rPr>
          <w:rFonts w:ascii="Simplified Arabic" w:hAnsi="Simplified Arabic" w:cs="Simplified Arabic"/>
          <w:b/>
          <w:bCs/>
          <w:color w:val="000000" w:themeColor="text1"/>
          <w:szCs w:val="28"/>
          <w:rtl/>
        </w:rPr>
        <w:sectPr w:rsidR="007273B0" w:rsidRPr="007273B0" w:rsidSect="004713E0">
          <w:footerReference w:type="default" r:id="rId10"/>
          <w:pgSz w:w="11906" w:h="16838" w:code="9"/>
          <w:pgMar w:top="1134" w:right="1701" w:bottom="1134" w:left="1134" w:header="720" w:footer="720" w:gutter="0"/>
          <w:pgNumType w:start="1"/>
          <w:cols w:space="708"/>
          <w:bidi/>
          <w:rtlGutter/>
          <w:docGrid w:linePitch="360"/>
        </w:sectPr>
      </w:pPr>
      <w:r w:rsidRPr="007273B0">
        <w:rPr>
          <w:rFonts w:ascii="Simplified Arabic" w:eastAsia="Times New Roman" w:hAnsi="Simplified Arabic" w:cs="Simplified Arabic"/>
          <w:b/>
          <w:bCs/>
          <w:color w:val="000000" w:themeColor="text1"/>
          <w:kern w:val="0"/>
          <w:sz w:val="40"/>
          <w:szCs w:val="40"/>
          <w:rtl/>
          <w14:ligatures w14:val="none"/>
        </w:rPr>
        <w:br w:type="page"/>
      </w:r>
      <w:bookmarkStart w:id="42" w:name="_GoBack"/>
      <w:bookmarkEnd w:id="20"/>
      <w:bookmarkEnd w:id="42"/>
    </w:p>
    <w:p w14:paraId="29D4231B" w14:textId="67205A91" w:rsidR="0081623B" w:rsidRPr="007273B0" w:rsidRDefault="00E27D3B" w:rsidP="004713E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273B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F516C02">
            <wp:simplePos x="0" y="0"/>
            <wp:positionH relativeFrom="column">
              <wp:posOffset>4080510</wp:posOffset>
            </wp:positionH>
            <wp:positionV relativeFrom="paragraph">
              <wp:posOffset>0</wp:posOffset>
            </wp:positionV>
            <wp:extent cx="1560195" cy="1444625"/>
            <wp:effectExtent l="0" t="0" r="1905" b="3175"/>
            <wp:wrapTight wrapText="bothSides">
              <wp:wrapPolygon edited="0">
                <wp:start x="0" y="0"/>
                <wp:lineTo x="0" y="21363"/>
                <wp:lineTo x="21363" y="21363"/>
                <wp:lineTo x="2136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195" cy="14446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273B0">
        <w:rPr>
          <w:rFonts w:asciiTheme="majorBidi" w:eastAsia="Calibri" w:hAnsiTheme="majorBidi" w:cstheme="majorBidi"/>
          <w:b/>
          <w:bCs/>
          <w:color w:val="000000" w:themeColor="text1"/>
          <w:kern w:val="0"/>
          <w:sz w:val="32"/>
          <w:szCs w:val="32"/>
          <w:lang w:bidi="ar-EG"/>
          <w14:ligatures w14:val="none"/>
        </w:rPr>
        <w:t>Mid</w:t>
      </w:r>
      <w:r w:rsidR="000D353F" w:rsidRPr="007273B0">
        <w:rPr>
          <w:rFonts w:asciiTheme="majorBidi" w:eastAsia="Calibri" w:hAnsiTheme="majorBidi" w:cstheme="majorBidi"/>
          <w:b/>
          <w:bCs/>
          <w:color w:val="000000" w:themeColor="text1"/>
          <w:kern w:val="0"/>
          <w:sz w:val="32"/>
          <w:szCs w:val="32"/>
          <w:lang w:bidi="ar-EG"/>
          <w14:ligatures w14:val="none"/>
        </w:rPr>
        <w:t xml:space="preserve"> </w:t>
      </w:r>
      <w:r w:rsidR="0081623B" w:rsidRPr="007273B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7273B0" w:rsidRDefault="0081623B" w:rsidP="004713E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273B0">
        <w:rPr>
          <w:rFonts w:asciiTheme="majorBidi" w:eastAsia="Calibri" w:hAnsiTheme="majorBidi" w:cstheme="majorBidi"/>
          <w:b/>
          <w:bCs/>
          <w:color w:val="000000" w:themeColor="text1"/>
          <w:kern w:val="0"/>
          <w:sz w:val="32"/>
          <w:szCs w:val="32"/>
          <w:lang w:bidi="ar-EG"/>
          <w14:ligatures w14:val="none"/>
        </w:rPr>
        <w:t>College of Management</w:t>
      </w:r>
    </w:p>
    <w:p w14:paraId="0F638714" w14:textId="2AB77986" w:rsidR="00611029" w:rsidRPr="007273B0" w:rsidRDefault="00611029" w:rsidP="004713E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7273B0">
        <w:rPr>
          <w:rFonts w:asciiTheme="majorBidi" w:eastAsia="Calibri" w:hAnsiTheme="majorBidi" w:cstheme="majorBidi"/>
          <w:b/>
          <w:bCs/>
          <w:color w:val="000000" w:themeColor="text1"/>
          <w:kern w:val="0"/>
          <w:sz w:val="32"/>
          <w:szCs w:val="32"/>
          <w:lang w:bidi="ar-EG"/>
          <w14:ligatures w14:val="none"/>
        </w:rPr>
        <w:t xml:space="preserve">Master of </w:t>
      </w:r>
      <w:r w:rsidR="00EA754F" w:rsidRPr="007273B0">
        <w:rPr>
          <w:rFonts w:asciiTheme="majorBidi" w:eastAsia="Calibri" w:hAnsiTheme="majorBidi" w:cstheme="majorBidi"/>
          <w:b/>
          <w:bCs/>
          <w:color w:val="000000" w:themeColor="text1"/>
          <w:kern w:val="0"/>
          <w:sz w:val="32"/>
          <w:szCs w:val="32"/>
          <w14:ligatures w14:val="none"/>
        </w:rPr>
        <w:t xml:space="preserve">Risk </w:t>
      </w:r>
      <w:r w:rsidRPr="007273B0">
        <w:rPr>
          <w:rFonts w:asciiTheme="majorBidi" w:eastAsia="Calibri" w:hAnsiTheme="majorBidi" w:cstheme="majorBidi"/>
          <w:b/>
          <w:bCs/>
          <w:color w:val="000000" w:themeColor="text1"/>
          <w:kern w:val="0"/>
          <w:sz w:val="32"/>
          <w:szCs w:val="32"/>
          <w:lang w:bidi="ar-EG"/>
          <w14:ligatures w14:val="none"/>
        </w:rPr>
        <w:t>Management</w:t>
      </w:r>
    </w:p>
    <w:p w14:paraId="0CBE22B0" w14:textId="11A94712" w:rsidR="00CC6261" w:rsidRPr="007273B0" w:rsidRDefault="003E0E80" w:rsidP="007273B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7273B0">
        <w:rPr>
          <w:rFonts w:ascii="Simplified Arabic" w:eastAsia="Calibri" w:hAnsi="Simplified Arabic" w:cs="Simplified Arabic"/>
          <w:color w:val="000000" w:themeColor="text1"/>
          <w:kern w:val="0"/>
          <w:sz w:val="28"/>
          <w:szCs w:val="28"/>
          <w14:ligatures w14:val="none"/>
        </w:rPr>
        <w:t xml:space="preserve"> </w:t>
      </w:r>
    </w:p>
    <w:p w14:paraId="5D2B1B06" w14:textId="77777777" w:rsidR="00682B9E" w:rsidRPr="007273B0" w:rsidRDefault="00682B9E" w:rsidP="007273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7273B0">
        <w:rPr>
          <w:rFonts w:asciiTheme="majorBidi" w:eastAsia="Calibri" w:hAnsiTheme="majorBidi" w:cstheme="majorBidi"/>
          <w:b/>
          <w:bCs/>
          <w:color w:val="000000" w:themeColor="text1"/>
          <w:kern w:val="0"/>
          <w:sz w:val="40"/>
          <w:szCs w:val="40"/>
          <w:lang w:bidi="ar-EG"/>
          <w14:ligatures w14:val="none"/>
        </w:rPr>
        <w:t>The Impact of Regulatory Risk Management on Compliance with Real Estate Sustainability Standards: A Field Study on Vision 2030 Real Estate Projects.</w:t>
      </w:r>
    </w:p>
    <w:p w14:paraId="6A3A6B00" w14:textId="77777777" w:rsidR="007273B0" w:rsidRPr="007273B0" w:rsidRDefault="007273B0" w:rsidP="004713E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03C60462" w14:textId="057B1040" w:rsidR="0025395E" w:rsidRPr="007273B0" w:rsidRDefault="0025395E" w:rsidP="007273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273B0">
        <w:rPr>
          <w:rFonts w:asciiTheme="majorBidi" w:eastAsia="Calibri" w:hAnsiTheme="majorBidi" w:cstheme="majorBidi"/>
          <w:b/>
          <w:bCs/>
          <w:color w:val="000000" w:themeColor="text1"/>
          <w:kern w:val="0"/>
          <w:sz w:val="36"/>
          <w:szCs w:val="36"/>
          <w:lang w:bidi="ar-EG"/>
          <w14:ligatures w14:val="none"/>
        </w:rPr>
        <w:t>Prepared by</w:t>
      </w:r>
    </w:p>
    <w:p w14:paraId="66F508BA" w14:textId="6A2563F1" w:rsidR="00156D45" w:rsidRPr="007273B0" w:rsidRDefault="00DB0E33" w:rsidP="007273B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14:ligatures w14:val="none"/>
        </w:rPr>
      </w:pPr>
      <w:r w:rsidRPr="007273B0">
        <w:rPr>
          <w:rFonts w:asciiTheme="majorBidi" w:eastAsia="Calibri" w:hAnsiTheme="majorBidi" w:cstheme="majorBidi"/>
          <w:color w:val="000000" w:themeColor="text1"/>
          <w:kern w:val="0"/>
          <w:sz w:val="36"/>
          <w:szCs w:val="36"/>
          <w14:ligatures w14:val="none"/>
        </w:rPr>
        <w:t>Mohammed Ali Ghazwani</w:t>
      </w:r>
    </w:p>
    <w:p w14:paraId="6055E173" w14:textId="77777777" w:rsidR="007273B0" w:rsidRPr="007273B0" w:rsidRDefault="007273B0" w:rsidP="007273B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273B0" w:rsidRPr="007273B0" w14:paraId="67984093" w14:textId="77777777" w:rsidTr="006773CD">
        <w:tc>
          <w:tcPr>
            <w:tcW w:w="4530" w:type="dxa"/>
          </w:tcPr>
          <w:p w14:paraId="5547CE3E" w14:textId="77777777" w:rsidR="007273B0" w:rsidRPr="007273B0" w:rsidRDefault="007273B0" w:rsidP="00677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273B0">
              <w:rPr>
                <w:rFonts w:asciiTheme="majorBidi" w:eastAsia="Calibri" w:hAnsiTheme="majorBidi" w:cstheme="majorBidi"/>
                <w:b/>
                <w:bCs/>
                <w:color w:val="000000" w:themeColor="text1"/>
                <w:kern w:val="0"/>
                <w:sz w:val="36"/>
                <w:szCs w:val="36"/>
                <w:lang w:bidi="ar-EG"/>
                <w14:ligatures w14:val="none"/>
              </w:rPr>
              <w:t>Main supervisor</w:t>
            </w:r>
            <w:r w:rsidRPr="007273B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EC0054D" w14:textId="77777777" w:rsidR="007273B0" w:rsidRPr="007273B0" w:rsidRDefault="007273B0" w:rsidP="00677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273B0">
              <w:rPr>
                <w:rFonts w:asciiTheme="majorBidi" w:eastAsia="Calibri" w:hAnsiTheme="majorBidi" w:cstheme="majorBidi"/>
                <w:b/>
                <w:bCs/>
                <w:color w:val="000000" w:themeColor="text1"/>
                <w:kern w:val="0"/>
                <w:sz w:val="36"/>
                <w:szCs w:val="36"/>
                <w:lang w:bidi="ar-EG"/>
                <w14:ligatures w14:val="none"/>
              </w:rPr>
              <w:t>Second supervisor</w:t>
            </w:r>
            <w:r w:rsidRPr="007273B0">
              <w:rPr>
                <w:rFonts w:asciiTheme="majorBidi" w:eastAsia="Calibri" w:hAnsiTheme="majorBidi" w:cstheme="majorBidi"/>
                <w:b/>
                <w:bCs/>
                <w:color w:val="000000" w:themeColor="text1"/>
                <w:kern w:val="0"/>
                <w:sz w:val="36"/>
                <w:szCs w:val="36"/>
                <w:rtl/>
                <w:lang w:bidi="ar-EG"/>
                <w14:ligatures w14:val="none"/>
              </w:rPr>
              <w:t>/</w:t>
            </w:r>
          </w:p>
        </w:tc>
      </w:tr>
      <w:tr w:rsidR="007273B0" w:rsidRPr="007273B0" w14:paraId="12A5F380" w14:textId="77777777" w:rsidTr="006773CD">
        <w:tc>
          <w:tcPr>
            <w:tcW w:w="4530" w:type="dxa"/>
          </w:tcPr>
          <w:p w14:paraId="56F22CEE" w14:textId="77777777" w:rsidR="007273B0" w:rsidRPr="007273B0" w:rsidRDefault="007273B0" w:rsidP="00677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273B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3B28506" w14:textId="77777777" w:rsidR="007273B0" w:rsidRPr="007273B0" w:rsidRDefault="007273B0" w:rsidP="006773C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273B0">
              <w:rPr>
                <w:rFonts w:asciiTheme="majorBidi" w:eastAsia="Calibri" w:hAnsiTheme="majorBidi" w:cstheme="majorBidi"/>
                <w:color w:val="000000" w:themeColor="text1"/>
                <w:kern w:val="0"/>
                <w:sz w:val="36"/>
                <w:szCs w:val="36"/>
                <w:lang w:bidi="ar-EG"/>
                <w14:ligatures w14:val="none"/>
              </w:rPr>
              <w:t>Dr. Fayez Jarad</w:t>
            </w:r>
          </w:p>
        </w:tc>
      </w:tr>
    </w:tbl>
    <w:p w14:paraId="037B3172" w14:textId="77777777" w:rsidR="007273B0" w:rsidRPr="007273B0" w:rsidRDefault="007273B0" w:rsidP="007273B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273B0">
        <w:rPr>
          <w:rFonts w:asciiTheme="majorBidi" w:eastAsia="Calibri" w:hAnsiTheme="majorBidi" w:cstheme="majorBidi"/>
          <w:color w:val="000000" w:themeColor="text1"/>
          <w:kern w:val="0"/>
          <w:sz w:val="36"/>
          <w:szCs w:val="36"/>
          <w:rtl/>
          <w:lang w:bidi="ar-EG"/>
          <w14:ligatures w14:val="none"/>
        </w:rPr>
        <w:t>1448 – 2026</w:t>
      </w:r>
    </w:p>
    <w:p w14:paraId="59B6CF9E" w14:textId="77777777" w:rsidR="007273B0" w:rsidRPr="007273B0" w:rsidRDefault="007273B0" w:rsidP="007273B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6E52896B" w14:textId="711D2865" w:rsidR="009125CE" w:rsidRPr="007273B0" w:rsidRDefault="009125CE" w:rsidP="004713E0">
      <w:pPr>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7273B0" w:rsidSect="004713E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1733" w14:textId="77777777" w:rsidR="00CD45F1" w:rsidRDefault="00CD45F1" w:rsidP="009125CE">
      <w:pPr>
        <w:spacing w:after="0" w:line="240" w:lineRule="auto"/>
      </w:pPr>
      <w:r>
        <w:separator/>
      </w:r>
    </w:p>
  </w:endnote>
  <w:endnote w:type="continuationSeparator" w:id="0">
    <w:p w14:paraId="48D45C6F" w14:textId="77777777" w:rsidR="00CD45F1" w:rsidRDefault="00CD45F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2774671"/>
      <w:docPartObj>
        <w:docPartGallery w:val="Page Numbers (Bottom of Page)"/>
        <w:docPartUnique/>
      </w:docPartObj>
    </w:sdtPr>
    <w:sdtEndPr>
      <w:rPr>
        <w:rFonts w:ascii="Simplified Arabic" w:hAnsi="Simplified Arabic" w:cs="Simplified Arabic"/>
        <w:b/>
        <w:bCs/>
        <w:noProof/>
        <w:sz w:val="24"/>
        <w:szCs w:val="24"/>
      </w:rPr>
    </w:sdtEndPr>
    <w:sdtContent>
      <w:p w14:paraId="12B3AE15" w14:textId="77777777" w:rsidR="006773CD" w:rsidRDefault="006773CD">
        <w:pPr>
          <w:pStyle w:val="Footer"/>
          <w:jc w:val="center"/>
        </w:pPr>
      </w:p>
      <w:p w14:paraId="122A0E35" w14:textId="77777777" w:rsidR="006773CD" w:rsidRPr="009431E1" w:rsidRDefault="006773CD" w:rsidP="000519A7">
        <w:pPr>
          <w:pStyle w:val="Footer"/>
          <w:tabs>
            <w:tab w:val="left" w:pos="4487"/>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39498480"/>
      <w:docPartObj>
        <w:docPartGallery w:val="Page Numbers (Bottom of Page)"/>
        <w:docPartUnique/>
      </w:docPartObj>
    </w:sdtPr>
    <w:sdtContent>
      <w:p w14:paraId="324AE107" w14:textId="77777777" w:rsidR="006773CD" w:rsidRDefault="006773CD">
        <w:pPr>
          <w:pStyle w:val="Footer"/>
        </w:pPr>
        <w:r w:rsidRPr="004713E0">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7DA7AACC" wp14:editId="24504B79">
                  <wp:simplePos x="0" y="0"/>
                  <wp:positionH relativeFrom="margin">
                    <wp:posOffset>2320290</wp:posOffset>
                  </wp:positionH>
                  <wp:positionV relativeFrom="bottomMargin">
                    <wp:posOffset>93980</wp:posOffset>
                  </wp:positionV>
                  <wp:extent cx="1153160" cy="533400"/>
                  <wp:effectExtent l="0" t="0" r="27940" b="1905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160" cy="5334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93E15BF" w14:textId="77777777" w:rsidR="006773CD" w:rsidRPr="004713E0" w:rsidRDefault="006773CD">
                              <w:pPr>
                                <w:jc w:val="center"/>
                                <w:rPr>
                                  <w:rFonts w:ascii="Simplified Arabic" w:hAnsi="Simplified Arabic" w:cs="Simplified Arabic"/>
                                  <w:b/>
                                  <w:bCs/>
                                  <w:sz w:val="24"/>
                                  <w:szCs w:val="24"/>
                                </w:rPr>
                              </w:pPr>
                              <w:r w:rsidRPr="004713E0">
                                <w:rPr>
                                  <w:rFonts w:ascii="Simplified Arabic" w:hAnsi="Simplified Arabic" w:cs="Simplified Arabic"/>
                                  <w:b/>
                                  <w:bCs/>
                                  <w:sz w:val="24"/>
                                  <w:szCs w:val="24"/>
                                </w:rPr>
                                <w:fldChar w:fldCharType="begin"/>
                              </w:r>
                              <w:r w:rsidRPr="004713E0">
                                <w:rPr>
                                  <w:rFonts w:ascii="Simplified Arabic" w:hAnsi="Simplified Arabic" w:cs="Simplified Arabic"/>
                                  <w:b/>
                                  <w:bCs/>
                                  <w:sz w:val="24"/>
                                  <w:szCs w:val="24"/>
                                </w:rPr>
                                <w:instrText xml:space="preserve"> PAGE    \* MERGEFORMAT </w:instrText>
                              </w:r>
                              <w:r w:rsidRPr="004713E0">
                                <w:rPr>
                                  <w:rFonts w:ascii="Simplified Arabic" w:hAnsi="Simplified Arabic" w:cs="Simplified Arabic"/>
                                  <w:b/>
                                  <w:bCs/>
                                  <w:sz w:val="24"/>
                                  <w:szCs w:val="24"/>
                                </w:rPr>
                                <w:fldChar w:fldCharType="separate"/>
                              </w:r>
                              <w:r w:rsidR="00EE5580" w:rsidRPr="00EE5580">
                                <w:rPr>
                                  <w:rFonts w:ascii="Simplified Arabic" w:hAnsi="Simplified Arabic" w:cs="Simplified Arabic"/>
                                  <w:b/>
                                  <w:bCs/>
                                  <w:noProof/>
                                  <w:color w:val="808080" w:themeColor="text1" w:themeTint="7F"/>
                                  <w:sz w:val="24"/>
                                  <w:szCs w:val="24"/>
                                  <w:rtl/>
                                </w:rPr>
                                <w:t>44</w:t>
                              </w:r>
                              <w:r w:rsidRPr="004713E0">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7AACC" id="Freeform 2" o:spid="_x0000_s1026" style="position:absolute;left:0;text-align:left;margin-left:182.7pt;margin-top:7.4pt;width:90.8pt;height: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4239776,0;10027794,1242279;0,4241715;10027794,7241127;34239776,8483406;58451758,7241127;68479552,4241715;58451758,1242279" o:connectangles="0,0,0,0,0,0,0,0" textboxrect="3163,3163,18437,18437"/>
                  <v:textbox>
                    <w:txbxContent>
                      <w:p w14:paraId="593E15BF" w14:textId="77777777" w:rsidR="006773CD" w:rsidRPr="004713E0" w:rsidRDefault="006773CD">
                        <w:pPr>
                          <w:jc w:val="center"/>
                          <w:rPr>
                            <w:rFonts w:ascii="Simplified Arabic" w:hAnsi="Simplified Arabic" w:cs="Simplified Arabic"/>
                            <w:b/>
                            <w:bCs/>
                            <w:sz w:val="24"/>
                            <w:szCs w:val="24"/>
                          </w:rPr>
                        </w:pPr>
                        <w:r w:rsidRPr="004713E0">
                          <w:rPr>
                            <w:rFonts w:ascii="Simplified Arabic" w:hAnsi="Simplified Arabic" w:cs="Simplified Arabic"/>
                            <w:b/>
                            <w:bCs/>
                            <w:sz w:val="24"/>
                            <w:szCs w:val="24"/>
                          </w:rPr>
                          <w:fldChar w:fldCharType="begin"/>
                        </w:r>
                        <w:r w:rsidRPr="004713E0">
                          <w:rPr>
                            <w:rFonts w:ascii="Simplified Arabic" w:hAnsi="Simplified Arabic" w:cs="Simplified Arabic"/>
                            <w:b/>
                            <w:bCs/>
                            <w:sz w:val="24"/>
                            <w:szCs w:val="24"/>
                          </w:rPr>
                          <w:instrText xml:space="preserve"> PAGE    \* MERGEFORMAT </w:instrText>
                        </w:r>
                        <w:r w:rsidRPr="004713E0">
                          <w:rPr>
                            <w:rFonts w:ascii="Simplified Arabic" w:hAnsi="Simplified Arabic" w:cs="Simplified Arabic"/>
                            <w:b/>
                            <w:bCs/>
                            <w:sz w:val="24"/>
                            <w:szCs w:val="24"/>
                          </w:rPr>
                          <w:fldChar w:fldCharType="separate"/>
                        </w:r>
                        <w:r w:rsidR="00EE5580" w:rsidRPr="00EE5580">
                          <w:rPr>
                            <w:rFonts w:ascii="Simplified Arabic" w:hAnsi="Simplified Arabic" w:cs="Simplified Arabic"/>
                            <w:b/>
                            <w:bCs/>
                            <w:noProof/>
                            <w:color w:val="808080" w:themeColor="text1" w:themeTint="7F"/>
                            <w:sz w:val="24"/>
                            <w:szCs w:val="24"/>
                            <w:rtl/>
                          </w:rPr>
                          <w:t>44</w:t>
                        </w:r>
                        <w:r w:rsidRPr="004713E0">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D1671" w14:textId="63DEB045" w:rsidR="006773CD" w:rsidRDefault="006773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52760" w14:textId="77777777" w:rsidR="00CD45F1" w:rsidRDefault="00CD45F1" w:rsidP="009125CE">
      <w:pPr>
        <w:spacing w:after="0" w:line="240" w:lineRule="auto"/>
      </w:pPr>
      <w:r>
        <w:separator/>
      </w:r>
    </w:p>
  </w:footnote>
  <w:footnote w:type="continuationSeparator" w:id="0">
    <w:p w14:paraId="19163435" w14:textId="77777777" w:rsidR="00CD45F1" w:rsidRDefault="00CD45F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D3A0F"/>
    <w:multiLevelType w:val="hybridMultilevel"/>
    <w:tmpl w:val="4574D2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A455EA0"/>
    <w:multiLevelType w:val="multilevel"/>
    <w:tmpl w:val="CC30E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790A3C"/>
    <w:multiLevelType w:val="hybridMultilevel"/>
    <w:tmpl w:val="BC742E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E4527C"/>
    <w:multiLevelType w:val="multilevel"/>
    <w:tmpl w:val="EA36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C67046"/>
    <w:multiLevelType w:val="hybridMultilevel"/>
    <w:tmpl w:val="01CA21E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0E348B9"/>
    <w:multiLevelType w:val="hybridMultilevel"/>
    <w:tmpl w:val="8B2EFE3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916046"/>
    <w:multiLevelType w:val="multilevel"/>
    <w:tmpl w:val="49384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F37322"/>
    <w:multiLevelType w:val="multilevel"/>
    <w:tmpl w:val="6A38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9844C4"/>
    <w:multiLevelType w:val="multilevel"/>
    <w:tmpl w:val="A2B2F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B5C5BCD"/>
    <w:multiLevelType w:val="hybridMultilevel"/>
    <w:tmpl w:val="32AC3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8"/>
  </w:num>
  <w:num w:numId="5">
    <w:abstractNumId w:val="9"/>
  </w:num>
  <w:num w:numId="6">
    <w:abstractNumId w:val="5"/>
  </w:num>
  <w:num w:numId="7">
    <w:abstractNumId w:val="2"/>
  </w:num>
  <w:num w:numId="8">
    <w:abstractNumId w:val="4"/>
  </w:num>
  <w:num w:numId="9">
    <w:abstractNumId w:val="3"/>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23A70"/>
    <w:rsid w:val="0004554E"/>
    <w:rsid w:val="000519A7"/>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240B"/>
    <w:rsid w:val="00143989"/>
    <w:rsid w:val="00150B32"/>
    <w:rsid w:val="001510C1"/>
    <w:rsid w:val="00152611"/>
    <w:rsid w:val="00153B41"/>
    <w:rsid w:val="00156D45"/>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6BB"/>
    <w:rsid w:val="00217ADA"/>
    <w:rsid w:val="0022009F"/>
    <w:rsid w:val="00223AE0"/>
    <w:rsid w:val="002304C2"/>
    <w:rsid w:val="00234450"/>
    <w:rsid w:val="00244894"/>
    <w:rsid w:val="00250D99"/>
    <w:rsid w:val="002512D9"/>
    <w:rsid w:val="00251BCA"/>
    <w:rsid w:val="0025395E"/>
    <w:rsid w:val="00256363"/>
    <w:rsid w:val="00260558"/>
    <w:rsid w:val="0026283D"/>
    <w:rsid w:val="00262CD5"/>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4DB5"/>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13E0"/>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341D0"/>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C0751"/>
    <w:rsid w:val="005D0E3A"/>
    <w:rsid w:val="005D25AE"/>
    <w:rsid w:val="005D2620"/>
    <w:rsid w:val="005D5DB7"/>
    <w:rsid w:val="005E37C2"/>
    <w:rsid w:val="005E4AF3"/>
    <w:rsid w:val="005F2722"/>
    <w:rsid w:val="006020A6"/>
    <w:rsid w:val="006044AD"/>
    <w:rsid w:val="00611029"/>
    <w:rsid w:val="006112DD"/>
    <w:rsid w:val="0061146E"/>
    <w:rsid w:val="00617C5B"/>
    <w:rsid w:val="00625CAD"/>
    <w:rsid w:val="0062761F"/>
    <w:rsid w:val="00633F50"/>
    <w:rsid w:val="006344B4"/>
    <w:rsid w:val="006352B0"/>
    <w:rsid w:val="00640051"/>
    <w:rsid w:val="00640D7C"/>
    <w:rsid w:val="00642229"/>
    <w:rsid w:val="006450DB"/>
    <w:rsid w:val="00647482"/>
    <w:rsid w:val="0065335C"/>
    <w:rsid w:val="0066191A"/>
    <w:rsid w:val="00663FD3"/>
    <w:rsid w:val="00664C0A"/>
    <w:rsid w:val="00666183"/>
    <w:rsid w:val="00667140"/>
    <w:rsid w:val="006716C2"/>
    <w:rsid w:val="00673D30"/>
    <w:rsid w:val="006773CD"/>
    <w:rsid w:val="00680F37"/>
    <w:rsid w:val="00681671"/>
    <w:rsid w:val="00681F47"/>
    <w:rsid w:val="00682B9E"/>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23F"/>
    <w:rsid w:val="00706E7F"/>
    <w:rsid w:val="0071504C"/>
    <w:rsid w:val="007178EE"/>
    <w:rsid w:val="007273B0"/>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41F4"/>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CC6"/>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02AB"/>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45F1"/>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E33"/>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56C7"/>
    <w:rsid w:val="00E17556"/>
    <w:rsid w:val="00E24460"/>
    <w:rsid w:val="00E2784D"/>
    <w:rsid w:val="00E27D3B"/>
    <w:rsid w:val="00E30EB7"/>
    <w:rsid w:val="00E3112D"/>
    <w:rsid w:val="00E373EB"/>
    <w:rsid w:val="00E43E62"/>
    <w:rsid w:val="00E452A2"/>
    <w:rsid w:val="00E50B03"/>
    <w:rsid w:val="00E53564"/>
    <w:rsid w:val="00E552BA"/>
    <w:rsid w:val="00E55B8D"/>
    <w:rsid w:val="00E640C5"/>
    <w:rsid w:val="00E64188"/>
    <w:rsid w:val="00E6570B"/>
    <w:rsid w:val="00E663FA"/>
    <w:rsid w:val="00E67CA1"/>
    <w:rsid w:val="00E67D1B"/>
    <w:rsid w:val="00E71C79"/>
    <w:rsid w:val="00E7565E"/>
    <w:rsid w:val="00E76742"/>
    <w:rsid w:val="00E76A3D"/>
    <w:rsid w:val="00E76DB1"/>
    <w:rsid w:val="00E802F2"/>
    <w:rsid w:val="00E82DAD"/>
    <w:rsid w:val="00E84874"/>
    <w:rsid w:val="00E86613"/>
    <w:rsid w:val="00E97126"/>
    <w:rsid w:val="00EA15E2"/>
    <w:rsid w:val="00EA6B5D"/>
    <w:rsid w:val="00EA6CD1"/>
    <w:rsid w:val="00EA754F"/>
    <w:rsid w:val="00EB46EF"/>
    <w:rsid w:val="00EB46FF"/>
    <w:rsid w:val="00EB60A5"/>
    <w:rsid w:val="00EC10F6"/>
    <w:rsid w:val="00EC5DCF"/>
    <w:rsid w:val="00ED1918"/>
    <w:rsid w:val="00ED24E8"/>
    <w:rsid w:val="00ED2B59"/>
    <w:rsid w:val="00ED2F10"/>
    <w:rsid w:val="00ED5DB0"/>
    <w:rsid w:val="00EE0BB8"/>
    <w:rsid w:val="00EE0BD0"/>
    <w:rsid w:val="00EE5580"/>
    <w:rsid w:val="00EE7B86"/>
    <w:rsid w:val="00EF118F"/>
    <w:rsid w:val="00EF5F43"/>
    <w:rsid w:val="00F00FB8"/>
    <w:rsid w:val="00F10C89"/>
    <w:rsid w:val="00F11345"/>
    <w:rsid w:val="00F12EEC"/>
    <w:rsid w:val="00F1646F"/>
    <w:rsid w:val="00F168A5"/>
    <w:rsid w:val="00F16D3A"/>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3AE"/>
    <w:rsid w:val="00FD7415"/>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table" w:styleId="GridTable4-Accent4">
    <w:name w:val="Grid Table 4 Accent 4"/>
    <w:basedOn w:val="TableNormal"/>
    <w:uiPriority w:val="49"/>
    <w:rsid w:val="004713E0"/>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7273B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273B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7273B0"/>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28430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063732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2125272">
      <w:bodyDiv w:val="1"/>
      <w:marLeft w:val="0"/>
      <w:marRight w:val="0"/>
      <w:marTop w:val="0"/>
      <w:marBottom w:val="0"/>
      <w:divBdr>
        <w:top w:val="none" w:sz="0" w:space="0" w:color="auto"/>
        <w:left w:val="none" w:sz="0" w:space="0" w:color="auto"/>
        <w:bottom w:val="none" w:sz="0" w:space="0" w:color="auto"/>
        <w:right w:val="none" w:sz="0" w:space="0" w:color="auto"/>
      </w:divBdr>
    </w:div>
    <w:div w:id="662926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3281495">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78847012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789403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301453">
      <w:bodyDiv w:val="1"/>
      <w:marLeft w:val="0"/>
      <w:marRight w:val="0"/>
      <w:marTop w:val="0"/>
      <w:marBottom w:val="0"/>
      <w:divBdr>
        <w:top w:val="none" w:sz="0" w:space="0" w:color="auto"/>
        <w:left w:val="none" w:sz="0" w:space="0" w:color="auto"/>
        <w:bottom w:val="none" w:sz="0" w:space="0" w:color="auto"/>
        <w:right w:val="none" w:sz="0" w:space="0" w:color="auto"/>
      </w:divBdr>
    </w:div>
    <w:div w:id="934240541">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05061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1101451">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54456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31786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2838128">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800419">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06392005">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0748C1-8BF3-4C04-A4DF-7031B824A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12420</Words>
  <Characters>70799</Characters>
  <Application>Microsoft Office Word</Application>
  <DocSecurity>0</DocSecurity>
  <Lines>589</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2026-06-28T20:12:00Z</cp:lastPrinted>
  <dcterms:created xsi:type="dcterms:W3CDTF">2026-06-28T20:11:00Z</dcterms:created>
  <dcterms:modified xsi:type="dcterms:W3CDTF">2026-06-28T20:12:00Z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