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C654B5" w14:textId="77777777" w:rsidR="00A97A7C" w:rsidRDefault="00250688" w:rsidP="00A97A7C">
      <w:pPr>
        <w:bidi/>
        <w:spacing w:line="240" w:lineRule="auto"/>
        <w:ind w:hanging="283"/>
        <w:jc w:val="both"/>
        <w:rPr>
          <w:rFonts w:ascii="ae_Cortoba" w:hAnsi="ae_Cortoba" w:cs="ae_Cortoba"/>
          <w:b/>
          <w:bCs/>
          <w:sz w:val="28"/>
          <w:szCs w:val="28"/>
          <w:rtl/>
        </w:rPr>
      </w:pPr>
      <w:r>
        <w:rPr>
          <w:rFonts w:ascii="Times New Roman"/>
          <w:b/>
          <w:bCs/>
          <w:noProof/>
          <w:sz w:val="28"/>
          <w:szCs w:val="28"/>
        </w:rPr>
        <w:drawing>
          <wp:anchor distT="0" distB="0" distL="114300" distR="114300" simplePos="0" relativeHeight="251659264" behindDoc="0" locked="0" layoutInCell="1" allowOverlap="1" wp14:anchorId="2F5E9D7A" wp14:editId="2BA4A67D">
            <wp:simplePos x="0" y="0"/>
            <wp:positionH relativeFrom="margin">
              <wp:posOffset>-100330</wp:posOffset>
            </wp:positionH>
            <wp:positionV relativeFrom="margin">
              <wp:posOffset>-342900</wp:posOffset>
            </wp:positionV>
            <wp:extent cx="2261870" cy="1000125"/>
            <wp:effectExtent l="0" t="0" r="5080" b="952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61870" cy="1000125"/>
                    </a:xfrm>
                    <a:prstGeom prst="rect">
                      <a:avLst/>
                    </a:prstGeom>
                  </pic:spPr>
                </pic:pic>
              </a:graphicData>
            </a:graphic>
            <wp14:sizeRelH relativeFrom="margin">
              <wp14:pctWidth>0</wp14:pctWidth>
            </wp14:sizeRelH>
            <wp14:sizeRelV relativeFrom="margin">
              <wp14:pctHeight>0</wp14:pctHeight>
            </wp14:sizeRelV>
          </wp:anchor>
        </w:drawing>
      </w:r>
      <w:r>
        <w:rPr>
          <w:rFonts w:ascii="ae_Cortoba" w:hAnsi="ae_Cortoba" w:cs="ae_Cortoba" w:hint="cs"/>
          <w:b/>
          <w:bCs/>
          <w:sz w:val="28"/>
          <w:szCs w:val="28"/>
          <w:rtl/>
        </w:rPr>
        <w:t xml:space="preserve">جامعة ميد أوشن </w:t>
      </w:r>
      <w:r>
        <w:rPr>
          <w:rFonts w:ascii="ae_Cortoba" w:hAnsi="ae_Cortoba" w:cs="ae_Cortoba"/>
          <w:b/>
          <w:bCs/>
          <w:sz w:val="28"/>
          <w:szCs w:val="28"/>
          <w:rtl/>
        </w:rPr>
        <w:t>–</w:t>
      </w:r>
    </w:p>
    <w:p w14:paraId="6DAC9C29" w14:textId="77777777" w:rsidR="00A97A7C" w:rsidRPr="00A97A7C" w:rsidRDefault="00A97A7C" w:rsidP="00A97A7C">
      <w:pPr>
        <w:bidi/>
        <w:spacing w:line="240" w:lineRule="auto"/>
        <w:ind w:hanging="283"/>
        <w:jc w:val="both"/>
        <w:rPr>
          <w:rFonts w:ascii="ae_Cortoba" w:hAnsi="ae_Cortoba" w:cs="ae_Cortoba"/>
          <w:b/>
          <w:bCs/>
          <w:sz w:val="28"/>
          <w:szCs w:val="28"/>
          <w:rtl/>
        </w:rPr>
      </w:pPr>
      <w:r>
        <w:rPr>
          <w:rFonts w:ascii="ae_Cortoba" w:hAnsi="ae_Cortoba" w:cs="ae_Cortoba" w:hint="cs"/>
          <w:b/>
          <w:bCs/>
          <w:sz w:val="28"/>
          <w:szCs w:val="28"/>
          <w:rtl/>
        </w:rPr>
        <w:t xml:space="preserve"> برنامج الدكتوراة</w:t>
      </w:r>
    </w:p>
    <w:p w14:paraId="11EFCD21" w14:textId="77777777" w:rsidR="00250688" w:rsidRDefault="00250688" w:rsidP="00250688">
      <w:pPr>
        <w:bidi/>
        <w:spacing w:line="240" w:lineRule="auto"/>
        <w:jc w:val="both"/>
        <w:rPr>
          <w:rFonts w:ascii="Calibri" w:hAnsi="Calibri" w:cs="Times New Roman"/>
          <w:b/>
          <w:bCs/>
          <w:color w:val="8496B0" w:themeColor="text2" w:themeTint="99"/>
          <w:sz w:val="40"/>
          <w:szCs w:val="40"/>
          <w:rtl/>
        </w:rPr>
      </w:pPr>
    </w:p>
    <w:p w14:paraId="379D24C2" w14:textId="77777777" w:rsidR="00F02C92" w:rsidRDefault="00F02C92" w:rsidP="00F02C92">
      <w:pPr>
        <w:bidi/>
        <w:spacing w:line="240" w:lineRule="auto"/>
        <w:jc w:val="both"/>
        <w:rPr>
          <w:rFonts w:ascii="Calibri" w:hAnsi="Calibri" w:cs="Times New Roman"/>
          <w:b/>
          <w:bCs/>
          <w:color w:val="8496B0" w:themeColor="text2" w:themeTint="99"/>
          <w:sz w:val="40"/>
          <w:szCs w:val="40"/>
          <w:rtl/>
        </w:rPr>
      </w:pPr>
    </w:p>
    <w:p w14:paraId="2298020B" w14:textId="77777777" w:rsidR="00F02C92" w:rsidRDefault="00F02C92" w:rsidP="00F02C92">
      <w:pPr>
        <w:bidi/>
        <w:spacing w:line="240" w:lineRule="auto"/>
        <w:jc w:val="both"/>
        <w:rPr>
          <w:rFonts w:ascii="Calibri" w:hAnsi="Calibri" w:cs="Times New Roman"/>
          <w:b/>
          <w:bCs/>
          <w:color w:val="8496B0" w:themeColor="text2" w:themeTint="99"/>
          <w:sz w:val="40"/>
          <w:szCs w:val="40"/>
          <w:rtl/>
        </w:rPr>
      </w:pPr>
    </w:p>
    <w:p w14:paraId="3C931220" w14:textId="426AEBAC" w:rsidR="00250688" w:rsidRPr="00A97A7C" w:rsidRDefault="00250688" w:rsidP="00800E91">
      <w:pPr>
        <w:bidi/>
        <w:spacing w:line="240" w:lineRule="auto"/>
        <w:jc w:val="center"/>
        <w:rPr>
          <w:rFonts w:asciiTheme="majorBidi" w:hAnsiTheme="majorBidi" w:cstheme="majorBidi"/>
          <w:b/>
          <w:bCs/>
          <w:color w:val="EE0000"/>
          <w:sz w:val="40"/>
          <w:szCs w:val="40"/>
          <w:rtl/>
        </w:rPr>
      </w:pPr>
      <w:r>
        <w:rPr>
          <w:rFonts w:asciiTheme="majorBidi" w:hAnsiTheme="majorBidi" w:cstheme="majorBidi"/>
          <w:b/>
          <w:bCs/>
          <w:color w:val="EE0000"/>
          <w:sz w:val="40"/>
          <w:szCs w:val="40"/>
          <w:rtl/>
        </w:rPr>
        <w:t xml:space="preserve">(متطلب الفصل </w:t>
      </w:r>
      <w:r>
        <w:rPr>
          <w:rFonts w:asciiTheme="majorBidi" w:hAnsiTheme="majorBidi" w:cstheme="majorBidi" w:hint="cs"/>
          <w:b/>
          <w:bCs/>
          <w:color w:val="EE0000"/>
          <w:sz w:val="40"/>
          <w:szCs w:val="40"/>
          <w:rtl/>
        </w:rPr>
        <w:t>السابع</w:t>
      </w:r>
      <w:r>
        <w:rPr>
          <w:rFonts w:asciiTheme="majorBidi" w:hAnsiTheme="majorBidi" w:cstheme="majorBidi"/>
          <w:b/>
          <w:bCs/>
          <w:color w:val="EE0000"/>
          <w:sz w:val="40"/>
          <w:szCs w:val="40"/>
          <w:rtl/>
        </w:rPr>
        <w:t xml:space="preserve">: </w:t>
      </w:r>
      <w:r>
        <w:rPr>
          <w:rFonts w:asciiTheme="majorBidi" w:hAnsiTheme="majorBidi" w:cstheme="majorBidi" w:hint="cs"/>
          <w:b/>
          <w:bCs/>
          <w:color w:val="EE0000"/>
          <w:sz w:val="40"/>
          <w:szCs w:val="40"/>
          <w:rtl/>
        </w:rPr>
        <w:t>إضافة الفصل الثالث ابتداءاً من صفحة 107</w:t>
      </w:r>
      <w:r>
        <w:rPr>
          <w:rFonts w:asciiTheme="majorBidi" w:hAnsiTheme="majorBidi" w:cstheme="majorBidi"/>
          <w:b/>
          <w:bCs/>
          <w:color w:val="EE0000"/>
          <w:sz w:val="40"/>
          <w:szCs w:val="40"/>
          <w:rtl/>
        </w:rPr>
        <w:t>)</w:t>
      </w:r>
    </w:p>
    <w:p w14:paraId="712B1CF4" w14:textId="77777777" w:rsidR="00250688" w:rsidRPr="00A97A7C" w:rsidRDefault="00250688" w:rsidP="00250688">
      <w:pPr>
        <w:bidi/>
        <w:spacing w:line="240" w:lineRule="auto"/>
        <w:jc w:val="both"/>
        <w:rPr>
          <w:rFonts w:asciiTheme="majorBidi" w:hAnsiTheme="majorBidi" w:cstheme="majorBidi"/>
          <w:b/>
          <w:bCs/>
          <w:color w:val="8496B0" w:themeColor="text2" w:themeTint="99"/>
          <w:sz w:val="40"/>
          <w:szCs w:val="40"/>
          <w:rtl/>
        </w:rPr>
      </w:pPr>
    </w:p>
    <w:p w14:paraId="1E02B9D9" w14:textId="77777777" w:rsidR="00250688" w:rsidRPr="00271741" w:rsidRDefault="00A97A7C" w:rsidP="00250688">
      <w:pPr>
        <w:bidi/>
        <w:spacing w:line="240" w:lineRule="auto"/>
        <w:jc w:val="center"/>
        <w:rPr>
          <w:rFonts w:asciiTheme="majorBidi" w:hAnsiTheme="majorBidi" w:cstheme="majorBidi"/>
          <w:b/>
          <w:bCs/>
          <w:sz w:val="36"/>
          <w:szCs w:val="36"/>
          <w:rtl/>
        </w:rPr>
      </w:pPr>
      <w:r>
        <w:rPr>
          <w:rFonts w:asciiTheme="majorBidi" w:hAnsiTheme="majorBidi" w:cstheme="majorBidi" w:hint="cs"/>
          <w:b/>
          <w:bCs/>
          <w:sz w:val="36"/>
          <w:szCs w:val="36"/>
          <w:rtl/>
        </w:rPr>
        <w:t xml:space="preserve">أطروحة مقدمة لجامعة ميدأوشن </w:t>
      </w:r>
      <w:r>
        <w:rPr>
          <w:rFonts w:asciiTheme="majorBidi" w:hAnsiTheme="majorBidi" w:cstheme="majorBidi"/>
          <w:b/>
          <w:bCs/>
          <w:sz w:val="36"/>
          <w:szCs w:val="36"/>
          <w:rtl/>
        </w:rPr>
        <w:t>لنيل درجة الدكتوراه في القانون بعنوان:</w:t>
      </w:r>
    </w:p>
    <w:p w14:paraId="69A08163" w14:textId="77777777" w:rsidR="00250688" w:rsidRPr="00A97A7C" w:rsidRDefault="00250688" w:rsidP="00250688">
      <w:pPr>
        <w:pStyle w:val="ab"/>
        <w:bidi/>
        <w:spacing w:before="0" w:beforeAutospacing="0" w:after="0" w:afterAutospacing="0"/>
        <w:ind w:right="-270"/>
        <w:rPr>
          <w:rFonts w:asciiTheme="majorBidi" w:hAnsiTheme="majorBidi" w:cstheme="majorBidi"/>
          <w:b/>
          <w:bCs/>
          <w:color w:val="0000FF"/>
          <w:sz w:val="32"/>
          <w:szCs w:val="32"/>
        </w:rPr>
      </w:pPr>
    </w:p>
    <w:p w14:paraId="4D909EB6"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2"/>
          <w:szCs w:val="32"/>
          <w:rtl/>
          <w:lang w:bidi="ar-JO"/>
        </w:rPr>
      </w:pPr>
    </w:p>
    <w:p w14:paraId="40258D99" w14:textId="77777777" w:rsidR="00A10B6F" w:rsidRPr="00A10B6F" w:rsidRDefault="00A10B6F" w:rsidP="00A10B6F">
      <w:pPr>
        <w:spacing w:line="360" w:lineRule="auto"/>
        <w:ind w:left="534" w:hanging="340"/>
        <w:jc w:val="center"/>
        <w:rPr>
          <w:rFonts w:asciiTheme="majorBidi" w:hAnsiTheme="majorBidi" w:cstheme="majorBidi"/>
          <w:noProof/>
          <w:color w:val="44546A" w:themeColor="text2"/>
          <w:sz w:val="32"/>
          <w:szCs w:val="32"/>
        </w:rPr>
      </w:pPr>
      <w:r>
        <w:rPr>
          <w:rFonts w:asciiTheme="majorBidi" w:hAnsiTheme="majorBidi" w:cstheme="majorBidi"/>
          <w:b/>
          <w:bCs/>
          <w:noProof/>
          <w:color w:val="44546A" w:themeColor="text2"/>
          <w:sz w:val="32"/>
          <w:szCs w:val="32"/>
          <w:rtl/>
        </w:rPr>
        <w:t xml:space="preserve">الإطار القانوني </w:t>
      </w:r>
      <w:r>
        <w:rPr>
          <w:rFonts w:asciiTheme="majorBidi" w:hAnsiTheme="majorBidi" w:cstheme="majorBidi" w:hint="cs"/>
          <w:b/>
          <w:bCs/>
          <w:noProof/>
          <w:color w:val="44546A" w:themeColor="text2"/>
          <w:sz w:val="32"/>
          <w:szCs w:val="32"/>
          <w:rtl/>
        </w:rPr>
        <w:t>لتوظيف</w:t>
      </w:r>
      <w:r>
        <w:rPr>
          <w:rFonts w:asciiTheme="majorBidi" w:hAnsiTheme="majorBidi" w:cstheme="majorBidi"/>
          <w:b/>
          <w:bCs/>
          <w:noProof/>
          <w:color w:val="44546A" w:themeColor="text2"/>
          <w:sz w:val="32"/>
          <w:szCs w:val="32"/>
          <w:rtl/>
        </w:rPr>
        <w:t xml:space="preserve"> الذكاء الاصطناعي في تطوير الخدمات القانونية بمكاتب المحاماة في المملكة العربية السعودية – دراسة تحليلية في ضوء الأنظمة واللوائح السعودية</w:t>
      </w:r>
    </w:p>
    <w:p w14:paraId="7BB60C7B" w14:textId="77777777" w:rsidR="00250688" w:rsidRPr="00A97A7C" w:rsidRDefault="00250688" w:rsidP="00250688">
      <w:pPr>
        <w:spacing w:line="360" w:lineRule="auto"/>
        <w:ind w:left="534" w:hanging="340"/>
        <w:jc w:val="right"/>
        <w:rPr>
          <w:rFonts w:asciiTheme="majorBidi" w:hAnsiTheme="majorBidi" w:cstheme="majorBidi"/>
          <w:noProof/>
          <w:sz w:val="20"/>
          <w:szCs w:val="20"/>
          <w:rtl/>
        </w:rPr>
      </w:pPr>
    </w:p>
    <w:p w14:paraId="1209CC16" w14:textId="77777777" w:rsidR="00960AA5" w:rsidRPr="00960AA5" w:rsidRDefault="00960AA5" w:rsidP="00960AA5">
      <w:pPr>
        <w:pStyle w:val="ab"/>
        <w:bidi/>
        <w:spacing w:before="0" w:beforeAutospacing="0" w:after="0" w:afterAutospacing="0"/>
        <w:ind w:right="-270"/>
        <w:jc w:val="center"/>
        <w:rPr>
          <w:rFonts w:asciiTheme="majorBidi" w:hAnsiTheme="majorBidi" w:cstheme="majorBidi"/>
          <w:b/>
          <w:bCs/>
          <w:color w:val="0070C0"/>
          <w:szCs w:val="28"/>
        </w:rPr>
      </w:pPr>
      <w:r>
        <w:rPr>
          <w:rFonts w:asciiTheme="majorBidi" w:hAnsiTheme="majorBidi" w:cstheme="majorBidi"/>
          <w:b/>
          <w:bCs/>
          <w:color w:val="0070C0"/>
          <w:szCs w:val="28"/>
        </w:rPr>
        <w:t>The Legal Framework for Employing Artificial Intelligence in the Development of Legal Services by Law Firms in the Kingdom of Saudi Arabia: An Analytical Study in Light of Saudi Laws and Regulations</w:t>
      </w:r>
    </w:p>
    <w:p w14:paraId="1CE73625" w14:textId="77777777" w:rsidR="00250688" w:rsidRPr="00960AA5" w:rsidRDefault="00250688" w:rsidP="00250688">
      <w:pPr>
        <w:pStyle w:val="ab"/>
        <w:bidi/>
        <w:spacing w:before="0" w:beforeAutospacing="0" w:after="0" w:afterAutospacing="0"/>
        <w:ind w:right="-270"/>
        <w:rPr>
          <w:rFonts w:asciiTheme="majorBidi" w:hAnsiTheme="majorBidi" w:cstheme="majorBidi"/>
          <w:b/>
          <w:bCs/>
          <w:color w:val="0070C0"/>
          <w:szCs w:val="28"/>
          <w:rtl/>
        </w:rPr>
      </w:pPr>
    </w:p>
    <w:p w14:paraId="6D14EE3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p w14:paraId="5703F72B"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70C0"/>
          <w:sz w:val="36"/>
          <w:szCs w:val="36"/>
          <w:rtl/>
        </w:rPr>
      </w:pPr>
    </w:p>
    <w:tbl>
      <w:tblPr>
        <w:tblStyle w:val="a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336"/>
        <w:gridCol w:w="5778"/>
      </w:tblGrid>
      <w:tr w:rsidR="00250688" w:rsidRPr="00A97A7C" w14:paraId="5635BE27" w14:textId="77777777" w:rsidTr="00DE7F8F">
        <w:tc>
          <w:tcPr>
            <w:tcW w:w="1763" w:type="dxa"/>
          </w:tcPr>
          <w:p w14:paraId="4E2E0D34"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اسم الباحث</w:t>
            </w:r>
          </w:p>
        </w:tc>
        <w:tc>
          <w:tcPr>
            <w:tcW w:w="252" w:type="dxa"/>
          </w:tcPr>
          <w:p w14:paraId="57BD62E6"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1787F7A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حسان صلاح عبد الرحمن جمبي</w:t>
            </w:r>
          </w:p>
        </w:tc>
      </w:tr>
      <w:tr w:rsidR="00250688" w:rsidRPr="00A97A7C" w14:paraId="7C37EA29" w14:textId="77777777" w:rsidTr="00DE7F8F">
        <w:tc>
          <w:tcPr>
            <w:tcW w:w="1763" w:type="dxa"/>
          </w:tcPr>
          <w:p w14:paraId="66CCC63E"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الرقم الاكاديمي</w:t>
            </w:r>
          </w:p>
        </w:tc>
        <w:tc>
          <w:tcPr>
            <w:tcW w:w="252" w:type="dxa"/>
          </w:tcPr>
          <w:p w14:paraId="58DE1DD3"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5C2B17AB" w14:textId="77777777" w:rsidR="00250688" w:rsidRPr="00A97A7C" w:rsidRDefault="00250688" w:rsidP="00250688">
            <w:pPr>
              <w:pStyle w:val="ab"/>
              <w:tabs>
                <w:tab w:val="left" w:pos="1781"/>
                <w:tab w:val="center" w:pos="2916"/>
              </w:tabs>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242002299</w:t>
            </w:r>
          </w:p>
        </w:tc>
      </w:tr>
      <w:tr w:rsidR="00250688" w:rsidRPr="00A97A7C" w14:paraId="6C6CA4D9" w14:textId="77777777" w:rsidTr="00DE7F8F">
        <w:tc>
          <w:tcPr>
            <w:tcW w:w="1763" w:type="dxa"/>
          </w:tcPr>
          <w:p w14:paraId="081F2E72"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البرنامج</w:t>
            </w:r>
          </w:p>
        </w:tc>
        <w:tc>
          <w:tcPr>
            <w:tcW w:w="252" w:type="dxa"/>
          </w:tcPr>
          <w:p w14:paraId="2F456F2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r>
              <w:rPr>
                <w:rFonts w:asciiTheme="majorBidi" w:hAnsiTheme="majorBidi" w:cstheme="majorBidi"/>
                <w:b/>
                <w:bCs/>
                <w:color w:val="000000" w:themeColor="text1"/>
                <w:sz w:val="36"/>
                <w:szCs w:val="36"/>
                <w:rtl/>
              </w:rPr>
              <w:t>:</w:t>
            </w:r>
          </w:p>
        </w:tc>
        <w:tc>
          <w:tcPr>
            <w:tcW w:w="5778" w:type="dxa"/>
          </w:tcPr>
          <w:p w14:paraId="15C61DA9"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r>
              <w:rPr>
                <w:rFonts w:asciiTheme="majorBidi" w:hAnsiTheme="majorBidi" w:cstheme="majorBidi"/>
                <w:b/>
                <w:bCs/>
                <w:color w:val="0000FF"/>
                <w:sz w:val="36"/>
                <w:szCs w:val="36"/>
                <w:rtl/>
              </w:rPr>
              <w:t>دكتوراه القانون</w:t>
            </w:r>
          </w:p>
        </w:tc>
      </w:tr>
      <w:tr w:rsidR="00250688" w:rsidRPr="00A97A7C" w14:paraId="42B0E002" w14:textId="77777777" w:rsidTr="00DE7F8F">
        <w:tc>
          <w:tcPr>
            <w:tcW w:w="1763" w:type="dxa"/>
          </w:tcPr>
          <w:p w14:paraId="1EFD0B7A"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252" w:type="dxa"/>
          </w:tcPr>
          <w:p w14:paraId="6CADF77F"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00" w:themeColor="text1"/>
                <w:sz w:val="36"/>
                <w:szCs w:val="36"/>
                <w:rtl/>
              </w:rPr>
            </w:pPr>
          </w:p>
        </w:tc>
        <w:tc>
          <w:tcPr>
            <w:tcW w:w="5778" w:type="dxa"/>
          </w:tcPr>
          <w:p w14:paraId="68FCBB78" w14:textId="77777777" w:rsidR="00250688" w:rsidRPr="00A97A7C" w:rsidRDefault="00250688" w:rsidP="00250688">
            <w:pPr>
              <w:pStyle w:val="ab"/>
              <w:bidi/>
              <w:spacing w:before="0" w:beforeAutospacing="0" w:after="0" w:afterAutospacing="0"/>
              <w:ind w:right="-270"/>
              <w:jc w:val="center"/>
              <w:rPr>
                <w:rFonts w:asciiTheme="majorBidi" w:hAnsiTheme="majorBidi" w:cstheme="majorBidi"/>
                <w:b/>
                <w:bCs/>
                <w:color w:val="0000FF"/>
                <w:sz w:val="36"/>
                <w:szCs w:val="36"/>
                <w:rtl/>
              </w:rPr>
            </w:pPr>
          </w:p>
        </w:tc>
      </w:tr>
    </w:tbl>
    <w:p w14:paraId="168E7868" w14:textId="77777777" w:rsidR="00250688" w:rsidRPr="00A97A7C" w:rsidRDefault="00250688" w:rsidP="00250688">
      <w:pPr>
        <w:pStyle w:val="ab"/>
        <w:bidi/>
        <w:spacing w:before="0" w:beforeAutospacing="0" w:after="0" w:afterAutospacing="0"/>
        <w:ind w:right="-270"/>
        <w:jc w:val="both"/>
        <w:rPr>
          <w:rFonts w:asciiTheme="majorBidi" w:hAnsiTheme="majorBidi" w:cstheme="majorBidi"/>
          <w:b/>
          <w:bCs/>
          <w:color w:val="0000FF"/>
          <w:sz w:val="36"/>
          <w:szCs w:val="36"/>
          <w:rtl/>
        </w:rPr>
      </w:pPr>
    </w:p>
    <w:p w14:paraId="72ADF2CA" w14:textId="77777777" w:rsidR="00250688" w:rsidRPr="00A97A7C" w:rsidRDefault="00250688" w:rsidP="00250688">
      <w:pPr>
        <w:spacing w:line="240" w:lineRule="auto"/>
        <w:rPr>
          <w:rFonts w:asciiTheme="majorBidi" w:hAnsiTheme="majorBidi" w:cstheme="majorBidi"/>
          <w:noProof/>
          <w:rtl/>
          <w:lang w:bidi="ar-JO"/>
        </w:rPr>
      </w:pPr>
    </w:p>
    <w:p w14:paraId="16481464" w14:textId="459827CA" w:rsidR="00BC5F38" w:rsidRDefault="00250688" w:rsidP="008535D1">
      <w:pPr>
        <w:jc w:val="center"/>
        <w:rPr>
          <w:rFonts w:asciiTheme="majorBidi" w:hAnsiTheme="majorBidi" w:cstheme="majorBidi"/>
          <w:b/>
          <w:bCs/>
          <w:color w:val="FF0000"/>
          <w:sz w:val="28"/>
          <w:szCs w:val="28"/>
          <w:rtl/>
        </w:rPr>
      </w:pPr>
      <w:r>
        <w:rPr>
          <w:rFonts w:asciiTheme="majorBidi" w:hAnsiTheme="majorBidi" w:cstheme="majorBidi"/>
          <w:b/>
          <w:bCs/>
          <w:color w:val="FF0000"/>
          <w:sz w:val="28"/>
          <w:szCs w:val="28"/>
          <w:rtl/>
        </w:rPr>
        <w:t>1447ه</w:t>
      </w:r>
      <w:r>
        <w:rPr>
          <w:rFonts w:asciiTheme="majorBidi" w:hAnsiTheme="majorBidi" w:cstheme="majorBidi" w:hint="cs"/>
          <w:b/>
          <w:bCs/>
          <w:color w:val="FF0000"/>
          <w:sz w:val="28"/>
          <w:szCs w:val="28"/>
          <w:rtl/>
        </w:rPr>
        <w:t>ـ</w:t>
      </w:r>
      <w:r>
        <w:rPr>
          <w:rFonts w:asciiTheme="majorBidi" w:hAnsiTheme="majorBidi" w:cstheme="majorBidi"/>
          <w:b/>
          <w:bCs/>
          <w:color w:val="FF0000"/>
          <w:sz w:val="28"/>
          <w:szCs w:val="28"/>
          <w:rtl/>
        </w:rPr>
        <w:t xml:space="preserve">          -  202</w:t>
      </w:r>
      <w:r>
        <w:rPr>
          <w:rFonts w:asciiTheme="majorBidi" w:hAnsiTheme="majorBidi" w:cstheme="majorBidi" w:hint="cs"/>
          <w:b/>
          <w:bCs/>
          <w:color w:val="FF0000"/>
          <w:sz w:val="28"/>
          <w:szCs w:val="28"/>
          <w:rtl/>
        </w:rPr>
        <w:t>6</w:t>
      </w:r>
      <w:r>
        <w:rPr>
          <w:rFonts w:asciiTheme="majorBidi" w:hAnsiTheme="majorBidi" w:cstheme="majorBidi"/>
          <w:b/>
          <w:bCs/>
          <w:color w:val="FF0000"/>
          <w:sz w:val="28"/>
          <w:szCs w:val="28"/>
          <w:rtl/>
        </w:rPr>
        <w:t xml:space="preserve"> م</w:t>
      </w:r>
    </w:p>
    <w:p w14:paraId="6642EE1B" w14:textId="77777777" w:rsidR="00960AA5" w:rsidRDefault="00960AA5" w:rsidP="008535D1">
      <w:pPr>
        <w:jc w:val="center"/>
        <w:rPr>
          <w:rFonts w:asciiTheme="majorBidi" w:hAnsiTheme="majorBidi" w:cstheme="majorBidi"/>
          <w:b/>
          <w:bCs/>
          <w:color w:val="FF0000"/>
          <w:sz w:val="28"/>
          <w:szCs w:val="28"/>
        </w:rPr>
      </w:pPr>
    </w:p>
    <w:p w14:paraId="44171F37" w14:textId="77777777" w:rsidR="00F91E80" w:rsidRPr="00BC5F38" w:rsidRDefault="00F91E80" w:rsidP="00F219B4">
      <w:pPr>
        <w:jc w:val="center"/>
        <w:rPr>
          <w:rFonts w:asciiTheme="majorBidi" w:hAnsiTheme="majorBidi" w:cstheme="majorBidi"/>
          <w:b/>
          <w:bCs/>
          <w:sz w:val="24"/>
          <w:szCs w:val="24"/>
        </w:rPr>
      </w:pPr>
    </w:p>
    <w:p w14:paraId="46154BD5" w14:textId="77777777" w:rsidR="00F91E80" w:rsidRPr="00BC5F38" w:rsidRDefault="00F219B4" w:rsidP="00A60CD0">
      <w:pPr>
        <w:jc w:val="right"/>
        <w:rPr>
          <w:rFonts w:asciiTheme="majorBidi" w:hAnsiTheme="majorBidi" w:cstheme="majorBidi"/>
          <w:b/>
          <w:bCs/>
          <w:sz w:val="28"/>
          <w:szCs w:val="28"/>
        </w:rPr>
      </w:pPr>
      <w:r>
        <w:rPr>
          <w:rFonts w:asciiTheme="majorBidi" w:hAnsiTheme="majorBidi" w:cstheme="majorBidi"/>
          <w:b/>
          <w:bCs/>
          <w:sz w:val="28"/>
          <w:szCs w:val="28"/>
          <w:rtl/>
        </w:rPr>
        <w:t>مقدمة الدارسة:</w:t>
      </w:r>
    </w:p>
    <w:p w14:paraId="3A0B15D4" w14:textId="77777777" w:rsidR="00F219B4" w:rsidRPr="00BC5F38" w:rsidRDefault="00F219B4" w:rsidP="00A60CD0">
      <w:pPr>
        <w:jc w:val="right"/>
        <w:rPr>
          <w:rFonts w:asciiTheme="majorBidi" w:hAnsiTheme="majorBidi" w:cstheme="majorBidi"/>
          <w:sz w:val="24"/>
          <w:szCs w:val="24"/>
          <w:rtl/>
        </w:rPr>
      </w:pPr>
      <w:r>
        <w:rPr>
          <w:rFonts w:asciiTheme="majorBidi" w:hAnsiTheme="majorBidi" w:cstheme="majorBidi"/>
          <w:sz w:val="24"/>
          <w:szCs w:val="24"/>
          <w:rtl/>
        </w:rPr>
        <w:t>شهد العالم في السنوات الأخيرة ثورة تقنية متسارعة، أبرز مظاهرها تصاعد استخدام تقنيات الذكاء الاصطناعي، لاسيما في المجالات المهنية التخصصية مثل المحاماة، وقد باتت أدوات الذكاء الاصطناعي التنبؤية والتوليدية تستخدم تدريجياً في تحليل المستندات القانونية، وإنشاء العقود، والبحث في السوابق القضائية، وتقديم الدعم القانوني المؤتمت.</w:t>
      </w:r>
    </w:p>
    <w:p w14:paraId="56512B9F" w14:textId="77777777" w:rsidR="00F219B4" w:rsidRPr="00BC5F38" w:rsidRDefault="00F219B4" w:rsidP="00A60CD0">
      <w:pPr>
        <w:jc w:val="right"/>
        <w:rPr>
          <w:rFonts w:asciiTheme="majorBidi" w:hAnsiTheme="majorBidi" w:cstheme="majorBidi"/>
          <w:sz w:val="24"/>
          <w:szCs w:val="24"/>
        </w:rPr>
      </w:pPr>
      <w:r>
        <w:rPr>
          <w:rFonts w:asciiTheme="majorBidi" w:hAnsiTheme="majorBidi" w:cstheme="majorBidi"/>
          <w:sz w:val="24"/>
          <w:szCs w:val="24"/>
          <w:rtl/>
        </w:rPr>
        <w:t xml:space="preserve"> هذا التقدُّم يطرح تساؤلات قانونية ومهنية عميقة حول حدود التوظيف، والمسؤولية، والموثوقية، خاصة في البيئات العدلية المنظمة، حيث انه في المملكة العربية السعودية برز اهتمام رسمي متزايد بتقنين استخدام الذكاء الاصطناعي يتجسد في جهود الهيئة السعودية للبيانات والذكاء الاصطناعي "سدايا" التي أصدرت في (نوفمبر، 2023) وثيقة بعنوان </w:t>
      </w:r>
      <w:r>
        <w:rPr>
          <w:rFonts w:asciiTheme="majorBidi" w:hAnsiTheme="majorBidi" w:cstheme="majorBidi"/>
          <w:b/>
          <w:bCs/>
          <w:sz w:val="24"/>
          <w:szCs w:val="24"/>
          <w:rtl/>
        </w:rPr>
        <w:t xml:space="preserve">"مبادئ أخلاقيات الذكاء الاصطناعي" </w:t>
      </w:r>
    </w:p>
    <w:p w14:paraId="03036927" w14:textId="77777777" w:rsidR="00F219B4" w:rsidRPr="00BC5F38" w:rsidRDefault="00F219B4" w:rsidP="00A60CD0">
      <w:pPr>
        <w:jc w:val="right"/>
        <w:rPr>
          <w:rFonts w:asciiTheme="majorBidi" w:hAnsiTheme="majorBidi" w:cstheme="majorBidi"/>
          <w:sz w:val="24"/>
          <w:szCs w:val="24"/>
        </w:rPr>
      </w:pPr>
      <w:r>
        <w:rPr>
          <w:rFonts w:asciiTheme="majorBidi" w:hAnsiTheme="majorBidi" w:cstheme="majorBidi"/>
          <w:sz w:val="24"/>
          <w:szCs w:val="24"/>
          <w:rtl/>
        </w:rPr>
        <w:t>أكدت فيها على ضرورة تقليل المخاطر المحتملة والأضرار غير المقصودة ، وهو ما يبرز التوجه الرسمي نحو تقنين وضبط استخدام هذه التقنية داخل القطاعات المهنية مؤكدة في وثيقتها الرسمية أنه :</w:t>
      </w:r>
    </w:p>
    <w:p w14:paraId="34E5B058" w14:textId="77777777" w:rsidR="00F219B4" w:rsidRPr="00BC5F38" w:rsidRDefault="00F219B4" w:rsidP="00A60CD0">
      <w:pPr>
        <w:jc w:val="right"/>
        <w:rPr>
          <w:rFonts w:asciiTheme="majorBidi" w:hAnsiTheme="majorBidi" w:cstheme="majorBidi"/>
          <w:sz w:val="24"/>
          <w:szCs w:val="24"/>
          <w:rtl/>
        </w:rPr>
      </w:pPr>
      <w:r>
        <w:rPr>
          <w:rFonts w:asciiTheme="majorBidi" w:hAnsiTheme="majorBidi" w:cstheme="majorBidi"/>
          <w:sz w:val="24"/>
          <w:szCs w:val="24"/>
          <w:rtl/>
        </w:rPr>
        <w:t>"يجب على نظام الذكاء الاصطناعي العمل على تقليل المخاطر المحتملة والأضرار غير المقصودة إلى أدنى حد ممكن"</w:t>
      </w:r>
      <w:r>
        <w:rPr>
          <w:rStyle w:val="af"/>
          <w:rFonts w:asciiTheme="majorBidi" w:hAnsiTheme="majorBidi" w:cstheme="majorBidi"/>
          <w:sz w:val="24"/>
          <w:szCs w:val="24"/>
          <w:rtl/>
        </w:rPr>
        <w:footnoteReference w:id="1"/>
      </w:r>
    </w:p>
    <w:p w14:paraId="6AAAFC21" w14:textId="77777777" w:rsidR="00A94FD1" w:rsidRPr="00BC5F38" w:rsidRDefault="00A94FD1" w:rsidP="00A60CD0">
      <w:pPr>
        <w:jc w:val="right"/>
        <w:rPr>
          <w:rFonts w:asciiTheme="majorBidi" w:hAnsiTheme="majorBidi" w:cstheme="majorBidi"/>
          <w:sz w:val="24"/>
          <w:szCs w:val="24"/>
        </w:rPr>
      </w:pPr>
      <w:r>
        <w:rPr>
          <w:rFonts w:asciiTheme="majorBidi" w:hAnsiTheme="majorBidi" w:cstheme="majorBidi"/>
          <w:sz w:val="24"/>
          <w:szCs w:val="24"/>
          <w:rtl/>
        </w:rPr>
        <w:t>إلا أن هذا التوجيه الأخلاقي لم يُترجم بعد إلى إطار تنظيمي متكامل داخل بعض القطاعات المهنية الحساسة، وعلى رأسها مهنة المحاماة.</w:t>
      </w:r>
    </w:p>
    <w:p w14:paraId="3C977EDE" w14:textId="77777777" w:rsidR="00A94FD1" w:rsidRPr="00BC5F38" w:rsidRDefault="00A94FD1" w:rsidP="00A60CD0">
      <w:pPr>
        <w:jc w:val="right"/>
        <w:rPr>
          <w:rFonts w:asciiTheme="majorBidi" w:hAnsiTheme="majorBidi" w:cstheme="majorBidi"/>
          <w:sz w:val="24"/>
          <w:szCs w:val="24"/>
          <w:rtl/>
        </w:rPr>
      </w:pPr>
      <w:r>
        <w:rPr>
          <w:rFonts w:asciiTheme="majorBidi" w:hAnsiTheme="majorBidi" w:cstheme="majorBidi"/>
          <w:sz w:val="24"/>
          <w:szCs w:val="24"/>
          <w:rtl/>
        </w:rPr>
        <w:t xml:space="preserve">وعلى صعيد رصد الواقع الميداني لعدد من مكاتب المحاماة السعودية والجهات القانونية المختلفة، تبيّن وجود استخدام جزئي لتقنيات الذكاء الاصطناعي، ولكن دون وجود إطار قانوني ينظم هذا الاستخدام، أو يُحدد مسؤولية المحامي في حال حدوث خطأ تقني، أو يحفظ خصوصية بيانات العملاء ضمن قواعد واضحة ومُلزمة، ويظهر نظام المحاماة السعودي الصادر بالمرسوم الملكي (م/38) بتاريخ 28/7/1422هـ، كالإطار التنظيمي الأساسي للمهنة، حيث تنص المادة (41) منه على أنه: </w:t>
      </w:r>
    </w:p>
    <w:p w14:paraId="1AEACE50" w14:textId="77777777" w:rsidR="00A94FD1" w:rsidRPr="00BC5F38" w:rsidRDefault="00A94FD1" w:rsidP="00A60CD0">
      <w:pPr>
        <w:jc w:val="right"/>
        <w:rPr>
          <w:rFonts w:asciiTheme="majorBidi" w:hAnsiTheme="majorBidi" w:cstheme="majorBidi"/>
          <w:b/>
          <w:bCs/>
          <w:sz w:val="24"/>
          <w:szCs w:val="24"/>
          <w:rtl/>
        </w:rPr>
      </w:pPr>
      <w:r>
        <w:rPr>
          <w:rFonts w:asciiTheme="majorBidi" w:hAnsiTheme="majorBidi" w:cstheme="majorBidi"/>
          <w:sz w:val="24"/>
          <w:szCs w:val="24"/>
          <w:rtl/>
        </w:rPr>
        <w:t>"يجوز للمحامي السعودي المحترف الاستعانة بمحامٍ معتمد غير سعودي في مكتبه، بشرط تحمّله المسؤولية الكاملة وخضوع العلاقة لضوابط تفصيلية تُصدر باللائحة التنفيذية"</w:t>
      </w:r>
      <w:r>
        <w:rPr>
          <w:rStyle w:val="af"/>
          <w:rFonts w:asciiTheme="majorBidi" w:hAnsiTheme="majorBidi" w:cstheme="majorBidi"/>
          <w:sz w:val="24"/>
          <w:szCs w:val="24"/>
          <w:rtl/>
        </w:rPr>
        <w:footnoteReference w:id="2"/>
      </w:r>
    </w:p>
    <w:p w14:paraId="3CF9875D" w14:textId="77777777" w:rsidR="00A94FD1" w:rsidRPr="00BC5F38" w:rsidRDefault="00A94FD1" w:rsidP="00A60CD0">
      <w:pPr>
        <w:jc w:val="right"/>
        <w:rPr>
          <w:rFonts w:asciiTheme="majorBidi" w:hAnsiTheme="majorBidi" w:cstheme="majorBidi"/>
          <w:sz w:val="24"/>
          <w:szCs w:val="24"/>
          <w:rtl/>
        </w:rPr>
      </w:pPr>
      <w:r>
        <w:rPr>
          <w:rFonts w:asciiTheme="majorBidi" w:hAnsiTheme="majorBidi" w:cstheme="majorBidi"/>
          <w:sz w:val="24"/>
          <w:szCs w:val="24"/>
          <w:rtl/>
        </w:rPr>
        <w:t>لكن هذه المادة – وسائر اللائحة – لم تتطرق بشكل صريح إلى توظيف الأدوات التقنية الذكية، ولا إلى حدود المسؤولية الناتجة عن استخدامها، مما يفتح الباب أمام إشكالات قانونية تتعلق بالمهنية والخصوصية والتبعية.</w:t>
      </w:r>
    </w:p>
    <w:p w14:paraId="4BCACC62" w14:textId="68F9FC9B" w:rsidR="00A94FD1" w:rsidRPr="00BC5F38" w:rsidRDefault="00A94FD1" w:rsidP="00A60CD0">
      <w:pPr>
        <w:jc w:val="right"/>
        <w:rPr>
          <w:rFonts w:asciiTheme="majorBidi" w:hAnsiTheme="majorBidi" w:cstheme="majorBidi"/>
          <w:sz w:val="24"/>
          <w:szCs w:val="24"/>
        </w:rPr>
      </w:pPr>
      <w:r>
        <w:rPr>
          <w:rFonts w:asciiTheme="majorBidi" w:hAnsiTheme="majorBidi" w:cstheme="majorBidi"/>
          <w:sz w:val="24"/>
          <w:szCs w:val="24"/>
          <w:rtl/>
        </w:rPr>
        <w:t xml:space="preserve">وقد أشار </w:t>
      </w:r>
      <w:r>
        <w:rPr>
          <w:rFonts w:asciiTheme="majorBidi" w:hAnsiTheme="majorBidi" w:cstheme="majorBidi" w:hint="cs"/>
          <w:sz w:val="24"/>
          <w:szCs w:val="24"/>
          <w:rtl/>
        </w:rPr>
        <w:t>احد</w:t>
      </w:r>
      <w:r>
        <w:rPr>
          <w:rFonts w:asciiTheme="majorBidi" w:hAnsiTheme="majorBidi" w:cstheme="majorBidi"/>
          <w:sz w:val="24"/>
          <w:szCs w:val="24"/>
          <w:rtl/>
        </w:rPr>
        <w:t xml:space="preserve"> الباحثين في دراسته: (المسؤولية المدنية عن فعل الذكاء الاصطناعي في النظام السعودي) :</w:t>
      </w:r>
    </w:p>
    <w:p w14:paraId="3E0F9E06" w14:textId="77777777" w:rsidR="00A94FD1" w:rsidRPr="00BC5F38" w:rsidRDefault="00A94FD1" w:rsidP="006713B6">
      <w:pPr>
        <w:jc w:val="right"/>
        <w:rPr>
          <w:rFonts w:asciiTheme="majorBidi" w:hAnsiTheme="majorBidi" w:cstheme="majorBidi"/>
          <w:sz w:val="24"/>
          <w:szCs w:val="24"/>
          <w:rtl/>
        </w:rPr>
      </w:pPr>
      <w:r>
        <w:rPr>
          <w:rFonts w:asciiTheme="majorBidi" w:hAnsiTheme="majorBidi" w:cstheme="majorBidi"/>
          <w:sz w:val="24"/>
          <w:szCs w:val="24"/>
          <w:rtl/>
        </w:rPr>
        <w:t>"التشريع والفقه السعودي لم يحددا بعد كيفية التعامل مع الأفعال الناتجة عن أنظمة ذكية مستقلة، ما يُظهر حاجة ماسّة إلى تنظيم تشريعي يعالج هذا الفراغ"</w:t>
      </w:r>
      <w:r>
        <w:rPr>
          <w:rStyle w:val="af"/>
          <w:rFonts w:asciiTheme="majorBidi" w:hAnsiTheme="majorBidi" w:cstheme="majorBidi"/>
          <w:sz w:val="24"/>
          <w:szCs w:val="24"/>
          <w:rtl/>
        </w:rPr>
        <w:footnoteReference w:id="3"/>
      </w:r>
    </w:p>
    <w:p w14:paraId="782E1E86" w14:textId="77777777" w:rsidR="00F219B4" w:rsidRPr="00BC5F38" w:rsidRDefault="00A94FD1"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هذا المنطلق، تتناول هذه الدراسة – ذات الطبيعة التحليلية– الإطار القانوني المنظم لاستخدام تقنيات الذكاء الاصطناعي داخل مكاتب المحاماة، وتسعى إلى تقديم معالجة نوعية تكشف أوجه القصور في التنظيم القائم، وتقترح إطارًا وطنيًا متكاملًا يضمن التوظيف الآمن والمهني لهذه التقنيات. ويستند التحليل إلى مراجعة عدد من </w:t>
      </w:r>
      <w:r>
        <w:rPr>
          <w:rFonts w:asciiTheme="majorBidi" w:hAnsiTheme="majorBidi" w:cstheme="majorBidi"/>
          <w:color w:val="000000" w:themeColor="text1"/>
          <w:sz w:val="24"/>
          <w:szCs w:val="24"/>
          <w:rtl/>
        </w:rPr>
        <w:lastRenderedPageBreak/>
        <w:t>الأنظمة السعودية ذات العلاقة، مثل نظام المحاماة، ونظام حماية البيانات الشخصية، ونظام التعاملات الإلكترونية، لتقييم مدى كفاءتها في ضبط استخدام الذكاء الاصطناعي قانونيًا ومهنيًا. كما تركز الدراسة على استقراء واقع الممارسة التقنية في مكاتب المحاماة، وتشخيص التحديات النظامية والمهنية المصاحبة لها، تمهيدًا لبناء تصور تنظيمي وطني يحقق التوازن بين الكفاءة التقنية من جهة، ومتطلبات حماية الخصوصية والمسؤولية القانونية من جهة أخرى، ويعزز في الوقت ذاته الاستخدام الآمن والمنظم للتقنيات الذكية في البيئة العدلية السعودية.</w:t>
      </w:r>
    </w:p>
    <w:p w14:paraId="1A74576D" w14:textId="77777777" w:rsidR="00A4106D" w:rsidRPr="00BC5F38" w:rsidRDefault="00A4106D" w:rsidP="00A60CD0">
      <w:pPr>
        <w:jc w:val="right"/>
        <w:rPr>
          <w:rFonts w:asciiTheme="majorBidi" w:hAnsiTheme="majorBidi" w:cstheme="majorBidi"/>
          <w:color w:val="000000" w:themeColor="text1"/>
          <w:sz w:val="24"/>
          <w:szCs w:val="24"/>
        </w:rPr>
      </w:pPr>
    </w:p>
    <w:p w14:paraId="7C4AB454" w14:textId="77777777" w:rsidR="00A4106D" w:rsidRPr="00BC5F38" w:rsidRDefault="00A4106D" w:rsidP="00A60CD0">
      <w:pPr>
        <w:jc w:val="right"/>
        <w:rPr>
          <w:rFonts w:asciiTheme="majorBidi" w:hAnsiTheme="majorBidi" w:cstheme="majorBidi"/>
          <w:b/>
          <w:bCs/>
          <w:sz w:val="28"/>
          <w:szCs w:val="28"/>
          <w:rtl/>
        </w:rPr>
      </w:pPr>
      <w:r>
        <w:rPr>
          <w:rFonts w:asciiTheme="majorBidi" w:hAnsiTheme="majorBidi" w:cstheme="majorBidi"/>
          <w:b/>
          <w:bCs/>
          <w:sz w:val="28"/>
          <w:szCs w:val="28"/>
          <w:rtl/>
        </w:rPr>
        <w:t>مشكلة الدراسة:</w:t>
      </w:r>
    </w:p>
    <w:p w14:paraId="5A299C0F"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شهدت مهنة المحاماة في المملكة العربية السعودية تحولًا تقنيًا متسارعًا، إذ بات توظيف أدوات الذكاء الاصطناعي في تحليل المستندات القانونية، وصياغة العقود، وإدارة بيانات القضايا، وتوليد المذكرات، واقعًا يوميًا ملموسًا في عدد متزايد من مكاتب المحاماة. وقد أسهم هذا التحول في رفع كفاءة الأداء القانوني وخفض تكاليفه، غير أنه أفرز في الوقت ذاته إشكاليات قانونية ومهنية ذات طابع مركّب، تتشعب بين تحديد الطبيعة القانونية لمخرجات هذه التقنيات، وضبط المسؤولية المهنية المترتبة على توظيفها، وصون سرية بيانات العملاء في ظل بيئة رقمية متطورة.</w:t>
      </w:r>
    </w:p>
    <w:p w14:paraId="0954D687"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وعلى الرغم من الجهود التنظيمية الملحوظة التي تبذلها المملكة العربية السعودية في إطار رؤية 2030، وإصدار وثيقة مبادئ أخلاقيات الذكاء الاصطناعي عن الهيئة السعودية للبيانات والذكاء الاصطناعي (سدايا)، فإن المنظومة التشريعية القائمة لا تزال تفتقر إلى أحكام صريحة وتفصيلية تُنظِّم توظيف تقنيات الذكاء الاصطناعي داخل مكاتب المحاماة تحديدًا. إذ إن نظام المحاماة، ونظام حماية البيانات الشخصية، ونظام المعاملات المدنية، لم تُعالج في نصوصها الحالية هذه المسألة المستجدة من حيث التكييف القانوني للمخرجات، أو نطاق المسؤولية المهنية للمحامي، أو الضمانات الكافية لحماية البيانات الحساسة للموكلين، مما يُولِّد فراغًا قانونيًا واضحًا يعوق الممارسة المهنية المنضبطة لهذه التقنيات.</w:t>
      </w:r>
    </w:p>
    <w:p w14:paraId="16B69BD0" w14:textId="77777777"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ويزداد هذا الفراغ التشريعي تعقيدًا في ظل انعدام معايير موحَّدة تضبط ترخيص الأدوات الذكية المستخدمة مهنيًا وتحديد متطلبات موثوقيتها، وغياب آليات واضحة للمساءلة والحوكمة المهنية عند الاعتماد على هذه الأدوات في اتخاذ القرارات القانونية. فضلًا عن ذلك، فإن الأنظمة القائمة قد صِيغت في مراحل سابقة لبروز الذكاء الاصطناعي التوليدي، مما يجعل تطبيقها على الواقع التقني الراهن قائمًا على الاجتهاد التفسيري لا على النص الصريح، وهو ما لا يرقى إلى مستوى اليقين التشريعي اللازم لمهنة تقوم في جوهرها على الثقة والدقة القانونية.</w:t>
      </w:r>
    </w:p>
    <w:p w14:paraId="768438D3" w14:textId="329CFE3E" w:rsidR="00AD4C3C" w:rsidRDefault="00AD4C3C" w:rsidP="00AD4C3C">
      <w:pPr>
        <w:bidi/>
        <w:spacing w:after="200" w:line="276" w:lineRule="auto"/>
        <w:rPr>
          <w:rFonts w:asciiTheme="majorBidi" w:hAnsiTheme="majorBidi" w:cstheme="majorBidi"/>
          <w:sz w:val="24"/>
          <w:szCs w:val="24"/>
        </w:rPr>
      </w:pPr>
      <w:r>
        <w:rPr>
          <w:rFonts w:asciiTheme="majorBidi" w:hAnsiTheme="majorBidi" w:cstheme="majorBidi"/>
          <w:sz w:val="24"/>
          <w:szCs w:val="24"/>
          <w:rtl/>
        </w:rPr>
        <w:t xml:space="preserve">وعليه،  </w:t>
      </w:r>
      <w:r>
        <w:rPr>
          <w:rFonts w:asciiTheme="majorBidi" w:hAnsiTheme="majorBidi" w:cstheme="majorBidi" w:hint="cs"/>
          <w:sz w:val="24"/>
          <w:szCs w:val="24"/>
          <w:rtl/>
        </w:rPr>
        <w:t>فإن هذه</w:t>
      </w:r>
      <w:r>
        <w:rPr>
          <w:rFonts w:asciiTheme="majorBidi" w:hAnsiTheme="majorBidi" w:cstheme="majorBidi"/>
          <w:sz w:val="24"/>
          <w:szCs w:val="24"/>
          <w:rtl/>
        </w:rPr>
        <w:t xml:space="preserve"> الدراسة </w:t>
      </w:r>
      <w:r>
        <w:rPr>
          <w:rFonts w:asciiTheme="majorBidi" w:hAnsiTheme="majorBidi" w:cstheme="majorBidi" w:hint="cs"/>
          <w:sz w:val="24"/>
          <w:szCs w:val="24"/>
          <w:rtl/>
        </w:rPr>
        <w:t xml:space="preserve"> تدور حول </w:t>
      </w:r>
      <w:r>
        <w:rPr>
          <w:rFonts w:asciiTheme="majorBidi" w:hAnsiTheme="majorBidi" w:cstheme="majorBidi" w:hint="cs"/>
          <w:b/>
          <w:bCs/>
          <w:sz w:val="24"/>
          <w:szCs w:val="24"/>
          <w:rtl/>
        </w:rPr>
        <w:t>مدى</w:t>
      </w:r>
      <w:r>
        <w:rPr>
          <w:rFonts w:asciiTheme="majorBidi" w:hAnsiTheme="majorBidi" w:cstheme="majorBidi" w:hint="cs"/>
          <w:sz w:val="24"/>
          <w:szCs w:val="24"/>
          <w:rtl/>
        </w:rPr>
        <w:t xml:space="preserve"> </w:t>
      </w:r>
      <w:r>
        <w:rPr>
          <w:rFonts w:asciiTheme="majorBidi" w:hAnsiTheme="majorBidi" w:cstheme="majorBidi" w:hint="cs"/>
          <w:b/>
          <w:bCs/>
          <w:sz w:val="24"/>
          <w:szCs w:val="24"/>
          <w:rtl/>
        </w:rPr>
        <w:t>قدرة</w:t>
      </w:r>
      <w:r>
        <w:rPr>
          <w:rFonts w:asciiTheme="majorBidi" w:hAnsiTheme="majorBidi" w:cstheme="majorBidi" w:hint="cs"/>
          <w:sz w:val="24"/>
          <w:szCs w:val="24"/>
          <w:rtl/>
        </w:rPr>
        <w:t xml:space="preserve"> </w:t>
      </w:r>
      <w:r>
        <w:rPr>
          <w:rFonts w:asciiTheme="majorBidi" w:hAnsiTheme="majorBidi" w:cstheme="majorBidi"/>
          <w:b/>
          <w:bCs/>
          <w:sz w:val="24"/>
          <w:szCs w:val="24"/>
          <w:rtl/>
        </w:rPr>
        <w:t xml:space="preserve">الإطار النظامي السعودي </w:t>
      </w:r>
      <w:r>
        <w:rPr>
          <w:rFonts w:asciiTheme="majorBidi" w:hAnsiTheme="majorBidi" w:cstheme="majorBidi" w:hint="cs"/>
          <w:b/>
          <w:bCs/>
          <w:sz w:val="24"/>
          <w:szCs w:val="24"/>
          <w:rtl/>
        </w:rPr>
        <w:t>في</w:t>
      </w:r>
      <w:r>
        <w:rPr>
          <w:rFonts w:asciiTheme="majorBidi" w:hAnsiTheme="majorBidi" w:cstheme="majorBidi"/>
          <w:b/>
          <w:bCs/>
          <w:sz w:val="24"/>
          <w:szCs w:val="24"/>
          <w:rtl/>
        </w:rPr>
        <w:t xml:space="preserve"> استيعاب متطلبات توظيف تقنيات الذكاء الاصطناعي في مكاتب المحاماة، من حيث التكييف القانوني للمخرجات، وتحديد المسؤولية المهنية والنظامية، وضمانات حماية بيانات العملاء</w:t>
      </w:r>
      <w:r>
        <w:rPr>
          <w:rFonts w:asciiTheme="majorBidi" w:hAnsiTheme="majorBidi" w:cstheme="majorBidi"/>
          <w:sz w:val="24"/>
          <w:szCs w:val="24"/>
          <w:rtl/>
        </w:rPr>
        <w:t xml:space="preserve">، في ظل غياب منظومة تنظيمية متخصصة ومتكاملة تواكب هذا التحول التقني وتضبط حدوده، وتُرسي قواعد الاستخدام الآمن والمشروع له داخل </w:t>
      </w:r>
      <w:r>
        <w:rPr>
          <w:rFonts w:asciiTheme="majorBidi" w:hAnsiTheme="majorBidi" w:cstheme="majorBidi" w:hint="cs"/>
          <w:sz w:val="24"/>
          <w:szCs w:val="24"/>
          <w:rtl/>
        </w:rPr>
        <w:t>المنظومة</w:t>
      </w:r>
      <w:r>
        <w:rPr>
          <w:rFonts w:asciiTheme="majorBidi" w:hAnsiTheme="majorBidi" w:cstheme="majorBidi"/>
          <w:sz w:val="24"/>
          <w:szCs w:val="24"/>
          <w:rtl/>
        </w:rPr>
        <w:t xml:space="preserve"> القانونية السعودية.</w:t>
      </w:r>
    </w:p>
    <w:p w14:paraId="4460C77C" w14:textId="77777777" w:rsidR="00A4106D" w:rsidRPr="00BC5F38" w:rsidRDefault="00A4106D" w:rsidP="00A4106D">
      <w:pPr>
        <w:jc w:val="right"/>
        <w:rPr>
          <w:rFonts w:asciiTheme="majorBidi" w:hAnsiTheme="majorBidi" w:cstheme="majorBidi"/>
          <w:sz w:val="24"/>
          <w:szCs w:val="24"/>
        </w:rPr>
      </w:pPr>
    </w:p>
    <w:p w14:paraId="4FD1CA72" w14:textId="77777777" w:rsidR="006363BC" w:rsidRPr="00BC5F38" w:rsidRDefault="006363BC" w:rsidP="00A4106D">
      <w:pPr>
        <w:jc w:val="right"/>
        <w:rPr>
          <w:rFonts w:asciiTheme="majorBidi" w:hAnsiTheme="majorBidi" w:cstheme="majorBidi"/>
          <w:b/>
          <w:bCs/>
          <w:sz w:val="28"/>
          <w:szCs w:val="28"/>
          <w:rtl/>
        </w:rPr>
      </w:pPr>
      <w:r>
        <w:rPr>
          <w:rFonts w:asciiTheme="majorBidi" w:hAnsiTheme="majorBidi" w:cstheme="majorBidi" w:hint="cs"/>
          <w:b/>
          <w:bCs/>
          <w:sz w:val="28"/>
          <w:szCs w:val="28"/>
          <w:rtl/>
        </w:rPr>
        <w:t>أهمية الدراسة:</w:t>
      </w:r>
    </w:p>
    <w:p w14:paraId="3E504E8E"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 xml:space="preserve">تنبع أهمية هذه الدراسة من ارتباطها بموضوع معاصر وذو طابع استراتيجي يمسّ التطور المهني والتشريعي في البيئة العدلية السعودية، حيث تتناول إشكالية تنظيم استخدام تقنيات الذكاء الاصطناعي داخل مكاتب المحاماة، في وقت تتسارع فيه مبادرات التحول الرقمي ضمن رؤية المملكة 2030. وتتمثل القيمة العلمية للدراسة في مساهمتها في إثراء الأدبيات القانونية المحلية والعربية، من خلال تحليل لم يُتناول بعمق سابقًا في سياق المحاماة تحديدًا، مما يمنحها أصالة أكاديمية ويوفّر مرجعًا علميًا منهجيًا للباحثين مستقبلاً في مجال القانون والتقنية. كما تتمثل الأهمية العملية للدراسة في تقديم حلول واقعية قابلة للتطبيق، من خلال تصور تنظيمي مقترح يمكن </w:t>
      </w:r>
      <w:r>
        <w:rPr>
          <w:rFonts w:asciiTheme="majorBidi" w:hAnsiTheme="majorBidi" w:cstheme="majorBidi"/>
          <w:color w:val="000000" w:themeColor="text1"/>
          <w:sz w:val="24"/>
          <w:szCs w:val="24"/>
          <w:rtl/>
        </w:rPr>
        <w:lastRenderedPageBreak/>
        <w:t>الاستفادة منه تشريعيًا ومهنيًا في ضبط العلاقة بين التقنية والممارسة القانونية، بما يعزز موثوقية مخرجات الذكاء الاصطناعي ويحفظ حقوق المتعاملين به. وتبرز أيضًا الأهمية الاقتصادية للدراسة في كونها تسهم في تقنين استخدام أدوات تقنية ذات تكلفة مرتفعة عند سوء الاستخدام، أو عند غياب التنظيم، مما يقلل من المخاطر القانونية والمهنية ويزيد من كفاءة الاستثمار في القطاع العدلي الخاص. أما على المستوى المجتمعي، فتوفر الدراسة أساسًا تنظيميًا يحمي الأفراد والمؤسسات من الوقوع في مخالفات نظامية ناجمة عن استخدام الذكاء الاصطناعي دون إطار قانوني واضح. وتخدم نتائجها أيضًا المجتمع القانوني من ممارسين ومشرّعين، عبر توضيح الأبعاد النظامية للتعامل مع هذه التقنيات، واقتراح مسارات تشريعية ومهنية واقعية تراعي خصوصية البيئة السعودية</w:t>
      </w:r>
      <w:r>
        <w:rPr>
          <w:rFonts w:asciiTheme="majorBidi" w:hAnsiTheme="majorBidi" w:cstheme="majorBidi"/>
          <w:color w:val="000000" w:themeColor="text1"/>
          <w:sz w:val="24"/>
          <w:szCs w:val="24"/>
        </w:rPr>
        <w:t>.</w:t>
      </w:r>
    </w:p>
    <w:p w14:paraId="29E280F1" w14:textId="77777777" w:rsidR="006363BC" w:rsidRPr="00BC5F38" w:rsidRDefault="006363BC" w:rsidP="006363BC">
      <w:pPr>
        <w:bidi/>
        <w:spacing w:after="200" w:line="276" w:lineRule="auto"/>
        <w:rPr>
          <w:rFonts w:asciiTheme="majorBidi" w:hAnsiTheme="majorBidi" w:cstheme="majorBidi"/>
          <w:color w:val="000000" w:themeColor="text1"/>
          <w:sz w:val="24"/>
          <w:szCs w:val="24"/>
          <w:rtl/>
        </w:rPr>
      </w:pPr>
    </w:p>
    <w:p w14:paraId="717971D8" w14:textId="77777777" w:rsidR="006363BC" w:rsidRPr="00BC5F38" w:rsidRDefault="006363BC" w:rsidP="00F914DE">
      <w:pPr>
        <w:bidi/>
        <w:spacing w:after="200" w:line="276" w:lineRule="auto"/>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أهداف الدراسة:</w:t>
      </w:r>
    </w:p>
    <w:p w14:paraId="7FC407D8" w14:textId="77777777" w:rsidR="00F914DE" w:rsidRDefault="00F914DE" w:rsidP="00F914DE">
      <w:pPr>
        <w:spacing w:after="200" w:line="276" w:lineRule="auto"/>
        <w:jc w:val="right"/>
        <w:rPr>
          <w:rFonts w:asciiTheme="majorBidi" w:hAnsiTheme="majorBidi" w:cstheme="majorBidi"/>
          <w:sz w:val="24"/>
          <w:szCs w:val="24"/>
        </w:rPr>
      </w:pPr>
      <w:r>
        <w:rPr>
          <w:rFonts w:asciiTheme="majorBidi" w:hAnsiTheme="majorBidi" w:cstheme="majorBidi"/>
          <w:color w:val="000000" w:themeColor="text1"/>
          <w:sz w:val="24"/>
          <w:szCs w:val="24"/>
          <w:rtl/>
        </w:rPr>
        <w:t>تسعى هذه الدراسة إلى الكشف عن القصور في الإطار النظامي السعودي المنظِّم لاستخدام تقنيات الذكاء الاصطناعي في مكاتب المحاماة، وتقديم تصور تنظيمي متكامل يُعالج هذا القصور ويُواكب متطلبات التحول الرقمي، وذلك من خلال الأهداف التفصيلية الآتية:</w:t>
      </w:r>
    </w:p>
    <w:p w14:paraId="1E6DF690"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تحليل الأنظمة السعودية ذات الصلة</w:t>
      </w:r>
      <w:r>
        <w:rPr>
          <w:rFonts w:asciiTheme="majorBidi" w:hAnsiTheme="majorBidi" w:cstheme="majorBidi"/>
          <w:color w:val="000000" w:themeColor="text1"/>
          <w:sz w:val="24"/>
          <w:szCs w:val="24"/>
          <w:rtl/>
        </w:rPr>
        <w:t xml:space="preserve"> بتنظيم مهنة المحاماة وحماية البيانات الشخصية والمعاملات الإلكترونية، وتقييم مدى كفايتها في استيعاب التحولات التقنية المرتبطة بتوظيف الذكاء الاصطناعي داخل البيئة القانونية المهنية.</w:t>
      </w:r>
    </w:p>
    <w:p w14:paraId="7B98A6FC"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تقييم الحجية القانونية لمخرجات أدوات الذكاء الاصطناعي</w:t>
      </w:r>
      <w:r>
        <w:rPr>
          <w:rFonts w:asciiTheme="majorBidi" w:hAnsiTheme="majorBidi" w:cstheme="majorBidi"/>
          <w:color w:val="000000" w:themeColor="text1"/>
          <w:sz w:val="24"/>
          <w:szCs w:val="24"/>
          <w:rtl/>
        </w:rPr>
        <w:t xml:space="preserve"> كالعقود والمذكرات القانونية والتقارير المُولَّدة آليًا، وتحديد الضوابط النظامية الحاكمة لاعتمادها، والآثار القانونية المترتبة على توظيفها في غياب إطار تشريعي واضح ومنضبط.</w:t>
      </w:r>
    </w:p>
    <w:p w14:paraId="2A4B05FD"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تحديد أبعاد المسؤولية القانونية والمهنية</w:t>
      </w:r>
      <w:r>
        <w:rPr>
          <w:rFonts w:asciiTheme="majorBidi" w:hAnsiTheme="majorBidi" w:cstheme="majorBidi"/>
          <w:color w:val="000000" w:themeColor="text1"/>
          <w:sz w:val="24"/>
          <w:szCs w:val="24"/>
          <w:rtl/>
        </w:rPr>
        <w:t xml:space="preserve"> الناجمة عن اعتماد مكاتب المحاماة على تقنيات الذكاء الاصطناعي، ودراسة توزيع هذه المسؤولية بين مطوِّر النظام والمحامي المستخدِم وجهات الإشراف المهني، في ضوء الأنظمة السعودية المعمول بها.</w:t>
      </w:r>
    </w:p>
    <w:p w14:paraId="1B3178E1"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رصد واقع الاستخدام غير المنظَّم لتقنيات الذكاء الاصطناعي</w:t>
      </w:r>
      <w:r>
        <w:rPr>
          <w:rFonts w:asciiTheme="majorBidi" w:hAnsiTheme="majorBidi" w:cstheme="majorBidi"/>
          <w:color w:val="000000" w:themeColor="text1"/>
          <w:sz w:val="24"/>
          <w:szCs w:val="24"/>
          <w:rtl/>
        </w:rPr>
        <w:t xml:space="preserve"> في المجال القانوني السعودي، سواء من قِبل مكاتب غير مرخصة أو أفراد غير متخصصين، وتحليل التحديات التي تفرضها هذه الممارسات على مهنة المحاماة والبيئة التنظيمية.</w:t>
      </w:r>
    </w:p>
    <w:p w14:paraId="53F70B88" w14:textId="77777777" w:rsidR="00F914DE" w:rsidRDefault="00F914DE" w:rsidP="00F914DE">
      <w:pPr>
        <w:numPr>
          <w:ilvl w:val="0"/>
          <w:numId w:val="2"/>
        </w:numPr>
        <w:bidi/>
        <w:spacing w:after="200" w:line="276" w:lineRule="auto"/>
        <w:rPr>
          <w:rFonts w:asciiTheme="majorBidi" w:hAnsiTheme="majorBidi" w:cstheme="majorBidi"/>
          <w:sz w:val="24"/>
          <w:szCs w:val="24"/>
        </w:rPr>
      </w:pPr>
      <w:r>
        <w:rPr>
          <w:rFonts w:asciiTheme="majorBidi" w:hAnsiTheme="majorBidi" w:cstheme="majorBidi"/>
          <w:b/>
          <w:bCs/>
          <w:color w:val="000000" w:themeColor="text1"/>
          <w:sz w:val="24"/>
          <w:szCs w:val="24"/>
          <w:rtl/>
        </w:rPr>
        <w:t>اقتراح إطار تنظيمي وطني متكامل</w:t>
      </w:r>
      <w:r>
        <w:rPr>
          <w:rFonts w:asciiTheme="majorBidi" w:hAnsiTheme="majorBidi" w:cstheme="majorBidi"/>
          <w:color w:val="000000" w:themeColor="text1"/>
          <w:sz w:val="24"/>
          <w:szCs w:val="24"/>
          <w:rtl/>
        </w:rPr>
        <w:t xml:space="preserve"> لضبط توظيف تقنيات الذكاء الاصطناعي في مكاتب المحاماة، يُحقق التوازن بين الاستفادة من مزايا هذه التقنية وصون الحقوق المهنية والنظامية، بما ينسجم مع مستهدفات التحول العدلي الرقمي في إطار رؤية المملكة 2030.</w:t>
      </w:r>
    </w:p>
    <w:p w14:paraId="7B303501" w14:textId="77777777" w:rsidR="006363BC" w:rsidRPr="00BC5F38" w:rsidRDefault="006363BC" w:rsidP="00F914DE">
      <w:pPr>
        <w:rPr>
          <w:rFonts w:ascii="Traditional Arabic" w:hAnsi="Traditional Arabic" w:cs="Traditional Arabic"/>
          <w:b/>
          <w:bCs/>
          <w:sz w:val="24"/>
          <w:szCs w:val="24"/>
        </w:rPr>
      </w:pPr>
    </w:p>
    <w:p w14:paraId="036E6FF6" w14:textId="77777777" w:rsidR="006363BC" w:rsidRPr="00BC5F38" w:rsidRDefault="006363BC" w:rsidP="00F914DE">
      <w:pPr>
        <w:jc w:val="right"/>
        <w:rPr>
          <w:rFonts w:asciiTheme="majorBidi" w:hAnsiTheme="majorBidi" w:cstheme="majorBidi"/>
          <w:b/>
          <w:bCs/>
          <w:sz w:val="28"/>
          <w:szCs w:val="28"/>
        </w:rPr>
      </w:pPr>
      <w:r>
        <w:rPr>
          <w:rFonts w:asciiTheme="majorBidi" w:hAnsiTheme="majorBidi" w:cstheme="majorBidi"/>
          <w:b/>
          <w:bCs/>
          <w:sz w:val="28"/>
          <w:szCs w:val="28"/>
          <w:rtl/>
        </w:rPr>
        <w:t>تساؤلات الدراسة:</w:t>
      </w:r>
    </w:p>
    <w:p w14:paraId="3EC9E8F0" w14:textId="77777777" w:rsidR="006363BC" w:rsidRPr="00BC5F38" w:rsidRDefault="006363BC" w:rsidP="00F914DE">
      <w:pPr>
        <w:pStyle w:val="a6"/>
        <w:numPr>
          <w:ilvl w:val="0"/>
          <w:numId w:val="3"/>
        </w:numPr>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ما واقع استخدام تقنيات الذكاء الاصطناعي في مكاتب المحاماة السعودية المرخَّصة، ومدى كفاية الإطار النظامي القائم لتنظيم هذا الاستخدام وفق معايير الشمول والاتساق والقابلية للإنفاذ؟</w:t>
      </w:r>
    </w:p>
    <w:p w14:paraId="62FA1E58" w14:textId="77777777" w:rsidR="006363BC" w:rsidRPr="00BC5F38" w:rsidRDefault="006363BC" w:rsidP="00F914DE">
      <w:pPr>
        <w:pStyle w:val="a6"/>
        <w:numPr>
          <w:ilvl w:val="0"/>
          <w:numId w:val="3"/>
        </w:numPr>
        <w:spacing w:after="200" w:line="276" w:lineRule="auto"/>
        <w:jc w:val="both"/>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كيف يُكيَّف قانونيًا استخدام الذكاء الاصطناعي ومخرجاته في الخدمات القانونية، وما حدود المسؤولية المهنية والنظامية المترتبة عليه، والضمانات الكفيلة بحماية الخصوصية وسرية بيانات العملاء؟</w:t>
      </w:r>
    </w:p>
    <w:p w14:paraId="306B0A09" w14:textId="77777777" w:rsidR="006363BC" w:rsidRPr="00BC5F38" w:rsidRDefault="006363BC" w:rsidP="00F914DE">
      <w:pPr>
        <w:pStyle w:val="a6"/>
        <w:numPr>
          <w:ilvl w:val="0"/>
          <w:numId w:val="3"/>
        </w:numPr>
        <w:spacing w:after="200" w:line="276" w:lineRule="auto"/>
        <w:jc w:val="both"/>
        <w:rPr>
          <w:rFonts w:asciiTheme="majorBidi" w:hAnsiTheme="majorBidi" w:cstheme="majorBidi"/>
          <w:color w:val="000000" w:themeColor="text1"/>
          <w:sz w:val="24"/>
          <w:szCs w:val="24"/>
        </w:rPr>
      </w:pPr>
      <w:commentRangeStart w:id="0"/>
      <w:commentRangeStart w:id="1"/>
      <w:r>
        <w:rPr>
          <w:rFonts w:asciiTheme="majorBidi" w:hAnsiTheme="majorBidi" w:cstheme="majorBidi"/>
          <w:color w:val="000000" w:themeColor="text1"/>
          <w:sz w:val="24"/>
          <w:szCs w:val="24"/>
          <w:rtl/>
        </w:rPr>
        <w:t>ما أوجه القصور التشريعي في المنظومة النظامية السعودية مقارنةً بالتجارب المقارنة المختارة، وهي: التجربة الإماراتية، واللائحة الأوروبية للذكاء الاصطناعي (2024/1689)، ومسار التنظيم المهني الأمريكي</w:t>
      </w:r>
      <w:commentRangeEnd w:id="0"/>
      <w:r>
        <w:rPr>
          <w:rStyle w:val="af0"/>
          <w:rFonts w:asciiTheme="majorBidi" w:hAnsiTheme="majorBidi" w:cstheme="majorBidi"/>
          <w:color w:val="000000" w:themeColor="text1"/>
          <w:sz w:val="24"/>
          <w:szCs w:val="24"/>
          <w:rtl/>
        </w:rPr>
        <w:commentReference w:id="0"/>
      </w:r>
      <w:commentRangeEnd w:id="1"/>
      <w:r>
        <w:rPr>
          <w:rStyle w:val="af0"/>
          <w:rFonts w:asciiTheme="majorBidi" w:hAnsiTheme="majorBidi" w:cstheme="majorBidi"/>
          <w:color w:val="000000" w:themeColor="text1"/>
          <w:sz w:val="24"/>
          <w:szCs w:val="24"/>
          <w:rtl/>
        </w:rPr>
        <w:commentReference w:id="1"/>
      </w:r>
      <w:r>
        <w:rPr>
          <w:rFonts w:asciiTheme="majorBidi" w:hAnsiTheme="majorBidi" w:cstheme="majorBidi"/>
          <w:color w:val="000000" w:themeColor="text1"/>
          <w:sz w:val="24"/>
          <w:szCs w:val="24"/>
          <w:rtl/>
        </w:rPr>
        <w:t xml:space="preserve">، وما </w:t>
      </w:r>
      <w:r>
        <w:rPr>
          <w:rFonts w:asciiTheme="majorBidi" w:hAnsiTheme="majorBidi" w:cstheme="majorBidi"/>
          <w:color w:val="000000" w:themeColor="text1"/>
          <w:sz w:val="24"/>
          <w:szCs w:val="24"/>
          <w:rtl/>
        </w:rPr>
        <w:lastRenderedPageBreak/>
        <w:t>التصوّر التنظيمي المتكامل الذي يُوازن بين الكفاءة التقنية والحماية النظامية بما ينسجم مع مستهدفات التحول العدلي الرقمي في رؤية المملكة 2030؟</w:t>
      </w:r>
    </w:p>
    <w:p w14:paraId="0764D2D9" w14:textId="77777777" w:rsidR="00F91E80" w:rsidRPr="00BC5F38" w:rsidRDefault="00F91E80" w:rsidP="00F914DE">
      <w:pPr>
        <w:bidi/>
        <w:spacing w:after="200" w:line="276" w:lineRule="auto"/>
        <w:jc w:val="both"/>
        <w:rPr>
          <w:rFonts w:asciiTheme="majorBidi" w:hAnsiTheme="majorBidi" w:cstheme="majorBidi"/>
          <w:color w:val="000000" w:themeColor="text1"/>
          <w:sz w:val="24"/>
          <w:szCs w:val="24"/>
        </w:rPr>
      </w:pPr>
    </w:p>
    <w:p w14:paraId="41F974E5" w14:textId="77777777" w:rsidR="00CA064E" w:rsidRPr="00BC5F38" w:rsidRDefault="00575B64" w:rsidP="0024502C">
      <w:pPr>
        <w:jc w:val="right"/>
        <w:rPr>
          <w:rFonts w:asciiTheme="majorBidi" w:hAnsiTheme="majorBidi" w:cstheme="majorBidi"/>
          <w:b/>
          <w:bCs/>
          <w:sz w:val="28"/>
          <w:szCs w:val="28"/>
          <w:rtl/>
        </w:rPr>
      </w:pPr>
      <w:r>
        <w:rPr>
          <w:rFonts w:asciiTheme="majorBidi" w:hAnsiTheme="majorBidi" w:cstheme="majorBidi" w:hint="cs"/>
          <w:b/>
          <w:bCs/>
          <w:sz w:val="28"/>
          <w:szCs w:val="28"/>
          <w:rtl/>
        </w:rPr>
        <w:t>منهج الدراسة:</w:t>
      </w:r>
    </w:p>
    <w:p w14:paraId="1A065986" w14:textId="77777777" w:rsidR="00F91E80" w:rsidRPr="00BC5F38" w:rsidRDefault="00F91E80" w:rsidP="00F91E80">
      <w:pPr>
        <w:numPr>
          <w:ilvl w:val="0"/>
          <w:numId w:val="4"/>
        </w:numPr>
        <w:bidi/>
        <w:spacing w:after="200" w:line="276" w:lineRule="auto"/>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المنهج الوصفي التحليلي</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يقوم على تحليل النصوص النظامية السعودية ذات العلاقة—كنظام المحاماة، ونظام حماية البيانات الشخصية، ونظام المعاملات المدنية—بهدف الكشف عن مدى كفايتها في تنظيم استخدام تقنيات الذكاء الاصطناعي داخل مكاتب المحاماة، والوقوف على أوجه القصور والتداخل بين النصوص القائمة، فضلًا عن استعراض الأدبيات النظامية والفقهية والآراء القانونية ذات العلاقة من منظور تطبيقي، لبيان واقع استخدام الذكاء الاصطناعي داخل المهنة، وتحديد موقع المملكة من خارطة التنظيم القانوني المقارن.</w:t>
      </w:r>
    </w:p>
    <w:p w14:paraId="5A9B6AD9" w14:textId="77777777" w:rsidR="00F91E80" w:rsidRPr="00BC5F38" w:rsidRDefault="00F91E80" w:rsidP="0024502C">
      <w:pPr>
        <w:jc w:val="right"/>
        <w:rPr>
          <w:rFonts w:asciiTheme="majorBidi" w:hAnsiTheme="majorBidi" w:cstheme="majorBidi"/>
          <w:color w:val="000000" w:themeColor="text1"/>
          <w:sz w:val="24"/>
          <w:szCs w:val="24"/>
        </w:rPr>
      </w:pPr>
    </w:p>
    <w:p w14:paraId="175EE326" w14:textId="77777777" w:rsidR="00EF14BA" w:rsidRPr="00BC5F38" w:rsidRDefault="00F91E80" w:rsidP="00F91E80">
      <w:pPr>
        <w:jc w:val="right"/>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حدود الدراسة:</w:t>
      </w:r>
    </w:p>
    <w:p w14:paraId="2E3CDF5B" w14:textId="77777777" w:rsidR="00F91E80" w:rsidRPr="00BC5F38" w:rsidRDefault="00F91E80" w:rsidP="00F91E80">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 xml:space="preserve">تتحدد هذه الدراسة ضمن مجموعة من الحدود التي تضبط نطاقها العلمي والعملي، وذلك على </w:t>
      </w:r>
      <w:r>
        <w:rPr>
          <w:rFonts w:asciiTheme="majorBidi" w:hAnsiTheme="majorBidi" w:cstheme="majorBidi" w:hint="cs"/>
          <w:b/>
          <w:bCs/>
          <w:color w:val="000000" w:themeColor="text1"/>
          <w:sz w:val="24"/>
          <w:szCs w:val="24"/>
          <w:rtl/>
        </w:rPr>
        <w:t>النحو التالي:</w:t>
      </w:r>
    </w:p>
    <w:p w14:paraId="70516286" w14:textId="77777777" w:rsidR="00F91E80" w:rsidRPr="00BC5F38" w:rsidRDefault="00F91E80" w:rsidP="00F91E8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الحدود المكانية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تنحصر الدراسة في المملكة العربية السعودية، باعتبارها البيئة النظامية والمهنية المستهدفة، وموضع التحليل التنظيمي لأطر توظيف الذكاء الاصطناعي في تطوير خدمات مكاتب المحاماة</w:t>
      </w:r>
      <w:r>
        <w:rPr>
          <w:rFonts w:asciiTheme="majorBidi" w:hAnsiTheme="majorBidi" w:cstheme="majorBidi"/>
          <w:color w:val="000000" w:themeColor="text1"/>
          <w:sz w:val="24"/>
          <w:szCs w:val="24"/>
        </w:rPr>
        <w:t>. </w:t>
      </w:r>
    </w:p>
    <w:p w14:paraId="7D3D9EEB" w14:textId="50718B07" w:rsidR="00F91E80" w:rsidRPr="00BC5F38" w:rsidRDefault="00F91E80" w:rsidP="00F91E8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الحدود الزمانية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تشمل الدراسة الفترة الممتدة من عام 2020م حتى عام 202</w:t>
      </w:r>
      <w:r>
        <w:rPr>
          <w:rFonts w:asciiTheme="majorBidi" w:hAnsiTheme="majorBidi" w:cstheme="majorBidi" w:hint="cs"/>
          <w:color w:val="000000" w:themeColor="text1"/>
          <w:sz w:val="24"/>
          <w:szCs w:val="24"/>
          <w:rtl/>
        </w:rPr>
        <w:t>6</w:t>
      </w:r>
      <w:r>
        <w:rPr>
          <w:rFonts w:asciiTheme="majorBidi" w:hAnsiTheme="majorBidi" w:cstheme="majorBidi"/>
          <w:color w:val="000000" w:themeColor="text1"/>
          <w:sz w:val="24"/>
          <w:szCs w:val="24"/>
          <w:rtl/>
        </w:rPr>
        <w:t>م، وهي مرحلة شهدت تصاعدًا ملحوظًا في الاهتمام الرسمي بتقنين الذكاء الاصطناعي، وصدور عدد من الوثائق التنظيمية والمبادرات الرقمية ذات الصلة بموضوع الدراسة</w:t>
      </w:r>
      <w:r>
        <w:rPr>
          <w:rFonts w:asciiTheme="majorBidi" w:hAnsiTheme="majorBidi" w:cstheme="majorBidi"/>
          <w:color w:val="000000" w:themeColor="text1"/>
          <w:sz w:val="24"/>
          <w:szCs w:val="24"/>
        </w:rPr>
        <w:t>. </w:t>
      </w:r>
    </w:p>
    <w:p w14:paraId="0A84D6C9" w14:textId="77777777" w:rsidR="00292EA9" w:rsidRPr="00BC5F38" w:rsidRDefault="00F91E80" w:rsidP="00292EA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الحدود البشرية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تقتصر الدراسة على المحامين النظاميين والممارسين داخل مكاتب المحاماة، إلى جانب الجهات التنظيمية ذات العلاقة، دون التوسع إلى القضاة أو الأفراد خارج الإطار المهني القانوني</w:t>
      </w:r>
      <w:r>
        <w:rPr>
          <w:rFonts w:asciiTheme="majorBidi" w:hAnsiTheme="majorBidi" w:cstheme="majorBidi" w:hint="cs"/>
          <w:color w:val="000000" w:themeColor="text1"/>
          <w:sz w:val="24"/>
          <w:szCs w:val="24"/>
          <w:rtl/>
        </w:rPr>
        <w:t xml:space="preserve">. </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w:t>
      </w:r>
    </w:p>
    <w:p w14:paraId="25308C9A" w14:textId="77777777" w:rsidR="00292EA9" w:rsidRPr="00BC5F38" w:rsidRDefault="00292EA9" w:rsidP="00292EA9">
      <w:pPr>
        <w:jc w:val="right"/>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الدراسات المرجعية السابقة :</w:t>
      </w:r>
    </w:p>
    <w:p w14:paraId="528EB088"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sz w:val="24"/>
          <w:szCs w:val="24"/>
          <w:rtl/>
        </w:rPr>
        <w:t>شهدت البيئة الأكاديمية السعودية والعربية اهتمامًا متناميًا بموضوع الذكاء الاصطناعي في المجال القانوني، إلا أن معظم تلك الدراسات تركّزت في الجوانب العامة كالمسؤولية والتكييف الفقهي، دون أن تمتد بعمق إلى الإطار التنظيمي والمهني لمكاتب المحاماة. وفيما يلي عرض لأبرز الدراسات المرجعية ذات الصلة، مع تحليل نقدي لمجالات تقاطعها مع هذه الدراسة</w:t>
      </w:r>
      <w:r>
        <w:rPr>
          <w:rFonts w:asciiTheme="majorBidi" w:hAnsiTheme="majorBidi" w:cstheme="majorBidi"/>
          <w:sz w:val="24"/>
          <w:szCs w:val="24"/>
        </w:rPr>
        <w:t>:</w:t>
      </w:r>
    </w:p>
    <w:p w14:paraId="47174146"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t>1</w:t>
      </w:r>
      <w:r>
        <w:rPr>
          <w:rFonts w:asciiTheme="majorBidi" w:hAnsiTheme="majorBidi" w:cstheme="majorBidi"/>
          <w:b/>
          <w:bCs/>
          <w:sz w:val="24"/>
          <w:szCs w:val="24"/>
          <w:rtl/>
        </w:rPr>
        <w:t>- خليل، محمد سعيد</w:t>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i/>
          <w:iCs/>
          <w:sz w:val="24"/>
          <w:szCs w:val="24"/>
          <w:rtl/>
        </w:rPr>
        <w:t>المسؤولية القانونية عن أفعال الذكاء الاصطناعي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هدفت إلى تحليل الأبعاد القانونية للمسؤولية في حال استخدام أنظمة الذكاء الاصطناعي، وبيّنت أن غياب الشخص الطبيعي أو الاعتباري يعيق تحديد المسؤولية القانونية بدقة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تركز الدراسة الحالية على ممارسات مهنية فعلية، كتوقيع العقود القانونية، وليس على الجوانب النظرية للمسؤولية فقط</w:t>
      </w:r>
      <w:r>
        <w:rPr>
          <w:rFonts w:asciiTheme="majorBidi" w:hAnsiTheme="majorBidi" w:cstheme="majorBidi"/>
          <w:sz w:val="24"/>
          <w:szCs w:val="24"/>
        </w:rPr>
        <w:t>.</w:t>
      </w:r>
    </w:p>
    <w:p w14:paraId="622FFB89"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t>2</w:t>
      </w:r>
      <w:r>
        <w:rPr>
          <w:rFonts w:asciiTheme="majorBidi" w:hAnsiTheme="majorBidi" w:cstheme="majorBidi"/>
          <w:b/>
          <w:bCs/>
          <w:sz w:val="24"/>
          <w:szCs w:val="24"/>
          <w:rtl/>
        </w:rPr>
        <w:t>-المالكي، خالد</w:t>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i/>
          <w:iCs/>
          <w:sz w:val="24"/>
          <w:szCs w:val="24"/>
          <w:rtl/>
        </w:rPr>
        <w:t>المسؤولية المدنية عن فعل الذكاء الاصطناعي في النظام السعودي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تناولت الدراسة العلاقة بين الفقه الإسلامي والنظام السعودي بشأن المسؤولية المدنية الناشئة عن الأضرار </w:t>
      </w:r>
      <w:r>
        <w:rPr>
          <w:rFonts w:asciiTheme="majorBidi" w:hAnsiTheme="majorBidi" w:cstheme="majorBidi"/>
          <w:sz w:val="24"/>
          <w:szCs w:val="24"/>
          <w:rtl/>
        </w:rPr>
        <w:lastRenderedPageBreak/>
        <w:t>التقنية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تعتمد الرسالة الحالية نتائج هذه الدراسة كأساس لتصور تنظيمي مهني أكثر تخصصًا بمهنة المحاماة</w:t>
      </w:r>
      <w:r>
        <w:rPr>
          <w:rFonts w:asciiTheme="majorBidi" w:hAnsiTheme="majorBidi" w:cstheme="majorBidi"/>
          <w:sz w:val="24"/>
          <w:szCs w:val="24"/>
        </w:rPr>
        <w:t>.</w:t>
      </w:r>
    </w:p>
    <w:p w14:paraId="65D1A031" w14:textId="77777777"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t xml:space="preserve">-3 </w:t>
      </w:r>
      <w:r>
        <w:rPr>
          <w:rFonts w:asciiTheme="majorBidi" w:hAnsiTheme="majorBidi" w:cstheme="majorBidi"/>
          <w:b/>
          <w:bCs/>
          <w:sz w:val="24"/>
          <w:szCs w:val="24"/>
          <w:rtl/>
        </w:rPr>
        <w:t>الغنامي، نايف بن ناشي</w:t>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i/>
          <w:iCs/>
          <w:sz w:val="24"/>
          <w:szCs w:val="24"/>
          <w:rtl/>
        </w:rPr>
        <w:t>الضوابط القانونية للذكاء الاصطناعي في إبرام المعاملات القانونية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ركزت على الضوابط النظامية للعقود الذكية والتوقيع الإلكتروني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توسّع الرسالة الحالية نطاق التحليل ليشمل الخدمات القانونية في مكاتب المحاماة، وليس العقود فقط</w:t>
      </w:r>
      <w:r>
        <w:rPr>
          <w:rFonts w:asciiTheme="majorBidi" w:hAnsiTheme="majorBidi" w:cstheme="majorBidi"/>
          <w:sz w:val="24"/>
          <w:szCs w:val="24"/>
        </w:rPr>
        <w:t>.</w:t>
      </w:r>
    </w:p>
    <w:p w14:paraId="35FB6772" w14:textId="6EC2C68F" w:rsidR="00292EA9" w:rsidRPr="00BC5F38" w:rsidRDefault="00292EA9" w:rsidP="00292EA9">
      <w:pPr>
        <w:bidi/>
        <w:spacing w:after="200" w:line="276" w:lineRule="auto"/>
        <w:rPr>
          <w:rFonts w:asciiTheme="majorBidi" w:hAnsiTheme="majorBidi" w:cstheme="majorBidi"/>
          <w:sz w:val="24"/>
          <w:szCs w:val="24"/>
        </w:rPr>
      </w:pPr>
      <w:r>
        <w:rPr>
          <w:rFonts w:asciiTheme="majorBidi" w:hAnsiTheme="majorBidi" w:cstheme="majorBidi"/>
          <w:b/>
          <w:bCs/>
          <w:sz w:val="24"/>
          <w:szCs w:val="24"/>
        </w:rPr>
        <w:t>4</w:t>
      </w:r>
      <w:r>
        <w:rPr>
          <w:rFonts w:asciiTheme="majorBidi" w:hAnsiTheme="majorBidi" w:cstheme="majorBidi"/>
          <w:b/>
          <w:bCs/>
          <w:sz w:val="24"/>
          <w:szCs w:val="24"/>
          <w:rtl/>
        </w:rPr>
        <w:t>-العلي، عبدالعزيز عبدالناصر</w:t>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i/>
          <w:iCs/>
          <w:sz w:val="24"/>
          <w:szCs w:val="24"/>
          <w:rtl/>
        </w:rPr>
        <w:t>الذكاء الاصطناعي ودوره في إبرام العقود التجارية الذكية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ركزت على الحجية النظامية للعقود الذكية وأوصت بإطار قانوني شامل</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hint="cs"/>
          <w:sz w:val="24"/>
          <w:szCs w:val="24"/>
          <w:rtl/>
        </w:rPr>
        <w:t>شرحت</w:t>
      </w:r>
      <w:r>
        <w:rPr>
          <w:rFonts w:asciiTheme="majorBidi" w:hAnsiTheme="majorBidi" w:cstheme="majorBidi"/>
          <w:sz w:val="24"/>
          <w:szCs w:val="24"/>
          <w:rtl/>
        </w:rPr>
        <w:t xml:space="preserve"> العقود الذكية (Smart Contracts — تقنية مرتبطة بالبلوكشين، تختلف عن الذكاء الاصطناعي وإن تشابكا أحيانًا) أحد مخرجات أدوات الذكاء الاصطناعي التي تتناولها الرسالة ضمن تصور شامل يشمل البنية المؤسسية والتنظيمية</w:t>
      </w:r>
      <w:r>
        <w:rPr>
          <w:rFonts w:asciiTheme="majorBidi" w:hAnsiTheme="majorBidi" w:cstheme="majorBidi"/>
          <w:sz w:val="24"/>
          <w:szCs w:val="24"/>
        </w:rPr>
        <w:t>.</w:t>
      </w:r>
    </w:p>
    <w:p w14:paraId="08BC4C9F" w14:textId="0BA59EC5" w:rsidR="00292EA9" w:rsidRDefault="009A44B7" w:rsidP="00292EA9">
      <w:pPr>
        <w:jc w:val="both"/>
        <w:rPr>
          <w:rFonts w:asciiTheme="majorBidi" w:hAnsiTheme="majorBidi" w:cstheme="majorBidi"/>
          <w:sz w:val="24"/>
          <w:szCs w:val="24"/>
          <w:rtl/>
        </w:rPr>
      </w:pPr>
      <w:r>
        <w:rPr>
          <w:rFonts w:asciiTheme="majorBidi" w:hAnsiTheme="majorBidi" w:cstheme="majorBidi" w:hint="cs"/>
          <w:sz w:val="24"/>
          <w:szCs w:val="24"/>
          <w:rtl/>
        </w:rPr>
        <w:t xml:space="preserve">كما بينت ماهية </w:t>
      </w:r>
      <w:r>
        <w:rPr>
          <w:rFonts w:asciiTheme="majorBidi" w:hAnsiTheme="majorBidi" w:cstheme="majorBidi"/>
          <w:sz w:val="24"/>
          <w:szCs w:val="24"/>
          <w:rtl/>
        </w:rPr>
        <w:t xml:space="preserve"> العقود الذكية — وهي برامج تنفيذية ذاتية مشفّرة على شبكة البلوكشين تختلف جوهريًا عن أنظمة الذكاء الاصطناعي — أحد أبرز التحديات القانونية للمحامي السعودي، إذ تفتقر إلى إطار تنظيمي صريح يحدد طبيعتها القانونية في ظل النظام الحالي. وإن كان الذكاء الاصطناعي وتقنية البلوكشين قد يتشابكان في بعض التطبيقات المتقدمة، فإن العقد الذكي في جوهره لا يعتمد على نماذج لغوية أو تعلم ذاتي، بل على رمز برمجي ثابت مُبرمَج مسبقًا.</w:t>
      </w:r>
      <w:r>
        <w:rPr>
          <w:rtl/>
        </w:rPr>
        <w:footnoteReference w:id="4"/>
      </w:r>
    </w:p>
    <w:p w14:paraId="75C91ECE" w14:textId="197AD378" w:rsidR="00292EA9" w:rsidRPr="009A44B7" w:rsidRDefault="00292EA9" w:rsidP="009A44B7">
      <w:pPr>
        <w:bidi/>
        <w:spacing w:after="200" w:line="276" w:lineRule="auto"/>
        <w:rPr>
          <w:rFonts w:asciiTheme="majorBidi" w:hAnsiTheme="majorBidi" w:cstheme="majorBidi"/>
          <w:sz w:val="24"/>
          <w:szCs w:val="24"/>
          <w:rtl/>
        </w:rPr>
      </w:pPr>
      <w:r>
        <w:rPr>
          <w:rFonts w:asciiTheme="majorBidi" w:hAnsiTheme="majorBidi" w:cstheme="majorBidi"/>
          <w:b/>
          <w:bCs/>
          <w:sz w:val="24"/>
          <w:szCs w:val="24"/>
        </w:rPr>
        <w:t>5</w:t>
      </w:r>
      <w:r>
        <w:rPr>
          <w:rFonts w:asciiTheme="majorBidi" w:hAnsiTheme="majorBidi" w:cstheme="majorBidi"/>
          <w:b/>
          <w:bCs/>
          <w:sz w:val="24"/>
          <w:szCs w:val="24"/>
          <w:rtl/>
        </w:rPr>
        <w:t>-رجب، ياسر محمد عبدالسلام</w:t>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i/>
          <w:iCs/>
          <w:sz w:val="24"/>
          <w:szCs w:val="24"/>
          <w:rtl/>
        </w:rPr>
        <w:t>دور الدولة في تأطير أخلاقيات الذكاء الاصطناعي – دراسة مقارنة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درست التجارب الدولية في وضع السياسات الأخلاقية، مع التركيز على العلاقة بين التنظيم والسياسات العامة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تميّز هذه الدراسة</w:t>
      </w:r>
      <w:r>
        <w:rPr>
          <w:rFonts w:asciiTheme="majorBidi" w:hAnsiTheme="majorBidi" w:cstheme="majorBidi"/>
          <w:b/>
          <w:bCs/>
          <w:sz w:val="24"/>
          <w:szCs w:val="24"/>
        </w:rPr>
        <w:t>:</w:t>
      </w:r>
      <w:r>
        <w:rPr>
          <w:rFonts w:asciiTheme="majorBidi" w:hAnsiTheme="majorBidi" w:cstheme="majorBidi"/>
          <w:sz w:val="24"/>
          <w:szCs w:val="24"/>
        </w:rPr>
        <w:t xml:space="preserve"> </w:t>
      </w:r>
      <w:r>
        <w:rPr>
          <w:rFonts w:asciiTheme="majorBidi" w:hAnsiTheme="majorBidi" w:cstheme="majorBidi"/>
          <w:sz w:val="24"/>
          <w:szCs w:val="24"/>
          <w:rtl/>
        </w:rPr>
        <w:t>بينما تركّز الدراسة الحالية على التنظيم القانوني المباشر والتشريعي في المجال المهني، اقتصرت الدراسة السابقة على البعد الأخلاقي العام</w:t>
      </w:r>
      <w:r>
        <w:rPr>
          <w:rFonts w:asciiTheme="majorBidi" w:hAnsiTheme="majorBidi" w:cstheme="majorBidi"/>
          <w:sz w:val="24"/>
          <w:szCs w:val="24"/>
        </w:rPr>
        <w:t>.</w:t>
      </w:r>
    </w:p>
    <w:p w14:paraId="3FAFC1F7" w14:textId="4D154678" w:rsidR="00292EA9" w:rsidRPr="00BC5F38" w:rsidRDefault="009A44B7" w:rsidP="00292EA9">
      <w:pPr>
        <w:bidi/>
        <w:spacing w:after="200" w:line="276" w:lineRule="auto"/>
        <w:rPr>
          <w:rFonts w:asciiTheme="majorBidi" w:hAnsiTheme="majorBidi" w:cstheme="majorBidi"/>
          <w:sz w:val="24"/>
          <w:szCs w:val="24"/>
        </w:rPr>
      </w:pPr>
      <w:r>
        <w:rPr>
          <w:rFonts w:asciiTheme="majorBidi" w:hAnsiTheme="majorBidi" w:cstheme="majorBidi" w:hint="cs"/>
          <w:b/>
          <w:bCs/>
          <w:sz w:val="24"/>
          <w:szCs w:val="24"/>
          <w:rtl/>
        </w:rPr>
        <w:t>ماتميزت به الدراسة الحالية</w:t>
      </w:r>
      <w:r>
        <w:rPr>
          <w:rFonts w:asciiTheme="majorBidi" w:hAnsiTheme="majorBidi" w:cstheme="majorBidi" w:hint="cs"/>
          <w:sz w:val="24"/>
          <w:szCs w:val="24"/>
          <w:rtl/>
        </w:rPr>
        <w:t xml:space="preserve"> :</w:t>
      </w:r>
      <w:r>
        <w:rPr>
          <w:rFonts w:asciiTheme="majorBidi" w:hAnsiTheme="majorBidi" w:cstheme="majorBidi"/>
          <w:sz w:val="24"/>
          <w:szCs w:val="24"/>
          <w:rtl/>
        </w:rPr>
        <w:t>على الرغم من القيمة العلمية لكل دراسة من الدراسات السابقة، إلا أن أياً منها لم تتناول بشكل مباشر</w:t>
      </w:r>
      <w:r>
        <w:rPr>
          <w:rFonts w:asciiTheme="majorBidi" w:hAnsiTheme="majorBidi" w:cstheme="majorBidi"/>
          <w:sz w:val="24"/>
          <w:szCs w:val="24"/>
        </w:rPr>
        <w:t>:</w:t>
      </w:r>
    </w:p>
    <w:p w14:paraId="54B107C2" w14:textId="77777777" w:rsidR="00292EA9" w:rsidRPr="00BC5F38" w:rsidRDefault="00292EA9" w:rsidP="00292EA9">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واقع الممارسة المهنية في مكاتب المحاماة السعودية</w:t>
      </w:r>
      <w:r>
        <w:rPr>
          <w:rFonts w:asciiTheme="majorBidi" w:hAnsiTheme="majorBidi" w:cstheme="majorBidi"/>
          <w:sz w:val="24"/>
          <w:szCs w:val="24"/>
        </w:rPr>
        <w:t>.</w:t>
      </w:r>
    </w:p>
    <w:p w14:paraId="26836DF4" w14:textId="77777777" w:rsidR="00292EA9" w:rsidRPr="00BC5F38" w:rsidRDefault="00292EA9" w:rsidP="00292EA9">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مسؤولية المحامي النظامية عند استخدام أدوات الذكاء الاصطناعي</w:t>
      </w:r>
      <w:r>
        <w:rPr>
          <w:rFonts w:asciiTheme="majorBidi" w:hAnsiTheme="majorBidi" w:cstheme="majorBidi"/>
          <w:sz w:val="24"/>
          <w:szCs w:val="24"/>
        </w:rPr>
        <w:t>.</w:t>
      </w:r>
    </w:p>
    <w:p w14:paraId="1B1DE044" w14:textId="77777777" w:rsidR="00292EA9" w:rsidRPr="00BC5F38" w:rsidRDefault="00292EA9" w:rsidP="00292EA9">
      <w:pPr>
        <w:numPr>
          <w:ilvl w:val="0"/>
          <w:numId w:val="5"/>
        </w:numPr>
        <w:bidi/>
        <w:spacing w:after="200" w:line="276" w:lineRule="auto"/>
        <w:rPr>
          <w:rFonts w:asciiTheme="majorBidi" w:hAnsiTheme="majorBidi" w:cstheme="majorBidi"/>
          <w:sz w:val="24"/>
          <w:szCs w:val="24"/>
        </w:rPr>
      </w:pPr>
      <w:r>
        <w:rPr>
          <w:rFonts w:asciiTheme="majorBidi" w:hAnsiTheme="majorBidi" w:cstheme="majorBidi"/>
          <w:sz w:val="24"/>
          <w:szCs w:val="24"/>
          <w:rtl/>
        </w:rPr>
        <w:t>تصور تشريعي متكامل يتضمن الترخيص، والرقابة، وتحديد الأدوار القانونية للأدوات الذكية</w:t>
      </w:r>
      <w:r>
        <w:rPr>
          <w:rFonts w:asciiTheme="majorBidi" w:hAnsiTheme="majorBidi" w:cstheme="majorBidi"/>
          <w:sz w:val="24"/>
          <w:szCs w:val="24"/>
        </w:rPr>
        <w:t>.</w:t>
      </w:r>
    </w:p>
    <w:p w14:paraId="64315423" w14:textId="77777777" w:rsidR="00292EA9" w:rsidRPr="00BC5F38" w:rsidRDefault="00292EA9" w:rsidP="00292EA9">
      <w:pPr>
        <w:bidi/>
        <w:spacing w:after="200" w:line="276" w:lineRule="auto"/>
        <w:rPr>
          <w:rFonts w:asciiTheme="majorBidi" w:hAnsiTheme="majorBidi" w:cstheme="majorBidi"/>
          <w:sz w:val="24"/>
          <w:szCs w:val="24"/>
          <w:rtl/>
        </w:rPr>
      </w:pPr>
      <w:r>
        <w:rPr>
          <w:rFonts w:asciiTheme="majorBidi" w:hAnsiTheme="majorBidi" w:cstheme="majorBidi"/>
          <w:sz w:val="24"/>
          <w:szCs w:val="24"/>
          <w:rtl/>
        </w:rPr>
        <w:t>ومن هنا، تنبع أهمية هذه الرسالة في تقديم معالجة منهجية تحليلية، قائمة على احتياجات واقعية لمهنة المحاماة، تسعى لسد فراغ تنظيمي لا تزال الدراسات السابقة بعيدة عن تغطيته بالكامل</w:t>
      </w:r>
      <w:r>
        <w:rPr>
          <w:rFonts w:asciiTheme="majorBidi" w:hAnsiTheme="majorBidi" w:cstheme="majorBidi"/>
          <w:sz w:val="24"/>
          <w:szCs w:val="24"/>
        </w:rPr>
        <w:t>.</w:t>
      </w:r>
    </w:p>
    <w:p w14:paraId="5375AED6" w14:textId="77777777" w:rsidR="00292EA9" w:rsidRPr="00BC5F38" w:rsidRDefault="00292EA9" w:rsidP="00292EA9">
      <w:pPr>
        <w:bidi/>
        <w:spacing w:after="200" w:line="276" w:lineRule="auto"/>
        <w:rPr>
          <w:rFonts w:asciiTheme="majorBidi" w:hAnsiTheme="majorBidi" w:cstheme="majorBidi"/>
          <w:sz w:val="24"/>
          <w:szCs w:val="24"/>
          <w:rtl/>
        </w:rPr>
      </w:pPr>
    </w:p>
    <w:p w14:paraId="0A653019" w14:textId="64C125B3" w:rsidR="008C5A8E" w:rsidRPr="00BC5F38" w:rsidRDefault="008C5A8E" w:rsidP="00292EA9">
      <w:pPr>
        <w:jc w:val="right"/>
        <w:rPr>
          <w:rFonts w:asciiTheme="majorBidi" w:hAnsiTheme="majorBidi" w:cstheme="majorBidi"/>
          <w:sz w:val="24"/>
          <w:szCs w:val="24"/>
          <w:rtl/>
        </w:rPr>
      </w:pPr>
    </w:p>
    <w:p w14:paraId="3A2C0EA2" w14:textId="77777777" w:rsidR="006713B6" w:rsidRPr="00BC5F38" w:rsidRDefault="006713B6" w:rsidP="00ED18A5">
      <w:pPr>
        <w:rPr>
          <w:rFonts w:asciiTheme="majorBidi" w:hAnsiTheme="majorBidi" w:cstheme="majorBidi"/>
          <w:b/>
          <w:bCs/>
          <w:color w:val="000000" w:themeColor="text1"/>
          <w:sz w:val="24"/>
          <w:szCs w:val="24"/>
        </w:rPr>
      </w:pPr>
    </w:p>
    <w:p w14:paraId="495296F6" w14:textId="3571F2C1" w:rsidR="00B102AB" w:rsidRPr="00D41CB7" w:rsidRDefault="00271741" w:rsidP="00830A22">
      <w:pPr>
        <w:jc w:val="right"/>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tl/>
        </w:rPr>
        <w:t>خطة الدراسة:</w:t>
      </w:r>
    </w:p>
    <w:p w14:paraId="506E54BD" w14:textId="169008B2" w:rsidR="001E4959" w:rsidRPr="00BC5F38" w:rsidRDefault="009E2938" w:rsidP="00065298">
      <w:pPr>
        <w:jc w:val="right"/>
        <w:rPr>
          <w:rFonts w:asciiTheme="majorBidi" w:hAnsiTheme="majorBidi" w:cstheme="majorBidi"/>
          <w:color w:val="000000" w:themeColor="text1"/>
          <w:sz w:val="24"/>
          <w:szCs w:val="24"/>
          <w:rtl/>
        </w:rPr>
      </w:pPr>
      <w:r>
        <w:rPr>
          <w:rFonts w:asciiTheme="majorBidi" w:hAnsiTheme="majorBidi" w:cstheme="majorBidi" w:hint="cs"/>
          <w:b/>
          <w:bCs/>
          <w:color w:val="000000" w:themeColor="text1"/>
          <w:sz w:val="24"/>
          <w:szCs w:val="24"/>
          <w:rtl/>
        </w:rPr>
        <w:lastRenderedPageBreak/>
        <w:t>المقدمة :</w:t>
      </w:r>
      <w:r>
        <w:rPr>
          <w:rFonts w:asciiTheme="majorBidi" w:hAnsiTheme="majorBidi" w:cstheme="majorBidi" w:hint="cs"/>
          <w:color w:val="000000" w:themeColor="text1"/>
          <w:sz w:val="24"/>
          <w:szCs w:val="24"/>
          <w:rtl/>
        </w:rPr>
        <w:t xml:space="preserve">  تشمل </w:t>
      </w:r>
      <w:r>
        <w:rPr>
          <w:rFonts w:asciiTheme="majorBidi" w:hAnsiTheme="majorBidi" w:cstheme="majorBidi"/>
          <w:color w:val="000000" w:themeColor="text1"/>
          <w:sz w:val="24"/>
          <w:szCs w:val="24"/>
          <w:rtl/>
        </w:rPr>
        <w:t xml:space="preserve">مقدمة الدراسة، مشكلة الدراسة، أهمية الدراسة، أهداف الدراسة، </w:t>
      </w:r>
      <w:r>
        <w:rPr>
          <w:rFonts w:asciiTheme="majorBidi" w:hAnsiTheme="majorBidi" w:cstheme="majorBidi" w:hint="cs"/>
          <w:color w:val="000000" w:themeColor="text1"/>
          <w:sz w:val="24"/>
          <w:szCs w:val="24"/>
          <w:rtl/>
        </w:rPr>
        <w:t>تساؤلات الدراسة</w:t>
      </w:r>
      <w:r>
        <w:rPr>
          <w:rFonts w:asciiTheme="majorBidi" w:hAnsiTheme="majorBidi" w:cstheme="majorBidi"/>
          <w:color w:val="000000" w:themeColor="text1"/>
          <w:sz w:val="24"/>
          <w:szCs w:val="24"/>
          <w:rtl/>
        </w:rPr>
        <w:t xml:space="preserve">، منهج الدراسة، حدود الدراسة، </w:t>
      </w:r>
      <w:r>
        <w:rPr>
          <w:rFonts w:asciiTheme="majorBidi" w:hAnsiTheme="majorBidi" w:cstheme="majorBidi" w:hint="cs"/>
          <w:color w:val="000000" w:themeColor="text1"/>
          <w:sz w:val="24"/>
          <w:szCs w:val="24"/>
          <w:rtl/>
        </w:rPr>
        <w:t>الدراسات المرجعية السابقة</w:t>
      </w:r>
      <w:r>
        <w:rPr>
          <w:rFonts w:asciiTheme="majorBidi" w:hAnsiTheme="majorBidi" w:cstheme="majorBidi"/>
          <w:color w:val="000000" w:themeColor="text1"/>
          <w:sz w:val="24"/>
          <w:szCs w:val="24"/>
          <w:rtl/>
        </w:rPr>
        <w:t xml:space="preserve"> ، خطة الدراسة</w:t>
      </w:r>
      <w:r>
        <w:rPr>
          <w:rFonts w:asciiTheme="majorBidi" w:hAnsiTheme="majorBidi" w:cstheme="majorBidi" w:hint="cs"/>
          <w:color w:val="000000" w:themeColor="text1"/>
          <w:sz w:val="24"/>
          <w:szCs w:val="24"/>
          <w:rtl/>
        </w:rPr>
        <w:t>.</w:t>
      </w:r>
    </w:p>
    <w:p w14:paraId="33B5AEB4" w14:textId="77777777" w:rsidR="00454BE9" w:rsidRPr="00BC5F38" w:rsidRDefault="00454BE9" w:rsidP="00C3572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الفصل الأول: </w:t>
      </w:r>
      <w:r>
        <w:rPr>
          <w:rFonts w:hint="cs"/>
          <w:b/>
          <w:bCs/>
          <w:rtl/>
        </w:rPr>
        <w:t>النظام القانوني السعودي لاستخدام الذكاء الاصطناعي في مهنة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xml:space="preserve"> التنظيم </w:t>
      </w:r>
      <w:r>
        <w:rPr>
          <w:rFonts w:asciiTheme="majorBidi" w:hAnsiTheme="majorBidi" w:cstheme="majorBidi" w:hint="cs"/>
          <w:color w:val="000000" w:themeColor="text1"/>
          <w:sz w:val="24"/>
          <w:szCs w:val="24"/>
          <w:rtl/>
        </w:rPr>
        <w:t>التشريعي</w:t>
      </w:r>
      <w:r>
        <w:rPr>
          <w:rFonts w:asciiTheme="majorBidi" w:hAnsiTheme="majorBidi" w:cstheme="majorBidi"/>
          <w:color w:val="000000" w:themeColor="text1"/>
          <w:sz w:val="24"/>
          <w:szCs w:val="24"/>
          <w:rtl/>
        </w:rPr>
        <w:t xml:space="preserve"> لمهنة المحاماة وتقنيات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نظام المحاماة واللائحة التنفيذية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دور الأنظمة المكملة (حماية البيانات، الإثبات، الإجراءات</w:t>
      </w:r>
      <w:r>
        <w:rPr>
          <w:rFonts w:asciiTheme="majorBidi" w:hAnsiTheme="majorBidi" w:cstheme="majorBidi" w:hint="cs"/>
          <w:color w:val="000000" w:themeColor="text1"/>
          <w:sz w:val="24"/>
          <w:szCs w:val="24"/>
          <w:rtl/>
        </w:rPr>
        <w:t>...الخ</w:t>
      </w:r>
      <w:r>
        <w:rPr>
          <w:rFonts w:asciiTheme="majorBidi" w:hAnsiTheme="majorBidi" w:cstheme="majorBidi"/>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الثاني: </w:t>
      </w:r>
      <w:r>
        <w:rPr>
          <w:rFonts w:asciiTheme="majorBidi" w:hAnsiTheme="majorBidi" w:cstheme="majorBidi"/>
          <w:color w:val="000000" w:themeColor="text1"/>
          <w:sz w:val="24"/>
          <w:szCs w:val="24"/>
          <w:rtl/>
        </w:rPr>
        <w:t>تحليل الفجوات في التنظيم الحالي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قصور النصوص التنظيمية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آثار الغياب التنظيمي للذكاء الاصطناعي على ممارسة مهنة المحاماة</w:t>
      </w:r>
    </w:p>
    <w:p w14:paraId="33EBA79E" w14:textId="4E221557" w:rsidR="00454BE9" w:rsidRPr="005F338A" w:rsidRDefault="005F338A" w:rsidP="005F338A">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الفصل الثاني :</w:t>
      </w:r>
      <w:r>
        <w:rPr>
          <w:rFonts w:asciiTheme="majorBidi" w:hAnsiTheme="majorBidi" w:cstheme="majorBidi"/>
          <w:b/>
          <w:bCs/>
          <w:color w:val="000000" w:themeColor="text1"/>
          <w:sz w:val="24"/>
          <w:szCs w:val="24"/>
          <w:rtl/>
        </w:rPr>
        <w:t>التكييف القانوني والفقهي لمخرجات الذكاء الاصطناعي والمسؤولية النظامية والمهنية للمحامي عند توظيفها في مكاتب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التكييف النظامي والفقهي للمخرجات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حجية العقود والتقارير القانونية المنتجة آليًا</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مشروعية استخدامها أمام الجهات القضائية مع الإشارة إلى بعض التجارب الدولية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الثاني:</w:t>
      </w:r>
      <w:r>
        <w:rPr>
          <w:rFonts w:asciiTheme="majorBidi" w:hAnsiTheme="majorBidi" w:cstheme="majorBidi"/>
          <w:color w:val="000000" w:themeColor="text1"/>
          <w:sz w:val="24"/>
          <w:szCs w:val="24"/>
          <w:rtl/>
        </w:rPr>
        <w:t xml:space="preserve"> </w:t>
      </w:r>
      <w:r>
        <w:rPr>
          <w:rFonts w:asciiTheme="majorBidi" w:hAnsiTheme="majorBidi"/>
          <w:b/>
          <w:bCs/>
          <w:color w:val="000000" w:themeColor="text1"/>
          <w:sz w:val="24"/>
          <w:szCs w:val="24"/>
          <w:rtl/>
        </w:rPr>
        <w:t>المسؤولية القانونية والمهنية عن استخدام تقنيات الذكاء الاصطناعي في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المسؤولية المدنية والمهنية للمحامي عند استخدام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مسؤولية المطور، المستخدم، ومقدم التقنية مع مقارنة مختصرة بالتجربة الأوروبية</w:t>
      </w:r>
    </w:p>
    <w:p w14:paraId="7E879775" w14:textId="77777777" w:rsidR="00454BE9" w:rsidRPr="00BC5F38" w:rsidRDefault="00454BE9" w:rsidP="00454BE9">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الفصل الثالث: واقع وتحديات استخدام الذكاء الاصطناعي في مكاتب المحاماة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الأول: </w:t>
      </w:r>
      <w:r>
        <w:rPr>
          <w:rFonts w:asciiTheme="majorBidi" w:hAnsiTheme="majorBidi" w:cstheme="majorBidi"/>
          <w:color w:val="000000" w:themeColor="text1"/>
          <w:sz w:val="24"/>
          <w:szCs w:val="24"/>
          <w:rtl/>
        </w:rPr>
        <w:t>التطبيقات المهنية المعاصرة في السعودية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أدوات الذكاء الاصطناعي المتداولة في السوق القانوني السعودي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مدى توافقها مع البيئة النظامية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الثاني:</w:t>
      </w:r>
      <w:r>
        <w:rPr>
          <w:rFonts w:asciiTheme="majorBidi" w:hAnsiTheme="majorBidi" w:cstheme="majorBidi"/>
          <w:color w:val="000000" w:themeColor="text1"/>
          <w:sz w:val="24"/>
          <w:szCs w:val="24"/>
          <w:rtl/>
        </w:rPr>
        <w:t xml:space="preserve"> أنماط الاستخدام الفردي للتقنيات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طبيعة الاستخدامات الفردية ومخاطرها في السياق السعودي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التكييف النظامي لهذه الممارسات مع إشارة إلى التجربة الإماراتية</w:t>
      </w:r>
    </w:p>
    <w:p w14:paraId="1F2B99FE" w14:textId="77777777" w:rsidR="00454BE9" w:rsidRPr="00BC5F38" w:rsidRDefault="00454BE9" w:rsidP="00454BE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الفصل </w:t>
      </w:r>
      <w:r>
        <w:rPr>
          <w:rFonts w:asciiTheme="majorBidi" w:hAnsiTheme="majorBidi" w:cstheme="majorBidi" w:hint="cs"/>
          <w:b/>
          <w:bCs/>
          <w:color w:val="000000" w:themeColor="text1"/>
          <w:sz w:val="24"/>
          <w:szCs w:val="24"/>
          <w:rtl/>
        </w:rPr>
        <w:t>الرابع</w:t>
      </w:r>
      <w:r>
        <w:rPr>
          <w:rFonts w:asciiTheme="majorBidi" w:hAnsiTheme="majorBidi" w:cstheme="majorBidi"/>
          <w:b/>
          <w:bCs/>
          <w:color w:val="000000" w:themeColor="text1"/>
          <w:sz w:val="24"/>
          <w:szCs w:val="24"/>
          <w:rtl/>
        </w:rPr>
        <w:t>: التصور التنظيمي المقترح</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تمهيد</w:t>
      </w:r>
      <w:r>
        <w:rPr>
          <w:rFonts w:asciiTheme="majorBidi" w:hAnsiTheme="majorBidi" w:cstheme="majorBidi"/>
          <w:color w:val="000000" w:themeColor="text1"/>
          <w:sz w:val="24"/>
          <w:szCs w:val="24"/>
          <w:rtl/>
        </w:rPr>
        <w:t>: يربط الفجوات التي تم تحديدها في الفصول الأولى والثانية والثالثة بملامح التصور المقترح، موضحًا أن هذا التصور جاء لمعالجة تلك الفجوات بما يتوافق مع البيئة النظامية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المبحث الأول:</w:t>
      </w:r>
      <w:r>
        <w:rPr>
          <w:rFonts w:asciiTheme="majorBidi" w:hAnsiTheme="majorBidi" w:cstheme="majorBidi"/>
          <w:color w:val="000000" w:themeColor="text1"/>
          <w:sz w:val="24"/>
          <w:szCs w:val="24"/>
          <w:rtl/>
        </w:rPr>
        <w:t xml:space="preserve"> ملامح التشريع المقترح</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شروط الترخيص ومعايير تشغيل أدوات الذكاء الاصطناعي في القطاع القانوني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الضمانات القانونية لحماية البيانات والمسؤولية</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 xml:space="preserve">المبحث الثاني: </w:t>
      </w:r>
      <w:r>
        <w:rPr>
          <w:rFonts w:asciiTheme="majorBidi" w:hAnsiTheme="majorBidi" w:cstheme="majorBidi"/>
          <w:color w:val="000000" w:themeColor="text1"/>
          <w:sz w:val="24"/>
          <w:szCs w:val="24"/>
          <w:rtl/>
        </w:rPr>
        <w:t>التكامل مع رؤية المملكة 2030</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الأول: دعم التحول العدلي الرقمي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المطلب الثاني: فرص وإمكانات تطوير الإطار التشريعي الحالي</w:t>
      </w:r>
    </w:p>
    <w:p w14:paraId="373EEF8E" w14:textId="14B008EC" w:rsidR="008F1250" w:rsidRPr="006713B6" w:rsidRDefault="00454BE9" w:rsidP="006713B6">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الخاتمة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النتائج</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التوصيات</w:t>
      </w:r>
      <w:r>
        <w:rPr>
          <w:rFonts w:asciiTheme="majorBidi" w:hAnsiTheme="majorBidi" w:cstheme="majorBidi"/>
          <w:color w:val="000000" w:themeColor="text1"/>
          <w:sz w:val="24"/>
          <w:szCs w:val="24"/>
        </w:rPr>
        <w:br/>
      </w:r>
    </w:p>
    <w:p w14:paraId="0478D94E" w14:textId="77777777" w:rsidR="008F1250" w:rsidRPr="00BC5F38" w:rsidRDefault="008F1250" w:rsidP="00830A22">
      <w:pPr>
        <w:jc w:val="right"/>
        <w:rPr>
          <w:rFonts w:asciiTheme="majorBidi" w:hAnsiTheme="majorBidi" w:cstheme="majorBidi"/>
          <w:b/>
          <w:bCs/>
          <w:color w:val="000000" w:themeColor="text1"/>
          <w:sz w:val="24"/>
          <w:szCs w:val="24"/>
        </w:rPr>
      </w:pPr>
    </w:p>
    <w:p w14:paraId="2B353A16" w14:textId="77777777" w:rsidR="00F7053A" w:rsidRPr="00BC5F38" w:rsidRDefault="00F7053A" w:rsidP="00830A22">
      <w:pPr>
        <w:jc w:val="right"/>
        <w:rPr>
          <w:rFonts w:asciiTheme="majorBidi" w:hAnsiTheme="majorBidi" w:cstheme="majorBidi"/>
          <w:b/>
          <w:bCs/>
          <w:color w:val="000000" w:themeColor="text1"/>
          <w:sz w:val="24"/>
          <w:szCs w:val="24"/>
        </w:rPr>
      </w:pPr>
    </w:p>
    <w:p w14:paraId="34023309" w14:textId="77777777" w:rsidR="00F7053A" w:rsidRPr="00D41CB7" w:rsidRDefault="00F7053A" w:rsidP="00F7053A">
      <w:pPr>
        <w:jc w:val="center"/>
        <w:rPr>
          <w:rFonts w:asciiTheme="majorBidi" w:hAnsiTheme="majorBidi" w:cstheme="majorBidi"/>
          <w:b/>
          <w:bCs/>
          <w:color w:val="000000" w:themeColor="text1"/>
          <w:sz w:val="32"/>
          <w:szCs w:val="32"/>
          <w:rtl/>
        </w:rPr>
      </w:pPr>
      <w:r>
        <w:rPr>
          <w:rFonts w:asciiTheme="majorBidi" w:hAnsiTheme="majorBidi" w:cstheme="majorBidi"/>
          <w:b/>
          <w:bCs/>
          <w:color w:val="000000" w:themeColor="text1"/>
          <w:sz w:val="32"/>
          <w:szCs w:val="32"/>
          <w:rtl/>
        </w:rPr>
        <w:lastRenderedPageBreak/>
        <w:t>الفصل الأول</w:t>
      </w:r>
    </w:p>
    <w:p w14:paraId="536CC054" w14:textId="77777777" w:rsidR="00F7053A" w:rsidRDefault="0008617A" w:rsidP="0008617A">
      <w:pPr>
        <w:jc w:val="center"/>
        <w:rPr>
          <w:b/>
          <w:bCs/>
          <w:sz w:val="32"/>
          <w:szCs w:val="32"/>
          <w:rtl/>
        </w:rPr>
      </w:pPr>
      <w:r>
        <w:rPr>
          <w:rFonts w:hint="cs"/>
          <w:b/>
          <w:bCs/>
          <w:sz w:val="32"/>
          <w:szCs w:val="32"/>
          <w:rtl/>
        </w:rPr>
        <w:t>النظام القانوني السعودي لاستخدام الذكاء الاصطناعي في مهنة المحاماة</w:t>
      </w:r>
    </w:p>
    <w:p w14:paraId="0E1B2B1D" w14:textId="77777777" w:rsidR="0008617A" w:rsidRPr="0008617A" w:rsidRDefault="0008617A" w:rsidP="0008617A">
      <w:pPr>
        <w:jc w:val="center"/>
        <w:rPr>
          <w:rFonts w:asciiTheme="majorBidi" w:hAnsiTheme="majorBidi" w:cstheme="majorBidi"/>
          <w:b/>
          <w:bCs/>
          <w:color w:val="000000" w:themeColor="text1"/>
          <w:sz w:val="32"/>
          <w:szCs w:val="32"/>
          <w:rtl/>
        </w:rPr>
      </w:pPr>
    </w:p>
    <w:p w14:paraId="4351ADC9"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هذا الفصل المدخل النظامي الرئيس للرسالة، إذ يتناول بالدراسة والتحليل الأُطر التشريعية والتنظيمية التي تحكم مهنة المحاماة في المملكة العربية السعودية، ومدى استيعابها لمفاهيم وتقنيات الذكاء الاصطناعي الحديثة في الممارسة المهنية. ويهدف إلى تتبّع تطوّر التنظيم النظامي للمهنة في ضوء التحوّل الرقمي الذي تشهده المنظومة العدلية ضمن رؤية المملكة 2030، وإبراز الفجوات النظامية التي قد تحدّ من توظيف التقنيات الذكية في العمل القانوني</w:t>
      </w:r>
      <w:r>
        <w:rPr>
          <w:rFonts w:asciiTheme="majorBidi" w:hAnsiTheme="majorBidi" w:cstheme="majorBidi"/>
          <w:color w:val="000000" w:themeColor="text1"/>
          <w:sz w:val="24"/>
          <w:szCs w:val="24"/>
        </w:rPr>
        <w:t>.</w:t>
      </w:r>
    </w:p>
    <w:p w14:paraId="2F84BEFA" w14:textId="77777777" w:rsidR="00D57654" w:rsidRDefault="00C702A9" w:rsidP="006713B6">
      <w:pPr>
        <w:jc w:val="right"/>
        <w:rPr>
          <w:rFonts w:asciiTheme="majorBidi" w:hAnsiTheme="majorBidi" w:cstheme="majorBidi"/>
          <w:sz w:val="24"/>
          <w:szCs w:val="24"/>
          <w:rtl/>
        </w:rPr>
      </w:pPr>
      <w:r>
        <w:rPr>
          <w:rFonts w:asciiTheme="majorBidi" w:hAnsiTheme="majorBidi" w:cstheme="majorBidi"/>
          <w:sz w:val="24"/>
          <w:szCs w:val="24"/>
          <w:rtl/>
        </w:rPr>
        <w:t>ومن المنطلق ذاته، أسهمت بعض الدراسات المنشورة بالمجلة العربية للنشر العلمي في تقديم رؤية تحليلية مقارنة للقواعد والإجراءات المنظمة لاستخدامات الذكاء الاصطناعي في المملكة العربية السعودية، وأكدت أن الفجوة التشريعية بين مرحلة الاستخدام الميداني ومرحلة الضبط النظامي لا تزال واسعة، وأن التأطير القانوني الشامل يستلزم تدخلًا تشريعيًا صريحًا على مستوى الأنظمة الأساسية.</w:t>
      </w:r>
      <w:r>
        <w:rPr>
          <w:rtl/>
        </w:rPr>
        <w:footnoteReference w:id="5"/>
      </w:r>
    </w:p>
    <w:p w14:paraId="129F5730"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وتبرز أهمية هذا الفصل من كونه يحدّد الأساس القانوني الذي تُبنى عليه الفصول اللاحقة؛ إذ يربط بين القواعد النظامية الراسخة في نظام المحاماة ولائحته التنفيذية، وبين المتطلبات المستحدثة التي أفرزها تطوّر أدوات الذكاء الاصطناعي في المجال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ولا يقتصر ذلك على الإطار العام لممارسة المهنة، بل يمتد ليشمل العلاقة المباشرة بين هذه التشريعات وبين المهام اليومية للمحامي؛ فالنصوص النظامية لمهنة المحاماة تضبط مسؤوليات المحامي المهنية</w:t>
      </w:r>
      <w:r>
        <w:rPr>
          <w:rFonts w:asciiTheme="majorBidi" w:hAnsiTheme="majorBidi" w:cstheme="majorBidi"/>
          <w:color w:val="000000" w:themeColor="text1"/>
          <w:sz w:val="24"/>
          <w:szCs w:val="24"/>
          <w:rtl/>
        </w:rPr>
        <w:t xml:space="preserve">، بينما يرتبط </w:t>
      </w:r>
      <w:r>
        <w:rPr>
          <w:rFonts w:asciiTheme="majorBidi" w:hAnsiTheme="majorBidi" w:cstheme="majorBidi"/>
          <w:b/>
          <w:bCs/>
          <w:color w:val="000000" w:themeColor="text1"/>
          <w:sz w:val="24"/>
          <w:szCs w:val="24"/>
          <w:rtl/>
        </w:rPr>
        <w:t>نظام حماية البيانات الشخصية</w:t>
      </w:r>
      <w:r>
        <w:rPr>
          <w:rFonts w:asciiTheme="majorBidi" w:hAnsiTheme="majorBidi" w:cstheme="majorBidi"/>
          <w:color w:val="000000" w:themeColor="text1"/>
          <w:sz w:val="24"/>
          <w:szCs w:val="24"/>
          <w:rtl/>
        </w:rPr>
        <w:t xml:space="preserve"> بآليات تعامل المحامي مع بيانات عملائه الرقمية، ويرتبط </w:t>
      </w:r>
      <w:r>
        <w:rPr>
          <w:rFonts w:asciiTheme="majorBidi" w:hAnsiTheme="majorBidi" w:cstheme="majorBidi"/>
          <w:b/>
          <w:bCs/>
          <w:color w:val="000000" w:themeColor="text1"/>
          <w:sz w:val="24"/>
          <w:szCs w:val="24"/>
          <w:rtl/>
        </w:rPr>
        <w:t>نظام الإثبات</w:t>
      </w:r>
      <w:r>
        <w:rPr>
          <w:rFonts w:asciiTheme="majorBidi" w:hAnsiTheme="majorBidi" w:cstheme="majorBidi"/>
          <w:color w:val="000000" w:themeColor="text1"/>
          <w:sz w:val="24"/>
          <w:szCs w:val="24"/>
          <w:rtl/>
        </w:rPr>
        <w:t xml:space="preserve"> بحجية المستندات الإلكترونية وتحضير الأدلة الرقمية التي يعتمد عليها المحامي في مذكراته، كما يؤثر </w:t>
      </w:r>
      <w:r>
        <w:rPr>
          <w:rFonts w:asciiTheme="majorBidi" w:hAnsiTheme="majorBidi" w:cstheme="majorBidi"/>
          <w:b/>
          <w:bCs/>
          <w:color w:val="000000" w:themeColor="text1"/>
          <w:sz w:val="24"/>
          <w:szCs w:val="24"/>
          <w:rtl/>
        </w:rPr>
        <w:t>نظام الإجراءات الجزائية</w:t>
      </w:r>
      <w:r>
        <w:rPr>
          <w:rFonts w:asciiTheme="majorBidi" w:hAnsiTheme="majorBidi" w:cstheme="majorBidi"/>
          <w:color w:val="000000" w:themeColor="text1"/>
          <w:sz w:val="24"/>
          <w:szCs w:val="24"/>
          <w:rtl/>
        </w:rPr>
        <w:t xml:space="preserve"> على ممارساته العملية في التحقيق والدفاع والامتثال للمواعيد والإخطارات الإلكترونية. ويُسهم هذا التكامل النظامي في تشكيل البيئة العملية التي يعمل فيها المحامي يوميًا، خاصة في ظل التوسع في استخدام الأنظمة التقنية والمنصّات العدلية الرقمية</w:t>
      </w:r>
      <w:r>
        <w:rPr>
          <w:rFonts w:asciiTheme="majorBidi" w:hAnsiTheme="majorBidi" w:cstheme="majorBidi"/>
          <w:color w:val="000000" w:themeColor="text1"/>
          <w:sz w:val="24"/>
          <w:szCs w:val="24"/>
        </w:rPr>
        <w:t>.</w:t>
      </w:r>
    </w:p>
    <w:p w14:paraId="05E0822A" w14:textId="77777777" w:rsidR="00450EAF" w:rsidRPr="00450EAF" w:rsidRDefault="00450EAF" w:rsidP="006713B6">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هذا السياق، يسعى الفصل إلى بيان مدى جاهزية الإطار النظامي السعودي لاستيعاب التحولات التقنية، ومدى اتساقه مع المبادئ الأخلاقية التي أرستها الهيئة السعودية للبيانات والذكاء الاصطناعي (سدايا) — وهي وثيقة استرشادية أخلاقية غير ملزمة — بشأن تطوير واستخدام تقنيات الذكاء الاصطناعي في المجالات المهنية المختلفة</w:t>
      </w:r>
      <w:r>
        <w:rPr>
          <w:rFonts w:asciiTheme="majorBidi" w:hAnsiTheme="majorBidi" w:cstheme="majorBidi"/>
          <w:color w:val="000000" w:themeColor="text1"/>
          <w:sz w:val="24"/>
          <w:szCs w:val="24"/>
        </w:rPr>
        <w:t>.</w:t>
      </w:r>
    </w:p>
    <w:p w14:paraId="10EE41CE"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ويُقسَّم هذا الفصل إلى مبحثين رئيسين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يتناول المبحث الأول التنظيم </w:t>
      </w:r>
      <w:r>
        <w:rPr>
          <w:rFonts w:asciiTheme="majorBidi" w:hAnsiTheme="majorBidi" w:cstheme="majorBidi" w:hint="cs"/>
          <w:color w:val="000000" w:themeColor="text1"/>
          <w:sz w:val="24"/>
          <w:szCs w:val="24"/>
          <w:rtl/>
        </w:rPr>
        <w:t>التشريعي</w:t>
      </w:r>
      <w:r>
        <w:rPr>
          <w:rFonts w:asciiTheme="majorBidi" w:hAnsiTheme="majorBidi" w:cstheme="majorBidi"/>
          <w:color w:val="000000" w:themeColor="text1"/>
          <w:sz w:val="24"/>
          <w:szCs w:val="24"/>
          <w:rtl/>
        </w:rPr>
        <w:t xml:space="preserve"> لمهنة المحاماة وتقنيات الذكاء الاصطناعي، من خلال دراسة النصوص النظامية وتحليلها في ضوء التطورات التقنية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بينما يُركّز المبحث الثاني على تحليل الفجوات في التنظيم الحالي، ورصد أوجه القصور التي قد تعيق التكامل بين التشريعات المهنية ومتطلبات التحوّل الرقمي، تمهيدًا لاقتراح تصور تنظيمي متكامل في الفصل الخامس</w:t>
      </w:r>
      <w:r>
        <w:rPr>
          <w:rFonts w:asciiTheme="majorBidi" w:hAnsiTheme="majorBidi" w:cstheme="majorBidi"/>
          <w:color w:val="000000" w:themeColor="text1"/>
          <w:sz w:val="24"/>
          <w:szCs w:val="24"/>
        </w:rPr>
        <w:t>.</w:t>
      </w:r>
    </w:p>
    <w:p w14:paraId="1F5F2653" w14:textId="77777777" w:rsidR="00CF47E9" w:rsidRPr="00BC5F38" w:rsidRDefault="00CF47E9" w:rsidP="00CF47E9">
      <w:pPr>
        <w:jc w:val="right"/>
        <w:rPr>
          <w:rFonts w:asciiTheme="majorBidi" w:hAnsiTheme="majorBidi" w:cstheme="majorBidi"/>
          <w:color w:val="000000" w:themeColor="text1"/>
          <w:sz w:val="24"/>
          <w:szCs w:val="24"/>
          <w:rtl/>
        </w:rPr>
      </w:pPr>
    </w:p>
    <w:p w14:paraId="204DF141" w14:textId="77777777" w:rsidR="00F7053A" w:rsidRPr="00D41CB7" w:rsidRDefault="00CF47E9" w:rsidP="00CF47E9">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المبحث الأول</w:t>
      </w:r>
    </w:p>
    <w:p w14:paraId="692D1FCE" w14:textId="77777777" w:rsidR="00CF47E9" w:rsidRPr="00D41CB7" w:rsidRDefault="00CF47E9" w:rsidP="00CF47E9">
      <w:pPr>
        <w:jc w:val="center"/>
        <w:rPr>
          <w:rFonts w:asciiTheme="majorBidi" w:hAnsiTheme="majorBidi" w:cstheme="majorBidi"/>
          <w:b/>
          <w:bCs/>
          <w:color w:val="000000" w:themeColor="text1"/>
          <w:sz w:val="32"/>
          <w:szCs w:val="32"/>
          <w:rtl/>
        </w:rPr>
      </w:pPr>
      <w:r>
        <w:rPr>
          <w:rFonts w:asciiTheme="majorBidi" w:hAnsiTheme="majorBidi" w:cstheme="majorBidi"/>
          <w:b/>
          <w:bCs/>
          <w:color w:val="000000" w:themeColor="text1"/>
          <w:sz w:val="32"/>
          <w:szCs w:val="32"/>
          <w:rtl/>
        </w:rPr>
        <w:lastRenderedPageBreak/>
        <w:t xml:space="preserve">الإطار </w:t>
      </w:r>
      <w:r>
        <w:rPr>
          <w:rFonts w:asciiTheme="majorBidi" w:hAnsiTheme="majorBidi" w:cstheme="majorBidi" w:hint="cs"/>
          <w:b/>
          <w:bCs/>
          <w:color w:val="000000" w:themeColor="text1"/>
          <w:sz w:val="32"/>
          <w:szCs w:val="32"/>
          <w:rtl/>
        </w:rPr>
        <w:t>التشريعي</w:t>
      </w:r>
      <w:r>
        <w:rPr>
          <w:rFonts w:asciiTheme="majorBidi" w:hAnsiTheme="majorBidi" w:cstheme="majorBidi"/>
          <w:b/>
          <w:bCs/>
          <w:color w:val="000000" w:themeColor="text1"/>
          <w:sz w:val="32"/>
          <w:szCs w:val="32"/>
          <w:rtl/>
        </w:rPr>
        <w:t xml:space="preserve"> لمهنة المحاماة وتقنيات الذكاء الاصطناعي</w:t>
      </w:r>
    </w:p>
    <w:p w14:paraId="032A0FD6" w14:textId="77777777" w:rsidR="00E77780" w:rsidRPr="00BC5F38" w:rsidRDefault="00E77780" w:rsidP="00CF47E9">
      <w:pPr>
        <w:jc w:val="center"/>
        <w:rPr>
          <w:rFonts w:asciiTheme="majorBidi" w:hAnsiTheme="majorBidi" w:cstheme="majorBidi"/>
          <w:b/>
          <w:bCs/>
          <w:color w:val="000000" w:themeColor="text1"/>
          <w:sz w:val="24"/>
          <w:szCs w:val="24"/>
          <w:rtl/>
        </w:rPr>
      </w:pPr>
    </w:p>
    <w:p w14:paraId="7FAE2ABA"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تُعد مهنة المحاماة من أبرز المهن القانونية التي شهدت تطورًا تشريعيًا وتنظيميًا متواصلًا في المملكة العربية السعودية، لما لها من أثر مباشر في تحقيق العدالة وصون الحقوق وحماية المصالح. ومع التحول الرقمي الذي تشهده المنظومة العدلية ضمن رؤية المملكة 2030، برزت الحاجة إلى دراسة الإطار القانوني المنظِّم لهذه المهنة في ضوء المتغيرات التقنية الحديثة، ولا سيما تقنيات الذكاء الاصطناعي التي بدأت تدخل تدريجيًا في مجالات البحث القانوني، وصياغة العقود، وإدارة القضايا</w:t>
      </w:r>
      <w:r>
        <w:rPr>
          <w:rFonts w:asciiTheme="majorBidi" w:hAnsiTheme="majorBidi" w:cstheme="majorBidi"/>
          <w:color w:val="000000" w:themeColor="text1"/>
          <w:sz w:val="24"/>
          <w:szCs w:val="24"/>
        </w:rPr>
        <w:t>.</w:t>
      </w:r>
    </w:p>
    <w:p w14:paraId="57AA254C"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ويركز هذا المبحث على تحليل الأسس القانونية التي يقوم عليها تنظيم مهنة المحاماة في المملكة، واستعراض الأنظمة واللوائح ذات الصلة، مع بيان مدى قدرتها على استيعاب التحول التقني المتسارع الذي تشهده الممارسات القانونية المعاصرة. وتزداد أهمية ذلك في ظل التأثير المباشر لهذه الأنظمة على العمل اليومي للمحامي؛ إذ يحدد </w:t>
      </w:r>
      <w:r>
        <w:rPr>
          <w:rFonts w:asciiTheme="majorBidi" w:hAnsiTheme="majorBidi" w:cstheme="majorBidi"/>
          <w:b/>
          <w:bCs/>
          <w:color w:val="000000" w:themeColor="text1"/>
          <w:sz w:val="24"/>
          <w:szCs w:val="24"/>
          <w:rtl/>
        </w:rPr>
        <w:t>نظام المحاماة</w:t>
      </w:r>
      <w:r>
        <w:rPr>
          <w:rFonts w:asciiTheme="majorBidi" w:hAnsiTheme="majorBidi" w:cstheme="majorBidi"/>
          <w:color w:val="000000" w:themeColor="text1"/>
          <w:sz w:val="24"/>
          <w:szCs w:val="24"/>
          <w:rtl/>
        </w:rPr>
        <w:t xml:space="preserve"> إطار مسؤولياته وواجباته المهنية، بينما ينظّم </w:t>
      </w:r>
      <w:r>
        <w:rPr>
          <w:rFonts w:asciiTheme="majorBidi" w:hAnsiTheme="majorBidi" w:cstheme="majorBidi"/>
          <w:b/>
          <w:bCs/>
          <w:color w:val="000000" w:themeColor="text1"/>
          <w:sz w:val="24"/>
          <w:szCs w:val="24"/>
          <w:rtl/>
        </w:rPr>
        <w:t>نظام حماية البيانات الشخصية</w:t>
      </w:r>
      <w:r>
        <w:rPr>
          <w:rFonts w:asciiTheme="majorBidi" w:hAnsiTheme="majorBidi" w:cstheme="majorBidi"/>
          <w:color w:val="000000" w:themeColor="text1"/>
          <w:sz w:val="24"/>
          <w:szCs w:val="24"/>
          <w:rtl/>
        </w:rPr>
        <w:t xml:space="preserve"> الآليات التي يلتزم بها المحامي في حفظ بيانات موكليه ومعالجتها داخل بيئة العمل الرقمية، ويضبط </w:t>
      </w:r>
      <w:r>
        <w:rPr>
          <w:rFonts w:asciiTheme="majorBidi" w:hAnsiTheme="majorBidi" w:cstheme="majorBidi"/>
          <w:b/>
          <w:bCs/>
          <w:color w:val="000000" w:themeColor="text1"/>
          <w:sz w:val="24"/>
          <w:szCs w:val="24"/>
          <w:rtl/>
        </w:rPr>
        <w:t>نظام الإثبات</w:t>
      </w:r>
      <w:r>
        <w:rPr>
          <w:rFonts w:asciiTheme="majorBidi" w:hAnsiTheme="majorBidi" w:cstheme="majorBidi"/>
          <w:color w:val="000000" w:themeColor="text1"/>
          <w:sz w:val="24"/>
          <w:szCs w:val="24"/>
          <w:rtl/>
        </w:rPr>
        <w:t xml:space="preserve"> قواعد التعامل مع المستندات الإلكترونية والأدلة الرقمية التي يعتمد عليها المحامي في مذكراته ودفوعه، في حين ينعكس </w:t>
      </w:r>
      <w:r>
        <w:rPr>
          <w:rFonts w:asciiTheme="majorBidi" w:hAnsiTheme="majorBidi" w:cstheme="majorBidi"/>
          <w:b/>
          <w:bCs/>
          <w:color w:val="000000" w:themeColor="text1"/>
          <w:sz w:val="24"/>
          <w:szCs w:val="24"/>
          <w:rtl/>
        </w:rPr>
        <w:t>نظام الإجراءات الجزائية</w:t>
      </w:r>
      <w:r>
        <w:rPr>
          <w:rFonts w:asciiTheme="majorBidi" w:hAnsiTheme="majorBidi" w:cstheme="majorBidi"/>
          <w:color w:val="000000" w:themeColor="text1"/>
          <w:sz w:val="24"/>
          <w:szCs w:val="24"/>
          <w:rtl/>
        </w:rPr>
        <w:t xml:space="preserve"> على ممارساته في التحقيق والدفاع، وعلى التزامه بالمواعيد والطلبات الإلكترونية ضمن المنظومة العدلية التقنية</w:t>
      </w:r>
      <w:r>
        <w:rPr>
          <w:rFonts w:asciiTheme="majorBidi" w:hAnsiTheme="majorBidi" w:cstheme="majorBidi"/>
          <w:color w:val="000000" w:themeColor="text1"/>
          <w:sz w:val="24"/>
          <w:szCs w:val="24"/>
        </w:rPr>
        <w:t>.</w:t>
      </w:r>
    </w:p>
    <w:p w14:paraId="3565AB9A"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وتضع اللائحة التنفيذية لنظام المحاماة التفاصيل الإجرائية التي تُعمّق الاشتراطات التي أرساها النظام؛ إذ تُحدد المتطلبات المهنية للحصول على الترخيص والتجديد، وآليات المساءلة والإشراف المؤسسي على المحامين الممارسين، ومع أن هذه اللائحة لم تتضمن أحكامًا صريحة تُنظّم استخدام التقنيات الذكية، فإن قواعدها العامة تُشكّل القاعدة القانونية الأساسية لأي معالجة نظامية مستقبلية في هذا الشأن.</w:t>
      </w:r>
      <w:r>
        <w:rPr>
          <w:rStyle w:val="af"/>
          <w:rFonts w:asciiTheme="majorBidi" w:hAnsiTheme="majorBidi" w:cstheme="majorBidi"/>
          <w:sz w:val="24"/>
          <w:szCs w:val="24"/>
          <w:rtl/>
        </w:rPr>
        <w:footnoteReference w:id="6"/>
      </w:r>
    </w:p>
    <w:p w14:paraId="1875085E"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وبذلك، فإن الإطار القانوني لمهنة المحاماة لا يُعد نظامًا نظريًا مجردًا، بل يشكّل مجموعة من الالتزامات العملية التي تُمارَس يوميًا داخل مكاتب المحامين ومع الجهات العدلية، ولا سيما مع تزايد الاعتماد على الأدوات الرقمية والذكاء الاصطناعي في تقديم الخدمات القانونية</w:t>
      </w:r>
      <w:r>
        <w:rPr>
          <w:rFonts w:asciiTheme="majorBidi" w:hAnsiTheme="majorBidi" w:cstheme="majorBidi"/>
          <w:color w:val="000000" w:themeColor="text1"/>
          <w:sz w:val="24"/>
          <w:szCs w:val="24"/>
        </w:rPr>
        <w:t>.</w:t>
      </w:r>
    </w:p>
    <w:p w14:paraId="5CCEB452" w14:textId="77777777" w:rsidR="00450EAF" w:rsidRPr="00450EAF" w:rsidRDefault="00450EAF" w:rsidP="00450EA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وينقسم هذا المبحث إلى مطلبين رئيسين</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يعالج المطلب الأول نظام المحاماة واللائحة التنفيذية بوصفهما الإطار القانوني الأساس لممارسة المهنة،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بينما يتناول المطلب الثاني الأنظمة القانونية المكملة التي تدعم مهنة المحاماة في بيئتها التقنية الحديثة، مثل نظام حماية البيانات الشخصية، ونظام الإثبات، ونظام الإجراءات الجزائية، وغيرها من الأنظمة ذات الصلة</w:t>
      </w:r>
      <w:r>
        <w:rPr>
          <w:rFonts w:asciiTheme="majorBidi" w:hAnsiTheme="majorBidi" w:cstheme="majorBidi"/>
          <w:color w:val="000000" w:themeColor="text1"/>
          <w:sz w:val="24"/>
          <w:szCs w:val="24"/>
        </w:rPr>
        <w:t>.</w:t>
      </w:r>
    </w:p>
    <w:p w14:paraId="00E89425" w14:textId="77777777" w:rsidR="00E77780" w:rsidRPr="00BC5F38" w:rsidRDefault="00E77780" w:rsidP="00D41CB7">
      <w:pPr>
        <w:rPr>
          <w:rFonts w:asciiTheme="majorBidi" w:hAnsiTheme="majorBidi" w:cstheme="majorBidi"/>
          <w:color w:val="000000" w:themeColor="text1"/>
          <w:sz w:val="24"/>
          <w:szCs w:val="24"/>
        </w:rPr>
      </w:pPr>
    </w:p>
    <w:p w14:paraId="7588078F" w14:textId="77777777" w:rsidR="00E77780" w:rsidRDefault="00E77780" w:rsidP="00E77780">
      <w:pPr>
        <w:jc w:val="right"/>
        <w:rPr>
          <w:rFonts w:asciiTheme="majorBidi" w:hAnsiTheme="majorBidi" w:cstheme="majorBidi"/>
          <w:color w:val="000000" w:themeColor="text1"/>
          <w:sz w:val="24"/>
          <w:szCs w:val="24"/>
        </w:rPr>
      </w:pPr>
    </w:p>
    <w:p w14:paraId="7E96FB06" w14:textId="77777777" w:rsidR="00781B0D" w:rsidRDefault="00781B0D" w:rsidP="00E77780">
      <w:pPr>
        <w:jc w:val="right"/>
        <w:rPr>
          <w:rFonts w:asciiTheme="majorBidi" w:hAnsiTheme="majorBidi" w:cstheme="majorBidi"/>
          <w:color w:val="000000" w:themeColor="text1"/>
          <w:sz w:val="24"/>
          <w:szCs w:val="24"/>
        </w:rPr>
      </w:pPr>
    </w:p>
    <w:p w14:paraId="2CDDC2CE" w14:textId="77777777" w:rsidR="00BC6811" w:rsidRDefault="00BC6811" w:rsidP="00E77780">
      <w:pPr>
        <w:jc w:val="right"/>
        <w:rPr>
          <w:rFonts w:asciiTheme="majorBidi" w:hAnsiTheme="majorBidi" w:cstheme="majorBidi"/>
          <w:color w:val="000000" w:themeColor="text1"/>
          <w:sz w:val="24"/>
          <w:szCs w:val="24"/>
        </w:rPr>
      </w:pPr>
    </w:p>
    <w:p w14:paraId="01290726" w14:textId="77777777" w:rsidR="00781B0D" w:rsidRPr="00BC5F38" w:rsidRDefault="00781B0D" w:rsidP="00E77780">
      <w:pPr>
        <w:jc w:val="right"/>
        <w:rPr>
          <w:rFonts w:asciiTheme="majorBidi" w:hAnsiTheme="majorBidi" w:cstheme="majorBidi"/>
          <w:color w:val="000000" w:themeColor="text1"/>
          <w:sz w:val="24"/>
          <w:szCs w:val="24"/>
        </w:rPr>
      </w:pPr>
    </w:p>
    <w:p w14:paraId="1E03FAEC" w14:textId="77777777" w:rsidR="00E77780" w:rsidRPr="00D41CB7" w:rsidRDefault="00E15647" w:rsidP="00E15647">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الأول</w:t>
      </w:r>
    </w:p>
    <w:p w14:paraId="19BDF978" w14:textId="77777777" w:rsidR="00E15647" w:rsidRPr="00D41CB7" w:rsidRDefault="00E15647" w:rsidP="00E15647">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lastRenderedPageBreak/>
        <w:t>نظام المحاماة واللائحة التنفيذية بوصفهما الإطار القانوني الأساس لممارسة المهنة</w:t>
      </w:r>
    </w:p>
    <w:p w14:paraId="28182562" w14:textId="77777777" w:rsidR="00E15647" w:rsidRPr="00BC5F38" w:rsidRDefault="00E15647" w:rsidP="00E15647">
      <w:pPr>
        <w:jc w:val="right"/>
        <w:rPr>
          <w:rFonts w:asciiTheme="majorBidi" w:hAnsiTheme="majorBidi" w:cstheme="majorBidi"/>
          <w:b/>
          <w:bCs/>
          <w:color w:val="000000" w:themeColor="text1"/>
          <w:sz w:val="24"/>
          <w:szCs w:val="24"/>
          <w:rtl/>
        </w:rPr>
      </w:pPr>
    </w:p>
    <w:p w14:paraId="415EE5F3" w14:textId="77777777" w:rsidR="00E77780" w:rsidRPr="00BC5F38" w:rsidRDefault="00E15647" w:rsidP="00535C4D">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أولًا: الخلفية التشريعية لنظام المحاماة</w:t>
      </w:r>
      <w:r>
        <w:rPr>
          <w:rFonts w:asciiTheme="majorBidi" w:hAnsiTheme="majorBidi" w:cstheme="majorBidi" w:hint="cs"/>
          <w:b/>
          <w:bCs/>
          <w:color w:val="000000" w:themeColor="text1"/>
          <w:sz w:val="24"/>
          <w:szCs w:val="24"/>
          <w:rtl/>
        </w:rPr>
        <w:t xml:space="preserve"> وربطها مع نصوص المواد :</w:t>
      </w:r>
    </w:p>
    <w:p w14:paraId="70A86617" w14:textId="77777777" w:rsidR="00535C4D" w:rsidRPr="00535C4D" w:rsidRDefault="00535C4D" w:rsidP="00535C4D">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السياق التاريخي والغاية النظامية من التشريع</w:t>
      </w:r>
      <w:r>
        <w:rPr>
          <w:rFonts w:asciiTheme="majorBidi" w:hAnsiTheme="majorBidi" w:cstheme="majorBidi"/>
          <w:b/>
          <w:bCs/>
          <w:color w:val="000000" w:themeColor="text1"/>
          <w:sz w:val="24"/>
          <w:szCs w:val="24"/>
        </w:rPr>
        <w:t xml:space="preserve">- </w:t>
      </w:r>
    </w:p>
    <w:p w14:paraId="07617B8B" w14:textId="77777777" w:rsidR="00535C4D" w:rsidRPr="00535C4D" w:rsidRDefault="00535C4D" w:rsidP="00535C4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صدر نظام المحاماة بالمرسوم الملكي رقم م 38 بتاريخ 28 / 7 / 1422 هـ في سياق تشريعي هدف إلى بناء منظومة قانونية متكاملة تعزز مبدأ العدالة وتنظم المهن القانونية المساندة للقضاء</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قبل صدوره، كانت المهنة تمارس بصورة فردية وعرفية، دون اشتراط مؤهلات أو معايير موحدة، مما أدى إلى تفاوت في الممارسة القانونية</w:t>
      </w:r>
      <w:r>
        <w:rPr>
          <w:rFonts w:asciiTheme="majorBidi" w:hAnsiTheme="majorBidi" w:cstheme="majorBidi"/>
          <w:color w:val="000000" w:themeColor="text1"/>
          <w:sz w:val="24"/>
          <w:szCs w:val="24"/>
        </w:rPr>
        <w:t>.</w:t>
      </w:r>
    </w:p>
    <w:p w14:paraId="41CD2849"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وقد عالج جانب من الفقه في دراساتهم حول الضوابط القانونية للذكاء الاصطناعي في إبرام المعاملات القانونية الإطارَ النظامي المنظِّم لتوظيف أنظمة الذكاء الاصطناعي في السياق القانوني السعودي، مشيرًا إلى أن القواعد الناظمة لمهنة المحاماة تُشكّل المرجعية الأساسية التي ينبغي استكمالها بنصوص خاصة تعالج حوكمة هذه التقنيات.</w:t>
      </w:r>
      <w:r>
        <w:rPr>
          <w:rStyle w:val="af"/>
          <w:rFonts w:asciiTheme="majorBidi" w:hAnsiTheme="majorBidi" w:cstheme="majorBidi"/>
          <w:sz w:val="24"/>
          <w:szCs w:val="24"/>
          <w:rtl/>
        </w:rPr>
        <w:footnoteReference w:id="7"/>
      </w:r>
    </w:p>
    <w:p w14:paraId="768F5979" w14:textId="77777777" w:rsidR="00535C4D" w:rsidRPr="00535C4D" w:rsidRDefault="00535C4D" w:rsidP="00535C4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وتضمنت المادة الأولى من النظام أن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tl/>
        </w:rPr>
        <w:t xml:space="preserve"> مهنة المحاماة تشارك السلطة القضائية في تحقيق العدالة وتمارس وفق أحكام الشريعة الإسلامية والأنظمة المرعية</w:t>
      </w:r>
      <w:r>
        <w:rPr>
          <w:rFonts w:asciiTheme="majorBidi" w:hAnsiTheme="majorBidi" w:cstheme="majorBidi" w:hint="cs"/>
          <w:color w:val="000000" w:themeColor="text1"/>
          <w:sz w:val="24"/>
          <w:szCs w:val="24"/>
          <w:rtl/>
        </w:rPr>
        <w:t>)</w:t>
      </w:r>
      <w:r>
        <w:rPr>
          <w:rStyle w:val="af"/>
          <w:rFonts w:asciiTheme="majorBidi" w:hAnsiTheme="majorBidi" w:cstheme="majorBidi"/>
          <w:color w:val="000000" w:themeColor="text1"/>
          <w:sz w:val="24"/>
          <w:szCs w:val="24"/>
          <w:rtl/>
        </w:rPr>
        <w:footnoteReference w:id="8"/>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hint="cs"/>
          <w:color w:val="000000" w:themeColor="text1"/>
          <w:sz w:val="24"/>
          <w:szCs w:val="24"/>
          <w:rtl/>
        </w:rPr>
        <w:t>و</w:t>
      </w:r>
      <w:r>
        <w:rPr>
          <w:rFonts w:asciiTheme="majorBidi" w:hAnsiTheme="majorBidi" w:cstheme="majorBidi"/>
          <w:color w:val="000000" w:themeColor="text1"/>
          <w:sz w:val="24"/>
          <w:szCs w:val="24"/>
          <w:rtl/>
        </w:rPr>
        <w:t>هذا النص يعكس فلسفة تشريعية تعتبر المحامي شريكًا في تحقيق العدالة، لا مجرد وكيل عن الأطراف، وهو ما يجعل المهنة جزءًا من منظومة العدالة ذاتها</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أشار جانب من الفقه في مجال القواعد المنظمة لاستخدامات الذكاء الاصطناعي إلى أن المشرع السعودي أراد بصدور النظام توسيع نطاق العدالة المؤسسية وربط المحاماة بالسلطة القضائية كأحد أركانها</w:t>
      </w:r>
      <w:r>
        <w:rPr>
          <w:rStyle w:val="af"/>
          <w:rFonts w:asciiTheme="majorBidi" w:hAnsiTheme="majorBidi" w:cstheme="majorBidi"/>
          <w:color w:val="000000" w:themeColor="text1"/>
          <w:sz w:val="24"/>
          <w:szCs w:val="24"/>
          <w:rtl/>
        </w:rPr>
        <w:footnoteReference w:id="9"/>
      </w:r>
      <w:r>
        <w:rPr>
          <w:rFonts w:asciiTheme="majorBidi" w:hAnsiTheme="majorBidi" w:cstheme="majorBidi"/>
          <w:color w:val="000000" w:themeColor="text1"/>
          <w:sz w:val="24"/>
          <w:szCs w:val="24"/>
        </w:rPr>
        <w:t>.</w:t>
      </w:r>
    </w:p>
    <w:p w14:paraId="746878CE" w14:textId="77777777" w:rsidR="00535C4D" w:rsidRPr="00D41CB7" w:rsidRDefault="00535C4D"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ذلك، يتضح أن المشرع حين وضع هذا النص لم يكن يتصور البيئة الرقمية الحديثة التي أصبحت العدالة فيها تُمارس من خلال أنظمة ذكية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فالأنظمة المرعية وقتها كانت تقليدية تعتمد على الورق والمرافعة المباشرة، في حين يشهد الواقع اليوم توسعًا في الاعتماد على التقنيات والذكاء الاصطناعي ضمن منظومة العدالة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ولذلك أصبح من الضروري إعادة تفسير المادة الأولى بما يواكب التحول العدلي الرقمي الذي تجسد في إنشاء المحكمة الإلكترونية ومنصة ناجز، وهو التحول الذي وثقته وزارة العدل في تقرير العدالة الناجزة عام </w:t>
      </w:r>
      <w:r>
        <w:rPr>
          <w:rStyle w:val="af"/>
          <w:rFonts w:asciiTheme="majorBidi" w:hAnsiTheme="majorBidi" w:cstheme="majorBidi"/>
          <w:color w:val="000000" w:themeColor="text1"/>
          <w:sz w:val="24"/>
          <w:szCs w:val="24"/>
          <w:rtl/>
        </w:rPr>
        <w:footnoteReference w:id="10"/>
      </w:r>
      <w:r>
        <w:rPr>
          <w:rFonts w:asciiTheme="majorBidi" w:hAnsiTheme="majorBidi" w:cstheme="majorBidi"/>
          <w:color w:val="000000" w:themeColor="text1"/>
          <w:sz w:val="24"/>
          <w:szCs w:val="24"/>
          <w:rtl/>
        </w:rPr>
        <w:t>2022</w:t>
      </w:r>
      <w:r>
        <w:rPr>
          <w:rFonts w:asciiTheme="majorBidi" w:hAnsiTheme="majorBidi" w:cstheme="majorBidi"/>
          <w:color w:val="000000" w:themeColor="text1"/>
          <w:sz w:val="24"/>
          <w:szCs w:val="24"/>
        </w:rPr>
        <w:t>.</w:t>
      </w:r>
    </w:p>
    <w:p w14:paraId="66EF6ECB" w14:textId="77777777" w:rsidR="0026477A" w:rsidRPr="0026477A" w:rsidRDefault="0026477A" w:rsidP="0026477A">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المادة الثانية وتحديات تعريف الممارسة القانونية</w:t>
      </w:r>
      <w:r>
        <w:rPr>
          <w:rFonts w:asciiTheme="majorBidi" w:hAnsiTheme="majorBidi" w:cstheme="majorBidi" w:hint="cs"/>
          <w:b/>
          <w:bCs/>
          <w:color w:val="000000" w:themeColor="text1"/>
          <w:sz w:val="24"/>
          <w:szCs w:val="24"/>
          <w:rtl/>
        </w:rPr>
        <w:t>:</w:t>
      </w:r>
    </w:p>
    <w:p w14:paraId="0A7A5A9C"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تنص المادة الثانية من النظام على أن المحامي هو كل شخص مقيّد في جدول المحامين الممارسين يزاول المهنة بعد الحصول على ترخيص</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النص يؤكد الطابع الشخصي للممارسة القانونية ويقصرها على الأشخاص الطبيعيين المرخص لهم فقط</w:t>
      </w:r>
      <w:r>
        <w:rPr>
          <w:rFonts w:asciiTheme="majorBidi" w:hAnsiTheme="majorBidi" w:cstheme="majorBidi"/>
          <w:color w:val="000000" w:themeColor="text1"/>
          <w:sz w:val="24"/>
          <w:szCs w:val="24"/>
        </w:rPr>
        <w:t>.</w:t>
      </w:r>
    </w:p>
    <w:p w14:paraId="12F2C5A0"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في ضوء التطورات الحديثة، أصبحت بعض الأعمال القانونية تؤدى عبر أنظمة ذكاء اصطناعي قادرة على تحليل الوقائع وإعداد المذكرات وصياغة العقود</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ويثير هذا تساؤلًا جوهريًا: هل يعد استخدام هذه الأنظمة مشاركة من جهة غير مرخصة في المهنة؟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وهل يبقى المحامي مسؤولًا عن عمل هذه الأدوات رغم أنه لم يباشرها بيده؟</w:t>
      </w:r>
    </w:p>
    <w:p w14:paraId="06945263" w14:textId="77777777" w:rsidR="0026477A" w:rsidRPr="00BC5F38" w:rsidRDefault="0026477A" w:rsidP="0026477A">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lastRenderedPageBreak/>
        <w:t>يرى جانب من الفقه</w:t>
      </w:r>
      <w:r>
        <w:rPr>
          <w:rStyle w:val="af"/>
          <w:rFonts w:asciiTheme="majorBidi" w:hAnsiTheme="majorBidi" w:cstheme="majorBidi"/>
          <w:color w:val="000000" w:themeColor="text1"/>
          <w:sz w:val="24"/>
          <w:szCs w:val="24"/>
          <w:rtl/>
        </w:rPr>
        <w:footnoteReference w:id="11"/>
      </w:r>
      <w:r>
        <w:rPr>
          <w:rFonts w:asciiTheme="majorBidi" w:hAnsiTheme="majorBidi" w:cstheme="majorBidi"/>
          <w:color w:val="000000" w:themeColor="text1"/>
          <w:sz w:val="24"/>
          <w:szCs w:val="24"/>
          <w:rtl/>
        </w:rPr>
        <w:t xml:space="preserve"> في دراسته حول تأثير الذكاء الاصطناعي على المهن القانونية أن النصوص التي تحصر الممارسة في الأشخاص تواجه تحديًا حقيقيًا في عصر التحول التقني، وأن الحل يكمن في إدماج التقنية بوصفها وسيلة تنفيذ لا شخصًا مستقلًا في المهنة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وعليه، فإن المادة الثانية تحتاج إلى تفسير حديث أو تعديل تشريعي يفرّق بين ممارسة المهنة بواسطة الإنسان وممارستها بمساعدة أدوات تقنية مرخصة</w:t>
      </w:r>
      <w:r>
        <w:rPr>
          <w:rFonts w:asciiTheme="majorBidi" w:hAnsiTheme="majorBidi" w:cstheme="majorBidi" w:hint="cs"/>
          <w:color w:val="000000" w:themeColor="text1"/>
          <w:sz w:val="24"/>
          <w:szCs w:val="24"/>
          <w:rtl/>
        </w:rPr>
        <w:t>.</w:t>
      </w:r>
    </w:p>
    <w:p w14:paraId="0329497B" w14:textId="77777777" w:rsidR="0026477A" w:rsidRPr="0026477A" w:rsidRDefault="0026477A" w:rsidP="0026477A">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نطاق المهنة في المادة الثالثة وظهور الذكاء الاصطناعي كمنافس تنظيمي</w:t>
      </w:r>
      <w:r>
        <w:rPr>
          <w:rFonts w:asciiTheme="majorBidi" w:hAnsiTheme="majorBidi" w:cstheme="majorBidi" w:hint="cs"/>
          <w:b/>
          <w:bCs/>
          <w:color w:val="000000" w:themeColor="text1"/>
          <w:sz w:val="24"/>
          <w:szCs w:val="24"/>
          <w:rtl/>
        </w:rPr>
        <w:t>:</w:t>
      </w:r>
      <w:r>
        <w:rPr>
          <w:rFonts w:asciiTheme="majorBidi" w:hAnsiTheme="majorBidi" w:cstheme="majorBidi"/>
          <w:b/>
          <w:bCs/>
          <w:color w:val="000000" w:themeColor="text1"/>
          <w:sz w:val="24"/>
          <w:szCs w:val="24"/>
        </w:rPr>
        <w:t>-</w:t>
      </w:r>
    </w:p>
    <w:p w14:paraId="61F498EC" w14:textId="77777777" w:rsidR="0026477A" w:rsidRPr="0026477A" w:rsidRDefault="0026477A" w:rsidP="0026477A">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حددت المادة الثالثة من النظام نطاق المهنة بأنه يشمل الترافع عن الخصوم، وإبداء الرأي والمشورة الشرعية والنظامية، وصياغة العقود، واتخاذ الإجراءات التي يقتضيها ذلك</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وهذه المجالات هي نفسها التي بدأت أنظمة الذكاء الاصطناعي في ممارستها مؤخرًا من خلال برامج البحث والتحليل وصياغة العقود القانونية إلكترونيًا</w:t>
      </w:r>
      <w:r>
        <w:rPr>
          <w:rFonts w:asciiTheme="majorBidi" w:hAnsiTheme="majorBidi" w:cstheme="majorBidi"/>
          <w:color w:val="000000" w:themeColor="text1"/>
          <w:sz w:val="24"/>
          <w:szCs w:val="24"/>
        </w:rPr>
        <w:t>.</w:t>
      </w:r>
    </w:p>
    <w:p w14:paraId="7F9B7A23" w14:textId="77777777" w:rsidR="0026477A" w:rsidRPr="00BC5F38" w:rsidRDefault="0026477A"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أظهرت دراسات فاطمة بلال</w:t>
      </w:r>
      <w:r>
        <w:rPr>
          <w:rStyle w:val="af"/>
          <w:rFonts w:asciiTheme="majorBidi" w:hAnsiTheme="majorBidi" w:cstheme="majorBidi"/>
          <w:color w:val="000000" w:themeColor="text1"/>
          <w:sz w:val="24"/>
          <w:szCs w:val="24"/>
          <w:rtl/>
        </w:rPr>
        <w:footnoteReference w:id="12"/>
      </w:r>
      <w:r>
        <w:rPr>
          <w:rFonts w:asciiTheme="majorBidi" w:hAnsiTheme="majorBidi" w:cstheme="majorBidi"/>
          <w:color w:val="000000" w:themeColor="text1"/>
          <w:sz w:val="24"/>
          <w:szCs w:val="24"/>
          <w:rtl/>
        </w:rPr>
        <w:t xml:space="preserve"> حول العدالة الرقمية أن بعض هذه الأدوات أصبحت تقدم خدمات قانونية شبيهة بما يقدمه المحامي، ما يجعلها منافسًا تنظيميًا غير منظم</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لم يشر إلى دور التقنية ولم يضع إطارًا لاستخدامها داخل مكاتب المحاماة، مما أوجد فراغًا تشريعيًا ينبغي معالجته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فإن المادة الثالثة تمثل نقطة التقاء بين النصوص التقليدية والواقع الرقمي الذي يستدعي تنظيما جديدًا لحدود المهنة في ظل التحول التقني</w:t>
      </w:r>
      <w:r>
        <w:rPr>
          <w:rFonts w:asciiTheme="majorBidi" w:hAnsiTheme="majorBidi" w:cstheme="majorBidi" w:hint="cs"/>
          <w:color w:val="000000" w:themeColor="text1"/>
          <w:sz w:val="24"/>
          <w:szCs w:val="24"/>
          <w:rtl/>
        </w:rPr>
        <w:t>.</w:t>
      </w:r>
    </w:p>
    <w:p w14:paraId="0AA990D9" w14:textId="77777777" w:rsidR="0026477A" w:rsidRPr="0026477A" w:rsidRDefault="0026477A" w:rsidP="00BC6811">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xml:space="preserve"> المادة الثالثة عشرة ومسؤولية المحامي عن الأفعال التقنية:</w:t>
      </w:r>
      <w:r>
        <w:rPr>
          <w:rFonts w:asciiTheme="majorBidi" w:hAnsiTheme="majorBidi" w:cstheme="majorBidi"/>
          <w:b/>
          <w:bCs/>
          <w:color w:val="000000" w:themeColor="text1"/>
          <w:sz w:val="24"/>
          <w:szCs w:val="24"/>
        </w:rPr>
        <w:t>-</w:t>
      </w:r>
    </w:p>
    <w:p w14:paraId="26267953" w14:textId="77777777" w:rsidR="00D57654" w:rsidRDefault="00C702A9" w:rsidP="00BC6811">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المتعلق بمواد المحاماة، أشار العطار والنوايسة إلى أن النصوص التأديبية في نظام المحاماة لم تتضمن حتى الآن جزاءات صريحة على الإخلال بمعايير الكفاءة الرقمية، وهو ما يجعل تطبيق المادة الثالثة عشرة في مواجهة محامٍ استخدم أداة ذكاء اصطناعي دون فحص كافٍ رهيناً بالتفسير التوسعي الذي قد لا يكون متاحاً في الأنظمة التي تعتمد مبدأ لا عقوبة بلا نص صريح.</w:t>
      </w:r>
      <w:r>
        <w:rPr>
          <w:rtl/>
        </w:rPr>
        <w:footnoteReference w:id="13"/>
      </w:r>
    </w:p>
    <w:p w14:paraId="2D092A3D" w14:textId="77777777" w:rsidR="00D57654" w:rsidRDefault="00C702A9" w:rsidP="00BC6811">
      <w:pPr>
        <w:jc w:val="right"/>
        <w:rPr>
          <w:rFonts w:asciiTheme="majorBidi" w:hAnsiTheme="majorBidi" w:cstheme="majorBidi"/>
          <w:sz w:val="24"/>
          <w:szCs w:val="24"/>
          <w:rtl/>
        </w:rPr>
      </w:pPr>
      <w:r>
        <w:rPr>
          <w:rFonts w:asciiTheme="majorBidi" w:hAnsiTheme="majorBidi" w:cstheme="majorBidi"/>
          <w:sz w:val="24"/>
          <w:szCs w:val="24"/>
          <w:rtl/>
        </w:rPr>
        <w:t>وفيما يخص المادة الثالثة عشرة من نظام المحاماة وواجبات المحامي تجاه موكله، أوضح جانب من الفقه أن تفسير هذه المادة في ضوء الذكاء الاصطناعي يستلزم إعادة قراءة مفهوم العناية اللازمة بما يشمل الكفاءة التقنية الرقمية؛ إذ لا يُعدّ المحامي قائماً بواجبه كاملاً حين يُقدّم لموكله مشورة مبنية على مخرج آلي لم يتحقق من صحته أو لم يُفصح عن مصدره.</w:t>
      </w:r>
      <w:r>
        <w:rPr>
          <w:rtl/>
        </w:rPr>
        <w:footnoteReference w:id="14"/>
      </w:r>
    </w:p>
    <w:p w14:paraId="53A62BC5" w14:textId="77777777" w:rsidR="00D57654" w:rsidRDefault="00C702A9" w:rsidP="00BC6811">
      <w:pPr>
        <w:jc w:val="right"/>
        <w:rPr>
          <w:rFonts w:asciiTheme="majorBidi" w:hAnsiTheme="majorBidi" w:cstheme="majorBidi"/>
          <w:sz w:val="24"/>
          <w:szCs w:val="24"/>
          <w:rtl/>
        </w:rPr>
      </w:pPr>
      <w:r>
        <w:rPr>
          <w:rFonts w:asciiTheme="majorBidi" w:hAnsiTheme="majorBidi" w:cstheme="majorBidi"/>
          <w:sz w:val="24"/>
          <w:szCs w:val="24"/>
          <w:rtl/>
        </w:rPr>
        <w:t>وفيما يتعلق بتطبيق نصوص المادة الثالثة عشرة من نظام المحاماة السعودي في سياق الذكاء الاصطناعي، يرى جانب من الفقه أن هذه المادة التي تُحدّد واجبات المحامي تجاه موكله لم تُصَغ لتستوعب فرضية اعتماد المحامي على نظام ذكاء اصطناعي في إعداد دفاعه، وأن توسيع نطاق تطبيقها يستلزم تفسيراً قضائياً موسّعاً أو تعديلاً تشريعياً صريحاً.</w:t>
      </w:r>
      <w:r>
        <w:rPr>
          <w:rtl/>
        </w:rPr>
        <w:footnoteReference w:id="15"/>
      </w:r>
    </w:p>
    <w:p w14:paraId="28E9F497" w14:textId="77777777" w:rsidR="0026477A" w:rsidRPr="0026477A" w:rsidRDefault="0026477A"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تنص المادة الثالثة عشرة على أن المحامي مسؤول عن أعماله ومسؤول عن تصرفات من يباشر العمل تحت إشرافه في مكتبه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ويُفهم من هذا النص أنه يمكن تحميل المحامي مسؤولية الأفعال التي تصدر عن أي وسيلة أو أداة تعمل تحت إشرافه، بما في ذلك أنظمة الذكاء الاصطناعي التي يعتمد عليها في إنجاز أعماله</w:t>
      </w:r>
      <w:r>
        <w:rPr>
          <w:rFonts w:asciiTheme="majorBidi" w:hAnsiTheme="majorBidi" w:cstheme="majorBidi"/>
          <w:color w:val="000000" w:themeColor="text1"/>
          <w:sz w:val="24"/>
          <w:szCs w:val="24"/>
        </w:rPr>
        <w:t>.</w:t>
      </w:r>
    </w:p>
    <w:p w14:paraId="32591E65" w14:textId="77777777" w:rsidR="00A40287" w:rsidRPr="00BC5F38" w:rsidRDefault="0026477A" w:rsidP="002A34EF">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وقد بيّن جانب من الفقه</w:t>
      </w:r>
      <w:r>
        <w:rPr>
          <w:rStyle w:val="af"/>
          <w:rFonts w:asciiTheme="majorBidi" w:hAnsiTheme="majorBidi" w:cstheme="majorBidi"/>
          <w:color w:val="000000" w:themeColor="text1"/>
          <w:sz w:val="24"/>
          <w:szCs w:val="24"/>
          <w:rtl/>
        </w:rPr>
        <w:footnoteReference w:id="16"/>
      </w:r>
      <w:r>
        <w:rPr>
          <w:rFonts w:asciiTheme="majorBidi" w:hAnsiTheme="majorBidi" w:cstheme="majorBidi"/>
          <w:color w:val="000000" w:themeColor="text1"/>
          <w:sz w:val="24"/>
          <w:szCs w:val="24"/>
          <w:rtl/>
        </w:rPr>
        <w:t xml:space="preserve"> في بحثه حول المسؤولية المدنية عن فعل الذكاء الاصطناعي في النظام السعودي أن مبدأ الإشراف يشمل كل الوسائل التي يستخدمها المهني في أداء عمله، وأنه يظل مسؤولًا عن نتائجها القانونية ما لم يثبت أنه بذل العناية اللازمة للتحقق من صحتها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وبذلك يمكن القول إن المادة الثالثة عشرة تشكّل الأساس الذي يمكن أن تُبنى عليه قواعد المسؤولية المهنية الرقمية للمحامي في المستقبل</w:t>
      </w:r>
      <w:r>
        <w:rPr>
          <w:rFonts w:asciiTheme="majorBidi" w:hAnsiTheme="majorBidi" w:cstheme="majorBidi" w:hint="cs"/>
          <w:color w:val="000000" w:themeColor="text1"/>
          <w:sz w:val="24"/>
          <w:szCs w:val="24"/>
          <w:rtl/>
        </w:rPr>
        <w:t>.</w:t>
      </w:r>
    </w:p>
    <w:p w14:paraId="1FEFE4DB"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المسؤولية المهنية الرقمية بوجه خاص، كشف العطار والنوايسة عن فراغ جزائي جوهري يتمثل في انعدام النص الذي يُجرّم إهمال التحقق من سلامة النظام الذكي قبل اعتماد مخرجاته في الدفع القانوني أو التوصية القانونية، مُقترِحَين تجريم الإهمال الجسيم في هذا الشأن بوصفه صورة من صور الإهمال المهني المُعاقَب عليه.</w:t>
      </w:r>
      <w:r>
        <w:rPr>
          <w:rtl/>
        </w:rPr>
        <w:footnoteReference w:id="17"/>
      </w:r>
    </w:p>
    <w:p w14:paraId="512B6911"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وبصدد المسؤولية المهنية الرقمية، جاء في بعض الدراسات أن المحامي الذي يستخدم نظام ذكاء اصطناعي في تقديم استشارة قانونية يتحمل مسؤولية جزائية كاملة إذا ثبت أن النظام أنتج توصية مضللة أفضت إلى ضرر قانوني، شريطة أن يكون المحامي قد علم بالطابع الاحتمالي لمخرجات النظام ولم يتخذ التحقق اللازم قبل إفصاحها للعميل.</w:t>
      </w:r>
      <w:r>
        <w:rPr>
          <w:rtl/>
        </w:rPr>
        <w:footnoteReference w:id="18"/>
      </w:r>
    </w:p>
    <w:p w14:paraId="096AA445" w14:textId="77777777" w:rsidR="0026477A" w:rsidRPr="00BC5F38" w:rsidRDefault="0026477A" w:rsidP="0026477A">
      <w:pPr>
        <w:jc w:val="right"/>
        <w:rPr>
          <w:rFonts w:asciiTheme="majorBidi" w:hAnsiTheme="majorBidi" w:cstheme="majorBidi"/>
          <w:color w:val="000000" w:themeColor="text1"/>
          <w:sz w:val="24"/>
          <w:szCs w:val="24"/>
        </w:rPr>
      </w:pPr>
    </w:p>
    <w:p w14:paraId="5B2C9E8A"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المادة الحادية والثلاثون ونطاق التأديب التقني</w:t>
      </w:r>
      <w:r>
        <w:rPr>
          <w:rFonts w:asciiTheme="majorBidi" w:hAnsiTheme="majorBidi" w:cstheme="majorBidi" w:hint="cs"/>
          <w:b/>
          <w:bCs/>
          <w:color w:val="000000" w:themeColor="text1"/>
          <w:sz w:val="24"/>
          <w:szCs w:val="24"/>
          <w:rtl/>
        </w:rPr>
        <w:t xml:space="preserve"> :</w:t>
      </w:r>
    </w:p>
    <w:p w14:paraId="59CB0C2B"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نصت المادة الحادية والثلاثون على أن العقوبات التأديبية تشمل الإنذار واللوم والمنع من مزاولة المهنة مؤقتًا أو شطب الاسم من الجدول</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ورغم أن المادة لم تتضمن نصوصًا تتعلق بالأخطاء التقنية، إلا أن مفهوم الإخلال بواجبات المهنة يمكن أن يُفسر على نحو يشمل استخدام الأدوات الذكية بطريقة غير مشروعة أو إهمال أمن البيانات القانونية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5D9EA702" w14:textId="77777777" w:rsidR="00A40287" w:rsidRPr="00BC5F38" w:rsidRDefault="00A40287"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جانب من الفقه</w:t>
      </w:r>
      <w:r>
        <w:rPr>
          <w:rStyle w:val="af"/>
          <w:rFonts w:asciiTheme="majorBidi" w:hAnsiTheme="majorBidi" w:cstheme="majorBidi"/>
          <w:color w:val="000000" w:themeColor="text1"/>
          <w:sz w:val="24"/>
          <w:szCs w:val="24"/>
          <w:rtl/>
        </w:rPr>
        <w:footnoteReference w:id="19"/>
      </w:r>
      <w:r>
        <w:rPr>
          <w:rFonts w:asciiTheme="majorBidi" w:hAnsiTheme="majorBidi" w:cstheme="majorBidi"/>
          <w:color w:val="000000" w:themeColor="text1"/>
          <w:sz w:val="24"/>
          <w:szCs w:val="24"/>
          <w:rtl/>
        </w:rPr>
        <w:t xml:space="preserve"> أن المشرع السعودي ترك للمجالس التأديبية والجهات الرقابية سلطة تقديرية واسعة لتكييف صور الإخلال المهني بما يتناسب مع التطورات الحديثة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وبالتالي يمكن تطبيق هذه المادة على الأخطاء الناشئة عن سوء استخدام التقنيات أو الذكاء الاصطناعي في مكاتب المحاماة</w:t>
      </w:r>
      <w:r>
        <w:rPr>
          <w:rFonts w:asciiTheme="majorBidi" w:hAnsiTheme="majorBidi" w:cstheme="majorBidi" w:hint="cs"/>
          <w:color w:val="000000" w:themeColor="text1"/>
          <w:sz w:val="24"/>
          <w:szCs w:val="24"/>
          <w:rtl/>
        </w:rPr>
        <w:t>.</w:t>
      </w:r>
    </w:p>
    <w:p w14:paraId="2A79EC51"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b/>
          <w:bCs/>
          <w:color w:val="000000" w:themeColor="text1"/>
          <w:sz w:val="24"/>
          <w:szCs w:val="24"/>
          <w:rtl/>
        </w:rPr>
        <w:t>- التحول العدلي الرقمي وتأثيره على صلاحية النظام</w:t>
      </w:r>
    </w:p>
    <w:p w14:paraId="226BAB2E"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منذ عام 2018 بدأت وزارة العدل تنفيذ برنامج العدالة الرقمية الذي أوجد المحكمة الإلكترونية ومنصة ناجز وخدمات التقاضي عن بعد</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lastRenderedPageBreak/>
        <w:t>غير أن نظام المحاماة ظل دون تعديل جوهري يواكب هذا التحول، فلم يتضمن نصوصًا تنظم التمثيل الرقمي أو العمل القانوني عبر الوسائط الإلكترونية</w:t>
      </w:r>
      <w:r>
        <w:rPr>
          <w:rFonts w:asciiTheme="majorBidi" w:hAnsiTheme="majorBidi" w:cstheme="majorBidi"/>
          <w:color w:val="000000" w:themeColor="text1"/>
          <w:sz w:val="24"/>
          <w:szCs w:val="24"/>
        </w:rPr>
        <w:t>.</w:t>
      </w:r>
    </w:p>
    <w:p w14:paraId="1792CFB1" w14:textId="77777777" w:rsidR="00A40287" w:rsidRPr="00A40287" w:rsidRDefault="00A40287"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تقارير وزارة العدل لعام 2022 إلى أن أكثر من تسعين في المئة من خدمات المحاكم أصبحت رقمية، بينما لا يزال نظام المحاماة يعمل وفق بنية تقليدية صُممت لعصر الورق</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التباين بين الواقع العملي والنصوص التشريعية يعكس حاجة ملحة إلى تحديث النظام بحيث يشمل تنظيمًا صريحًا لتقنيات الذكاء الاصطناعي في الممارسة القانونية</w:t>
      </w:r>
      <w:r>
        <w:rPr>
          <w:rFonts w:asciiTheme="majorBidi" w:hAnsiTheme="majorBidi" w:cstheme="majorBidi" w:hint="cs"/>
          <w:color w:val="000000" w:themeColor="text1"/>
          <w:sz w:val="24"/>
          <w:szCs w:val="24"/>
          <w:rtl/>
        </w:rPr>
        <w:t>.</w:t>
      </w:r>
    </w:p>
    <w:p w14:paraId="763673D1"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ويُؤكد نظام المحاماة السعودي بنصه الصريح في المادة (11) أن على المحامي الذي يقبل توكيلًا في قضية "الانصراف لإتمامها والاستمرار في القيام بها حتى انقضائها بحكم نهائي أو انتهاء المهمة"، وهو الالتزام الذي يُمتد ليشمل صحة الأدوات والوسائل المُستخدمة في تنفيذه بما فيها الأدوات الرقمية.</w:t>
      </w:r>
      <w:r>
        <w:rPr>
          <w:rStyle w:val="af"/>
          <w:rFonts w:asciiTheme="majorBidi" w:hAnsiTheme="majorBidi" w:cstheme="majorBidi"/>
          <w:sz w:val="24"/>
          <w:szCs w:val="24"/>
          <w:rtl/>
        </w:rPr>
        <w:footnoteReference w:id="20"/>
      </w:r>
    </w:p>
    <w:p w14:paraId="220613CF"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الخلاصة التحليلية</w:t>
      </w:r>
      <w:r>
        <w:rPr>
          <w:rFonts w:asciiTheme="majorBidi" w:hAnsiTheme="majorBidi" w:cstheme="majorBidi" w:hint="cs"/>
          <w:b/>
          <w:bCs/>
          <w:color w:val="000000" w:themeColor="text1"/>
          <w:sz w:val="24"/>
          <w:szCs w:val="24"/>
          <w:rtl/>
        </w:rPr>
        <w:t xml:space="preserve"> :</w:t>
      </w:r>
    </w:p>
    <w:p w14:paraId="5E32C1D7"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وفي هذا السياق، أثبتت الدراسات المقارنة أن الفجوة بين الأطر التشريعية القائمة ومتطلبات تنظيم الذكاء الاصطناعي ظاهرة واسعة الانتشار؛ فقد خلص جانب من الفقه في بحوثهمما المنشور ضمن المجلة العربية للنشر العلمي إلى أن المنظومة التشريعية في المملكة العربية السعودية تمتلك مقومات تنظيمية واعدة، لكنها تفتقر إلى إطار موحّد يُحكم ضبط استخدامات الذكاء الاصطناعي ويُعيّن المسؤوليات المدنية والجنائية المترتبة عليها بصورة صريحة.</w:t>
      </w:r>
      <w:r>
        <w:rPr>
          <w:rStyle w:val="af"/>
          <w:rFonts w:asciiTheme="majorBidi" w:hAnsiTheme="majorBidi" w:cstheme="majorBidi"/>
          <w:sz w:val="24"/>
          <w:szCs w:val="24"/>
          <w:rtl/>
        </w:rPr>
        <w:footnoteReference w:id="21"/>
      </w:r>
    </w:p>
    <w:p w14:paraId="5C43468C" w14:textId="77777777" w:rsidR="00A40287" w:rsidRPr="00A40287" w:rsidRDefault="00A40287" w:rsidP="00A4028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خلال تحليل المواد النظامية الأساسية يتضح أن نظام المحاماة يمثل قاعدة صلبة لتنظيم المهنة من حيث الترخيص والمساءلة، لكنه لا يستوعب التطور التقني الحديث الذي غيّر شكل ممارسة العدالة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الحالي يعالج مسؤولية الإنسان، بينما أصبح الواقع يفرض مسؤوليات جديدة تتعلق بالأنظمة الذكية والأدوات التقنية المستخدمة داخل مكاتب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وعليه، فإن تحديث النظام ليشمل ضوابط استخدام الذكاء الاصطناعي أصبح ضرورة لضمان توافق الممارسة المهنية مع التحول العدلي الرقمي، وهو ما تمثل هذه الدراسة إطارًا علميًا لتحليله واقتراح تنظيمه</w:t>
      </w:r>
      <w:r>
        <w:rPr>
          <w:rFonts w:asciiTheme="majorBidi" w:hAnsiTheme="majorBidi" w:cstheme="majorBidi" w:hint="cs"/>
          <w:color w:val="000000" w:themeColor="text1"/>
          <w:sz w:val="24"/>
          <w:szCs w:val="24"/>
          <w:rtl/>
        </w:rPr>
        <w:t>.</w:t>
      </w:r>
    </w:p>
    <w:p w14:paraId="1BF642DA" w14:textId="77777777" w:rsidR="00A40287" w:rsidRPr="0026477A" w:rsidRDefault="00A40287" w:rsidP="0026477A">
      <w:pPr>
        <w:jc w:val="right"/>
        <w:rPr>
          <w:rFonts w:asciiTheme="majorBidi" w:hAnsiTheme="majorBidi" w:cstheme="majorBidi"/>
          <w:color w:val="000000" w:themeColor="text1"/>
          <w:sz w:val="24"/>
          <w:szCs w:val="24"/>
        </w:rPr>
      </w:pPr>
    </w:p>
    <w:p w14:paraId="516F5E71"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الطبيعة القانونية لمهنة المحاماة في النظام السعودي</w:t>
      </w:r>
      <w:r>
        <w:rPr>
          <w:rFonts w:asciiTheme="majorBidi" w:hAnsiTheme="majorBidi" w:cstheme="majorBidi" w:hint="cs"/>
          <w:b/>
          <w:bCs/>
          <w:color w:val="000000" w:themeColor="text1"/>
          <w:sz w:val="24"/>
          <w:szCs w:val="24"/>
          <w:rtl/>
        </w:rPr>
        <w:t>:</w:t>
      </w:r>
    </w:p>
    <w:p w14:paraId="3886E633"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وفي ضوء إطار حوكمة الذكاء الاصطناعي الذي أرسته الهيئة السعودية للبيانات والذكاء الاصطناعي (سدايا)، أصدرت الهيئة في سبتمبر 2024م وثيقة "إطار تبني الذكاء الاصطناعي" التي تُعدّ المرجع التشغيلي لإدماج الذكاء الاصطناعي في المنظمات السعودية؛ إذ تُحدد ستة ركائز رئيسية لتبني الذكاء الاصطناعي بصورة محوكمة ومسؤولة، تشمل: التأسيس، وتحديد التوجه، وتقييم النضج والجاهزية، وتفعيل التبني، وبناء الممكنات، والمتابعة والتحسين المستمر. وتُلزم هذه الوثيقة المنظمات بما فيها مكاتب المحاماة بتأسيس وحدة مختصة بالذكاء الاصطناعي وبناء قدرات بشرية مؤهلة لإدارته.</w:t>
      </w:r>
      <w:r>
        <w:rPr>
          <w:rStyle w:val="af"/>
          <w:rFonts w:asciiTheme="majorBidi" w:hAnsiTheme="majorBidi" w:cstheme="majorBidi"/>
          <w:sz w:val="24"/>
          <w:szCs w:val="24"/>
          <w:rtl/>
        </w:rPr>
        <w:footnoteReference w:id="22"/>
      </w:r>
    </w:p>
    <w:p w14:paraId="2A3A0181"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تتسم مهنة المحاماة في النظام السعودي بطبيعة قانونية خاصة تجعلها مختلفة عن سائر المهن الحرة التقليدية. فهي من جهة مهنة يمارسها الأفراد لحسابهم الخاص، ويبرمون من خلالها عقود أتعاب مع موكليهم، ومن جهة أخرى </w:t>
      </w:r>
      <w:r>
        <w:rPr>
          <w:rFonts w:asciiTheme="majorBidi" w:hAnsiTheme="majorBidi" w:cstheme="majorBidi"/>
          <w:color w:val="000000" w:themeColor="text1"/>
          <w:sz w:val="24"/>
          <w:szCs w:val="24"/>
          <w:rtl/>
        </w:rPr>
        <w:lastRenderedPageBreak/>
        <w:t>تعد جزءًا من المنظومة العدلية التي تستهدف حماية الحقوق وتحقيق العدالة. هذه الازدواجية بين البعد المهني والبعد العدلي هي المدخل لفهم كيفية تعامل النظام السعودي مع أي أدوات جديدة تدخل في صميم ممارسة المهنة، وفي مقدمتها تقنيات الذكاء الاصطناعي</w:t>
      </w:r>
      <w:r>
        <w:rPr>
          <w:rFonts w:asciiTheme="majorBidi" w:hAnsiTheme="majorBidi" w:cstheme="majorBidi"/>
          <w:color w:val="000000" w:themeColor="text1"/>
          <w:sz w:val="24"/>
          <w:szCs w:val="24"/>
        </w:rPr>
        <w:t>.</w:t>
      </w:r>
    </w:p>
    <w:p w14:paraId="0E587693"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فمن الناحية الأولى، تمارس المحاماة بوصفها نشاطًا مهنيًا قائمًا على العقد بين المحامي وموكله. يتفق الطرفان على الأتعاب، وعلى نطاق التمثيل القانوني، وعلى طبيعة الخدمة المقدمة. هذا الجانب التعاقدي يفتح الباب طبيعيًا أمام تطويع الوسائل الحديثة لزيادة كفاءة العمل المهني، مثل استخدام الأنظمة الذكية في البحث القانوني وإدارة القضايا وتحليل العقود. وقد أشارت دراسات إسماعيل</w:t>
      </w:r>
      <w:r>
        <w:rPr>
          <w:rStyle w:val="af"/>
          <w:rFonts w:asciiTheme="majorBidi" w:hAnsiTheme="majorBidi" w:cstheme="majorBidi"/>
          <w:color w:val="000000" w:themeColor="text1"/>
          <w:sz w:val="24"/>
          <w:szCs w:val="24"/>
          <w:rtl/>
        </w:rPr>
        <w:footnoteReference w:id="23"/>
      </w:r>
      <w:r>
        <w:rPr>
          <w:rFonts w:asciiTheme="majorBidi" w:hAnsiTheme="majorBidi" w:cstheme="majorBidi"/>
          <w:color w:val="000000" w:themeColor="text1"/>
          <w:sz w:val="24"/>
          <w:szCs w:val="24"/>
          <w:rtl/>
        </w:rPr>
        <w:t xml:space="preserve"> عن تأثير الذكاء الاصطناعي على المهن القانونية إلى أن المحامين في البيئات الحديثة يتجهون إلى تبني هذه الأدوات بوصفها ميزة تنافسية تتيح لهم تقديم خدمات أسرع وأدق من غيرهم</w:t>
      </w:r>
      <w:r>
        <w:rPr>
          <w:rFonts w:asciiTheme="majorBidi" w:hAnsiTheme="majorBidi" w:cstheme="majorBidi"/>
          <w:color w:val="000000" w:themeColor="text1"/>
          <w:sz w:val="24"/>
          <w:szCs w:val="24"/>
        </w:rPr>
        <w:t>.</w:t>
      </w:r>
    </w:p>
    <w:p w14:paraId="72C9AE88"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من الناحية الثانية، لا ينظر النظام السعودي إلى المحاماة باعتبارها نشاطًا تجاريًا صرفًا، بل يجعلها مهنة ذات ارتباط وثيق بالصالح العام. فالمحامي يمثل يربط بين الأفراد والسلطة القضائية، ويؤدي دورًا في تمكين الوصول إلى العدالة، ويخضع في سلوكه المهني لرقابة تنظيمية وتأديبية. وقد بينت دراسات جانب من الفقه</w:t>
      </w:r>
      <w:r>
        <w:rPr>
          <w:rStyle w:val="af"/>
          <w:rFonts w:asciiTheme="majorBidi" w:hAnsiTheme="majorBidi" w:cstheme="majorBidi"/>
          <w:color w:val="000000" w:themeColor="text1"/>
          <w:sz w:val="24"/>
          <w:szCs w:val="24"/>
          <w:rtl/>
        </w:rPr>
        <w:footnoteReference w:id="24"/>
      </w:r>
      <w:r>
        <w:rPr>
          <w:rFonts w:asciiTheme="majorBidi" w:hAnsiTheme="majorBidi" w:cstheme="majorBidi"/>
          <w:color w:val="000000" w:themeColor="text1"/>
          <w:sz w:val="24"/>
          <w:szCs w:val="24"/>
          <w:rtl/>
        </w:rPr>
        <w:t xml:space="preserve"> أن المشرع السعودي يتعامل مع المحاماة بوصفها ركيزة من ركائز العدالة المؤسسية، لا مجرد خدمة قانونية خاصة. هذا البعد العدلي يجعل المهنة مقيدة بجملة من الالتزامات التي لا يمكن تجاوزها بدعوى التطور التقني أو الحرية المهنية</w:t>
      </w:r>
      <w:r>
        <w:rPr>
          <w:rFonts w:asciiTheme="majorBidi" w:hAnsiTheme="majorBidi" w:cstheme="majorBidi"/>
          <w:color w:val="000000" w:themeColor="text1"/>
          <w:sz w:val="24"/>
          <w:szCs w:val="24"/>
        </w:rPr>
        <w:t>.</w:t>
      </w:r>
    </w:p>
    <w:p w14:paraId="3E397C09"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وتنعكس هذه الطبيعة المزدوجة مباشرة على مسألة توظيف الذكاء الاصطناعي في مكاتب المحاماة. فالمحامي، بحكم صفته المهنية الحرة، قد يسعى إلى استخدام أنظمة ذكية لتوليد المذكرات أو صياغة العقود أو تحليل المخاطر القانونية، باعتبارها أدوات تعزز كفاءة الأداء وتقلل الكلفة والوقت. لكن بصفته جزءًا من المنظومة العدلية، يظل ملزمًا بأن تكون هذه الوسائل منسجمة مع مقتضيات العدالة، وأن لا تؤدي إلى الإخلال بحقوق الموكلين أو سرية بياناتهم أو ضمانات المحاكمة العادلة. وهنا يظهر التحدي التشريعي الحقيقي الذي تتناوله هذه الدراسة، وهو كيفية بناء إطار قانوني يسمح بالاستفادة من الذكاء الاصطناعي من دون أن يخل ذلك بجوهر المهنة وطبيعتها العدلية</w:t>
      </w:r>
      <w:r>
        <w:rPr>
          <w:rFonts w:asciiTheme="majorBidi" w:hAnsiTheme="majorBidi" w:cstheme="majorBidi"/>
          <w:color w:val="000000" w:themeColor="text1"/>
          <w:sz w:val="24"/>
          <w:szCs w:val="24"/>
        </w:rPr>
        <w:t>.</w:t>
      </w:r>
    </w:p>
    <w:p w14:paraId="3E583D03" w14:textId="77777777" w:rsidR="00AA06F2" w:rsidRPr="00AA06F2" w:rsidRDefault="00AA06F2" w:rsidP="00AA06F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استقلال المحامي يمثل عنصرًا جوهريًا في هذه الطبيعة القانونية الخاصة. فالاستقلال لا يعني فقط عدم خضوع المحامي للضغوط من الخصوم أو الجهات الرسمية، بل يعني أيضًا قدرته على تكوين رأيه القانوني بناء على اجتهاده وخبرته وتحليله للنصوص والوقائع. ومع دخول الأنظمة الذكية إلى بيئة العمل القانوني، أصبح هذا الاستقلال مهددًا بنوع جديد من التأثير غير المباشر، يتمثل في اعتماد المحامي على مخرجات نظام تحليلي أو مولد للنصوص قد لا يكون شفافًا في طريقة عمله أو مصادر بياناته. وقد نبهت أبحاث فاطمة بلال</w:t>
      </w:r>
      <w:r>
        <w:rPr>
          <w:rStyle w:val="af"/>
          <w:rFonts w:asciiTheme="majorBidi" w:hAnsiTheme="majorBidi" w:cstheme="majorBidi"/>
          <w:color w:val="000000" w:themeColor="text1"/>
          <w:sz w:val="24"/>
          <w:szCs w:val="24"/>
          <w:rtl/>
        </w:rPr>
        <w:footnoteReference w:id="25"/>
      </w:r>
      <w:r>
        <w:rPr>
          <w:rFonts w:asciiTheme="majorBidi" w:hAnsiTheme="majorBidi" w:cstheme="majorBidi"/>
          <w:color w:val="000000" w:themeColor="text1"/>
          <w:sz w:val="24"/>
          <w:szCs w:val="24"/>
          <w:rtl/>
        </w:rPr>
        <w:t xml:space="preserve"> حول العدالة الرقمية إلى أن الإفراط في الاعتماد على الخوارزميات في اتخاذ القرارات القانونية قد يؤدي إلى إضعاف الدور الإنساني في تقدير الملابسات الفردية لكل قضية، وهو ما يتعارض مع فلسفة العدالة ذاتها</w:t>
      </w:r>
      <w:r>
        <w:rPr>
          <w:rFonts w:asciiTheme="majorBidi" w:hAnsiTheme="majorBidi" w:cstheme="majorBidi"/>
          <w:color w:val="000000" w:themeColor="text1"/>
          <w:sz w:val="24"/>
          <w:szCs w:val="24"/>
        </w:rPr>
        <w:t>.</w:t>
      </w:r>
    </w:p>
    <w:p w14:paraId="5A296A77" w14:textId="77777777" w:rsidR="00AA06F2" w:rsidRPr="00AA06F2" w:rsidRDefault="00AA06F2"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الزاوية الفقهية، تشكل المحاماة امتدادًا مؤسسيًا لعقد الوكالة، حيث يقوم المحامي مقام موكله في مباشرة حقوقه والمطالبة بها. إلا أن النظام السعودي لم يكتف بهذا التكييف الفقهي التقليدي، بل نظم المهنة كإطار قانوني مستقل يشترط الترخيص والتأهيل العلمي والتسجيل في جداول رسمية. هذا التطور جعل المحاماة تخرج من نطاق الوكالة الخاصة إلى نطاق الوظيفة العامة ذات المسؤولية المجتمعية. وبناء على هذا التكييف، لا يمكن اعتبار الذكاء الاصطناعي وكيلاً أو ممثلًا قانونيًا، لأنه يفتقر إلى الأهلية والإرادة والتمييز، وإنما يظل مجرد أداة يستخدمها المحامي الذي يحمل وحده صفة التمثيل أمام الجهات القضائية والإدارية. وهذا ما يؤكده أيضًا تطور الأحكام المدنية الحديثة في المملكة في تنظيم العقود والوكالات في نظام المعاملات المدنية</w:t>
      </w:r>
      <w:r>
        <w:rPr>
          <w:rFonts w:asciiTheme="majorBidi" w:hAnsiTheme="majorBidi" w:cstheme="majorBidi"/>
          <w:color w:val="000000" w:themeColor="text1"/>
          <w:sz w:val="24"/>
          <w:szCs w:val="24"/>
        </w:rPr>
        <w:t>.</w:t>
      </w:r>
    </w:p>
    <w:p w14:paraId="01E630EC" w14:textId="77777777" w:rsidR="00AA06F2" w:rsidRPr="00AA06F2" w:rsidRDefault="00AA06F2"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ويتصل بذلك البعد الأخلاقي للمهنة، الذي يعد جزءًا من طبيعتها القانونية. فالمحامي ملزم بالمحافظة على السرية المهنية، واحترام خصوصية موكليه، وعدم استغلال المعلومات التي يطلع عليها في غير مصلحتهم. ومع ظهور تقنيات الذكاء الاصطناعي التي تعتمد في عملها على معالجة البيانات وتخزينها وتحليلها، أصبح هذا الالتزام الأخلاقي مهددًا بمخاطر جديدة. فقد يؤدي إدخال بيانات الموكلين في أنظمة سحابية خارجية أو منصات ذكاء اصطناعي غير منضبطة إلى تعريض هذه البيانات للانكشاف أو الاستغلال. وقد شددت وثيقة مبادئ أخلاقيات الذكاء الاصطناعي الصادرة عن سدايا</w:t>
      </w:r>
      <w:r>
        <w:rPr>
          <w:rStyle w:val="af"/>
          <w:rFonts w:asciiTheme="majorBidi" w:hAnsiTheme="majorBidi" w:cstheme="majorBidi"/>
          <w:color w:val="000000" w:themeColor="text1"/>
          <w:sz w:val="24"/>
          <w:szCs w:val="24"/>
          <w:rtl/>
        </w:rPr>
        <w:footnoteReference w:id="26"/>
      </w:r>
      <w:r>
        <w:rPr>
          <w:rFonts w:asciiTheme="majorBidi" w:hAnsiTheme="majorBidi" w:cstheme="majorBidi"/>
          <w:color w:val="000000" w:themeColor="text1"/>
          <w:sz w:val="24"/>
          <w:szCs w:val="24"/>
          <w:rtl/>
        </w:rPr>
        <w:t xml:space="preserve"> على ضرورة حماية الخصوصية وضمان الشفافية والمساءلة عند استخدام هذه التقنيات في القطاعات المهنية، وهو ما ينسجم مع طبيعة مهنة المحاماة التي تقوم على الثقة والسرية</w:t>
      </w:r>
      <w:r>
        <w:rPr>
          <w:rFonts w:asciiTheme="majorBidi" w:hAnsiTheme="majorBidi" w:cstheme="majorBidi"/>
          <w:color w:val="000000" w:themeColor="text1"/>
          <w:sz w:val="24"/>
          <w:szCs w:val="24"/>
        </w:rPr>
        <w:t>.</w:t>
      </w:r>
    </w:p>
    <w:p w14:paraId="76EF9177"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الدولي المقارن لمبادئ أخلاقيات الذكاء الاصطناعي، كشف جانب من الفقه أن التجربة الإماراتية أثبتت أن تطبيق هذه المبادئ في السياق القضائي يحتاج إلى مترجِم مؤسسي يُحوّل المبادئ العامة إلى قواعد إجرائية قابلة للتطبيق؛ وقد اضطلعت وزارة العدل الإماراتية بهذا الدور عبر إصدار دليل اشتراطات الذكاء الاصطناعي القضائي.</w:t>
      </w:r>
      <w:r>
        <w:rPr>
          <w:rtl/>
        </w:rPr>
        <w:footnoteReference w:id="27"/>
      </w:r>
    </w:p>
    <w:p w14:paraId="5FAC8A3A"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وفيما يخص وثيقة مبادئ أخلاقيات الذكاء الاصطناعي التي أصدرتها هيئة سدايا، ذهب جانب من الفقه إلى أن الوثيقة تُقرّ بمبادئ جوهرية كالشفافية والعدالة وحماية الخصوصية، إلا أن قيمتها التطبيقية في القطاع القانوني تظل محدودة ما لم تُفصَّل في لوائح تنفيذية مُلزِمة تُحدّد آليات الالتزام وعقوبات المخالفة وجهات الرقابة المختصة.</w:t>
      </w:r>
      <w:r>
        <w:rPr>
          <w:rtl/>
        </w:rPr>
        <w:footnoteReference w:id="28"/>
      </w:r>
    </w:p>
    <w:p w14:paraId="793FB78C"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ضوء وثيقة مبادئ أخلاقيات الذكاء الاصطناعي الصادرة عن هيئة البيانات والذكاء الاصطناعي (سدايا)، لاحظ جانب من الفقه أن هذه الوثيقة أرست مبادئ الشفافية والمساءلة وضمان الجودة إلا أنها أغفلت بيان آليات تطبيقها على سياق المهن القانونية تحديداً، وهو ما يستوجب وضع لوائح تنفيذية مُكمّلة تُعالج خصوصية المحاماة والقضاء والتوثيق.</w:t>
      </w:r>
      <w:r>
        <w:rPr>
          <w:rtl/>
        </w:rPr>
        <w:footnoteReference w:id="29"/>
      </w:r>
    </w:p>
    <w:p w14:paraId="1C7165F4" w14:textId="77777777" w:rsidR="00AA06F2" w:rsidRDefault="00AA06F2" w:rsidP="002A34EF">
      <w:pPr>
        <w:jc w:val="right"/>
        <w:rPr>
          <w:rFonts w:asciiTheme="majorBidi" w:hAnsiTheme="majorBidi" w:cstheme="majorBidi"/>
          <w:color w:val="000000" w:themeColor="text1"/>
          <w:sz w:val="24"/>
          <w:szCs w:val="24"/>
          <w:rtl/>
        </w:rPr>
      </w:pPr>
      <w:r>
        <w:rPr>
          <w:rFonts w:asciiTheme="majorBidi" w:hAnsiTheme="majorBidi" w:cstheme="majorBidi"/>
          <w:b/>
          <w:bCs/>
          <w:color w:val="000000" w:themeColor="text1"/>
          <w:sz w:val="24"/>
          <w:szCs w:val="24"/>
          <w:rtl/>
        </w:rPr>
        <w:t>ومن خلال هذا التحليل</w:t>
      </w:r>
      <w:r>
        <w:rPr>
          <w:rFonts w:asciiTheme="majorBidi" w:hAnsiTheme="majorBidi" w:cstheme="majorBidi"/>
          <w:color w:val="000000" w:themeColor="text1"/>
          <w:sz w:val="24"/>
          <w:szCs w:val="24"/>
          <w:rtl/>
        </w:rPr>
        <w:t>، يتضح أن الطبيعة القانونية لمهنة المحاماة في النظام السعودي لا تقتصر على تعريف شكلي للمهنة وحدود اختصاصها، بل تمتد لتشمل شبكة من القيم والمبادئ، مثل الاستقلال والمسؤولية والسرية والبعد العدلي العام. هذه العناصر مجتمعة تحدد الإطار الذي يجب أن يتحرك داخله أي تنظيم لتوظيف الذكاء الاصطناعي في مكاتب المحاماة. ومن ثم فإن أي إطار قانوني مقترح لتنظيم هذه التقنيات، كما تسعى هذه الرسالة إلى بنائه، لا بد أن يراعي هذه الطبيعة الخاصة، وأن يحافظ على مركزية المحامي الإنسان في اتخاذ القرار القانوني، مع السماح في الوقت نفسه باستثمار قدرات الذكاء الاصطناعي في تطوير جودة وكفاءة الخدمات القانونية</w:t>
      </w:r>
      <w:r>
        <w:rPr>
          <w:rFonts w:asciiTheme="majorBidi" w:hAnsiTheme="majorBidi" w:cstheme="majorBidi" w:hint="cs"/>
          <w:color w:val="000000" w:themeColor="text1"/>
          <w:sz w:val="24"/>
          <w:szCs w:val="24"/>
          <w:rtl/>
        </w:rPr>
        <w:t>.</w:t>
      </w:r>
    </w:p>
    <w:p w14:paraId="4561114A" w14:textId="77777777" w:rsidR="00D41CB7" w:rsidRPr="00AA06F2" w:rsidRDefault="00D41CB7" w:rsidP="002A34EF">
      <w:pPr>
        <w:jc w:val="right"/>
        <w:rPr>
          <w:rFonts w:asciiTheme="majorBidi" w:hAnsiTheme="majorBidi" w:cstheme="majorBidi"/>
          <w:color w:val="000000" w:themeColor="text1"/>
          <w:sz w:val="24"/>
          <w:szCs w:val="24"/>
        </w:rPr>
      </w:pPr>
    </w:p>
    <w:p w14:paraId="37E120F2" w14:textId="77777777" w:rsidR="006F4E03" w:rsidRPr="006F4E03" w:rsidRDefault="006F4E03" w:rsidP="002A34E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البنية النصية لنظام المحاماة وأثرها في التحول التقني</w:t>
      </w:r>
      <w:r>
        <w:rPr>
          <w:rFonts w:asciiTheme="majorBidi" w:hAnsiTheme="majorBidi" w:cstheme="majorBidi" w:hint="cs"/>
          <w:b/>
          <w:bCs/>
          <w:color w:val="000000" w:themeColor="text1"/>
          <w:sz w:val="24"/>
          <w:szCs w:val="24"/>
          <w:rtl/>
        </w:rPr>
        <w:t>:</w:t>
      </w:r>
    </w:p>
    <w:p w14:paraId="52B9AE51"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وفي سياق إثبات التصرفات القانونية الرقمية، خلص جانب من الفقه في دراساتهم المنشورة بمجلة الباحث العربي إلى أن عصر الذكاء الاصطناعي قد أفرز علاقات ومراكز قانونية جديدة أثبتت عجز القواعد القانونية الحالية عن </w:t>
      </w:r>
      <w:r>
        <w:rPr>
          <w:rFonts w:asciiTheme="majorBidi" w:hAnsiTheme="majorBidi" w:cstheme="majorBidi"/>
          <w:sz w:val="24"/>
          <w:szCs w:val="24"/>
          <w:rtl/>
        </w:rPr>
        <w:lastRenderedPageBreak/>
        <w:t>استيعابها وتنظيمها؛ وذلك لأن المفهوم الحديث لتكنولوجيا الذكاء الاصطناعي تجاوز نطاق التكنولوجيا في صورتها التقليدية التي لم تثر كثيرًا من الإشكاليات القانونية.</w:t>
      </w:r>
      <w:r>
        <w:rPr>
          <w:rStyle w:val="af"/>
          <w:rFonts w:asciiTheme="majorBidi" w:hAnsiTheme="majorBidi" w:cstheme="majorBidi"/>
          <w:sz w:val="24"/>
          <w:szCs w:val="24"/>
          <w:rtl/>
        </w:rPr>
        <w:footnoteReference w:id="30"/>
      </w:r>
    </w:p>
    <w:p w14:paraId="3861416D"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Pr>
        <w:t xml:space="preserve">: </w:t>
      </w:r>
      <w:r>
        <w:rPr>
          <w:rFonts w:asciiTheme="majorBidi" w:hAnsiTheme="majorBidi" w:cstheme="majorBidi" w:hint="cs"/>
          <w:b/>
          <w:bCs/>
          <w:color w:val="000000" w:themeColor="text1"/>
          <w:sz w:val="24"/>
          <w:szCs w:val="24"/>
          <w:rtl/>
        </w:rPr>
        <w:t xml:space="preserve">1- </w:t>
      </w:r>
      <w:r>
        <w:rPr>
          <w:rFonts w:asciiTheme="majorBidi" w:hAnsiTheme="majorBidi" w:cstheme="majorBidi"/>
          <w:b/>
          <w:bCs/>
          <w:color w:val="000000" w:themeColor="text1"/>
          <w:sz w:val="24"/>
          <w:szCs w:val="24"/>
          <w:rtl/>
        </w:rPr>
        <w:t>البناء الهيكلي للنظام وطبيعة صياغته التشريعية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جاء نظام المحاماة بصياغة تقليدية تنتمي إلى الجيل الأول من التشريعات العدلية السعودية، حيث رُوعي فيه الطابع الإجرائي والتنظيمي أكثر من الطابع التقني أو المستقبلي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يتكوّن النظام من عدة أبواب تتناول شروط القيد في جدول المحامين، وحقوقهم وواجباتهم، وأحكام التأديب، والجزاءات النظامية، دون أن يتضمن أي باب مستقل لتنظيم الوسائل أو الأدوات التي تُستخدم في الممارسة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وهذه الصياغة تعكس مرحلة تشريعية سبقت التحول الرقمي، حيث كان التشريع يركّز على ضبط العلاقة بين المحامي وموكله، وبين المحامي والسلطة العدلية، من منظور الورق والمرافعة الحضورية</w:t>
      </w:r>
      <w:r>
        <w:rPr>
          <w:rFonts w:asciiTheme="majorBidi" w:hAnsiTheme="majorBidi" w:cstheme="majorBidi"/>
          <w:color w:val="000000" w:themeColor="text1"/>
          <w:sz w:val="24"/>
          <w:szCs w:val="24"/>
        </w:rPr>
        <w:t>.</w:t>
      </w:r>
    </w:p>
    <w:p w14:paraId="0617D0F0"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لكن البنية النصية بهذا الشكل تُظهر أن النظام لم يُصمم ليستوعب التقنيات القانونية الحديثة مثل الذكاء الاصطناعي، إذ تغيب فيه المفاهيم المتعلقة بحفظ البيانات الرقمية، أو استخدام الخوارزميات في البحث والتحليل، أو الاعتماد على الأدوات الذكية في إعداد الأعمال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ويرى جانب من الفقه</w:t>
      </w:r>
      <w:r>
        <w:rPr>
          <w:rStyle w:val="af"/>
          <w:rFonts w:asciiTheme="majorBidi" w:hAnsiTheme="majorBidi" w:cstheme="majorBidi"/>
          <w:color w:val="000000" w:themeColor="text1"/>
          <w:sz w:val="24"/>
          <w:szCs w:val="24"/>
          <w:rtl/>
        </w:rPr>
        <w:footnoteReference w:id="31"/>
      </w:r>
      <w:r>
        <w:rPr>
          <w:rFonts w:asciiTheme="majorBidi" w:hAnsiTheme="majorBidi" w:cstheme="majorBidi"/>
          <w:color w:val="000000" w:themeColor="text1"/>
          <w:sz w:val="24"/>
          <w:szCs w:val="24"/>
          <w:rtl/>
        </w:rPr>
        <w:t xml:space="preserve"> أن هذه الفجوة النصية ليست قصورًا تشريعيًا متعمدًا، بل نتيجة طبيعية لتغير الإطار الزمني والمعرفي الذي وُضع فيه النظام، وهو ما يفرض إعادة صياغة بعض مواده أو استحداث مواد جديدة تراعي التطورات التقنية المتسارعة في بيئة العدالة</w:t>
      </w:r>
      <w:r>
        <w:rPr>
          <w:rFonts w:asciiTheme="majorBidi" w:hAnsiTheme="majorBidi" w:cstheme="majorBidi"/>
          <w:color w:val="000000" w:themeColor="text1"/>
          <w:sz w:val="24"/>
          <w:szCs w:val="24"/>
        </w:rPr>
        <w:t>.</w:t>
      </w:r>
    </w:p>
    <w:p w14:paraId="5AB72E99"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2- </w:t>
      </w:r>
      <w:r>
        <w:rPr>
          <w:rFonts w:asciiTheme="majorBidi" w:hAnsiTheme="majorBidi" w:cstheme="majorBidi"/>
          <w:b/>
          <w:bCs/>
          <w:color w:val="000000" w:themeColor="text1"/>
          <w:sz w:val="24"/>
          <w:szCs w:val="24"/>
          <w:rtl/>
        </w:rPr>
        <w:t>الطابع الشخصي للنصوص النظامية وحدودها في البيئة الرقمية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تقوم البنية النصية للنظام على مبدأ "الشخص الطبيعي" كمركز رئيس في ممارسة المهنة، إذ تُوجّه جميع الالتزامات والحقوق إلى المحامي بصفته الفردية، دون أن تتوسع لتشمل الكيانات التقنية أو المنصات الرقمية التي أصبحت اليوم جزءًا من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يربط المهنة بالأهلية الشخصية والمعرفة القانونية والخبرة العملية، لكنه لا يتعامل مع الذكاء الاصطناعي بوصفه مكوّنًا جديدًا في عملية إنتاج الخدمة القانونية</w:t>
      </w:r>
      <w:r>
        <w:rPr>
          <w:rFonts w:asciiTheme="majorBidi" w:hAnsiTheme="majorBidi" w:cstheme="majorBidi"/>
          <w:color w:val="000000" w:themeColor="text1"/>
          <w:sz w:val="24"/>
          <w:szCs w:val="24"/>
        </w:rPr>
        <w:t>.</w:t>
      </w:r>
    </w:p>
    <w:p w14:paraId="40839240"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في المقابل، تعتمد مكاتب المحاماة الحديثة على نظم إدارة القضايا الإلكترونية، ومنصات توليد العقود، وبرامج التحليل القانوني المدعومة بالذكاء الاصطناعي. وهذه الأدوات أصبحت تؤدي أدوارًا تتجاوز المساعدة التقنية إلى الإسهام في اتخاذ القرار القانوني نفسه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التباين بين الطابع الشخصي للنظام والطابع التشاركي للتقنيات الحديثة يكشف عن فجوة مفهومية داخل البناء النصي للنظام، حيث يُفترض أن يُعاد تعريف مفهوم "الممارسة القانونية" ليشمل الوسائل الرقمية التي يباشر من خلالها المحامي عمله</w:t>
      </w:r>
      <w:r>
        <w:rPr>
          <w:rFonts w:asciiTheme="majorBidi" w:hAnsiTheme="majorBidi" w:cstheme="majorBidi"/>
          <w:color w:val="000000" w:themeColor="text1"/>
          <w:sz w:val="24"/>
          <w:szCs w:val="24"/>
        </w:rPr>
        <w:t>.</w:t>
      </w:r>
    </w:p>
    <w:p w14:paraId="128E85F5"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أوضحت دراسة إسماعيل</w:t>
      </w:r>
      <w:r>
        <w:rPr>
          <w:rStyle w:val="af"/>
          <w:rFonts w:asciiTheme="majorBidi" w:hAnsiTheme="majorBidi" w:cstheme="majorBidi"/>
          <w:color w:val="000000" w:themeColor="text1"/>
          <w:sz w:val="24"/>
          <w:szCs w:val="24"/>
          <w:rtl/>
        </w:rPr>
        <w:footnoteReference w:id="32"/>
      </w:r>
      <w:r>
        <w:rPr>
          <w:rFonts w:asciiTheme="majorBidi" w:hAnsiTheme="majorBidi" w:cstheme="majorBidi"/>
          <w:color w:val="000000" w:themeColor="text1"/>
          <w:sz w:val="24"/>
          <w:szCs w:val="24"/>
          <w:rtl/>
        </w:rPr>
        <w:t xml:space="preserve"> حول المهن القانونية أن الأنظمة الحديثة في بعض الدول (كالاتحاد الأوروبي والإمارات) بدأت تُدخل في تعريف المهنة "الأدوات التقنية المساعدة" وتنظم مسؤوليتها القانونية والأخلاقية، وهو ما لا يزال غائبًا عن الصياغة السعودية الحالية</w:t>
      </w:r>
      <w:r>
        <w:rPr>
          <w:rFonts w:asciiTheme="majorBidi" w:hAnsiTheme="majorBidi" w:cstheme="majorBidi"/>
          <w:color w:val="000000" w:themeColor="text1"/>
          <w:sz w:val="24"/>
          <w:szCs w:val="24"/>
        </w:rPr>
        <w:t>.</w:t>
      </w:r>
    </w:p>
    <w:p w14:paraId="00B5C047" w14:textId="77777777" w:rsidR="00085940" w:rsidRDefault="006F4E03" w:rsidP="00085940">
      <w:pPr>
        <w:jc w:val="right"/>
        <w:rPr>
          <w:rFonts w:asciiTheme="majorBidi" w:hAnsiTheme="majorBidi" w:cstheme="majorBidi"/>
          <w:b/>
          <w:bCs/>
          <w:color w:val="000000" w:themeColor="text1"/>
          <w:sz w:val="24"/>
          <w:szCs w:val="24"/>
          <w:rtl/>
        </w:rPr>
      </w:pPr>
      <w:r>
        <w:rPr>
          <w:rFonts w:asciiTheme="majorBidi" w:hAnsiTheme="majorBidi" w:cstheme="majorBidi" w:hint="cs"/>
          <w:b/>
          <w:bCs/>
          <w:color w:val="000000" w:themeColor="text1"/>
          <w:sz w:val="24"/>
          <w:szCs w:val="24"/>
          <w:rtl/>
        </w:rPr>
        <w:t xml:space="preserve">3- </w:t>
      </w:r>
      <w:r>
        <w:rPr>
          <w:rFonts w:asciiTheme="majorBidi" w:hAnsiTheme="majorBidi" w:cstheme="majorBidi"/>
          <w:b/>
          <w:bCs/>
          <w:color w:val="000000" w:themeColor="text1"/>
          <w:sz w:val="24"/>
          <w:szCs w:val="24"/>
          <w:rtl/>
        </w:rPr>
        <w:t>غياب المفاهيم الرقمية في الهيكل النصي للنظام</w:t>
      </w:r>
    </w:p>
    <w:p w14:paraId="579E2714"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ويدعم هذا الطرح ما أورده جانب من الفقه من أن أنظمة المهن القانونية في الدول العربية تفتقر في مجملها إلى تعريف تشريعي صريح للأدوات التقنية المساعدة، مما يجعلها عاجزة عن ملاحقة التحولات الرقمية التي تعيشها مكاتب المحاماة، ويفسح المجال لاجتهادات قضائية متباينة في التعامل مع مخرجات هذه الأدوات.</w:t>
      </w:r>
      <w:r>
        <w:rPr>
          <w:rtl/>
        </w:rPr>
        <w:footnoteReference w:id="33"/>
      </w:r>
    </w:p>
    <w:p w14:paraId="694E0873" w14:textId="77777777" w:rsidR="00085940" w:rsidRPr="00085940" w:rsidRDefault="00085940" w:rsidP="002A34EF">
      <w:pPr>
        <w:jc w:val="right"/>
        <w:rPr>
          <w:rFonts w:asciiTheme="majorBidi" w:hAnsiTheme="majorBidi" w:cstheme="majorBidi"/>
          <w:color w:val="000000" w:themeColor="text1"/>
        </w:rPr>
      </w:pPr>
      <w:r>
        <w:rPr>
          <w:rFonts w:ascii="Times New Roman" w:eastAsia="Times New Roman" w:hAnsi="Times New Roman" w:cs="Times New Roman"/>
          <w:sz w:val="24"/>
          <w:szCs w:val="24"/>
          <w:rtl/>
        </w:rPr>
        <w:t xml:space="preserve"> </w:t>
      </w:r>
      <w:r>
        <w:rPr>
          <w:rFonts w:asciiTheme="majorBidi" w:hAnsiTheme="majorBidi" w:cstheme="majorBidi"/>
          <w:color w:val="000000" w:themeColor="text1"/>
          <w:rtl/>
        </w:rPr>
        <w:t>من الملاحظ أن نظام المحاماة لم يتضمن أي تعريفات أو إشارات إلى مفاهيم أصبحت اليوم أساسية في الممارسة القانونية الرقمية، مثل البيانات القانونية، الخصوصية، الأمن السيبراني، أو الذكاء الاصطناعي القانوني. ويُعدّ هذا الغياب أحد أهم مظاهر القصور في البنية النصية للنظام، ولا سيما أن المهنة باتت تعتمد اعتمادًا جوهريًا على إدارة معلومات حساسة داخل بيئات إلكترونية</w:t>
      </w:r>
      <w:r>
        <w:rPr>
          <w:rFonts w:asciiTheme="majorBidi" w:hAnsiTheme="majorBidi" w:cstheme="majorBidi"/>
          <w:color w:val="000000" w:themeColor="text1"/>
        </w:rPr>
        <w:t>.</w:t>
      </w:r>
    </w:p>
    <w:p w14:paraId="71A71571"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ويمكن تعليل هذا الغياب جزئيًا بما ذكره محمود وعناني (د.ت) من أن المنظومات القانونية التقليدية تتسم بالمحافظة الهيكلية، إذ تُقاوم إدراج المصطلحات التقنية الناشئة في نصوصها التشريعية حتى بعد شيوع هذه التقنيات استخدامًا، وهو ما يجعل التشريعات القائمة دومًا في حالة تأخر بنيوي عن الواقع الرقمي.</w:t>
      </w:r>
      <w:r>
        <w:rPr>
          <w:rtl/>
        </w:rPr>
        <w:footnoteReference w:id="34"/>
      </w:r>
    </w:p>
    <w:p w14:paraId="31EE7EF2"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وتبرز هنا أهمية الربط بين نظام المحاماة والأنظمة المكملة مثل نظام حماية البيانات الشخصية ونظام الإثبات ونظام المعاملات المدنية. فبينما وضعت هذه الأنظمة ضوابط واضحة للتعامل مع المعلومات الرقمية، ظل نظام المحاماة يفتقر إلى النصوص التي تحدد التزامات المحامي عند التعامل مع قواعد البيانات، أو عند استخدام أدوات تحليل ذكية لمعالجة وثائق الموكلين</w:t>
      </w:r>
      <w:r>
        <w:rPr>
          <w:rFonts w:asciiTheme="majorBidi" w:hAnsiTheme="majorBidi" w:cstheme="majorBidi"/>
          <w:color w:val="000000" w:themeColor="text1"/>
          <w:sz w:val="24"/>
          <w:szCs w:val="24"/>
        </w:rPr>
        <w:t>.</w:t>
      </w:r>
    </w:p>
    <w:p w14:paraId="2588DD29"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وقد بينت </w:t>
      </w:r>
      <w:r>
        <w:rPr>
          <w:rFonts w:asciiTheme="majorBidi" w:hAnsiTheme="majorBidi" w:cstheme="majorBidi"/>
          <w:b/>
          <w:bCs/>
          <w:color w:val="000000" w:themeColor="text1"/>
          <w:sz w:val="24"/>
          <w:szCs w:val="24"/>
          <w:rtl/>
        </w:rPr>
        <w:t>وثيقة مبادئ أخلاقيات الذكاء الاصطناعي</w:t>
      </w:r>
      <w:r>
        <w:rPr>
          <w:rFonts w:asciiTheme="majorBidi" w:hAnsiTheme="majorBidi" w:cstheme="majorBidi"/>
          <w:color w:val="000000" w:themeColor="text1"/>
          <w:sz w:val="24"/>
          <w:szCs w:val="24"/>
          <w:rtl/>
        </w:rPr>
        <w:t xml:space="preserve"> الصادرة عن الهيئة السعودية للبيانات والذكاء الاصطناعي (سدايا) لعام 2023 أن الالتزام بالشفافية والمساءلة والخصوصية يجب أن يكون مبدأً عامًا في القطاعات التي تستخدم تقنيات الذكاء الاصطناعي، وفي مقدمتها القطاعات العدلية والقانونية</w:t>
      </w:r>
      <w:r>
        <w:rPr>
          <w:rFonts w:asciiTheme="majorBidi" w:hAnsiTheme="majorBidi" w:cstheme="majorBidi"/>
          <w:color w:val="000000" w:themeColor="text1"/>
          <w:sz w:val="24"/>
          <w:szCs w:val="24"/>
        </w:rPr>
        <w:t>.</w:t>
      </w:r>
    </w:p>
    <w:p w14:paraId="0E99402B" w14:textId="77777777" w:rsidR="00085940" w:rsidRPr="00085940" w:rsidRDefault="00085940" w:rsidP="002A34E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وانطلاقًا من ذلك، فإن معالجة هذا القصور لا تقتصر على مجرد الإشارة إلى غياب المفاهيم الرقمية، بل تستلزم اقتراح تعديلات عملية على النظام يمكن أن تسهم في بناء إطار تنظيمي أكثر شمولًا يتواءم مع بيئة العمل القانونية الحديثة. ومن أبرز المقترحات العملية التي يمكن تضمينها في النظام</w:t>
      </w:r>
      <w:r>
        <w:rPr>
          <w:rFonts w:asciiTheme="majorBidi" w:hAnsiTheme="majorBidi" w:cstheme="majorBidi"/>
          <w:b/>
          <w:bCs/>
          <w:color w:val="000000" w:themeColor="text1"/>
          <w:sz w:val="24"/>
          <w:szCs w:val="24"/>
        </w:rPr>
        <w:t>:</w:t>
      </w:r>
    </w:p>
    <w:p w14:paraId="283F7608" w14:textId="77777777" w:rsidR="00085940" w:rsidRPr="00085940" w:rsidRDefault="00085940" w:rsidP="002A34EF">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إضافة تعريفات نظامية جديدة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تضمين فصل تعريفي يشمل مصطلحات مثل</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البيانات القانونية الرقمية</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المعالجة الإلكترونية للمعلومات</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الأمن السيبراني القانوني</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أدوات الذكاء الاصطناعي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وهو ما يسهّل ضبط الالتزامات المهنية للمحامي عند ممارسة أعماله التقنية</w:t>
      </w:r>
      <w:r>
        <w:rPr>
          <w:rFonts w:asciiTheme="majorBidi" w:hAnsiTheme="majorBidi" w:cstheme="majorBidi"/>
          <w:color w:val="000000" w:themeColor="text1"/>
          <w:sz w:val="24"/>
          <w:szCs w:val="24"/>
        </w:rPr>
        <w:t>.</w:t>
      </w:r>
    </w:p>
    <w:p w14:paraId="259FE487"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ضوء هذا التحليل، خلص جانب من الفقه إلى أن وثيقة مبادئ أخلاقيات الذكاء الاصطناعي تُمثّل نقطة انطلاق صالحة لإعادة تعريف المسؤولية المهنية في العصر الرقمي، إلا أنه يُلاحظ أن الوثيقة تُعالج الذكاء الاصطناعي بوصفه أداة تقنية عامة لا بوصفه عنصراً فاعلاً في منظومة تقديم الخدمات القانونية، وهو ما يُستوجب معه صياغة وثيقة متخصصة للقطاع القانوني تُراعي خصوصيات السرية والحياد والنزاهة.</w:t>
      </w:r>
      <w:r>
        <w:rPr>
          <w:rtl/>
        </w:rPr>
        <w:footnoteReference w:id="35"/>
      </w:r>
    </w:p>
    <w:p w14:paraId="020EDDCC"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وفيما يتعلق بالبيانات القانونية الرقمية المتعلقة بأحكام القضاء، نبّه جانب من الفقه إلى إشكالية الاستخدام الثانوي لهذه البيانات في تدريب نماذج الذكاء الاصطناعي، مُشيراً إلى أن كثيراً من الشركات التقنية تُوظّف البيانات التي يُدخلها المحامون في أنظمتها لتحسين نماذجها دون إخطار واضح، وهو ما يُمثّل انتهاكاً محتملاً لمبدأ السرية المهنية حتى لو كانت الشروط والأحكام تُجيز ذلك ضمنياً.</w:t>
      </w:r>
      <w:r>
        <w:rPr>
          <w:rtl/>
        </w:rPr>
        <w:footnoteReference w:id="36"/>
      </w:r>
    </w:p>
    <w:p w14:paraId="0F5F8AEB"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وبصدد إضافة تعريفات نظامية جديدة، أوضحت عبد الرحمن أن التشريعات العربية تعتمد في معالجة المستجدات التقنية على أحد مسارين: مسار التعديل التشريعي المباشر الذي يستلزم وقتاً تشريعياً طويلاً، ومسار اللوائح التنفيذية التي تتيح مرونة أعلى وسرعة استجابة أكبر للمتغيرات التقنية، مُقترِحةً أن يسلك النظام السعودي المسار الثاني في المرحلة الراهنة مع التهيؤ للتعديل التشريعي على المدى البعيد.</w:t>
      </w:r>
      <w:r>
        <w:rPr>
          <w:rtl/>
        </w:rPr>
        <w:footnoteReference w:id="37"/>
      </w:r>
    </w:p>
    <w:p w14:paraId="5F610880"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البيانات القانونية الرقمية التي تُغذّي أنظمة الذكاء الاصطناعي المستخدمة في المحاماة، ألحّت الخميسي على أهمية التمييز بين بيانات محمية بالسرية المهنية لا يجوز إدخالها في منصات مفتوحة، وبيانات عامة يمكن توظيفها دون انتهاك الخصوصية، وبيانات مجهولة الهوية تخضع لاشتراطات دنيا قبل توظيفها في التدريب الآلي.</w:t>
      </w:r>
      <w:r>
        <w:rPr>
          <w:rtl/>
        </w:rPr>
        <w:footnoteReference w:id="38"/>
      </w:r>
    </w:p>
    <w:p w14:paraId="28901102"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سياق إضافة تعريفات نظامية جديدة تستوعب التطور التقني، اقترحت الأمين مجموعة من المفاهيم الجديرة بالتدوين التشريعي، أبرزها: مفهوم المسؤولية المُشتركة حين يتدخل الذكاء الاصطناعي في صياغة عقد قانوني، ومفهوم الإفصاح التقني الذي يُلزم المحامي بإبلاغ موكله باستخدام هذه الأنظمة، ومفهوم ضمان الجودة الخوارزمية المتعلق بالتحقق من دقة المخرجات قبل تقديمها.</w:t>
      </w:r>
      <w:r>
        <w:rPr>
          <w:rtl/>
        </w:rPr>
        <w:footnoteReference w:id="39"/>
      </w:r>
    </w:p>
    <w:p w14:paraId="39E952E4"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النص على “المسؤولية الرقمية للمحامي</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بحيث يلتزم المحامي بحماية البيانات، وتأمين أنظمة مكتبه التقنية، وضمان سلامة معالجة المستندات عبر المنصات الذكية، وربط الإخلال بهذه الالتزامات بالمسؤولية التأديبية والمهنية</w:t>
      </w:r>
      <w:r>
        <w:rPr>
          <w:rFonts w:asciiTheme="majorBidi" w:hAnsiTheme="majorBidi" w:cstheme="majorBidi"/>
          <w:color w:val="000000" w:themeColor="text1"/>
          <w:sz w:val="24"/>
          <w:szCs w:val="24"/>
        </w:rPr>
        <w:t>.</w:t>
      </w:r>
    </w:p>
    <w:p w14:paraId="471DD483"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مفهوم “السرية التقنية للمعلومات القانونية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بحيث لا تقتصر السرية على حفظ المستندات ورقيًا، بل تمتد إلى حماية المعلومات المخزنة على الأجهزة، والسحابات الإلكترونية، وقواعد البيانات التي تُستخدم في أعمال المكتب</w:t>
      </w:r>
      <w:r>
        <w:rPr>
          <w:rFonts w:asciiTheme="majorBidi" w:hAnsiTheme="majorBidi" w:cstheme="majorBidi"/>
          <w:color w:val="000000" w:themeColor="text1"/>
          <w:sz w:val="24"/>
          <w:szCs w:val="24"/>
        </w:rPr>
        <w:t>.</w:t>
      </w:r>
    </w:p>
    <w:p w14:paraId="5E6E7DB4"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تضمين نصوص تنظّم استخدام أدوات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اشتراط</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الالتزام بالشفافية عند استخدام الأدوات الذكية في إعداد مذكرات أو تحليل مستندات</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عدم الاعتماد الكلّي على المخرجات الآلية دون مراجعة بشرية</w:t>
      </w:r>
      <w:r>
        <w:rPr>
          <w:rFonts w:asciiTheme="majorBidi" w:hAnsiTheme="majorBidi" w:cstheme="majorBidi"/>
          <w:color w:val="000000" w:themeColor="text1"/>
          <w:sz w:val="24"/>
          <w:szCs w:val="24"/>
        </w:rPr>
        <w:br/>
        <w:t xml:space="preserve">– </w:t>
      </w:r>
      <w:r>
        <w:rPr>
          <w:rFonts w:asciiTheme="majorBidi" w:hAnsiTheme="majorBidi" w:cstheme="majorBidi"/>
          <w:color w:val="000000" w:themeColor="text1"/>
          <w:sz w:val="24"/>
          <w:szCs w:val="24"/>
          <w:rtl/>
        </w:rPr>
        <w:t>ضمان عدم إرسال بيانات الموكلين إلى أدوات أو منصات لا تلتزم بضوابط الخصوصية</w:t>
      </w:r>
      <w:r>
        <w:rPr>
          <w:rFonts w:asciiTheme="majorBidi" w:hAnsiTheme="majorBidi" w:cstheme="majorBidi"/>
          <w:color w:val="000000" w:themeColor="text1"/>
          <w:sz w:val="24"/>
          <w:szCs w:val="24"/>
        </w:rPr>
        <w:t>.</w:t>
      </w:r>
    </w:p>
    <w:p w14:paraId="4FD9539B" w14:textId="77777777" w:rsidR="00085940" w:rsidRPr="00085940" w:rsidRDefault="00085940" w:rsidP="0008594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إنشاء إطار رقابي 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يتضمن إصدار “مدونة سلوك رقمي للمحامين” تشرف عليها وزارة العدل، تُحدّد معايير الاستخدام الأخلاقي للتقنيات، ومعايير حفظ البيانات، والتعامل مع المخاطر التقنية داخل مكاتب المحاماة</w:t>
      </w:r>
      <w:r>
        <w:rPr>
          <w:rFonts w:asciiTheme="majorBidi" w:hAnsiTheme="majorBidi" w:cstheme="majorBidi"/>
          <w:color w:val="000000" w:themeColor="text1"/>
          <w:sz w:val="24"/>
          <w:szCs w:val="24"/>
        </w:rPr>
        <w:t>.</w:t>
      </w:r>
    </w:p>
    <w:p w14:paraId="5F694CC1" w14:textId="77777777" w:rsidR="006F4E03" w:rsidRPr="006F4E03" w:rsidRDefault="00C00F5F"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lastRenderedPageBreak/>
        <w:t xml:space="preserve">4- </w:t>
      </w:r>
      <w:r>
        <w:rPr>
          <w:rFonts w:asciiTheme="majorBidi" w:hAnsiTheme="majorBidi" w:cstheme="majorBidi"/>
          <w:b/>
          <w:bCs/>
          <w:color w:val="000000" w:themeColor="text1"/>
          <w:sz w:val="24"/>
          <w:szCs w:val="24"/>
          <w:rtl/>
        </w:rPr>
        <w:t>القابلية البنيوية للتحديث التشريعي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على الرغم من الطابع التقليدي للنظام، إلا أن بنيته التشريعية قابلة للتطوير والتحديث دون الإخلال بجوهره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فالنظام يتميز بأنه قائم على مبادئ عامة وليس على تفصيلات جامدة، مما يمنح المشرع مرونة في إدخال التعديلات اللازمة لمواكبة التحول الرقمي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استُخدمت هذه المرونة سابقًا في تطوير اللوائح التنفيذية للنظام، مثل إضافة أحكام تتعلق بالقيد الإلكتروني للمحامين أو التعامل مع السجلات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ويُتوقع أن تكون المرحلة المقبلة فرصة لإدخال نصوص جديدة تنظم العلاقة بين مكاتب المحاماة والتقنيات القانونية، وتحدد شروط استخدام الأنظمة الذكية في أعمال الاستشارات والصياغة والتحليل القانوني</w:t>
      </w:r>
      <w:r>
        <w:rPr>
          <w:rFonts w:asciiTheme="majorBidi" w:hAnsiTheme="majorBidi" w:cstheme="majorBidi"/>
          <w:color w:val="000000" w:themeColor="text1"/>
          <w:sz w:val="24"/>
          <w:szCs w:val="24"/>
        </w:rPr>
        <w:t>.</w:t>
      </w:r>
    </w:p>
    <w:p w14:paraId="65B27415" w14:textId="77777777" w:rsidR="006F4E03" w:rsidRPr="006F4E03" w:rsidRDefault="006F4E03"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جانب من الفقه</w:t>
      </w:r>
      <w:r>
        <w:rPr>
          <w:rStyle w:val="af"/>
          <w:rFonts w:asciiTheme="majorBidi" w:hAnsiTheme="majorBidi" w:cstheme="majorBidi"/>
          <w:color w:val="000000" w:themeColor="text1"/>
          <w:sz w:val="24"/>
          <w:szCs w:val="24"/>
          <w:rtl/>
        </w:rPr>
        <w:footnoteReference w:id="40"/>
      </w:r>
      <w:r>
        <w:rPr>
          <w:rFonts w:asciiTheme="majorBidi" w:hAnsiTheme="majorBidi" w:cstheme="majorBidi"/>
          <w:color w:val="000000" w:themeColor="text1"/>
          <w:sz w:val="24"/>
          <w:szCs w:val="24"/>
          <w:rtl/>
        </w:rPr>
        <w:t xml:space="preserve"> أن نجاح هذا التحديث يعتمد على وجود تصور تشريعي متكامل يراعي التوازن بين التطور التقني وحماية القيم العدلية، بحيث لا يؤدي التطوير إلى تقويض مبدأ المسؤولية الشخصية أو انتهاك سرية البيانات القانونية</w:t>
      </w:r>
      <w:r>
        <w:rPr>
          <w:rFonts w:asciiTheme="majorBidi" w:hAnsiTheme="majorBidi" w:cstheme="majorBidi"/>
          <w:color w:val="000000" w:themeColor="text1"/>
          <w:sz w:val="24"/>
          <w:szCs w:val="24"/>
        </w:rPr>
        <w:t>.</w:t>
      </w:r>
    </w:p>
    <w:p w14:paraId="0A1C4005" w14:textId="77777777" w:rsidR="006F4E03" w:rsidRPr="006F4E03" w:rsidRDefault="006F4E03" w:rsidP="006F4E03">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5- </w:t>
      </w:r>
      <w:r>
        <w:rPr>
          <w:rFonts w:asciiTheme="majorBidi" w:hAnsiTheme="majorBidi" w:cstheme="majorBidi"/>
          <w:b/>
          <w:bCs/>
          <w:color w:val="000000" w:themeColor="text1"/>
          <w:sz w:val="24"/>
          <w:szCs w:val="24"/>
          <w:rtl/>
        </w:rPr>
        <w:t>الحاجة إلى بنية تشريعية متكاملة تربط النظام بالذكاء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إن تحليل البنية النصية لنظام المحاماة يوضح أن التشريع الحالي وضع أساسًا متينًا لضبط المهنة، لكنه لم يبنِ منظومة تقنية تشريعية تستوعب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ومن ثم، فإن الخطوة المستقبلية ليست في استبدال النظام القائم، بل في تطوير بنيته بإضافة </w:t>
      </w:r>
      <w:r>
        <w:rPr>
          <w:rFonts w:asciiTheme="majorBidi" w:hAnsiTheme="majorBidi" w:cstheme="majorBidi"/>
          <w:b/>
          <w:bCs/>
          <w:color w:val="000000" w:themeColor="text1"/>
          <w:sz w:val="24"/>
          <w:szCs w:val="24"/>
          <w:rtl/>
        </w:rPr>
        <w:t>نصوص فرعية تتناول بوضوح</w:t>
      </w:r>
      <w:r>
        <w:rPr>
          <w:rFonts w:asciiTheme="majorBidi" w:hAnsiTheme="majorBidi" w:cstheme="majorBidi" w:hint="cs"/>
          <w:b/>
          <w:bCs/>
          <w:color w:val="000000" w:themeColor="text1"/>
          <w:sz w:val="24"/>
          <w:szCs w:val="24"/>
          <w:rtl/>
        </w:rPr>
        <w:t xml:space="preserve"> بعض هذه النقاط:</w:t>
      </w:r>
    </w:p>
    <w:p w14:paraId="78D0B2FD"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وفي إطار منظومة الإثبات الرقمي، يُقرّ نظام الإثبات السعودي (م43/1443هـ) في مادته السادسة والسبعين بحجية الوسائل الإلكترونية في الإثبات بشروط محددة، وقد أجاز للمحكمة الاستناد إليها في القضايا المنظورة. غير أن الغموض يظل سيد الموقف فيما يتعلق بمخرجات الذكاء الاصطناعي تحديدًا، مما يُفضي إلى سلطة تقديرية واسعة للقاضي ينبغي تأطيرها نظاميًا للحدّ من التباين في الأحكام القضائية.</w:t>
      </w:r>
      <w:r>
        <w:rPr>
          <w:rStyle w:val="af"/>
          <w:rFonts w:asciiTheme="majorBidi" w:hAnsiTheme="majorBidi" w:cstheme="majorBidi"/>
          <w:sz w:val="24"/>
          <w:szCs w:val="24"/>
          <w:rtl/>
        </w:rPr>
        <w:footnoteReference w:id="41"/>
      </w:r>
    </w:p>
    <w:p w14:paraId="796F966F"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تعريف التقنية القانونية وأدوات الذكاء الاصطناعي المسموح بها في المهنة</w:t>
      </w:r>
      <w:r>
        <w:rPr>
          <w:rFonts w:asciiTheme="majorBidi" w:hAnsiTheme="majorBidi" w:cstheme="majorBidi"/>
          <w:color w:val="000000" w:themeColor="text1"/>
          <w:sz w:val="24"/>
          <w:szCs w:val="24"/>
        </w:rPr>
        <w:t>.</w:t>
      </w:r>
    </w:p>
    <w:p w14:paraId="48EB0A59"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التزامات المحامي عند استخدام هذه الأدوات، من حيث المراجعة والتحقق والمساءلة</w:t>
      </w:r>
      <w:r>
        <w:rPr>
          <w:rFonts w:asciiTheme="majorBidi" w:hAnsiTheme="majorBidi" w:cstheme="majorBidi"/>
          <w:color w:val="000000" w:themeColor="text1"/>
          <w:sz w:val="24"/>
          <w:szCs w:val="24"/>
        </w:rPr>
        <w:t>.</w:t>
      </w:r>
    </w:p>
    <w:p w14:paraId="7BF8D311"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معايير حماية البيانات والخصوصية في الأنشطة القانونية الرقمية</w:t>
      </w:r>
      <w:r>
        <w:rPr>
          <w:rFonts w:asciiTheme="majorBidi" w:hAnsiTheme="majorBidi" w:cstheme="majorBidi"/>
          <w:color w:val="000000" w:themeColor="text1"/>
          <w:sz w:val="24"/>
          <w:szCs w:val="24"/>
        </w:rPr>
        <w:t>.</w:t>
      </w:r>
    </w:p>
    <w:p w14:paraId="13C6321B" w14:textId="77777777" w:rsidR="006F4E03" w:rsidRPr="006F4E03" w:rsidRDefault="006F4E03">
      <w:pPr>
        <w:numPr>
          <w:ilvl w:val="0"/>
          <w:numId w:val="6"/>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قواعد المسؤولية النظامية في حال الخطأ التقني أو الإخلال بالسرية المعلوماتية</w:t>
      </w:r>
      <w:r>
        <w:rPr>
          <w:rFonts w:asciiTheme="majorBidi" w:hAnsiTheme="majorBidi" w:cstheme="majorBidi"/>
          <w:color w:val="000000" w:themeColor="text1"/>
          <w:sz w:val="24"/>
          <w:szCs w:val="24"/>
        </w:rPr>
        <w:t>.</w:t>
      </w:r>
    </w:p>
    <w:p w14:paraId="357D0442" w14:textId="77777777" w:rsidR="00C00F5F" w:rsidRPr="00BC5F38" w:rsidRDefault="006F4E03" w:rsidP="006F4E03">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هذه البنود تمثل الأساس لبناء الإطار التنظيمي المقترح الذي ستتناوله الفصول اللاحقة في هذه الدراسة، من خلال تصور تشريعي يسعى إلى دمج التقنية ضمن بنية النظام دون الإخلال بمبادئ العدالة أو استقلال المهنة</w:t>
      </w:r>
    </w:p>
    <w:p w14:paraId="181938A3" w14:textId="77777777" w:rsidR="00C00F5F" w:rsidRPr="00BC5F38" w:rsidRDefault="00C00F5F" w:rsidP="00D41CB7">
      <w:pPr>
        <w:rPr>
          <w:rFonts w:asciiTheme="majorBidi" w:hAnsiTheme="majorBidi" w:cstheme="majorBidi"/>
          <w:color w:val="000000" w:themeColor="text1"/>
          <w:sz w:val="24"/>
          <w:szCs w:val="24"/>
        </w:rPr>
      </w:pPr>
    </w:p>
    <w:p w14:paraId="1A9E84D5" w14:textId="77777777" w:rsidR="00C00F5F" w:rsidRPr="00C00F5F" w:rsidRDefault="00C00F5F" w:rsidP="00C00F5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نطاق عمل المحامي في ضوء النظام وتأثره بالذكاء الاصطناعي</w:t>
      </w:r>
    </w:p>
    <w:p w14:paraId="4E5A9B05"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ويُعدّ تأثير الذكاء الاصطناعي على المهن القانونية من أبرز التحولات التي رصدتها الدراسات الأكاديمية الحديثة؛ إذ أكد إسماعيل في دراسته الصادرة عن مجلة الباحث العربي عام 2025م أن عدة مهن باتت تعتمد اعتمادًا متصاعدًا على تقنيات الذكاء الاصطناعي، وفي مقدمتها مهن المحاماة والقضاء، مستعرضًا جملة من النماذج </w:t>
      </w:r>
      <w:r>
        <w:rPr>
          <w:rFonts w:asciiTheme="majorBidi" w:hAnsiTheme="majorBidi" w:cstheme="majorBidi"/>
          <w:sz w:val="24"/>
          <w:szCs w:val="24"/>
          <w:rtl/>
        </w:rPr>
        <w:lastRenderedPageBreak/>
        <w:t>التطبيقية الدولية التي كرّست الذكاء الاصطناعي في البيئة القانونية، وخلص إلى أن ثمة مزايا جوهرية لهذا التوظيف، غير أنه يصطحب معه تحديات هيكلية تستلزم ضبطًا مؤسسيًا واضحًا.</w:t>
      </w:r>
      <w:r>
        <w:rPr>
          <w:rStyle w:val="af"/>
          <w:rFonts w:asciiTheme="majorBidi" w:hAnsiTheme="majorBidi" w:cstheme="majorBidi"/>
          <w:sz w:val="24"/>
          <w:szCs w:val="24"/>
          <w:rtl/>
        </w:rPr>
        <w:footnoteReference w:id="42"/>
      </w:r>
    </w:p>
    <w:p w14:paraId="04F9FF23"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تحديد نطاق العمل النظامي للمحامي</w:t>
      </w:r>
      <w:r>
        <w:rPr>
          <w:rFonts w:asciiTheme="majorBidi" w:hAnsiTheme="majorBidi" w:cstheme="majorBidi" w:hint="cs"/>
          <w:b/>
          <w:b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نص نظام المحاماة في مادته الثالثة على أن مهنة المحاماة تشمل الترافع عن الخصوم، وتقديم الاستشارات النظامية والشرعية، وصياغة العقود، ومتابعة الإجراءات أمام الجهات القضائية والإدارية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التعريف الواسع يعكس رؤية المشرع لدور المحامي بوصفه الممثل القانوني المتكامل للموكل في جميع مراحل النزاع أو المعاملة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أوضحت رسالة فاطمة بلال</w:t>
      </w:r>
      <w:r>
        <w:rPr>
          <w:rStyle w:val="af"/>
          <w:rFonts w:asciiTheme="majorBidi" w:hAnsiTheme="majorBidi" w:cstheme="majorBidi"/>
          <w:color w:val="000000" w:themeColor="text1"/>
          <w:sz w:val="24"/>
          <w:szCs w:val="24"/>
          <w:rtl/>
        </w:rPr>
        <w:footnoteReference w:id="43"/>
      </w:r>
      <w:r>
        <w:rPr>
          <w:rFonts w:asciiTheme="majorBidi" w:hAnsiTheme="majorBidi" w:cstheme="majorBidi"/>
          <w:color w:val="000000" w:themeColor="text1"/>
          <w:sz w:val="24"/>
          <w:szCs w:val="24"/>
          <w:rtl/>
        </w:rPr>
        <w:t xml:space="preserve"> حول </w:t>
      </w:r>
      <w:r>
        <w:rPr>
          <w:rFonts w:asciiTheme="majorBidi" w:hAnsiTheme="majorBidi" w:cstheme="majorBidi"/>
          <w:i/>
          <w:iCs/>
          <w:color w:val="000000" w:themeColor="text1"/>
          <w:sz w:val="24"/>
          <w:szCs w:val="24"/>
          <w:rtl/>
        </w:rPr>
        <w:t>دور الذكاء الاصطناعي في تعزيز العدالة الناجزة</w:t>
      </w:r>
      <w:r>
        <w:rPr>
          <w:rFonts w:asciiTheme="majorBidi" w:hAnsiTheme="majorBidi" w:cstheme="majorBidi"/>
          <w:color w:val="000000" w:themeColor="text1"/>
          <w:sz w:val="24"/>
          <w:szCs w:val="24"/>
          <w:rtl/>
        </w:rPr>
        <w:t xml:space="preserve"> أن طبيعة المهام القانونية في المملكة اتسعت لتشمل أعمالًا تحليلية واستشارية تعتمد على التكنولوجيا، خصوصًا في مراحل إعداد المستندات ومراجعتها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ويعني ذلك أن نطاق عمل المحامي أصبح أكثر تعقيدًا وتداخلًا مع الوسائل التقنية الحديثة، مما يتطلب إعادة نظر في كيفية تنظيم الأدوات التي تُستخدم في أداء هذه المهام</w:t>
      </w:r>
      <w:r>
        <w:rPr>
          <w:rFonts w:asciiTheme="majorBidi" w:hAnsiTheme="majorBidi" w:cstheme="majorBidi"/>
          <w:color w:val="000000" w:themeColor="text1"/>
          <w:sz w:val="24"/>
          <w:szCs w:val="24"/>
        </w:rPr>
        <w:t>.</w:t>
      </w:r>
    </w:p>
    <w:p w14:paraId="05BD9FE9"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التحول من العمل الورقي إلى العمل الرقمي</w:t>
      </w:r>
      <w:r>
        <w:rPr>
          <w:rFonts w:asciiTheme="majorBidi" w:hAnsiTheme="majorBidi" w:cstheme="majorBidi" w:hint="cs"/>
          <w:b/>
          <w:bCs/>
          <w:color w:val="000000" w:themeColor="text1"/>
          <w:sz w:val="24"/>
          <w:szCs w:val="24"/>
          <w:rtl/>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مع دخول الذكاء الاصطناعي في البيئة العدلية السعودية، تحوّل جزء كبير من أعمال المحامي من الورق والمرافعات الحضورية إلى أنظمة رقمية متكاملة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فاليوم تُرفع الدعاوى إلكترونيًا عبر منصة ناجز، وتُدار القضايا رقمياً، ويُقدَّم كثير من الطلبات إلكترونيًا دون حضور فعلي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وقد أظهرت دراسة المركز السعودي للأبحاث القضائية حول </w:t>
      </w:r>
      <w:r>
        <w:rPr>
          <w:rFonts w:asciiTheme="majorBidi" w:hAnsiTheme="majorBidi" w:cstheme="majorBidi"/>
          <w:i/>
          <w:iCs/>
          <w:color w:val="000000" w:themeColor="text1"/>
          <w:sz w:val="24"/>
          <w:szCs w:val="24"/>
          <w:rtl/>
        </w:rPr>
        <w:t>استخدام الذكاء الاصطناعي في المحاكم</w:t>
      </w:r>
      <w:r>
        <w:rPr>
          <w:rFonts w:asciiTheme="majorBidi" w:hAnsiTheme="majorBidi" w:cstheme="majorBidi"/>
          <w:color w:val="000000" w:themeColor="text1"/>
          <w:sz w:val="24"/>
          <w:szCs w:val="24"/>
          <w:rtl/>
        </w:rPr>
        <w:t xml:space="preserve"> أن 92٪ من الخدمات العدلية باتت تُقدّم إلكترونيًا، مما جعل المهارات التقنية للمحامي عنصرًا أساسيًا في كفاءته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هذا التحول الرقمي أوجد إشكالات جديدة، مثل تحديد المسؤولية عن الخطأ التقني في المعاملات، ومدى حجية المستندات الإلكترونية أمام القضاء، وهي مسائل لم يعالجها النظام بصياغة واضحة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وتؤكد إحدى الدراسات</w:t>
      </w:r>
      <w:r>
        <w:rPr>
          <w:rStyle w:val="af"/>
          <w:rFonts w:asciiTheme="majorBidi" w:hAnsiTheme="majorBidi" w:cstheme="majorBidi"/>
          <w:color w:val="000000" w:themeColor="text1"/>
          <w:sz w:val="24"/>
          <w:szCs w:val="24"/>
          <w:rtl/>
        </w:rPr>
        <w:footnoteReference w:id="44"/>
      </w:r>
      <w:r>
        <w:rPr>
          <w:rFonts w:asciiTheme="majorBidi" w:hAnsiTheme="majorBidi" w:cstheme="majorBidi"/>
          <w:color w:val="000000" w:themeColor="text1"/>
          <w:sz w:val="24"/>
          <w:szCs w:val="24"/>
          <w:rtl/>
        </w:rPr>
        <w:t xml:space="preserve"> حول </w:t>
      </w:r>
      <w:r>
        <w:rPr>
          <w:rFonts w:asciiTheme="majorBidi" w:hAnsiTheme="majorBidi" w:cstheme="majorBidi"/>
          <w:i/>
          <w:iCs/>
          <w:color w:val="000000" w:themeColor="text1"/>
          <w:sz w:val="24"/>
          <w:szCs w:val="24"/>
          <w:rtl/>
        </w:rPr>
        <w:t>الضوابط القانونية للذكاء الاصطناعي في المعاملات القانونية</w:t>
      </w:r>
      <w:r>
        <w:rPr>
          <w:rFonts w:asciiTheme="majorBidi" w:hAnsiTheme="majorBidi" w:cstheme="majorBidi"/>
          <w:color w:val="000000" w:themeColor="text1"/>
          <w:sz w:val="24"/>
          <w:szCs w:val="24"/>
          <w:rtl/>
        </w:rPr>
        <w:t xml:space="preserve"> أن البيئة العدلية السعودية بحاجة إلى تحديث تشريعي يواكب هذا التحول، ويضع معايير واضحة لاستخدام الأنظمة الذكية في الإجراءات القانونية</w:t>
      </w:r>
      <w:r>
        <w:rPr>
          <w:rFonts w:asciiTheme="majorBidi" w:hAnsiTheme="majorBidi" w:cstheme="majorBidi"/>
          <w:color w:val="000000" w:themeColor="text1"/>
          <w:sz w:val="24"/>
          <w:szCs w:val="24"/>
        </w:rPr>
        <w:t>.</w:t>
      </w:r>
    </w:p>
    <w:p w14:paraId="56AC57FA" w14:textId="77777777" w:rsidR="00C00F5F" w:rsidRPr="00C00F5F" w:rsidRDefault="00C00F5F" w:rsidP="00C00F5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المجالات العملية المتأثرة بالذكاء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يُعدّ نطاق عمل المحامي من أكثر المجالات القابلة للتأثر المباشر بالتقنيات الذكية، إذ بدأت التطبيقات الحديثة تتغلغل في صميم الأعمال اليومية للمكاتب القانونية، مثل</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2CB803B6"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تحليل النصوص القانونية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من خلال برمجيات قادرة على استخراج السوابق والأحكام ذات الصلة بسرعة عالية</w:t>
      </w:r>
    </w:p>
    <w:p w14:paraId="2A733A8E"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صياغة العقود</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عبر أدوات توليد النصوص التي تنتج مسودات مبدئية للعقود اعتمادًا على مدخلات المستخدم</w:t>
      </w:r>
      <w:r>
        <w:rPr>
          <w:rFonts w:asciiTheme="majorBidi" w:hAnsiTheme="majorBidi" w:cstheme="majorBidi"/>
          <w:color w:val="000000" w:themeColor="text1"/>
          <w:sz w:val="24"/>
          <w:szCs w:val="24"/>
        </w:rPr>
        <w:t>.</w:t>
      </w:r>
    </w:p>
    <w:p w14:paraId="219A2078"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إدارة القضايا</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باستخدام أنظمة رقمية تسجل المواعيد والمذكرات وتتابع مراحل التقاضي</w:t>
      </w:r>
      <w:r>
        <w:rPr>
          <w:rFonts w:asciiTheme="majorBidi" w:hAnsiTheme="majorBidi" w:cstheme="majorBidi"/>
          <w:color w:val="000000" w:themeColor="text1"/>
          <w:sz w:val="24"/>
          <w:szCs w:val="24"/>
        </w:rPr>
        <w:t>.</w:t>
      </w:r>
    </w:p>
    <w:p w14:paraId="30DC6EFD" w14:textId="77777777" w:rsidR="00C00F5F" w:rsidRPr="00C00F5F" w:rsidRDefault="00C00F5F">
      <w:pPr>
        <w:numPr>
          <w:ilvl w:val="0"/>
          <w:numId w:val="7"/>
        </w:num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التنبؤ بالأحكام</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عبر نماذج تعلم آلي تقيّم احتمالات النجاح في الدعاوى بناءً على بيانات سابقة</w:t>
      </w:r>
      <w:r>
        <w:rPr>
          <w:rFonts w:asciiTheme="majorBidi" w:hAnsiTheme="majorBidi" w:cstheme="majorBidi"/>
          <w:color w:val="000000" w:themeColor="text1"/>
          <w:sz w:val="24"/>
          <w:szCs w:val="24"/>
        </w:rPr>
        <w:t>.</w:t>
      </w:r>
    </w:p>
    <w:p w14:paraId="139AC01F"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وقد أوضح جانب من الفقه</w:t>
      </w:r>
      <w:r>
        <w:rPr>
          <w:rStyle w:val="af"/>
          <w:rFonts w:asciiTheme="majorBidi" w:hAnsiTheme="majorBidi" w:cstheme="majorBidi"/>
          <w:color w:val="000000" w:themeColor="text1"/>
          <w:sz w:val="24"/>
          <w:szCs w:val="24"/>
          <w:rtl/>
        </w:rPr>
        <w:footnoteReference w:id="45"/>
      </w:r>
      <w:r>
        <w:rPr>
          <w:rFonts w:asciiTheme="majorBidi" w:hAnsiTheme="majorBidi" w:cstheme="majorBidi"/>
          <w:color w:val="000000" w:themeColor="text1"/>
          <w:sz w:val="24"/>
          <w:szCs w:val="24"/>
          <w:rtl/>
        </w:rPr>
        <w:t xml:space="preserve"> في بحثه </w:t>
      </w:r>
      <w:r>
        <w:rPr>
          <w:rFonts w:asciiTheme="majorBidi" w:hAnsiTheme="majorBidi" w:cstheme="majorBidi"/>
          <w:i/>
          <w:iCs/>
          <w:color w:val="000000" w:themeColor="text1"/>
          <w:sz w:val="24"/>
          <w:szCs w:val="24"/>
          <w:rtl/>
        </w:rPr>
        <w:t>مدى ملاءمة العقود الذكية المبرمة عبر تقنية البلوكشين لقانون العقود</w:t>
      </w:r>
      <w:r>
        <w:rPr>
          <w:rFonts w:asciiTheme="majorBidi" w:hAnsiTheme="majorBidi" w:cstheme="majorBidi"/>
          <w:color w:val="000000" w:themeColor="text1"/>
          <w:sz w:val="24"/>
          <w:szCs w:val="24"/>
          <w:rtl/>
        </w:rPr>
        <w:t xml:space="preserve"> أن هذه الأدوات القانونية الذكية تمثل نقلة نوعية في تنظيم التعاملات، لكنها تثير تساؤلات عميقة حول مدى اعتبارها من قبيل "العمل القانوني" بالمعنى المقصود في نظام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فالمحامي في النظام السعودي يُفترض أن يُمارس العمل القانوني شخصيًا، بينما تقوم هذه الأنظمة بأداء مهام تحليلية وصياغية كانت تُعد جزءًا من جوهر المهنة</w:t>
      </w:r>
      <w:r>
        <w:rPr>
          <w:rFonts w:asciiTheme="majorBidi" w:hAnsiTheme="majorBidi" w:cstheme="majorBidi"/>
          <w:color w:val="000000" w:themeColor="text1"/>
          <w:sz w:val="24"/>
          <w:szCs w:val="24"/>
        </w:rPr>
        <w:t>.</w:t>
      </w:r>
    </w:p>
    <w:p w14:paraId="32C9216E" w14:textId="77777777" w:rsidR="00C00F5F" w:rsidRPr="00C00F5F" w:rsidRDefault="00122234"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الذكاء الاصطناعي كمساعد قانوني لا كممارس 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يتفق غالب الباحثين السعوديين، ومنهم جانب من الفقه</w:t>
      </w:r>
      <w:r>
        <w:rPr>
          <w:rStyle w:val="af"/>
          <w:rFonts w:asciiTheme="majorBidi" w:hAnsiTheme="majorBidi" w:cstheme="majorBidi"/>
          <w:color w:val="000000" w:themeColor="text1"/>
          <w:sz w:val="24"/>
          <w:szCs w:val="24"/>
          <w:rtl/>
        </w:rPr>
        <w:footnoteReference w:id="46"/>
      </w:r>
      <w:r>
        <w:rPr>
          <w:rFonts w:asciiTheme="majorBidi" w:hAnsiTheme="majorBidi" w:cstheme="majorBidi"/>
          <w:color w:val="000000" w:themeColor="text1"/>
          <w:sz w:val="24"/>
          <w:szCs w:val="24"/>
          <w:rtl/>
        </w:rPr>
        <w:t>، على أن الذكاء الاصطناعي لا يمكن أن يرقى إلى مرتبة "الممارس القانوني"، لافتقاده الأهلية والتمييز والإرادة، وهي مقومات جوهرية في العمل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لكنهم يؤكدون في الوقت ذاته أن الذكاء الاصطناعي يمكن أن يُستثمر كـ"مساعد قانوني" يُسند إليه جمع المعلومات وتحليلها، أو المساعدة في صياغة المستندات، مع بقاء المحامي المسؤول النظامي عن صحة العمل ونتيجته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وقد أظهرت إحدى الدراسات </w:t>
      </w:r>
      <w:r>
        <w:rPr>
          <w:rFonts w:asciiTheme="majorBidi" w:hAnsiTheme="majorBidi" w:cstheme="majorBidi"/>
          <w:i/>
          <w:iCs/>
          <w:color w:val="000000" w:themeColor="text1"/>
          <w:sz w:val="24"/>
          <w:szCs w:val="24"/>
          <w:rtl/>
        </w:rPr>
        <w:t>المسؤولية المدنية عن أفعال الذكاء الاصطناعي</w:t>
      </w:r>
      <w:r>
        <w:rPr>
          <w:rFonts w:asciiTheme="majorBidi" w:hAnsiTheme="majorBidi" w:cstheme="majorBidi"/>
          <w:color w:val="000000" w:themeColor="text1"/>
          <w:sz w:val="24"/>
          <w:szCs w:val="24"/>
          <w:rtl/>
        </w:rPr>
        <w:t xml:space="preserve"> أن التقنية تُعتبر امتدادًا لأداة المحامي المهنية، مثل الباحث المساعد أو المستشار المتدرب، ولا يمكن فصل نتائجها عن مسؤولية من يستخدمها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فإن نطاق العمل القانوني في النظام السعودي سيبقى مرتبطًا بالمحامي الإنسان، على أن تُنظَّم الأدوات الذكية بوصفها وسائل ضمنية داخل هذا النطاق، لا جهات فاعلة مستقلة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69144D54" w14:textId="77777777" w:rsidR="00C00F5F" w:rsidRPr="00C00F5F" w:rsidRDefault="00122234" w:rsidP="00D41CB7">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أثر الذكاء الاصطناعي على هيكلة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أدى دخول الأدوات الذكية إلى إعادة تشكيل بيئة العمل داخل مكاتب المحاماة في المملكة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فالمكاتب الكبيرة أصبحت تخصص أقسامًا تقنية لتحليل القضايا، وتطوير نماذج الذكاء الاصطناعي الخاصة بها، بينما تتجه المكاتب الصغيرة إلى الاستعانة بمنصات جاهزة تقدم خدمات قانونية 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وقد بيّن جانب من الفقه</w:t>
      </w:r>
      <w:r>
        <w:rPr>
          <w:rStyle w:val="af"/>
          <w:rFonts w:asciiTheme="majorBidi" w:hAnsiTheme="majorBidi" w:cstheme="majorBidi"/>
          <w:color w:val="000000" w:themeColor="text1"/>
          <w:sz w:val="24"/>
          <w:szCs w:val="24"/>
          <w:rtl/>
        </w:rPr>
        <w:footnoteReference w:id="47"/>
      </w:r>
      <w:r>
        <w:rPr>
          <w:rFonts w:asciiTheme="majorBidi" w:hAnsiTheme="majorBidi" w:cstheme="majorBidi"/>
          <w:color w:val="000000" w:themeColor="text1"/>
          <w:sz w:val="24"/>
          <w:szCs w:val="24"/>
          <w:rtl/>
        </w:rPr>
        <w:t xml:space="preserve"> في بحثه </w:t>
      </w:r>
      <w:r>
        <w:rPr>
          <w:rFonts w:asciiTheme="majorBidi" w:hAnsiTheme="majorBidi" w:cstheme="majorBidi"/>
          <w:i/>
          <w:iCs/>
          <w:color w:val="000000" w:themeColor="text1"/>
          <w:sz w:val="24"/>
          <w:szCs w:val="24"/>
          <w:rtl/>
        </w:rPr>
        <w:t>الذكاء الاصطناعي ودوره في إبرام العقود التجارية الذكية</w:t>
      </w:r>
      <w:r>
        <w:rPr>
          <w:rFonts w:asciiTheme="majorBidi" w:hAnsiTheme="majorBidi" w:cstheme="majorBidi"/>
          <w:color w:val="000000" w:themeColor="text1"/>
          <w:sz w:val="24"/>
          <w:szCs w:val="24"/>
          <w:rtl/>
        </w:rPr>
        <w:t xml:space="preserve"> أن هذا التحول يخلق نوعًا جديدًا من المكاتب القانونية "الهجينة" التي تجمع بين الخبرة البشرية والأنظمة الذكية في تقديم الخدمة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هذا التوسع التقني يحتاج إلى ضبط تشريعي واضح يحفظ خصوصية المهنة ويمنع تهميش العنصر البشري، خاصة في الأعمال التي تتطلب تقديرًا قانونيًا واجتهادًا شخصيًا لا يمكن أتمتته</w:t>
      </w:r>
      <w:r>
        <w:rPr>
          <w:rFonts w:asciiTheme="majorBidi" w:hAnsiTheme="majorBidi" w:cstheme="majorBidi"/>
          <w:color w:val="000000" w:themeColor="text1"/>
          <w:sz w:val="24"/>
          <w:szCs w:val="24"/>
        </w:rPr>
        <w:t>.</w:t>
      </w:r>
    </w:p>
    <w:p w14:paraId="4AE77D96" w14:textId="77777777" w:rsidR="00C00F5F" w:rsidRPr="00C00F5F" w:rsidRDefault="00122234" w:rsidP="00C00F5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التحديات النظامية المرتبطة بتوسّع نطاق العمل الذكي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تواجه مكاتب المحاماة السعودية عدة تحديات مع ازدياد اعتمادها على الذكاء الاصطناعي، من أبرزها</w:t>
      </w:r>
      <w:r>
        <w:rPr>
          <w:rFonts w:asciiTheme="majorBidi" w:hAnsiTheme="majorBidi" w:cstheme="majorBidi"/>
          <w:color w:val="000000" w:themeColor="text1"/>
          <w:sz w:val="24"/>
          <w:szCs w:val="24"/>
        </w:rPr>
        <w:t>:</w:t>
      </w:r>
    </w:p>
    <w:p w14:paraId="2DC9B6D0"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غياب المعايير التي تحدد مسؤولية المحامي عند استخدام أدوات ذكية في تحليل البيانات أو صياغة العقود</w:t>
      </w:r>
      <w:r>
        <w:rPr>
          <w:rFonts w:asciiTheme="majorBidi" w:hAnsiTheme="majorBidi" w:cstheme="majorBidi"/>
          <w:color w:val="000000" w:themeColor="text1"/>
          <w:sz w:val="24"/>
          <w:szCs w:val="24"/>
        </w:rPr>
        <w:t>.</w:t>
      </w:r>
    </w:p>
    <w:p w14:paraId="2E7722CE"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عدم وضوح موقف النظام من التعامل مع المنصات الأجنبية أو البرامج السحابية التي تعالج بيانات الموكلين خارج المملكة</w:t>
      </w:r>
      <w:r>
        <w:rPr>
          <w:rFonts w:asciiTheme="majorBidi" w:hAnsiTheme="majorBidi" w:cstheme="majorBidi"/>
          <w:color w:val="000000" w:themeColor="text1"/>
          <w:sz w:val="24"/>
          <w:szCs w:val="24"/>
        </w:rPr>
        <w:t>.</w:t>
      </w:r>
    </w:p>
    <w:p w14:paraId="2B7EF920"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الحاجة إلى قواعد واضحة بشأن حجية المخرجات التقنية أمام القضاء، ومدى اعتبارها أدلة أو قرائن قانونية</w:t>
      </w:r>
      <w:r>
        <w:rPr>
          <w:rFonts w:asciiTheme="majorBidi" w:hAnsiTheme="majorBidi" w:cstheme="majorBidi"/>
          <w:color w:val="000000" w:themeColor="text1"/>
          <w:sz w:val="24"/>
          <w:szCs w:val="24"/>
        </w:rPr>
        <w:t>.</w:t>
      </w:r>
    </w:p>
    <w:p w14:paraId="4128149F" w14:textId="77777777" w:rsidR="00C00F5F" w:rsidRPr="00C00F5F" w:rsidRDefault="00C00F5F">
      <w:pPr>
        <w:numPr>
          <w:ilvl w:val="0"/>
          <w:numId w:val="8"/>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غياب التنظيم المهني الذي يُلزم المكاتب باتباع معايير أمن المعلومات عند التعامل مع القضايا الإلكترونية</w:t>
      </w:r>
      <w:r>
        <w:rPr>
          <w:rFonts w:asciiTheme="majorBidi" w:hAnsiTheme="majorBidi" w:cstheme="majorBidi"/>
          <w:color w:val="000000" w:themeColor="text1"/>
          <w:sz w:val="24"/>
          <w:szCs w:val="24"/>
        </w:rPr>
        <w:t>.</w:t>
      </w:r>
    </w:p>
    <w:p w14:paraId="39ABE2FE" w14:textId="77777777" w:rsidR="00C00F5F" w:rsidRPr="00C00F5F" w:rsidRDefault="00C00F5F" w:rsidP="00D41CB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وقد تناولت رسالة قاسم</w:t>
      </w:r>
      <w:r>
        <w:rPr>
          <w:rStyle w:val="af"/>
          <w:rFonts w:asciiTheme="majorBidi" w:hAnsiTheme="majorBidi" w:cstheme="majorBidi"/>
          <w:color w:val="000000" w:themeColor="text1"/>
          <w:sz w:val="24"/>
          <w:szCs w:val="24"/>
          <w:rtl/>
        </w:rPr>
        <w:footnoteReference w:id="48"/>
      </w:r>
      <w:r>
        <w:rPr>
          <w:rFonts w:asciiTheme="majorBidi" w:hAnsiTheme="majorBidi" w:cstheme="majorBidi"/>
          <w:color w:val="000000" w:themeColor="text1"/>
          <w:sz w:val="24"/>
          <w:szCs w:val="24"/>
          <w:rtl/>
        </w:rPr>
        <w:t xml:space="preserve"> </w:t>
      </w:r>
      <w:r>
        <w:rPr>
          <w:rFonts w:asciiTheme="majorBidi" w:hAnsiTheme="majorBidi" w:cstheme="majorBidi"/>
          <w:i/>
          <w:iCs/>
          <w:color w:val="000000" w:themeColor="text1"/>
          <w:sz w:val="24"/>
          <w:szCs w:val="24"/>
          <w:rtl/>
        </w:rPr>
        <w:t>دور الذكاء الاصطناعي في مكافحة الجريمة الإلكترونية</w:t>
      </w:r>
      <w:r>
        <w:rPr>
          <w:rFonts w:asciiTheme="majorBidi" w:hAnsiTheme="majorBidi" w:cstheme="majorBidi"/>
          <w:color w:val="000000" w:themeColor="text1"/>
          <w:sz w:val="24"/>
          <w:szCs w:val="24"/>
          <w:rtl/>
        </w:rPr>
        <w:t xml:space="preserve"> هذه الإشكالات من زاوية أمنية، موضحة أن الإخلال بأمن البيانات في المهن القانونية قد يؤدي إلى مسؤولية جزائية ومهنية في الوقت نفسه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يبرز الحاجة إلى بناء منظومة تشريعية متكاملة تربط بين نظام المحاماة ونظام حماية البيانات ونظام الجرائم المعلوماتية</w:t>
      </w:r>
      <w:r>
        <w:rPr>
          <w:rFonts w:asciiTheme="majorBidi" w:hAnsiTheme="majorBidi" w:cstheme="majorBidi"/>
          <w:color w:val="000000" w:themeColor="text1"/>
          <w:sz w:val="24"/>
          <w:szCs w:val="24"/>
        </w:rPr>
        <w:t>.</w:t>
      </w:r>
    </w:p>
    <w:p w14:paraId="122FEBD7"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وفي هذا السياق، طالب جانب من الفقه (د.ت) بضرورة تشييد منظومة تشريعية متكاملة تجمع بين نظام المحاماة ونظام حماية البيانات الشخصية، مقترحًا أن تُنشأ لجنة مشتركة بين الهيئة السعودية للمحامين وهيئة سدايا للبيانات والذكاء الاصطناعي بهدف وضع ضوابط قانونية تفصيلية تحكم استخدام الأنظمة الذكية في تقديم الخدمات القانونية.</w:t>
      </w:r>
      <w:r>
        <w:rPr>
          <w:rtl/>
        </w:rPr>
        <w:footnoteReference w:id="49"/>
      </w:r>
    </w:p>
    <w:p w14:paraId="5377481C"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وقد أسهمت دراسة غاسم (2022م) المعنونة "دور الذكاء الاصطناعي في مكافحة الجريمة الإلكترونية - دراسة مقارنة" في تأصيل العلاقة بين التقنيات الذكية ومنظومة مكافحة الجرائم الإلكترونية، إذ أكدت الدراسة أن استخدام الذكاء الاصطناعي داخل المكاتب القانونية يفرض على المحامي التزامًا مزدوجًا: الالتزام بالسرية تجاه موكليه، والالتزام بالإفصاح الكافي عن البنية التقنية لأدوات العمل.</w:t>
      </w:r>
      <w:r>
        <w:rPr>
          <w:rtl/>
        </w:rPr>
        <w:footnoteReference w:id="50"/>
      </w:r>
    </w:p>
    <w:p w14:paraId="22162C12" w14:textId="77777777" w:rsidR="00C00F5F" w:rsidRPr="00C00F5F" w:rsidRDefault="00122234" w:rsidP="002A34EF">
      <w:pPr>
        <w:jc w:val="right"/>
        <w:rPr>
          <w:rFonts w:asciiTheme="majorBidi" w:hAnsiTheme="majorBidi" w:cstheme="majorBidi"/>
          <w:color w:val="000000" w:themeColor="text1"/>
          <w:sz w:val="24"/>
          <w:szCs w:val="24"/>
        </w:rPr>
      </w:pPr>
      <w:r>
        <w:rPr>
          <w:rFonts w:asciiTheme="majorBidi" w:hAnsiTheme="majorBidi" w:cstheme="majorBidi" w:hint="cs"/>
          <w:b/>
          <w:bCs/>
          <w:color w:val="000000" w:themeColor="text1"/>
          <w:sz w:val="24"/>
          <w:szCs w:val="24"/>
          <w:rtl/>
        </w:rPr>
        <w:t xml:space="preserve">- </w:t>
      </w:r>
      <w:r>
        <w:rPr>
          <w:rFonts w:asciiTheme="majorBidi" w:hAnsiTheme="majorBidi" w:cstheme="majorBidi"/>
          <w:b/>
          <w:bCs/>
          <w:color w:val="000000" w:themeColor="text1"/>
          <w:sz w:val="24"/>
          <w:szCs w:val="24"/>
          <w:rtl/>
        </w:rPr>
        <w:t>الرؤية المستقبلية لنطاق العمل المهني في ظل الذكاء الاصطناعي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إن إدماج الذكاء الاصطناعي في نطاق عمل المحامي لا يُعد مسألة اختيارية بقدر ما هو تطور حتمي تفرضه بيئة العمل القانونية الحديثة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لكن هذا الإدماج يجب أن يتم في إطار يضمن</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7A57678"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وفيما يخص الرؤية المستقبلية من منظور مقارن، استحضر جانب من الفقه تجربة منصة ROSS الأمريكية التي رفعت إنتاجية محامي البحث القانوني بنسبة تزيد على 40%، مُشيرَين إلى أن هذا المثال يُبرهن على أن الفائدة التطبيقية للذكاء الاصطناعي القانوني حقيقية لا وهمية، وأن القضية الجوهرية ليست في قبول التقنية أو رفضها، بل في صياغة إطار يجعل هذا القبول رشيداً ومنضبطاً.</w:t>
      </w:r>
      <w:r>
        <w:rPr>
          <w:rtl/>
        </w:rPr>
        <w:footnoteReference w:id="51"/>
      </w:r>
    </w:p>
    <w:p w14:paraId="31BEC1D2"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وفيما يتعلق بالإطار الضامن لإدماج الذكاء الاصطناعي في العمل القانوني، وضع جانب من الفقه شروطاً ثلاثة لأي إدماج رشيد: أولاً التحقق المستقل من دقة النظام وموثوقيته، وثانياً الإفصاح للموكل بطبيعة الأداة المستخدمة، وثالثاً الاحتفاظ بالقرار الأخير في أيدي المهني المرخّص القادر على تحمّل المسؤولية القانونية.</w:t>
      </w:r>
      <w:r>
        <w:rPr>
          <w:rtl/>
        </w:rPr>
        <w:footnoteReference w:id="52"/>
      </w:r>
    </w:p>
    <w:p w14:paraId="7E1E6229"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 xml:space="preserve">وعلى صعيد الرؤية المستقبلية، أكد جانب من الفقه أن التحول الرقمي في المنظومة القضائية لا يُشكّل تهديداً وجودياً لمهنة المحاماة، بل هو إعادة ترتيب لنطاق مهامها؛ إذ إن المحامي سيُركّز طاقته على الجوانب التفاوضية </w:t>
      </w:r>
      <w:r>
        <w:rPr>
          <w:rFonts w:asciiTheme="majorBidi" w:hAnsiTheme="majorBidi" w:cstheme="majorBidi"/>
          <w:sz w:val="24"/>
          <w:szCs w:val="24"/>
          <w:rtl/>
        </w:rPr>
        <w:lastRenderedPageBreak/>
        <w:t>والإبداعية والأخلاقية التي تستعصي على الخوارزمية، في حين تتولى الأخيرة المهام الروتينية كالبحث والتصنيف والمعالجة النصية.</w:t>
      </w:r>
      <w:r>
        <w:rPr>
          <w:rtl/>
        </w:rPr>
        <w:footnoteReference w:id="53"/>
      </w:r>
    </w:p>
    <w:p w14:paraId="6EA8CD08"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غير أن الجلعود تُنبّه إلى أن إدماج الذكاء الاصطناعي في الإجراءات القضائية يجب أن يمر بمرحلة تقييم مستقل تتولى فيها جهة محايدة التحقق من دقة النظام واتساقه وخلوّه من التحيز قبل اعتماده رسمياً، مستندةً في ذلك إلى تجارب قضائية أوروبية أثبتت أن أنظمة تنبؤ بالمخاطر الجنائية انطوت على تحيزات طائفية لم تُكشف إلا بعد نشرها.</w:t>
      </w:r>
      <w:r>
        <w:rPr>
          <w:rtl/>
        </w:rPr>
        <w:footnoteReference w:id="54"/>
      </w:r>
    </w:p>
    <w:p w14:paraId="5CCE9BC6"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وعلى صعيد الرؤية المستقبلية لنطاق العمل القانوني في ظل الذكاء الاصطناعي، ذهب جانب من الفقه إلى أن التحول التقني لن يُلغي دور المحامي بل سيُعيد رسم نطاق مهمته؛ إذ ستنتقل قيمته من الاضطلاع بالمهام التكرارية كالبحث والصياغة الأولية إلى التركيز على الجوانب التفاوضية والاستراتيجية والتأويلية التي تحتاج إلى الحكمة الإنسانية، غير أن هذا الانتقال يستلزم مراجعة شاملة لمناهج التدريب القانوني وأخلاقيات المهنة.</w:t>
      </w:r>
      <w:r>
        <w:rPr>
          <w:rtl/>
        </w:rPr>
        <w:footnoteReference w:id="55"/>
      </w:r>
    </w:p>
    <w:p w14:paraId="7D3ADC1C"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بقاء العنصر الإنساني في مركز اتخاذ القرار القانوني</w:t>
      </w:r>
      <w:r>
        <w:rPr>
          <w:rFonts w:asciiTheme="majorBidi" w:hAnsiTheme="majorBidi" w:cstheme="majorBidi"/>
          <w:color w:val="000000" w:themeColor="text1"/>
          <w:sz w:val="24"/>
          <w:szCs w:val="24"/>
        </w:rPr>
        <w:t>.</w:t>
      </w:r>
    </w:p>
    <w:p w14:paraId="561B0E90"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وعلى الصعيد الحقوقي، نبّهت عبد الرحمن إلى أن إقصاء العنصر الإنساني من مركز اتخاذ القرار القانوني قد يُشكّل انتهاكاً لحق المتقاضي في التمثيل القانوني الحقيقي، لأن المادة السادسة من الإعلان العالمي لحقوق الإنسان تُكرّس حق كل شخص في التمثيل القانوني الفعّال، وهو حق يستلزم وجود محامٍ إنساني يتحمل المسؤولية الفعلية لا مجرد تحقق من مخرجات آلية.</w:t>
      </w:r>
      <w:r>
        <w:rPr>
          <w:rtl/>
        </w:rPr>
        <w:footnoteReference w:id="56"/>
      </w:r>
    </w:p>
    <w:p w14:paraId="670A95D5"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الجنائي لهذه المسألة، شدّد العطار والنوايسة على أن بقاء العنصر الإنساني في مركز اتخاذ القرار القانوني ليس خياراً يُترك للممارسين، بل هو اشتراط نظامي يترتب على تجاهله قيام المسؤولية الجنائية في حالات الإهمال الجسيم، مستدلَّين على ذلك بالمبدأ الجزائي العام القائل بأن المتسبب بالإهمال يتحمل من المسؤولية ما يتحمله المباشر في بعض الصور.</w:t>
      </w:r>
      <w:r>
        <w:rPr>
          <w:rtl/>
        </w:rPr>
        <w:footnoteReference w:id="57"/>
      </w:r>
    </w:p>
    <w:p w14:paraId="1C22FF52"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السياق ذاته، أكدت الخميسي أن بقاء العنصر الإنساني في مركز اتخاذ القرار القانوني ليس مجرد ضمانة أخلاقية، بل هو اشتراط قانوني يمسّ صحة التصرفات القانونية وحجيتها؛ إذ إن القرار الصادر عن نظام آلي دون مراجعة إنسانية قد يُطعن في صحته من حيث الإرادة وانعدام الشخصية القانونية للنظام.</w:t>
      </w:r>
      <w:r>
        <w:rPr>
          <w:rtl/>
        </w:rPr>
        <w:footnoteReference w:id="58"/>
      </w:r>
    </w:p>
    <w:p w14:paraId="05A9B8B2"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وضوح حدود المسؤولية المهنية عن الأعمال الذكية</w:t>
      </w:r>
      <w:r>
        <w:rPr>
          <w:rFonts w:asciiTheme="majorBidi" w:hAnsiTheme="majorBidi" w:cstheme="majorBidi"/>
          <w:color w:val="000000" w:themeColor="text1"/>
          <w:sz w:val="24"/>
          <w:szCs w:val="24"/>
        </w:rPr>
        <w:t>.</w:t>
      </w:r>
    </w:p>
    <w:p w14:paraId="5B1F3837"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حماية بيانات الموكلين والمستندات القانونية من المخاطر التقنية</w:t>
      </w:r>
      <w:r>
        <w:rPr>
          <w:rFonts w:asciiTheme="majorBidi" w:hAnsiTheme="majorBidi" w:cstheme="majorBidi"/>
          <w:color w:val="000000" w:themeColor="text1"/>
          <w:sz w:val="24"/>
          <w:szCs w:val="24"/>
        </w:rPr>
        <w:t>.</w:t>
      </w:r>
    </w:p>
    <w:p w14:paraId="57BC6E9F" w14:textId="77777777" w:rsidR="00C00F5F" w:rsidRPr="00C00F5F" w:rsidRDefault="00C00F5F" w:rsidP="002A34EF">
      <w:pPr>
        <w:numPr>
          <w:ilvl w:val="0"/>
          <w:numId w:val="9"/>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توفير معايير مهنية وطنية لاستخدام الذكاء الاصطناعي في المهنة</w:t>
      </w:r>
      <w:r>
        <w:rPr>
          <w:rFonts w:asciiTheme="majorBidi" w:hAnsiTheme="majorBidi" w:cstheme="majorBidi"/>
          <w:color w:val="000000" w:themeColor="text1"/>
          <w:sz w:val="24"/>
          <w:szCs w:val="24"/>
        </w:rPr>
        <w:t>.</w:t>
      </w:r>
    </w:p>
    <w:p w14:paraId="72EC9F07" w14:textId="77777777" w:rsidR="0016208C" w:rsidRDefault="00C00F5F"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ويُتوقع أن تشهد المرحلة القادمة سنّ لوائح مهنية جديدة تُعالج هذه المسائل، بحيث يصبح الذكاء الاصطناعي جزءًا من منظومة الممارسة القانونية المنظمة، لا أداة عشوائية خارج الرقابة العدلية</w:t>
      </w:r>
      <w:r>
        <w:rPr>
          <w:rFonts w:asciiTheme="majorBidi" w:hAnsiTheme="majorBidi" w:cstheme="majorBidi" w:hint="cs"/>
          <w:color w:val="000000" w:themeColor="text1"/>
          <w:sz w:val="24"/>
          <w:szCs w:val="24"/>
          <w:rtl/>
        </w:rPr>
        <w:t>.</w:t>
      </w:r>
    </w:p>
    <w:p w14:paraId="7A9DC481" w14:textId="77777777" w:rsidR="00D41CB7" w:rsidRPr="00BC5F38" w:rsidRDefault="00D41CB7" w:rsidP="00D41CB7">
      <w:pPr>
        <w:jc w:val="right"/>
        <w:rPr>
          <w:rFonts w:asciiTheme="majorBidi" w:hAnsiTheme="majorBidi" w:cstheme="majorBidi"/>
          <w:color w:val="000000" w:themeColor="text1"/>
          <w:sz w:val="24"/>
          <w:szCs w:val="24"/>
        </w:rPr>
      </w:pPr>
    </w:p>
    <w:p w14:paraId="11887789" w14:textId="77777777" w:rsidR="0016208C" w:rsidRPr="0016208C" w:rsidRDefault="0016208C" w:rsidP="0016208C">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خامسًا: دور اللائحة التنفيذية ومساحة المرونة التقنية</w:t>
      </w:r>
      <w:r>
        <w:rPr>
          <w:rFonts w:asciiTheme="majorBidi" w:hAnsiTheme="majorBidi" w:cstheme="majorBidi" w:hint="cs"/>
          <w:b/>
          <w:bCs/>
          <w:color w:val="000000" w:themeColor="text1"/>
          <w:sz w:val="24"/>
          <w:szCs w:val="24"/>
          <w:rtl/>
        </w:rPr>
        <w:t>:</w:t>
      </w:r>
    </w:p>
    <w:p w14:paraId="3B5E812F"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تُعد اللائحة التنفيذية لنظام المحاماة من أبرز الأدوات التنظيمية التي منحت المشرّع السعودي مساحة مرنة للتعامل مع متغيرات المهنة ومواكبة التطورات التقنية دون الحاجة إلى تعديل النظام الأساسي في كل مرحلة. فهي تمثل الإطار الإجرائي التطبيقي لنظام المحاماة الصادر عام 1422هـ، وتأتي لتفصيل ما ورد فيه من أحكام عامة تتعلق بالقيد والترخيص ومزاولة المهنة وآدابها وتأديب المخالفين. وقد صدر آخر تحديث شامل للائحة بقرار وزير العدل رقم </w:t>
      </w:r>
      <w:r>
        <w:rPr>
          <w:rFonts w:asciiTheme="majorBidi" w:hAnsiTheme="majorBidi" w:cstheme="majorBidi"/>
          <w:color w:val="000000" w:themeColor="text1"/>
          <w:sz w:val="24"/>
          <w:szCs w:val="24"/>
        </w:rPr>
        <w:t xml:space="preserve">(5165) </w:t>
      </w:r>
      <w:r>
        <w:rPr>
          <w:rFonts w:asciiTheme="majorBidi" w:hAnsiTheme="majorBidi" w:cstheme="majorBidi"/>
          <w:color w:val="000000" w:themeColor="text1"/>
          <w:sz w:val="24"/>
          <w:szCs w:val="24"/>
          <w:rtl/>
        </w:rPr>
        <w:t xml:space="preserve">بتاريخ </w:t>
      </w:r>
      <w:r>
        <w:rPr>
          <w:rFonts w:asciiTheme="majorBidi" w:hAnsiTheme="majorBidi" w:cstheme="majorBidi"/>
          <w:color w:val="000000" w:themeColor="text1"/>
          <w:sz w:val="24"/>
          <w:szCs w:val="24"/>
        </w:rPr>
        <w:t>12 / 3 / 1441</w:t>
      </w:r>
      <w:r>
        <w:rPr>
          <w:rFonts w:asciiTheme="majorBidi" w:hAnsiTheme="majorBidi" w:cstheme="majorBidi"/>
          <w:color w:val="000000" w:themeColor="text1"/>
          <w:sz w:val="24"/>
          <w:szCs w:val="24"/>
          <w:rtl/>
        </w:rPr>
        <w:t>هـ، وهو قرار منشور في بوابة وزارة العدل الرسمية، ما يجعل الإشارة إليه ضرورية توثيقيًا عند تناول الإطار التنظيمي المعاصر للمهنة</w:t>
      </w:r>
      <w:r>
        <w:rPr>
          <w:rFonts w:asciiTheme="majorBidi" w:hAnsiTheme="majorBidi" w:cstheme="majorBidi"/>
          <w:color w:val="000000" w:themeColor="text1"/>
          <w:sz w:val="24"/>
          <w:szCs w:val="24"/>
        </w:rPr>
        <w:t>.</w:t>
      </w:r>
    </w:p>
    <w:p w14:paraId="338ECDAE"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ويكتسب هذا التحديث أهميته من كونه جاء في ظل بيئة عدلية تشهد تحوّلًا رقميًا واسعًا، مما جعل اللائحة أكثر انفتاحًا على استيعاب الممارسات الإلكترونية الحديثة، وإن لم تتضمن نصوصًا مباشرة تتناول تقنيات الذكاء الاصطناعي أو الأتمتة القانونية. وتتميز اللائحة بمرونتها التشريعية، إذ تصدر بقرار من وزير العدل، ما يمنحها قابلية أسرع للتعديل مقارنة بالنظام ذاته الذي يحتاج إلى إجراءات تشريعية أطول</w:t>
      </w:r>
      <w:r>
        <w:rPr>
          <w:rFonts w:asciiTheme="majorBidi" w:hAnsiTheme="majorBidi" w:cstheme="majorBidi"/>
          <w:color w:val="000000" w:themeColor="text1"/>
          <w:sz w:val="24"/>
          <w:szCs w:val="24"/>
        </w:rPr>
        <w:t>.</w:t>
      </w:r>
    </w:p>
    <w:p w14:paraId="08754B61"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وتتضح هذه المرونة من خلال إمكانية توظيف اللائحة في تنظيم عدد من التطبيقات التقنية الحديثة داخل مكاتب المحاماة، من خلال أمثلة عملية، من أبرزها</w:t>
      </w:r>
      <w:r>
        <w:rPr>
          <w:rFonts w:asciiTheme="majorBidi" w:hAnsiTheme="majorBidi" w:cstheme="majorBidi"/>
          <w:color w:val="000000" w:themeColor="text1"/>
          <w:sz w:val="24"/>
          <w:szCs w:val="24"/>
        </w:rPr>
        <w:t>:</w:t>
      </w:r>
    </w:p>
    <w:p w14:paraId="16D98070"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تنظيم استخدام الأنظمة الذكية في إدارة القضايا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يمكن للائحة أن تنص على أن الأنظمة التقنية التي تُستخدم لإدارة ملفات القضايا يجب أن تكون مرخّصة وملتزمة بمعايير حماية البيانات، مع إلزام مكاتب المحاماة بتوثيق أي معالجة إلكترونية للبيانات القانونية</w:t>
      </w:r>
      <w:r>
        <w:rPr>
          <w:rFonts w:asciiTheme="majorBidi" w:hAnsiTheme="majorBidi" w:cstheme="majorBidi"/>
          <w:color w:val="000000" w:themeColor="text1"/>
          <w:sz w:val="24"/>
          <w:szCs w:val="24"/>
        </w:rPr>
        <w:t>.</w:t>
      </w:r>
    </w:p>
    <w:p w14:paraId="31210502"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وضع معايير مهنية لاستخدام أدوات الذكاء الاصطناعي في تحليل المستندات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النص على واجب المحامي في مراجعة المخرجات التي تولدها الأنظمة الذكية، وعدم اعتماد النتائج الآلية دون تدقيق قانوني بشري، حماية لحقوق الموكلين ومنع الأخطاء المهنية الناتجة عن الاعتماد الكلي على التقنية</w:t>
      </w:r>
      <w:r>
        <w:rPr>
          <w:rFonts w:asciiTheme="majorBidi" w:hAnsiTheme="majorBidi" w:cstheme="majorBidi"/>
          <w:color w:val="000000" w:themeColor="text1"/>
          <w:sz w:val="24"/>
          <w:szCs w:val="24"/>
        </w:rPr>
        <w:t>.</w:t>
      </w:r>
    </w:p>
    <w:p w14:paraId="5AC9D9AB"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تنظيم وسائل الأمان السيبراني داخل مكاتب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من خلال تضمين اللائحة نصوصًا تُلزم المكاتب باستخدام بروتوكولات حماية إلكترونية معينة، وتشفير الملفات، والالتزام بما ورد في نظام حماية البيانات الشخصية في شأن أمن المعلومات</w:t>
      </w:r>
      <w:r>
        <w:rPr>
          <w:rFonts w:asciiTheme="majorBidi" w:hAnsiTheme="majorBidi" w:cstheme="majorBidi"/>
          <w:color w:val="000000" w:themeColor="text1"/>
          <w:sz w:val="24"/>
          <w:szCs w:val="24"/>
        </w:rPr>
        <w:t>.</w:t>
      </w:r>
    </w:p>
    <w:p w14:paraId="0CB05AF4" w14:textId="77777777" w:rsidR="00085940" w:rsidRPr="00085940" w:rsidRDefault="00085940">
      <w:pPr>
        <w:numPr>
          <w:ilvl w:val="0"/>
          <w:numId w:val="10"/>
        </w:num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ضبط استخدام المنصات الرقمية في صياغة العقود والمذكرات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اشتراط أن تكون منصات الصياغة القانونية المستعانة بها معتمدة رسميًا، أو أن تخضع لرقابة تقنية من الجهات المختصة لضمان التزامها بمبادئ الشفافية والسرية</w:t>
      </w:r>
      <w:r>
        <w:rPr>
          <w:rFonts w:asciiTheme="majorBidi" w:hAnsiTheme="majorBidi" w:cstheme="majorBidi"/>
          <w:color w:val="000000" w:themeColor="text1"/>
          <w:sz w:val="24"/>
          <w:szCs w:val="24"/>
        </w:rPr>
        <w:t>.</w:t>
      </w:r>
    </w:p>
    <w:p w14:paraId="649DF05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إحدى الدراسات حول “الضوابط القانونية للذكاء الاصطناعي في إبرام المعاملات القانونية” إلى أن المشرع السعودي يملك من خلال الأدوات التنفيذية قدرة مرنة على تنظيم المسائل التقنية عبر القرارات الوزارية دون الإخلال بالهيكل التشريعي العام، وهو ما ينسجم مع طبيعة اللائحة التنفيذية لنظام المحاماة</w:t>
      </w:r>
      <w:r>
        <w:rPr>
          <w:rFonts w:asciiTheme="majorBidi" w:hAnsiTheme="majorBidi" w:cstheme="majorBidi"/>
          <w:color w:val="000000" w:themeColor="text1"/>
          <w:sz w:val="24"/>
          <w:szCs w:val="24"/>
        </w:rPr>
        <w:t>.</w:t>
      </w:r>
    </w:p>
    <w:p w14:paraId="1A1A588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يؤكد جانب من الفقه في دراساتهم حول “حماية التصرفات القانونية وإثباتها عبر تطبيق الذكاء الاصطناعي” أن الأنظمة التنفيذية تمثل الوسيلة الأمثل لترجمة المبادئ التقنية إلى التزامات قانونية واقعية، لأن الممارسات التقنية تتغير بوتيرة أسرع من التشريعات الأساسية</w:t>
      </w:r>
      <w:r>
        <w:rPr>
          <w:rFonts w:asciiTheme="majorBidi" w:hAnsiTheme="majorBidi" w:cstheme="majorBidi"/>
          <w:color w:val="000000" w:themeColor="text1"/>
          <w:sz w:val="24"/>
          <w:szCs w:val="24"/>
        </w:rPr>
        <w:t>.</w:t>
      </w:r>
    </w:p>
    <w:p w14:paraId="7FC316D8"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وتدعم هذه الرؤية بعض الدراسات حول “دور الذكاء الاصطناعي في مكافحة الجريمة الإلكترونية”، والتي أظهرت أن أغلب النظم العدلية الحديثة لم تُدخل التقنيات القانونية المتقدمة في نصوص القوانين الأساسية، وإنما بدأت بتنظيمها عبر اللوائح التنفيذية والتعليمات الوزارية</w:t>
      </w:r>
      <w:r>
        <w:rPr>
          <w:rFonts w:asciiTheme="majorBidi" w:hAnsiTheme="majorBidi" w:cstheme="majorBidi"/>
          <w:color w:val="000000" w:themeColor="text1"/>
          <w:sz w:val="24"/>
          <w:szCs w:val="24"/>
        </w:rPr>
        <w:t>.</w:t>
      </w:r>
    </w:p>
    <w:p w14:paraId="7A505A92"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وانطلاقًا من مفهوم “التأطير المرن” الذي طرحه جانب من الفقه في دراساتهم حول أخلاقيات الذكاء الاصطناعي، يمكن النظر إلى اللائحة التنفيذية بوصفها الأداة الأكثر قدرة على التكيّف مع المستجدات التقنية. فالمرونة هنا لا تعني ضعف الضبط، بل تعزيز القدرة على التحديث المستمر، خاصة في الجوانب المتعلقة بحماية البيانات القانونية، وتوثيق المعاملات الإلكترونية، وتنظيم مسؤوليات المحامي التقنية</w:t>
      </w:r>
      <w:r>
        <w:rPr>
          <w:rFonts w:asciiTheme="majorBidi" w:hAnsiTheme="majorBidi" w:cstheme="majorBidi"/>
          <w:color w:val="000000" w:themeColor="text1"/>
          <w:sz w:val="24"/>
          <w:szCs w:val="24"/>
        </w:rPr>
        <w:t>.</w:t>
      </w:r>
    </w:p>
    <w:p w14:paraId="77AF87D9" w14:textId="77777777" w:rsidR="00085940" w:rsidRPr="00085940" w:rsidRDefault="00085940" w:rsidP="0008594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من الناحية العملية، فقد سمحت اللائحة التنفيذية في شكلها الحالي باستخدام الوسائل الإلكترونية في إجراءات مثل تقديم طلبات القيد إلكترونيًا وإدارة السجلات عبر الأنظمة الرقمية. وهذه الإشارات، وإن كانت محدودة، تمثل نواة يمكن البناء عليها لتشمل مستقبلًا تنظيم الذكاء الاصطناعي القانوني وآليات ترخيصه وشروط اعتماده داخل بيئة العمل العدلي</w:t>
      </w:r>
      <w:r>
        <w:rPr>
          <w:rFonts w:asciiTheme="majorBidi" w:hAnsiTheme="majorBidi" w:cstheme="majorBidi"/>
          <w:color w:val="000000" w:themeColor="text1"/>
          <w:sz w:val="24"/>
          <w:szCs w:val="24"/>
        </w:rPr>
        <w:t>.</w:t>
      </w:r>
    </w:p>
    <w:p w14:paraId="23FB96EE" w14:textId="77777777" w:rsidR="00085940" w:rsidRPr="00085940" w:rsidRDefault="00085940" w:rsidP="00085940">
      <w:pPr>
        <w:jc w:val="right"/>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tl/>
        </w:rPr>
        <w:t>وبناءً على ما تقدم، يمكن القول إن اللائحة التنفيذية لنظام المحاماة تمثل حجر الزاوية في أي مشروع مستقبلي لتنظيم توظيف الذكاء الاصطناعي في العمل القانوني، نظرًا لمرونتها التشريعية وقدرتها على تحقيق التوازن بين التطور التقني والحفاظ على القيم العدلية، بما في ذلك استقلال المحامي وسرية المعلومات وضمان العدالة الناجزة</w:t>
      </w:r>
      <w:r>
        <w:rPr>
          <w:rFonts w:asciiTheme="majorBidi" w:hAnsiTheme="majorBidi" w:cstheme="majorBidi"/>
          <w:b/>
          <w:bCs/>
          <w:color w:val="000000" w:themeColor="text1"/>
          <w:sz w:val="24"/>
          <w:szCs w:val="24"/>
        </w:rPr>
        <w:t>.</w:t>
      </w:r>
    </w:p>
    <w:p w14:paraId="05D9EF1F" w14:textId="77777777" w:rsidR="00974C84" w:rsidRPr="00BC5F38" w:rsidRDefault="00974C84" w:rsidP="00122234">
      <w:pPr>
        <w:jc w:val="right"/>
        <w:rPr>
          <w:rFonts w:asciiTheme="majorBidi" w:hAnsiTheme="majorBidi" w:cstheme="majorBidi"/>
          <w:b/>
          <w:bCs/>
          <w:color w:val="000000" w:themeColor="text1"/>
          <w:sz w:val="24"/>
          <w:szCs w:val="24"/>
        </w:rPr>
      </w:pPr>
    </w:p>
    <w:p w14:paraId="14B736C1"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سادسًا: أوجه القوة في نظام المحاماة في مواجهة التحول الرقمي</w:t>
      </w:r>
    </w:p>
    <w:p w14:paraId="53BC5052"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على الرغم من أن نظام المحاماة السعودي صدر في مرحلة ما قبل الثورة الرقمية، إلا أنه يتضمن بنية تشريعية متماسكة تمكّنه من التكيّف مع التحولات التقنية الحديثة. فالنظام لم يُصمم ليكون مجرد لائحة سلوك مهني أو ميثاق شرف، بل ليكون إطارًا قانونيًا شاملًا يضبط العلاقة بين المحامي، وموكله، والسلطة العدلية، ويؤسس لمسؤوليات مهنية ومدنية يمكن توسيع نطاقها لتشمل الممارسات التقنية الجديدة. ومن أبرز مظاهر القوة في هذا النظام أنه يقوم على مبادئ عامة غير جامدة، ما يمنحه قابلية التطوير والتفسير في ضوء المستجدات دون الحاجة إلى إعادة بنائه من الصفر. فالمواد التي تنظم المسؤولية المهنية، والسرية، والإشراف على المتدربين، والتأديب المهني، يمكن قراءتها اليوم قراءة موسّعة تجعلها قادرة على استيعاب الذكاء الاصطناعي في بنية العمل القانوني</w:t>
      </w:r>
      <w:r>
        <w:rPr>
          <w:rFonts w:asciiTheme="majorBidi" w:hAnsiTheme="majorBidi" w:cstheme="majorBidi"/>
          <w:color w:val="000000" w:themeColor="text1"/>
          <w:sz w:val="24"/>
          <w:szCs w:val="24"/>
        </w:rPr>
        <w:t>.</w:t>
      </w:r>
    </w:p>
    <w:p w14:paraId="7A623B31"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إن الطبيعة المرنة للنظام ترتبط بفلسفته التشريعية القائمة على مبدأ الثقة في الاجتهاد المهني للمحامي ومسؤوليته الشخصية عن أعماله. </w:t>
      </w:r>
      <w:commentRangeStart w:id="2"/>
      <w:commentRangeStart w:id="3"/>
      <w:r>
        <w:rPr>
          <w:rFonts w:asciiTheme="majorBidi" w:hAnsiTheme="majorBidi" w:cstheme="majorBidi"/>
          <w:color w:val="000000" w:themeColor="text1"/>
          <w:sz w:val="24"/>
          <w:szCs w:val="24"/>
          <w:rtl/>
        </w:rPr>
        <w:t>فقاعدة مسؤولية المتبوع عن أعمال تابعه، المقررة في المادة (التاسعة والعشرين بعد المائة) من نظام المعاملات المدنية، تُحمِّل المحامي صاحب المكتب تبعة أخطاء العاملين لديه أثناء تأدية العمل أو بسببه، وتُعدّ قاعدة متينة يمكن البناء عليها لتوسيع نطاق المسؤولية ليشمل الأفعال الناتجة عن استخدام الأنظمة الذكية أو البرمجيات القانونية. وقد أوضح جانب من الفقه في دراسات المسؤولية المدنية عن فعل الذكاء الاصطناعي أن النصوص القانونية التي تُحمّل الإنسان مسؤولية الإشراف تُعدّ كافية لتأسيس قواعد “المسؤولية الرقمية” دون الحاجة إلى تشريع جديد مستقل، شريطة تفسيرها تفسيرًا مرنًا يتناسب مع التطور التقني. هذا المنهج التشريعي القائم على المرونة يضمن بقاء النظام متسقًا مع تطورات المهنة دون أن يفقد صلته بمبادئ العدالة</w:t>
      </w:r>
      <w:commentRangeEnd w:id="2"/>
      <w:r>
        <w:rPr>
          <w:rStyle w:val="af0"/>
          <w:rFonts w:asciiTheme="majorBidi" w:hAnsiTheme="majorBidi" w:cstheme="majorBidi"/>
          <w:color w:val="000000" w:themeColor="text1"/>
          <w:sz w:val="24"/>
          <w:szCs w:val="24"/>
        </w:rPr>
        <w:commentReference w:id="2"/>
      </w:r>
      <w:commentRangeEnd w:id="3"/>
      <w:r>
        <w:rPr>
          <w:rStyle w:val="af0"/>
          <w:rFonts w:asciiTheme="majorBidi" w:hAnsiTheme="majorBidi" w:cstheme="majorBidi"/>
          <w:color w:val="000000" w:themeColor="text1"/>
          <w:sz w:val="24"/>
          <w:szCs w:val="24"/>
        </w:rPr>
        <w:commentReference w:id="3"/>
      </w:r>
      <w:r>
        <w:rPr>
          <w:rFonts w:asciiTheme="majorBidi" w:hAnsiTheme="majorBidi" w:cstheme="majorBidi"/>
          <w:color w:val="000000" w:themeColor="text1"/>
          <w:sz w:val="24"/>
          <w:szCs w:val="24"/>
        </w:rPr>
        <w:t>.</w:t>
      </w:r>
    </w:p>
    <w:p w14:paraId="2585CC1A" w14:textId="77777777" w:rsidR="00974C84" w:rsidRPr="00974C84" w:rsidRDefault="00974C84" w:rsidP="00974C8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أن قوة النظام تتجلى في ارتباطه الوثيق بمنظومة الأنظمة العدلية السعودية التي شهدت خلال السنوات الأخيرة تحديثًا شاملًا، مثل نظام الإثبات ونظام الإجراءات الجزائية ونظام حماية البيانات الشخصية ونظام المعاملات المدنية. وهذه الأنظمة تمثل البيئة القانونية المساندة التي يمكن من خلالها إعادة تفسير أحكام نظام المحاماة في سياق التحول الرقمي. فعلى سبيل المثال، يمكن ربط الالتزام بسرية الموكلين بما ورد في نظام حماية البيانات الشخصية من ضوابط صارمة لحفظ ومعالجة المعلومات، وبذلك يمتد مفهوم السرية المهنية إلى المجال </w:t>
      </w:r>
      <w:r>
        <w:rPr>
          <w:rFonts w:asciiTheme="majorBidi" w:hAnsiTheme="majorBidi" w:cstheme="majorBidi"/>
          <w:color w:val="000000" w:themeColor="text1"/>
          <w:sz w:val="24"/>
          <w:szCs w:val="24"/>
          <w:rtl/>
        </w:rPr>
        <w:lastRenderedPageBreak/>
        <w:t>الرقمي من خلال شبكة متكاملة من الأنظمة. وقد أشار جانب من الفقه</w:t>
      </w:r>
      <w:r>
        <w:rPr>
          <w:rStyle w:val="af"/>
          <w:rFonts w:asciiTheme="majorBidi" w:hAnsiTheme="majorBidi" w:cstheme="majorBidi"/>
          <w:color w:val="000000" w:themeColor="text1"/>
          <w:sz w:val="24"/>
          <w:szCs w:val="24"/>
          <w:rtl/>
        </w:rPr>
        <w:footnoteReference w:id="59"/>
      </w:r>
      <w:r>
        <w:rPr>
          <w:rFonts w:asciiTheme="majorBidi" w:hAnsiTheme="majorBidi" w:cstheme="majorBidi"/>
          <w:color w:val="000000" w:themeColor="text1"/>
          <w:sz w:val="24"/>
          <w:szCs w:val="24"/>
          <w:rtl/>
        </w:rPr>
        <w:t xml:space="preserve"> في رسالته عن الضوابط القانونية للذكاء الاصطناعي إلى أن قوة النظام القانوني السعودي تكمن في تكامله الهيكلي، لا في استقلالية كل نظام عن الآخر، وهو ما يسمح بإعادة بناء الإطار المهني للمحاماة على أسس رقمية متماسكة دون إخلال بالمنظومة التشريعية القائمة</w:t>
      </w:r>
      <w:r>
        <w:rPr>
          <w:rFonts w:asciiTheme="majorBidi" w:hAnsiTheme="majorBidi" w:cstheme="majorBidi"/>
          <w:color w:val="000000" w:themeColor="text1"/>
          <w:sz w:val="24"/>
          <w:szCs w:val="24"/>
        </w:rPr>
        <w:t>.</w:t>
      </w:r>
    </w:p>
    <w:p w14:paraId="18F3BA52"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النظام يكرّس في جوهره فكرة الرقابة المؤسسية والمساءلة المهنية، وهما عنصران يشكلان أساسًا يمكن من خلاله تطوير نظم محاسبة رقمية للممارسات التقنية داخل مكاتب المحاماة. فوجود لجان تأديبية مستقلة وهيئة تنظيمية مهنية كالهيئة السعودية للمحامين يمنح المشرّع أداة فعّالة لفرض المعايير الأخلاقية والتنظيمية في بيئة العمل الذكية. وقد أكدت رسالة فاطمة بلال أن الإطار المهني السعودي يمتلك مقومات التحول إلى نموذج عدلي رقمي متكامل لأنه يربط الأداء المهني برقابة مؤسسية دائمة، وهذا يسهّل إدماج الذكاء الاصطناعي في المهنة دون أن يؤدي إلى فوضى مهنية أو تضارب في المسؤوليات</w:t>
      </w:r>
      <w:r>
        <w:rPr>
          <w:rFonts w:asciiTheme="majorBidi" w:hAnsiTheme="majorBidi" w:cstheme="majorBidi"/>
          <w:color w:val="000000" w:themeColor="text1"/>
          <w:sz w:val="24"/>
          <w:szCs w:val="24"/>
        </w:rPr>
        <w:t>.</w:t>
      </w:r>
    </w:p>
    <w:p w14:paraId="593F8A18"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أوجه القوة الأخرى أن النظام السعودي للمحاماة متسق مع المبادئ الأخلاقية العامة للعدالة كما نصت عليها وثيقة مبادئ أخلاقيات الذكاء الاصطناعي الصادرة عن الهيئة السعودية للبيانات والذكاء الاصطناعي (سدايا) عام 2023، والتي أكدت أن أي توظيف للذكاء الاصطناعي يجب أن يكون قائمًا على الشفافية والمساءلة وحماية الخصوصية. فالمبادئ الأخلاقية التي أقرها النظام – كالسرية والولاء والصدق – تتكامل مع هذه الوثيقة وتشكل أساسًا متينًا لبناء ضوابط مهنية تحكم استخدام التقنية في بيئة المحاماة. ويرى الدكتور ياسر محمد جانب من الفقه</w:t>
      </w:r>
      <w:r>
        <w:rPr>
          <w:rStyle w:val="af"/>
          <w:rFonts w:asciiTheme="majorBidi" w:hAnsiTheme="majorBidi" w:cstheme="majorBidi"/>
          <w:color w:val="000000" w:themeColor="text1"/>
          <w:sz w:val="24"/>
          <w:szCs w:val="24"/>
          <w:rtl/>
        </w:rPr>
        <w:footnoteReference w:id="60"/>
      </w:r>
      <w:r>
        <w:rPr>
          <w:rFonts w:asciiTheme="majorBidi" w:hAnsiTheme="majorBidi" w:cstheme="majorBidi"/>
          <w:color w:val="000000" w:themeColor="text1"/>
          <w:sz w:val="24"/>
          <w:szCs w:val="24"/>
          <w:rtl/>
        </w:rPr>
        <w:t xml:space="preserve"> في دراسته المقارنة حول تأطير أخلاقيات الذكاء الاصطناعي أن المجتمعات القانونية التي تملك منظومات مهنية واضحة أكثر قدرة على تقنين التكنولوجيا من غيرها، لأن القيم الأخلاقية المترسخة توفر أساسًا تشريعيًا لتوجيه استخدام الأنظمة الذكية في الاتجاه الصحيح</w:t>
      </w:r>
      <w:r>
        <w:rPr>
          <w:rFonts w:asciiTheme="majorBidi" w:hAnsiTheme="majorBidi" w:cstheme="majorBidi"/>
          <w:color w:val="000000" w:themeColor="text1"/>
          <w:sz w:val="24"/>
          <w:szCs w:val="24"/>
        </w:rPr>
        <w:t>.</w:t>
      </w:r>
    </w:p>
    <w:p w14:paraId="75A19E4C"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ويتقاطع هذا الطرح مع ما خلصت إليه بعض الدراسات من أن الدول التي تمتلك منظومات مهنية ناضجة، كما هو الحال في المملكة العربية السعودية بعد رؤية 2030، تملك قدرة تنظيمية أعلى على استيعاب أخلاقيات الذكاء الاصطناعي وتحويلها إلى قواعد سلوكية ملزمة داخل مكاتب المحاماة.</w:t>
      </w:r>
      <w:r>
        <w:rPr>
          <w:rtl/>
        </w:rPr>
        <w:footnoteReference w:id="61"/>
      </w:r>
    </w:p>
    <w:p w14:paraId="5442B2CF"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ولا يمكن إغفال جانب آخر من جوانب القوة يتمثل في القابلية المؤسسية للنظام للتكامل مع رؤية المملكة 2030 وبرامج التحول العدلي. فقد أثبتت التجربة خلال السنوات الأخيرة أن النظام العدلي السعودي قادر على التحديث الذاتي السريع عبر إدخال الخدمات الإلكترونية في المحاكم، وتفعيل التقاضي عن بُعد، وتوسيع قاعدة البيانات القضائية الرقمية. هذا التوجه لا يتعارض مع نظام المحاماة، بل يعزّز دوره من خلال خلق بيئة قانونية حديثة تتطلب تطوير قدرات مكاتب المحاماة لتتكامل مع التحول الرقمي. وقد أوضحت دراسة المركز السعودي للأبحاث القضائية حول استخدام الذكاء الاصطناعي في المحاكم أن مهنة المحاماة تمثل أحد الأعمدة التي يجب تحديثها مواكبة للتحول العدلي الرقمي، لأن المحامي هو الوسيط الأساسي بين المواطن والمنصات القضائية</w:t>
      </w:r>
      <w:r>
        <w:rPr>
          <w:rFonts w:asciiTheme="majorBidi" w:hAnsiTheme="majorBidi" w:cstheme="majorBidi"/>
          <w:color w:val="000000" w:themeColor="text1"/>
          <w:sz w:val="24"/>
          <w:szCs w:val="24"/>
        </w:rPr>
        <w:t>.</w:t>
      </w:r>
    </w:p>
    <w:p w14:paraId="1DD289F1"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ويقابل ذلك ما أوضحه جانب من الفقه من أن الإطار التنظيمي السعودي يتميز بقابلية عالية للتكيف مع متطلبات حوكمة الذكاء الاصطناعي، لا سيما أن الأنظمة الصادرة في إطار رؤية 2030 تتضمن مبادئ مرونة تشريعية تتيح توسيع نطاق تطبيقها دون الحاجة إلى تعديلات جذرية في البنية النظامية القائمة.</w:t>
      </w:r>
      <w:r>
        <w:rPr>
          <w:rtl/>
        </w:rPr>
        <w:footnoteReference w:id="62"/>
      </w:r>
    </w:p>
    <w:p w14:paraId="310294C1" w14:textId="77777777" w:rsidR="00974C84" w:rsidRPr="00974C84" w:rsidRDefault="00974C84"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وبناء على ذلك، يمكن القول إن نظام المحاماة لا يقف في مواجهة التحول الرقمي، بل يحتوي ضمن بنيته الداخلية على عناصر قوة يمكن استثمارها لتطوير الإطار القانوني للذكاء الاصطناعي في المهنة. فمرونته في الصياغة، </w:t>
      </w:r>
      <w:r>
        <w:rPr>
          <w:rFonts w:asciiTheme="majorBidi" w:hAnsiTheme="majorBidi" w:cstheme="majorBidi"/>
          <w:color w:val="000000" w:themeColor="text1"/>
          <w:sz w:val="24"/>
          <w:szCs w:val="24"/>
          <w:rtl/>
        </w:rPr>
        <w:lastRenderedPageBreak/>
        <w:t>وتكامله مع الأنظمة العدلية، وارتباطه بالقيم الأخلاقية، ووجود مؤسسات مهنية رقابية قادرة على إصدار لوائح تفصيلية، كلها عوامل تجعل منه نظامًا مؤهلاً ليكون نواة لإطار تشريعي مستقبلي متكامل يحكم استخدام الذكاء الاصطناعي في خدمات مكاتب المحاماة، دون أن يمسّ جوهر المهنة أو استقلالها العدلي</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B117E6A" w14:textId="77777777" w:rsidR="00974C84" w:rsidRDefault="00974C84" w:rsidP="00122234">
      <w:pPr>
        <w:jc w:val="right"/>
        <w:rPr>
          <w:rFonts w:asciiTheme="majorBidi" w:hAnsiTheme="majorBidi" w:cstheme="majorBidi"/>
          <w:b/>
          <w:bCs/>
          <w:color w:val="000000" w:themeColor="text1"/>
          <w:sz w:val="24"/>
          <w:szCs w:val="24"/>
        </w:rPr>
      </w:pPr>
    </w:p>
    <w:p w14:paraId="792B7B3A" w14:textId="77777777" w:rsidR="007F1A18" w:rsidRPr="00BC5F38" w:rsidRDefault="007F1A18" w:rsidP="00122234">
      <w:pPr>
        <w:jc w:val="right"/>
        <w:rPr>
          <w:rFonts w:asciiTheme="majorBidi" w:hAnsiTheme="majorBidi" w:cstheme="majorBidi"/>
          <w:b/>
          <w:bCs/>
          <w:color w:val="000000" w:themeColor="text1"/>
          <w:sz w:val="24"/>
          <w:szCs w:val="24"/>
          <w:rtl/>
        </w:rPr>
      </w:pPr>
    </w:p>
    <w:p w14:paraId="14234E4B" w14:textId="77777777" w:rsidR="001F1442" w:rsidRPr="001F1442" w:rsidRDefault="001F1442" w:rsidP="001F1442">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سابعًا: أوجه القصور التشريعي في ظل الذكاء الاصطناعي</w:t>
      </w:r>
    </w:p>
    <w:p w14:paraId="297F4E37"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تفصيل أوجه القصور التشريعي، رصد جانب من الفقه ثماني ثغرات تنظيمية رئيسية في المنظومة التشريعية السعودية المتعلقة بالذكاء الاصطناعي القانوني، أبرزها: غياب اشتراط الترخيص لأنظمة الذكاء الاصطناعي المستخدمة في القطاع القانوني، وغياب آلية للإشعار الفوري عند وقوع خروقات بيانية تمس معلومات الموكلين، وغياب نظام تعويضي خاص بأضرار الذكاء الاصطناعي القانوني.</w:t>
      </w:r>
      <w:r>
        <w:rPr>
          <w:rtl/>
        </w:rPr>
        <w:footnoteReference w:id="63"/>
      </w:r>
    </w:p>
    <w:p w14:paraId="13E86BF3"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سياق أوجه القصور التشريعي، اعتبر جانب من الفقه أن أشد الثغرات خطورةً هي غياب نص يُحدّد الأثر القانوني لمخرجات الذكاء الاصطناعي في إجراءات التقاضي؛ فلا النظام السعودي ولا نظيره الكويتي يُجيب بوضوح على السؤال: هل يُعدّ المستند الصادر عن نظام ذكاء اصطناعي سنداً عرفياً أم دليلاً قرينياً أم مجرد رأي خبير استشاري؟ وهذا الغموض قد يُعرّض صحة الإجراءات للطعن.</w:t>
      </w:r>
      <w:r>
        <w:rPr>
          <w:rtl/>
        </w:rPr>
        <w:footnoteReference w:id="64"/>
      </w:r>
    </w:p>
    <w:p w14:paraId="56820631" w14:textId="77777777" w:rsidR="007F1A18" w:rsidRPr="007F1A18" w:rsidRDefault="007F1A18"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على الرغم من المرونة التي يتسم بها نظام المحاماة وقدرته على استيعاب التحولات المهنية، إلا أن تحليل نصوصه وتطبيقاته العملية يُظهر عدة أوجه قصور تشريعي عند مقارنته بالتحولات التقنية التي فرضتها الثورة الرقمية والذكاء الاصطناعي، الأمر الذي يستلزم عرض هذه المظاهر في عناوين فرعية مستقلة تسهّل القراءة والفصل بين المعلومات المستندة إلى المراجع ورأي الباحث</w:t>
      </w:r>
      <w:r>
        <w:rPr>
          <w:rFonts w:asciiTheme="majorBidi" w:hAnsiTheme="majorBidi" w:cstheme="majorBidi"/>
          <w:color w:val="000000" w:themeColor="text1"/>
          <w:sz w:val="24"/>
          <w:szCs w:val="24"/>
        </w:rPr>
        <w:t>.</w:t>
      </w:r>
    </w:p>
    <w:p w14:paraId="5534797D"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التعريفات التقنية في نصوص النظام</w:t>
      </w:r>
    </w:p>
    <w:p w14:paraId="59259BA2"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المقابل، استعرضت عبد الرحمن النموذج الأوروبي في تعريف الذكاء الاصطناعي المرتفع الخطورة في القانون الأوروبي للذكاء الاصطناعي الصادر عام 2024م، موضحةً أن هذا القانون يضع أنظمة الذكاء الاصطناعي المستخدمة في إجراءات التقاضي وإدارة العدالة ضمن الفئة الأعلى خطورة التي تستوجب أقصى درجات الرقابة والاشتراطات التقنية، وهو توجه يرى الباحث أنه جدير بالاعتبار في صياغة التشريعات السعودية المستقبلية.</w:t>
      </w:r>
      <w:r>
        <w:rPr>
          <w:rtl/>
        </w:rPr>
        <w:footnoteReference w:id="65"/>
      </w:r>
    </w:p>
    <w:p w14:paraId="12D06CEC"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t>وفي مواجهة غياب التعريفات التقنية في نصوص الأنظمة القانونية، اقترح جانب من الفقه أسلوب الإحالة التشريعية المرنة، وهو أن يُشير النص التشريعي إلى أن الذكاء الاصطناعي يُقصد به ما تُحدّده الهيئة المختصة بلائحة قابلة للتحديث بما يتواكب مع التطور التقني المتسارع، بدلاً من تضمين تعريف تقني جامد في صلب النص يُضحي متقادماً بسرعة.</w:t>
      </w:r>
      <w:r>
        <w:rPr>
          <w:rtl/>
        </w:rPr>
        <w:footnoteReference w:id="66"/>
      </w:r>
    </w:p>
    <w:p w14:paraId="60EF4FC2" w14:textId="77777777" w:rsidR="00D57654" w:rsidRDefault="00C702A9" w:rsidP="002A34EF">
      <w:pPr>
        <w:jc w:val="right"/>
        <w:rPr>
          <w:rFonts w:asciiTheme="majorBidi" w:hAnsiTheme="majorBidi" w:cstheme="majorBidi"/>
          <w:sz w:val="24"/>
          <w:szCs w:val="24"/>
          <w:rtl/>
        </w:rPr>
      </w:pPr>
      <w:r>
        <w:rPr>
          <w:rFonts w:asciiTheme="majorBidi" w:hAnsiTheme="majorBidi" w:cstheme="majorBidi"/>
          <w:sz w:val="24"/>
          <w:szCs w:val="24"/>
          <w:rtl/>
        </w:rPr>
        <w:lastRenderedPageBreak/>
        <w:t>وفيما يخص غياب التعريفات التقنية في نصوص النظام، خلص جانب من الفقه إلى أن الأنظمة الجزائية السعودية لا تتضمن أي تعريف لنظام الذكاء الاصطناعي أو لمفهوم الخوارزمية أو التعلم الآلي، مما يُفضي إلى إشكاليات إثبات جوهرية حين يستدعي الفصل في النزاع تحديداً دقيقاً لما إذا كانت الأداة المستخدمة تندرج فعلاً ضمن تعريف الذكاء الاصطناعي أم لا.</w:t>
      </w:r>
      <w:r>
        <w:rPr>
          <w:rtl/>
        </w:rPr>
        <w:footnoteReference w:id="67"/>
      </w:r>
    </w:p>
    <w:p w14:paraId="57D39DE4" w14:textId="77777777" w:rsidR="007F1A18" w:rsidRPr="007F1A18" w:rsidRDefault="007F1A18" w:rsidP="002A34E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يُلاحظ غياب أي تعريف نظامي للمفاهيم التقنية الأساسية مثل التقنيات القانونية، البيانات الرقمية، والذكاء الاصطناعي القانوني. وقد أكدت جانب من الفقه في دراساتهما حول المسؤولية المدنية عن أفعال الذكاء الاصطناعي أن غياب هذه المفاهيم يخلق فراغًا تشريعيًا يعوق تحديد مسؤوليات الأطراف التقنية والبشرية داخل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إن غياب التعريفات يؤثر مباشرة في قدرة النظام على ضبط الممارسات التقنية الحديثة داخل البيئة القانونية</w:t>
      </w:r>
      <w:r>
        <w:rPr>
          <w:rFonts w:asciiTheme="majorBidi" w:hAnsiTheme="majorBidi" w:cstheme="majorBidi"/>
          <w:color w:val="000000" w:themeColor="text1"/>
          <w:sz w:val="24"/>
          <w:szCs w:val="24"/>
        </w:rPr>
        <w:t>.</w:t>
      </w:r>
    </w:p>
    <w:p w14:paraId="6C5D1A8D"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القصور في تنظيم معالجة البيانات القانونية الرقمية</w:t>
      </w:r>
    </w:p>
    <w:p w14:paraId="4AD0948C"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وفي الإطار المقارن، خلص جانب من الفقه إلى أن قصور التنظيم في مجال معالجة البيانات القانونية بالذكاء الاصطناعي يُمكن معالجته عبر مسار من مرحلتين: المرحلة الأولى تُركّز على تطوير المعايير الطوعية الإرشادية بالتشاور مع الجهات المهنية، والمرحلة الثانية تُحوّل هذه المعايير إلى اشتراطات ملزمة بعد اختبارها ميدانياً وتحقيق القبول المؤسسي اللازم.</w:t>
      </w:r>
      <w:r>
        <w:rPr>
          <w:rtl/>
        </w:rPr>
        <w:footnoteReference w:id="68"/>
      </w:r>
    </w:p>
    <w:p w14:paraId="3EDFAC7B"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وفيما يتعلق بالقصور في تنظيم معالجة البيانات القانونية، أشار العطار والنوايسة إلى أن هذا القصور يتجلى بوضوح حين تُحلّل وقائع جريمة ما باستخدام منصة ذكاء اصطناعي تابعة لجهة خارج نطاق الاختصاص القضائي السعودي، مما يُثير تساؤلات معقدة حول الاختصاص الإجرائي وسيادة البيانات والحماية الجزائية للمعلومات الأمنية الحساسة.</w:t>
      </w:r>
      <w:r>
        <w:rPr>
          <w:rtl/>
        </w:rPr>
        <w:footnoteReference w:id="69"/>
      </w:r>
    </w:p>
    <w:p w14:paraId="25E8BA8F"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وبالنظر إلى القصور في تنظيم معالجة البيانات القانونية، رأت الأمين أن تدفق البيانات الحساسة من ملفات الدعاوى إلى منصات الذكاء الاصطناعي السحابية يُشكّل ثغرة تشريعية بالغة الخطورة، إذ لا يتضمن نظام المحاماة السعودي ما يُلزم المحامي بالحصول على موافقة مسبقة من موكله قبل إدخال وقائع قضيته في أداة ذكاء اصطناعي تابعة لجهة خارجية.</w:t>
      </w:r>
      <w:r>
        <w:rPr>
          <w:rtl/>
        </w:rPr>
        <w:footnoteReference w:id="70"/>
      </w:r>
    </w:p>
    <w:p w14:paraId="6C49CB8D"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لم يتناول النظام مسألة معالجة البيانات القانونية الإلكترونية، رغم أنّها محور أساسي في عمل المكاتب القانونية الحديثة. وأشار د. جانب من الفقه في بحوثهم حول المسؤولية المدنية عن أفعال الذكاء الاصطناعي إلى أن عدم المواءمة بين نظام المحاماة ونظام حماية البيانات الشخصية يخلق تضاربًا في تحديد المسؤوليات عند تسرب البيانات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إن الربط المباشر بين النظامين أصبح ضرورة مهنية لضمان حماية بيانات الموكلين</w:t>
      </w:r>
      <w:r>
        <w:rPr>
          <w:rFonts w:asciiTheme="majorBidi" w:hAnsiTheme="majorBidi" w:cstheme="majorBidi"/>
          <w:color w:val="000000" w:themeColor="text1"/>
          <w:sz w:val="24"/>
          <w:szCs w:val="24"/>
        </w:rPr>
        <w:t>.</w:t>
      </w:r>
    </w:p>
    <w:p w14:paraId="6612C4A0"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تنظيم واضح لاستخدام الأدوات التقنية في الأعمال القانونية</w:t>
      </w:r>
    </w:p>
    <w:p w14:paraId="790E173F"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المادة الثالثة من النظام لم توضّح حدود استخدام الأدوات الذكية في الأعمال الحساسة مثل الاستشارات وصياغة المذكرات. ويرى جانب من الفقه في دراساتهم حول الشخصية القانونية للذكاء الاصطناعي أن هذا الغموض يجعل المحامي في موقف غير محدد عند اعتماد الأنظمة الذكية في العمل المهني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كان من الواجب وضع معايير تنظّم الاستخدام المشروع للأدوات التقنية في الممارسات المهنية اليومية</w:t>
      </w:r>
      <w:r>
        <w:rPr>
          <w:rFonts w:asciiTheme="majorBidi" w:hAnsiTheme="majorBidi" w:cstheme="majorBidi"/>
          <w:color w:val="000000" w:themeColor="text1"/>
          <w:sz w:val="24"/>
          <w:szCs w:val="24"/>
        </w:rPr>
        <w:t>.</w:t>
      </w:r>
    </w:p>
    <w:p w14:paraId="2C9EC605"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عدم تحديد المسؤولية عند وقوع خطأ تقني</w:t>
      </w:r>
    </w:p>
    <w:p w14:paraId="621F8AA7" w14:textId="77777777" w:rsidR="007F1A18" w:rsidRPr="007F1A18" w:rsidRDefault="007F1A18" w:rsidP="007F1A18">
      <w:pPr>
        <w:jc w:val="right"/>
        <w:rPr>
          <w:rFonts w:asciiTheme="majorBidi" w:hAnsiTheme="majorBidi" w:cstheme="majorBidi"/>
          <w:color w:val="000000" w:themeColor="text1"/>
          <w:sz w:val="24"/>
          <w:szCs w:val="24"/>
        </w:rPr>
      </w:pPr>
      <w:commentRangeStart w:id="4"/>
      <w:commentRangeStart w:id="5"/>
      <w:r>
        <w:rPr>
          <w:rFonts w:asciiTheme="majorBidi" w:hAnsiTheme="majorBidi" w:cstheme="majorBidi"/>
          <w:color w:val="000000" w:themeColor="text1"/>
          <w:sz w:val="24"/>
          <w:szCs w:val="24"/>
          <w:rtl/>
        </w:rPr>
        <w:t xml:space="preserve">تنص المادة (التاسعة والعشرون بعد المائة) من نظام المعاملات المدنية </w:t>
      </w:r>
      <w:commentRangeEnd w:id="4"/>
      <w:r>
        <w:rPr>
          <w:rStyle w:val="af0"/>
          <w:rFonts w:asciiTheme="majorBidi" w:hAnsiTheme="majorBidi" w:cstheme="majorBidi"/>
          <w:color w:val="000000" w:themeColor="text1"/>
          <w:sz w:val="24"/>
          <w:szCs w:val="24"/>
          <w:rtl/>
        </w:rPr>
        <w:commentReference w:id="4"/>
      </w:r>
      <w:commentRangeEnd w:id="5"/>
      <w:r>
        <w:rPr>
          <w:rStyle w:val="af0"/>
          <w:rFonts w:asciiTheme="majorBidi" w:hAnsiTheme="majorBidi" w:cstheme="majorBidi"/>
          <w:color w:val="000000" w:themeColor="text1"/>
          <w:sz w:val="24"/>
          <w:szCs w:val="24"/>
          <w:rtl/>
        </w:rPr>
        <w:commentReference w:id="5"/>
      </w:r>
      <w:r>
        <w:rPr>
          <w:rFonts w:asciiTheme="majorBidi" w:hAnsiTheme="majorBidi" w:cstheme="majorBidi"/>
          <w:color w:val="000000" w:themeColor="text1"/>
          <w:sz w:val="24"/>
          <w:szCs w:val="24"/>
          <w:rtl/>
        </w:rPr>
        <w:t>على مسؤولية المتبوع عن الضرر الذي يحدثه تابعه بخطئه أثناء تأدية عمله أو بسببه، لكنها لم تُفرد نصاً خاصاً للمسؤولية عند وقوع خطأ تقني داخل المكتب القانوني</w:t>
      </w:r>
      <w:commentRangeStart w:id="6"/>
      <w:commentRangeStart w:id="7"/>
      <w:r>
        <w:rPr>
          <w:rFonts w:asciiTheme="majorBidi" w:hAnsiTheme="majorBidi" w:cstheme="majorBidi"/>
          <w:color w:val="000000" w:themeColor="text1"/>
          <w:sz w:val="24"/>
          <w:szCs w:val="24"/>
          <w:rtl/>
        </w:rPr>
        <w:t>. ويشير جانب من الفقه في بحوث المسؤولية القانونية عن أفعال الذكاء الاصطناعي إلى أن الأنظمة القائمة لم تحدد المركز القانوني لـ “الآلة الذكية” في المسؤولية المدنية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هذا القصور يجعل معالجة الأخطاء التقنية محل اجتهادات مختلفة وغير موحدة بين المكاتب</w:t>
      </w:r>
      <w:commentRangeEnd w:id="6"/>
      <w:r>
        <w:rPr>
          <w:rStyle w:val="af0"/>
          <w:rFonts w:asciiTheme="majorBidi" w:hAnsiTheme="majorBidi" w:cstheme="majorBidi"/>
          <w:color w:val="000000" w:themeColor="text1"/>
          <w:sz w:val="24"/>
          <w:szCs w:val="24"/>
        </w:rPr>
        <w:commentReference w:id="6"/>
      </w:r>
      <w:commentRangeEnd w:id="7"/>
      <w:r>
        <w:rPr>
          <w:rStyle w:val="af0"/>
          <w:rFonts w:asciiTheme="majorBidi" w:hAnsiTheme="majorBidi" w:cstheme="majorBidi"/>
          <w:color w:val="000000" w:themeColor="text1"/>
          <w:sz w:val="24"/>
          <w:szCs w:val="24"/>
        </w:rPr>
        <w:commentReference w:id="7"/>
      </w:r>
      <w:r>
        <w:rPr>
          <w:rFonts w:asciiTheme="majorBidi" w:hAnsiTheme="majorBidi" w:cstheme="majorBidi"/>
          <w:color w:val="000000" w:themeColor="text1"/>
          <w:sz w:val="24"/>
          <w:szCs w:val="24"/>
        </w:rPr>
        <w:t>.</w:t>
      </w:r>
    </w:p>
    <w:p w14:paraId="6F170487"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تنظيم ملكية المخرجات التي تنتجها الأنظمة الذكية</w:t>
      </w:r>
    </w:p>
    <w:p w14:paraId="6115A368"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لم يحدد ملكية العقود أو المذكرات التي تولدها الأنظمة الذكية. وقد ناقش جانب من الفقه في بحوثهم العقود التجارية الذكية خطورة غياب التنظيم الخاص بحقوق الملكية الفكرية للمحتوى القانوني الناتج عن أدوات الذكاء الاصطناعي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تحديد المالك القانوني للمخرجات الذكية أصبح أمرًا جوهريًا في حماية الحقوق المهنية</w:t>
      </w:r>
      <w:r>
        <w:rPr>
          <w:rFonts w:asciiTheme="majorBidi" w:hAnsiTheme="majorBidi" w:cstheme="majorBidi"/>
          <w:color w:val="000000" w:themeColor="text1"/>
          <w:sz w:val="24"/>
          <w:szCs w:val="24"/>
        </w:rPr>
        <w:t>.</w:t>
      </w:r>
    </w:p>
    <w:p w14:paraId="162AAA12"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الضوابط الخاصة باستخدام البرمجيات الأجنبية في العمل القانوني</w:t>
      </w:r>
    </w:p>
    <w:p w14:paraId="7DCB2D7B"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تستخدم مكاتب المحاماة في المملكة أدوات تحليل قانوني أجنبية دون إطار نظامي ينظم ذلك. وأشار جانب من الفقه في دراساتهم حول عقود الذكاء الاصطناعي عبر تقنية البلوك تشين إلى المخاطر المرتبطة بالاعتماد على أنظمة خارج الولاية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هذا القصور يثير قضايا تتعلق بالسيادة المعلوماتية وأمن بيانات القضايا</w:t>
      </w:r>
      <w:r>
        <w:rPr>
          <w:rFonts w:asciiTheme="majorBidi" w:hAnsiTheme="majorBidi" w:cstheme="majorBidi"/>
          <w:color w:val="000000" w:themeColor="text1"/>
          <w:sz w:val="24"/>
          <w:szCs w:val="24"/>
        </w:rPr>
        <w:t>.</w:t>
      </w:r>
    </w:p>
    <w:p w14:paraId="769CC9AE"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ضعف المحفزات النظامية لتبني التقنيات القانونية الوطنية</w:t>
      </w:r>
    </w:p>
    <w:p w14:paraId="77F21E1B" w14:textId="77777777" w:rsidR="007F1A18" w:rsidRPr="007F1A18" w:rsidRDefault="007F1A18" w:rsidP="007F1A18">
      <w:pPr>
        <w:jc w:val="right"/>
        <w:rPr>
          <w:rFonts w:asciiTheme="majorBidi" w:hAnsiTheme="majorBidi" w:cstheme="majorBidi"/>
          <w:color w:val="000000" w:themeColor="text1"/>
          <w:sz w:val="24"/>
          <w:szCs w:val="24"/>
        </w:rPr>
      </w:pPr>
      <w:commentRangeStart w:id="8"/>
      <w:commentRangeStart w:id="9"/>
      <w:r>
        <w:rPr>
          <w:rFonts w:asciiTheme="majorBidi" w:hAnsiTheme="majorBidi" w:cstheme="majorBidi"/>
          <w:color w:val="000000" w:themeColor="text1"/>
          <w:sz w:val="24"/>
          <w:szCs w:val="24"/>
          <w:rtl/>
        </w:rPr>
        <w:t>رغم دعم رؤية 2030 للتحول الرقمي، لا يتضمن النظام نصوصًا تشجع على تطوير أدوات قانونية محلية. ويرى جانب من الفقه أن المشرّع بحاجة للانتقال من “التحكم المهني” إلى “التنظيم التطويري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تحفيز الابتكار القانوني المحلي يمثل خطوة رئيسية في بناء منظومة قانونية حديثة</w:t>
      </w:r>
      <w:r>
        <w:rPr>
          <w:rFonts w:asciiTheme="majorBidi" w:hAnsiTheme="majorBidi" w:cstheme="majorBidi"/>
          <w:color w:val="000000" w:themeColor="text1"/>
          <w:sz w:val="24"/>
          <w:szCs w:val="24"/>
        </w:rPr>
        <w:t>.</w:t>
      </w:r>
    </w:p>
    <w:p w14:paraId="1E79E26E" w14:textId="77777777" w:rsidR="007F1A18" w:rsidRPr="007F1A18" w:rsidRDefault="007F1A18" w:rsidP="007F1A18">
      <w:pPr>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غياب معالجة التوازن بين السرية المهنية والشفافية التقنية</w:t>
      </w:r>
    </w:p>
    <w:p w14:paraId="44F049BD" w14:textId="77777777" w:rsidR="007F1A18" w:rsidRPr="007F1A18" w:rsidRDefault="007F1A18" w:rsidP="007F1A18">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لا يحدد ما إذا كان المحامي ملزمًا بالإفصاح عن استخدام الأنظمة الذكية في أعماله. وأشار د. جانب من الفقه إلى أن السرية في البيئة الرقمية تختلف عن السرية التقليدية وتستلزم قواعد جديدة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b/>
          <w:bCs/>
          <w:color w:val="000000" w:themeColor="text1"/>
          <w:sz w:val="24"/>
          <w:szCs w:val="24"/>
          <w:rtl/>
        </w:rPr>
        <w:t>يرى الباحث</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تنظيم مسألة الإفصاح عن استخدام التقنية أصبح ضرورة لضبط الجانب الأخلاقي للمهنة</w:t>
      </w:r>
      <w:r>
        <w:rPr>
          <w:rFonts w:asciiTheme="majorBidi" w:hAnsiTheme="majorBidi" w:cstheme="majorBidi"/>
          <w:color w:val="000000" w:themeColor="text1"/>
          <w:sz w:val="24"/>
          <w:szCs w:val="24"/>
        </w:rPr>
        <w:t>.</w:t>
      </w:r>
      <w:commentRangeEnd w:id="8"/>
      <w:r w:rsidRPr="007F1A18">
        <w:rPr>
          <w:rStyle w:val="af0"/>
          <w:rFonts w:asciiTheme="majorBidi" w:hAnsiTheme="majorBidi" w:cstheme="majorBidi"/>
          <w:color w:val="000000" w:themeColor="text1"/>
          <w:sz w:val="24"/>
          <w:szCs w:val="24"/>
        </w:rPr>
        <w:commentReference w:id="8"/>
      </w:r>
      <w:commentRangeEnd w:id="9"/>
      <w:r w:rsidRPr="007F1A18">
        <w:rPr>
          <w:rStyle w:val="af0"/>
          <w:rFonts w:asciiTheme="majorBidi" w:hAnsiTheme="majorBidi" w:cstheme="majorBidi"/>
          <w:color w:val="000000" w:themeColor="text1"/>
          <w:sz w:val="24"/>
          <w:szCs w:val="24"/>
        </w:rPr>
        <w:commentReference w:id="9"/>
      </w:r>
    </w:p>
    <w:p w14:paraId="51499ED7" w14:textId="77777777" w:rsidR="007F1A18" w:rsidRPr="00AB2138" w:rsidRDefault="00AB2138" w:rsidP="00AB2138">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مما سبق </w:t>
      </w:r>
      <w:r>
        <w:rPr>
          <w:rFonts w:asciiTheme="majorBidi" w:hAnsiTheme="majorBidi" w:cstheme="majorBidi"/>
          <w:color w:val="000000" w:themeColor="text1"/>
          <w:sz w:val="24"/>
          <w:szCs w:val="24"/>
          <w:rtl/>
        </w:rPr>
        <w:t>يتضح أن نظام المحاماة، رغم ثباته، يحتاج إلى مراجعة شاملة تستوعب المفاهيم الرقمية الحديثة، وتربط المهنة بالضوابط التقنية والأخلاقية لاستخدام الذكاء الاصطناعي، وتحدد حدود المسؤولية القانونية، وتُعالج الفجوات الرقمية التي أصبحت جزءًا من الممارسة اليومية للمحامي</w:t>
      </w:r>
      <w:r>
        <w:rPr>
          <w:rFonts w:asciiTheme="majorBidi" w:hAnsiTheme="majorBidi" w:cstheme="majorBidi"/>
          <w:color w:val="000000" w:themeColor="text1"/>
          <w:sz w:val="24"/>
          <w:szCs w:val="24"/>
        </w:rPr>
        <w:t>.</w:t>
      </w:r>
    </w:p>
    <w:p w14:paraId="105F8D61" w14:textId="77777777" w:rsidR="001F1442" w:rsidRPr="001F1442" w:rsidRDefault="001F1442" w:rsidP="00D41CB7">
      <w:pPr>
        <w:jc w:val="right"/>
        <w:rPr>
          <w:rFonts w:asciiTheme="majorBidi" w:hAnsiTheme="majorBidi" w:cstheme="majorBidi"/>
          <w:color w:val="000000" w:themeColor="text1"/>
          <w:sz w:val="24"/>
          <w:szCs w:val="24"/>
          <w:rtl/>
        </w:rPr>
      </w:pPr>
    </w:p>
    <w:p w14:paraId="3CBF6B99" w14:textId="77777777" w:rsidR="000A1619" w:rsidRPr="000A1619" w:rsidRDefault="000A1619" w:rsidP="000A1619">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ثامنًا: التفسير القانوني الموسّع للنظام تمهيدًا للتطوير القانوني</w:t>
      </w:r>
    </w:p>
    <w:p w14:paraId="168FB09D"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وتُعدّ الترتيبات التنظيمية للهيئة السعودية للبيانات والذكاء الاصطناعي الصادرة بقرار مجلس الوزراء رقم (292) وتاريخ 1441/4/27هـ والمعدلة بقرار رقم (195) وتاريخ 1444/3/15هـ من أبرز الوثائق التنظيمية التي أرست </w:t>
      </w:r>
      <w:r>
        <w:rPr>
          <w:rFonts w:asciiTheme="majorBidi" w:hAnsiTheme="majorBidi" w:cstheme="majorBidi"/>
          <w:sz w:val="24"/>
          <w:szCs w:val="24"/>
          <w:rtl/>
        </w:rPr>
        <w:lastRenderedPageBreak/>
        <w:t>البنية المؤسسية للحوكمة الرقمية في المملكة؛ إذ منحت الهيئة صلاحيات واسعة تشمل: وضع سياسات ومعايير وضوابط خاصة بالبيانات والذكاء الاصطناعي وتعميمها على الجهات الحكومية وغير الحكومية، ومتابعة الالتزام بها. وهذا يجعل الهيئة جهةً تنظيمية عليا في مجال الذكاء الاصطناعي تستلزم تفاعلًا تشريعيًا موازيًا من قِبَل المنظومة القانونية والمهنية.</w:t>
      </w:r>
      <w:r>
        <w:rPr>
          <w:rStyle w:val="af"/>
          <w:rFonts w:asciiTheme="majorBidi" w:hAnsiTheme="majorBidi" w:cstheme="majorBidi"/>
          <w:sz w:val="24"/>
          <w:szCs w:val="24"/>
          <w:rtl/>
        </w:rPr>
        <w:footnoteReference w:id="71"/>
      </w:r>
    </w:p>
    <w:p w14:paraId="21773D52"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تُعد التفسير القانوني الموسّع للنصوص القانونية من أبرز أدوات التطوير التشريعي في الأنظمة المعاصرة، فهي لا تهدف إلى تجاوز النص، بل إلى إحياء معناه في ضوء الواقع الرقمي المتجدد. وفي الحالة السعودية، يمكن القول إن نظام المحاماة — رغم صياغته التقليدية — يحمل قابلية تأويلية عالية تتيح إعادة تفسيره في سياق الثورة التقنية والذكاء الاصطناعي دون الحاجة إلى تعديل جذري في بنيته. فالمشرّع السعودي صاغ نصوص النظام بصياغات عامة مرنة تسمح باستيعاب التطور، وهو ما يشكل الأساس المنهجي لهذه القراءة</w:t>
      </w:r>
      <w:r>
        <w:rPr>
          <w:rFonts w:asciiTheme="majorBidi" w:hAnsiTheme="majorBidi" w:cstheme="majorBidi"/>
          <w:color w:val="000000" w:themeColor="text1"/>
          <w:sz w:val="24"/>
          <w:szCs w:val="24"/>
        </w:rPr>
        <w:t>.</w:t>
      </w:r>
    </w:p>
    <w:p w14:paraId="767834CC"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ويرى جانب من الفقه (د.ت) في هذا الصدد أن التفسير الموسّع للنصوص النظامية السعودية، لا سيما نصوص نظام المحاماة ونظام التعاملات الإلكترونية، يُمكِّن من استيعاب منظومة الذكاء الاصطناعي ضمن الإطار القانوني القائم، دون انتظار تشريع مستقل قد يتأخر سنوات في ظل الإيقاع التسريعي للتقنية.</w:t>
      </w:r>
      <w:r>
        <w:rPr>
          <w:rtl/>
        </w:rPr>
        <w:footnoteReference w:id="72"/>
      </w:r>
    </w:p>
    <w:p w14:paraId="7C8E7748"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تظهر أولى بوادر هذا التأويل في </w:t>
      </w:r>
      <w:r>
        <w:rPr>
          <w:rFonts w:asciiTheme="majorBidi" w:hAnsiTheme="majorBidi" w:cstheme="majorBidi"/>
          <w:b/>
          <w:bCs/>
          <w:color w:val="000000" w:themeColor="text1"/>
          <w:sz w:val="24"/>
          <w:szCs w:val="24"/>
          <w:rtl/>
        </w:rPr>
        <w:t>المادة الأولى</w:t>
      </w:r>
      <w:r>
        <w:rPr>
          <w:rFonts w:asciiTheme="majorBidi" w:hAnsiTheme="majorBidi" w:cstheme="majorBidi"/>
          <w:color w:val="000000" w:themeColor="text1"/>
          <w:sz w:val="24"/>
          <w:szCs w:val="24"/>
          <w:rtl/>
        </w:rPr>
        <w:t xml:space="preserve"> من النظام التي تنص على أن </w:t>
      </w:r>
      <w:r>
        <w:rPr>
          <w:rFonts w:asciiTheme="majorBidi" w:hAnsiTheme="majorBidi" w:cstheme="majorBidi"/>
          <w:i/>
          <w:iCs/>
          <w:color w:val="000000" w:themeColor="text1"/>
          <w:sz w:val="24"/>
          <w:szCs w:val="24"/>
        </w:rPr>
        <w:t>"</w:t>
      </w:r>
      <w:r>
        <w:rPr>
          <w:rFonts w:asciiTheme="majorBidi" w:hAnsiTheme="majorBidi" w:cstheme="majorBidi"/>
          <w:i/>
          <w:iCs/>
          <w:color w:val="000000" w:themeColor="text1"/>
          <w:sz w:val="24"/>
          <w:szCs w:val="24"/>
          <w:rtl/>
        </w:rPr>
        <w:t>مهنة المحاماة تشارك السلطة القضائية في تحقيق العدالة</w:t>
      </w:r>
      <w:r>
        <w:rPr>
          <w:rFonts w:asciiTheme="majorBidi" w:hAnsiTheme="majorBidi" w:cstheme="majorBidi"/>
          <w:i/>
          <w:iCs/>
          <w:color w:val="000000" w:themeColor="text1"/>
          <w:sz w:val="24"/>
          <w:szCs w:val="24"/>
        </w:rPr>
        <w:t>"</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 xml:space="preserve">ورغم أن مفهوم العدالة كان تقليديًا يرتبط بالمرافعة الورقية والحضور المادي، إلا أن منظومة العدالة اليوم تقوم على منصات رقمية وأنظمة ذكية. وبذلك يمكن تفسير المشاركة في تحقيق العدالة — وفق التفسير القانوني الموسّع — على أنها تشمل المشاركة في </w:t>
      </w:r>
      <w:r>
        <w:rPr>
          <w:rFonts w:asciiTheme="majorBidi" w:hAnsiTheme="majorBidi" w:cstheme="majorBidi"/>
          <w:i/>
          <w:iCs/>
          <w:color w:val="000000" w:themeColor="text1"/>
          <w:sz w:val="24"/>
          <w:szCs w:val="24"/>
          <w:rtl/>
        </w:rPr>
        <w:t>بناء البيئة الرقمية للعدالة</w:t>
      </w:r>
      <w:r>
        <w:rPr>
          <w:rFonts w:asciiTheme="majorBidi" w:hAnsiTheme="majorBidi" w:cstheme="majorBidi"/>
          <w:color w:val="000000" w:themeColor="text1"/>
          <w:sz w:val="24"/>
          <w:szCs w:val="24"/>
          <w:rtl/>
        </w:rPr>
        <w:t>، واستخدام أدوات الذكاء الاصطناعي لتحسين كفاءة الخدمات العدلية وتسريع الفصل في المنازعات. وقد أشار جانب من الفقه في بحوثهم عن القواعد المنظمة لاستخدامات الذكاء الاصطناعي إلى أن النصوص ذات الطبيعة الغائية تصلح كإطار قانوني لإدماج التقنيات الحديثة دون تعديل جوهري للنظام</w:t>
      </w:r>
      <w:r>
        <w:rPr>
          <w:rFonts w:asciiTheme="majorBidi" w:hAnsiTheme="majorBidi" w:cstheme="majorBidi"/>
          <w:color w:val="000000" w:themeColor="text1"/>
          <w:sz w:val="24"/>
          <w:szCs w:val="24"/>
        </w:rPr>
        <w:t>.</w:t>
      </w:r>
    </w:p>
    <w:p w14:paraId="00830B0F"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وقد استند محمود وعناني (د.ت) إلى التجارب القانونية المقارنة في فرنسا وكندا للإشارة إلى أن أولى بوادر التأويل الموسَّع في مجال الذكاء الاصطناعي القضائي بدأت بصدور قرارات قضائية قبلت الاستشهاد بالتقارير الذكية كقرائن مدعِّمة للدليل، لا كأدلة قاطعة، وهو ما يمكن تبنّيه في الاجتهاد القضائي السعودي.</w:t>
      </w:r>
      <w:r>
        <w:rPr>
          <w:rtl/>
        </w:rPr>
        <w:footnoteReference w:id="73"/>
      </w:r>
    </w:p>
    <w:p w14:paraId="3E4BE257"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وفيما يتعلق بتعزيز الاجتهاد القضائي من خلال التكوين المتخصص، دعا جانب من الفقه إلى إنشاء برامج تدريبية متخصصة للقضاة تُعنى بمعطيات الذكاء الاصطناعي وآثاره الإجرائية، مستنداً إلى أن الاجتهاد الرشيد في القضايا التقنية يتطلب إلماماً بالمفاهيم الأساسية للأنظمة الذكية، وإلا تحوّل الاجتهاد إلى محض تخمين في مواجهة حقائق تقنية غامضة.</w:t>
      </w:r>
      <w:r>
        <w:rPr>
          <w:rtl/>
        </w:rPr>
        <w:footnoteReference w:id="74"/>
      </w:r>
    </w:p>
    <w:p w14:paraId="0036FDAD"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 xml:space="preserve">وفي ضوء الاجتهاد القضائي المقارن في المسائل التقنية، استعرض جانب من الفقه عدة قضايا أوروبية وأمريكية برزت فيها أنظمة الذكاء الاصطناعي طرفاً فاعلاً في النزاع، خالصاً إلى أن الاجتهاد القضائي في هذه الأنظمة </w:t>
      </w:r>
      <w:r>
        <w:rPr>
          <w:rFonts w:asciiTheme="majorBidi" w:hAnsiTheme="majorBidi" w:cstheme="majorBidi"/>
          <w:sz w:val="24"/>
          <w:szCs w:val="24"/>
          <w:rtl/>
        </w:rPr>
        <w:lastRenderedPageBreak/>
        <w:t>يتسم بالحذر والتدرج، مع الميل إلى تطبيق المبادئ القانونية العامة بتكييفات مبتكرة بدلاً من انتظار التشريع الصريح.</w:t>
      </w:r>
      <w:r>
        <w:rPr>
          <w:rtl/>
        </w:rPr>
        <w:footnoteReference w:id="75"/>
      </w:r>
    </w:p>
    <w:p w14:paraId="58AE7B29"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وعلى صعيد الاجتهاد القضائي السعودي في هذا الشأن، لفتت الجلعود إلى أن عدم وجود سوابق قضائية راسخة في مسألة ذكاء اصطناعي يُنشئ عبء الإثبات من جهة، وضعف الاتساق في المعالجة القضائية من جهة أخرى؛ لأن كل قاضٍ يُعمل اجتهاده الخاص في ظل غياب الدليل التشريعي أو المرجع الفقهي الضابط.</w:t>
      </w:r>
      <w:r>
        <w:rPr>
          <w:rtl/>
        </w:rPr>
        <w:footnoteReference w:id="76"/>
      </w:r>
    </w:p>
    <w:p w14:paraId="38B7BF45"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يمكن تأويل </w:t>
      </w:r>
      <w:r>
        <w:rPr>
          <w:rFonts w:asciiTheme="majorBidi" w:hAnsiTheme="majorBidi" w:cstheme="majorBidi"/>
          <w:b/>
          <w:bCs/>
          <w:color w:val="000000" w:themeColor="text1"/>
          <w:sz w:val="24"/>
          <w:szCs w:val="24"/>
          <w:rtl/>
        </w:rPr>
        <w:t>المادة الثالثة عشرة</w:t>
      </w:r>
      <w:r>
        <w:rPr>
          <w:rFonts w:asciiTheme="majorBidi" w:hAnsiTheme="majorBidi" w:cstheme="majorBidi"/>
          <w:color w:val="000000" w:themeColor="text1"/>
          <w:sz w:val="24"/>
          <w:szCs w:val="24"/>
          <w:rtl/>
        </w:rPr>
        <w:t xml:space="preserve"> </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التي تنص على مسؤولية المحامي عن “الأعمال التي تتم تحت إشرافه” — لتشمل الأنظمة الذكية التي يعتمد عليها في أداء مهامه اليومية. فوفق هذا التفسير، يصبح النظام الذكي جزءًا من دائرة الإشراف المهني، ويتحمّل المحامي تبعات مخرجاته كما يتحمّل تبعات أفعال العاملين معه. وقد دعم جانب من الفقه في دراساتهم حول حماية التصرفات القانونية بالذكاء الاصطناعي هذا الاتجاه، مؤكدًا أن الوسائل التقنية الحديثة يمكن إدخالها في الإطار القانوني القائم عبر التفسير دون الحاجة إلى إنشاء كيانات قانونية جديدة</w:t>
      </w:r>
      <w:r>
        <w:rPr>
          <w:rFonts w:asciiTheme="majorBidi" w:hAnsiTheme="majorBidi" w:cstheme="majorBidi"/>
          <w:color w:val="000000" w:themeColor="text1"/>
          <w:sz w:val="24"/>
          <w:szCs w:val="24"/>
        </w:rPr>
        <w:t>.</w:t>
      </w:r>
    </w:p>
    <w:p w14:paraId="7C318717"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ويمكن أيضًا إعادة تفسير النصوص المتعلقة بآداب المهنة وواجباتها، الواردة في </w:t>
      </w:r>
      <w:r>
        <w:rPr>
          <w:rFonts w:asciiTheme="majorBidi" w:hAnsiTheme="majorBidi" w:cstheme="majorBidi"/>
          <w:b/>
          <w:bCs/>
          <w:color w:val="000000" w:themeColor="text1"/>
          <w:sz w:val="24"/>
          <w:szCs w:val="24"/>
          <w:rtl/>
        </w:rPr>
        <w:t>المادة الثالثة</w:t>
      </w:r>
      <w:r>
        <w:rPr>
          <w:rFonts w:asciiTheme="majorBidi" w:hAnsiTheme="majorBidi" w:cstheme="majorBidi"/>
          <w:color w:val="000000" w:themeColor="text1"/>
          <w:sz w:val="24"/>
          <w:szCs w:val="24"/>
          <w:rtl/>
        </w:rPr>
        <w:t xml:space="preserve"> و</w:t>
      </w:r>
      <w:r>
        <w:rPr>
          <w:rFonts w:asciiTheme="majorBidi" w:hAnsiTheme="majorBidi" w:cstheme="majorBidi"/>
          <w:b/>
          <w:bCs/>
          <w:color w:val="000000" w:themeColor="text1"/>
          <w:sz w:val="24"/>
          <w:szCs w:val="24"/>
          <w:rtl/>
        </w:rPr>
        <w:t>المادة الحادية عشرة</w:t>
      </w:r>
      <w:r>
        <w:rPr>
          <w:rFonts w:asciiTheme="majorBidi" w:hAnsiTheme="majorBidi" w:cstheme="majorBidi"/>
          <w:color w:val="000000" w:themeColor="text1"/>
          <w:sz w:val="24"/>
          <w:szCs w:val="24"/>
          <w:rtl/>
        </w:rPr>
        <w:t>، بما يتسع ليشمل الالتزامات الرقمية الحديثة؛ فالقيم التي نص عليها النظام — مثل الأمانة والسرية والصدق — جاءت كقيم عامة غير محصورة، مما يتيح مدّها لتشمل حماية البيانات الإلكترونية، وتأمين المعلومات، والامتناع عن إدخال بيانات الموكلين في أنظمة غير مرخصة. ويجد هذا التفسير سنده في مبادئ وثيقة سدايا لأخلاقيات الذكاء الاصطناعي التي تؤكد أن حماية الخصوصية مسؤولية مشتركة بين الإنسان والتقنية</w:t>
      </w:r>
      <w:r>
        <w:rPr>
          <w:rFonts w:asciiTheme="majorBidi" w:hAnsiTheme="majorBidi" w:cstheme="majorBidi"/>
          <w:color w:val="000000" w:themeColor="text1"/>
          <w:sz w:val="24"/>
          <w:szCs w:val="24"/>
        </w:rPr>
        <w:t>.</w:t>
      </w:r>
    </w:p>
    <w:p w14:paraId="13187312"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وعلى صعيد التطور الفقهي في مسألة السرية، لفتت عبد الرحمن إلى أن الفقه القانوني المقارن انتقل من تصور السرية واجباً سلبياً يقتضي عدم الإفصاح، إلى تصورها واجباً إيجابياً يستلزم اتخاذ الإجراءات الكافية لحفظ المعلومات من الاطلاع غير المشروع؛ وهو تطور جوهري يرتد أثره مباشرة على مسؤولية المحامي الذي يستخدم منصات ذكاء اصطناعي دون ضمانات أمنية كافية.</w:t>
      </w:r>
      <w:r>
        <w:rPr>
          <w:rtl/>
        </w:rPr>
        <w:footnoteReference w:id="77"/>
      </w:r>
    </w:p>
    <w:p w14:paraId="2C033ACE"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وبالنسبة للمادة الحادية عشرة الضامنة لمبدأ السرية، رأى جانب من الفقه أن هذه المادة وأمثالها في الأنظمة الخليجية تُجسّد مبدأً أعمق من مجرد واجب تعاقدي، إذ هي التزام مهني نظامي يمتد إلى ما بعد انتهاء العلاقة بالموكل، وأن هذا الامتداد يستوجب بالضرورة سريانه على أي بيانات مُدخَلة في أنظمة ذكاء اصطناعي طوال فترة احتفاظها بهذه البيانات.</w:t>
      </w:r>
      <w:r>
        <w:rPr>
          <w:rtl/>
        </w:rPr>
        <w:footnoteReference w:id="78"/>
      </w:r>
    </w:p>
    <w:p w14:paraId="12F3AC55" w14:textId="77777777" w:rsidR="00D57654" w:rsidRDefault="00C702A9" w:rsidP="00A67437">
      <w:pPr>
        <w:jc w:val="right"/>
        <w:rPr>
          <w:rFonts w:asciiTheme="majorBidi" w:hAnsiTheme="majorBidi" w:cstheme="majorBidi"/>
          <w:sz w:val="24"/>
          <w:szCs w:val="24"/>
          <w:rtl/>
        </w:rPr>
      </w:pPr>
      <w:r>
        <w:rPr>
          <w:rFonts w:asciiTheme="majorBidi" w:hAnsiTheme="majorBidi" w:cstheme="majorBidi"/>
          <w:sz w:val="24"/>
          <w:szCs w:val="24"/>
          <w:rtl/>
        </w:rPr>
        <w:t>وفي ما يخص المادة الحادية عشرة المتعلقة بالسر المهني وضمانات السرية، وصف جانب من الفقه الوضع الراهن بأنه يفتقر إلى نص صريح يُجرّم إفشاء أسرار الموكل عبر منصات الذكاء الاصطناعي غير الآمنة، مقترحاً أن يُعدَّل النظام لينص صراحةً على أن واجب السرية يمتد إلى أي طريقة أو وسيلة يُستعان بها في معالجة معلومات الموكل، بما يشمل الأدوات التقنية الذكية.</w:t>
      </w:r>
      <w:r>
        <w:rPr>
          <w:rtl/>
        </w:rPr>
        <w:footnoteReference w:id="79"/>
      </w:r>
    </w:p>
    <w:p w14:paraId="2926F4E6"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 xml:space="preserve">ومن جهة أخرى، يمكن الاستفادة من </w:t>
      </w:r>
      <w:r>
        <w:rPr>
          <w:rFonts w:asciiTheme="majorBidi" w:hAnsiTheme="majorBidi" w:cstheme="majorBidi"/>
          <w:b/>
          <w:bCs/>
          <w:color w:val="000000" w:themeColor="text1"/>
          <w:sz w:val="24"/>
          <w:szCs w:val="24"/>
          <w:rtl/>
        </w:rPr>
        <w:t>المادة (١١) من نظام الإثبات لعام 1443هـ</w:t>
      </w:r>
      <w:r>
        <w:rPr>
          <w:rFonts w:asciiTheme="majorBidi" w:hAnsiTheme="majorBidi" w:cstheme="majorBidi"/>
          <w:color w:val="000000" w:themeColor="text1"/>
          <w:sz w:val="24"/>
          <w:szCs w:val="24"/>
          <w:rtl/>
        </w:rPr>
        <w:t xml:space="preserve"> التي أقرت حجية الأدلة الرقمية متى توافرت متطلبات الموثوقية، لتوسيع نطاق القواعد التي يمكن للمحامي الاستناد إليها عند استخدام أدوات الذكاء الاصطناعي في إعداد المذكرات والعقود. فإذا ثبت للمحامي أن الأداة الذكية المستخدمة معتمدة وتعمل تحت معايير مهنية، يمكن اعتبار مخرجاتها مستندًا ذا حجية في العمل القانوني وفقًا لروح النظام</w:t>
      </w:r>
      <w:r>
        <w:rPr>
          <w:rFonts w:asciiTheme="majorBidi" w:hAnsiTheme="majorBidi" w:cstheme="majorBidi"/>
          <w:color w:val="000000" w:themeColor="text1"/>
          <w:sz w:val="24"/>
          <w:szCs w:val="24"/>
        </w:rPr>
        <w:t>.</w:t>
      </w:r>
    </w:p>
    <w:p w14:paraId="568DE1FC"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ويمكن كذلك قراءة أحكام علاقة المحامي بالجهات التنظيمية، الواردة في </w:t>
      </w:r>
      <w:r>
        <w:rPr>
          <w:rFonts w:asciiTheme="majorBidi" w:hAnsiTheme="majorBidi" w:cstheme="majorBidi"/>
          <w:b/>
          <w:bCs/>
          <w:color w:val="000000" w:themeColor="text1"/>
          <w:sz w:val="24"/>
          <w:szCs w:val="24"/>
          <w:rtl/>
        </w:rPr>
        <w:t>المادة (١٧)</w:t>
      </w:r>
      <w:r>
        <w:rPr>
          <w:rFonts w:asciiTheme="majorBidi" w:hAnsiTheme="majorBidi" w:cstheme="majorBidi"/>
          <w:color w:val="000000" w:themeColor="text1"/>
          <w:sz w:val="24"/>
          <w:szCs w:val="24"/>
          <w:rtl/>
        </w:rPr>
        <w:t>، قراءة تأويلية تسمح بتوسيع مفهوم “التعاون المؤسسي” ليشمل المشاركة في تطوير الأدوات الذكية المستخدمة في القطاع العدلي، وإنشاء لجان فنية مشتركة مع وزارة العدل والهيئة السعودية للمحامين لتنظيم اعتماد التقنيات القانونية. وهذا الاتجاه يتوافق مع ما طرحه جانب من الفقه حول مفهوم “إدارة التقنية” كجزء من الدور التشريعي الحديث</w:t>
      </w:r>
      <w:r>
        <w:rPr>
          <w:rFonts w:asciiTheme="majorBidi" w:hAnsiTheme="majorBidi" w:cstheme="majorBidi"/>
          <w:color w:val="000000" w:themeColor="text1"/>
          <w:sz w:val="24"/>
          <w:szCs w:val="24"/>
        </w:rPr>
        <w:t>.</w:t>
      </w:r>
    </w:p>
    <w:p w14:paraId="1C2376DC" w14:textId="77777777" w:rsidR="007F1A18" w:rsidRPr="007F1A18" w:rsidRDefault="007F1A18" w:rsidP="00A67437">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أما </w:t>
      </w:r>
      <w:r>
        <w:rPr>
          <w:rFonts w:asciiTheme="majorBidi" w:hAnsiTheme="majorBidi" w:cstheme="majorBidi"/>
          <w:b/>
          <w:bCs/>
          <w:color w:val="000000" w:themeColor="text1"/>
          <w:sz w:val="24"/>
          <w:szCs w:val="24"/>
          <w:rtl/>
        </w:rPr>
        <w:t>نظام القضاء السعودي</w:t>
      </w:r>
      <w:r>
        <w:rPr>
          <w:rFonts w:asciiTheme="majorBidi" w:hAnsiTheme="majorBidi" w:cstheme="majorBidi"/>
          <w:color w:val="000000" w:themeColor="text1"/>
          <w:sz w:val="24"/>
          <w:szCs w:val="24"/>
          <w:rtl/>
        </w:rPr>
        <w:t xml:space="preserve">، وخاصة </w:t>
      </w:r>
      <w:r>
        <w:rPr>
          <w:rFonts w:asciiTheme="majorBidi" w:hAnsiTheme="majorBidi" w:cstheme="majorBidi"/>
          <w:b/>
          <w:bCs/>
          <w:color w:val="000000" w:themeColor="text1"/>
          <w:sz w:val="24"/>
          <w:szCs w:val="24"/>
          <w:rtl/>
        </w:rPr>
        <w:t>المادة السادسة</w:t>
      </w:r>
      <w:r>
        <w:rPr>
          <w:rFonts w:asciiTheme="majorBidi" w:hAnsiTheme="majorBidi" w:cstheme="majorBidi"/>
          <w:color w:val="000000" w:themeColor="text1"/>
          <w:sz w:val="24"/>
          <w:szCs w:val="24"/>
          <w:rtl/>
        </w:rPr>
        <w:t xml:space="preserve"> التي تنص على تعاون القضاة والمحامين والنيابة العامة لتحقيق العدالة، فيمكن أن يُقرأ في ضوء البيئة الرقمية باعتباره يشمل التعاون في تطوير البنية التقنية للعدالة، بما في ذلك المساهمة في تصميم واعتماد الأنظمة الذكية المستخدمة من قبل المحاكم ومكاتب المحاماة</w:t>
      </w:r>
      <w:r>
        <w:rPr>
          <w:rFonts w:asciiTheme="majorBidi" w:hAnsiTheme="majorBidi" w:cstheme="majorBidi"/>
          <w:color w:val="000000" w:themeColor="text1"/>
          <w:sz w:val="24"/>
          <w:szCs w:val="24"/>
        </w:rPr>
        <w:t>.</w:t>
      </w:r>
    </w:p>
    <w:p w14:paraId="1793A87F" w14:textId="77777777" w:rsidR="00780164" w:rsidRDefault="007F1A18" w:rsidP="007F1A18">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إن التفسير القانوني الموسّع للنظام لا تهدف إلى سدّ الفراغات فحسب، بل إلى إعادة إحياء النصوص بما يتوافق مع التحولات التقنية والاجتماعية التي تشهدها المملكة. فالنظام كُتب بروح مرنة قابلة للتطوير، وهو ما ينسجم مع التوجه السعودي نحو بناء منظومة عدلية رقمية ديناميكية. ويمكن القول إن التطوير التشريعي الأمثل لا يكون بإلغاء النصوص القائمة، بل بإعادة تفسيرها ودمجها واستثمار قيمها، لتشكيل نظام قانوني رقمي متكامل يجمع بين الأصالة العدلية والحداثة التقنية</w:t>
      </w:r>
      <w:r>
        <w:rPr>
          <w:rFonts w:asciiTheme="majorBidi" w:hAnsiTheme="majorBidi" w:cstheme="majorBidi" w:hint="cs"/>
          <w:color w:val="000000" w:themeColor="text1"/>
          <w:sz w:val="24"/>
          <w:szCs w:val="24"/>
          <w:rtl/>
        </w:rPr>
        <w:t>.</w:t>
      </w:r>
    </w:p>
    <w:p w14:paraId="16B3CA0F" w14:textId="77777777" w:rsidR="00780164" w:rsidRDefault="00780164" w:rsidP="007F1A18">
      <w:pPr>
        <w:jc w:val="right"/>
        <w:rPr>
          <w:rFonts w:asciiTheme="majorBidi" w:hAnsiTheme="majorBidi" w:cstheme="majorBidi"/>
          <w:color w:val="000000" w:themeColor="text1"/>
          <w:sz w:val="24"/>
          <w:szCs w:val="24"/>
          <w:rtl/>
        </w:rPr>
      </w:pPr>
    </w:p>
    <w:p w14:paraId="0A5B6497" w14:textId="77777777" w:rsidR="00780164" w:rsidRPr="00780164" w:rsidRDefault="00780164" w:rsidP="0078016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وفي ضوء ما تقدّم،</w:t>
      </w:r>
      <w:r>
        <w:rPr>
          <w:rFonts w:asciiTheme="majorBidi" w:hAnsiTheme="majorBidi" w:cstheme="majorBidi"/>
          <w:color w:val="000000" w:themeColor="text1"/>
          <w:sz w:val="24"/>
          <w:szCs w:val="24"/>
          <w:rtl/>
        </w:rPr>
        <w:t xml:space="preserve"> يتضح أن نظام المحاماة السعودي صدر في مرحلة تشريعية سابقة للتحول الرقمي، إلا أنه تأسس على بنية قانونية متينة هدفت إلى تعزيز العدالة وتنظيم المهنة في إطار مؤسسي قابل للتطور. وتتميز مهنة المحاماة بطبيعتها القانونية المركّبة، إذ تجمع بين الصفة العدلية العامة والحرية المهنية، وهو ما يجعلها قابلة من حيث الأصل لاستيعاب التقنيات الحديثة، بما في ذلك الذكاء الاصطناعي، شريطة أن تظل الرقابة الأخلاقية والقانونية قائمة على عمل المحامي ذاته بوصفه المسؤول المهني، لا على النظام التقني المستخدم. كما يُلاحظ أن البنية النصية للنظام ركزت في تنظيمها على الشخص الطبيعي والالتزامات التقليدية المرتبطة بالممارسة المهنية، دون إدراج مفاهيم رقمية صريحة، غير أن هذه النصوص اتسمت بقدر من المرونة يسمح بإدخال ضوابط تقنية ضمن الهيكل التشريعي القائم دون الحاجة إلى إعادة بناء النظام من جذوره</w:t>
      </w:r>
      <w:r>
        <w:rPr>
          <w:rFonts w:asciiTheme="majorBidi" w:hAnsiTheme="majorBidi" w:cstheme="majorBidi"/>
          <w:color w:val="000000" w:themeColor="text1"/>
          <w:sz w:val="24"/>
          <w:szCs w:val="24"/>
        </w:rPr>
        <w:t>.</w:t>
      </w:r>
    </w:p>
    <w:p w14:paraId="6F2E9EBD" w14:textId="77777777" w:rsidR="00C94490" w:rsidRDefault="00780164" w:rsidP="0078016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ومن ناحية أخرى،</w:t>
      </w:r>
      <w:r>
        <w:rPr>
          <w:rFonts w:asciiTheme="majorBidi" w:hAnsiTheme="majorBidi" w:cstheme="majorBidi"/>
          <w:color w:val="000000" w:themeColor="text1"/>
          <w:sz w:val="24"/>
          <w:szCs w:val="24"/>
          <w:rtl/>
        </w:rPr>
        <w:t xml:space="preserve"> أفرز التطور التقني، ولا سيما في مجالات الترافع والاستشارة والصياغة القانونية، تحديات عملية تتطلب تحديدًا دقيقًا لنطاق استخدام الذكاء الاصطناعي، والتمييز بين دوره كمساعد قانوني يدعم عمل المحامي، وبين تحوّله إلى بديل قد يمس جوهر المهنة ووظيفتها العدلية. وفي هذا السياق، تبرز اللائحة التنفيذية لنظام المحاماة بوصفها الأداة الأكثر مرونة لتنظيم هذه الاستخدامات، من خلال إصدار قواعد تفصيلية تضمن الاستخدام الآمن والمشروع للتقنيات القانونية. ورغم ما يتمتع به النظام من أوجه قوة تتمثل في مرونته، وارتباطه بالأنظمة العدلية الحديثة، وتوافقه مع مبادئ العدالة والشفافية، ووجود مؤسسات مهنية قادرة على الضبط والتقنين، إلا أن التحليل يكشف عن أوجه قصور تشريعي، من أبرزها غياب التعريفات النظامية للمفاهيم التقنية، وضعف الربط بين نظام المحاماة وأنظمة البيانات ذات الصلة، وعدم تنظيم المسؤولية عن الأخطاء التقنية، فضلًا عن غموض المركز النظامي للتقنية في الممارسة القانونية. ومن ثم، تبرز أهمية تبنّي قراءة تأويلية للنصوص القائمة، تسمح بتوسيع نطاق تطبيقها ليشمل استخدامات الذكاء الاصطناعي، من خلال تطوير الفهم التطبيقي للنصوص دون المساس بالبنية التشريعية أو الإخلال بالقيم العدلية التي يقوم عليها النظام</w:t>
      </w:r>
      <w:r>
        <w:rPr>
          <w:rFonts w:asciiTheme="majorBidi" w:hAnsiTheme="majorBidi" w:cstheme="majorBidi"/>
          <w:color w:val="000000" w:themeColor="text1"/>
          <w:sz w:val="24"/>
          <w:szCs w:val="24"/>
        </w:rPr>
        <w:t>.</w:t>
      </w:r>
    </w:p>
    <w:p w14:paraId="6A8CA71A" w14:textId="77777777" w:rsidR="00ED0A7F" w:rsidRPr="00BC5F38" w:rsidRDefault="00ED0A7F" w:rsidP="00C94490">
      <w:pPr>
        <w:jc w:val="right"/>
        <w:rPr>
          <w:rFonts w:asciiTheme="majorBidi" w:hAnsiTheme="majorBidi" w:cstheme="majorBidi"/>
          <w:color w:val="000000" w:themeColor="text1"/>
          <w:sz w:val="24"/>
          <w:szCs w:val="24"/>
          <w:rtl/>
        </w:rPr>
      </w:pPr>
    </w:p>
    <w:p w14:paraId="30F386C2" w14:textId="77777777" w:rsidR="00C94490" w:rsidRPr="00D41CB7" w:rsidRDefault="00C94490" w:rsidP="00C94490">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الثاني</w:t>
      </w:r>
    </w:p>
    <w:p w14:paraId="0985930D" w14:textId="77777777" w:rsidR="00C94490" w:rsidRDefault="00ED0A7F" w:rsidP="00ED0A7F">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lastRenderedPageBreak/>
        <w:t>دور الأنظمة المكملة في تنظيم توظيف الذكاء الاصطناعي في مكاتب المحاماة</w:t>
      </w:r>
    </w:p>
    <w:p w14:paraId="646713A4" w14:textId="77777777" w:rsidR="005B3BD6" w:rsidRDefault="005B3BD6" w:rsidP="00ED0A7F">
      <w:pPr>
        <w:jc w:val="center"/>
        <w:rPr>
          <w:rFonts w:asciiTheme="majorBidi" w:hAnsiTheme="majorBidi" w:cstheme="majorBidi"/>
          <w:b/>
          <w:bCs/>
          <w:color w:val="000000" w:themeColor="text1"/>
          <w:sz w:val="28"/>
          <w:szCs w:val="28"/>
          <w:rtl/>
        </w:rPr>
      </w:pPr>
    </w:p>
    <w:p w14:paraId="61696413" w14:textId="77777777" w:rsidR="005B3BD6" w:rsidRDefault="005B3BD6" w:rsidP="005B3BD6">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لا يمكن دراسة الإطار القانوني المنظم لتوظيف الذكاء الاصطناعي في مكاتب المحاماة بمعزل عن المنظومة العدلية السعودية الكلية، إذ إن مهنة المحاماة ليست جزيرة قانونية مستقلة، بل هي جزء من شبكة تشريعية أوسع تشمل أنظمة العدالة، والمعاملات، والبيانات، والإثبات، والمسؤولية، وكلها تتقاطع في ضبط السلوك المهني في البيئة الرقمية. ومن خلال هذه الأنظمة المتكاملة، تتضح معالم البنية القانونية التي يمكن أن تستوعب التطورات التقنية في الممارسة القانونية وتُعيد تعريف مفهوم العمل المهني في ضوء أدوات الذكاء الاصطناعي</w:t>
      </w:r>
      <w:r>
        <w:rPr>
          <w:rFonts w:asciiTheme="majorBidi" w:hAnsiTheme="majorBidi" w:cstheme="majorBidi" w:hint="cs"/>
          <w:color w:val="000000" w:themeColor="text1"/>
          <w:sz w:val="24"/>
          <w:szCs w:val="24"/>
          <w:rtl/>
        </w:rPr>
        <w:t>.</w:t>
      </w:r>
    </w:p>
    <w:p w14:paraId="23312384" w14:textId="77777777" w:rsidR="0095427D" w:rsidRPr="0095427D" w:rsidRDefault="0095427D" w:rsidP="0095427D">
      <w:pPr>
        <w:jc w:val="right"/>
        <w:rPr>
          <w:rFonts w:asciiTheme="majorBidi" w:hAnsiTheme="majorBidi" w:cstheme="majorBidi"/>
          <w:b/>
          <w:bCs/>
          <w:color w:val="000000" w:themeColor="text1"/>
          <w:sz w:val="24"/>
          <w:szCs w:val="24"/>
        </w:rPr>
      </w:pPr>
      <w:r>
        <w:rPr>
          <w:rFonts w:asciiTheme="majorBidi" w:hAnsiTheme="majorBidi" w:cstheme="majorBidi" w:hint="cs"/>
          <w:b/>
          <w:bCs/>
          <w:color w:val="000000" w:themeColor="text1"/>
          <w:sz w:val="24"/>
          <w:szCs w:val="24"/>
          <w:rtl/>
        </w:rPr>
        <w:t xml:space="preserve">أولا: </w:t>
      </w:r>
      <w:r>
        <w:rPr>
          <w:rFonts w:asciiTheme="majorBidi" w:hAnsiTheme="majorBidi" w:cstheme="majorBidi"/>
          <w:b/>
          <w:bCs/>
          <w:color w:val="000000" w:themeColor="text1"/>
          <w:sz w:val="24"/>
          <w:szCs w:val="24"/>
          <w:rtl/>
        </w:rPr>
        <w:t>نظام حماية البيانات الشخصية (1443هـ)</w:t>
      </w:r>
    </w:p>
    <w:p w14:paraId="2F2C4709"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حماية البيانات الشخصية الصادر عام 1443هـ الإطار النظامي الأهم في المملكة لتنظيم جمع البيانات ومعالجتها وحفظها، وهو من أكثر الأنظمة ارتباطًا بموضوع الرسالة، لأن الذكاء الاصطناعي في مكاتب المحاماة يقوم جوهريًا على تحليل ومعالجة بيانات قانونية وشخصية عالية الحساسية. فالمحامي الذي يستخدم نظامًا ذكياً لصياغة العقود، أو لتتبع الدعاوى، أو لتحليل الأنظمة والوقائع، يصبح في مواجهة مباشرة مع التزامات نظامية تفرضها عليه مواد النظام، خصوصًا المادة الخامسة التي تُلزم بعدم معالجة البيانات إلا بعد موافقة صريحة، والمادة التاسعة والعشرين التي تحظر نقل البيانات إلى خارج المملكة إلا بضوابط دون تقويم مخاطر معتمد</w:t>
      </w:r>
      <w:r>
        <w:rPr>
          <w:rFonts w:asciiTheme="majorBidi" w:hAnsiTheme="majorBidi" w:cstheme="majorBidi"/>
          <w:color w:val="000000" w:themeColor="text1"/>
          <w:sz w:val="24"/>
          <w:szCs w:val="24"/>
        </w:rPr>
        <w:t>.</w:t>
      </w:r>
    </w:p>
    <w:p w14:paraId="50ADF411"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الناحية التحليلية، يمكن القول إن هذا النظام ينقل مفهوم السرية المهنية التقليدية في المحاماة إلى مستوى السرية الرقمية، بحيث لم تعد الأمانة مقتصرة على حفظ الوثائق الورقية، بل تمتد إلى تأمين البيانات التي تعالجها الأنظمة الذكية داخل المكتب. وهذا التحول يُعيد تعريف الالتزام المهني للمحامي ليصبح التزامًا مزدوجًا: قانونيًّا بموجب النظام، وأخلاقيًّا بموجب مبادئ العدالة الرقمية</w:t>
      </w:r>
      <w:r>
        <w:rPr>
          <w:rFonts w:asciiTheme="majorBidi" w:hAnsiTheme="majorBidi" w:cstheme="majorBidi"/>
          <w:color w:val="000000" w:themeColor="text1"/>
          <w:sz w:val="24"/>
          <w:szCs w:val="24"/>
        </w:rPr>
        <w:t>.</w:t>
      </w:r>
    </w:p>
    <w:p w14:paraId="3C791B2D"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ويؤكد جانب من الفقه</w:t>
      </w:r>
      <w:r>
        <w:rPr>
          <w:rStyle w:val="af"/>
          <w:rFonts w:asciiTheme="majorBidi" w:hAnsiTheme="majorBidi" w:cstheme="majorBidi"/>
          <w:color w:val="000000" w:themeColor="text1"/>
          <w:sz w:val="24"/>
          <w:szCs w:val="24"/>
          <w:rtl/>
        </w:rPr>
        <w:footnoteReference w:id="80"/>
      </w:r>
      <w:r>
        <w:rPr>
          <w:rFonts w:asciiTheme="majorBidi" w:hAnsiTheme="majorBidi" w:cstheme="majorBidi"/>
          <w:color w:val="000000" w:themeColor="text1"/>
          <w:sz w:val="24"/>
          <w:szCs w:val="24"/>
          <w:rtl/>
        </w:rPr>
        <w:t xml:space="preserve"> (2024) أن مسؤولية المحامي في البيئة التقنية لا تقتصر على نتائج عمله البشري، بل تشمل إشرافه على الأدوات التقنية التي يستخدمها، ما يجعله مسؤولًا عن أي إخلال بنظام حماية البيانات الشخصية إذا نُفّذ بواسطة برنامج ذكاء اصطناعي تابع له. كما تشير جانب من الفقه</w:t>
      </w:r>
      <w:r>
        <w:rPr>
          <w:rStyle w:val="af"/>
          <w:rFonts w:asciiTheme="majorBidi" w:hAnsiTheme="majorBidi" w:cstheme="majorBidi"/>
          <w:color w:val="000000" w:themeColor="text1"/>
          <w:sz w:val="24"/>
          <w:szCs w:val="24"/>
          <w:rtl/>
        </w:rPr>
        <w:footnoteReference w:id="81"/>
      </w:r>
      <w:r>
        <w:rPr>
          <w:rFonts w:asciiTheme="majorBidi" w:hAnsiTheme="majorBidi" w:cstheme="majorBidi"/>
          <w:color w:val="000000" w:themeColor="text1"/>
          <w:sz w:val="24"/>
          <w:szCs w:val="24"/>
          <w:rtl/>
        </w:rPr>
        <w:t xml:space="preserve"> (2022) إلى أن الخطأ في معالجة البيانات داخل الأنظمة الذكية يدخل ضمن المسؤولية المدنية المهنية متى ثبت تقصير المحامي في التحقق من أمان النظام المستخدم</w:t>
      </w:r>
      <w:r>
        <w:rPr>
          <w:rFonts w:asciiTheme="majorBidi" w:hAnsiTheme="majorBidi" w:cstheme="majorBidi"/>
          <w:color w:val="000000" w:themeColor="text1"/>
          <w:sz w:val="24"/>
          <w:szCs w:val="24"/>
        </w:rPr>
        <w:t>.</w:t>
      </w:r>
    </w:p>
    <w:p w14:paraId="0D144F83"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وتتضح أهمية هذا النظام أيضًا من خلال الدليل الاسترشادي لتقويم مخاطر نقل البيانات الشخصية إلى خارج المملكة</w:t>
      </w:r>
      <w:r>
        <w:rPr>
          <w:rStyle w:val="af"/>
          <w:rFonts w:asciiTheme="majorBidi" w:hAnsiTheme="majorBidi" w:cstheme="majorBidi"/>
          <w:color w:val="000000" w:themeColor="text1"/>
          <w:sz w:val="24"/>
          <w:szCs w:val="24"/>
          <w:rtl/>
        </w:rPr>
        <w:footnoteReference w:id="82"/>
      </w:r>
      <w:r>
        <w:rPr>
          <w:rFonts w:asciiTheme="majorBidi" w:hAnsiTheme="majorBidi" w:cstheme="majorBidi"/>
          <w:color w:val="000000" w:themeColor="text1"/>
          <w:sz w:val="24"/>
          <w:szCs w:val="24"/>
          <w:rtl/>
        </w:rPr>
        <w:t>، الذي شدّد على أن الجهات المهنية – ومن ضمنها مكاتب المحاماة – يجب أن تجري تقييم أثر تقني قبل استخدام أي منصة ذكاء اصطناعي أجنبية لتحليل البيانات القانونية. وهذا يعكس بوضوح أن الدولة تتعامل مع الذكاء الاصطناعي بوصفه نشاطًا منظمًا يخضع للرقابة القانونية، وليس مجرد أداة فنية</w:t>
      </w:r>
      <w:r>
        <w:rPr>
          <w:rFonts w:asciiTheme="majorBidi" w:hAnsiTheme="majorBidi" w:cstheme="majorBidi"/>
          <w:color w:val="000000" w:themeColor="text1"/>
          <w:sz w:val="24"/>
          <w:szCs w:val="24"/>
        </w:rPr>
        <w:t>.</w:t>
      </w:r>
    </w:p>
    <w:p w14:paraId="5F3B16FA" w14:textId="77777777" w:rsidR="0095427D" w:rsidRPr="0095427D" w:rsidRDefault="0095427D" w:rsidP="0095427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وبالتالي، فإن نظام حماية البيانات الشخصية يشكّل أحد أعمدة الإطار القانوني لتوظيف الذكاء الاصطناعي في مكاتب المحاماة، لأنه يوازن بين حق الموكل في الخصوصية وحق المحامي في استخدام التقنية لتطوير خدمته، مع وضع ضوابط دقيقة تضمن حماية الحقوق دون تعطيل الابتكار. وهو ما يتفق مع رؤية المملكة 2030 التي تربط التحول الرقمي بسيادة القانون وضمان الثقة في المنظومة العدلية</w:t>
      </w:r>
      <w:r>
        <w:rPr>
          <w:rFonts w:asciiTheme="majorBidi" w:hAnsiTheme="majorBidi" w:cstheme="majorBidi"/>
          <w:color w:val="000000" w:themeColor="text1"/>
          <w:sz w:val="24"/>
          <w:szCs w:val="24"/>
        </w:rPr>
        <w:t>.</w:t>
      </w:r>
    </w:p>
    <w:p w14:paraId="78ED4C1C"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lastRenderedPageBreak/>
        <w:t>ويضيف جانب من الفقه (د.ت) أن اشتراط الحصول على موافقة مسبقة لمعالجة بيانات الموكل بواسطة الأنظمة الذكية يُعدّ التزامًا نظاميًا صريحًا يفرضه نظام حماية البيانات الشخصية الصادر بالمرسوم الملكي رقم م/19 لعام 1443هـ، وأن الإخلال بهذا الالتزام يُرتّب مسؤولية مدنية وتأديبية على المحامي المستخدِم للأداة الذكية.</w:t>
      </w:r>
      <w:r>
        <w:rPr>
          <w:rtl/>
        </w:rPr>
        <w:footnoteReference w:id="83"/>
      </w:r>
    </w:p>
    <w:p w14:paraId="428DBF77" w14:textId="77777777" w:rsidR="00ED0A7F" w:rsidRDefault="00ED0A7F" w:rsidP="005B3BD6">
      <w:pPr>
        <w:jc w:val="right"/>
        <w:rPr>
          <w:rFonts w:asciiTheme="majorBidi" w:hAnsiTheme="majorBidi" w:cstheme="majorBidi"/>
          <w:color w:val="000000" w:themeColor="text1"/>
          <w:sz w:val="24"/>
          <w:szCs w:val="24"/>
        </w:rPr>
      </w:pPr>
    </w:p>
    <w:p w14:paraId="52F70448" w14:textId="77777777" w:rsidR="004855F3" w:rsidRDefault="004855F3" w:rsidP="00A742CD">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ثانياً : </w:t>
      </w:r>
      <w:r>
        <w:rPr>
          <w:rFonts w:asciiTheme="majorBidi" w:hAnsiTheme="majorBidi" w:cstheme="majorBidi"/>
          <w:b/>
          <w:bCs/>
          <w:color w:val="000000" w:themeColor="text1"/>
          <w:rtl/>
        </w:rPr>
        <w:t>نظام الإثبات (1443هـ)</w:t>
      </w:r>
      <w:r>
        <w:rPr>
          <w:rFonts w:asciiTheme="majorBidi" w:hAnsiTheme="majorBidi" w:cstheme="majorBidi" w:hint="cs"/>
          <w:b/>
          <w:bCs/>
          <w:color w:val="000000" w:themeColor="text1"/>
          <w:rtl/>
        </w:rPr>
        <w:t xml:space="preserve"> :</w:t>
      </w:r>
    </w:p>
    <w:p w14:paraId="696C2601"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t>وفي إطار نظام الإثبات الصادر عام 1443هـ، أوضحت دراسة مركز الدراسات والبحوث القانونية (2024م) أن النظام يتيح قبول الأدلة الرقمية بما فيها مخرجات الأنظمة الذكية، غير أن ذلك مشروط بضمان صحة الأداة الذكية المولِّدة للدليل وخلوّها من التحيز، مما يُلقي على عاتق المحامي عبء إثبات مصداقية الأداة قبل الاستناد إلى مخرجاتها.</w:t>
      </w:r>
      <w:r>
        <w:rPr>
          <w:rtl/>
        </w:rPr>
        <w:footnoteReference w:id="84"/>
      </w:r>
    </w:p>
    <w:p w14:paraId="74FAEB1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جاء نظام الإثبات لعام 1443هـ بوصفه أحد أبرز التحولات في البنية العدلية السعودية، إذ نقل الإثبات من بيئة يغلب عليها الطابع الورقي إلى بيئة تعترف رسميًا بالأدلة الإلكترونية والرقمية. وهذا التطور يرتبط بصورة مباشرة بموضوع الرسالة، لأن جزءًا كبيرًا من مخرجات أنظمة الذكاء الاصطناعي في مكاتب المحاماة يظهر في صورة مستندات رقمية، أو تحليلات إلكترونية، أو معاملات تتم عبر المنصات التقنية</w:t>
      </w:r>
      <w:r>
        <w:rPr>
          <w:rFonts w:asciiTheme="majorBidi" w:hAnsiTheme="majorBidi" w:cstheme="majorBidi"/>
          <w:color w:val="000000" w:themeColor="text1"/>
          <w:sz w:val="24"/>
          <w:szCs w:val="24"/>
        </w:rPr>
        <w:t>.</w:t>
      </w:r>
    </w:p>
    <w:p w14:paraId="591B00A4"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قرر النظام في عدد من مواده، وبصفة خاصة المادتين (8) و(9)، أن الأدلة الإلكترونية والمحررات الرقمية تعد حجّة معتبرة متى توافرت لها شروط معينة، من أهمها: إمكان نسبة المستند إلى صاحبه، وسلامة وسيلة حفظه ونقله، وعدم العبث بمحتواه. وهذه الشروط تُلقي بعبء مباشر على مكاتب المحاماة التي تعتمد على الذكاء الاصطناعي في إعداد المذكرات أو العقود؛ إذ لا يكفي أن ينتج النظام نصًا قانونيًا، بل يجب على المحامي التأكد من أن طريقة إنشاء النص وحفظه وتقديمه تتوافق مع معايير الموثوقية التي يضعها النظام</w:t>
      </w:r>
      <w:r>
        <w:rPr>
          <w:rFonts w:asciiTheme="majorBidi" w:hAnsiTheme="majorBidi" w:cstheme="majorBidi"/>
          <w:color w:val="000000" w:themeColor="text1"/>
          <w:sz w:val="24"/>
          <w:szCs w:val="24"/>
        </w:rPr>
        <w:t>.</w:t>
      </w:r>
    </w:p>
    <w:p w14:paraId="7BF4817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ويرتبط ذلك بشكل وثيق بآليات </w:t>
      </w:r>
      <w:r>
        <w:rPr>
          <w:rFonts w:asciiTheme="majorBidi" w:hAnsiTheme="majorBidi" w:cstheme="majorBidi"/>
          <w:b/>
          <w:bCs/>
          <w:color w:val="000000" w:themeColor="text1"/>
          <w:sz w:val="24"/>
          <w:szCs w:val="24"/>
          <w:rtl/>
        </w:rPr>
        <w:t>تحصيل الموافقة الصريحة</w:t>
      </w:r>
      <w:r>
        <w:rPr>
          <w:rFonts w:asciiTheme="majorBidi" w:hAnsiTheme="majorBidi" w:cstheme="majorBidi"/>
          <w:color w:val="000000" w:themeColor="text1"/>
          <w:sz w:val="24"/>
          <w:szCs w:val="24"/>
          <w:rtl/>
        </w:rPr>
        <w:t xml:space="preserve"> في التعاملات الرقمية، وهي من المسائل المحورية في النظام. فوفقًا لحكم المادة (25) من نظام الإثبات والمادة (4) من نظام حماية البيانات الشخصية، تُعد الموافقة الصريحة شرطًا لصلاحية التعامل مع البيانات أو المحررات الرقمية. وتشمل هذه الموافقة، وفقًا للنظامين، الموافقات الرقمية الموثقة من خلال التوقيع الإلكتروني أو البصمة الرقمية أو أي وسيلة تقنية تعتمدها الجهات المختصة، متى أمكن التحقق من هوية صاحبها وسلامة الإجراء. وهذا يفتح بابًا مهمًا يتعلق بمدى حجية التوقيعات الإلكترونية التي يتم توليدها من خلال أنظمة الذكاء الاصطناعي، وهل تعد توقيعًا صحيحًا. الاتجاه الغالب في الفقه النظامي السعودي يميل إلى أن التوقيع الإلكتروني صحيح متى كان صادرًا عن المستخدم البشري نفسه أو تم تحت رقابته وإشرافه، أما التواقيع الآلية التي تُنشئها برامج الذكاء الاصطناعي دون تدخل بشري مباشر فلا تتمتع بالحجية إلا إذا صادق عليها المحامي صراحة</w:t>
      </w:r>
      <w:r>
        <w:rPr>
          <w:rFonts w:asciiTheme="majorBidi" w:hAnsiTheme="majorBidi" w:cstheme="majorBidi"/>
          <w:color w:val="000000" w:themeColor="text1"/>
          <w:sz w:val="24"/>
          <w:szCs w:val="24"/>
        </w:rPr>
        <w:t>.</w:t>
      </w:r>
    </w:p>
    <w:p w14:paraId="6E18D0E2"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وفيما يتعلق بالنماذج العملية لنماذج الموافقة، نبّهت عبد الرحمن إلى خطورة النماذج الجاهزة المطوّلة التي يوقّع عليها الموكل دون قراءة، مُقترِحةً اعتماد نموذج الموافقة الإلكترونية التفاعلية الذي يُلزم الموكل بالإجابة على أسئلة متعلقة بطبيعة الأداة المستخدمة قبل التوقيع، بما يُكرّس الموافقة المستنيرة الحقيقية ويُبعد الشك عن صحة الموافقة ومشروعيتها.</w:t>
      </w:r>
      <w:r>
        <w:rPr>
          <w:rtl/>
        </w:rPr>
        <w:footnoteReference w:id="85"/>
      </w:r>
    </w:p>
    <w:p w14:paraId="49124FBC"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 xml:space="preserve">وفي تحليل مدى إلزامية الموافقة الصريحة من المنظور الجزائي، أكد العطار والنوايسة أن غياب الموافقة الصريحة في الحالات التي يستوجبها القانون قد يُكيَّف جزائياً باعتباره تجاوزاً لحدود الوكالة وصورة من صور </w:t>
      </w:r>
      <w:r>
        <w:rPr>
          <w:rFonts w:asciiTheme="majorBidi" w:hAnsiTheme="majorBidi" w:cstheme="majorBidi"/>
          <w:sz w:val="24"/>
          <w:szCs w:val="24"/>
          <w:rtl/>
        </w:rPr>
        <w:lastRenderedPageBreak/>
        <w:t>خيانة الأمانة المهنية، مستشهدَين بحالات مقارنة أُدين فيها محامون بتهمة الإخلال بالأمانة حين نقلوا معلومات الموكلين إلى أطراف ثالثة بلا إذن حتى وإن لم يقصدوا الإضرار.</w:t>
      </w:r>
      <w:r>
        <w:rPr>
          <w:rtl/>
        </w:rPr>
        <w:footnoteReference w:id="86"/>
      </w:r>
    </w:p>
    <w:p w14:paraId="5E89ACD9"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 سياق تحصيل الموافقة الصريحة المستنيرة، استعرض جانب من الفقه نموذج الموافقة الطبقية المعتمد في بعض التشريعات الرائدة، والذي يُفرّق بين موافقة الموكل على استخدام الذكاء الاصطناعي في المهام الروتينية، وموافقة خاصة على استخدامه في الاطلاع على البيانات الحساسة، وموافقة مشددة على استخدامه في التوصيات التي تمس حقوق جوهرية للموكل.</w:t>
      </w:r>
      <w:r>
        <w:rPr>
          <w:rtl/>
        </w:rPr>
        <w:footnoteReference w:id="87"/>
      </w:r>
    </w:p>
    <w:p w14:paraId="62B8DA98"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 هذا الإطار، دعت الأمين إلى اعتماد نموذج إفصاح مهني موحّد تُصدره الهيئة السعودية للمحامين يُلزم كل محامٍ بالإفصاح كتابةً عن استخدامه لأنظمة الذكاء الاصطناعي في أعماله، ويُحدّد نوع الأنظمة المستخدمة وغرضها وضماناتها التقنية، بما يُحوّل الإفصاح من التزام أخلاقي إلى واجب نظامي قابل للتطبيق.</w:t>
      </w:r>
      <w:r>
        <w:rPr>
          <w:rtl/>
        </w:rPr>
        <w:footnoteReference w:id="88"/>
      </w:r>
    </w:p>
    <w:p w14:paraId="68A6EA49"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وفيما يتعلق بتحصيل الموافقة الصريحة من الموكل عند استخدام الذكاء الاصطناعي، أوضحت الخميسي أن هذه الموافقة لا ينبغي أن تكون مجرد إجراء شكلي في عقد الوكالة، بل ينبغي أن تكون موافقة مستنيرة حقيقية يُدرك معها الموكل طبيعة النظام المستخدم، ودرجة دقته، وطريقة حفظ بياناته، والجهة التي تتولى إدارة المنصة، وحدود المسؤولية في حال الخطأ.</w:t>
      </w:r>
      <w:r>
        <w:rPr>
          <w:rtl/>
        </w:rPr>
        <w:footnoteReference w:id="89"/>
      </w:r>
    </w:p>
    <w:p w14:paraId="6676D007"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زاوية أخرى، يفتح نظام الإثبات الباب لتكوين "بيئة إثبات رقمية" داخل الممارسة المهنية، حيث يصبح التعامل مع الملفات الإلكترونية والمنصات العدلية الرقمية جزءًا من العمل اليومي للمحامي. وتزداد هذه البيئة تعقيدًا مع دخول الذكاء الاصطناعي في تحليل السوابق القضائية أو ترتيب المستندات أو تجهيز المذكرات، وهي مخرجات يمكن تقديمها أمام القضاء كمستندات أو تقارير رقمية. وهنا تبرز مسألة </w:t>
      </w:r>
      <w:r>
        <w:rPr>
          <w:rFonts w:asciiTheme="majorBidi" w:hAnsiTheme="majorBidi" w:cstheme="majorBidi"/>
          <w:b/>
          <w:bCs/>
          <w:color w:val="000000" w:themeColor="text1"/>
          <w:sz w:val="24"/>
          <w:szCs w:val="24"/>
          <w:rtl/>
        </w:rPr>
        <w:t>المسؤولية المهنية الرقمية</w:t>
      </w:r>
      <w:r>
        <w:rPr>
          <w:rFonts w:asciiTheme="majorBidi" w:hAnsiTheme="majorBidi" w:cstheme="majorBidi"/>
          <w:color w:val="000000" w:themeColor="text1"/>
          <w:sz w:val="24"/>
          <w:szCs w:val="24"/>
          <w:rtl/>
        </w:rPr>
        <w:t xml:space="preserve"> للمحامي؛ إذ تذهب مجلة الشريعة والقانون في دراستها حول الذكاء الاصطناعي والعمل القضائي إلى أن المهني لا يجوز له أن يتنصل من مسؤولية الدليل بحجة أن مصدره نظام ذكي، بل يظل ملزمًا بالتثبت من صحة الدليل ومنهج إنتاجه قبل تقديمه</w:t>
      </w:r>
      <w:r>
        <w:rPr>
          <w:rFonts w:asciiTheme="majorBidi" w:hAnsiTheme="majorBidi" w:cstheme="majorBidi"/>
          <w:color w:val="000000" w:themeColor="text1"/>
          <w:sz w:val="24"/>
          <w:szCs w:val="24"/>
        </w:rPr>
        <w:t>.</w:t>
      </w:r>
    </w:p>
    <w:p w14:paraId="771790C1"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أشارت الأبحاث المنشورة في مجلة العدالة حول المسؤولية عن الذكاء الاصطناعي إلى أن الأدلة الرقمية أصبحت تشمل سجلات إلكترونية وبيانات ميتاداتا وتقارير تحليلية تنتجها الأنظمة الذكية. وهذا يطرح سؤالًا جوهريًا</w:t>
      </w:r>
      <w:r>
        <w:rPr>
          <w:rFonts w:asciiTheme="majorBidi" w:hAnsiTheme="majorBidi" w:cstheme="majorBidi"/>
          <w:color w:val="000000" w:themeColor="text1"/>
          <w:sz w:val="24"/>
          <w:szCs w:val="24"/>
        </w:rPr>
        <w:t xml:space="preserve">: </w:t>
      </w:r>
      <w:r>
        <w:rPr>
          <w:rFonts w:asciiTheme="majorBidi" w:hAnsiTheme="majorBidi" w:cstheme="majorBidi"/>
          <w:b/>
          <w:bCs/>
          <w:color w:val="000000" w:themeColor="text1"/>
          <w:sz w:val="24"/>
          <w:szCs w:val="24"/>
          <w:rtl/>
        </w:rPr>
        <w:t>هل يُعدّ ما ينتجه الذكاء الاصطناعي دليلًا بذاته؟ أم مجرد أداة مساعدة لا تكتسب الحجية إلا بعد مراجعة المحامي واعتماده؟</w:t>
      </w:r>
      <w:r>
        <w:rPr>
          <w:rFonts w:asciiTheme="majorBidi" w:hAnsiTheme="majorBidi" w:cstheme="majorBidi"/>
          <w:color w:val="000000" w:themeColor="text1"/>
          <w:sz w:val="24"/>
          <w:szCs w:val="24"/>
          <w:rtl/>
        </w:rPr>
        <w:t xml:space="preserve"> الاتجاه السائد في الفقه النظامي السعودي يرى أن الأداة التقنية ليست “شخصًا” ذا ذمة قانونية، بل هي وسيلة في يد المحامي، وبالتالي فإن الحجية تُنسب إلى ما يعتمد عليه المحامي بعد فحصه وتدقيقه</w:t>
      </w:r>
      <w:r>
        <w:rPr>
          <w:rFonts w:asciiTheme="majorBidi" w:hAnsiTheme="majorBidi" w:cstheme="majorBidi"/>
          <w:color w:val="000000" w:themeColor="text1"/>
          <w:sz w:val="24"/>
          <w:szCs w:val="24"/>
        </w:rPr>
        <w:t>.</w:t>
      </w:r>
    </w:p>
    <w:p w14:paraId="5E1931C0"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ويمتد نطاق التأثير إلى مجال الخبرة الفنية، إذ قد يحتاج القاضي — مع انتشار الأنظمة الذكية — إلى الاطلاع على خبرة تقنية متخصصة لفهم آلية عمل النظام المستخدم من قبل المحامي أو الخصم. وهنا تصبح تقارير الخبرة التقنية جزءًا من الدليل الخاضع لأحكام نظام الإثبات. وبذلك يزداد العبء المهني على المحامي في اختيار </w:t>
      </w:r>
      <w:r>
        <w:rPr>
          <w:rFonts w:asciiTheme="majorBidi" w:hAnsiTheme="majorBidi" w:cstheme="majorBidi"/>
          <w:color w:val="000000" w:themeColor="text1"/>
          <w:sz w:val="24"/>
          <w:szCs w:val="24"/>
          <w:rtl/>
        </w:rPr>
        <w:lastRenderedPageBreak/>
        <w:t>أنظمة ذكاء اصطناعي قابلة للتفسير وليست "صناديق سوداء" لا يمكن فهم منهجها؛ لأن غموض الآلية قد يضعف من قوة الدليل أمام القضاء</w:t>
      </w:r>
      <w:r>
        <w:rPr>
          <w:rFonts w:asciiTheme="majorBidi" w:hAnsiTheme="majorBidi" w:cstheme="majorBidi"/>
          <w:color w:val="000000" w:themeColor="text1"/>
          <w:sz w:val="24"/>
          <w:szCs w:val="24"/>
        </w:rPr>
        <w:t>.</w:t>
      </w:r>
    </w:p>
    <w:p w14:paraId="0796737C"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سياق رؤية المملكة 2030 وبرامج التحول الرقمي للقطاع العدلي، يبدو واضحًا أن نظام الإثبات جاء ليمنح الثقة الرسمية في الأدلة الرقمية ويقنن دخول التقنية في منظومة العدالة. وقد أشارت فاطمة بلال في دراستها حول دور الذكاء الاصطناعي في تعزيز العدالة الناجزة إلى أن الاعتراف بالمستندات الإلكترونية يشكل خطوة جوهرية في بناء منظومة عدلية تعتمد على التقنية. ومن ثمّ، يصبح نظام الإثبات عنصرًا محوريًا في الإطار القانوني لتوظيف الذكاء الاصطناعي في مكاتب المحاماة؛ لأنه يحدد متى يكون الناتج التقني دليلًا معتبرًا، ومتى يكون مجرد مسودة أو أداة داخلية لا ترقى إلى مرتبة الحجّة القضائية</w:t>
      </w:r>
      <w:r>
        <w:rPr>
          <w:rFonts w:asciiTheme="majorBidi" w:hAnsiTheme="majorBidi" w:cstheme="majorBidi"/>
          <w:color w:val="000000" w:themeColor="text1"/>
          <w:sz w:val="24"/>
          <w:szCs w:val="24"/>
        </w:rPr>
        <w:t>.</w:t>
      </w:r>
    </w:p>
    <w:p w14:paraId="31D922A1" w14:textId="77777777" w:rsidR="00A742CD" w:rsidRPr="00A742CD" w:rsidRDefault="00A742CD"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وباختصار، فإن نظام الإثبات لا يكتفي بالاعتراف بالأدلة الرقمية، بل يعيد تعريف دور المحامي في زمن الذكاء الاصطناعي؛ إذ يفرض عليه مسؤولية مضاعفة في التعامل مع المخرجات التقنية، وفحص صحتها، وتقديمها في إطار قانوني منضبط، بما يتوافق مع الهدف الرئيس للرسالة في وضع إطار قانوني سعودي متكامل ينظم توظيف الذكاء الاصطناعي في تطوير خدمات مكاتب المحاماة دون المساس بقواعد العدالة وحجية الإثبات</w:t>
      </w:r>
      <w:r>
        <w:rPr>
          <w:rFonts w:asciiTheme="majorBidi" w:hAnsiTheme="majorBidi" w:cstheme="majorBidi"/>
          <w:color w:val="000000" w:themeColor="text1"/>
          <w:sz w:val="24"/>
          <w:szCs w:val="24"/>
        </w:rPr>
        <w:t>.</w:t>
      </w:r>
    </w:p>
    <w:p w14:paraId="7212585F" w14:textId="77777777" w:rsidR="00A742CD" w:rsidRDefault="00A742CD" w:rsidP="00A742CD">
      <w:pPr>
        <w:jc w:val="right"/>
        <w:rPr>
          <w:rFonts w:asciiTheme="majorBidi" w:hAnsiTheme="majorBidi" w:cstheme="majorBidi"/>
          <w:color w:val="000000" w:themeColor="text1"/>
          <w:sz w:val="24"/>
          <w:szCs w:val="24"/>
        </w:rPr>
      </w:pPr>
    </w:p>
    <w:p w14:paraId="44D52534" w14:textId="77777777" w:rsidR="004855F3" w:rsidRPr="004855F3" w:rsidRDefault="004855F3" w:rsidP="004855F3">
      <w:pPr>
        <w:jc w:val="center"/>
        <w:rPr>
          <w:rFonts w:asciiTheme="majorBidi" w:hAnsiTheme="majorBidi" w:cstheme="majorBidi"/>
          <w:color w:val="000000" w:themeColor="text1"/>
          <w:sz w:val="24"/>
          <w:szCs w:val="24"/>
        </w:rPr>
      </w:pPr>
    </w:p>
    <w:p w14:paraId="40011CEC" w14:textId="77777777" w:rsidR="00925C7C" w:rsidRDefault="00925C7C" w:rsidP="00925C7C">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ثالثاً : </w:t>
      </w:r>
      <w:r>
        <w:rPr>
          <w:rFonts w:asciiTheme="majorBidi" w:hAnsiTheme="majorBidi" w:cstheme="majorBidi"/>
          <w:b/>
          <w:bCs/>
          <w:color w:val="000000" w:themeColor="text1"/>
          <w:rtl/>
        </w:rPr>
        <w:t>نظام المعاملات المدنية (1445هـ)</w:t>
      </w:r>
      <w:r>
        <w:rPr>
          <w:rFonts w:asciiTheme="majorBidi" w:hAnsiTheme="majorBidi" w:cstheme="majorBidi" w:hint="cs"/>
          <w:b/>
          <w:bCs/>
          <w:color w:val="000000" w:themeColor="text1"/>
          <w:rtl/>
        </w:rPr>
        <w:t xml:space="preserve"> :</w:t>
      </w:r>
    </w:p>
    <w:p w14:paraId="05BF6C32"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وفيما يخص التكامل بين نظام المعاملات المدنية ومتطلبات الذكاء الاصطناعي، أكد جانب من الفقه ضرورة صياغة لائحة تفسيرية تُبيّن كيفية تطبيق المبادئ العامة في النظام على الحالات الناشئة عن الذكاء الاصطناعي، إذ إن الفراغ التفسيري قد يكون أشد أثراً من الفراغ التشريعي، لأن القاضي المجتهد أمام نص عام قد يُؤوّله في اتجاهات متباينة تُخل بمبدأ توحيد القضاء.</w:t>
      </w:r>
      <w:r>
        <w:rPr>
          <w:rtl/>
        </w:rPr>
        <w:footnoteReference w:id="90"/>
      </w:r>
    </w:p>
    <w:p w14:paraId="1BA66134"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 ضوء نظام المعاملات المدنية الصادر عام 1445هـ، أوضح جانب من الفقه أن هذا النظام ورغم حداثته يتضمن قواعد عامة للمسؤولية التقصيرية يمكن توظيفها في قضايا الضرر الناجم عن الذكاء الاصطناعي، غير أن القواعد العامة لا تُغني عن النص الخاص لأنها تُلقي عبء إثبات الخطأ على المتضرر الذي يعجز في أغلب الأحيان عن الإحاطة بالتفاصيل التقنية المعقدة للنظام الذكي.</w:t>
      </w:r>
      <w:r>
        <w:rPr>
          <w:rtl/>
        </w:rPr>
        <w:footnoteReference w:id="91"/>
      </w:r>
    </w:p>
    <w:p w14:paraId="58EBD3B8" w14:textId="77777777" w:rsidR="00D57654" w:rsidRDefault="00C702A9" w:rsidP="006C5012">
      <w:pPr>
        <w:jc w:val="right"/>
        <w:rPr>
          <w:rFonts w:asciiTheme="majorBidi" w:hAnsiTheme="majorBidi" w:cstheme="majorBidi"/>
          <w:sz w:val="24"/>
          <w:szCs w:val="24"/>
          <w:rtl/>
        </w:rPr>
      </w:pPr>
      <w:r>
        <w:rPr>
          <w:rFonts w:asciiTheme="majorBidi" w:hAnsiTheme="majorBidi" w:cstheme="majorBidi"/>
          <w:sz w:val="24"/>
          <w:szCs w:val="24"/>
          <w:rtl/>
        </w:rPr>
        <w:t>وفي ضوء نظام المعاملات المدنية الجديد الصادر عام 1445هـ، لاحظ جانب من الفقه أن النظام يُرسي قواعد المسؤولية التقصيرية على أساس الخطأ والضرر والعلاقة السببية، غير أنه لا يتناول مسألة تحديد الخطأ حين ينبثق الضرر من مخرجات نظام ذكاء اصطناعي، مما يُلقي عبئاً تفسيرياً مضاعفاً على القضاء في غياب نص خاص يُرتّب المسؤولية وفق معطيات العصر الرقمي.</w:t>
      </w:r>
      <w:r>
        <w:rPr>
          <w:rtl/>
        </w:rPr>
        <w:footnoteReference w:id="92"/>
      </w:r>
    </w:p>
    <w:p w14:paraId="6A260CCA"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يمثّل نظام المعاملات المدنية أحد أهم التطورات التشريعية في المملكة العربية السعودية، إذ وضع الأساس القانوني الحديث للمعاملات والعقود في بيئة رقمية متسارعة، وكرّس لأول مرة مبادئ صريحة تتصل بالعقود الإلكترونية والذكاء الاصطناعي. وتكمن صلته المباشرة بعنوان الرسالة في أنه يحدّد الإطار الذي تعمل ضمنه </w:t>
      </w:r>
      <w:r>
        <w:rPr>
          <w:rFonts w:asciiTheme="majorBidi" w:hAnsiTheme="majorBidi" w:cstheme="majorBidi"/>
          <w:color w:val="000000" w:themeColor="text1"/>
          <w:sz w:val="24"/>
          <w:szCs w:val="24"/>
          <w:rtl/>
        </w:rPr>
        <w:lastRenderedPageBreak/>
        <w:t>مكاتب المحاماة عند صياغة العقود أو مراجعتها باستخدام الأدوات التقنية الذكية، مما يجعله جزءًا رئيسًا من المنظومة النظامية المكملة لنظام المحاماة</w:t>
      </w:r>
      <w:r>
        <w:rPr>
          <w:rFonts w:asciiTheme="majorBidi" w:hAnsiTheme="majorBidi" w:cstheme="majorBidi"/>
          <w:color w:val="000000" w:themeColor="text1"/>
          <w:sz w:val="24"/>
          <w:szCs w:val="24"/>
        </w:rPr>
        <w:t>.</w:t>
      </w:r>
    </w:p>
    <w:p w14:paraId="50C57E25"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النظام أقرّ في مادته (الثالثة عشرة)</w:t>
      </w:r>
      <w:r>
        <w:rPr>
          <w:rStyle w:val="af"/>
          <w:rFonts w:asciiTheme="majorBidi" w:hAnsiTheme="majorBidi" w:cstheme="majorBidi"/>
          <w:color w:val="000000" w:themeColor="text1"/>
          <w:sz w:val="24"/>
          <w:szCs w:val="24"/>
          <w:rtl/>
        </w:rPr>
        <w:footnoteReference w:id="93"/>
      </w:r>
      <w:r>
        <w:rPr>
          <w:rFonts w:asciiTheme="majorBidi" w:hAnsiTheme="majorBidi" w:cstheme="majorBidi"/>
          <w:color w:val="000000" w:themeColor="text1"/>
          <w:sz w:val="24"/>
          <w:szCs w:val="24"/>
          <w:rtl/>
        </w:rPr>
        <w:t xml:space="preserve"> مبدأ حرية التعاقد والرضا، ونصّ على أن التعاقد قد يتم بأية وسيلة تفيد تبادل الإيجاب والقبول، وهو ما يشمل اليوم التعاقد عبر الأنظمة الإلكترونية أو الذكاء الاصطناعي. كما أكّد في مواده اللاحقة على حجية المراسلات الإلكترونية والمحررات الرقمية، ما دام يمكن التحقق من نسبتها إلى أطرافها، مما يفتح الباب أمام استخدام أدوات الذكاء الاصطناعي في صياغة العقود وتحليلها دون الخروج عن الإطار القانوني الصحيح</w:t>
      </w:r>
      <w:r>
        <w:rPr>
          <w:rFonts w:asciiTheme="majorBidi" w:hAnsiTheme="majorBidi" w:cstheme="majorBidi"/>
          <w:color w:val="000000" w:themeColor="text1"/>
          <w:sz w:val="24"/>
          <w:szCs w:val="24"/>
        </w:rPr>
        <w:t>.</w:t>
      </w:r>
    </w:p>
    <w:p w14:paraId="43852656" w14:textId="77777777" w:rsidR="00925C7C" w:rsidRPr="00925C7C" w:rsidRDefault="00925C7C" w:rsidP="006C501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التحليل القانوني لهذا النظام يبين أن المشرّع السعودي لم يغفل أثر التقنية الحديثة على طبيعة الإرادة التعاقدية، بل أعاد صياغة مفهومها بما يتلاءم مع “الإرادة المبرمجة” التي أصبحت جزءًا من المعاملات الذكية. فالعقد الذكي – في جوهره – ليس سوى اتفاق بشري تُبرمج أحكامه في خوارزمية تنفّذ الالتزامات تلقائيًا عند تحقق شروط محددة، مما يتطلب من المحامي أن يجمع بين الفهم القانوني والمنهج التقني لتأمين سلامة التعاقد وحماية أطرافه</w:t>
      </w:r>
      <w:r>
        <w:rPr>
          <w:rFonts w:asciiTheme="majorBidi" w:hAnsiTheme="majorBidi" w:cstheme="majorBidi"/>
          <w:color w:val="000000" w:themeColor="text1"/>
          <w:sz w:val="24"/>
          <w:szCs w:val="24"/>
        </w:rPr>
        <w:t>.</w:t>
      </w:r>
    </w:p>
    <w:p w14:paraId="661C835D"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أوضح جانب من الفقه</w:t>
      </w:r>
      <w:r>
        <w:rPr>
          <w:rStyle w:val="af"/>
          <w:rFonts w:asciiTheme="majorBidi" w:hAnsiTheme="majorBidi" w:cstheme="majorBidi"/>
          <w:color w:val="000000" w:themeColor="text1"/>
          <w:sz w:val="24"/>
          <w:szCs w:val="24"/>
          <w:rtl/>
        </w:rPr>
        <w:footnoteReference w:id="94"/>
      </w:r>
      <w:r>
        <w:rPr>
          <w:rFonts w:asciiTheme="majorBidi" w:hAnsiTheme="majorBidi" w:cstheme="majorBidi"/>
          <w:color w:val="000000" w:themeColor="text1"/>
          <w:sz w:val="24"/>
          <w:szCs w:val="24"/>
          <w:rtl/>
        </w:rPr>
        <w:t xml:space="preserve"> (2024) في دراسته عن الذكاء الاصطناعي ودوره في إبرام العقود التجارية الذكية أن العقود الذكية لا تُلغِي دور المحامي، بل تزيد من أهميته في مراجعة الخوارزميات التي تنفذ العقد، والتأكد من مطابقتها للقواعد النظامية، وخاصة في الجوانب المتعلقة بعيوب الإرادة والتزامات التنفيذ. وهو ما يعيد تعريف دور المحامي في بيئة الذكاء الاصطناعي من ممارس تقليدي إلى “مستشار قانوني تقني” قادر على التوفيق بين نص النظام ومقتضيات الواقع الرقمي</w:t>
      </w:r>
      <w:r>
        <w:rPr>
          <w:rFonts w:asciiTheme="majorBidi" w:hAnsiTheme="majorBidi" w:cstheme="majorBidi"/>
          <w:color w:val="000000" w:themeColor="text1"/>
          <w:sz w:val="24"/>
          <w:szCs w:val="24"/>
        </w:rPr>
        <w:t>.</w:t>
      </w:r>
    </w:p>
    <w:p w14:paraId="6EE8639E"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جهة أخرى، يتكامل نظام المعاملات المدنية مع نظام التعاملات الإلكترونية (1428هـ) في تثبيت مبدأ المشروعية للوثائق الإلكترونية والتوقيعات الرقمية، مما يرسّخ حجية الأدلة الرقمية أمام القضاء ويضمن استقرار التعاملات القانونية الناتجة عن الأنظمة الذكية. وقد أشار جانب من الفقه</w:t>
      </w:r>
      <w:r>
        <w:rPr>
          <w:rStyle w:val="af"/>
          <w:rFonts w:asciiTheme="majorBidi" w:hAnsiTheme="majorBidi" w:cstheme="majorBidi"/>
          <w:color w:val="000000" w:themeColor="text1"/>
          <w:sz w:val="24"/>
          <w:szCs w:val="24"/>
          <w:rtl/>
        </w:rPr>
        <w:footnoteReference w:id="95"/>
      </w:r>
      <w:r>
        <w:rPr>
          <w:rFonts w:asciiTheme="majorBidi" w:hAnsiTheme="majorBidi" w:cstheme="majorBidi"/>
          <w:color w:val="000000" w:themeColor="text1"/>
          <w:sz w:val="24"/>
          <w:szCs w:val="24"/>
          <w:rtl/>
        </w:rPr>
        <w:t xml:space="preserve"> (2024) إلى أن هذه المنظومة المزدوجة تخلق بيئة قانونية متكاملة تتيح للمحامين استخدام أدوات الذكاء الاصطناعي بثقة، شريطة الالتزام بضوابط النظام في حفظ السجلات الرقمية وتوثيق العمليات التعاقدية</w:t>
      </w:r>
      <w:r>
        <w:rPr>
          <w:rFonts w:asciiTheme="majorBidi" w:hAnsiTheme="majorBidi" w:cstheme="majorBidi"/>
          <w:color w:val="000000" w:themeColor="text1"/>
          <w:sz w:val="24"/>
          <w:szCs w:val="24"/>
        </w:rPr>
        <w:t>.</w:t>
      </w:r>
    </w:p>
    <w:p w14:paraId="6442A69F" w14:textId="77777777" w:rsidR="00925C7C" w:rsidRPr="00925C7C" w:rsidRDefault="00925C7C" w:rsidP="00925C7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زاوية أخلاقية، يتكامل هذا النظام مع وثيقة مبادئ أخلاقيات الذكاء الاصطناعي التي تشدد على مبدأ العدالة والشفافية في الأنظمة الذكية، ما يفرض على المحامي واجبًا مهنيًا بعدم استخدام أدوات تقنية تخلّ بتوازن العقود أو تؤدي إلى استغلال أحد الأطراف، تطبيقًا لمبدأ حسن النية الذي نص عليه النظام المدني في مادته (الأولى). وهذا الربط بين النظام المدني والضوابط الأخلاقية للذكاء الاصطناعي يعكس فلسفة تشريعية حديثة تجعل التقنية خادمة للعدالة لا أداة للمخاطر القانونية</w:t>
      </w:r>
      <w:r>
        <w:rPr>
          <w:rFonts w:asciiTheme="majorBidi" w:hAnsiTheme="majorBidi" w:cstheme="majorBidi"/>
          <w:color w:val="000000" w:themeColor="text1"/>
          <w:sz w:val="24"/>
          <w:szCs w:val="24"/>
        </w:rPr>
        <w:t>.</w:t>
      </w:r>
    </w:p>
    <w:p w14:paraId="6BFF1646" w14:textId="77777777" w:rsidR="00925C7C" w:rsidRPr="00925C7C" w:rsidRDefault="00925C7C" w:rsidP="005562AF">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وفي ضوء رؤية المملكة 2030، فإن نظام المعاملات المدنية يمثّل ركيزة لتفعيل الاقتصاد الرقمي والعدالة الذكية، ويمنح المحامين إطارًا قانونيًا مرنًا يمكنهم من دمج أدوات الذكاء الاصطناعي في أعمالهم اليومية دون الخروج عن حدود المشروعية. وبذلك يصبح النظام المدني جزءًا من الإطار الكلي لتنظيم الذكاء الاصطناعي في مكاتب المحاماة، لأنه يضبط العلاقة بين التقنية والإرادة التعاقدية، ويحول دون تحول الذكاء الاصطناعي إلى طرف قانوني مستقل، محافظًا على مركزية الإنسان في العملية التعاقدية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34066694" w14:textId="77777777" w:rsidR="00925C7C" w:rsidRPr="00925C7C" w:rsidRDefault="00925C7C" w:rsidP="00925C7C">
      <w:pPr>
        <w:jc w:val="right"/>
        <w:rPr>
          <w:rFonts w:asciiTheme="majorBidi" w:hAnsiTheme="majorBidi" w:cstheme="majorBidi"/>
          <w:color w:val="000000" w:themeColor="text1"/>
          <w:sz w:val="24"/>
          <w:szCs w:val="24"/>
          <w:rtl/>
        </w:rPr>
      </w:pPr>
    </w:p>
    <w:p w14:paraId="749A0C03" w14:textId="77777777" w:rsidR="004855F3" w:rsidRPr="0095427D" w:rsidRDefault="005562AF"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رابعاً : </w:t>
      </w:r>
      <w:r>
        <w:rPr>
          <w:rFonts w:asciiTheme="majorBidi" w:hAnsiTheme="majorBidi" w:cstheme="majorBidi"/>
          <w:b/>
          <w:bCs/>
          <w:color w:val="000000" w:themeColor="text1"/>
          <w:rtl/>
        </w:rPr>
        <w:t xml:space="preserve">نظام الإجراءات الجزائية (1435هـ) </w:t>
      </w:r>
      <w:r>
        <w:rPr>
          <w:rFonts w:asciiTheme="majorBidi" w:hAnsiTheme="majorBidi" w:cstheme="majorBidi" w:hint="cs"/>
          <w:b/>
          <w:bCs/>
          <w:color w:val="000000" w:themeColor="text1"/>
          <w:rtl/>
        </w:rPr>
        <w:t xml:space="preserve">، </w:t>
      </w:r>
      <w:r>
        <w:rPr>
          <w:rFonts w:asciiTheme="majorBidi" w:hAnsiTheme="majorBidi" w:cstheme="majorBidi"/>
          <w:b/>
          <w:bCs/>
          <w:color w:val="000000" w:themeColor="text1"/>
          <w:rtl/>
        </w:rPr>
        <w:t>ونظام مكافحة الجرائم المعلوماتية (1428هـ)</w:t>
      </w:r>
      <w:r>
        <w:rPr>
          <w:rFonts w:asciiTheme="majorBidi" w:hAnsiTheme="majorBidi" w:cstheme="majorBidi" w:hint="cs"/>
          <w:b/>
          <w:bCs/>
          <w:color w:val="000000" w:themeColor="text1"/>
          <w:rtl/>
        </w:rPr>
        <w:t xml:space="preserve"> :</w:t>
      </w:r>
    </w:p>
    <w:p w14:paraId="54CBBD89"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يُعدّ كل من نظام الإجراءات الجزائية ونظام مكافحة الجرائم المعلوماتية من أهم الأنظمة الداعمة للإطار العدلي في المملكة، ولهما ارتباط مباشر بموضوع الرسالة من زاوية ضبط استخدام الذكاء الاصطناعي في مكاتب </w:t>
      </w:r>
      <w:r>
        <w:rPr>
          <w:rFonts w:asciiTheme="majorBidi" w:hAnsiTheme="majorBidi" w:cstheme="majorBidi"/>
          <w:color w:val="000000" w:themeColor="text1"/>
          <w:sz w:val="24"/>
          <w:szCs w:val="24"/>
          <w:rtl/>
        </w:rPr>
        <w:lastRenderedPageBreak/>
        <w:t>المحاماة، خصوصًا فيما يتعلق بجمع المعلومات وتحليل الأدلة وحماية سرية البيانات القانونية. فبينما ينظّم نظام الإجراءات الجزائية قواعد سير العدالة الجنائية ويؤكد على سلامة إجراءات التقاضي، فإن نظام مكافحة الجرائم المعلوماتية يُعدّ خط الدفاع النظامي ضد إساءة استخدام التقنية والبيانات في المجال العدلي</w:t>
      </w:r>
      <w:r>
        <w:rPr>
          <w:rFonts w:asciiTheme="majorBidi" w:hAnsiTheme="majorBidi" w:cstheme="majorBidi"/>
          <w:color w:val="000000" w:themeColor="text1"/>
          <w:sz w:val="24"/>
          <w:szCs w:val="24"/>
        </w:rPr>
        <w:t>.</w:t>
      </w:r>
    </w:p>
    <w:p w14:paraId="273300B8"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وينص نظام الإجراءات الجزائية في مادته الثانية على أن إجراءات التحقيق والمحاكمة يجب أن تتم وفق أحكام الشريعة والأنظمة المرعية بما يضمن صيانة الحقوق وحماية الخصوصية. وهذا النص يُلزم المحامي الذي يستخدم أدوات الذكاء الاصطناعي في تحليل القضايا أو التواصل مع الجهات العدلية بأن يلتزم بضمانات السرية وعدم انتهاك حرمة البيانات، إذ إن أي خرق لهذه الضمانات قد يؤدي إلى بطلان الدليل أو مساءلة تأديبية. كما أن المادة (161) من النظام توجب المحافظة على سرية المعلومات التي يطلع عليها المحامي أثناء التحقيق أو المحاكمة، وهو التزام يمتد ليشمل المعلومات التي تُعالَج عبر الأنظمة الذكية داخل مكاتب المحاماة</w:t>
      </w:r>
      <w:r>
        <w:rPr>
          <w:rFonts w:asciiTheme="majorBidi" w:hAnsiTheme="majorBidi" w:cstheme="majorBidi"/>
          <w:color w:val="000000" w:themeColor="text1"/>
          <w:sz w:val="24"/>
          <w:szCs w:val="24"/>
        </w:rPr>
        <w:t>.</w:t>
      </w:r>
    </w:p>
    <w:p w14:paraId="6AAF656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نظام مكافحة الجرائم المعلوماتية، فقد نص في مادته الثالثة على تجريم الدخول غير المشروع إلى الأنظمة المعلوماتية أو اعتراض البيانات أثناء نقلها أو إفشائها. وهذا يعني أن المحامي الذي يستخدم منصة ذكاء اصطناعي لمعالجة بيانات الموكلين يجب أن يتحقق من أن المنصة مرخصة وآمنة داخل المملكة، وإلا فقد يعدّ استخدامه للمنصة شكلًا من أشكال الإخلال النظامي. وقد أشار جانب من الفقه في دراساتهم حول مكافحة الجريمة الإلكترونية إلى أن الذكاء الاصطناعي يمكن أن يكون أداة مشروعة أو وسيلة ضارة بحسب نية الاستخدام ونتيجته، وهو ما يتقاطع مع ما ذكرته جانب من الفقه حول أن الخطأ التقني قد يتحول إلى خطأ جسيم إذا أدى إلى ضرر يمسّ الأمن المعلوماتي أو العدالة الرقمية</w:t>
      </w:r>
      <w:r>
        <w:rPr>
          <w:rFonts w:asciiTheme="majorBidi" w:hAnsiTheme="majorBidi" w:cstheme="majorBidi"/>
          <w:color w:val="000000" w:themeColor="text1"/>
          <w:sz w:val="24"/>
          <w:szCs w:val="24"/>
        </w:rPr>
        <w:t>.</w:t>
      </w:r>
    </w:p>
    <w:p w14:paraId="65D273C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ولإيضاح مخاطر إساءة استخدام الذكاء الاصطناعي داخل مكاتب المحاماة، يمكن عرض عدد من الأمثلة العملية التي تكشف حدود المسؤولية القانونية للمحامي</w:t>
      </w:r>
      <w:r>
        <w:rPr>
          <w:rFonts w:asciiTheme="majorBidi" w:hAnsiTheme="majorBidi" w:cstheme="majorBidi"/>
          <w:color w:val="000000" w:themeColor="text1"/>
          <w:sz w:val="24"/>
          <w:szCs w:val="24"/>
        </w:rPr>
        <w:t>:</w:t>
      </w:r>
    </w:p>
    <w:p w14:paraId="55B0F5E1"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وفي هذا الشأن، أصدرت الهيئة السعودية للبيانات والذكاء الاصطناعي (سدايا) في فبراير 2025م الدليل الاسترشادي لتقويم مخاطر نقل البيانات الشخصية إلى خارج المملكة، وهو دليل إجرائي تفصيلي يُرسي منهجية متكاملة لتقييم المخاطر المرتبطة بمعالجة البيانات وتحديد الآثار السلبية المحتملة على الأطراف ذات الصلة. وتتعلق هذه الضمانات بصورة مباشرة بمكاتب المحاماة التي تُدخل بيانات العملاء السرية في منصات ذكاء اصطناعي تُدار خوادمها خارج المملكة، مما يستوجب إجراء تقويم مسبق للمخاطر قبل أي عملية نقل أو إفصاح.</w:t>
      </w:r>
      <w:r>
        <w:rPr>
          <w:rStyle w:val="af"/>
          <w:rFonts w:asciiTheme="majorBidi" w:hAnsiTheme="majorBidi" w:cstheme="majorBidi"/>
          <w:sz w:val="24"/>
          <w:szCs w:val="24"/>
          <w:rtl/>
        </w:rPr>
        <w:footnoteReference w:id="96"/>
      </w:r>
    </w:p>
    <w:p w14:paraId="00D5AF5B"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 استخدام نظام ذكاء اصطناعي غير مرخص</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قد يلجأ بعض المحامين إلى أنظمة تحليل قانوني مجانية أو غير مرخّصة لمعالجة ملفات حساسة. فإذا تبين لاحقًا أن هذه الأنظمة تحفظ البيانات في خوادم خارجية أو تشاركها مع أطراف غير مصرح لها، فإن ذلك قد يعدّ إفشاءً غير مشروع للبيانات طبقًا للمادة الثالثة من نظام مكافحة الجرائم المعلوماتية، وقد يخضع المحامي للمساءلة لعدم التحقق من سلامة النظام</w:t>
      </w:r>
      <w:r>
        <w:rPr>
          <w:rFonts w:asciiTheme="majorBidi" w:hAnsiTheme="majorBidi" w:cstheme="majorBidi"/>
          <w:color w:val="000000" w:themeColor="text1"/>
          <w:sz w:val="24"/>
          <w:szCs w:val="24"/>
        </w:rPr>
        <w:t>.</w:t>
      </w:r>
    </w:p>
    <w:p w14:paraId="20B4D7C7"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الأمثلة التطبيقية في نطاق واجب السرية المهنية، إذا أدى هذا الإهمال إلى تسريب بيانات، فقد يعد ذلك إخلالًا بواجب السرية المهنية المنصوص عليه في المادة (161) من نظام الإجراءات الجزائية، وقد يشكل خطأ مهنيًا جسيمًا يستوجب المساءلة التأديبية أمام لجنة التأديب المختصة</w:t>
      </w:r>
      <w:r>
        <w:rPr>
          <w:rFonts w:asciiTheme="majorBidi" w:hAnsiTheme="majorBidi" w:cstheme="majorBidi"/>
          <w:color w:val="000000" w:themeColor="text1"/>
          <w:sz w:val="24"/>
          <w:szCs w:val="24"/>
        </w:rPr>
        <w:t>.</w:t>
      </w:r>
    </w:p>
    <w:p w14:paraId="54C6BD18"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التطبيقات العملية لمسؤولية العناية المهنية، قد يولد النظام الذكي استنتاجات غير دقيقة عن السوابق القضائية أو توصيات قانونية مضللة. فإذا قدّم المحامي هذه المخرجات للقضاء دون فحص أو تدقيق، ثم ظهر أنها خاطئة أو مزورة تقنيًا</w:t>
      </w:r>
      <w:r>
        <w:rPr>
          <w:rFonts w:asciiTheme="majorBidi" w:hAnsiTheme="majorBidi" w:cstheme="majorBidi"/>
          <w:color w:val="000000" w:themeColor="text1"/>
          <w:sz w:val="24"/>
          <w:szCs w:val="24"/>
        </w:rPr>
        <w:t xml:space="preserve"> (Deepfake Evidence)</w:t>
      </w:r>
      <w:r>
        <w:rPr>
          <w:rFonts w:asciiTheme="majorBidi" w:hAnsiTheme="majorBidi" w:cstheme="majorBidi"/>
          <w:color w:val="000000" w:themeColor="text1"/>
          <w:sz w:val="24"/>
          <w:szCs w:val="24"/>
          <w:rtl/>
        </w:rPr>
        <w:t>، فقد يُسأل مهنيًا عن الإخلال بواجب العناية والفحص، لأن مسؤولية الدليل — وفق الأنظمة السعودية — تُنسب لمن يقدمه، لا للأداة التقنية المستخدمة في إنتاجه</w:t>
      </w:r>
      <w:r>
        <w:rPr>
          <w:rFonts w:asciiTheme="majorBidi" w:hAnsiTheme="majorBidi" w:cstheme="majorBidi"/>
          <w:color w:val="000000" w:themeColor="text1"/>
          <w:sz w:val="24"/>
          <w:szCs w:val="24"/>
        </w:rPr>
        <w:t>.</w:t>
      </w:r>
    </w:p>
    <w:p w14:paraId="675111DA"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lastRenderedPageBreak/>
        <w:t>وتطبيقيًا في نطاق واجب الإفصاح وحماية بيانات الموكل، قد يولد النظام سجلات محادثة تُخزّن في خوادم أجنبية دون علم الموكل. هذا قد يعرض المحامي للمساءلة النظامية، لأن الموافقة الصريحة المطلوبة على معالجة البيانات — وفق نظام حماية البيانات الشخصية — تشترط العلم والإذن المسبق، وهو ما قد ينتفي في مثل هذه الحالات</w:t>
      </w:r>
      <w:r>
        <w:rPr>
          <w:rFonts w:asciiTheme="majorBidi" w:hAnsiTheme="majorBidi" w:cstheme="majorBidi"/>
          <w:color w:val="000000" w:themeColor="text1"/>
          <w:sz w:val="24"/>
          <w:szCs w:val="24"/>
        </w:rPr>
        <w:t>.</w:t>
      </w:r>
    </w:p>
    <w:p w14:paraId="2C26CF55"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إن العلاقة بين النظامين تكاملية؛ فالأول (نظام الإجراءات الجزائية) يضمن سلامة الإجراءات، والثاني (نظام مكافحة الجرائم المعلوماتية) يوفر الحماية التقنية لهذه الإجراءات في بيئة رقمية. ومن خلال هذا التكامل، تُعاد صياغة مسؤولية المحامي في ظل الذكاء الاصطناعي بحيث تشمل الالتزام بضمان أمن البيانات، والتحقق من مشروعية الأدوات التقنية المستخدمة، وحماية الخصوصية أثناء استخدامها في التحليل أو المرافعة</w:t>
      </w:r>
      <w:r>
        <w:rPr>
          <w:rFonts w:asciiTheme="majorBidi" w:hAnsiTheme="majorBidi" w:cstheme="majorBidi"/>
          <w:color w:val="000000" w:themeColor="text1"/>
          <w:sz w:val="24"/>
          <w:szCs w:val="24"/>
        </w:rPr>
        <w:t>.</w:t>
      </w:r>
    </w:p>
    <w:p w14:paraId="67ECC25F" w14:textId="77777777" w:rsidR="00A742CD" w:rsidRPr="00A742CD"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نظام مكافحة الجرائم المعلوماتية يتصل بشكل وثيق بوثيقة مبادئ أخلاقيات الذكاء الاصطناعي، التي أكدت على مبدأ الشفافية والمسؤولية، ما يعني أن أي استخدام تقني داخل المجال العدلي يجب أن يكون قابلاً للتتبع والمساءلة. وهذا يفتح المجال أمام إنشاء لائحة مهنية مستقبلية تنظّم استخدام الأنظمة الذكية داخل مكاتب المحاماة بما يمنع تعارضها مع الأنظمة الجزائية أو الأمنية</w:t>
      </w:r>
      <w:r>
        <w:rPr>
          <w:rFonts w:asciiTheme="majorBidi" w:hAnsiTheme="majorBidi" w:cstheme="majorBidi"/>
          <w:color w:val="000000" w:themeColor="text1"/>
          <w:sz w:val="24"/>
          <w:szCs w:val="24"/>
        </w:rPr>
        <w:t>.</w:t>
      </w:r>
    </w:p>
    <w:p w14:paraId="00E9B632" w14:textId="77777777" w:rsidR="00A918AE" w:rsidRPr="00A918AE" w:rsidRDefault="00A742CD" w:rsidP="00A742CD">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وعليه، فإن نظام الإجراءات الجزائية ونظام مكافحة الجرائم المعلوماتية يشكّلان إطارًا وقائيًا وتنظيميًا ضامنًا للاستخدام المشروع للذكاء الاصطناعي في مكاتب المحاماة، ويحددان الخط الفاصل بين التقنيات المساعدة التي تعزز كفاءة المهنة، وبين الممارسات التي قد تعدّ إخلالًا بنزاهة العدالة أو تهديدًا للأمن المعلوماتي</w:t>
      </w:r>
      <w:r>
        <w:rPr>
          <w:rFonts w:asciiTheme="majorBidi" w:hAnsiTheme="majorBidi" w:cstheme="majorBidi"/>
          <w:color w:val="000000" w:themeColor="text1"/>
          <w:sz w:val="24"/>
          <w:szCs w:val="24"/>
        </w:rPr>
        <w:t>..</w:t>
      </w:r>
    </w:p>
    <w:p w14:paraId="20FF3D0F" w14:textId="77777777" w:rsidR="004855F3" w:rsidRDefault="004855F3" w:rsidP="005B3BD6">
      <w:pPr>
        <w:jc w:val="right"/>
        <w:rPr>
          <w:rFonts w:asciiTheme="majorBidi" w:hAnsiTheme="majorBidi" w:cstheme="majorBidi"/>
          <w:color w:val="000000" w:themeColor="text1"/>
          <w:sz w:val="24"/>
          <w:szCs w:val="24"/>
        </w:rPr>
      </w:pPr>
    </w:p>
    <w:p w14:paraId="7AD63852" w14:textId="77777777" w:rsidR="00A918AE" w:rsidRPr="0095427D" w:rsidRDefault="00A918AE" w:rsidP="00A918AE">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خامساً : </w:t>
      </w:r>
      <w:r>
        <w:rPr>
          <w:rFonts w:asciiTheme="majorBidi" w:hAnsiTheme="majorBidi" w:cstheme="majorBidi"/>
          <w:b/>
          <w:bCs/>
          <w:color w:val="000000" w:themeColor="text1"/>
          <w:rtl/>
        </w:rPr>
        <w:t>نظام التعاملات الإلكترونية (1428هـ)</w:t>
      </w:r>
      <w:r>
        <w:rPr>
          <w:rFonts w:asciiTheme="majorBidi" w:hAnsiTheme="majorBidi" w:cstheme="majorBidi" w:hint="cs"/>
          <w:b/>
          <w:bCs/>
          <w:color w:val="000000" w:themeColor="text1"/>
          <w:rtl/>
        </w:rPr>
        <w:t xml:space="preserve"> :</w:t>
      </w:r>
    </w:p>
    <w:p w14:paraId="073B9F43"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التعاملات الإلكترونية من الأنظمة السعودية الرائدة التي أرست الإطار النظامي للتحول الرقمي في مختلف القطاعات، وهو يرتبط ارتباطًا مباشرًا بموضوع الرسالة من حيث تمهيده لاستخدام الأدوات الذكية والأنظمة التقنية في إنجاز الأعمال القانونية داخل مكاتب المحاماة. فهذا النظام لم يقتصر على إقرار حجية الوثائق الإلكترونية، بل وضع الأسس القانونية التي تمكّن المحامي من إدارة معاملاته وعلاقاته التعاقدية ومراسلاته المهنية عبر الوسائط الرقمية، بما في ذلك المنصات القائمة على الذكاء الاصطناعي</w:t>
      </w:r>
      <w:r>
        <w:rPr>
          <w:rFonts w:asciiTheme="majorBidi" w:hAnsiTheme="majorBidi" w:cstheme="majorBidi"/>
          <w:color w:val="000000" w:themeColor="text1"/>
          <w:sz w:val="24"/>
          <w:szCs w:val="24"/>
        </w:rPr>
        <w:t>.</w:t>
      </w:r>
    </w:p>
    <w:p w14:paraId="155973C8"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أقرّ النظام في مادته الخامسة أن "المعاملات والتوقيعات الإلكترونية تكون صحيحة ومنتجة لآثارها النظامية إذا تم إنشاؤها أو تبادلها أو حفظها وفقًا لأحكام هذا النظام". وهذا النص يفتح المجال أمام مكاتب المحاماة لاستخدام الأنظمة الذكية في إعداد العقود أو تبادل المذكرات القانونية أو إدارة ملفات العملاء إلكترونيًا، مع بقاء آثارها النظامية نافذة ما دامت تتوافق مع متطلبات الموثوقية والأمان التقني. كما تنص المادة السابعة على أن “الكتابة الإلكترونية تقوم مقام الكتابة العادية”، وهو ما يمنح الذكاء الاصطناعي المستخدم في صياغة الوثائق القانونية قوة إجرائية متى كان النظام المستخدم معتمدًا وموثوقًا</w:t>
      </w:r>
      <w:r>
        <w:rPr>
          <w:rFonts w:asciiTheme="majorBidi" w:hAnsiTheme="majorBidi" w:cstheme="majorBidi"/>
          <w:color w:val="000000" w:themeColor="text1"/>
          <w:sz w:val="24"/>
          <w:szCs w:val="24"/>
        </w:rPr>
        <w:t>.</w:t>
      </w:r>
    </w:p>
    <w:p w14:paraId="23BB7A1A"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زاوية التحليل القانوني، فإن هذا النظام يُعدّ نقطة التقاء بين الجانب الفني والتشريعي في مهنة المحاماة؛ إذ مكّن المحامي من ممارسة أنشطته في بيئة رقمية مؤمنة دون أن يفقد التوثيق قيمته القانونية. وبهذا المعنى، يُعد النظام “الجسر التشريعي” الذي عبرت من خلاله المهنة من المرحلة الورقية إلى مرحلة الذكاء الاصطناعي، إذ جعل من الممكن التعامل مع المحررات الرقمية بوصفها مستندات رسمية، وهو ما أشار إليه جانب من الفقه</w:t>
      </w:r>
      <w:r>
        <w:rPr>
          <w:rStyle w:val="af"/>
          <w:rFonts w:asciiTheme="majorBidi" w:hAnsiTheme="majorBidi" w:cstheme="majorBidi"/>
          <w:color w:val="000000" w:themeColor="text1"/>
          <w:sz w:val="24"/>
          <w:szCs w:val="24"/>
          <w:rtl/>
        </w:rPr>
        <w:footnoteReference w:id="97"/>
      </w:r>
      <w:r>
        <w:rPr>
          <w:rFonts w:asciiTheme="majorBidi" w:hAnsiTheme="majorBidi" w:cstheme="majorBidi"/>
          <w:color w:val="000000" w:themeColor="text1"/>
          <w:sz w:val="24"/>
          <w:szCs w:val="24"/>
          <w:rtl/>
        </w:rPr>
        <w:t xml:space="preserve"> (2024) عندما اعتبر أن الأنظمة السعودية الحديثة نجحت في تقنين الأدلة التقنية ضمن منظومة العدالة دون الإخلال بمبدأ اليقين القانوني</w:t>
      </w:r>
      <w:r>
        <w:rPr>
          <w:rFonts w:asciiTheme="majorBidi" w:hAnsiTheme="majorBidi" w:cstheme="majorBidi"/>
          <w:color w:val="000000" w:themeColor="text1"/>
          <w:sz w:val="24"/>
          <w:szCs w:val="24"/>
        </w:rPr>
        <w:t>.</w:t>
      </w:r>
    </w:p>
    <w:p w14:paraId="6A4804FE"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ويرى جانب من الفقه</w:t>
      </w:r>
      <w:r>
        <w:rPr>
          <w:rStyle w:val="af"/>
          <w:rFonts w:asciiTheme="majorBidi" w:hAnsiTheme="majorBidi" w:cstheme="majorBidi"/>
          <w:color w:val="000000" w:themeColor="text1"/>
          <w:sz w:val="24"/>
          <w:szCs w:val="24"/>
          <w:rtl/>
        </w:rPr>
        <w:footnoteReference w:id="98"/>
      </w:r>
      <w:r>
        <w:rPr>
          <w:rFonts w:asciiTheme="majorBidi" w:hAnsiTheme="majorBidi" w:cstheme="majorBidi"/>
          <w:color w:val="000000" w:themeColor="text1"/>
          <w:sz w:val="24"/>
          <w:szCs w:val="24"/>
          <w:rtl/>
        </w:rPr>
        <w:t xml:space="preserve"> (2024) في دراسته عن العقود الذكية أن نظام التعاملات الإلكترونية أسس لمبدأ قابلية الأتمتة القانونية، لأن اعترافه بالتوقيعات الرقمية والوثائق الإلكترونية سمح بتطبيق الخوارزميات الذكية في تنفيذ </w:t>
      </w:r>
      <w:r>
        <w:rPr>
          <w:rFonts w:asciiTheme="majorBidi" w:hAnsiTheme="majorBidi" w:cstheme="majorBidi"/>
          <w:color w:val="000000" w:themeColor="text1"/>
          <w:sz w:val="24"/>
          <w:szCs w:val="24"/>
          <w:rtl/>
        </w:rPr>
        <w:lastRenderedPageBreak/>
        <w:t>العقود. وهذا يعني أن المحامي الذي يستخدم الذكاء الاصطناعي في صياغة أو مراجعة العقود يستند ضمنًا إلى هذا النظام الذي منح الصبغة القانونية للإجراءات الإلكترونية. وبذلك يصبح النظام بمثابة مظلة قانونية تحمي نشاط المحامي في بيئة رقمية معقّدة</w:t>
      </w:r>
      <w:r>
        <w:rPr>
          <w:rFonts w:asciiTheme="majorBidi" w:hAnsiTheme="majorBidi" w:cstheme="majorBidi"/>
          <w:color w:val="000000" w:themeColor="text1"/>
          <w:sz w:val="24"/>
          <w:szCs w:val="24"/>
        </w:rPr>
        <w:t>.</w:t>
      </w:r>
    </w:p>
    <w:p w14:paraId="67F48466"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كما أن النظام يتكامل مع نظام حماية البيانات الشخصية من زاوية الأمن السيبراني، إذ نص في مادته العاشرة على ضرورة حماية المعلومات ومنع الوصول غير المصرح به، وهو ما يتلاقى مع التزامات مكاتب المحاماة في الحفاظ على سرية بيانات عملائها. ويعزز هذا التكامل ما ورد في وثيقة مبادئ أخلاقيات الذكاء الاصطناعي التي شددت على مبدأ العدالة والمسؤولية في تطوير الأنظمة التقنية، مؤكدة أن التحول الرقمي يجب أن يُدار في بيئة قانونية تراعي القيم الأخلاقية وحماية الحقوق</w:t>
      </w:r>
      <w:r>
        <w:rPr>
          <w:rFonts w:asciiTheme="majorBidi" w:hAnsiTheme="majorBidi" w:cstheme="majorBidi"/>
          <w:color w:val="000000" w:themeColor="text1"/>
          <w:sz w:val="24"/>
          <w:szCs w:val="24"/>
        </w:rPr>
        <w:t>.</w:t>
      </w:r>
    </w:p>
    <w:p w14:paraId="2A882E20"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من ناحية مهنية، أتاح النظام للمحامي السعودي أن يدير مكتبه إلكترونيًا، ويرسل المذكرات والعقود ويبرم الاتفاقيات رقمياً دون إخلال بحجيتها، بل وبما يضمن توثيق كل خطوة عبر التوقيعات الرقمية والوسائط الموثوقة. وهذه المرونة القانونية تمهد لتكامل الذكاء الاصطناعي في أعمال المكاتب القانونية من خلال أدوات البحث والتحليل والصياغة الإلكترونية، بما يسهم في تطوير جودة الخدمة وتسريع إنجازها</w:t>
      </w:r>
      <w:r>
        <w:rPr>
          <w:rFonts w:asciiTheme="majorBidi" w:hAnsiTheme="majorBidi" w:cstheme="majorBidi"/>
          <w:color w:val="000000" w:themeColor="text1"/>
          <w:sz w:val="24"/>
          <w:szCs w:val="24"/>
        </w:rPr>
        <w:t>.</w:t>
      </w:r>
    </w:p>
    <w:p w14:paraId="455E38C6" w14:textId="77777777" w:rsidR="00A918AE" w:rsidRPr="00A918AE" w:rsidRDefault="00A918AE" w:rsidP="00A918AE">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ويُمكن القول في الختام إن نظام التعاملات الإلكترونية يشكل أحد أهم ركائز الإطار القانوني لتوظيف الذكاء الاصطناعي في مكاتب المحاماة؛ لأنه أرسى المفهوم القانوني للوثيقة الإلكترونية، وفتح الباب أمام اعتماد الأدوات الذكية في الأعمال القانونية دون فقدان الصفة الرسمية أو الحجية النظامية. وهو ما يعزز اتجاه الرسالة نحو بيان كيف مكّنت البيئة النظامية السعودية مهنة المحاماة من الاندماج في التحول العدلي الرقمي، دون الإخلال بضمانات الموثوقية والعدالة</w:t>
      </w:r>
      <w:r>
        <w:rPr>
          <w:rFonts w:asciiTheme="majorBidi" w:hAnsiTheme="majorBidi" w:cstheme="majorBidi" w:hint="cs"/>
          <w:color w:val="000000" w:themeColor="text1"/>
          <w:sz w:val="24"/>
          <w:szCs w:val="24"/>
          <w:rtl/>
        </w:rPr>
        <w:t>.</w:t>
      </w:r>
      <w:r>
        <w:rPr>
          <w:rFonts w:asciiTheme="majorBidi" w:hAnsiTheme="majorBidi" w:cstheme="majorBidi"/>
          <w:color w:val="000000" w:themeColor="text1"/>
          <w:sz w:val="24"/>
          <w:szCs w:val="24"/>
        </w:rPr>
        <w:t>.</w:t>
      </w:r>
    </w:p>
    <w:p w14:paraId="4AB4D1C8" w14:textId="77777777" w:rsidR="00A918AE" w:rsidRDefault="00A918AE" w:rsidP="005B3BD6">
      <w:pPr>
        <w:jc w:val="right"/>
        <w:rPr>
          <w:rFonts w:asciiTheme="majorBidi" w:hAnsiTheme="majorBidi" w:cstheme="majorBidi"/>
          <w:color w:val="000000" w:themeColor="text1"/>
          <w:sz w:val="24"/>
          <w:szCs w:val="24"/>
        </w:rPr>
      </w:pPr>
    </w:p>
    <w:p w14:paraId="15E0B4EF" w14:textId="7777777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سادساً : </w:t>
      </w:r>
      <w:r>
        <w:rPr>
          <w:rFonts w:asciiTheme="majorBidi" w:hAnsiTheme="majorBidi" w:cstheme="majorBidi"/>
          <w:b/>
          <w:bCs/>
          <w:color w:val="000000" w:themeColor="text1"/>
          <w:rtl/>
        </w:rPr>
        <w:t>نظام الشركات (1441هـ)</w:t>
      </w:r>
      <w:r>
        <w:rPr>
          <w:rFonts w:asciiTheme="majorBidi" w:hAnsiTheme="majorBidi" w:cstheme="majorBidi" w:hint="cs"/>
          <w:b/>
          <w:bCs/>
          <w:color w:val="000000" w:themeColor="text1"/>
          <w:rtl/>
        </w:rPr>
        <w:t xml:space="preserve"> :</w:t>
      </w:r>
    </w:p>
    <w:p w14:paraId="6889EF0B"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يُعدّ نظام الشركات أحد الأنظمة الجوهرية التي تمسّ مهنة المحاماة مباشرة، إذ ينظم تكوين المكاتب القانونية وشركات المحاماة ويحدد أطر إدارتها ومسؤوليات الشركاء فيها. وترتبط أهميته بموضوع الرسالة من زاوية أنه يشكل الإطار المؤسسي الذي يُتيح لمكاتب المحاماة تبني التحول التقني وتوظيف الذكاء الاصطناعي في أعمالها ضمن بنية نظامية منضبطة. فبينما يركّز نظام المحاماة على الفرد الممارس، فإن نظام الشركات المهنية ينقل الممارسة إلى نطاق مؤسسي أوسع، يجعل تبني التقنية جزءًا من البنية التشغيلية للشركة لا مجرد خيار مهني فردي</w:t>
      </w:r>
      <w:r>
        <w:rPr>
          <w:rFonts w:asciiTheme="majorBidi" w:hAnsiTheme="majorBidi" w:cstheme="majorBidi"/>
          <w:color w:val="000000" w:themeColor="text1"/>
          <w:sz w:val="24"/>
          <w:szCs w:val="24"/>
        </w:rPr>
        <w:t>.</w:t>
      </w:r>
    </w:p>
    <w:p w14:paraId="0EA45802"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نصّت المادة (الثالثة) من النظام على أن الشركة المهنية تهدف إلى ممارسة مهنة حرة واحدة أو أكثر وفقًا لأحكام النظام والأنظمة المنظمة لتلك المهن. وتبعًا لذلك، يجوز لشركات المحاماة أن تُدرج ضمن بنيتها التشغيلية أنظمة ذكاء اصطناعي مساندة في البحث القانوني، وإدارة القضايا، وإعداد العقود، وتحليل البيانات. إلا أن استخدام هذه الأنظمة لا يُعفي الشركاء من مسؤوليتهم المهنية، بل يجعلها تضامنية، كما ورد في المادة (الخامسة عشرة) التي تنص على أن “الشركاء مسؤولون بالتضامن عن أعمال الشركة”. وهذا يعني أن أي خطأ أو إخلال ينتج عن النظام التقني المستخدم داخل الشركة ينعكس مسؤوليةً على جميع الشركاء، طالما كان النشاط ضمن نطاق عملها</w:t>
      </w:r>
      <w:r>
        <w:rPr>
          <w:rFonts w:asciiTheme="majorBidi" w:hAnsiTheme="majorBidi" w:cstheme="majorBidi"/>
          <w:color w:val="000000" w:themeColor="text1"/>
          <w:sz w:val="24"/>
          <w:szCs w:val="24"/>
        </w:rPr>
        <w:t>.</w:t>
      </w:r>
    </w:p>
    <w:p w14:paraId="51D1047D"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الناحية التحليلية، يشكل النظام خطوة استراتيجية في تمكين المكاتب القانونية من استثمار التقنية بأمان قانوني. فهو يوفّر إطارًا مرنًا يسمح بالتوسع في الخدمات واستحداث أقسام تقنية قانونية متخصصة، شريطة أن تظل تحت إشراف محامين مرخصين. وقد أشار محمد شحادة إسماعيل </w:t>
      </w:r>
      <w:r>
        <w:rPr>
          <w:rStyle w:val="af"/>
          <w:rFonts w:asciiTheme="majorBidi" w:hAnsiTheme="majorBidi" w:cstheme="majorBidi"/>
          <w:color w:val="000000" w:themeColor="text1"/>
          <w:sz w:val="24"/>
          <w:szCs w:val="24"/>
          <w:rtl/>
        </w:rPr>
        <w:footnoteReference w:id="99"/>
      </w:r>
      <w:r>
        <w:rPr>
          <w:rFonts w:asciiTheme="majorBidi" w:hAnsiTheme="majorBidi" w:cstheme="majorBidi"/>
          <w:color w:val="000000" w:themeColor="text1"/>
          <w:sz w:val="24"/>
          <w:szCs w:val="24"/>
          <w:rtl/>
        </w:rPr>
        <w:t xml:space="preserve">(2023) في دراسته عن تأثير الذكاء الاصطناعي على المهن القانونية إلى أن الإطار التنظيمي للشركات المهنية في السعودية يمثل بيئة خصبة لتطبيق الذكاء الاصطناعي المؤسسي، لأنه يجمع بين الكفاءة التكنولوجية والمسؤولية القانونية الواضحة. ويضيف أن هذا </w:t>
      </w:r>
      <w:r>
        <w:rPr>
          <w:rFonts w:asciiTheme="majorBidi" w:hAnsiTheme="majorBidi" w:cstheme="majorBidi"/>
          <w:color w:val="000000" w:themeColor="text1"/>
          <w:sz w:val="24"/>
          <w:szCs w:val="24"/>
          <w:rtl/>
        </w:rPr>
        <w:lastRenderedPageBreak/>
        <w:t>النظام يمنح للمكتب القانوني القدرة على تطوير خدماته وتحسين الأداء باستخدام التقنية، دون المساس بمبدأ المسؤولية الفردية للمحامي عن مخرجات عمله</w:t>
      </w:r>
      <w:r>
        <w:rPr>
          <w:rFonts w:asciiTheme="majorBidi" w:hAnsiTheme="majorBidi" w:cstheme="majorBidi"/>
          <w:color w:val="000000" w:themeColor="text1"/>
          <w:sz w:val="24"/>
          <w:szCs w:val="24"/>
        </w:rPr>
        <w:t>.</w:t>
      </w:r>
    </w:p>
    <w:p w14:paraId="5AA61F5A"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ويرتبط هذا النظام أيضًا بنظام حماية البيانات الشخصية من جهة الأمن المعلوماتي، إذ تلتزم الشركات المهنية وفقًا للمادة (الثالثة والعشرين) بالمحافظة على السرية المهنية وضمان حماية بيانات عملائها. وهذا الالتزام يشمل الأنظمة التقنية التي تديرها الشركة، بما فيها أنظمة الذكاء الاصطناعي. ويشير جانب من الفقه</w:t>
      </w:r>
      <w:r>
        <w:rPr>
          <w:rStyle w:val="af"/>
          <w:rFonts w:asciiTheme="majorBidi" w:hAnsiTheme="majorBidi" w:cstheme="majorBidi"/>
          <w:color w:val="000000" w:themeColor="text1"/>
          <w:sz w:val="24"/>
          <w:szCs w:val="24"/>
          <w:rtl/>
        </w:rPr>
        <w:footnoteReference w:id="100"/>
      </w:r>
      <w:r>
        <w:rPr>
          <w:rFonts w:asciiTheme="majorBidi" w:hAnsiTheme="majorBidi" w:cstheme="majorBidi"/>
          <w:color w:val="000000" w:themeColor="text1"/>
          <w:sz w:val="24"/>
          <w:szCs w:val="24"/>
          <w:rtl/>
        </w:rPr>
        <w:t xml:space="preserve"> (2022) إلى أن البنية المؤسسية للشركات المهنية تخلق مستوى إضافيًا من الرقابة الداخلية، يجعل من الممكن تطبيق سياسات حوكمة تقنية تحكم الوصول إلى البيانات وتمنع إساءة استخدامها، ما يعزز الثقة في الممارسة القانونية التقنية</w:t>
      </w:r>
      <w:r>
        <w:rPr>
          <w:rFonts w:asciiTheme="majorBidi" w:hAnsiTheme="majorBidi" w:cstheme="majorBidi"/>
          <w:color w:val="000000" w:themeColor="text1"/>
          <w:sz w:val="24"/>
          <w:szCs w:val="24"/>
        </w:rPr>
        <w:t>.</w:t>
      </w:r>
    </w:p>
    <w:p w14:paraId="320DA7C6"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جهة التكامل، فإن نظام الشركات المهنية يرتبط كذلك بوثيقة مبادئ أخلاقيات الذكاء الاصطناعي التي تؤكد على مبدأ “المساءلة والشفافية”</w:t>
      </w:r>
      <w:r>
        <w:rPr>
          <w:rStyle w:val="af"/>
          <w:rFonts w:asciiTheme="majorBidi" w:hAnsiTheme="majorBidi" w:cstheme="majorBidi"/>
          <w:color w:val="000000" w:themeColor="text1"/>
          <w:sz w:val="24"/>
          <w:szCs w:val="24"/>
          <w:rtl/>
        </w:rPr>
        <w:footnoteReference w:id="101"/>
      </w:r>
      <w:r>
        <w:rPr>
          <w:rFonts w:asciiTheme="majorBidi" w:hAnsiTheme="majorBidi" w:cstheme="majorBidi"/>
          <w:color w:val="000000" w:themeColor="text1"/>
          <w:sz w:val="24"/>
          <w:szCs w:val="24"/>
          <w:rtl/>
        </w:rPr>
        <w:t>. إذ يتطلب من شركات المحاماة أن توثّق آليات استخدام الذكاء الاصطناعي لديها، وتحتفظ بسجلات واضحة تبيّن مدى التزام أنظمتها بالضوابط الوطنية للحوكمة التقنية. وهذا يتماشى مع الهدف العام للرسالة في بناء تصور تنظيمي متكامل يحدد واجبات مكاتب المحاماة في التعامل مع التقنية بما يضمن الشفافية والمساءلة القانونية</w:t>
      </w:r>
      <w:r>
        <w:rPr>
          <w:rFonts w:asciiTheme="majorBidi" w:hAnsiTheme="majorBidi" w:cstheme="majorBidi"/>
          <w:color w:val="000000" w:themeColor="text1"/>
          <w:sz w:val="24"/>
          <w:szCs w:val="24"/>
        </w:rPr>
        <w:t>.</w:t>
      </w:r>
    </w:p>
    <w:p w14:paraId="50EA15DE"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وعلى صعيد رؤية المملكة 2030، يشكل النظام أحد ركائز التحول المهني نحو اقتصاد المعرفة، لأنه يمكّن الشركات القانونية من استثمار التقنية ضمن أطر نظامية حديثة، ويؤكد أن الابتكار في الممارسة القانونية لا يتعارض مع التزام المهني بالقواعد العدلية. وبهذا، يمكن القول إن نظام الشركات المهنية يمثل الإطار التنظيمي المؤسسي لتفعيل الذكاء الاصطناعي في مكاتب المحاماة، لأنه يجمع بين التمكين التقني والانضباط النظامي، ويوفر أساسًا قانونيًا يحقق توازنًا بين الابتكار والمسؤولية</w:t>
      </w:r>
      <w:r>
        <w:rPr>
          <w:rFonts w:asciiTheme="majorBidi" w:hAnsiTheme="majorBidi" w:cstheme="majorBidi"/>
          <w:color w:val="000000" w:themeColor="text1"/>
          <w:sz w:val="24"/>
          <w:szCs w:val="24"/>
        </w:rPr>
        <w:t>.</w:t>
      </w:r>
    </w:p>
    <w:p w14:paraId="3F55D5AB" w14:textId="77777777" w:rsidR="003A40AC" w:rsidRDefault="003A40AC" w:rsidP="005B3BD6">
      <w:pPr>
        <w:jc w:val="right"/>
        <w:rPr>
          <w:rFonts w:asciiTheme="majorBidi" w:hAnsiTheme="majorBidi" w:cstheme="majorBidi"/>
          <w:color w:val="000000" w:themeColor="text1"/>
          <w:sz w:val="24"/>
          <w:szCs w:val="24"/>
        </w:rPr>
      </w:pPr>
    </w:p>
    <w:p w14:paraId="5AF2C9CD" w14:textId="77777777" w:rsidR="003A40AC" w:rsidRPr="003A40AC" w:rsidRDefault="003A40AC" w:rsidP="003A40AC">
      <w:pPr>
        <w:jc w:val="right"/>
        <w:rPr>
          <w:rFonts w:asciiTheme="majorBidi" w:hAnsiTheme="majorBidi" w:cstheme="majorBidi"/>
          <w:b/>
          <w:bCs/>
          <w:color w:val="000000" w:themeColor="text1"/>
        </w:rPr>
      </w:pPr>
      <w:r>
        <w:rPr>
          <w:rFonts w:asciiTheme="majorBidi" w:hAnsiTheme="majorBidi" w:cstheme="majorBidi" w:hint="cs"/>
          <w:b/>
          <w:bCs/>
          <w:color w:val="000000" w:themeColor="text1"/>
          <w:sz w:val="24"/>
          <w:szCs w:val="24"/>
          <w:rtl/>
        </w:rPr>
        <w:t xml:space="preserve">سابعاً : </w:t>
      </w:r>
      <w:r>
        <w:rPr>
          <w:rFonts w:asciiTheme="majorBidi" w:hAnsiTheme="majorBidi" w:cstheme="majorBidi"/>
          <w:b/>
          <w:bCs/>
          <w:color w:val="000000" w:themeColor="text1"/>
          <w:rtl/>
        </w:rPr>
        <w:t>نظام القضاء (1428هـ)</w:t>
      </w:r>
      <w:r>
        <w:rPr>
          <w:rFonts w:asciiTheme="majorBidi" w:hAnsiTheme="majorBidi" w:cstheme="majorBidi" w:hint="cs"/>
          <w:b/>
          <w:bCs/>
          <w:color w:val="000000" w:themeColor="text1"/>
          <w:rtl/>
        </w:rPr>
        <w:t xml:space="preserve"> :</w:t>
      </w:r>
    </w:p>
    <w:p w14:paraId="2F349EA8"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يُعتبر نظام القضاء أحد الركائز الجوهرية في البناء العدلي السعودي، إذ يُحدد الهيكل التنظيمي للسلطة القضائية ويضع القواعد العامة لإدارة العدالة في المملكة. وترتبط أهميته بموضوع الرسالة من زاوية أنه يُشكّل الإطار المؤسسي الأعلى الذي تعمل ضمنه مكاتب المحاماة، كما يُمثل البيئة التي يُمارَس فيها أثر توظيف الذكاء الاصطناعي على العدالة ذاتها. فإذا كان نظام المحاماة ينظّم المهنة، والأنظمة المكملة تضبط الأدوات التقنية، فإن نظام القضاء هو الذي يمنح هذا التكامل مشروعيته ويُحدّد حدوده في إطار العدالة</w:t>
      </w:r>
      <w:r>
        <w:rPr>
          <w:rFonts w:asciiTheme="majorBidi" w:hAnsiTheme="majorBidi" w:cstheme="majorBidi"/>
          <w:color w:val="000000" w:themeColor="text1"/>
          <w:sz w:val="24"/>
          <w:szCs w:val="24"/>
        </w:rPr>
        <w:t>.</w:t>
      </w:r>
    </w:p>
    <w:p w14:paraId="10B75D10"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أقر النظام في مادته الأولى أن القضاء سلطة مستقلة، ولا سلطان على القضاة في قضائهم لغير أحكام الشريعة الإسلامية والأنظمة المرعية. وهذا النص يُبرز العلاقة العضوية بين العدالة والقانون، لكنه أيضًا يُتيح مساحة لتطور أدوات القضاء ما دامت لا تُخلّ بالمبادئ الأساسية. ومن هذا المنطلق، أصبحت البيئة القضائية اليوم أكثر انفتاحًا على التحول الرقمي، عبر منصات التقاضي الإلكتروني مثل </w:t>
      </w:r>
      <w:r>
        <w:rPr>
          <w:rFonts w:asciiTheme="majorBidi" w:hAnsiTheme="majorBidi" w:cstheme="majorBidi"/>
          <w:i/>
          <w:iCs/>
          <w:color w:val="000000" w:themeColor="text1"/>
          <w:sz w:val="24"/>
          <w:szCs w:val="24"/>
          <w:rtl/>
        </w:rPr>
        <w:t>ناجز</w:t>
      </w:r>
      <w:r>
        <w:rPr>
          <w:rFonts w:asciiTheme="majorBidi" w:hAnsiTheme="majorBidi" w:cstheme="majorBidi"/>
          <w:color w:val="000000" w:themeColor="text1"/>
          <w:sz w:val="24"/>
          <w:szCs w:val="24"/>
          <w:rtl/>
        </w:rPr>
        <w:t xml:space="preserve"> والمحكمة الإلكترونية، ما جعل مهنة المحاماة شريكًا مباشرًا في هذا التحول. وهنا يبرز البعد التنظيمي في عنوان الرسالة؛ إذ يُعاد تعريف العلاقة بين المحامي والقضاء في ظل الذكاء الاصطناعي، من علاقة تقليدية إلى علاقة رقمية مؤسسية تُدار عبر أنظمة ذكية مؤمّنة</w:t>
      </w:r>
      <w:r>
        <w:rPr>
          <w:rFonts w:asciiTheme="majorBidi" w:hAnsiTheme="majorBidi" w:cstheme="majorBidi"/>
          <w:color w:val="000000" w:themeColor="text1"/>
          <w:sz w:val="24"/>
          <w:szCs w:val="24"/>
        </w:rPr>
        <w:t>.</w:t>
      </w:r>
    </w:p>
    <w:p w14:paraId="6579F3F8"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فاطمة بلال</w:t>
      </w:r>
      <w:r>
        <w:rPr>
          <w:rStyle w:val="af"/>
          <w:rFonts w:asciiTheme="majorBidi" w:hAnsiTheme="majorBidi" w:cstheme="majorBidi"/>
          <w:color w:val="000000" w:themeColor="text1"/>
          <w:sz w:val="24"/>
          <w:szCs w:val="24"/>
          <w:rtl/>
        </w:rPr>
        <w:footnoteReference w:id="102"/>
      </w:r>
      <w:r>
        <w:rPr>
          <w:rFonts w:asciiTheme="majorBidi" w:hAnsiTheme="majorBidi" w:cstheme="majorBidi"/>
          <w:color w:val="000000" w:themeColor="text1"/>
          <w:sz w:val="24"/>
          <w:szCs w:val="24"/>
          <w:rtl/>
        </w:rPr>
        <w:t xml:space="preserve"> (2023) في رسالتها حول </w:t>
      </w:r>
      <w:r>
        <w:rPr>
          <w:rFonts w:asciiTheme="majorBidi" w:hAnsiTheme="majorBidi" w:cstheme="majorBidi"/>
          <w:i/>
          <w:iCs/>
          <w:color w:val="000000" w:themeColor="text1"/>
          <w:sz w:val="24"/>
          <w:szCs w:val="24"/>
          <w:rtl/>
        </w:rPr>
        <w:t>دور الذكاء الاصطناعي في تعزيز العدالة الناجزة</w:t>
      </w:r>
      <w:r>
        <w:rPr>
          <w:rFonts w:asciiTheme="majorBidi" w:hAnsiTheme="majorBidi" w:cstheme="majorBidi"/>
          <w:color w:val="000000" w:themeColor="text1"/>
          <w:sz w:val="24"/>
          <w:szCs w:val="24"/>
          <w:rtl/>
        </w:rPr>
        <w:t xml:space="preserve"> إلى أن وزارة العدل السعودية أنجزت نقلة نوعية في أتمتة الإجراءات القضائية، حتى أصبحت أكثر من (90%) من الخدمات العدلية تُقدَّم إلكترونيًا. هذا الواقع يفرض على المحامي أن يطوّر أدواته وأساليبه، لأن طبيعة التقاضي نفسها تغيّرت من بيئة شفوية إلى بيئة رقمية تعتمد على تحليل البيانات والأرشفة الإلكترونية، مما يجعل استخدام </w:t>
      </w:r>
      <w:r>
        <w:rPr>
          <w:rFonts w:asciiTheme="majorBidi" w:hAnsiTheme="majorBidi" w:cstheme="majorBidi"/>
          <w:color w:val="000000" w:themeColor="text1"/>
          <w:sz w:val="24"/>
          <w:szCs w:val="24"/>
          <w:rtl/>
        </w:rPr>
        <w:lastRenderedPageBreak/>
        <w:t>أدوات الذكاء الاصطناعي ضرورة مهنية لضمان الكفاءة والسرعة. وهنا تظهر صلة النظام بالرسالة، فنجاح العدالة الرقمية لا يكتمل دون تمكين المحامي من العمل ضمن المنظومة التقنية للقضاء</w:t>
      </w:r>
      <w:r>
        <w:rPr>
          <w:rFonts w:asciiTheme="majorBidi" w:hAnsiTheme="majorBidi" w:cstheme="majorBidi"/>
          <w:color w:val="000000" w:themeColor="text1"/>
          <w:sz w:val="24"/>
          <w:szCs w:val="24"/>
        </w:rPr>
        <w:t>.</w:t>
      </w:r>
    </w:p>
    <w:p w14:paraId="12916409"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زاوية تحليلية، يمكن القول إن نظام القضاء يمهّد لتكامل تشريعي مع الأنظمة المكملة السابقة (الإثبات، حماية البيانات، التعاملات الإلكترونية) في إطار “عدالة رقمية متكاملة”. إذ أصبح القاضي يعتمد على النظم الإلكترونية في تبادل المذكرات وجدولة الجلسات وتسجيل الأحكام، بينما يستخدم المحامي الذكاء الاصطناعي في تحليل السوابق القضائية وصياغة المرافعات. وهذا التفاعل يخلق نظامًا قضائيًا جديدًا قائمًا على “الشراكة التقنية بين القضاء والمحاماة”، وهي فكرة محورية في رسالة الدكتوراه التي تسعى لتحديد الإطار القانوني المنظم لهذا التكامل</w:t>
      </w:r>
      <w:r>
        <w:rPr>
          <w:rFonts w:asciiTheme="majorBidi" w:hAnsiTheme="majorBidi" w:cstheme="majorBidi"/>
          <w:color w:val="000000" w:themeColor="text1"/>
          <w:sz w:val="24"/>
          <w:szCs w:val="24"/>
        </w:rPr>
        <w:t>.</w:t>
      </w:r>
    </w:p>
    <w:p w14:paraId="6EB7792B"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أن هذا النظام يرتبط بوثيقة مبادئ أخلاقيات الذكاء الاصطناعي من حيث ترسيخ مبادئ الشفافية والمساءلة في العمل القضائي، بما يضمن أن استخدام الأنظمة الذكية في القضاء يتم تحت رقابة إنسانية تحافظ على العدالة. فالمحاكم الذكية لا تهدف إلى استبدال القاضي أو المحامي، وإنما إلى دعم قراراتهما بالأدوات التقنية التي تعزز دقة العمل وسرعته. ويشير </w:t>
      </w:r>
      <w:r>
        <w:rPr>
          <w:rFonts w:asciiTheme="majorBidi" w:hAnsiTheme="majorBidi" w:cstheme="majorBidi" w:hint="cs"/>
          <w:color w:val="000000" w:themeColor="text1"/>
          <w:sz w:val="24"/>
          <w:szCs w:val="24"/>
          <w:rtl/>
        </w:rPr>
        <w:t>خالد</w:t>
      </w:r>
      <w:r>
        <w:rPr>
          <w:rFonts w:asciiTheme="majorBidi" w:hAnsiTheme="majorBidi" w:cstheme="majorBidi"/>
          <w:color w:val="000000" w:themeColor="text1"/>
          <w:sz w:val="24"/>
          <w:szCs w:val="24"/>
          <w:rtl/>
        </w:rPr>
        <w:t xml:space="preserve"> جانب من الفقه</w:t>
      </w:r>
      <w:r>
        <w:rPr>
          <w:rStyle w:val="af"/>
          <w:rFonts w:asciiTheme="majorBidi" w:hAnsiTheme="majorBidi" w:cstheme="majorBidi"/>
          <w:color w:val="000000" w:themeColor="text1"/>
          <w:sz w:val="24"/>
          <w:szCs w:val="24"/>
          <w:rtl/>
        </w:rPr>
        <w:footnoteReference w:id="103"/>
      </w:r>
      <w:r>
        <w:rPr>
          <w:rFonts w:asciiTheme="majorBidi" w:hAnsiTheme="majorBidi" w:cstheme="majorBidi"/>
          <w:color w:val="000000" w:themeColor="text1"/>
          <w:sz w:val="24"/>
          <w:szCs w:val="24"/>
          <w:rtl/>
        </w:rPr>
        <w:t xml:space="preserve"> (2024) إلى أن دمج الذكاء الاصطناعي في القضاء والمحاماة معًا يستوجب بناء إطار تشريعي موحّد يوازن بين الاستقلال القضائي والرقابة التقنية، وهو ما تسعى هذه الدراسة إلى بلورته تنظيميًا</w:t>
      </w:r>
      <w:r>
        <w:rPr>
          <w:rFonts w:asciiTheme="majorBidi" w:hAnsiTheme="majorBidi" w:cstheme="majorBidi"/>
          <w:color w:val="000000" w:themeColor="text1"/>
          <w:sz w:val="24"/>
          <w:szCs w:val="24"/>
        </w:rPr>
        <w:t>.</w:t>
      </w:r>
    </w:p>
    <w:p w14:paraId="0FB066E7"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المادة (الثانية والأربعين) من نظام القضاء نصّت على إنشاء مجلس أعلى للقضاء يتولى الإشراف على شؤون المحاكم، ما يمنح هذا المجلس صلاحية تبني السياسات العدلية الرقمية وتنظيم العلاقة بين القضاء ومكونات العدالة الأخرى، ومنها مهنة المحاماة. وهذا يفتح الباب أمام إصدار لوائح تنظيمية مستقبلية تضع معايير لاستخدام الذكاء الاصطناعي في العمل القضائي والمرافعات، وهو أحد التوصيات التي تندرج ضمن التصور التنظيمي المقترح في هذه الرسالة</w:t>
      </w:r>
      <w:r>
        <w:rPr>
          <w:rFonts w:asciiTheme="majorBidi" w:hAnsiTheme="majorBidi" w:cstheme="majorBidi"/>
          <w:color w:val="000000" w:themeColor="text1"/>
          <w:sz w:val="24"/>
          <w:szCs w:val="24"/>
        </w:rPr>
        <w:t>.</w:t>
      </w:r>
    </w:p>
    <w:p w14:paraId="7D685E31"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t>وبحسب ما انتهى إليه محمود وعناني (د.ت) في دراستهما المقارنة، فإن ربط استقلالية القضاء بمتطلبات الشفافية الخوارزمية يمثل المعادلة الأدق في تنظيم اعتماد الذكاء الاصطناعي في مرافق العدالة، إذ لا يمكن القبول بأداة ذكية تصدر أحكامًا أو توصيات قضائية دون أن يكون قراراتها قابلة للتفسير والمراجعة من قِبَل الجهة القضائية المختصة.</w:t>
      </w:r>
      <w:r>
        <w:rPr>
          <w:rtl/>
        </w:rPr>
        <w:footnoteReference w:id="104"/>
      </w:r>
    </w:p>
    <w:p w14:paraId="27F2796F" w14:textId="77777777" w:rsidR="003A40AC" w:rsidRPr="003A40AC" w:rsidRDefault="003A40AC" w:rsidP="003A40A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وعليه، فإن نظام القضاء يمثل الإطار المؤسسي الذي تُمارَس فيه جميع آثار توظيف الذكاء الاصطناعي في مكاتب المحاماة، لأنه يحدد طبيعة العدالة التي يسعى النظام القانوني السعودي إلى تحقيقها: عدالة </w:t>
      </w:r>
      <w:r>
        <w:rPr>
          <w:rFonts w:asciiTheme="majorBidi" w:hAnsiTheme="majorBidi" w:cstheme="majorBidi" w:hint="cs"/>
          <w:color w:val="000000" w:themeColor="text1"/>
          <w:sz w:val="24"/>
          <w:szCs w:val="24"/>
          <w:rtl/>
        </w:rPr>
        <w:t>مؤتمته</w:t>
      </w:r>
      <w:r>
        <w:rPr>
          <w:rFonts w:asciiTheme="majorBidi" w:hAnsiTheme="majorBidi" w:cstheme="majorBidi"/>
          <w:color w:val="000000" w:themeColor="text1"/>
          <w:sz w:val="24"/>
          <w:szCs w:val="24"/>
          <w:rtl/>
        </w:rPr>
        <w:t>، رقمية، ومنضبطة بالقانون. ومن ثم، فإن تطوير الإطار القانوني لتوظيف الذكاء الاصطناعي في المهنة لا بد أن يُقرأ في سياق هذا النظام الذي يضمن أن تظل العدالة غاية التحول التقني، لا مجرد نتيجة له</w:t>
      </w:r>
      <w:r>
        <w:rPr>
          <w:rFonts w:asciiTheme="majorBidi" w:hAnsiTheme="majorBidi" w:cstheme="majorBidi"/>
          <w:color w:val="000000" w:themeColor="text1"/>
          <w:sz w:val="24"/>
          <w:szCs w:val="24"/>
        </w:rPr>
        <w:t>.</w:t>
      </w:r>
    </w:p>
    <w:p w14:paraId="1C296614" w14:textId="77777777" w:rsidR="003A40AC" w:rsidRDefault="003A40AC" w:rsidP="005B3BD6">
      <w:pPr>
        <w:jc w:val="right"/>
        <w:rPr>
          <w:rFonts w:asciiTheme="majorBidi" w:hAnsiTheme="majorBidi" w:cstheme="majorBidi"/>
          <w:color w:val="000000" w:themeColor="text1"/>
          <w:sz w:val="24"/>
          <w:szCs w:val="24"/>
        </w:rPr>
      </w:pPr>
    </w:p>
    <w:p w14:paraId="7B3DBD11" w14:textId="77777777" w:rsidR="00061491" w:rsidRDefault="00061491" w:rsidP="00061491">
      <w:pPr>
        <w:jc w:val="right"/>
        <w:rPr>
          <w:rFonts w:asciiTheme="majorBidi" w:hAnsiTheme="majorBidi" w:cstheme="majorBidi"/>
          <w:b/>
          <w:bCs/>
          <w:color w:val="000000" w:themeColor="text1"/>
          <w:rtl/>
        </w:rPr>
      </w:pPr>
      <w:r>
        <w:rPr>
          <w:rFonts w:asciiTheme="majorBidi" w:hAnsiTheme="majorBidi" w:cstheme="majorBidi" w:hint="cs"/>
          <w:b/>
          <w:bCs/>
          <w:color w:val="000000" w:themeColor="text1"/>
          <w:sz w:val="24"/>
          <w:szCs w:val="24"/>
          <w:rtl/>
        </w:rPr>
        <w:t xml:space="preserve">ثامناً : </w:t>
      </w:r>
      <w:r>
        <w:rPr>
          <w:rFonts w:asciiTheme="majorBidi" w:hAnsiTheme="majorBidi" w:cstheme="majorBidi"/>
          <w:b/>
          <w:bCs/>
          <w:color w:val="000000" w:themeColor="text1"/>
          <w:rtl/>
        </w:rPr>
        <w:t>الوثائق التنظيمية والأخلاقية – سدايا</w:t>
      </w:r>
      <w:r>
        <w:rPr>
          <w:rFonts w:asciiTheme="majorBidi" w:hAnsiTheme="majorBidi" w:cstheme="majorBidi" w:hint="cs"/>
          <w:b/>
          <w:bCs/>
          <w:color w:val="000000" w:themeColor="text1"/>
          <w:rtl/>
        </w:rPr>
        <w:t xml:space="preserve"> :</w:t>
      </w:r>
    </w:p>
    <w:p w14:paraId="0A8B3109"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تُمثّل الوثائق الصادرة عن الهيئة السعودية للبيانات والذكاء الاصطناعي (سدايا) الإطار المرجعي المكمل للأنظمة العدلية في المملكة، إذ تُحدّد المبادئ الأخلاقية والتنظيمية الحاكمة لاستخدام الذكاء الاصطناعي في القطاعات المختلفة، ومن ضمنها القطاع القانوني ومكاتب المحاماة. وتبرز أهمية هذه الوثائق بالنسبة لموضوع الرسالة من كونها تهدف إلى تحويل “الاستخدام التقني” إلى ممارسة منضبطة بالقيم والضوابط الأخلاقية، بحيث </w:t>
      </w:r>
      <w:r>
        <w:rPr>
          <w:rFonts w:asciiTheme="majorBidi" w:hAnsiTheme="majorBidi" w:cstheme="majorBidi"/>
          <w:color w:val="000000" w:themeColor="text1"/>
          <w:sz w:val="24"/>
          <w:szCs w:val="24"/>
          <w:rtl/>
        </w:rPr>
        <w:lastRenderedPageBreak/>
        <w:t>لا يكون الذكاء الاصطناعي مجرد أداة تقنية، بل جزءًا من منظومة العدالة القائمة على حماية الحقوق وصون البيانات</w:t>
      </w:r>
      <w:r>
        <w:rPr>
          <w:rFonts w:asciiTheme="majorBidi" w:hAnsiTheme="majorBidi" w:cstheme="majorBidi"/>
          <w:color w:val="000000" w:themeColor="text1"/>
          <w:sz w:val="24"/>
          <w:szCs w:val="24"/>
        </w:rPr>
        <w:t>.</w:t>
      </w:r>
    </w:p>
    <w:p w14:paraId="18E4E37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وتشمل هذه الوثائق: وثيقة مبادئ أخلاقيات الذكاء الاصطناعي، وإطار تبنّي الذكاء الاصطناعي في المملكة، والدليل الاسترشادي لتقويم مخاطر نقل البيانات الشخصية إلى خارج المملكة. وتمثل هذه الوثائق إطارًا تنظيميًا “غير تشريعي” يوجّه السياسات التقنية ويكمل القواعد العدلية، إلا أن إلزاميتها القانونية داخل مكاتب المحاماة لا تتحقق إلا من خلال صدور قرارات تنظيمية أو لوائح مهنية تعتمدها وزارة العدل أو الهيئة السعودية للمحامين. وهذا البعد مهم في ضبط المسؤولية القانونية؛ إذ لا يُساءل مكتب المحاماة تأديبيًا إلا إذا اقترنت هذه الوثائق بقرارات تنظيمية تُحوّلها إلى قواعد واجبة الاتباع</w:t>
      </w:r>
      <w:r>
        <w:rPr>
          <w:rFonts w:asciiTheme="majorBidi" w:hAnsiTheme="majorBidi" w:cstheme="majorBidi"/>
          <w:color w:val="000000" w:themeColor="text1"/>
          <w:sz w:val="24"/>
          <w:szCs w:val="24"/>
        </w:rPr>
        <w:t>.</w:t>
      </w:r>
    </w:p>
    <w:p w14:paraId="1FF7F540"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وتؤكد وثيقة مبادئ أخلاقيات الذكاء الاصطناعي على مبادئ العدالة، والشفافية، والمساءلة، وحماية الخصوصية، وهي مبادئ تتقاطع مباشرة مع الالتزامات المهنية للمحامي. فمبدأ “المساءلة” يعني أن الجهة التي تستخدم التقنية — ومنها مكاتب المحاماة — تظل مسؤولة عن نتائج استخدامها. ويشير جانب من الفقه إلى أن دمج المبادئ الأخلاقية في المنظومة العدلية يسهم في توسيع نطاق المسؤولية المهنية لتشمل الآثار الاجتماعية والتقنية للذكاء الاصطناعي، وليس فقط نتائجه القانونية. ومع أن الوثيقة غير ملزمة بذاتها، إلا أن اعتمادها بقرار تنظيمي من وزارة العدل أو الهيئة السعودية للمحامين كفيل بتحويلها إلى معيار مهني ملزم داخل المكاتب القانونية</w:t>
      </w:r>
      <w:r>
        <w:rPr>
          <w:rFonts w:asciiTheme="majorBidi" w:hAnsiTheme="majorBidi" w:cstheme="majorBidi"/>
          <w:color w:val="000000" w:themeColor="text1"/>
          <w:sz w:val="24"/>
          <w:szCs w:val="24"/>
        </w:rPr>
        <w:t>.</w:t>
      </w:r>
    </w:p>
    <w:p w14:paraId="06884CA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إطار تبنّي الذكاء الاصطناعي فيُعدّ وثيقة تنفيذية تحدد مستويات النضج المؤسسي للتقنية، ومعايير الحوكمة وإدارة الأنظمة الذكية. ويمكن لمكاتب المحاماة الاستفادة منه لتقييم جاهزيتها التقنية، وتحديد مستوى الامتثال الأخلاقي والقانوني لديها، وبشكل خاص في ما يتعلق بإدارة بيانات الموكلين واستخدام أدوات الذكاء الاصطناعي في إعداد الوثائق والمذكرات. وهذه الممارسات لا يمكن ضبطها بفعالية إلا إذا تم دمج الإطار داخل لوائح مهنية تُلزم المحامين بالخضوع لتقويم دوري لمدى الامتثال لمعايير الحوكمة الرقمية</w:t>
      </w:r>
      <w:r>
        <w:rPr>
          <w:rFonts w:asciiTheme="majorBidi" w:hAnsiTheme="majorBidi" w:cstheme="majorBidi"/>
          <w:color w:val="000000" w:themeColor="text1"/>
          <w:sz w:val="24"/>
          <w:szCs w:val="24"/>
        </w:rPr>
        <w:t>.</w:t>
      </w:r>
    </w:p>
    <w:p w14:paraId="35F06EB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أما الدليل الاسترشادي لتقويم مخاطر نقل البيانات الشخصية إلى خارج المملكة، فيمثل وثيقة وقائية مكملة لنظام حماية البيانات الشخصية، لأنه يضع معايير دقيقة لدراسة المخاطر قبل استخدام منصات ذكاء اصطناعي أجنبية. وهذا الأمر جوهري بالنسبة لمكاتب المحاماة التي تتعامل مع بيانات حساسة لا يجوز إخراجها خارج الحدود الوطنية دون مبرر نظامي. ومن ثمّ، يصبح الالتزام بهذا الدليل ضرورة مهنية، غير أنه لا يكتسب القوة النظامية إلا إذا تبنته جهة اختصاص كمصدر إلزامي، كأن تصدر الهيئة السعودية للمحامين دليل التزام تقني يعتمد معايير سدايا كحدّ أدنى للامتثال</w:t>
      </w:r>
      <w:r>
        <w:rPr>
          <w:rFonts w:asciiTheme="majorBidi" w:hAnsiTheme="majorBidi" w:cstheme="majorBidi"/>
          <w:color w:val="000000" w:themeColor="text1"/>
          <w:sz w:val="24"/>
          <w:szCs w:val="24"/>
        </w:rPr>
        <w:t>.</w:t>
      </w:r>
    </w:p>
    <w:p w14:paraId="63D34A99"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وتشير الدراسات المقارنة، ومنها بعض الدراسات، إلى أن التجارب العالمية الناجحة في توظيف التقنية داخل القطاعات العدلية لا تقتصر على إصدار أنظمة قانونية فحسب، بل تحتاج أيضًا إلى منظومة قيمية تُوجّه الممارسات اليومية للمحامين والعاملين في المنظومة العدلية. ومن هنا يتضح الدور المحوري لوثائق سدايا في تعزيز ثقافة الاستخدام المسؤول للذكاء الاصطناعي وربط التقنية بالقيم القانونية</w:t>
      </w:r>
      <w:r>
        <w:rPr>
          <w:rFonts w:asciiTheme="majorBidi" w:hAnsiTheme="majorBidi" w:cstheme="majorBidi"/>
          <w:color w:val="000000" w:themeColor="text1"/>
          <w:sz w:val="24"/>
          <w:szCs w:val="24"/>
        </w:rPr>
        <w:t>.</w:t>
      </w:r>
    </w:p>
    <w:p w14:paraId="3BE1C8AB"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ويُضاف إلى ذلك أن تأثير هذه الوثائق لا يقتصر على المستوى التشريعي أو المفاهيمي، بل يمتد إلى الممارسة اليومية داخل مكاتب المحاماة؛ إذ تتطلب مبادئ العدالة والشفافية والمساءلة تطوير برامج تدريبية إلزامية للمحامين والعاملين في المكاتب القانونية حول الاستخدام الآمن والمسؤول للذكاء الاصطناعي، وآليات حماية بيانات الموكلين، وكيفية التعامل مع الأنظمة الذكية وفق الضوابط الأخلاقية والعدلية. كما تتطلب هذه الوثائق نشر ثقافة “المحو الأمّي الرقمي القانوني” بحيث يكون المحامي قادرًا على فهم مخاطر التقنية وواجباته عند استخدامها، لا مجرد الاعتماد عليها بوصفها أداة مساعدة</w:t>
      </w:r>
      <w:r>
        <w:rPr>
          <w:rFonts w:asciiTheme="majorBidi" w:hAnsiTheme="majorBidi" w:cstheme="majorBidi"/>
          <w:color w:val="000000" w:themeColor="text1"/>
          <w:sz w:val="24"/>
          <w:szCs w:val="24"/>
        </w:rPr>
        <w:t>.</w:t>
      </w:r>
    </w:p>
    <w:p w14:paraId="5FDC0FF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خلال هذه الوثائق الثلاث، يتضح أن المملكة انتقلت من مرحلة “تنظيم التقنية” إلى مرحلة “حوكمتها”، وهو ما ينسجم مع رؤية المملكة 2030 التي تقوم على بناء منظومة رقمية حديثة تُوازن بين الابتكار وحماية الحقوق. وتُمثل هذه الوثائق جزءًا أساسيًا من الإطار القانوني لتوظيف الذكاء الاصطناعي في مكاتب المحاماة، لأنها ترسم الحدود الأخلاقية والتنظيمية للعلاقة بين المحامي والتقنية والموكل والمجتمع، وتؤكد أن التحول الرقمي ليس مجرد تطوير أدوات، بل بناء منظومة قيمية وتشريعية متكاملة</w:t>
      </w:r>
      <w:r>
        <w:rPr>
          <w:rFonts w:asciiTheme="majorBidi" w:hAnsiTheme="majorBidi" w:cstheme="majorBidi"/>
          <w:color w:val="000000" w:themeColor="text1"/>
          <w:sz w:val="24"/>
          <w:szCs w:val="24"/>
        </w:rPr>
        <w:t>.</w:t>
      </w:r>
    </w:p>
    <w:p w14:paraId="185DCB14"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lastRenderedPageBreak/>
        <w:t>ويُضيف إطار تبني الذكاء الاصطناعي الصادر عن سدايا بُعدًا تطبيقيًا مهمًا في هذا السياق؛ إذ يُؤكد أن التطور المتسارع في تقنيات الذكاء الاصطناعي أفضى إلى تغيير مشهد الأعمال في قطاعات متعددة، وأن تبني هذه التقنيات بطريقة محوكمة ومسؤولة يستلزم استيفاء ستة ركائز تنظيمية تشمل تأسيس وحدات مختصة، وبناء قدرات بشرية، وتقييم المخاطر، والمتابعة المستمرة. وهذه الركائز تُوجِب تكاملًا بين الإطار التقني والإطار التشريعي والمهني على حدٍّ سواء.</w:t>
      </w:r>
      <w:r>
        <w:rPr>
          <w:rStyle w:val="af"/>
          <w:rFonts w:asciiTheme="majorBidi" w:hAnsiTheme="majorBidi" w:cstheme="majorBidi"/>
          <w:sz w:val="24"/>
          <w:szCs w:val="24"/>
          <w:rtl/>
        </w:rPr>
        <w:footnoteReference w:id="105"/>
      </w:r>
    </w:p>
    <w:p w14:paraId="61448F43" w14:textId="77777777" w:rsidR="00061491" w:rsidRDefault="00061491" w:rsidP="00061491">
      <w:pPr>
        <w:jc w:val="right"/>
        <w:rPr>
          <w:rFonts w:asciiTheme="majorBidi" w:hAnsiTheme="majorBidi" w:cstheme="majorBidi"/>
          <w:color w:val="000000" w:themeColor="text1"/>
          <w:sz w:val="24"/>
          <w:szCs w:val="24"/>
        </w:rPr>
      </w:pPr>
    </w:p>
    <w:p w14:paraId="1E38E4BE"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وفي ضوء ما سبق عرضه،</w:t>
      </w:r>
      <w:r>
        <w:rPr>
          <w:rFonts w:asciiTheme="majorBidi" w:hAnsiTheme="majorBidi" w:cstheme="majorBidi"/>
          <w:color w:val="000000" w:themeColor="text1"/>
          <w:sz w:val="24"/>
          <w:szCs w:val="24"/>
          <w:rtl/>
        </w:rPr>
        <w:t xml:space="preserve"> يتضح من تحليل الأنظمة المكملة أن البيئة النظامية السعودية قد أرست دعائم متينة لمرحلة جديدة من الممارسة القانونية الذكية، تقوم على تحقيق التوازن بين الابتكار التقني والضبط القانوني. فقد أسهم كل نظام من هذه الأنظمة في بناء جانب محدد من الإطار العام لتوظيف الذكاء الاصطناعي في مكاتب المحاماة، ضمن رؤية تنظيمية متكاملة تتناغم مع أهداف التحول العدلي والرقمي في المملكة. وفي هذا السياق، جاء نظام حماية البيانات الشخصية ليضع الحدود الكفيلة بحماية أسرار الموكلين ومنع إساءة استخدام المعلومات في ظل الأدوات الذكية، ليشكّل بذلك الضامن الأساسي للخصوصية المهنية الرقمية، في حين أقر نظام الإثبات حجية الأدلة الرقمية والمستندات الإلكترونية، وفتح المجال أمام قبول مخرجات الذكاء الاصطناعي كمستندات معتبرة متى ما توافرت فيها معايير الموثوقية، الأمر الذي مكّن المحامي من توظيف التقنية دون المساس بقواعد العدالة الإجرائية</w:t>
      </w:r>
      <w:r>
        <w:rPr>
          <w:rFonts w:asciiTheme="majorBidi" w:hAnsiTheme="majorBidi" w:cstheme="majorBidi"/>
          <w:color w:val="000000" w:themeColor="text1"/>
          <w:sz w:val="24"/>
          <w:szCs w:val="24"/>
        </w:rPr>
        <w:t>.</w:t>
      </w:r>
    </w:p>
    <w:p w14:paraId="07AC19FB" w14:textId="77777777" w:rsidR="00D57654" w:rsidRDefault="00C702A9" w:rsidP="00191993">
      <w:pPr>
        <w:jc w:val="right"/>
        <w:rPr>
          <w:rFonts w:asciiTheme="majorBidi" w:hAnsiTheme="majorBidi" w:cstheme="majorBidi"/>
          <w:sz w:val="24"/>
          <w:szCs w:val="24"/>
          <w:rtl/>
        </w:rPr>
      </w:pPr>
      <w:r>
        <w:rPr>
          <w:rFonts w:asciiTheme="majorBidi" w:hAnsiTheme="majorBidi" w:cstheme="majorBidi"/>
          <w:sz w:val="24"/>
          <w:szCs w:val="24"/>
          <w:rtl/>
        </w:rPr>
        <w:t>وقد أسهمت بعض الدراسات في إضاءة هذه المنظومة المكملة، مشيرةً إلى أن الدولة السعودية قد انتهجت نهجًا تدريجيًا حذرًا في تأطير استخدامات الذكاء الاصطناعي، بدءًا بالوثائق التوجيهية وانتهاءً بالأنظمة الملزِمة، وهو ما يعني أن الإطار القانوني الحالي وإن كان ناقصًا فإنه يحمل بذور اكتماله.</w:t>
      </w:r>
      <w:r>
        <w:rPr>
          <w:rtl/>
        </w:rPr>
        <w:footnoteReference w:id="106"/>
      </w:r>
    </w:p>
    <w:p w14:paraId="706D5433"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ومن جانب آخر،</w:t>
      </w:r>
      <w:r>
        <w:rPr>
          <w:rFonts w:asciiTheme="majorBidi" w:hAnsiTheme="majorBidi" w:cstheme="majorBidi"/>
          <w:color w:val="000000" w:themeColor="text1"/>
          <w:sz w:val="24"/>
          <w:szCs w:val="24"/>
          <w:rtl/>
        </w:rPr>
        <w:t xml:space="preserve"> كرّس نظام المعاملات المدنية مبدأ التعاقد الإلكتروني والعقود الذكية، وأسهم في إعادة تعريف الإرادة القانونية في بيئة رقمية تحكمها الخوارزميات، بما أوجد بُعدًا جديدًا لدور المحامي كمستشار قانوني تقني. كما حدّد كل من نظام الإجراءات الجزائية ونظام مكافحة الجرائم المعلوماتية الضوابط النظامية التي تمنع التجاوز في استخدام البيانات والتقنيات، وجعلا من الأمن المعلوماتي جزءًا لا يتجزأ من منظومة العدالة، بما يضمن خضوع مكاتب المحاماة للمساءلة النظامية عند استخدام الأنظمة الذكية. وأسهم نظام التعاملات الإلكترونية في إضفاء الصفة النظامية على الوثيقة والتوقيع الإلكترونيين، الأمر الذي منح الممارسة القانونية الرقمية غطاءً نظاميًا واضحًا، في حين وفّر نظام الشركات المهنية الإطار المؤسسي الذي يمكّن مكاتب المحاماة من توظيف التقنيات الحديثة ضمن بنية مهنية منظمة، تتحمل المسؤولية النظامية عن نتائج هذا الاستخدام. وفي الإطار ذاته، أكّد نظام القضاء ووثائق الهيئة السعودية للبيانات والذكاء الاصطناعي (سدايا) على البعد الأخلاقي والمؤسسي للعدالة الذكية، بما يضمن بقاء الإنسان، قاضيًا كان أو محاميًا، محور العملية العدلية رغم تصاعد الاعتماد على الأدوات التقنية</w:t>
      </w:r>
      <w:r>
        <w:rPr>
          <w:rFonts w:asciiTheme="majorBidi" w:hAnsiTheme="majorBidi" w:cstheme="majorBidi"/>
          <w:color w:val="000000" w:themeColor="text1"/>
          <w:sz w:val="24"/>
          <w:szCs w:val="24"/>
        </w:rPr>
        <w:t>.</w:t>
      </w:r>
    </w:p>
    <w:p w14:paraId="2D441433" w14:textId="77777777" w:rsidR="00D57654" w:rsidRDefault="00C702A9" w:rsidP="00191993">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استعرضت الأمين التساؤل القانوني الجوهري: هل يمكن مساءلة المحامي جزائياً عن خطأ ارتكبه نظام ذكاء اصطناعي حين أدخله في دفاعه؟ وقد انتهت إلى أن الإجابة رهينة بإثبات القصد أو الإهمال الجسيم من جانب المحامي، إذ لا يتصور المشرّع الجزائي تحمّل المسؤولية عن فعل الغير ما لم يثبت الاشتراك في الإرادة أو التقصير الصارخ في الرقابة.</w:t>
      </w:r>
      <w:r>
        <w:rPr>
          <w:rtl/>
        </w:rPr>
        <w:footnoteReference w:id="107"/>
      </w:r>
    </w:p>
    <w:p w14:paraId="27C7C31E" w14:textId="77777777" w:rsidR="00D57654" w:rsidRDefault="00C702A9" w:rsidP="00191993">
      <w:pPr>
        <w:jc w:val="right"/>
        <w:rPr>
          <w:rFonts w:asciiTheme="majorBidi" w:hAnsiTheme="majorBidi" w:cstheme="majorBidi"/>
          <w:sz w:val="24"/>
          <w:szCs w:val="24"/>
          <w:rtl/>
        </w:rPr>
      </w:pPr>
      <w:r>
        <w:rPr>
          <w:rFonts w:asciiTheme="majorBidi" w:hAnsiTheme="majorBidi" w:cstheme="majorBidi"/>
          <w:sz w:val="24"/>
          <w:szCs w:val="24"/>
          <w:rtl/>
        </w:rPr>
        <w:lastRenderedPageBreak/>
        <w:t>وفي سياق تحمل المسؤولية عند تعدد المتسببين، خلصت الخميسي إلى أن نظرية التسبب المشترك في الفقه القانوني المقارن توفر أداة مناسبة لمعالجة هذا التداخل، إذ تُتيح توزيع التبعة وفق النسب المئوية للإسهام، وإن استلزم ذلك في القضايا التقنية الاستعانة بخبراء متخصصين قادرين على تحديد درجة إسهام كل طرف في إنتاج الضرر الناجم عن النظام الذكي.</w:t>
      </w:r>
      <w:r>
        <w:rPr>
          <w:rtl/>
        </w:rPr>
        <w:footnoteReference w:id="108"/>
      </w:r>
    </w:p>
    <w:p w14:paraId="35952087" w14:textId="77777777" w:rsidR="00D57654" w:rsidRDefault="00C702A9" w:rsidP="00191993">
      <w:pPr>
        <w:jc w:val="right"/>
        <w:rPr>
          <w:rFonts w:asciiTheme="majorBidi" w:hAnsiTheme="majorBidi" w:cstheme="majorBidi"/>
          <w:sz w:val="24"/>
          <w:szCs w:val="24"/>
          <w:rtl/>
        </w:rPr>
      </w:pPr>
      <w:r>
        <w:rPr>
          <w:rFonts w:asciiTheme="majorBidi" w:hAnsiTheme="majorBidi" w:cstheme="majorBidi"/>
          <w:sz w:val="24"/>
          <w:szCs w:val="24"/>
          <w:rtl/>
        </w:rPr>
        <w:t>وفي مسألة توزيع أعباء المسؤولية في الأضرار الرقمية، دعا جانب من الفقه إلى اعتماد نموذج المسؤولية الموزعة الذي يأخذ في الاعتبار إسهام كل طرف في سلسلة القيمة: المطوّر الذي صمّم الخوارزمية، والمشغّل الذي دمجها في خدمته، والمحامي الذي استخدمها في سياق مهني، لأن الضرر في الغالب نتاج تفاعل هذه الأطراف الثلاثة لا فعل طرف واحد.</w:t>
      </w:r>
      <w:r>
        <w:rPr>
          <w:rtl/>
        </w:rPr>
        <w:footnoteReference w:id="109"/>
      </w:r>
    </w:p>
    <w:p w14:paraId="350DB196" w14:textId="77777777" w:rsidR="00D57654" w:rsidRDefault="00C702A9" w:rsidP="00191993">
      <w:pPr>
        <w:jc w:val="right"/>
        <w:rPr>
          <w:rFonts w:asciiTheme="majorBidi" w:hAnsiTheme="majorBidi" w:cstheme="majorBidi"/>
          <w:sz w:val="24"/>
          <w:szCs w:val="24"/>
          <w:rtl/>
        </w:rPr>
      </w:pPr>
      <w:r>
        <w:rPr>
          <w:rFonts w:asciiTheme="majorBidi" w:hAnsiTheme="majorBidi" w:cstheme="majorBidi"/>
          <w:sz w:val="24"/>
          <w:szCs w:val="24"/>
          <w:rtl/>
        </w:rPr>
        <w:t>وبالنظر إلى منظومة التعاقد الذكي، رأت علي (د.ت) في دراستها المنشورة بمجلة الشريعة والقانون لجامعة الأزهر أن تقنية سلسلة الكتل (Blockchain) التي تشتغل عليها العقود الذكية تطرح إشكالية جوهرية تتعلق بتحديد القانون الواجب التطبيق، إذ إن الطابع اللامركزي لهذه العقود يجعلها بمنأى عن نطاق الولاية القضائية الإقليمية التقليدية.</w:t>
      </w:r>
      <w:r>
        <w:rPr>
          <w:rtl/>
        </w:rPr>
        <w:footnoteReference w:id="110"/>
      </w:r>
    </w:p>
    <w:p w14:paraId="69629976" w14:textId="77777777" w:rsidR="00E82B9E" w:rsidRPr="00E82B9E" w:rsidRDefault="00E82B9E" w:rsidP="00191993">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وبناءً على ذلك،</w:t>
      </w:r>
      <w:r>
        <w:rPr>
          <w:rFonts w:asciiTheme="majorBidi" w:hAnsiTheme="majorBidi" w:cstheme="majorBidi"/>
          <w:color w:val="000000" w:themeColor="text1"/>
          <w:sz w:val="24"/>
          <w:szCs w:val="24"/>
          <w:rtl/>
        </w:rPr>
        <w:t xml:space="preserve"> يمكن القول إن هذه المنظومة النظامية، وإن لم تُصغ ابتداءً لتنظيم الذكاء الاصطناعي في المهنة القانونية، إلا أنها أرست الأسس التي تجعل من الممكن تطوير إطار قانوني سعودي متكامل لتوظيف الذكاء الاصطناعي في مكاتب المحاماة، يقوم على حماية البيانات وموثوقية الأدلة، والتمكين المؤسسي للمكاتب المهنية في تبنّي التقنية، والضبط الأخلاقي الذي يحافظ على العدالة وحقوق الإنسان. وبهذا المعنى، يُعد هذا المطلب حلقة وصل منهجية بين النصوص القانونية القائمة والرؤية المستقبلية للرسالة، إذ يمهّد للانتقال في الفصول اللاحقة إلى تحليل الفجوات النظامية واقتراح التصور التنظيمي الشامل الذي يضمن توظيف الذكاء الاصطناعي في مهنة المحاماة بما يخدم العدالة ويصون مبادئها</w:t>
      </w:r>
      <w:r>
        <w:rPr>
          <w:rFonts w:asciiTheme="majorBidi" w:hAnsiTheme="majorBidi" w:cstheme="majorBidi"/>
          <w:color w:val="000000" w:themeColor="text1"/>
          <w:sz w:val="24"/>
          <w:szCs w:val="24"/>
        </w:rPr>
        <w:t>.</w:t>
      </w:r>
    </w:p>
    <w:p w14:paraId="06A63922" w14:textId="77777777" w:rsidR="0089710C" w:rsidRPr="0089710C" w:rsidRDefault="0089710C" w:rsidP="0089710C">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w:t>
      </w:r>
    </w:p>
    <w:p w14:paraId="2B300968" w14:textId="77777777" w:rsidR="00DC0BE2" w:rsidRDefault="00DC0BE2" w:rsidP="00191993">
      <w:pPr>
        <w:rPr>
          <w:rFonts w:asciiTheme="majorBidi" w:hAnsiTheme="majorBidi" w:cstheme="majorBidi"/>
          <w:color w:val="000000" w:themeColor="text1"/>
          <w:sz w:val="24"/>
          <w:szCs w:val="24"/>
        </w:rPr>
      </w:pPr>
    </w:p>
    <w:p w14:paraId="6CE59752" w14:textId="77777777" w:rsidR="00DC0BE2" w:rsidRPr="00BC5F38" w:rsidRDefault="00DC0BE2" w:rsidP="00807AA1">
      <w:pPr>
        <w:rPr>
          <w:rFonts w:asciiTheme="majorBidi" w:hAnsiTheme="majorBidi" w:cstheme="majorBidi"/>
          <w:color w:val="000000" w:themeColor="text1"/>
          <w:sz w:val="24"/>
          <w:szCs w:val="24"/>
          <w:rtl/>
        </w:rPr>
      </w:pPr>
    </w:p>
    <w:p w14:paraId="3EEB1C00" w14:textId="77777777" w:rsidR="00DC0BE2" w:rsidRPr="00D41CB7" w:rsidRDefault="00DC0BE2" w:rsidP="00DC0BE2">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المبحث الثاني</w:t>
      </w:r>
    </w:p>
    <w:p w14:paraId="5C9E058A" w14:textId="77777777" w:rsidR="00DC0BE2" w:rsidRDefault="00DC0BE2" w:rsidP="00DC0BE2">
      <w:pPr>
        <w:jc w:val="center"/>
        <w:rPr>
          <w:rFonts w:asciiTheme="majorBidi" w:hAnsiTheme="majorBidi" w:cstheme="majorBidi"/>
          <w:b/>
          <w:bCs/>
          <w:color w:val="000000" w:themeColor="text1"/>
          <w:sz w:val="32"/>
          <w:szCs w:val="32"/>
          <w:rtl/>
        </w:rPr>
      </w:pPr>
      <w:r>
        <w:rPr>
          <w:rFonts w:asciiTheme="majorBidi" w:hAnsiTheme="majorBidi" w:cstheme="majorBidi" w:hint="cs"/>
          <w:b/>
          <w:bCs/>
          <w:color w:val="000000" w:themeColor="text1"/>
          <w:sz w:val="32"/>
          <w:szCs w:val="32"/>
          <w:rtl/>
        </w:rPr>
        <w:t>تحليل الفجوات في التنظيم الحالي</w:t>
      </w:r>
    </w:p>
    <w:p w14:paraId="35475B4C" w14:textId="77777777" w:rsidR="00DC0BE2" w:rsidRPr="00DC0BE2" w:rsidRDefault="00DC0BE2" w:rsidP="0010656B">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يمثّل هذا المبحث مرحلة تحليلية انتقالية في سياق الرسالة، إذ يأتي بعد استعراض الإطار النظامي العام للمحاماة والأنظمة المكملة له، لينتقل من الوصف إلى النقد والتحليل. فبينما تناول المبحث الأول القواعد النظامية القائمة التي تشكّل الإطار القانوني لتوظيف الذكاء الاصطناعي في مكاتب المحاماة، يركّز هذا المبحث على </w:t>
      </w:r>
      <w:r>
        <w:rPr>
          <w:rFonts w:asciiTheme="majorBidi" w:hAnsiTheme="majorBidi" w:cstheme="majorBidi"/>
          <w:b/>
          <w:bCs/>
          <w:color w:val="000000" w:themeColor="text1"/>
          <w:sz w:val="24"/>
          <w:szCs w:val="24"/>
          <w:rtl/>
        </w:rPr>
        <w:t>تحديد الفجوات التشريعية والتنظيمية</w:t>
      </w:r>
      <w:r>
        <w:rPr>
          <w:rFonts w:asciiTheme="majorBidi" w:hAnsiTheme="majorBidi" w:cstheme="majorBidi"/>
          <w:color w:val="000000" w:themeColor="text1"/>
          <w:sz w:val="24"/>
          <w:szCs w:val="24"/>
          <w:rtl/>
        </w:rPr>
        <w:t xml:space="preserve"> التي تُعيق التطبيق العملي لهذه التقنيات داخل البيئة القانونية السعودية، وتحليل آثار هذا النقص على الممارسة المهنية والعدلية</w:t>
      </w:r>
      <w:r>
        <w:rPr>
          <w:rFonts w:asciiTheme="majorBidi" w:hAnsiTheme="majorBidi" w:cstheme="majorBidi"/>
          <w:color w:val="000000" w:themeColor="text1"/>
          <w:sz w:val="24"/>
          <w:szCs w:val="24"/>
        </w:rPr>
        <w:t>.</w:t>
      </w:r>
    </w:p>
    <w:p w14:paraId="0D863620" w14:textId="77777777" w:rsidR="00D57654" w:rsidRDefault="00C702A9" w:rsidP="0010656B">
      <w:pPr>
        <w:jc w:val="right"/>
        <w:rPr>
          <w:rFonts w:asciiTheme="majorBidi" w:hAnsiTheme="majorBidi" w:cstheme="majorBidi"/>
          <w:sz w:val="24"/>
          <w:szCs w:val="24"/>
          <w:rtl/>
        </w:rPr>
      </w:pPr>
      <w:r>
        <w:rPr>
          <w:rFonts w:asciiTheme="majorBidi" w:hAnsiTheme="majorBidi" w:cstheme="majorBidi"/>
          <w:sz w:val="24"/>
          <w:szCs w:val="24"/>
          <w:rtl/>
        </w:rPr>
        <w:lastRenderedPageBreak/>
        <w:t>وفيما يتعلق بالفجوة المؤسسية في منظومة الرقابة على الذكاء الاصطناعي القانوني، خلص جانب من الفقه إلى أن الغياب الأبرز ليس في النصوص التشريعية وحدها، بل في غياب جهة رقابية متخصصة تضم خبراء قانونيين وتقنيين على حد سواء، وتضطلع بتقييم الأنظمة الذكية المستخدمة في القطاع القانوني وإصدار شهادات الجدارة والاعتماد.</w:t>
      </w:r>
      <w:r>
        <w:rPr>
          <w:rtl/>
        </w:rPr>
        <w:footnoteReference w:id="111"/>
      </w:r>
    </w:p>
    <w:p w14:paraId="70D70FFC"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تحديد الفجوات التشريعية والتنظيمية، أكدت عبد الرحمن أن الفراغ التشريعي الأشد أثراً في مجال الذكاء الاصطناعي القانوني يتمثل في انعدام النص الذي يُحدّد طبيعة العلاقة بين المحامي والعميل حين يدخل في تلك العلاقة طرف ثالث هو المنصة التقنية؛ لأن هذا الغياب يُسقط واجبات الشفافية والأمانة من دائرة التطبيق الفعلي.</w:t>
      </w:r>
      <w:r>
        <w:rPr>
          <w:rtl/>
        </w:rPr>
        <w:footnoteReference w:id="112"/>
      </w:r>
    </w:p>
    <w:p w14:paraId="058D36C1"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ضوء هذه الفجوات التشريعية والتنظيمية، خلص جانب من الفقه إلى أن الدول الخليجية تواجه جميعها تحدياً مشتركاً يتمثل في الاعتماد على نصوص صِيغت في مرحلة ما قبل الذكاء الاصطناعي لتحكيم نزاعات تنشأ في مرحلة ما بعده، داعياً إلى بناء مرجعية تشريعية جديدة تُفرّق بين الذكاء الاصطناعي بوصفه أداة، وبوصفه طرفاً فاعلاً، وبوصفه منصة تقديم خدمات قانونية.</w:t>
      </w:r>
      <w:r>
        <w:rPr>
          <w:rtl/>
        </w:rPr>
        <w:footnoteReference w:id="113"/>
      </w:r>
    </w:p>
    <w:p w14:paraId="157A3580" w14:textId="77777777" w:rsidR="00DC0BE2" w:rsidRPr="00DC0BE2" w:rsidRDefault="00DC0BE2"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إن تطور أدوات الذكاء الاصطناعي في العمل القانوني لم يقابله إلى الآن تحديث تشريعي موازٍ يُنظّم استخدامها بدقة، مما أدى إلى بقاء بعض الجوانب في منطقة رمادية من حيث المسؤولية القانونية، وضمانات حماية البيانات، وحجية المخرجات التقنية، وحدود الترخيص المهني. هذا القصور لا يعني غياب الإطار النظامي، وإنما محدودية مواكبته للتحول التقني، وهو ما تسعى هذه الرسالة إلى معالجته تنظيميًا</w:t>
      </w:r>
      <w:r>
        <w:rPr>
          <w:rFonts w:asciiTheme="majorBidi" w:hAnsiTheme="majorBidi" w:cstheme="majorBidi"/>
          <w:color w:val="000000" w:themeColor="text1"/>
          <w:sz w:val="24"/>
          <w:szCs w:val="24"/>
        </w:rPr>
        <w:t>.</w:t>
      </w:r>
    </w:p>
    <w:p w14:paraId="0C63297F" w14:textId="77777777" w:rsidR="00DC0BE2" w:rsidRPr="00807AA1" w:rsidRDefault="00DC0BE2" w:rsidP="000D4B35">
      <w:pPr>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ويتكون هذا المبحث من مطلبين رئيسين</w:t>
      </w:r>
      <w:r>
        <w:rPr>
          <w:rFonts w:asciiTheme="majorBidi" w:hAnsiTheme="majorBidi" w:cstheme="majorBidi" w:hint="cs"/>
          <w:b/>
          <w:bCs/>
          <w:color w:val="000000" w:themeColor="text1"/>
          <w:sz w:val="24"/>
          <w:szCs w:val="24"/>
          <w:rtl/>
        </w:rPr>
        <w:t>:</w:t>
      </w:r>
    </w:p>
    <w:p w14:paraId="533BB73D"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ضوء هذه الفجوات المتشعبة، استلزم التحليل تقسيم هذا المبحث إلى مطلبين: يتناول الأول المنظومة التشريعية السعودية الراهنة ومدى استيعابها لمتطلبات الذكاء الاصطناعي المهني، فيما يُعالج الثاني التجارب المقارنة واستخلاص التوصيات. وقد استند الباحث في هذا التقسيم إلى ما أوضحه جانب من الفقه من أن أي قراءة تحليلية في هذا الموضوع ينبغي أن تجمع بين المقاربة الوطنية والأفق المقارن لاستجلاء مكامن القصور واستكشاف سبل المعالجة.</w:t>
      </w:r>
      <w:r>
        <w:rPr>
          <w:rtl/>
        </w:rPr>
        <w:footnoteReference w:id="114"/>
      </w:r>
    </w:p>
    <w:p w14:paraId="34F191A7"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تكملة هذا التحليل، رسم جانب من الفقه جدولاً تقييمياً للتشريعات السعودية ذات الصلة بالذكاء الاصطناعي القانوني، خلص فيه إلى أن نظام المحاماة يحتل ذيل القائمة من حيث جاهزيته للتعامل مع متطلبات التحول الرقمي، في حين تُبدي أنظمة التجارة الإلكترونية والمعاملات المدنية استعداداً نسبياً أعلى لاستيعاب التحولات التقنية المتسارعة.</w:t>
      </w:r>
      <w:r>
        <w:rPr>
          <w:rtl/>
        </w:rPr>
        <w:footnoteReference w:id="115"/>
      </w:r>
    </w:p>
    <w:p w14:paraId="326D7C20"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 xml:space="preserve">وقد حدّد جانب من الفقه ثلاثة مستويات للفجوة التشريعية في هذا الحقل: الفجوة المفاهيمية المتمثلة في غياب تعريف قانوني دقيق لمخرجات الذكاء الاصطناعي، والفجوة الإجرائية المتجلية في عدم وجود قواعد واضحة </w:t>
      </w:r>
      <w:r>
        <w:rPr>
          <w:rFonts w:asciiTheme="majorBidi" w:hAnsiTheme="majorBidi" w:cstheme="majorBidi"/>
          <w:sz w:val="24"/>
          <w:szCs w:val="24"/>
          <w:rtl/>
        </w:rPr>
        <w:lastRenderedPageBreak/>
        <w:t>لقبول هذه المخرجات دليلاً، والفجوة العقابية المتعلقة بخلو النظام من نصوص صريحة تُحدّد الجزاء المترتب على سوء استخدام هذه الأنظمة في السياق القضائي.</w:t>
      </w:r>
      <w:r>
        <w:rPr>
          <w:rtl/>
        </w:rPr>
        <w:footnoteReference w:id="116"/>
      </w:r>
    </w:p>
    <w:p w14:paraId="2D3FA3E7" w14:textId="77777777" w:rsidR="00DC0BE2" w:rsidRPr="00DC0BE2" w:rsidRDefault="00DC0BE2" w:rsidP="000D4B35">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المطلب الأول: قصور النصوص التنظيمية</w:t>
      </w:r>
      <w:r>
        <w:rPr>
          <w:rFonts w:asciiTheme="majorBidi" w:hAnsiTheme="majorBidi" w:cstheme="majorBidi"/>
          <w:color w:val="000000" w:themeColor="text1"/>
          <w:sz w:val="24"/>
          <w:szCs w:val="24"/>
          <w:rtl/>
        </w:rPr>
        <w:t>، ويتناول بالدراسة التحليلية مدى ملاءمة النصوص الحالية في نظام المحاماة والأنظمة المكملة لتغطية واقع الممارسات التقنية الحديثة، مع بيان أوجه الغموض التشريعي، وتضارب المفاهيم النظامية التي تثيرها مخرجات الذكاء الاصطناعي</w:t>
      </w:r>
      <w:r>
        <w:rPr>
          <w:rFonts w:asciiTheme="majorBidi" w:hAnsiTheme="majorBidi" w:cstheme="majorBidi"/>
          <w:color w:val="000000" w:themeColor="text1"/>
          <w:sz w:val="24"/>
          <w:szCs w:val="24"/>
        </w:rPr>
        <w:t>.</w:t>
      </w:r>
    </w:p>
    <w:p w14:paraId="7D7FAB4F" w14:textId="77777777" w:rsidR="00DC0BE2" w:rsidRPr="00DC0BE2" w:rsidRDefault="00DC0BE2" w:rsidP="00DC0BE2">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المطلب الثاني: آثار الغياب التنظيمي للذكاء الاصطناعي على ممارسة مهنة المحاماة</w:t>
      </w:r>
      <w:r>
        <w:rPr>
          <w:rFonts w:asciiTheme="majorBidi" w:hAnsiTheme="majorBidi" w:cstheme="majorBidi"/>
          <w:color w:val="000000" w:themeColor="text1"/>
          <w:sz w:val="24"/>
          <w:szCs w:val="24"/>
          <w:rtl/>
        </w:rPr>
        <w:t>، ويتناول الانعكاسات العملية لهذا القصور على واقع مكاتب المحاماة، من حيث المسؤولية المهنية، والالتزامات النظامية تجاه الموكلين، وجودة الخدمات القانونية المقدّمة باستخدام الأنظمة الذكية</w:t>
      </w:r>
      <w:r>
        <w:rPr>
          <w:rFonts w:asciiTheme="majorBidi" w:hAnsiTheme="majorBidi" w:cstheme="majorBidi"/>
          <w:color w:val="000000" w:themeColor="text1"/>
          <w:sz w:val="24"/>
          <w:szCs w:val="24"/>
        </w:rPr>
        <w:t>.</w:t>
      </w:r>
    </w:p>
    <w:p w14:paraId="25DBE019" w14:textId="77777777" w:rsidR="00DC0BE2" w:rsidRPr="00DC0BE2" w:rsidRDefault="00DC0BE2" w:rsidP="00DC0BE2">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ويهدف هذا المبحث إلى بيان أن التطور التقني تجاوز الإطار القانوني التقليدي، وأن المشرّع السعودي – رغم تقدمه في تبني أنظمة مساندة للتحول الرقمي – لا يزال بحاجة إلى إصدار تنظيمات خاصة تُعنى بتوظيف الذكاء الاصطناعي في المهن العدلية، سواء من حيث الترخيص، أو الرقابة، أو حماية الحقوق. ويمهّد هذا المبحث للفصل التالي الذي يناقش المسؤولية القانونية والفقهية للمخرجات الذكية، وصولًا إلى وضع تصور نظامي شامل ينظّم الممارسة القانونية في بيئة الذكاء الاصطناعي بما يتسق مع رؤية المملكة 2030 ومبادئ العدالة الرقمية</w:t>
      </w:r>
      <w:r>
        <w:rPr>
          <w:rFonts w:asciiTheme="majorBidi" w:hAnsiTheme="majorBidi" w:cstheme="majorBidi"/>
          <w:color w:val="000000" w:themeColor="text1"/>
          <w:sz w:val="24"/>
          <w:szCs w:val="24"/>
        </w:rPr>
        <w:t>.</w:t>
      </w:r>
    </w:p>
    <w:p w14:paraId="7F30F638" w14:textId="77777777" w:rsidR="00DC0BE2" w:rsidRDefault="00DC0BE2" w:rsidP="00DC0BE2">
      <w:pPr>
        <w:jc w:val="right"/>
        <w:rPr>
          <w:rFonts w:asciiTheme="majorBidi" w:hAnsiTheme="majorBidi" w:cstheme="majorBidi"/>
          <w:color w:val="000000" w:themeColor="text1"/>
          <w:sz w:val="24"/>
          <w:szCs w:val="24"/>
        </w:rPr>
      </w:pPr>
    </w:p>
    <w:p w14:paraId="1462CC11" w14:textId="77777777" w:rsidR="00807AA1" w:rsidRPr="00BC5F38" w:rsidRDefault="00807AA1" w:rsidP="00807AA1">
      <w:pPr>
        <w:jc w:val="right"/>
        <w:rPr>
          <w:rFonts w:asciiTheme="majorBidi" w:hAnsiTheme="majorBidi" w:cstheme="majorBidi"/>
          <w:color w:val="000000" w:themeColor="text1"/>
          <w:sz w:val="24"/>
          <w:szCs w:val="24"/>
          <w:rtl/>
        </w:rPr>
      </w:pPr>
    </w:p>
    <w:p w14:paraId="2D3B5642" w14:textId="77777777" w:rsidR="00807AA1" w:rsidRPr="00D41CB7" w:rsidRDefault="00807AA1" w:rsidP="00807AA1">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الأول</w:t>
      </w:r>
    </w:p>
    <w:p w14:paraId="5868F0A6" w14:textId="77777777" w:rsidR="00807AA1" w:rsidRDefault="00807AA1" w:rsidP="00807AA1">
      <w:pPr>
        <w:jc w:val="center"/>
        <w:rPr>
          <w:rFonts w:asciiTheme="majorBidi" w:hAnsiTheme="majorBidi" w:cstheme="majorBidi"/>
          <w:b/>
          <w:bCs/>
          <w:color w:val="000000" w:themeColor="text1"/>
          <w:sz w:val="28"/>
          <w:szCs w:val="28"/>
          <w:rtl/>
        </w:rPr>
      </w:pPr>
      <w:r>
        <w:rPr>
          <w:rFonts w:asciiTheme="majorBidi" w:hAnsiTheme="majorBidi" w:cstheme="majorBidi"/>
          <w:b/>
          <w:bCs/>
          <w:color w:val="000000" w:themeColor="text1"/>
          <w:sz w:val="28"/>
          <w:szCs w:val="28"/>
          <w:rtl/>
        </w:rPr>
        <w:t>قصور النصوص التنظيمية</w:t>
      </w:r>
    </w:p>
    <w:p w14:paraId="4CE505DE" w14:textId="77777777" w:rsidR="00047425" w:rsidRDefault="00047425" w:rsidP="00807AA1">
      <w:pPr>
        <w:jc w:val="center"/>
        <w:rPr>
          <w:rFonts w:asciiTheme="majorBidi" w:hAnsiTheme="majorBidi" w:cstheme="majorBidi"/>
          <w:b/>
          <w:bCs/>
          <w:color w:val="000000" w:themeColor="text1"/>
          <w:sz w:val="28"/>
          <w:szCs w:val="28"/>
          <w:rtl/>
        </w:rPr>
      </w:pPr>
    </w:p>
    <w:p w14:paraId="091EEF44" w14:textId="77777777" w:rsidR="00047425" w:rsidRDefault="00047425" w:rsidP="00047425">
      <w:pPr>
        <w:jc w:val="right"/>
        <w:rPr>
          <w:rFonts w:asciiTheme="majorBidi" w:hAnsiTheme="majorBidi" w:cstheme="majorBidi"/>
          <w:color w:val="000000" w:themeColor="text1"/>
          <w:sz w:val="24"/>
          <w:szCs w:val="24"/>
          <w:rtl/>
        </w:rPr>
      </w:pPr>
      <w:r>
        <w:rPr>
          <w:rFonts w:asciiTheme="majorBidi" w:hAnsiTheme="majorBidi" w:cstheme="majorBidi"/>
          <w:color w:val="000000" w:themeColor="text1"/>
          <w:sz w:val="24"/>
          <w:szCs w:val="24"/>
          <w:rtl/>
        </w:rPr>
        <w:t>تكشف القراءة التحليلية لنظام المحاماة والأنظمة المكملة له عن فجوة واضحة بين التطور التقني في الممارسة القانونية وبين الإطار التشريعي المنظّم لها، إذ لا تزال النصوص النظامية السعودية – رغم حداثة بعضها – تتعامل مع مهنة المحاماة بمنطق الممارسة التقليدية التي يُمارس فيها العمل القانوني بصورة يدوية وشخصية. وفي المقابل، أصبحت مكاتب المحاماة الحديثة تعتمد بصورة متزايدة على أنظمة الذكاء الاصطناعي في تحليل القضايا، وإدارة البيانات، وصياغة العقود، دون أن يكون لذلك أي تنظيم صريح في البنية القانونية القائمة</w:t>
      </w:r>
      <w:r>
        <w:rPr>
          <w:rFonts w:asciiTheme="majorBidi" w:hAnsiTheme="majorBidi" w:cstheme="majorBidi" w:hint="cs"/>
          <w:color w:val="000000" w:themeColor="text1"/>
          <w:sz w:val="24"/>
          <w:szCs w:val="24"/>
          <w:rtl/>
        </w:rPr>
        <w:t>.</w:t>
      </w:r>
    </w:p>
    <w:p w14:paraId="02CDC079" w14:textId="77777777" w:rsidR="00047425" w:rsidRDefault="00047425" w:rsidP="00047425">
      <w:pPr>
        <w:jc w:val="right"/>
        <w:rPr>
          <w:rFonts w:asciiTheme="majorBidi" w:hAnsiTheme="majorBidi" w:cstheme="majorBidi"/>
          <w:color w:val="000000" w:themeColor="text1"/>
          <w:sz w:val="24"/>
          <w:szCs w:val="24"/>
          <w:rtl/>
        </w:rPr>
      </w:pPr>
    </w:p>
    <w:p w14:paraId="2A5DA159" w14:textId="77777777" w:rsidR="00D843CF" w:rsidRPr="00D843CF" w:rsidRDefault="00D843CF" w:rsidP="00D843CF">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الصمت التشريعي تجاه التقنيات القانونية</w:t>
      </w:r>
    </w:p>
    <w:p w14:paraId="6503A06F"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يثير التأمل في البنية الحالية لنظام المحاماة والأنظمة العدلية المرتبطة به مسألة جوهرية تتصل بموضوع هذه الرسالة، وهي أن المشرّع السعودي نظم مهنة المحاماة على افتراض أدوات تقليدية للعمل، من غير أي تصور لاستخدام أنظمة الذكاء الاصطناعي أو الأدوات الرقمية في الأداء المهني. ولا يتجلى الصمت التشريعي فقط في غياب النصوص المتعلقة بالذكاء الاصطناعي، بل أيضًا في غياب الاعتراف بالتقنيات القانونية كجزء من بنية العمل القانوني ذاته، في وقت تجاوزت فيه مكاتب المحاماة هذا الافتراض منذ سنوات</w:t>
      </w:r>
      <w:r>
        <w:rPr>
          <w:rFonts w:asciiTheme="majorBidi" w:hAnsiTheme="majorBidi" w:cstheme="majorBidi"/>
          <w:color w:val="000000" w:themeColor="text1"/>
          <w:sz w:val="24"/>
          <w:szCs w:val="24"/>
        </w:rPr>
        <w:t>.</w:t>
      </w:r>
    </w:p>
    <w:p w14:paraId="572EAFA5"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وقد أشار جانب من الفقه في دراساتهم حول القواعد المنظمة لاستخدامات الذكاء الاصطناعي إلى أن هذا الفراغ التشريعي يجعل تحديد المشروعية التقنية معلقًا على التفسير والاجتهاد، لا على نص نظامي صريح. ويؤكد جانب </w:t>
      </w:r>
      <w:r>
        <w:rPr>
          <w:rFonts w:asciiTheme="majorBidi" w:hAnsiTheme="majorBidi" w:cstheme="majorBidi"/>
          <w:color w:val="000000" w:themeColor="text1"/>
          <w:sz w:val="24"/>
          <w:szCs w:val="24"/>
          <w:rtl/>
        </w:rPr>
        <w:lastRenderedPageBreak/>
        <w:t>من الفقه في دراساتهم للدكتوراه حول الضوابط القانونية للذكاء الاصطناعي أن عدم إدراج تعريف نظامي للتقنيات الذكية يجعل من الصعب تحديد مركزها القانوني، ولا سيما عند وقوع الضرر أو الإخلال المهني</w:t>
      </w:r>
      <w:r>
        <w:rPr>
          <w:rFonts w:asciiTheme="majorBidi" w:hAnsiTheme="majorBidi" w:cstheme="majorBidi"/>
          <w:color w:val="000000" w:themeColor="text1"/>
          <w:sz w:val="24"/>
          <w:szCs w:val="24"/>
        </w:rPr>
        <w:t>.</w:t>
      </w:r>
    </w:p>
    <w:p w14:paraId="3515274E"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ومن منظور المقارنة التشريعية، فقد اتجهت عدة دول إلى إدراج نصوص صريحة تنظّم استخدام الذكاء الاصطناعي في المهن القانونية. ففي </w:t>
      </w:r>
      <w:r>
        <w:rPr>
          <w:rFonts w:asciiTheme="majorBidi" w:hAnsiTheme="majorBidi" w:cstheme="majorBidi"/>
          <w:b/>
          <w:bCs/>
          <w:color w:val="000000" w:themeColor="text1"/>
          <w:sz w:val="24"/>
          <w:szCs w:val="24"/>
          <w:rtl/>
        </w:rPr>
        <w:t>الاتحاد الأوروبي</w:t>
      </w:r>
      <w:r>
        <w:rPr>
          <w:rFonts w:asciiTheme="majorBidi" w:hAnsiTheme="majorBidi" w:cstheme="majorBidi"/>
          <w:color w:val="000000" w:themeColor="text1"/>
          <w:sz w:val="24"/>
          <w:szCs w:val="24"/>
          <w:rtl/>
        </w:rPr>
        <w:t>، صدر قانون الذكاء الاصطناعي الأوروبي</w:t>
      </w:r>
      <w:r>
        <w:rPr>
          <w:rFonts w:asciiTheme="majorBidi" w:hAnsiTheme="majorBidi" w:cstheme="majorBidi"/>
          <w:color w:val="000000" w:themeColor="text1"/>
          <w:sz w:val="24"/>
          <w:szCs w:val="24"/>
        </w:rPr>
        <w:t xml:space="preserve"> (EU AI Act 2024 – </w:t>
      </w:r>
      <w:r>
        <w:rPr>
          <w:rFonts w:asciiTheme="majorBidi" w:hAnsiTheme="majorBidi" w:cs="Times New Roman"/>
          <w:color w:val="000000" w:themeColor="text1"/>
          <w:sz w:val="24"/>
          <w:szCs w:val="24"/>
          <w:rtl/>
        </w:rPr>
        <w:t>الذي</w:t>
      </w:r>
      <w:r>
        <w:rPr>
          <w:rFonts w:asciiTheme="majorBidi" w:hAnsiTheme="majorBidi" w:cstheme="majorBidi"/>
          <w:color w:val="000000" w:themeColor="text1"/>
          <w:sz w:val="24"/>
          <w:szCs w:val="24"/>
        </w:rPr>
        <w:t xml:space="preserve"> </w:t>
      </w:r>
      <w:r>
        <w:rPr>
          <w:rFonts w:asciiTheme="majorBidi" w:hAnsiTheme="majorBidi" w:cs="Times New Roman"/>
          <w:color w:val="000000" w:themeColor="text1"/>
          <w:sz w:val="24"/>
          <w:szCs w:val="24"/>
          <w:rtl/>
        </w:rPr>
        <w:t>أُقرّ</w:t>
      </w:r>
      <w:r>
        <w:rPr>
          <w:rFonts w:asciiTheme="majorBidi" w:hAnsiTheme="majorBidi" w:cstheme="majorBidi"/>
          <w:color w:val="000000" w:themeColor="text1"/>
          <w:sz w:val="24"/>
          <w:szCs w:val="24"/>
        </w:rPr>
        <w:t xml:space="preserve"> </w:t>
      </w:r>
      <w:r>
        <w:rPr>
          <w:rFonts w:asciiTheme="majorBidi" w:hAnsiTheme="majorBidi" w:cs="Times New Roman"/>
          <w:color w:val="000000" w:themeColor="text1"/>
          <w:sz w:val="24"/>
          <w:szCs w:val="24"/>
          <w:rtl/>
        </w:rPr>
        <w:t>رسميًا</w:t>
      </w:r>
      <w:r>
        <w:rPr>
          <w:rFonts w:asciiTheme="majorBidi" w:hAnsiTheme="majorBidi" w:cstheme="majorBidi"/>
          <w:color w:val="000000" w:themeColor="text1"/>
          <w:sz w:val="24"/>
          <w:szCs w:val="24"/>
        </w:rPr>
        <w:t xml:space="preserve"> </w:t>
      </w:r>
      <w:r>
        <w:rPr>
          <w:rFonts w:asciiTheme="majorBidi" w:hAnsiTheme="majorBidi" w:cs="Times New Roman"/>
          <w:color w:val="000000" w:themeColor="text1"/>
          <w:sz w:val="24"/>
          <w:szCs w:val="24"/>
          <w:rtl/>
        </w:rPr>
        <w:t>في</w:t>
      </w:r>
      <w:r>
        <w:rPr>
          <w:rFonts w:asciiTheme="majorBidi" w:hAnsiTheme="majorBidi" w:cstheme="majorBidi"/>
          <w:color w:val="000000" w:themeColor="text1"/>
          <w:sz w:val="24"/>
          <w:szCs w:val="24"/>
        </w:rPr>
        <w:t xml:space="preserve"> </w:t>
      </w:r>
      <w:r>
        <w:rPr>
          <w:rFonts w:asciiTheme="majorBidi" w:hAnsiTheme="majorBidi" w:cs="Times New Roman"/>
          <w:color w:val="000000" w:themeColor="text1"/>
          <w:sz w:val="24"/>
          <w:szCs w:val="24"/>
          <w:rtl/>
        </w:rPr>
        <w:t>مايو</w:t>
      </w:r>
      <w:r>
        <w:rPr>
          <w:rFonts w:asciiTheme="majorBidi" w:hAnsiTheme="majorBidi" w:cstheme="majorBidi"/>
          <w:color w:val="000000" w:themeColor="text1"/>
          <w:sz w:val="24"/>
          <w:szCs w:val="24"/>
        </w:rPr>
        <w:t xml:space="preserve"> 2024</w:t>
      </w:r>
      <w:r>
        <w:rPr>
          <w:rFonts w:asciiTheme="majorBidi" w:hAnsiTheme="majorBidi" w:cs="Times New Roman"/>
          <w:color w:val="000000" w:themeColor="text1"/>
          <w:sz w:val="24"/>
          <w:szCs w:val="24"/>
          <w:rtl/>
        </w:rPr>
        <w:t>م</w:t>
      </w: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 xml:space="preserve">ليضع إطارًا ملزمًا للمهن عالية المخاطر، ومنها الخدمات القانونية، واشترط أن تكون أنظمة الذكاء الاصطناعي المستخدمة في العمل القانوني قابلة للتفسير وخاضعة لتقييم مخاطر دوري. وفي </w:t>
      </w:r>
      <w:r>
        <w:rPr>
          <w:rFonts w:asciiTheme="majorBidi" w:hAnsiTheme="majorBidi" w:cstheme="majorBidi"/>
          <w:b/>
          <w:bCs/>
          <w:color w:val="000000" w:themeColor="text1"/>
          <w:sz w:val="24"/>
          <w:szCs w:val="24"/>
          <w:rtl/>
        </w:rPr>
        <w:t>سنغافورة</w:t>
      </w:r>
      <w:r>
        <w:rPr>
          <w:rFonts w:asciiTheme="majorBidi" w:hAnsiTheme="majorBidi" w:cstheme="majorBidi"/>
          <w:color w:val="000000" w:themeColor="text1"/>
          <w:sz w:val="24"/>
          <w:szCs w:val="24"/>
          <w:rtl/>
        </w:rPr>
        <w:t xml:space="preserve">، أصدرت هيئة تطوير الإعلام والاتصالات إرشادات ملزمة لمكاتب المحاماة بشأن استخدام الأنظمة الذكية في صياغة المستندات، وحددت مسؤوليات المحامي عند اعتماد مخرجات تقنية. أما </w:t>
      </w:r>
      <w:r>
        <w:rPr>
          <w:rFonts w:asciiTheme="majorBidi" w:hAnsiTheme="majorBidi" w:cstheme="majorBidi"/>
          <w:b/>
          <w:bCs/>
          <w:color w:val="000000" w:themeColor="text1"/>
          <w:sz w:val="24"/>
          <w:szCs w:val="24"/>
          <w:rtl/>
        </w:rPr>
        <w:t>المملكة المتحدة</w:t>
      </w:r>
      <w:r>
        <w:rPr>
          <w:rFonts w:asciiTheme="majorBidi" w:hAnsiTheme="majorBidi" w:cstheme="majorBidi"/>
          <w:color w:val="000000" w:themeColor="text1"/>
          <w:sz w:val="24"/>
          <w:szCs w:val="24"/>
          <w:rtl/>
        </w:rPr>
        <w:t xml:space="preserve"> فقد نصت في "مدونة السلوك المهني للمحامين لعام 2023" على حظر الاعتماد على أنظمة الذكاء الاصطناعي دون مراجعة بشرية كاملة، وفرضت التزامًا بالإفصاح عند استخدام الأدوات الذكية في تجهيز المستندات</w:t>
      </w:r>
      <w:r>
        <w:rPr>
          <w:rFonts w:asciiTheme="majorBidi" w:hAnsiTheme="majorBidi" w:cstheme="majorBidi"/>
          <w:color w:val="000000" w:themeColor="text1"/>
          <w:sz w:val="24"/>
          <w:szCs w:val="24"/>
        </w:rPr>
        <w:t>.</w:t>
      </w:r>
    </w:p>
    <w:p w14:paraId="0791B76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وتعزز هذه التجارب الدولية الحجة النظامية لضرورة تحديث التشريعات السعودية، لأن إدراج النصوص التقنية في التشريعات المقارنة لم يكن رفاهية تنظيمية، بل استجابة مباشرة لظهور مخاطر مهنية وقانونية حقيقية</w:t>
      </w:r>
      <w:r>
        <w:rPr>
          <w:rFonts w:asciiTheme="majorBidi" w:hAnsiTheme="majorBidi" w:cstheme="majorBidi"/>
          <w:color w:val="000000" w:themeColor="text1"/>
          <w:sz w:val="24"/>
          <w:szCs w:val="24"/>
        </w:rPr>
        <w:t>.</w:t>
      </w:r>
    </w:p>
    <w:p w14:paraId="7C368D23"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الناحية القانونية، فإن غياب تعريف نظامي للذكاء الاصطناعي في البيئة السعودية يؤدي إلى نتائج عملية مهمة. فمن جهة المسؤولية الجزائية، يصبح من الصعب تحديد ما إذا كان الضرر الناتج عن استخدام نظام ذكاء اصطناعي يدخل في نطاق الخطأ المهني، أو الإهمال الجسيم، أو الفعل الجزائي المتعلق بالبيانات. وفي غياب تعريف واضح للأداة التقنية، قد يختلف التكييف القضائي بين المحاكم. ومن جهة أخرى، فإن المسؤولية التأديبية للمحامي قد تصبح محل اجتهاد، لأن النظام لا ينص على معايير السلوك التقني المهني، ولا على نطاق الاستخدام المشروع لأدوات الذكاء الاصطناعي</w:t>
      </w:r>
      <w:r>
        <w:rPr>
          <w:rFonts w:asciiTheme="majorBidi" w:hAnsiTheme="majorBidi" w:cstheme="majorBidi"/>
          <w:color w:val="000000" w:themeColor="text1"/>
          <w:sz w:val="24"/>
          <w:szCs w:val="24"/>
        </w:rPr>
        <w:t>.</w:t>
      </w:r>
    </w:p>
    <w:p w14:paraId="53D16EED"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وقد أشار جانب من الفقه في دراساتهما المنشورة إلى أن الفراغ التشريعي في هذا الجانب يفتح الباب أمام تضارب في التفسير بين جهات التحقيق والجهات القضائية، وقد يؤدي إلى تحميل المحامي مسؤولية أفعال تقنية لم تُدرس نظاميًا بعد</w:t>
      </w:r>
      <w:r>
        <w:rPr>
          <w:rFonts w:asciiTheme="majorBidi" w:hAnsiTheme="majorBidi" w:cstheme="majorBidi"/>
          <w:color w:val="000000" w:themeColor="text1"/>
          <w:sz w:val="24"/>
          <w:szCs w:val="24"/>
        </w:rPr>
        <w:t>.</w:t>
      </w:r>
    </w:p>
    <w:p w14:paraId="249953A4"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ذلك، فإن معالجة هذا الصمت لا تتطلب بالضرورة إعادة صياغة النظام بالكامل، بل يمكن سدّ الفجوة من خلال تعديلات محددة تتناسب مع البيئة النظامية السعودية. ومن أبرز المقترحات التشريعية المناسبة</w:t>
      </w:r>
      <w:r>
        <w:rPr>
          <w:rFonts w:asciiTheme="majorBidi" w:hAnsiTheme="majorBidi" w:cstheme="majorBidi"/>
          <w:color w:val="000000" w:themeColor="text1"/>
          <w:sz w:val="24"/>
          <w:szCs w:val="24"/>
        </w:rPr>
        <w:t>:</w:t>
      </w:r>
    </w:p>
    <w:p w14:paraId="292A706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إضافة تعريفات نظامية جديدة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مثل تعريف “التقنية القانونية”، و“النظام الذكي القانوني”، و“المخرجات القانونية الرقمية”، بحيث يصبح لهذه المفاهيم مركز نظامي واضح داخل النظام</w:t>
      </w:r>
      <w:r>
        <w:rPr>
          <w:rFonts w:asciiTheme="majorBidi" w:hAnsiTheme="majorBidi" w:cstheme="majorBidi"/>
          <w:color w:val="000000" w:themeColor="text1"/>
          <w:sz w:val="24"/>
          <w:szCs w:val="24"/>
        </w:rPr>
        <w:t>.</w:t>
      </w:r>
    </w:p>
    <w:p w14:paraId="5C25FCBF"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تعديل مادة نطاق عمل المحامي</w:t>
      </w:r>
      <w:r>
        <w:rPr>
          <w:rFonts w:asciiTheme="majorBidi" w:hAnsiTheme="majorBidi" w:cstheme="majorBidi"/>
          <w:color w:val="000000" w:themeColor="text1"/>
          <w:sz w:val="24"/>
          <w:szCs w:val="24"/>
          <w:rtl/>
        </w:rPr>
        <w:t xml:space="preserve"> في نظام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ليتم النص صراحة على أن من أعمال المحامي “استخدام الأنظمة التقنية والذكاء الاصطناعي في حدود الضوابط النظامية واللائحة التنفيذية</w:t>
      </w:r>
      <w:r>
        <w:rPr>
          <w:rFonts w:asciiTheme="majorBidi" w:hAnsiTheme="majorBidi" w:cstheme="majorBidi"/>
          <w:color w:val="000000" w:themeColor="text1"/>
          <w:sz w:val="24"/>
          <w:szCs w:val="24"/>
        </w:rPr>
        <w:t>”.</w:t>
      </w:r>
    </w:p>
    <w:p w14:paraId="385E1E7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مادة خاصة بالمسؤولية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تحدد مسؤولية المحامي عند استخدام الأدوات الذكية، وتفرض عليه واجب التدقيق والفحص المهني للمخرجات التقنية، مع بيان المسؤولية التأديبية عند الإخلال</w:t>
      </w:r>
      <w:r>
        <w:rPr>
          <w:rFonts w:asciiTheme="majorBidi" w:hAnsiTheme="majorBidi" w:cstheme="majorBidi"/>
          <w:color w:val="000000" w:themeColor="text1"/>
          <w:sz w:val="24"/>
          <w:szCs w:val="24"/>
        </w:rPr>
        <w:t>.</w:t>
      </w:r>
    </w:p>
    <w:p w14:paraId="0DC4082A"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إدراج مادة تنظم أدوات الذكاء الاصطناعي</w:t>
      </w:r>
      <w:r>
        <w:rPr>
          <w:rFonts w:asciiTheme="majorBidi" w:hAnsiTheme="majorBidi" w:cstheme="majorBidi"/>
          <w:color w:val="000000" w:themeColor="text1"/>
          <w:sz w:val="24"/>
          <w:szCs w:val="24"/>
          <w:rtl/>
        </w:rPr>
        <w:t xml:space="preserve"> داخل اللائحة التنفيذية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تشمل معايير الأمن السيبراني، واشتراطات الاعتماد، وآليات التحقق من سلامة أنظمة الذكاء الاصطناعي المستخدمة في الممارسات القانونية</w:t>
      </w:r>
      <w:r>
        <w:rPr>
          <w:rFonts w:asciiTheme="majorBidi" w:hAnsiTheme="majorBidi" w:cstheme="majorBidi"/>
          <w:color w:val="000000" w:themeColor="text1"/>
          <w:sz w:val="24"/>
          <w:szCs w:val="24"/>
        </w:rPr>
        <w:t>.</w:t>
      </w:r>
    </w:p>
    <w:p w14:paraId="3479DE9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إنشاء لجنة مهنية للرقابة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بإشراف وزارة العدل والهيئة السعودية للمحامين، تتولى اعتماد الأنظمة الذكية المستخدمة في المهنة وتقييم مخاطرها</w:t>
      </w:r>
      <w:r>
        <w:rPr>
          <w:rFonts w:asciiTheme="majorBidi" w:hAnsiTheme="majorBidi" w:cstheme="majorBidi"/>
          <w:color w:val="000000" w:themeColor="text1"/>
          <w:sz w:val="24"/>
          <w:szCs w:val="24"/>
        </w:rPr>
        <w:t>.</w:t>
      </w:r>
    </w:p>
    <w:p w14:paraId="425C3A11" w14:textId="77777777" w:rsidR="00025234" w:rsidRPr="00025234" w:rsidRDefault="00025234" w:rsidP="0002523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ويتضح مما سبق أن الصمت التشريعي لا يمثل غيابًا في النصوص فحسب، بل يعكس غياب رؤية تنظيمية للتقنيات القانونية. وتؤكد التجارب الدولية أن إدخال تقنيات الذكاء الاصطناعي في المهنة دون تشريع واضح قد يؤدي إلى اختلاف في التكييف القانوني وتضارب في المسؤولية. ومن ثمّ، فإن تحديث النظام السعودي ليشمل هذه التقنيات أصبح ضرورة تنظيمية لضمان توازن الممارسة القانونية بين الابتكار وحماية الحقوق</w:t>
      </w:r>
      <w:r>
        <w:rPr>
          <w:rFonts w:asciiTheme="majorBidi" w:hAnsiTheme="majorBidi" w:cstheme="majorBidi"/>
          <w:color w:val="000000" w:themeColor="text1"/>
          <w:sz w:val="24"/>
          <w:szCs w:val="24"/>
        </w:rPr>
        <w:t>.</w:t>
      </w:r>
    </w:p>
    <w:p w14:paraId="672C6C66" w14:textId="77777777" w:rsidR="00D843CF" w:rsidRPr="00D843CF" w:rsidRDefault="00D843CF" w:rsidP="00D843CF">
      <w:pPr>
        <w:jc w:val="right"/>
        <w:rPr>
          <w:rFonts w:asciiTheme="majorBidi" w:hAnsiTheme="majorBidi" w:cstheme="majorBidi"/>
          <w:color w:val="000000" w:themeColor="text1"/>
          <w:sz w:val="24"/>
          <w:szCs w:val="24"/>
        </w:rPr>
      </w:pPr>
    </w:p>
    <w:p w14:paraId="2E47772C" w14:textId="77777777" w:rsidR="00047425" w:rsidRPr="00047425" w:rsidRDefault="00047425" w:rsidP="00047425">
      <w:pPr>
        <w:jc w:val="right"/>
        <w:rPr>
          <w:rFonts w:asciiTheme="majorBidi" w:hAnsiTheme="majorBidi" w:cstheme="majorBidi"/>
          <w:color w:val="000000" w:themeColor="text1"/>
          <w:sz w:val="24"/>
          <w:szCs w:val="24"/>
        </w:rPr>
      </w:pPr>
    </w:p>
    <w:p w14:paraId="06B39EF7" w14:textId="77777777" w:rsidR="00D150CD" w:rsidRPr="00D150CD" w:rsidRDefault="00D150CD" w:rsidP="00D150CD">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غياب التعريف النظامي للذكاء الاصطناعي والأدوات القانونية الذكية</w:t>
      </w:r>
    </w:p>
    <w:p w14:paraId="33E62440"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وقد أشارت الدراسات القانونية المقارنة إلى أن غياب التعريفات النظامية الدقيقة يُفضي إلى تفاوت في تطبيق القواعد القانونية، وخاصة في مجال المسؤولية؛ ففي سياق دراستها للآثار القانونية المترتبة على استخدام الذكاء الاصطناعي، لاحظت لقرب أن أكثر ما يُعيق ترسيخ حوكمة الذكاء الاصطناعي هو افتقار كثير من المنظومات التشريعية إلى تعريف قانوني مُقنَّن يُحدد ماهية هذه التقنيات ويرسم حدود تطبيق القواعد القانونية عليها، مما يفتح الباب أمام الاجتهادات القضائية المتباينة.</w:t>
      </w:r>
      <w:r>
        <w:rPr>
          <w:rStyle w:val="af"/>
          <w:rFonts w:asciiTheme="majorBidi" w:hAnsiTheme="majorBidi" w:cstheme="majorBidi"/>
          <w:sz w:val="24"/>
          <w:szCs w:val="24"/>
          <w:rtl/>
        </w:rPr>
        <w:footnoteReference w:id="117"/>
      </w:r>
    </w:p>
    <w:p w14:paraId="1F097FC5"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المفهوم النظامي للذكاء الاصطناعي في التشريعات العدلية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حتى الآن لا يوجد في الأنظمة السعودية – بما في ذلك نظام المحاماة، ونظام حماية البيانات الشخصية، ونظام المعاملات المدنية – أي تعريف صريح للذكاء الاصطناعي أو للأدوات القانونية الذكية، رغم أن هذه الأدوات أصبحت جزءًا من بيئة العمل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يرى بعض الفقه بن ناشي جانب من الفقه</w:t>
      </w:r>
      <w:r>
        <w:rPr>
          <w:rStyle w:val="af"/>
          <w:rFonts w:asciiTheme="majorBidi" w:hAnsiTheme="majorBidi" w:cstheme="majorBidi"/>
          <w:color w:val="000000" w:themeColor="text1"/>
          <w:sz w:val="24"/>
          <w:szCs w:val="24"/>
          <w:rtl/>
        </w:rPr>
        <w:footnoteReference w:id="118"/>
      </w:r>
      <w:r>
        <w:rPr>
          <w:rFonts w:asciiTheme="majorBidi" w:hAnsiTheme="majorBidi" w:cstheme="majorBidi"/>
          <w:color w:val="000000" w:themeColor="text1"/>
          <w:sz w:val="24"/>
          <w:szCs w:val="24"/>
          <w:rtl/>
        </w:rPr>
        <w:t xml:space="preserve"> أن هذا الغياب المفاهيمي يُحدث خللاً في بناء الأحكام النظامية، لأن التشريع حين لا يُعرّف المفهوم لا يستطيع ضبط تطبيقاته، ولا تمييز استخداماته المشروعة عن غير المشروعة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أن جانب من الفقه يؤكد أن المسؤولية القانونية لا يمكن أن تُبنى على أداة غير معرّفة تشريعيًا، لأن تحديد نطاق الذمة القانونية أو المهنية يستند أولًا إلى تحديد طبيعة الفاعل، سواء كان شخصًا طبيعيًا أو نظامًا ذكيًا تابعًا له</w:t>
      </w:r>
      <w:r>
        <w:rPr>
          <w:rFonts w:asciiTheme="majorBidi" w:hAnsiTheme="majorBidi" w:cstheme="majorBidi"/>
          <w:color w:val="000000" w:themeColor="text1"/>
          <w:sz w:val="24"/>
          <w:szCs w:val="24"/>
        </w:rPr>
        <w:t>.</w:t>
      </w:r>
    </w:p>
    <w:p w14:paraId="4A777E36"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غموض التوصيف النظامي للأداة التقنية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الأنظمة العدلية السعودية تتعامل مع “المستند” و”المحرر” و”الأداة” بمفهوم مادي تقليدي، ولم تُدخل في بنيتها مفاهيم مثل النظام الذكي أو البرنامج القانوني التفاعلي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جانب من الفقه</w:t>
      </w:r>
      <w:r>
        <w:rPr>
          <w:rStyle w:val="af"/>
          <w:rFonts w:asciiTheme="majorBidi" w:hAnsiTheme="majorBidi" w:cstheme="majorBidi"/>
          <w:color w:val="000000" w:themeColor="text1"/>
          <w:sz w:val="24"/>
          <w:szCs w:val="24"/>
          <w:rtl/>
        </w:rPr>
        <w:footnoteReference w:id="119"/>
      </w:r>
      <w:r>
        <w:rPr>
          <w:rFonts w:asciiTheme="majorBidi" w:hAnsiTheme="majorBidi" w:cstheme="majorBidi"/>
          <w:color w:val="000000" w:themeColor="text1"/>
          <w:sz w:val="24"/>
          <w:szCs w:val="24"/>
          <w:rtl/>
        </w:rPr>
        <w:t xml:space="preserve"> أن هذا الغموض يجعل الذكاء الاصطناعي في الممارسة القانونية خارج الإطار التشريعي، فلا هو وسيلة معترف بها رسميًا، ولا هو ممنوع نظامًا، مما يخلق ازدواجية في التفسير بين السماح والسكوت</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وهذا الوضع ينعكس على أعمال المحامين الذين يستخدمون أنظمة تحليل أو كتابة ذكية، إذ يظلون في مواجهة مسؤولية مبهمة عن أفعال نظام لم يحدده التشريع ضمن نطاق المهنة أو خارجها</w:t>
      </w:r>
      <w:r>
        <w:rPr>
          <w:rFonts w:asciiTheme="majorBidi" w:hAnsiTheme="majorBidi" w:cstheme="majorBidi"/>
          <w:color w:val="000000" w:themeColor="text1"/>
          <w:sz w:val="24"/>
          <w:szCs w:val="24"/>
        </w:rPr>
        <w:t>.</w:t>
      </w:r>
    </w:p>
    <w:p w14:paraId="6531A8B2"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التكييف النظامي للمخرجات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ما تنتجه أنظمة الذكاء الاصطناعي من نصوص قانونية، أو مذكرات، أو عقود، لا يُعدّ من الناحية النظامية </w:t>
      </w:r>
      <w:r>
        <w:rPr>
          <w:rFonts w:asciiTheme="majorBidi" w:hAnsiTheme="majorBidi" w:cstheme="majorBidi"/>
          <w:color w:val="000000" w:themeColor="text1"/>
          <w:sz w:val="24"/>
          <w:szCs w:val="24"/>
          <w:rtl/>
        </w:rPr>
        <w:lastRenderedPageBreak/>
        <w:t>“مستندًا” أو “رأيًا قانونيًا” بالمعنى الوارد في الأنظمة العدلية الحالية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جانب من الفقه</w:t>
      </w:r>
      <w:r>
        <w:rPr>
          <w:rStyle w:val="af"/>
          <w:rFonts w:asciiTheme="majorBidi" w:hAnsiTheme="majorBidi" w:cstheme="majorBidi"/>
          <w:color w:val="000000" w:themeColor="text1"/>
          <w:sz w:val="24"/>
          <w:szCs w:val="24"/>
          <w:rtl/>
        </w:rPr>
        <w:footnoteReference w:id="120"/>
      </w:r>
      <w:r>
        <w:rPr>
          <w:rFonts w:asciiTheme="majorBidi" w:hAnsiTheme="majorBidi" w:cstheme="majorBidi"/>
          <w:color w:val="000000" w:themeColor="text1"/>
          <w:sz w:val="24"/>
          <w:szCs w:val="24"/>
          <w:rtl/>
        </w:rPr>
        <w:t xml:space="preserve"> إلى أن هذا الغموض يفرغ المخرجات الذكية من القيمة القانونية ما لم يعتمدها المحامي بنفسه ويقدّمها بصفته الشخصية أمام الجهات القضائية، مما يعيد مركز الثقة إلى الإنسان لا إلى النظام</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ويرى جانب من الفقه</w:t>
      </w:r>
      <w:r>
        <w:rPr>
          <w:rStyle w:val="af"/>
          <w:rFonts w:asciiTheme="majorBidi" w:hAnsiTheme="majorBidi" w:cstheme="majorBidi"/>
          <w:color w:val="000000" w:themeColor="text1"/>
          <w:sz w:val="24"/>
          <w:szCs w:val="24"/>
          <w:rtl/>
        </w:rPr>
        <w:footnoteReference w:id="121"/>
      </w:r>
      <w:r>
        <w:rPr>
          <w:rFonts w:asciiTheme="majorBidi" w:hAnsiTheme="majorBidi" w:cstheme="majorBidi"/>
          <w:color w:val="000000" w:themeColor="text1"/>
          <w:sz w:val="24"/>
          <w:szCs w:val="24"/>
          <w:rtl/>
        </w:rPr>
        <w:t xml:space="preserve"> أن هذا الوضع يخلق تداخلاً بين حجية العمل الذكي وحجية العمل المهني، فالمسؤولية النهائية تظل على المحامي حتى لو كانت المعلومة أو التحليل صادرًا عن النظام الذكي، لأن النظام نفسه بلا أهلية نظامية أو ذمة قانونية</w:t>
      </w:r>
      <w:r>
        <w:rPr>
          <w:rFonts w:asciiTheme="majorBidi" w:hAnsiTheme="majorBidi" w:cstheme="majorBidi"/>
          <w:color w:val="000000" w:themeColor="text1"/>
          <w:sz w:val="24"/>
          <w:szCs w:val="24"/>
        </w:rPr>
        <w:t>.</w:t>
      </w:r>
    </w:p>
    <w:p w14:paraId="3D218EA7"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انعكاس الغياب المفاهيمي على بناء المسؤولية المهنية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نتيجة لعدم وجود تعريف واضح للأدوات الذكية، يصعب تحديد ما إذا كان الخطأ الناتج عن النظام الذكي يعدّ خطأ شخصيًا للمحامي، أم خطأ في الأداة التقنية نفسها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توضح جانب من الفقه</w:t>
      </w:r>
      <w:r>
        <w:rPr>
          <w:rStyle w:val="af"/>
          <w:rFonts w:asciiTheme="majorBidi" w:hAnsiTheme="majorBidi" w:cstheme="majorBidi"/>
          <w:color w:val="000000" w:themeColor="text1"/>
          <w:sz w:val="24"/>
          <w:szCs w:val="24"/>
          <w:rtl/>
        </w:rPr>
        <w:footnoteReference w:id="122"/>
      </w:r>
      <w:r>
        <w:rPr>
          <w:rFonts w:asciiTheme="majorBidi" w:hAnsiTheme="majorBidi" w:cstheme="majorBidi"/>
          <w:color w:val="000000" w:themeColor="text1"/>
          <w:sz w:val="24"/>
          <w:szCs w:val="24"/>
          <w:rtl/>
        </w:rPr>
        <w:t xml:space="preserve"> أن الغموض في المفهوم يؤدي إلى اتساع رقعة المسؤولية على نحو قد يُثني المحامين عن استخدام التقنيات الحديثة خوفًا من الوقوع في مساءلات غير منضبطة، وهو ما يعيق التطور المهني والتحول الرقمي في القطاع القانوني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أن جانب من الفقه</w:t>
      </w:r>
      <w:r>
        <w:rPr>
          <w:rStyle w:val="af"/>
          <w:rFonts w:asciiTheme="majorBidi" w:hAnsiTheme="majorBidi" w:cstheme="majorBidi"/>
          <w:color w:val="000000" w:themeColor="text1"/>
          <w:sz w:val="24"/>
          <w:szCs w:val="24"/>
          <w:rtl/>
        </w:rPr>
        <w:footnoteReference w:id="123"/>
      </w:r>
      <w:r>
        <w:rPr>
          <w:rFonts w:asciiTheme="majorBidi" w:hAnsiTheme="majorBidi" w:cstheme="majorBidi"/>
          <w:color w:val="000000" w:themeColor="text1"/>
          <w:sz w:val="24"/>
          <w:szCs w:val="24"/>
          <w:rtl/>
        </w:rPr>
        <w:t xml:space="preserve"> يشير في دراسته المقارنة إلى أن الدول التي سبقت في تقنين الذكاء الاصطناعي، مثل الاتحاد الأوروبي والإمارات، بدأت بمرحلة المفاهيم قبل التشريع، فعرّفت ماهية النظام الذكي وحدود عمله لتُبنى عليها بقية الأحكام القانونية</w:t>
      </w:r>
      <w:r>
        <w:rPr>
          <w:rFonts w:asciiTheme="majorBidi" w:hAnsiTheme="majorBidi" w:cstheme="majorBidi"/>
          <w:color w:val="000000" w:themeColor="text1"/>
          <w:sz w:val="24"/>
          <w:szCs w:val="24"/>
        </w:rPr>
        <w:t>.</w:t>
      </w:r>
    </w:p>
    <w:p w14:paraId="4B6A7C47"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الحاجة إلى تضمين تعريف نظامي موحد في التشريعات العدلية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يؤكد جانب من الفقه</w:t>
      </w:r>
      <w:r>
        <w:rPr>
          <w:rStyle w:val="af"/>
          <w:rFonts w:asciiTheme="majorBidi" w:hAnsiTheme="majorBidi" w:cstheme="majorBidi"/>
          <w:color w:val="000000" w:themeColor="text1"/>
          <w:sz w:val="24"/>
          <w:szCs w:val="24"/>
          <w:rtl/>
        </w:rPr>
        <w:footnoteReference w:id="124"/>
      </w:r>
      <w:r>
        <w:rPr>
          <w:rFonts w:asciiTheme="majorBidi" w:hAnsiTheme="majorBidi" w:cstheme="majorBidi"/>
          <w:color w:val="000000" w:themeColor="text1"/>
          <w:sz w:val="24"/>
          <w:szCs w:val="24"/>
          <w:rtl/>
        </w:rPr>
        <w:t xml:space="preserve"> أن إدراج تعريف شامل للذكاء الاصطناعي في النظام السعودي لم يعد ترفًا علميًا، بل ضرورة مهنية لحماية العدالة وضبط الممارسة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ويدعو إلى صياغة تعريف يتسق مع البيئة السعودية، يربط بين المفهوم التقني والمفهوم الفقهي للنظام، بحيث لا يتعارض مع مبادئ الشريعة الإسلامية التي تقوم عليها الأنظمة العدلية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تتفق وثيقة مبادئ أخلاقيات الذكاء الاصطناعي الصادرة عن سدايا على أن وضوح المفاهيم هو الخطوة الأولى لحوكمة الاستخدامات التقنية وضمان المسؤولية الأخلاقية للممارسين</w:t>
      </w:r>
      <w:r>
        <w:rPr>
          <w:rFonts w:asciiTheme="majorBidi" w:hAnsiTheme="majorBidi" w:cstheme="majorBidi"/>
          <w:color w:val="000000" w:themeColor="text1"/>
          <w:sz w:val="24"/>
          <w:szCs w:val="24"/>
        </w:rPr>
        <w:t>.</w:t>
      </w:r>
    </w:p>
    <w:p w14:paraId="4F2E80F1" w14:textId="77777777" w:rsidR="00D150CD" w:rsidRPr="00D150CD" w:rsidRDefault="00D150CD" w:rsidP="00D150CD">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أثر غياب التعريف على العدالة الرقمية والتحول المهني</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بيّنت فاطمة بلال</w:t>
      </w:r>
      <w:r>
        <w:rPr>
          <w:rStyle w:val="af"/>
          <w:rFonts w:asciiTheme="majorBidi" w:hAnsiTheme="majorBidi" w:cstheme="majorBidi"/>
          <w:color w:val="000000" w:themeColor="text1"/>
          <w:sz w:val="24"/>
          <w:szCs w:val="24"/>
          <w:rtl/>
        </w:rPr>
        <w:footnoteReference w:id="125"/>
      </w:r>
      <w:r>
        <w:rPr>
          <w:rFonts w:asciiTheme="majorBidi" w:hAnsiTheme="majorBidi" w:cstheme="majorBidi"/>
          <w:color w:val="000000" w:themeColor="text1"/>
          <w:sz w:val="24"/>
          <w:szCs w:val="24"/>
          <w:rtl/>
        </w:rPr>
        <w:t xml:space="preserve"> في دراستها حول العدالة الناجزة أن الأنظمة الرقمية داخل القضاء السعودي تتوسع بوتيرة أسرع من التشريعات التي تنظمها، مما يخلق فجوة بين الواقع القانوني والنص النظامي</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وغياب التعريف النظامي الدقيق للذكاء الاصطناعي يُبقي المحاكم والمحامين في منطقة تقديرية، تعتمد على اجتهادات فردية بدل أن تُبنى على معايير نظامية واضحة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وبالتالي فإن توحيد المفهوم التشريعي للذكاء الاصطناعي والأدوات القانونية الذكية يُعد خطوة أساسية لإرساء العدالة الرقمية وضمان اتساق التنظيم بين القضاء والمهنة القانونية</w:t>
      </w:r>
      <w:r>
        <w:rPr>
          <w:rFonts w:asciiTheme="majorBidi" w:hAnsiTheme="majorBidi" w:cstheme="majorBidi"/>
          <w:color w:val="000000" w:themeColor="text1"/>
          <w:sz w:val="24"/>
          <w:szCs w:val="24"/>
        </w:rPr>
        <w:t>.</w:t>
      </w:r>
    </w:p>
    <w:p w14:paraId="46156C86" w14:textId="77777777" w:rsidR="00807AA1" w:rsidRDefault="00807AA1" w:rsidP="00807AA1">
      <w:pPr>
        <w:jc w:val="right"/>
        <w:rPr>
          <w:rFonts w:asciiTheme="majorBidi" w:hAnsiTheme="majorBidi" w:cstheme="majorBidi"/>
          <w:color w:val="000000" w:themeColor="text1"/>
          <w:sz w:val="24"/>
          <w:szCs w:val="24"/>
        </w:rPr>
      </w:pPr>
    </w:p>
    <w:p w14:paraId="3EF13BC1" w14:textId="77777777" w:rsidR="00F237E4" w:rsidRPr="00F237E4" w:rsidRDefault="00F237E4" w:rsidP="00F237E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ثالثًا: ضعف الترابط بين نظام حماية البيانات والممارسة المهنية</w:t>
      </w:r>
      <w:r>
        <w:rPr>
          <w:rFonts w:asciiTheme="majorBidi" w:hAnsiTheme="majorBidi" w:cstheme="majorBidi" w:hint="cs"/>
          <w:b/>
          <w:bCs/>
          <w:color w:val="000000" w:themeColor="text1"/>
          <w:sz w:val="24"/>
          <w:szCs w:val="24"/>
          <w:rtl/>
        </w:rPr>
        <w:t>:</w:t>
      </w:r>
    </w:p>
    <w:p w14:paraId="478E243E"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وعلى صعيد المرجعية الرسمية، أصدرت الهيئة السعودية للبيانات والذكاء الاصطناعي (سدايا) في سبتمبر 2023م وثيقة "مبادئ أخلاقيات الذكاء الاصطناعي" التي حددت سبعة مبادئ جوهرية لضمان تطوير هذه التقنيات </w:t>
      </w:r>
      <w:r>
        <w:rPr>
          <w:rFonts w:asciiTheme="majorBidi" w:hAnsiTheme="majorBidi" w:cstheme="majorBidi"/>
          <w:sz w:val="24"/>
          <w:szCs w:val="24"/>
          <w:rtl/>
        </w:rPr>
        <w:lastRenderedPageBreak/>
        <w:t>واستخدامها بصورة مسؤولة وأخلاقية، شملت النزاهة والإنصاف، والخصوصية والأمن، والإنسانية، والمنافع الاجتماعية، والموثوقية، والشفافية، والمساءلة. غير أن هذه الوثيقة تظل ذات طبيعة استرشادية لا إلزامية، مما يُضعف من إمكانية الاحتجاج بها في المنازعات القانونية المتعلقة بمكاتب المحاماة.</w:t>
      </w:r>
      <w:r>
        <w:rPr>
          <w:rStyle w:val="af"/>
          <w:rFonts w:asciiTheme="majorBidi" w:hAnsiTheme="majorBidi" w:cstheme="majorBidi"/>
          <w:sz w:val="24"/>
          <w:szCs w:val="24"/>
          <w:rtl/>
        </w:rPr>
        <w:footnoteReference w:id="126"/>
      </w:r>
    </w:p>
    <w:p w14:paraId="33114327"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قصور التنسيق بين النظام العام للمعلومات والممارسة القانونية الخاصة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رغم أن نظام حماية البيانات الشخصية الصادر عام 1443هـ يُعد من أكثر الأنظمة تطورًا في المنطقة من حيث حماية الخصوصية وتنظيم المعالجة الرقمية، إلا أنه لم يُفرد أحكامًا خاصة بالمهن العدلية أو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جانب من الفقه</w:t>
      </w:r>
      <w:r>
        <w:rPr>
          <w:rStyle w:val="af"/>
          <w:rFonts w:asciiTheme="majorBidi" w:hAnsiTheme="majorBidi" w:cstheme="majorBidi"/>
          <w:color w:val="000000" w:themeColor="text1"/>
          <w:sz w:val="24"/>
          <w:szCs w:val="24"/>
          <w:rtl/>
        </w:rPr>
        <w:footnoteReference w:id="127"/>
      </w:r>
      <w:r>
        <w:rPr>
          <w:rFonts w:asciiTheme="majorBidi" w:hAnsiTheme="majorBidi" w:cstheme="majorBidi"/>
          <w:color w:val="000000" w:themeColor="text1"/>
          <w:sz w:val="24"/>
          <w:szCs w:val="24"/>
          <w:rtl/>
        </w:rPr>
        <w:t xml:space="preserve"> أن مكاتب المحاماة تتعامل مع بيانات حساسة تشمل العقود، والاعترافات، والمراسلات السرية، ومع ذلك لا يميز النظام بين البيانات التجارية والبيانات القانونية ذات الطبيعة العدلية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الخلط بين طبيعة البيانات يُنتج ضعفًا في التطبيق، ويجعل المحامي خاضعًا لنصوص عامة لا تراعي خصوصية المهنة القانونية القائمة على الثقة والسرية المطلقة</w:t>
      </w:r>
      <w:r>
        <w:rPr>
          <w:rFonts w:asciiTheme="majorBidi" w:hAnsiTheme="majorBidi" w:cstheme="majorBidi"/>
          <w:color w:val="000000" w:themeColor="text1"/>
          <w:sz w:val="24"/>
          <w:szCs w:val="24"/>
        </w:rPr>
        <w:t>.</w:t>
      </w:r>
    </w:p>
    <w:p w14:paraId="384A06D6"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غياب الربط المؤسسي بين وزارة العدل وهيئة حماية البيانات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لم يتضمن النظام آلية تنسيقية بين الهيئة السعودية للبيانات والذكاء الاصطناعي (سدايا) بصفتها الجهة التنظيمية، ووزارة العدل بصفتها المشرفة على مهنة المحاماة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وترى بعض الدراسات جانب من الفقه</w:t>
      </w:r>
      <w:r>
        <w:rPr>
          <w:rStyle w:val="af"/>
          <w:rFonts w:asciiTheme="majorBidi" w:hAnsiTheme="majorBidi" w:cstheme="majorBidi"/>
          <w:color w:val="000000" w:themeColor="text1"/>
          <w:sz w:val="24"/>
          <w:szCs w:val="24"/>
          <w:rtl/>
        </w:rPr>
        <w:footnoteReference w:id="128"/>
      </w:r>
      <w:r>
        <w:rPr>
          <w:rFonts w:asciiTheme="majorBidi" w:hAnsiTheme="majorBidi" w:cstheme="majorBidi"/>
          <w:color w:val="000000" w:themeColor="text1"/>
          <w:sz w:val="24"/>
          <w:szCs w:val="24"/>
          <w:rtl/>
        </w:rPr>
        <w:t xml:space="preserve"> أن غياب هذا الربط المؤسسي يؤدي إلى ازدواجية في المسؤوليات الرقابية، ويترك فراغًا تنظيميًا في تحديد الجهة المختصة بمحاسبة المخالفات المرتبطة بمعالجة البيانات داخل المكاتب القانونية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وتوصي الباحثة بإنشاء وحدة رقابية مشتركة أو لجنة مهنية متخصصة تتولى مراقبة التزام مكاتب المحاماة بضوابط حماية البيانات وفق طابعها العدلي لا التجاري</w:t>
      </w:r>
      <w:r>
        <w:rPr>
          <w:rFonts w:asciiTheme="majorBidi" w:hAnsiTheme="majorBidi" w:cstheme="majorBidi"/>
          <w:color w:val="000000" w:themeColor="text1"/>
          <w:sz w:val="24"/>
          <w:szCs w:val="24"/>
        </w:rPr>
        <w:t>.</w:t>
      </w:r>
    </w:p>
    <w:p w14:paraId="0AF50727"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عدم تحديد واجبات المحامي الرقمية في المعالجة التقنية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يشير جانب من الفقه إلى أن النظام حمّل “المتحكم في البيانات” المسؤولية عن الالتزام بالضوابط الفنية والتنظيمية، لكنه لم يحدّد مركز المحامي القانوني في هذا السياق: هل يُعد متحكمًا بالبيانات أم مجرد مستخدم؟</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هذا التوصيف يجعل المسؤولية المهنية للمحامي غير واضحة عند استخدامه أدوات ذكاء اصطناعي لمعالجة بيانات موكليه</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وفي ظل توسع المكاتب في استخدام المنصات السحابية لتحليل القضايا، تزداد احتمالية وقوع مخالفات غير مقصودة ناتجة عن ضعف فهم الالتزامات النظامية للمعالجة الرقمية</w:t>
      </w:r>
      <w:r>
        <w:rPr>
          <w:rFonts w:asciiTheme="majorBidi" w:hAnsiTheme="majorBidi" w:cstheme="majorBidi"/>
          <w:color w:val="000000" w:themeColor="text1"/>
          <w:sz w:val="24"/>
          <w:szCs w:val="24"/>
        </w:rPr>
        <w:t>.</w:t>
      </w:r>
    </w:p>
    <w:p w14:paraId="75201A9D"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التحديات التقنية في تطبيق مبدأ السيادة الوطنية للبيانات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شددت الهيئة السعودية للبيانات والذكاء الاصطناعي في دليلها الاسترشادي لتقويم مخاطر نقل البيانات إلى خارج المملكة على ضرورة إجراء تقييم فني وقانوني قبل استخدام أي منصة أجنبية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إلا أن العديد من مكاتب المحاماة تعتمد على أدوات ذكاء اصطناعي عالمية دون وعي كامل بمتطلبات السيادة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ويؤكد جانب من الفقه</w:t>
      </w:r>
      <w:r>
        <w:rPr>
          <w:rStyle w:val="af"/>
          <w:rFonts w:asciiTheme="majorBidi" w:hAnsiTheme="majorBidi" w:cstheme="majorBidi"/>
          <w:color w:val="000000" w:themeColor="text1"/>
          <w:sz w:val="24"/>
          <w:szCs w:val="24"/>
          <w:rtl/>
        </w:rPr>
        <w:footnoteReference w:id="129"/>
      </w:r>
      <w:r>
        <w:rPr>
          <w:rFonts w:asciiTheme="majorBidi" w:hAnsiTheme="majorBidi" w:cstheme="majorBidi"/>
          <w:color w:val="000000" w:themeColor="text1"/>
          <w:sz w:val="24"/>
          <w:szCs w:val="24"/>
          <w:rtl/>
        </w:rPr>
        <w:t xml:space="preserve"> أن هذا الاستخدام العابر للحدود يشكل خطرًا مباشرًا على العدالة، لأن تسرب البيانات أو معالجتها في أنظمة غير خاضعة للولاية الوطنية يُعد مساسًا بسيادة القضاء السعودي ذاته، وليس مجرد مخالفة مهنية</w:t>
      </w:r>
      <w:r>
        <w:rPr>
          <w:rFonts w:asciiTheme="majorBidi" w:hAnsiTheme="majorBidi" w:cstheme="majorBidi"/>
          <w:color w:val="000000" w:themeColor="text1"/>
          <w:sz w:val="24"/>
          <w:szCs w:val="24"/>
        </w:rPr>
        <w:t>.</w:t>
      </w:r>
    </w:p>
    <w:p w14:paraId="6BA9E2C2"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lastRenderedPageBreak/>
        <w:t>انعدام الحماية النظامية للبيانات الناتجة عن الذكاء الاصطناعي نفسه</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تناولت أنظمة حماية البيانات مسألة جمع ومعالجة المعلومات، لكنها لم تتطرق إلى “البيانات المولَّدة” التي ينتجها الذكاء الاصطناعي من خلال تحليل بيانات الموكلين أو القضايا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جانب من الفقه أن هذه البيانات الجديدة تكتسب طابعًا قانونيًا خاصًا لأنها قد تحتوي على نتائج تحليلية أو استنتاجات تؤثر في الموقف القضائي أو التعاقدي، ومع ذلك لا يوجد نص يحكم ملكيتها أو سرية تداولها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هذا النوع من الحماية يجعل مكاتب المحاماة معرضة لخطر تسرب التحليلات الذكية أو إساءة استخدامها من قبل أطراف خارجية أو منافسين</w:t>
      </w:r>
      <w:r>
        <w:rPr>
          <w:rFonts w:asciiTheme="majorBidi" w:hAnsiTheme="majorBidi" w:cstheme="majorBidi"/>
          <w:color w:val="000000" w:themeColor="text1"/>
          <w:sz w:val="24"/>
          <w:szCs w:val="24"/>
        </w:rPr>
        <w:t>.</w:t>
      </w:r>
    </w:p>
    <w:p w14:paraId="6F6D11B4"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الفراغ التشريعي في تكييف الانتهاكات المهنية للبيانات</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حال إخلال المحامي بواجب حماية بيانات موكله الرقمية، لا يوجد نص يوضح ما إذا كان الفعل يُعد مخالفة مهنية بموجب نظام المحاماة أو جريمة معلوماتية بموجب نظام مكافحة الجرائم المعلوماتية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يذكر جانب من الفقه أن هذا الغموض يولد تضاربًا في التكييف القانوني، فبعض الانتهاكات قد تُعامَل كتقصير مهني، بينما تُصنّف في وقائع مشابهة كجرائم معلوماتية، مما يضعف الثقة في اتساق العدالة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ومن ثمّ، تظهر الحاجة إلى نصوص توحّد الإطار التأديبي والجنائي لانتهاكات البيانات القانونية، بحيث تكون العقوبات متناسبة مع خطورة الفعل وطبيعته العدلية</w:t>
      </w:r>
      <w:r>
        <w:rPr>
          <w:rFonts w:asciiTheme="majorBidi" w:hAnsiTheme="majorBidi" w:cstheme="majorBidi"/>
          <w:color w:val="000000" w:themeColor="text1"/>
          <w:sz w:val="24"/>
          <w:szCs w:val="24"/>
        </w:rPr>
        <w:t>.</w:t>
      </w:r>
    </w:p>
    <w:p w14:paraId="464D0F84" w14:textId="77777777" w:rsidR="00F237E4" w:rsidRPr="00F237E4" w:rsidRDefault="00F237E4" w:rsidP="00F237E4">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الحاجة إلى إدماج متطلبات حماية البيانات ضمن لائحة مهنة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يؤكد جانب من الفقه</w:t>
      </w:r>
      <w:r>
        <w:rPr>
          <w:rStyle w:val="af"/>
          <w:rFonts w:asciiTheme="majorBidi" w:hAnsiTheme="majorBidi" w:cstheme="majorBidi"/>
          <w:color w:val="000000" w:themeColor="text1"/>
          <w:sz w:val="24"/>
          <w:szCs w:val="24"/>
          <w:rtl/>
        </w:rPr>
        <w:footnoteReference w:id="130"/>
      </w:r>
      <w:r>
        <w:rPr>
          <w:rFonts w:asciiTheme="majorBidi" w:hAnsiTheme="majorBidi" w:cstheme="majorBidi"/>
          <w:color w:val="000000" w:themeColor="text1"/>
          <w:sz w:val="24"/>
          <w:szCs w:val="24"/>
          <w:rtl/>
        </w:rPr>
        <w:t xml:space="preserve"> أن تطوير لائحة تنفيذية محدثة لنظام المحاماة هو الطريق الأمثل لسد الفجوة بين المهنة والتقنية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وينبغي أن تتضمن هذه اللائحة التزامات واضحة تتعلق بحماية البيانات الرقمية، تشمل اشتراط أن تكون المنصات التقنية المستخدمة داخل المكاتب مرخّصة وموثوقة وتخضع للرقابة المحلية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كما توصي وثيقة مبادئ أخلاقيات الذكاء الاصطناعي الصادرة عن سدايا بدمج مبدأ “المساءلة التقنية” في المهن ذات الحساسية العالية، وفي مقدمتها المحاماة، لضمان الاستخدام المسؤول للتقنيات الذكية</w:t>
      </w:r>
      <w:r>
        <w:rPr>
          <w:rFonts w:asciiTheme="majorBidi" w:hAnsiTheme="majorBidi" w:cstheme="majorBidi"/>
          <w:color w:val="000000" w:themeColor="text1"/>
          <w:sz w:val="24"/>
          <w:szCs w:val="24"/>
        </w:rPr>
        <w:t>.</w:t>
      </w:r>
    </w:p>
    <w:p w14:paraId="15590ECD" w14:textId="77777777" w:rsidR="00F237E4" w:rsidRDefault="00F237E4" w:rsidP="00807AA1">
      <w:pPr>
        <w:jc w:val="right"/>
        <w:rPr>
          <w:rFonts w:asciiTheme="majorBidi" w:hAnsiTheme="majorBidi" w:cstheme="majorBidi"/>
          <w:color w:val="000000" w:themeColor="text1"/>
          <w:sz w:val="24"/>
          <w:szCs w:val="24"/>
        </w:rPr>
      </w:pPr>
    </w:p>
    <w:p w14:paraId="14998BC4"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رابعًا: الحاجة إلى إدراج فصل خاص في اللائحة التنفيذية لنظام المحاماة ينظم التقنيات القانونية والذكاء الاصطناعي</w:t>
      </w:r>
    </w:p>
    <w:p w14:paraId="6193A801"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وفي هذا الإطار، يرى المركز الدراسات والبحوث القانونية في دراسته المعنونة باستخدام الذكاء الاصطناعي في المحاكم، والصادرة بالتعاون مع خبراء دوليين لإثراء البيئة القانونية السعودية، أن تطبيق الذكاء الاصطناعي في القطاع العدلي يمر بطور الانتشار التدريجي، وأن من أبرز التحديات عدم فهم منهجية عمل هذه التقنية وكيفية توظيفها، مما يستدعي بناء إطار تنظيمي واضح يُحدد نطاق الاستخدام المشروع ويُرسّخ معايير الحوكمة والمساءلة.</w:t>
      </w:r>
      <w:r>
        <w:rPr>
          <w:rStyle w:val="af"/>
          <w:rFonts w:asciiTheme="majorBidi" w:hAnsiTheme="majorBidi" w:cstheme="majorBidi"/>
          <w:sz w:val="24"/>
          <w:szCs w:val="24"/>
          <w:rtl/>
        </w:rPr>
        <w:footnoteReference w:id="131"/>
      </w:r>
    </w:p>
    <w:p w14:paraId="78A12B57"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قصور مستوى “النظام” ومرونة مستوى “اللائحة</w:t>
      </w:r>
      <w:r>
        <w:rPr>
          <w:rFonts w:asciiTheme="majorBidi" w:hAnsiTheme="majorBidi" w:cstheme="majorBidi"/>
          <w:b/>
          <w:bCs/>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نظام المحاماة وُضع في لحظة تاريخية لم تكن التقنيات القانونية جزءًا من بنية المهنة، ولذلك فإن تعديل النظام نفسه يُعدّ خطوة ثقيلة إجرائيًا وتستغرق زمنًا طويلًا. في المقابل، تتمتع اللائحة التنفيذية بدرجة أعلى من المرونة وإمكان التحديث المستمر وفق تطورات الممارسة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يشير جانب من الفقه في دراساتهم عن القواعد والإجراءات المنظمة لاستخدامات الذكاء الاصطناعي في المملكة إلى أن البيئة التقنية شديدة التغير تحتاج إلى أدوات تنظيم سريعة الاستجابة، وأن اللائحة التنفيذية </w:t>
      </w:r>
      <w:r>
        <w:rPr>
          <w:rFonts w:asciiTheme="majorBidi" w:hAnsiTheme="majorBidi" w:cstheme="majorBidi"/>
          <w:color w:val="000000" w:themeColor="text1"/>
          <w:sz w:val="24"/>
          <w:szCs w:val="24"/>
          <w:rtl/>
        </w:rPr>
        <w:lastRenderedPageBreak/>
        <w:t>تمثّل الأداة الأنسب لضبط التفاصيل المهنية المتغيرة دون المساس بالبناء النظامي الأعلى. ومن ثمّ، فإن إدراج فصل خاص في اللائحة التنفيذية لنظام المحاماة يُعد الخيار الأكثر توازنًا بين الحاجة إلى التنظيم وعدم إثقال كاهل النظام بتعديلات متكررة</w:t>
      </w:r>
      <w:r>
        <w:rPr>
          <w:rFonts w:asciiTheme="majorBidi" w:hAnsiTheme="majorBidi" w:cstheme="majorBidi"/>
          <w:color w:val="000000" w:themeColor="text1"/>
          <w:sz w:val="24"/>
          <w:szCs w:val="24"/>
        </w:rPr>
        <w:t>.</w:t>
      </w:r>
    </w:p>
    <w:p w14:paraId="5A08A7E8"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سدّ الفجوة بين النص التقليدي والممارسة الرقمية داخل مكاتب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الممارسة الواقعية في عدد من مكاتب المحاماة الكبرى والمتوسطة في المملكة كشفت عن اعتماد متزايد على أنظمة إدارة القضايا الإلكترونية، ومنصات البحث النظامي الذكية، والأدوات المعتمدة على نماذج اللغة في صياغة العقود والمذكرات. هذه الممارسة تجري اليوم في ظل فراغ تنظيمي كامل من حيث ضوابط الاعتماد، ومعايير الأمان، وحدود المسؤولية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فاطمة بلال</w:t>
      </w:r>
      <w:r>
        <w:rPr>
          <w:rStyle w:val="af"/>
          <w:rFonts w:asciiTheme="majorBidi" w:hAnsiTheme="majorBidi" w:cstheme="majorBidi"/>
          <w:color w:val="000000" w:themeColor="text1"/>
          <w:sz w:val="24"/>
          <w:szCs w:val="24"/>
          <w:rtl/>
        </w:rPr>
        <w:footnoteReference w:id="132"/>
      </w:r>
      <w:r>
        <w:rPr>
          <w:rFonts w:asciiTheme="majorBidi" w:hAnsiTheme="majorBidi" w:cstheme="majorBidi"/>
          <w:color w:val="000000" w:themeColor="text1"/>
          <w:sz w:val="24"/>
          <w:szCs w:val="24"/>
          <w:rtl/>
        </w:rPr>
        <w:t xml:space="preserve"> في دراستها عن العدالة الناجزة أن التحول الرقمي في قطاع القضاء لا يمكن أن ينجح بصورة متوازنة ما لم يُواكبه تحول منظم في أدوات المحاماة، وأن استمرار المكاتب في استخدام التقنية خارج أي إطار تفصيلي مكتوب يعرّض المنظومة العدلية لمخاطر متعلقة بجودة الخدمة، وتفاوت المعايير المهنية، وتضارب الممارسات بين مكتب وآخر</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الفصل المقترح في اللائحة يمكن أن يكون الجسر الذي يربط بين النص التقليدي والممارسة الرقمية، من خلال تحويل العرف التقني الجاري في المكاتب إلى معايير مكتوبة يمكن الرجوع إليها ومحاسبة الممارسين على أساسها</w:t>
      </w:r>
      <w:r>
        <w:rPr>
          <w:rFonts w:asciiTheme="majorBidi" w:hAnsiTheme="majorBidi" w:cstheme="majorBidi"/>
          <w:color w:val="000000" w:themeColor="text1"/>
          <w:sz w:val="24"/>
          <w:szCs w:val="24"/>
        </w:rPr>
        <w:t>.</w:t>
      </w:r>
    </w:p>
    <w:p w14:paraId="191E6080" w14:textId="77777777" w:rsidR="00957EC0" w:rsidRPr="00957EC0" w:rsidRDefault="00957EC0" w:rsidP="000D4B35">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تنظيم العلاقة بين المحامي ومزوّدي التقنيات القانونية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في الواقع المهني الحالي، تتعامل مكاتب المحاماة مع عدد من مزوّدي المنصات التقنية، سواء في الداخل أو الخارج، لتوفير خدمات مثل إدارة المستندات، والتحليل القانوني، والتراسل الآمن. هذه العلاقة التعاقدية تظل خارج أي إطار مهني محدد، إذ لا توجد معايير تلزم المحامي بالتحقق من مستوى أمان المنصة، أو موقع تخزين البيانات، أو مدى امتثالها للأنظمة السعودية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يوضح جانب من الفقه</w:t>
      </w:r>
      <w:r>
        <w:rPr>
          <w:rStyle w:val="af"/>
          <w:rFonts w:asciiTheme="majorBidi" w:hAnsiTheme="majorBidi" w:cstheme="majorBidi"/>
          <w:color w:val="000000" w:themeColor="text1"/>
          <w:sz w:val="24"/>
          <w:szCs w:val="24"/>
          <w:rtl/>
        </w:rPr>
        <w:footnoteReference w:id="133"/>
      </w:r>
      <w:r>
        <w:rPr>
          <w:rFonts w:asciiTheme="majorBidi" w:hAnsiTheme="majorBidi" w:cstheme="majorBidi"/>
          <w:color w:val="000000" w:themeColor="text1"/>
          <w:sz w:val="24"/>
          <w:szCs w:val="24"/>
          <w:rtl/>
        </w:rPr>
        <w:t xml:space="preserve"> في رسالته للدكتوراه أن ترك العلاقة بين المحامي ومزوّد التقنية دون ضوابط مهنية يُضعف من أثر الأنظمة، كحماية البيانات ومكافحة الجرائم المعلوماتية، لأن المحامي قد يتعامل بحسن نية مع منصة أجنبية لا تخضع لأي التزام وطني بحماية الخصوصية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لذلك، يمكن للفصل المقترح أن يضع قواعد صريحة تفرض على مكاتب المحاماة التحقق من المنصات المستخدمة، وأن ينص على وجوب أن تكون أي منصة يُدخل فيها المحامي بيانات موكليه مرخصة، أو على الأقل مستوفية لاشتراطات معينة تُحدَّد من وزارة العدل بالتنسيق مع سدايا</w:t>
      </w:r>
      <w:r>
        <w:rPr>
          <w:rFonts w:asciiTheme="majorBidi" w:hAnsiTheme="majorBidi" w:cstheme="majorBidi"/>
          <w:color w:val="000000" w:themeColor="text1"/>
          <w:sz w:val="24"/>
          <w:szCs w:val="24"/>
        </w:rPr>
        <w:t>.</w:t>
      </w:r>
    </w:p>
    <w:p w14:paraId="3D68D396"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وتعزّز هذه الحجة ما خلص إليه مركز الدراسات والبحوث القانونية (2024م) من أن العلاقة بين المحامي ومزود الأداة الذكية هي علاقة عقدية خدمية تخضع لأحكام نظام التعاملات الإلكترونية وقواعد المسؤولية العقدية الواردة في نظام المعاملات المدنية، وأن إسقاط الضوابط المهنية عن هذه العلاقة يفضي إلى فراغ قانوني خطير.</w:t>
      </w:r>
      <w:r>
        <w:rPr>
          <w:rtl/>
        </w:rPr>
        <w:footnoteReference w:id="134"/>
      </w:r>
    </w:p>
    <w:p w14:paraId="7989E719" w14:textId="77777777" w:rsidR="003835A4" w:rsidRDefault="00957EC0" w:rsidP="000D4B35">
      <w:pPr>
        <w:ind w:left="360"/>
        <w:jc w:val="right"/>
        <w:rPr>
          <w:rFonts w:asciiTheme="majorBidi" w:hAnsiTheme="majorBidi" w:cstheme="majorBidi"/>
          <w:b/>
          <w:bCs/>
          <w:color w:val="000000" w:themeColor="text1"/>
          <w:sz w:val="24"/>
          <w:szCs w:val="24"/>
          <w:rtl/>
        </w:rPr>
      </w:pPr>
      <w:r>
        <w:rPr>
          <w:rFonts w:asciiTheme="majorBidi" w:hAnsiTheme="majorBidi" w:cstheme="majorBidi"/>
          <w:b/>
          <w:bCs/>
          <w:color w:val="000000" w:themeColor="text1"/>
          <w:sz w:val="24"/>
          <w:szCs w:val="24"/>
          <w:rtl/>
        </w:rPr>
        <w:t>تأطير المسؤولية المهنية عن استخدام الذكاء الاصطناعي</w:t>
      </w:r>
    </w:p>
    <w:p w14:paraId="3A73A078"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وفيما يتعلق بحدود تأطير المسؤولية المهنية، أشارت عبد الرحمن إلى ضرورة مراعاة مبدأ التعادل؛ بمعنى ألا تكون المسؤولية المفروضة على المحامي المستخدم للذكاء الاصطناعي أشد من المسؤولية المفروضة على </w:t>
      </w:r>
      <w:r>
        <w:rPr>
          <w:rFonts w:asciiTheme="majorBidi" w:hAnsiTheme="majorBidi" w:cstheme="majorBidi"/>
          <w:sz w:val="24"/>
          <w:szCs w:val="24"/>
          <w:rtl/>
        </w:rPr>
        <w:lastRenderedPageBreak/>
        <w:t>المحامي الذي لم يستخدمه وارتكب الخطأ ذاته بطريقة تقليدية، لأن التشديد غير المتناسب قد يُثبّط التحول الرقمي الذي تستهدفه رؤية 2030.</w:t>
      </w:r>
      <w:r>
        <w:rPr>
          <w:rtl/>
        </w:rPr>
        <w:footnoteReference w:id="135"/>
      </w:r>
    </w:p>
    <w:p w14:paraId="00DFF523"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إطار المسؤولية المهنية الجنائية، أوضح العطار والنوايسة أن الإهمال الجسيم في الرقابة على نظام الذكاء الاصطناعي المستخدم في تقديم المشورة القانونية قد يرقى إلى درجة الخطأ الجنائي الموجب للمساءلة الجزائية، شريطة إثبات العلاقة السببية بين الإهمال في الرقابة والضرر اللاحق بالموكل أو المتضرر من المشورة الخاطئة.</w:t>
      </w:r>
      <w:r>
        <w:rPr>
          <w:rtl/>
        </w:rPr>
        <w:footnoteReference w:id="136"/>
      </w:r>
    </w:p>
    <w:p w14:paraId="2ACBF584"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وفيما يتعلق بتأطير المسؤولية المهنية، اقترح جانب من الفقه تبني نظرية المسؤولية المتشعبة في القضايا الناجمة عن الذكاء الاصطناعي، إذ تنقسم المسؤولية بين المحامي المستخدم، والمطوّر الأصلي للنظام، والوسيط الذي يُتيح الوصول إلى النظام، مع منح القضاء صلاحية التوزيع النسبي وفق درجة الإسهام المثبتة بالخبرة التقنية.</w:t>
      </w:r>
      <w:r>
        <w:rPr>
          <w:rtl/>
        </w:rPr>
        <w:footnoteReference w:id="137"/>
      </w:r>
    </w:p>
    <w:p w14:paraId="6D968C76"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وبالمقابل، ترى الجلعود أن تأطير المسؤولية المهنية ينبغي أن يُراعي مبدأ التناسب؛ فالمحامي الذي يستخدم أداة ذكاء اصطناعي بسيطة لمعالجة النصوص لا يُعامَل كمن يستخدم نظاماً تنبؤياً معقداً يتخذ قرارات استراتيجية، والتمييز بين درجات التعقيد والأثر هو جوهر أي منظومة تشريعية رشيدة في هذا المجال.</w:t>
      </w:r>
      <w:r>
        <w:rPr>
          <w:rtl/>
        </w:rPr>
        <w:footnoteReference w:id="138"/>
      </w:r>
    </w:p>
    <w:p w14:paraId="43978975"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باب تأطير المسؤولية المهنية، ميّز جانب من الفقه بين معيارين يتنافسان في السياق الفقهي المقارن: معيار المحامي المعقول الذي يُقيس أداء المحامي بالمعيار التقليدي القائم على الحكمة المهنية المتعارف عليها، ومعيار المحامي الرقمي الكفء الذي يُضيف إلى المعيار الأول اشتراط الكفاءة في انتقاء أنظمة الذكاء الاصطناعي وتقييم مخرجاتها ونقد توصياتها.</w:t>
      </w:r>
      <w:r>
        <w:rPr>
          <w:rtl/>
        </w:rPr>
        <w:footnoteReference w:id="139"/>
      </w:r>
    </w:p>
    <w:p w14:paraId="27813608"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تشير الأدبيات القانونية الحديثة التي تناولت المسؤولية المدنية عن أفعال الذكاء الاصطناعي — ومنها أبحاث جانب من الفقه — إلى غياب نموذج معياري واضح يُحتكم إليه عند تقييم خطأ المحامي في استخدام الأنظمة الذكية داخل مكاتب المحاماة. فالمسؤولية المهنية في نظام المحاماة تُبنى على مبدأ “العناية المهنية المعتادة”، غير أن هذا المبدأ لم يُعرّف بعد في سياق التقنية، مما يطرح تساؤلات عملية حول مسؤولية المحامي عند الاستعانة بالذكاء الاصطناعي في أعمال ذات أثر عدلي مباشر</w:t>
      </w:r>
      <w:r>
        <w:rPr>
          <w:rFonts w:asciiTheme="majorBidi" w:hAnsiTheme="majorBidi" w:cstheme="majorBidi"/>
          <w:color w:val="000000" w:themeColor="text1"/>
          <w:sz w:val="24"/>
          <w:szCs w:val="24"/>
        </w:rPr>
        <w:t>.</w:t>
      </w:r>
    </w:p>
    <w:p w14:paraId="2302934B"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ويُثار التساؤل هنا: ما هي حدود العناية المهنية الرقمية؟ وهل يُلزم المحامي بفهم الآلية التقنية للنظام؟ أم يكفي التأكد من موثوقية المصدر؟ أم يجب عليه اختبار النتائج ومقارنتها بالسوابق النظامية قبل تقديمها للقضاء؟ وقد أكدت بعض الدراسات حول حماية التصرفات القانونية عبر الذكاء الاصطناعي أن الاعتماد على المخرجات التقنية دون مراجعة بشرية يمثل انحرافًا عن السلوك المهني المألوف في المهن القانونية</w:t>
      </w:r>
      <w:r>
        <w:rPr>
          <w:rFonts w:asciiTheme="majorBidi" w:hAnsiTheme="majorBidi" w:cstheme="majorBidi"/>
          <w:color w:val="000000" w:themeColor="text1"/>
          <w:sz w:val="24"/>
          <w:szCs w:val="24"/>
        </w:rPr>
        <w:t>.</w:t>
      </w:r>
    </w:p>
    <w:p w14:paraId="34D97B8A"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ومن أجل معالجة هذا الفراغ، يمكن للائحة التنفيذية لنظام المحاماة أن تضع فصلًا خاصًا بالمسؤولية التقنية، يتضمن قواعد مهنية مفصلة، من أهمها</w:t>
      </w:r>
      <w:r>
        <w:rPr>
          <w:rFonts w:asciiTheme="majorBidi" w:hAnsiTheme="majorBidi" w:cstheme="majorBidi"/>
          <w:color w:val="000000" w:themeColor="text1"/>
          <w:sz w:val="24"/>
          <w:szCs w:val="24"/>
        </w:rPr>
        <w:t>:</w:t>
      </w:r>
    </w:p>
    <w:p w14:paraId="16652810"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lastRenderedPageBreak/>
        <w:t xml:space="preserve">• </w:t>
      </w:r>
      <w:r>
        <w:rPr>
          <w:rFonts w:asciiTheme="majorBidi" w:hAnsiTheme="majorBidi" w:cstheme="majorBidi"/>
          <w:color w:val="000000" w:themeColor="text1"/>
          <w:sz w:val="24"/>
          <w:szCs w:val="24"/>
          <w:rtl/>
        </w:rPr>
        <w:t>التزام المحامي بإجراء مراجعة بشرية إلزامية لجميع المذكرات أو التحليلات التي ينتجها النظام الذكي قبل تقديمها للقضاء أو للجهات العدلية، وهو ما يتفق مع ما ورد في بعض الدراسات حول ضرورة الرقابة البشرية في المهن العدلية عند استخدام الأنظمة الذكية</w:t>
      </w:r>
      <w:r>
        <w:rPr>
          <w:rFonts w:asciiTheme="majorBidi" w:hAnsiTheme="majorBidi" w:cstheme="majorBidi"/>
          <w:color w:val="000000" w:themeColor="text1"/>
          <w:sz w:val="24"/>
          <w:szCs w:val="24"/>
        </w:rPr>
        <w:t>.</w:t>
      </w:r>
    </w:p>
    <w:p w14:paraId="41BEB9DD"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واجب توثيق الخطوات التقنية التي اتخذها المحامي عند استخدام النظام الذكي، بما في ذلك تحديد إصدار النظام، وطريقة توليد المخرجات، وبيان ما إذا كانت خاضعة لأي تعديل أو تدقيق بعد توليدها. وقد أشارت دراسة فاطمة بلال حول العدالة الرقمية إلى أن التوثيق يمثل ضمانة أساسية ضد الأخطاء التقنية غير المتعمدة</w:t>
      </w:r>
      <w:r>
        <w:rPr>
          <w:rFonts w:asciiTheme="majorBidi" w:hAnsiTheme="majorBidi" w:cstheme="majorBidi"/>
          <w:color w:val="000000" w:themeColor="text1"/>
          <w:sz w:val="24"/>
          <w:szCs w:val="24"/>
        </w:rPr>
        <w:t>.</w:t>
      </w:r>
    </w:p>
    <w:p w14:paraId="4CED3B23"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اعتبار الإخلال بضوابط التقنية — متى ترتب عليه ضرر للموكل — صورة من صور الإهمال المهني الجسيم. ويستند هذا الاتجاه إلى ما قرره جانب من الفقه من أن الخطأ التقني في السياق الرقمي يُعدّ خطأ جسيمًا إذا أمكن الاحتراز عنه باستخدام معايير الأمن السيبراني والتحقق المهني المتعارف عليها</w:t>
      </w:r>
      <w:r>
        <w:rPr>
          <w:rFonts w:asciiTheme="majorBidi" w:hAnsiTheme="majorBidi" w:cstheme="majorBidi"/>
          <w:color w:val="000000" w:themeColor="text1"/>
          <w:sz w:val="24"/>
          <w:szCs w:val="24"/>
        </w:rPr>
        <w:t>.</w:t>
      </w:r>
    </w:p>
    <w:p w14:paraId="44027E1D" w14:textId="77777777" w:rsidR="003835A4" w:rsidRPr="003835A4" w:rsidRDefault="003835A4" w:rsidP="000D4B35">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ولكي تتضح طبيعة “الإهمال المهني الجسيم” في السياق الرقمي، فإن تقييمه يجب أن يستند إلى معايير فنية واضحة، من أهمها</w:t>
      </w:r>
      <w:r>
        <w:rPr>
          <w:rFonts w:asciiTheme="majorBidi" w:hAnsiTheme="majorBidi" w:cstheme="majorBidi"/>
          <w:color w:val="000000" w:themeColor="text1"/>
          <w:sz w:val="24"/>
          <w:szCs w:val="24"/>
        </w:rPr>
        <w:t>:</w:t>
      </w:r>
    </w:p>
    <w:p w14:paraId="2EACF48E"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الموثوقية التقنية: هل استخدم المحامي نظامًا معتمدًا ومرخصًا داخل المملكة؟ وهل تجاهل التحذيرات المرتبطة باستخدام منصات غير آمنة؟</w:t>
      </w:r>
    </w:p>
    <w:p w14:paraId="3C2EB325"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التحقق البشري: هل اكتفى المحامي بنقل مخرجات النظام دون مراجعة بشرية أو مقارنة بالسوابق القضائية؟</w:t>
      </w:r>
    </w:p>
    <w:p w14:paraId="669B57D3"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سلامة البيانات: هل أدخل بيانات الموكل في نظام ذكي يخزن المعلومات خارج المملكة دون تقويم للمخاطر وفق دليل سدايا؟</w:t>
      </w:r>
    </w:p>
    <w:p w14:paraId="70851B22"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الإفصاح: هل أخفى المحامي عن الموكل أو المحكمة أنه استخدم نظامًا ذكيًا في توليد المستند؟ وهل أدى ذلك إلى تضليل أو خلل في الثقة المهنية؟</w:t>
      </w:r>
    </w:p>
    <w:p w14:paraId="3D6ECD41"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tl/>
        </w:rPr>
        <w:t>معيار الكفاءة المهنية: هل استخدم المحامي نظامًا معقدًا لا يستطيع تفسير طريقة عمله أمام القضاء، بما يجعل الإثبات مستحيلاً أو مشوبًا بالغموض؟ وقد أكدت بعض الدراسات حول الذكاء الاصطناعي والبلوكتشين أن الأنظمة غير القابلة للتفسير تُعد الأكثر خطورة في السياق القانوني</w:t>
      </w:r>
      <w:r>
        <w:rPr>
          <w:rFonts w:asciiTheme="majorBidi" w:hAnsiTheme="majorBidi" w:cstheme="majorBidi"/>
          <w:color w:val="000000" w:themeColor="text1"/>
          <w:sz w:val="24"/>
          <w:szCs w:val="24"/>
        </w:rPr>
        <w:t>.</w:t>
      </w:r>
    </w:p>
    <w:p w14:paraId="5EC511A6"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وعند اجتماع هذه المعايير، يمكن أن يُعدّ الإخلال بها إهمالًا مهنيًا جسيمًا يُسأل عنه المحامي تأديبيًا ومدنيًا، خصوصًا إذا ترتب على ذلك ضرر للمُوكّل أو التأثير على نزاهة العدالة. وتؤكد مجلة العدالة في عددها المتعلق بالمسؤولية عن الذكاء الاصطناعي أن المحامي يظل مسؤولًا عن كل ما يقدمه للجهات العدلية، سواء كان ناتجًا عن عمله الشخصي أو عن نظام ذكي استعان به</w:t>
      </w:r>
      <w:r>
        <w:rPr>
          <w:rFonts w:asciiTheme="majorBidi" w:hAnsiTheme="majorBidi" w:cstheme="majorBidi"/>
          <w:color w:val="000000" w:themeColor="text1"/>
          <w:sz w:val="24"/>
          <w:szCs w:val="24"/>
        </w:rPr>
        <w:t>.</w:t>
      </w:r>
    </w:p>
    <w:p w14:paraId="494301BE" w14:textId="77777777" w:rsidR="003835A4" w:rsidRPr="003835A4" w:rsidRDefault="003835A4" w:rsidP="003835A4">
      <w:pPr>
        <w:ind w:left="360"/>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وبذلك، فإن تأطير المسؤولية المهنية الرقمية لا يقوم فقط على تحديد الواجبات، بل على وضع معايير فنية واضحة تُطبّق عند تقييم الإخلال. وهذا ما يجعل اللائحة التنفيذية المكان الأنسب لإدراج هذه الضوابط، لأنها أكثر مرونة في التعديل والتطوير بما يواكب سرعة التغيرات التقنية في مكاتب المحاماة</w:t>
      </w:r>
      <w:r>
        <w:rPr>
          <w:rFonts w:asciiTheme="majorBidi" w:hAnsiTheme="majorBidi" w:cstheme="majorBidi"/>
          <w:color w:val="000000" w:themeColor="text1"/>
          <w:sz w:val="24"/>
          <w:szCs w:val="24"/>
        </w:rPr>
        <w:t>.</w:t>
      </w:r>
    </w:p>
    <w:p w14:paraId="2AA6BA34" w14:textId="77777777" w:rsidR="003835A4" w:rsidRPr="00957EC0" w:rsidRDefault="003835A4" w:rsidP="003835A4">
      <w:pPr>
        <w:ind w:left="360"/>
        <w:jc w:val="right"/>
        <w:rPr>
          <w:rFonts w:asciiTheme="majorBidi" w:hAnsiTheme="majorBidi" w:cstheme="majorBidi"/>
          <w:color w:val="000000" w:themeColor="text1"/>
          <w:sz w:val="24"/>
          <w:szCs w:val="24"/>
          <w:rtl/>
        </w:rPr>
      </w:pPr>
    </w:p>
    <w:p w14:paraId="5942311C"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دمج مبادئ أخلاقيات الذكاء الاصطناعي في أخلاقيات مهنة المحاماة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وثيقة مبادئ أخلاقيات الذكاء الاصطناعي الصادرة عن سدايا وضعت إطارًا قيميا عامًا لاستخدام التقنية، لكنها لم تُترجم حتى الآن إلى التزامات مهنية محددة داخل قطاع المحاماة. في المقابل، مهنة المحاماة في جوهرها مهنة أخلاقية، تقوم على الأمانة والسرية والاستقلالية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 xml:space="preserve">يلاحظ جانب من الفقه </w:t>
      </w:r>
      <w:r>
        <w:rPr>
          <w:rStyle w:val="af"/>
          <w:rFonts w:asciiTheme="majorBidi" w:hAnsiTheme="majorBidi" w:cstheme="majorBidi"/>
          <w:color w:val="000000" w:themeColor="text1"/>
          <w:sz w:val="24"/>
          <w:szCs w:val="24"/>
          <w:rtl/>
        </w:rPr>
        <w:footnoteReference w:id="140"/>
      </w:r>
      <w:r>
        <w:rPr>
          <w:rFonts w:asciiTheme="majorBidi" w:hAnsiTheme="majorBidi" w:cstheme="majorBidi"/>
          <w:color w:val="000000" w:themeColor="text1"/>
          <w:sz w:val="24"/>
          <w:szCs w:val="24"/>
          <w:rtl/>
        </w:rPr>
        <w:t xml:space="preserve">في دراسته عن تأطير أخلاقيات الذكاء الاصطناعي أن الانتقال من النص </w:t>
      </w:r>
      <w:r>
        <w:rPr>
          <w:rFonts w:asciiTheme="majorBidi" w:hAnsiTheme="majorBidi" w:cstheme="majorBidi"/>
          <w:color w:val="000000" w:themeColor="text1"/>
          <w:sz w:val="24"/>
          <w:szCs w:val="24"/>
          <w:rtl/>
        </w:rPr>
        <w:lastRenderedPageBreak/>
        <w:t>الأخلاقي العام إلى القاعدة المهنية الملزمة هو ما يمنح الأخلاقيات قوة حقيقية في الواقع. ومن هذا المنطلق، فإن إفراد فصل في اللائحة التنفيذية يدمج مبادئ العدالة، والشفافية، وعدم التمييز، وحماية الخصوصية في سلوك المحامي التقني، سيحوّل هذه المبادئ من شعارات عامة إلى التزامات يمكن مساءلة المحامي عن الإخلال بها</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ويمكن أن يتضمن هذا الفصل إلزام المكاتب بوضع سياسات داخلية مكتوبة لاستخدام الذكاء الاصطناعي، وتدريب المحامين والمتدربين على التعامل المسؤول مع الأنظمة الذكية، وتوثيق أي حالات إخلال أو مخاطر تقنية للتعامل معها تأديبيًا</w:t>
      </w:r>
      <w:r>
        <w:rPr>
          <w:rFonts w:asciiTheme="majorBidi" w:hAnsiTheme="majorBidi" w:cstheme="majorBidi"/>
          <w:color w:val="000000" w:themeColor="text1"/>
          <w:sz w:val="24"/>
          <w:szCs w:val="24"/>
        </w:rPr>
        <w:t>.</w:t>
      </w:r>
    </w:p>
    <w:p w14:paraId="5B62DF4E"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استيعاب التحول العدلي الرقمي وضبطه من داخل المهنة نفسها</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فاطمة بلال في دراستها حول العدالة الناجزة أن وزارة العدل قطعت شوطًا كبيرًا في بناء منظومة القضاء الإلكتروني، لكن مهنة المحاماة لم تواكب هذا التحول من حيث البناء التنظيمي الداخلي. فالمحامي اليوم يعمل في بيئة رقمية بالكامل تقريبًا، من القيد في الدعاوى وحتى حضور الجلسات عن بُعد، دون أن يجد في لائحته التنفيذية ما ينظّم دوره التقني أو يحميه من تبعات الأخطاء الرقمية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إدراج فصل خاص في اللائحة التنفيذية لنظام المحاماة لن يكون مجرد إضافة شكلية، بل هو خطوة تعكس اعترافًا رسميًا بأن المهنة دخلت مرحلة جديدة هي مرحلة “المحاماة الرقمية”، وأن هذه المرحلة تحتاج إلى مدونة تنظيمية خاصة بها تحت مظلة النظام القائم، تمهيدًا لأي تطوير نظامي مستقبلي</w:t>
      </w:r>
      <w:r>
        <w:rPr>
          <w:rFonts w:asciiTheme="majorBidi" w:hAnsiTheme="majorBidi" w:cstheme="majorBidi"/>
          <w:color w:val="000000" w:themeColor="text1"/>
          <w:sz w:val="24"/>
          <w:szCs w:val="24"/>
        </w:rPr>
        <w:t>.</w:t>
      </w:r>
    </w:p>
    <w:p w14:paraId="7B1D8EE5" w14:textId="77777777" w:rsidR="00957EC0" w:rsidRPr="00957EC0" w:rsidRDefault="00957EC0" w:rsidP="00957EC0">
      <w:pPr>
        <w:ind w:left="360"/>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تهيئة الأرضية التنظيمية للتصور المقترح في الفصول اللاحقة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من منظور منهجي مرتبط بالرسالة نفسها، فإن اقتراح فصل في اللائحة التنفيذية يمثّل خطوة وسيطة بين الإطار النظامي العام الذي عُرض في المبحث الأول، والتصور التنظيمي التفصيلي الذي سيُعرض في الفصل الخامس</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هذا الفصل المقترح هو الأداة الواقعية التي يمكن أن تُنفَّذ من خلالها توصيات الرسالة على المدى القريب، دون انتظار تعديل نظامي شامل. ولذلك، فإن التحليل العميق لفكرة إدراج هذا الفصل يدخل في صميم هدف الرسالة، لأنه يقدّم تصورًا عمليًا لكيفية ترجمة النتائج العلمية إلى آليات تنظيمية قابلة للتطبيق داخل مكاتب المحاماة وفي إطار المنظومة العدلية السعودية</w:t>
      </w:r>
      <w:r>
        <w:rPr>
          <w:rFonts w:asciiTheme="majorBidi" w:hAnsiTheme="majorBidi" w:cstheme="majorBidi"/>
          <w:color w:val="000000" w:themeColor="text1"/>
          <w:sz w:val="24"/>
          <w:szCs w:val="24"/>
        </w:rPr>
        <w:t>.</w:t>
      </w:r>
    </w:p>
    <w:p w14:paraId="37FFE60C" w14:textId="77777777" w:rsidR="00957EC0" w:rsidRDefault="00957EC0" w:rsidP="00807AA1">
      <w:pPr>
        <w:jc w:val="right"/>
        <w:rPr>
          <w:rFonts w:asciiTheme="majorBidi" w:hAnsiTheme="majorBidi" w:cstheme="majorBidi"/>
          <w:color w:val="000000" w:themeColor="text1"/>
          <w:sz w:val="24"/>
          <w:szCs w:val="24"/>
        </w:rPr>
      </w:pPr>
    </w:p>
    <w:p w14:paraId="6F2921C3"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خامسًا: غياب الإطار الرقابي المهني لاستخدام التقنية في مكاتب المحاماة</w:t>
      </w:r>
    </w:p>
    <w:p w14:paraId="18013A04"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إلى جانب القصور التشريعي في النصوص، يبرز وجه آخر من أوجه الضعف في تنظيم توظيف الذكاء الاصطناعي في مكاتب المحاماة، يتمثل في غياب إطار رقابي مهني واضح يضبط استخدام هذه التقنيات داخل الممارسة اليومية للمحامي. فالنظام السعودي يشتمل على قواعد تأديبية وأحكام عامة تتعلق بمساءلة المحامي عن الإخلال بواجباته، لكنه لا يقدّم حتى الآن نموذجًا رقابيًا متخصصًا يتعامل مع المخاطر المهنية المرتبطة بالتقنية القانونية والأنظمة الذكية</w:t>
      </w:r>
      <w:r>
        <w:rPr>
          <w:rFonts w:asciiTheme="majorBidi" w:hAnsiTheme="majorBidi" w:cstheme="majorBidi"/>
          <w:color w:val="000000" w:themeColor="text1"/>
          <w:sz w:val="24"/>
          <w:szCs w:val="24"/>
        </w:rPr>
        <w:t>.</w:t>
      </w:r>
    </w:p>
    <w:p w14:paraId="021B6ED1"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فمسؤولية المحامي التأديبية اليوم تقوم في غالبها على مفاهيم تقليدية، مثل الإخلال بواجب الأمانة، أو مخالفة أحكام النظام، أو الإضرار بالمصلحة المشروعة للموكل. غير أن هذه المفاهيم لم تُعاد صياغتها في ضوء الواقع الرقمي الجديد الذي أصبحت فيه الأخطاء التقنية، أو سوء اختيار المنصات الذكية، أو ضعف تأمين البيانات، من أبرز ما يهدد مصلحة الموكل وسمعة المهنة. ويلاحظ جانب من الفقه في مجال المسؤولية المدنية أن البناء التأديبي في المهن القانونية لم يواكب بعدُ التطور التقني، وأن جزءًا كبيرًا من الأفعال الضارة التي تنشأ عن استخدام الأنظمة الذكية لا يجد وصفًا مهنيًا واضحًا يبرر المساءلة أو يحدد درجتها وخطورتها</w:t>
      </w:r>
      <w:r>
        <w:rPr>
          <w:rFonts w:asciiTheme="majorBidi" w:hAnsiTheme="majorBidi" w:cstheme="majorBidi"/>
          <w:color w:val="000000" w:themeColor="text1"/>
          <w:sz w:val="24"/>
          <w:szCs w:val="24"/>
        </w:rPr>
        <w:t>.</w:t>
      </w:r>
    </w:p>
    <w:p w14:paraId="717706B7"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كما أن مهنة المحاماة في المملكة، على خلاف بعض التجارب المقارنة، ما زالت تفتقر إلى كيان مهني رقابي متخصص في الجانب التقني، يتابع أنماط استخدام الذكاء الاصطناعي داخل المكاتب، ويضع أدلة إرشادية ملزمة، ويراقب التزام الممارسين بها. فالمجالس التأديبية والجهات القضائية المعنية بمساءلة المحامين تتعامل مع المخالفات بحسب ما يعرض عليها من وقائع، ومن دون أن تستند إلى معايير تقنية أو مهنية سابقة التعريف تحكم </w:t>
      </w:r>
      <w:r>
        <w:rPr>
          <w:rFonts w:asciiTheme="majorBidi" w:hAnsiTheme="majorBidi" w:cstheme="majorBidi"/>
          <w:color w:val="000000" w:themeColor="text1"/>
          <w:sz w:val="24"/>
          <w:szCs w:val="24"/>
          <w:rtl/>
        </w:rPr>
        <w:lastRenderedPageBreak/>
        <w:t>ما إذا كان استخدام نظام معين يُعد مقبولًا مهنيًا أم لا. وهذا ما حذرت منه فاطمة بلال في دراستها عن العدالة الناجزة، حين أشارت إلى أن التحول الرقمي إذا لم تصحبه رقابة مهنية واعية، قد يؤدي إلى تفاوت كبير في جودة الخدمات القانونية، بل وإلى تعميق الفجوة بين المكاتب القادرة على إدارة التقنية والمكاتب التي تستخدمها بصورة عشوائية أو غير آمنة</w:t>
      </w:r>
      <w:r>
        <w:rPr>
          <w:rFonts w:asciiTheme="majorBidi" w:hAnsiTheme="majorBidi" w:cstheme="majorBidi"/>
          <w:color w:val="000000" w:themeColor="text1"/>
          <w:sz w:val="24"/>
          <w:szCs w:val="24"/>
        </w:rPr>
        <w:t>.</w:t>
      </w:r>
    </w:p>
    <w:p w14:paraId="7E497C8F"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ويشير جانب من الفقه </w:t>
      </w:r>
      <w:r>
        <w:rPr>
          <w:rStyle w:val="af"/>
          <w:rFonts w:asciiTheme="majorBidi" w:hAnsiTheme="majorBidi" w:cstheme="majorBidi"/>
          <w:color w:val="000000" w:themeColor="text1"/>
          <w:sz w:val="24"/>
          <w:szCs w:val="24"/>
          <w:rtl/>
        </w:rPr>
        <w:footnoteReference w:id="141"/>
      </w:r>
      <w:r>
        <w:rPr>
          <w:rFonts w:asciiTheme="majorBidi" w:hAnsiTheme="majorBidi" w:cstheme="majorBidi"/>
          <w:color w:val="000000" w:themeColor="text1"/>
          <w:sz w:val="24"/>
          <w:szCs w:val="24"/>
          <w:rtl/>
        </w:rPr>
        <w:t>في دراسته المقارنة حول دور الدولة في تأطير أخلاقيات الذكاء الاصطناعي إلى أن الاقتصار على النصوص العامة، دون إنشاء آليات مهنية للحوكمة، يجعل المنظومة الأخلاقية للتقنية مجرد إعلان نوايا لا ينفذ إلى سلوك الممارسين اليومي. ويطبَّق هذا التحليل على مهنة المحاماة في السعودية؛ إذ صدرت وثائق وطنية متقدمة عن سدايا تتعلق بمبادئ أخلاقيات الذكاء الاصطناعي وحوكمة البيانات، لكنها لم تُترجم إلى لوائح مهنية داخلية تلزم مكاتب المحاماة بتبني سياسات واضحة لاستخدام الأنظمة الذكية، أو بإنشاء سجلات تقنية للأنظمة المستخدمة، أو بإخضاع هذه الأنظمة لتدقيق دوري من جهة مختصة</w:t>
      </w:r>
      <w:r>
        <w:rPr>
          <w:rFonts w:asciiTheme="majorBidi" w:hAnsiTheme="majorBidi" w:cstheme="majorBidi"/>
          <w:color w:val="000000" w:themeColor="text1"/>
          <w:sz w:val="24"/>
          <w:szCs w:val="24"/>
        </w:rPr>
        <w:t>.</w:t>
      </w:r>
    </w:p>
    <w:p w14:paraId="643C883C"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من جانب آخر، يبين جانب من الفقه </w:t>
      </w:r>
      <w:r>
        <w:rPr>
          <w:rStyle w:val="af"/>
          <w:rFonts w:asciiTheme="majorBidi" w:hAnsiTheme="majorBidi" w:cstheme="majorBidi"/>
          <w:color w:val="000000" w:themeColor="text1"/>
          <w:sz w:val="24"/>
          <w:szCs w:val="24"/>
          <w:rtl/>
        </w:rPr>
        <w:footnoteReference w:id="142"/>
      </w:r>
      <w:r>
        <w:rPr>
          <w:rFonts w:asciiTheme="majorBidi" w:hAnsiTheme="majorBidi" w:cstheme="majorBidi"/>
          <w:color w:val="000000" w:themeColor="text1"/>
          <w:sz w:val="24"/>
          <w:szCs w:val="24"/>
          <w:rtl/>
        </w:rPr>
        <w:t>في دراسته عن القواعد والإجراءات المنظمة لاستخدامات الذكاء الاصطناعي أن ترك مساحة واسعة لتقدير المحامي في اختيار أدواته التقنية، من دون معايير رقابية مهنية، قد يؤدي إلى تفاوت كبير في درجة حماية حقوق الموكلين. فمكتب يعتمد على أنظمة مؤمنة خاضعة لرقابة وطنية سيختلف في مستوى الأمان والمهنية عن مكتب آخر يستخدم منصات مجانية أو تجارية غير خاضعة لأي تدقيق أو ترخيص. ومع غياب إطار رقابي مهني، يصعب على الموكلين، بل وعلى الجهات القضائية نفسها، تقييم مدى التزام المكتب بالمعايير التقنية الملائمة، مما يضعف الشفافية في سوق الخدمات القانونية</w:t>
      </w:r>
      <w:r>
        <w:rPr>
          <w:rFonts w:asciiTheme="majorBidi" w:hAnsiTheme="majorBidi" w:cstheme="majorBidi"/>
          <w:color w:val="000000" w:themeColor="text1"/>
          <w:sz w:val="24"/>
          <w:szCs w:val="24"/>
        </w:rPr>
        <w:t>.</w:t>
      </w:r>
    </w:p>
    <w:p w14:paraId="0143639B"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ويطرح جانب من الفقه</w:t>
      </w:r>
      <w:r>
        <w:rPr>
          <w:rStyle w:val="af"/>
          <w:rFonts w:asciiTheme="majorBidi" w:hAnsiTheme="majorBidi" w:cstheme="majorBidi"/>
          <w:color w:val="000000" w:themeColor="text1"/>
          <w:sz w:val="24"/>
          <w:szCs w:val="24"/>
          <w:rtl/>
        </w:rPr>
        <w:footnoteReference w:id="143"/>
      </w:r>
      <w:r>
        <w:rPr>
          <w:rFonts w:asciiTheme="majorBidi" w:hAnsiTheme="majorBidi" w:cstheme="majorBidi"/>
          <w:color w:val="000000" w:themeColor="text1"/>
          <w:sz w:val="24"/>
          <w:szCs w:val="24"/>
          <w:rtl/>
        </w:rPr>
        <w:t xml:space="preserve"> في هذا السياق فكرة الإطار الرقابي المهني بوصفه خطوة مكملة للتنظيم التشريعي؛ إذ يرى أن الاكتفاء بنصوص عامة في نظام المحاماة أو في الأنظمة المكملة لا يكفي لضبط الممارسة، ما لم تُنشأ داخل المهنة نفسها آليات رقابة ولجان متخصصة قادرة على تقييم استخدام التقنية وفق معايير مهنية واضحة. ويمكن لهذا الإطار أن يتجسد في مدونة مهنية رقمية تصدر عن وزارة العدل أو الهيئة السعودية للمحامين، تنص على ضوابط استخدام الذكاء الاصطناعي، ومعايير اختيار المنصات، وواجب توثيق الإجراءات التقنية، وآليات التحقيق في أي إخلال يرتبط بإساءة استخدام هذه الأدوات</w:t>
      </w:r>
      <w:r>
        <w:rPr>
          <w:rFonts w:asciiTheme="majorBidi" w:hAnsiTheme="majorBidi" w:cstheme="majorBidi"/>
          <w:color w:val="000000" w:themeColor="text1"/>
          <w:sz w:val="24"/>
          <w:szCs w:val="24"/>
        </w:rPr>
        <w:t>.</w:t>
      </w:r>
    </w:p>
    <w:p w14:paraId="1150E3D0" w14:textId="77777777" w:rsidR="00957EC0" w:rsidRPr="00957EC0" w:rsidRDefault="00957EC0" w:rsidP="00957EC0">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بهذا المعنى، فإن غياب الإطار الرقابي المهني في مجال التقنية القانونية لا يُعد مجرد نقص تنظيمي ثانوي، بل هو عنصر أساسي يفسر جزءًا من القصور في حماية الثقة العامة في المهنة، وفي ضمان انسجام استخدام الذكاء الاصطناعي مع رسالة العدالة. ومن ثم، فإن معالجة هذا النقص تُعد ركنًا مهمًا من أركان التصور التنظيمي الذي تهدف هذه الرسالة إلى بنائه، بحيث لا يقتصر الإصلاح على تعديل النصوص أو إضافة تعريفات، بل يمتد إلى إنشاء منظومة رقابية مهنية قادرة على مواكبة سرعة التطور التقني، وضمان ألا تتحول أدوات الذكاء الاصطناعي من وسيلة لتطوير الخدمة القانونية إلى مصدر تهديد لحقوق المتقاضين وكرامة المهنة</w:t>
      </w:r>
      <w:r>
        <w:rPr>
          <w:rFonts w:asciiTheme="majorBidi" w:hAnsiTheme="majorBidi" w:cstheme="majorBidi"/>
          <w:color w:val="000000" w:themeColor="text1"/>
          <w:sz w:val="24"/>
          <w:szCs w:val="24"/>
        </w:rPr>
        <w:t>.</w:t>
      </w:r>
    </w:p>
    <w:p w14:paraId="6740665F" w14:textId="77777777" w:rsidR="00957EC0" w:rsidRDefault="00957EC0" w:rsidP="00807AA1">
      <w:pPr>
        <w:jc w:val="right"/>
        <w:rPr>
          <w:rFonts w:asciiTheme="majorBidi" w:hAnsiTheme="majorBidi" w:cstheme="majorBidi"/>
          <w:color w:val="000000" w:themeColor="text1"/>
          <w:sz w:val="24"/>
          <w:szCs w:val="24"/>
        </w:rPr>
      </w:pPr>
    </w:p>
    <w:p w14:paraId="2CA43E9D" w14:textId="77777777" w:rsidR="00957EC0" w:rsidRPr="00D41CB7" w:rsidRDefault="00957EC0" w:rsidP="00957EC0">
      <w:pPr>
        <w:jc w:val="center"/>
        <w:rPr>
          <w:rFonts w:asciiTheme="majorBidi" w:hAnsiTheme="majorBidi" w:cstheme="majorBidi"/>
          <w:b/>
          <w:bCs/>
          <w:color w:val="000000" w:themeColor="text1"/>
          <w:sz w:val="32"/>
          <w:szCs w:val="32"/>
        </w:rPr>
      </w:pPr>
      <w:r>
        <w:rPr>
          <w:rFonts w:asciiTheme="majorBidi" w:hAnsiTheme="majorBidi" w:cstheme="majorBidi" w:hint="cs"/>
          <w:b/>
          <w:bCs/>
          <w:color w:val="000000" w:themeColor="text1"/>
          <w:sz w:val="32"/>
          <w:szCs w:val="32"/>
          <w:rtl/>
        </w:rPr>
        <w:t>المطلب الثاني</w:t>
      </w:r>
    </w:p>
    <w:p w14:paraId="3402E501" w14:textId="77777777" w:rsidR="00957EC0" w:rsidRDefault="00957EC0" w:rsidP="00957EC0">
      <w:pPr>
        <w:jc w:val="center"/>
        <w:rPr>
          <w:rFonts w:asciiTheme="majorBidi" w:hAnsiTheme="majorBidi" w:cstheme="majorBidi"/>
          <w:b/>
          <w:bCs/>
          <w:color w:val="000000" w:themeColor="text1"/>
          <w:sz w:val="28"/>
          <w:szCs w:val="28"/>
          <w:rtl/>
        </w:rPr>
      </w:pPr>
      <w:r>
        <w:rPr>
          <w:rFonts w:asciiTheme="majorBidi" w:hAnsiTheme="majorBidi" w:cstheme="majorBidi" w:hint="cs"/>
          <w:b/>
          <w:bCs/>
          <w:color w:val="000000" w:themeColor="text1"/>
          <w:sz w:val="28"/>
          <w:szCs w:val="28"/>
          <w:rtl/>
        </w:rPr>
        <w:t>آثار الغياب التنظيمي للذكاء الاصطناعي على ممارسة مهنة المحاماة</w:t>
      </w:r>
    </w:p>
    <w:p w14:paraId="6E181447" w14:textId="77777777" w:rsidR="003835A4" w:rsidRPr="003835A4" w:rsidRDefault="003835A4" w:rsidP="003835A4">
      <w:pPr>
        <w:jc w:val="right"/>
        <w:rPr>
          <w:rFonts w:asciiTheme="majorBidi" w:hAnsiTheme="majorBidi" w:cstheme="majorBidi"/>
          <w:b/>
          <w:bCs/>
          <w:color w:val="000000" w:themeColor="text1"/>
          <w:sz w:val="24"/>
          <w:szCs w:val="24"/>
        </w:rPr>
      </w:pPr>
      <w:r>
        <w:rPr>
          <w:rFonts w:asciiTheme="majorBidi" w:hAnsiTheme="majorBidi" w:cstheme="majorBidi"/>
          <w:color w:val="000000" w:themeColor="text1"/>
          <w:sz w:val="24"/>
          <w:szCs w:val="24"/>
          <w:rtl/>
        </w:rPr>
        <w:t xml:space="preserve">كشف الواقع المهني في مكاتب المحاماة السعودية عن أن استخدام التقنيات الذكية سبق بكثير تطور النصوص التنظيمية. فالأنظمة ما تزال تتعامل مع المهنة كما لو كانت تُمارس في بيئة ورقية تقليدية، بينما انتقلت الممارسة الفعلية إلى بيئة رقمية تعتمد على منصات إلكترونية وأدوات بحث قانوني ذكية وأنظمة إدارة قضايا ونماذج </w:t>
      </w:r>
      <w:r>
        <w:rPr>
          <w:rFonts w:asciiTheme="majorBidi" w:hAnsiTheme="majorBidi" w:cstheme="majorBidi"/>
          <w:color w:val="000000" w:themeColor="text1"/>
          <w:sz w:val="24"/>
          <w:szCs w:val="24"/>
          <w:rtl/>
        </w:rPr>
        <w:lastRenderedPageBreak/>
        <w:t>تحليل وصياغة قائمة على الذكاء الاصطناعي. وقد ألقى هذا التباين بظلاله على المسؤولية المهنية، وعلى علاقة المحامي بموكله، وعلى جودة الخدمة القانونية ذاتها</w:t>
      </w:r>
      <w:r>
        <w:rPr>
          <w:rFonts w:asciiTheme="majorBidi" w:hAnsiTheme="majorBidi" w:cstheme="majorBidi"/>
          <w:color w:val="000000" w:themeColor="text1"/>
          <w:sz w:val="24"/>
          <w:szCs w:val="24"/>
        </w:rPr>
        <w:t>.</w:t>
      </w:r>
    </w:p>
    <w:p w14:paraId="2CCEDB7C"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وقد استعرض جانب من الفقه في بحوثهمما جملةً من النماذج التطبيقية لأبرز الإشكاليات التي نتجت عن غياب الإطار التنظيمي لاستخدامات الذكاء الاصطناعي، مشيرَين إلى أن هذا الغياب ألقى بظلاله على بعض الجهات في مختلف الدول. وبالنظر إلى الحالة السعودية، فإن تفاوت الممارسة في مكاتب المحاماة يُعكس بجلاء هذا الواقع، مما يستدعي تدخلًا تشريعيًا عاجلًا يُكمل التوجيهات الاسترشادية الصادرة عن سدايا بأحكام نظامية ملزمة ومتخصصة.</w:t>
      </w:r>
      <w:r>
        <w:rPr>
          <w:rStyle w:val="af"/>
          <w:rFonts w:asciiTheme="majorBidi" w:hAnsiTheme="majorBidi" w:cstheme="majorBidi"/>
          <w:sz w:val="24"/>
          <w:szCs w:val="24"/>
          <w:rtl/>
        </w:rPr>
        <w:footnoteReference w:id="144"/>
      </w:r>
    </w:p>
    <w:p w14:paraId="16C6E8E9"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أولًا: اضطراب حدود المسؤولية المهنية في ظل الأدوات الذكية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غياب تنظيم صريح لاستخدام الذكاء الاصطناعي في مكاتب المحاماة يجعل تقدير المسؤولية المهنية مسألة معقدة. فالمحامي قد يعتمد على الأنظمة الذكية في صياغة المذكرات أو تحليل الأنظمة، غير أن النظام لا يحدد متى يكون هذا الاعتماد مشروعًا، ولا متى يتحول إلى تقصير مهني. ويبين محمد شحادة إسماعيل في دراسته حول تأثير الذكاء الاصطناعي على المهن القانونية أن الاعتماد غير المنضبط على الأدوات التقنية قد يحوّل المحامي من صاحب اجتهاد مستقل إلى “ناقل” لمخرجات النظام، مما يخلق اضطرابًا خطيرًا في تحديد المسؤولية المهنية</w:t>
      </w:r>
      <w:r>
        <w:rPr>
          <w:rFonts w:asciiTheme="majorBidi" w:hAnsiTheme="majorBidi" w:cstheme="majorBidi"/>
          <w:color w:val="000000" w:themeColor="text1"/>
          <w:sz w:val="24"/>
          <w:szCs w:val="24"/>
        </w:rPr>
        <w:t>.</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وتزداد الحاجة إلى تحديد الحدود بين ما يعدّ اجتهادًا شخصيًا للمحامي وما يعدّ نتيجة للأداة التقنية، لأن مسؤولية المحامي في الأنظمة السعودية تُبنى على معيار “الخطأ المهني”، وهو معيار لا يمكن ضبطه دون معرفة الجانب البشري والجانب التقني في العملية المهنية. فإذا وقع خلل في التكييف أو الاستنباط نتيجة اعتماد على أداة ذكية، يصبح من غير الواضح ما إذا كانت المسؤولية تقع على المحامي، أم على مزود التقنية، أم أن النظام نفسه لا يقدم إطارًا كافيًا لتحديد هذه المسؤولية</w:t>
      </w:r>
      <w:r>
        <w:rPr>
          <w:rFonts w:asciiTheme="majorBidi" w:hAnsiTheme="majorBidi" w:cstheme="majorBidi"/>
          <w:color w:val="000000" w:themeColor="text1"/>
          <w:sz w:val="24"/>
          <w:szCs w:val="24"/>
        </w:rPr>
        <w:t>.</w:t>
      </w:r>
    </w:p>
    <w:p w14:paraId="67E1E359"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b/>
          <w:bCs/>
          <w:color w:val="000000" w:themeColor="text1"/>
          <w:sz w:val="24"/>
          <w:szCs w:val="24"/>
          <w:rtl/>
        </w:rPr>
        <w:t>ثانيًا: غياب الإفصاح عن استخدام الأنظمة الذكية وتأثيره على الثقة</w:t>
      </w:r>
      <w:r>
        <w:rPr>
          <w:rFonts w:asciiTheme="majorBidi" w:hAnsiTheme="majorBidi" w:cstheme="majorBidi"/>
          <w:color w:val="000000" w:themeColor="text1"/>
          <w:sz w:val="24"/>
          <w:szCs w:val="24"/>
        </w:rPr>
        <w:br/>
      </w:r>
      <w:r>
        <w:rPr>
          <w:rFonts w:asciiTheme="majorBidi" w:hAnsiTheme="majorBidi" w:cstheme="majorBidi"/>
          <w:color w:val="000000" w:themeColor="text1"/>
          <w:sz w:val="24"/>
          <w:szCs w:val="24"/>
          <w:rtl/>
        </w:rPr>
        <w:t>تؤكد الأدبيات الحديثة — ومن بينها دراسة سلسلة المعرفة القانونية — أن من أبرز المخاطر المهنية الناشئة في البيئة الرقمية هو غياب الشفافية بين المحامي وموكله بشأن طريقة إنجاز العمل القانوني. فالأنظمة الذكية كثيرًا ما تتولى إعداد مسودات أو تلخيص مستندات أو إجراء تحليل قانوني، لكن الموكل لا يعلم بذلك، ولا توجد نصوص نظامية تُلزم المحامي بالإفصاح عن استخدام هذه الأدوات أو الحصول على موافقة مسبقة عند إدخال بياناته في أنظمة معالجة ذكية</w:t>
      </w:r>
      <w:r>
        <w:rPr>
          <w:rFonts w:asciiTheme="majorBidi" w:hAnsiTheme="majorBidi" w:cstheme="majorBidi"/>
          <w:color w:val="000000" w:themeColor="text1"/>
          <w:sz w:val="24"/>
          <w:szCs w:val="24"/>
        </w:rPr>
        <w:t>.</w:t>
      </w:r>
    </w:p>
    <w:p w14:paraId="5FDBA9B8" w14:textId="77777777" w:rsidR="00B16B4E" w:rsidRDefault="00C702A9" w:rsidP="000D4B35">
      <w:pPr>
        <w:rPr>
          <w:rFonts w:asciiTheme="majorBidi" w:hAnsiTheme="majorBidi" w:cstheme="majorBidi"/>
          <w:sz w:val="24"/>
          <w:szCs w:val="24"/>
          <w:rtl/>
        </w:rPr>
      </w:pPr>
      <w:r>
        <w:rPr>
          <w:rFonts w:asciiTheme="majorBidi" w:hAnsiTheme="majorBidi" w:cstheme="majorBidi"/>
          <w:sz w:val="24"/>
          <w:szCs w:val="24"/>
          <w:rtl/>
        </w:rPr>
        <w:t>ويُعدّ الإفصاح عن استخدام الأنظمة الذكية التزامًا مهنيًا جوهريًا، إذ يرتبط بمبدأ الشفافية وحسن النية، ويجد سنده في نظام مكافحة الجرائم المعلوماتية الصادر بالمرسوم الملكي رقم م/17 لعام 1428هـ.</w:t>
      </w:r>
      <w:r>
        <w:rPr>
          <w:rtl/>
        </w:rPr>
        <w:footnoteReference w:id="145"/>
      </w:r>
    </w:p>
    <w:p w14:paraId="090AD043" w14:textId="77777777" w:rsidR="00B16B4E" w:rsidRDefault="00C702A9" w:rsidP="000D4B35">
      <w:pPr>
        <w:bidi/>
        <w:jc w:val="both"/>
        <w:rPr>
          <w:rFonts w:asciiTheme="majorBidi" w:hAnsiTheme="majorBidi" w:cstheme="majorBidi"/>
          <w:sz w:val="24"/>
          <w:szCs w:val="24"/>
          <w:rtl/>
        </w:rPr>
      </w:pPr>
      <w:r>
        <w:rPr>
          <w:rFonts w:asciiTheme="majorBidi" w:hAnsiTheme="majorBidi" w:cstheme="majorBidi"/>
          <w:sz w:val="24"/>
          <w:szCs w:val="24"/>
          <w:rtl/>
        </w:rPr>
        <w:t>وتُدعم هذه النتيجة بما أكده جانب من الفقه من أن أنظمة المسؤولية المدنية في المملكة العربية السعودية تفتقر إلى نصوص صريحة تُنظّم توزيع المسؤولية عند الأضرار الناجمة عن استخدام تقنيات الذكاء الاصطناعي في الخدمات القانونية، مما يُفضي إلى اعتماد القضاء على القياس والتفسير التوسعي للقواعد العامة، مع ما ينطوي عليه ذلك من حالة عدم يقين قانوني تضرّ باستقرار المعاملات وتُضعف الثقة في منظومة تقديم الخدمات القانونية الرقمية.</w:t>
      </w:r>
      <w:r>
        <w:rPr>
          <w:rStyle w:val="af"/>
          <w:rFonts w:asciiTheme="majorBidi" w:hAnsiTheme="majorBidi" w:cstheme="majorBidi"/>
          <w:sz w:val="24"/>
          <w:szCs w:val="24"/>
          <w:rtl/>
        </w:rPr>
        <w:footnoteReference w:id="146"/>
      </w:r>
    </w:p>
    <w:p w14:paraId="7EE45AB3" w14:textId="77777777" w:rsidR="003835A4" w:rsidRPr="003835A4" w:rsidRDefault="003835A4"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 xml:space="preserve">ويؤدي هذا الغياب في النصوص إلى هشاشة واضحة في مركز الموكل، لأن الثقة في مكتب المحامي تقوم تقليديًا على افتراض أن العمل المهني يتم بواسطة اجتهاد بشري مباشر. أما في البيئة الرقمية، فقد يُبنى قرار مهم أو يُقدم رأي قانوني معتمد على مخرجات نظام تقني دون علم الموكل أو دون قدر كافٍ من الرقابة البشرية. وفي حال </w:t>
      </w:r>
      <w:r>
        <w:rPr>
          <w:rFonts w:asciiTheme="majorBidi" w:hAnsiTheme="majorBidi" w:cstheme="majorBidi"/>
          <w:color w:val="000000" w:themeColor="text1"/>
          <w:sz w:val="24"/>
          <w:szCs w:val="24"/>
          <w:rtl/>
        </w:rPr>
        <w:lastRenderedPageBreak/>
        <w:t>ترتب ضرر نتيجة خطأ تقني أو ضعف أمان المنصة، يجد الموكل نفسه دون وسيلة واضحة للاعتراض أو المساءلة</w:t>
      </w:r>
      <w:r>
        <w:rPr>
          <w:rFonts w:asciiTheme="majorBidi" w:hAnsiTheme="majorBidi" w:cstheme="majorBidi"/>
          <w:color w:val="000000" w:themeColor="text1"/>
          <w:sz w:val="24"/>
          <w:szCs w:val="24"/>
        </w:rPr>
        <w:t>.</w:t>
      </w:r>
    </w:p>
    <w:p w14:paraId="1978865B" w14:textId="77777777" w:rsidR="003835A4" w:rsidRPr="003835A4" w:rsidRDefault="003835A4" w:rsidP="000D4B35">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ويتعمق هذا الأثر السلبي عندما تتعامل مكاتب المحاماة مع قواعد بيانات حساسة تتضمن معلومات شخصية وتجارية وقضائية تُرفع أحيانًا إلى أنظمة سحابية أو منصات ذكاء اصطناعي لأغراض التحليل أو الإدارة. وتشير الدراسات — ومنها دراسة سلسلة المعرفة القانونية — إلى أن أبرز ما يهدد المهن القانونية في البيئة الرقمية هو تآكل مركز “الموثوقية المطلقة” التي تتمتع بها مكاتب المحاماة. وفي ظل غياب قواعد مهنية خاصة بالمعالجة التقنية للبيانات داخل المكاتب، قد يعتمد المحامي على منصات غير آمنة أو مجانية دون إدراك حجم المخاطر أو طبيعة الجهات التي يمكنها الوصول إلى البيانات</w:t>
      </w:r>
      <w:r>
        <w:rPr>
          <w:rFonts w:asciiTheme="majorBidi" w:hAnsiTheme="majorBidi" w:cstheme="majorBidi"/>
          <w:color w:val="000000" w:themeColor="text1"/>
          <w:sz w:val="24"/>
          <w:szCs w:val="24"/>
        </w:rPr>
        <w:t>.</w:t>
      </w:r>
    </w:p>
    <w:p w14:paraId="3FC71851" w14:textId="77777777" w:rsidR="003835A4" w:rsidRPr="003835A4" w:rsidRDefault="003835A4" w:rsidP="003835A4">
      <w:pPr>
        <w:jc w:val="right"/>
        <w:rPr>
          <w:rFonts w:asciiTheme="majorBidi" w:hAnsiTheme="majorBidi" w:cstheme="majorBidi"/>
          <w:color w:val="000000" w:themeColor="text1"/>
          <w:sz w:val="24"/>
          <w:szCs w:val="24"/>
        </w:rPr>
      </w:pPr>
      <w:r>
        <w:rPr>
          <w:rFonts w:asciiTheme="majorBidi" w:hAnsiTheme="majorBidi" w:cstheme="majorBidi"/>
          <w:color w:val="000000" w:themeColor="text1"/>
          <w:sz w:val="24"/>
          <w:szCs w:val="24"/>
          <w:rtl/>
        </w:rPr>
        <w:t>ومع أن نظام حماية البيانات الشخصية يضع إطارًا عامًا للحماية، فإن عدم الربط بينه وبين تنظيم مهنة المحاماة يترك الموكل دون آلية واضحة لمساءلة المحامي عن خياراته التقنية. فغياب التنظيم لا يمس فقط الجانب الفني، بل يصل إلى جوهر العلاقة المهنية، ويجعل الثقة بين المحامي وموكله أكثر هشاشة في ظل الأدوات الذكية</w:t>
      </w:r>
      <w:r>
        <w:rPr>
          <w:rFonts w:asciiTheme="majorBidi" w:hAnsiTheme="majorBidi" w:cstheme="majorBidi"/>
          <w:color w:val="000000" w:themeColor="text1"/>
          <w:sz w:val="24"/>
          <w:szCs w:val="24"/>
        </w:rPr>
        <w:t>.</w:t>
      </w:r>
    </w:p>
    <w:p w14:paraId="53FCAB4C" w14:textId="77777777" w:rsidR="003835A4" w:rsidRPr="003835A4" w:rsidRDefault="003835A4" w:rsidP="003835A4">
      <w:pPr>
        <w:jc w:val="right"/>
        <w:rPr>
          <w:rFonts w:asciiTheme="majorBidi" w:hAnsiTheme="majorBidi" w:cstheme="majorBidi"/>
          <w:color w:val="000000" w:themeColor="text1"/>
          <w:sz w:val="24"/>
          <w:szCs w:val="24"/>
          <w:rtl/>
        </w:rPr>
      </w:pPr>
    </w:p>
    <w:p w14:paraId="1F447494"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ثالثًا: تفاوت حاد في جودة الخدمات القانونية بين المكاتب</w:t>
      </w:r>
    </w:p>
    <w:p w14:paraId="20390FCF"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ويُضيف جانب من الفقه في بحوثهمما إلى هذا السياق أن انعدام قواعد اشتراطات موحدة للأدوات الذكية المستخدمة في تقديم الخدمات القانونية يُوجد فجوةً نوعيةً واضحةً بين المكاتب التي تمتلك إمكانات تقنية متقدمة وتلك التي تعمل بالأدوات التقليدية، وهو تفاوت يُلقي بظلاله على مبدأ المساواة في تلقّي الخدمة القانونية ويطرح تساؤلات جدية حول واجب المحامي تجاه موكله في ظل هذه الفجوة الرقمية.</w:t>
      </w:r>
      <w:r>
        <w:rPr>
          <w:rStyle w:val="af"/>
          <w:rFonts w:asciiTheme="majorBidi" w:hAnsiTheme="majorBidi" w:cstheme="majorBidi"/>
          <w:sz w:val="24"/>
          <w:szCs w:val="24"/>
          <w:rtl/>
        </w:rPr>
        <w:footnoteReference w:id="147"/>
      </w:r>
    </w:p>
    <w:p w14:paraId="48203AF6"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الفراغ التنظيمي في مجال الذكاء الاصطناعي داخل مكاتب المحاماة أدى عمليًا إلى خلق بيئة تنافسية غير متوازنة. فبعض المكاتب استثمرت في أدوات ذكية متقدمة، ووضعت لها سياسات داخلية، واعتمدت فرقًا قانونية قادرة على التمييز بين المخرجات التقنية المقبولة وتلك التي تحتاج إلى مراجعة عميقة، بينما لجأت مكاتب أخرى إلى استعمال أدوات مجانية أو بدائية، أو امتنعت عن استخدام التقنية تمامًا خوفًا من المسؤولية أو الجهل بضوابطها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مجلة العدالة في بحثها حول المسؤولية عن الذكاء الاصطناعي تشير إلى أن غياب المعايير المهنية التقنية يؤدي إلى “فوضى في الجودة” داخل السوق القانوني؛ فموكلان في قضيتين متشابهتين قد يحصلان على مستوى مختلف جذريًا من الخدمة لمجرد اختلاف سياسة المكتب تجاه التقنية، لا لاختلاف في الكفاءة العلمية للمحامين</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جانب من الفقه</w:t>
      </w:r>
      <w:r>
        <w:rPr>
          <w:rStyle w:val="af"/>
          <w:rFonts w:asciiTheme="majorBidi" w:hAnsiTheme="majorBidi" w:cstheme="majorBidi"/>
          <w:sz w:val="24"/>
          <w:szCs w:val="24"/>
          <w:rtl/>
        </w:rPr>
        <w:footnoteReference w:id="148"/>
      </w:r>
      <w:r>
        <w:rPr>
          <w:rFonts w:asciiTheme="majorBidi" w:hAnsiTheme="majorBidi" w:cstheme="majorBidi"/>
          <w:sz w:val="24"/>
          <w:szCs w:val="24"/>
          <w:rtl/>
        </w:rPr>
        <w:t>، في بحثه عن حماية التصرفات القانونية وإثباتها عبر تطبيقات الذكاء الاصطناعي، يلفت النظر إلى أن المكاتب التي تحسن توظيف التقنية ضمن ضوابط منهجية تحقق جودة أعلى وسرعة أكبر في الإنجاز، لكن في غياب تنظيم مهني، قد تُتهم هذه المكاتب بالتفريط في السرية أو الاعتماد المفرط على الآلات، في حين لا يُحاسب من يستخدم التقنية بشكل عشوائي أو غير آمن. هذا التناقض يضعف فكرة المنافسة العادلة، ويجعل تطور الجودة مرتبطًا باجتهاد كل مكتب لا بإطار عام يضمن حدًا أدنى من الممارسة التقنية المسؤولة</w:t>
      </w:r>
      <w:r>
        <w:rPr>
          <w:rFonts w:asciiTheme="majorBidi" w:hAnsiTheme="majorBidi" w:cstheme="majorBidi"/>
          <w:sz w:val="24"/>
          <w:szCs w:val="24"/>
        </w:rPr>
        <w:t>.</w:t>
      </w:r>
    </w:p>
    <w:p w14:paraId="1782C324"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رابعًا: تضارب في الممارسة بين القضاء والمكاتب بسبب غياب قواعد واضحة للأدلة الذكية</w:t>
      </w:r>
    </w:p>
    <w:p w14:paraId="0E84F268"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المحاكم السعودية تشهد توسعًا مستمرًا في الاعتماد على الأنظمة الإلكترونية ومنصات التقاضي، لكن هذا التطور لم يُرافقه تنظيم تفصيلي لمكانة المذكرات أو التقارير أو الملخصات التي تنتج عن أنظمة الذكاء الاصطناعي داخل مكاتب المحاماة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مجلة الشريعة والقانون</w:t>
      </w:r>
      <w:r>
        <w:rPr>
          <w:rStyle w:val="af"/>
          <w:rFonts w:asciiTheme="majorBidi" w:hAnsiTheme="majorBidi" w:cstheme="majorBidi"/>
          <w:sz w:val="24"/>
          <w:szCs w:val="24"/>
          <w:rtl/>
        </w:rPr>
        <w:footnoteReference w:id="149"/>
      </w:r>
      <w:r>
        <w:rPr>
          <w:rFonts w:asciiTheme="majorBidi" w:hAnsiTheme="majorBidi" w:cstheme="majorBidi"/>
          <w:sz w:val="24"/>
          <w:szCs w:val="24"/>
          <w:rtl/>
        </w:rPr>
        <w:t xml:space="preserve"> في دراستها عن الذكاء الاصطناعي والعمل القضائي تؤكد أن القاضي أصبح يتلقى </w:t>
      </w:r>
      <w:r>
        <w:rPr>
          <w:rFonts w:asciiTheme="majorBidi" w:hAnsiTheme="majorBidi" w:cstheme="majorBidi"/>
          <w:sz w:val="24"/>
          <w:szCs w:val="24"/>
          <w:rtl/>
        </w:rPr>
        <w:lastRenderedPageBreak/>
        <w:t>اليوم مذكرات قد أُعدت جزئيًا أو كليًا بمساعدة أدوات ذكية، دون أن يكون ملزمًا بمعيار محدد في تقييمها: هل يُعطيها ذات الوزن الذي يعطيه للمذكرة التقليدية؟ هل يطالب المحامي بالإفصاح عن طريقة إعدادها؟ هل يحق له التشكيك في دقتها بسبب مصدرها التقني؟</w:t>
      </w:r>
      <w:r>
        <w:rPr>
          <w:rFonts w:asciiTheme="majorBidi" w:hAnsiTheme="majorBidi" w:cstheme="majorBidi"/>
          <w:sz w:val="24"/>
          <w:szCs w:val="24"/>
        </w:rPr>
        <w:br/>
      </w:r>
      <w:r>
        <w:rPr>
          <w:rFonts w:asciiTheme="majorBidi" w:hAnsiTheme="majorBidi" w:cstheme="majorBidi"/>
          <w:sz w:val="24"/>
          <w:szCs w:val="24"/>
          <w:rtl/>
        </w:rPr>
        <w:t>في ظل غياب تنظيم خاص، يصبح تعامل القضاة مع هذه المخرجات رهينًا للاجتهاد الفردي؛ فبعضهم يتوجس من الاعتماد على نصوص معدة بواسطة أنظمة ذكية، فيتشدّد في تقدير حجيتها، بينما قد يقبل آخر بها ما دامت صادرة عن محامٍ مرخَّص. هذا التضارب ينعكس مباشرة على مكاتب المحاماة؛ إذ تجد نفسها أمام بيئة قضائية غير متجانسة في استقبال الأدوات الحديثة، مما يجعل الاستثمار في الذكاء الاصطناعي مخاطرة مهنية غير محسوبة في بعض الأحيان</w:t>
      </w:r>
      <w:r>
        <w:rPr>
          <w:rFonts w:asciiTheme="majorBidi" w:hAnsiTheme="majorBidi" w:cstheme="majorBidi"/>
          <w:sz w:val="24"/>
          <w:szCs w:val="24"/>
        </w:rPr>
        <w:t>.</w:t>
      </w:r>
    </w:p>
    <w:p w14:paraId="1D542759"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t>وفي هذا الصدد، نبّهت رسالة بالل (2023م) إلى أن غياب النص الصريح يفتح المجال لتقدير قضائي مطلق في قبول مخرجات الأنظمة الذكية أو ردّها، وهو ما يخلق تفاوتًا في معاملة المتقاضين يتعارض مع مبدأ المساواة أمام القضاء المكفول بموجب الأنظمة الأساسية للحكم في المملكة العربية السعودية.</w:t>
      </w:r>
      <w:r>
        <w:rPr>
          <w:rtl/>
        </w:rPr>
        <w:footnoteReference w:id="150"/>
      </w:r>
    </w:p>
    <w:p w14:paraId="40763136"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t>ويُسند ذلك ما أورده محمود وعناني (د.ت) من أن القضاة في المحاكم المدنية التي تستخدم الأنظمة الذكية يجدون أنفسهم أمام مفارقة منهجية: فهم يُدركون أن المذكرة المعدّة بمساعدة الذكاء الاصطناعي قد تكون أكثر استيعابًا وتوثيقًا من المذكرة التقليدية، لكنهم في الوقت ذاته يفتقرون إلى معيار نظامي يضبط طريقة قبولها وتقييمها.</w:t>
      </w:r>
      <w:r>
        <w:rPr>
          <w:rtl/>
        </w:rPr>
        <w:footnoteReference w:id="151"/>
      </w:r>
    </w:p>
    <w:p w14:paraId="114AC115" w14:textId="77777777" w:rsidR="000003D3" w:rsidRPr="000003D3" w:rsidRDefault="000003D3" w:rsidP="000003D3">
      <w:pPr>
        <w:jc w:val="right"/>
        <w:rPr>
          <w:rFonts w:asciiTheme="majorBidi" w:hAnsiTheme="majorBidi" w:cstheme="majorBidi"/>
          <w:b/>
          <w:bCs/>
          <w:sz w:val="24"/>
          <w:szCs w:val="24"/>
        </w:rPr>
      </w:pPr>
      <w:r>
        <w:rPr>
          <w:rFonts w:asciiTheme="majorBidi" w:hAnsiTheme="majorBidi" w:cstheme="majorBidi"/>
          <w:b/>
          <w:bCs/>
          <w:sz w:val="24"/>
          <w:szCs w:val="24"/>
          <w:rtl/>
        </w:rPr>
        <w:t>خامسًا: تشجيع الممارسات غير الرسمية والالتفاف على غياب التنظيم</w:t>
      </w:r>
    </w:p>
    <w:p w14:paraId="7BDDFBA5" w14:textId="77777777" w:rsidR="00D57654" w:rsidRDefault="00C702A9">
      <w:pPr>
        <w:jc w:val="both"/>
        <w:rPr>
          <w:rFonts w:asciiTheme="majorBidi" w:hAnsiTheme="majorBidi" w:cstheme="majorBidi"/>
          <w:sz w:val="24"/>
          <w:szCs w:val="24"/>
          <w:rtl/>
        </w:rPr>
      </w:pPr>
      <w:r>
        <w:rPr>
          <w:rFonts w:asciiTheme="majorBidi" w:hAnsiTheme="majorBidi" w:cstheme="majorBidi"/>
          <w:sz w:val="24"/>
          <w:szCs w:val="24"/>
          <w:rtl/>
        </w:rPr>
        <w:t>وقد رصدت بعض الدراسات نمطًا متكررًا في أوساط المحامين العرب المستخدمين للذكاء الاصطناعي يتمثل في الالتفاف على الغياب التنظيمي عبر تبني ممارسات غير رسمية تعوّض النص الغائب، وهو نمط يُفضي وإن بدا عمليًا في المدى القصير إلى تضارب السوابق المهنية وانعدام معيار موحّد للجودة والمساءلة.</w:t>
      </w:r>
      <w:r>
        <w:rPr>
          <w:rtl/>
        </w:rPr>
        <w:footnoteReference w:id="152"/>
      </w:r>
    </w:p>
    <w:p w14:paraId="0E0BF1EA" w14:textId="77777777" w:rsidR="000003D3" w:rsidRPr="000003D3" w:rsidRDefault="000003D3" w:rsidP="000003D3">
      <w:pPr>
        <w:jc w:val="right"/>
        <w:rPr>
          <w:rFonts w:asciiTheme="majorBidi" w:hAnsiTheme="majorBidi" w:cstheme="majorBidi"/>
          <w:sz w:val="24"/>
          <w:szCs w:val="24"/>
        </w:rPr>
      </w:pPr>
      <w:r>
        <w:rPr>
          <w:rFonts w:asciiTheme="majorBidi" w:hAnsiTheme="majorBidi" w:cstheme="majorBidi"/>
          <w:sz w:val="24"/>
          <w:szCs w:val="24"/>
          <w:rtl/>
        </w:rPr>
        <w:t>حين لا يضع المشرّع إطارًا واضحًا لاستخدام الذكاء الاصطناعي في المهنة، تتولد تلقائيًا ممارسات غير رسمية تحاول ملء الفراغ. ففي الواقع العملي، قد يلجأ بعض المحامين إلى استخدام أدوات خارجية غير مصرّح بها، أو إلى تفويض جزء من العمل القانوني إلى أنظمة آلية دون إخبار الموكل بذلك، أو إلى الاعتماد على قوالب معدة تقنيًا وإعادة تمريرها دون مراجعة كافية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دراسة “الذكاء الاصطناعي والآثار القانونية المترتبة عن استخدامه” المنشورة في إحدى المجلات العلمية تبيّن أن غياب التنظيم لا يؤدي إلى توقف استخدام التقنية، بل إلى استخدامها في “ظل المنطقة الرمادية”، حيث لا توجد رقابة واضحة ولا شفافية كافية. وفي هذه البيئة، يصبح من الصعب على الموكل، بل وعلى الجهات الرقابية، الكشف عن مدى التزام المكتب بمعايير مهنية سليمة في توظيف الذكاء الاصطناعي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هذه الممارسات غير الرسمية قد تتسع مع الوقت لتشكّل عرفًا تقنيًا غير مكتوب داخل المهنة، وهو أمر بالغ الخطورة؛ لأن الأعراف التي تتكون بعيدًا عن عين التنظيم والرقابة قد تكرّس أنماطًا من السلوك لا تنسجم مع رسالة العدالة، مثل تغليب السرعة على الجودة، أو التضحية بسرية البيانات في مقابل تقليل التكلفة</w:t>
      </w:r>
      <w:r>
        <w:rPr>
          <w:rFonts w:asciiTheme="majorBidi" w:hAnsiTheme="majorBidi" w:cstheme="majorBidi"/>
          <w:sz w:val="24"/>
          <w:szCs w:val="24"/>
        </w:rPr>
        <w:t>.</w:t>
      </w:r>
    </w:p>
    <w:p w14:paraId="7B4C52FB" w14:textId="77777777" w:rsidR="000003D3" w:rsidRDefault="000003D3" w:rsidP="000D4B35">
      <w:pPr>
        <w:jc w:val="right"/>
        <w:rPr>
          <w:rFonts w:asciiTheme="majorBidi" w:hAnsiTheme="majorBidi" w:cstheme="majorBidi"/>
          <w:b/>
          <w:bCs/>
          <w:sz w:val="24"/>
          <w:szCs w:val="24"/>
          <w:rtl/>
        </w:rPr>
      </w:pPr>
      <w:r>
        <w:rPr>
          <w:rFonts w:asciiTheme="majorBidi" w:hAnsiTheme="majorBidi" w:cstheme="majorBidi"/>
          <w:b/>
          <w:bCs/>
          <w:sz w:val="24"/>
          <w:szCs w:val="24"/>
          <w:rtl/>
        </w:rPr>
        <w:t>سادسًا: إضعاف ثقة المتعاملين في التحول العدلي الرقمي</w:t>
      </w:r>
    </w:p>
    <w:p w14:paraId="3A185122"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 تحليل آليات استعادة الثقة المهزوزة، اقترح جانب من الفقه منظومة شفافية قضائية رقمية تُلزم الجهات القضائية بالإفصاح عن الأنظمة الذكية التي توظّفها، وتُوفر للمتقاضين ملخصاً مبسطاً عن آليات عمل هذه </w:t>
      </w:r>
      <w:r>
        <w:rPr>
          <w:rFonts w:asciiTheme="majorBidi" w:hAnsiTheme="majorBidi" w:cstheme="majorBidi"/>
          <w:sz w:val="24"/>
          <w:szCs w:val="24"/>
          <w:rtl/>
        </w:rPr>
        <w:lastRenderedPageBreak/>
        <w:t>الأنظمة وحدودها، وتُتيح آلية للطعن في قراءة النظام إذا رأى المتقاضي أن النتيجة الخوارزمية انطوت على تحيز غير مبرر.</w:t>
      </w:r>
      <w:r>
        <w:rPr>
          <w:rtl/>
        </w:rPr>
        <w:footnoteReference w:id="153"/>
      </w:r>
    </w:p>
    <w:p w14:paraId="51ED5932"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وفيما يخص علاقة الثقة بالتحول العدلي الرقمي، رصد جانب من الفقه أن استطلاعات الرأي المعتمدة في عدد من الدول الخليجية تُشير إلى أن ما نسبته 60% من المتقاضين لا يعلمون باستخدام الذكاء الاصطناعي في معالجة ملفاتهم القضائية، وأن هذا الجهل لا يعكس رضا بالأمر الواقع، بل مجرد انعدام الإفصاح من جهات التقاضي، وهو ما يُهدد الثقة بمنظومة العدالة حين يُكشف عنه لاحقاً.</w:t>
      </w:r>
      <w:r>
        <w:rPr>
          <w:rtl/>
        </w:rPr>
        <w:footnoteReference w:id="154"/>
      </w:r>
    </w:p>
    <w:p w14:paraId="1983B6D2"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وفي سياق إضعاف الثقة المرتبط بالتحول العدلي الرقمي، لفتت الجلعود إلى أن انعدام الشفافية في آليات عمل أنظمة الذكاء الاصطناعي المستخدمة في القضاء يُشكّل عائقاً نفسياً وقانونياً أمام قبول المتقاضين لمخرجاتها؛ إذ يصعب على الخصم أن يُفنّد حكماً إذا كانت المعطيات التي بُني عليها مُخفاة داخل صندوق أسود خوارزمي لا يمكن فحصه.</w:t>
      </w:r>
      <w:r>
        <w:rPr>
          <w:rtl/>
        </w:rPr>
        <w:footnoteReference w:id="155"/>
      </w:r>
    </w:p>
    <w:p w14:paraId="6D096017"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أحد أهم أهداف التحول الرقمي في العدالة هو تعزيز ثقة الأفراد في أن البيئة الإلكترونية لا تقل أمانًا وكفاءة عن البيئة التقليدية، بل قد تتفوق عليها بفضل قدرتها على توحيد الإجراءات وتحسين جودة الخدمات وسرعة الوصول إليها. غير أن غياب تنظيم واضح لاستخدام الذكاء الاصطناعي في مكاتب المحاماة يهدد هذا الهدف من الداخل؛ إذ إن إحساس المتقاضين بأن التقنية قد تشكل خطرًا على سرية بياناتهم، أو أن المسؤولية المهنية غير واضحة عند وقوع الخطأ، أو أن جودة الخدمة تختلف باختلاف الأدوات الذكية المستخدمة، يؤدي إلى اهتزاز الثقة بالعدالة الرقمية نفسها</w:t>
      </w:r>
      <w:r>
        <w:rPr>
          <w:rFonts w:asciiTheme="majorBidi" w:hAnsiTheme="majorBidi" w:cstheme="majorBidi"/>
          <w:sz w:val="24"/>
          <w:szCs w:val="24"/>
        </w:rPr>
        <w:t>.</w:t>
      </w:r>
    </w:p>
    <w:p w14:paraId="1BB84F57"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وتشير دراسات منشورة في مجلة العدالة وعدد من المجلات القانونية المتخصصة في الذكاء الاصطناعي إلى أن ثقة الجمهور في المهن القانونية ترتبط بوضوح معايير العمل أكثر من ارتباطها بتطور أدوات العمل. فالإنسان لا يخشى الأداة التقنية بحد ذاتها، بل يخشى استخدامًا غير منضبط أو غير خاضع للمساءلة. ومن ثم، فإن إدخال الذكاء الاصطناعي في بيئة مهنية تفتقر إلى تنظيم واضح قد يجعله عنصرًا مقلقًا بدلًا من أن يكون عنصرًا داعمًا للثقة</w:t>
      </w:r>
      <w:r>
        <w:rPr>
          <w:rFonts w:asciiTheme="majorBidi" w:hAnsiTheme="majorBidi" w:cstheme="majorBidi"/>
          <w:sz w:val="24"/>
          <w:szCs w:val="24"/>
        </w:rPr>
        <w:t>.</w:t>
      </w:r>
    </w:p>
    <w:p w14:paraId="08C86F30" w14:textId="77777777" w:rsidR="004F7A59" w:rsidRPr="004F7A59" w:rsidRDefault="004F7A59" w:rsidP="000D4B35">
      <w:pPr>
        <w:jc w:val="right"/>
        <w:rPr>
          <w:rFonts w:asciiTheme="majorBidi" w:hAnsiTheme="majorBidi" w:cstheme="majorBidi"/>
          <w:sz w:val="24"/>
          <w:szCs w:val="24"/>
        </w:rPr>
      </w:pPr>
      <w:r>
        <w:rPr>
          <w:rFonts w:asciiTheme="majorBidi" w:hAnsiTheme="majorBidi" w:cstheme="majorBidi"/>
          <w:sz w:val="24"/>
          <w:szCs w:val="24"/>
          <w:rtl/>
        </w:rPr>
        <w:t>وفي هذا السياق، تبرز الحاجة الملحّة إلى تضمين معايير الشفافية والسرية والأمان ضمن التنظيمات المهنية لمكاتب المحاماة؛ فهذه المعايير لا تُعدّ قيمًا أخلاقية فحسب، بل هي متطلبات تقنية وقانونية ضرورية لضمان ثقة المتعاملين في الأنظمة العدلية الرقمية. فالشفافية تضمن معرفة الموكل بكيفية استخدام بياناته وبالأدوات التقنية المشاركة في إنجاز عمله، والسرية تعزز حماية المعلومات الحساسة من التسرب والاستخدام غير المشروع، بينما يوفّر الأمان التقني ضمانات تمنع إساءة الاستخدام أو التلاعب بالمخرجات الذكية</w:t>
      </w:r>
      <w:r>
        <w:rPr>
          <w:rFonts w:asciiTheme="majorBidi" w:hAnsiTheme="majorBidi" w:cstheme="majorBidi"/>
          <w:sz w:val="24"/>
          <w:szCs w:val="24"/>
        </w:rPr>
        <w:t>.</w:t>
      </w:r>
    </w:p>
    <w:p w14:paraId="0C5E28DB" w14:textId="77777777" w:rsidR="004F7A59" w:rsidRPr="004F7A59" w:rsidRDefault="004F7A59" w:rsidP="000D4B35">
      <w:pPr>
        <w:jc w:val="right"/>
        <w:rPr>
          <w:rFonts w:asciiTheme="majorBidi" w:hAnsiTheme="majorBidi" w:cstheme="majorBidi"/>
          <w:b/>
          <w:bCs/>
          <w:sz w:val="24"/>
          <w:szCs w:val="24"/>
        </w:rPr>
      </w:pPr>
      <w:r>
        <w:rPr>
          <w:rFonts w:asciiTheme="majorBidi" w:hAnsiTheme="majorBidi" w:cstheme="majorBidi"/>
          <w:sz w:val="24"/>
          <w:szCs w:val="24"/>
          <w:rtl/>
        </w:rPr>
        <w:t>إن غياب هذه المعايير ضمن إطار تنظيمي واضح يؤدي إلى نتائج عملية بالغة الخطورة؛ إذ يربك معايير المسؤولية المهنية، ويضعف حماية الموكل، ويخلق تفاوتًا كبيرًا في جودة الخدمات القانونية، ويفتح الباب أمام تباين في تعامل القضاء مع المخرجات الذكية، وقد يشجع ممارسات تقنية غير رسمية تضر بالعدالة. وهذه النتائج مجتمعة تُبرز ضرورة بناء إطار نظامي ومهني شامل ينظم توظيف الذكاء الاصطناعي في مهنة المحاماة، ويرسّخ مبادئ الشفافية والسرية والأمان كمتطلبات أساسية لضمان ثقة المجتمع في العدالة الرقمية</w:t>
      </w:r>
      <w:r>
        <w:rPr>
          <w:rFonts w:asciiTheme="majorBidi" w:hAnsiTheme="majorBidi" w:cstheme="majorBidi"/>
          <w:b/>
          <w:bCs/>
          <w:sz w:val="24"/>
          <w:szCs w:val="24"/>
        </w:rPr>
        <w:t>.</w:t>
      </w:r>
    </w:p>
    <w:p w14:paraId="135217AD" w14:textId="77777777" w:rsidR="004F7A59" w:rsidRDefault="004F7A59" w:rsidP="000D4B35">
      <w:pPr>
        <w:jc w:val="right"/>
        <w:rPr>
          <w:rFonts w:asciiTheme="majorBidi" w:hAnsiTheme="majorBidi" w:cstheme="majorBidi"/>
          <w:b/>
          <w:bCs/>
          <w:sz w:val="24"/>
          <w:szCs w:val="24"/>
        </w:rPr>
      </w:pPr>
    </w:p>
    <w:p w14:paraId="4F631194" w14:textId="77777777" w:rsidR="00E82B9E" w:rsidRDefault="00E82B9E" w:rsidP="000D4B35">
      <w:pPr>
        <w:jc w:val="right"/>
        <w:rPr>
          <w:rFonts w:asciiTheme="majorBidi" w:hAnsiTheme="majorBidi" w:cstheme="majorBidi"/>
          <w:b/>
          <w:bCs/>
          <w:sz w:val="24"/>
          <w:szCs w:val="24"/>
        </w:rPr>
      </w:pPr>
    </w:p>
    <w:p w14:paraId="26A62A6B" w14:textId="77777777" w:rsidR="00E82B9E" w:rsidRPr="000003D3" w:rsidRDefault="00E82B9E" w:rsidP="000D4B35">
      <w:pPr>
        <w:jc w:val="right"/>
        <w:rPr>
          <w:rFonts w:asciiTheme="majorBidi" w:hAnsiTheme="majorBidi" w:cstheme="majorBidi"/>
          <w:b/>
          <w:bCs/>
          <w:sz w:val="24"/>
          <w:szCs w:val="24"/>
        </w:rPr>
      </w:pPr>
    </w:p>
    <w:p w14:paraId="4FB60191"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وخلاصة ما أسفر عنه هذا المبحث،</w:t>
      </w:r>
      <w:r>
        <w:rPr>
          <w:rFonts w:asciiTheme="majorBidi" w:hAnsiTheme="majorBidi" w:cstheme="majorBidi"/>
          <w:sz w:val="24"/>
          <w:szCs w:val="24"/>
          <w:rtl/>
        </w:rPr>
        <w:t xml:space="preserve"> يتبيّن من خلال التحليل المتعمق لنصوص نظام المحاماة والأنظمة المكملة له، مقرونًا بدراسة واقع الممارسة في مكاتب المحاماة السعودية، أن المنظومة النظامية الحالية ما زالت تُدار بذهنية تشريعية سابقة للتحول الرقمي، في حين أن الممارسة المهنية قد تجاوزت هذا الإطار ودخلت مرحلة جديدة تقوم على الأدوات الذكية، والمنصات الرقمية، والتحليل التقني للمعلومات القانونية. ويُعد هذا التباين بين النص النظامي والواقع العملي جوهر الفجوة التنظيمية التي تناولها هذا المبحث، إذ أصبح الواقع المهني يتحرك بوتيرة أسرع من قدرة النصوص القائمة على الاستيعاب والتنظيم</w:t>
      </w:r>
      <w:r>
        <w:rPr>
          <w:rFonts w:asciiTheme="majorBidi" w:hAnsiTheme="majorBidi" w:cstheme="majorBidi"/>
          <w:sz w:val="24"/>
          <w:szCs w:val="24"/>
        </w:rPr>
        <w:t>.</w:t>
      </w:r>
    </w:p>
    <w:p w14:paraId="14670872" w14:textId="77777777" w:rsidR="00D57654" w:rsidRDefault="00C702A9" w:rsidP="007C2A87">
      <w:pPr>
        <w:jc w:val="right"/>
        <w:rPr>
          <w:rFonts w:asciiTheme="majorBidi" w:hAnsiTheme="majorBidi" w:cstheme="majorBidi"/>
          <w:sz w:val="24"/>
          <w:szCs w:val="24"/>
          <w:rtl/>
        </w:rPr>
      </w:pPr>
      <w:commentRangeStart w:id="10"/>
      <w:commentRangeStart w:id="11"/>
      <w:r>
        <w:rPr>
          <w:rFonts w:asciiTheme="majorBidi" w:hAnsiTheme="majorBidi" w:cstheme="majorBidi"/>
          <w:sz w:val="24"/>
          <w:szCs w:val="24"/>
          <w:rtl/>
        </w:rPr>
        <w:t>وخلاصةً لما أسفر عنه هذا المبحث، يخلص الباحث إلى أن منظومة الذكاء الاصطناعي القضائي تحتاج في المرحلة الراهنة إلى مقاربة ثلاثية الأبعاد: بُعد التشريع التدريجي الذي يُواكب التطور التقني، وبُعد التأهيل المهني الذي يُكسب القضاة والمحامين والمتقاضين الوعي الكافي، وبُعد التقييم المستقل الدوري الذي يُخضع الأنظمة الذكية المستخدمة لمراجعة موضوعية منتظمة</w:t>
      </w:r>
      <w:commentRangeEnd w:id="10"/>
      <w:r>
        <w:rPr>
          <w:rStyle w:val="af0"/>
          <w:rFonts w:asciiTheme="majorBidi" w:hAnsiTheme="majorBidi" w:cstheme="majorBidi"/>
          <w:sz w:val="24"/>
          <w:szCs w:val="24"/>
          <w:rtl/>
        </w:rPr>
        <w:commentReference w:id="10"/>
      </w:r>
      <w:commentRangeEnd w:id="11"/>
      <w:r>
        <w:rPr>
          <w:rStyle w:val="af0"/>
          <w:rFonts w:asciiTheme="majorBidi" w:hAnsiTheme="majorBidi" w:cstheme="majorBidi"/>
          <w:sz w:val="24"/>
          <w:szCs w:val="24"/>
          <w:rtl/>
        </w:rPr>
        <w:commentReference w:id="11"/>
      </w:r>
      <w:r>
        <w:rPr>
          <w:rFonts w:asciiTheme="majorBidi" w:hAnsiTheme="majorBidi" w:cstheme="majorBidi"/>
          <w:sz w:val="24"/>
          <w:szCs w:val="24"/>
          <w:rtl/>
        </w:rPr>
        <w:t>.</w:t>
      </w:r>
      <w:r>
        <w:rPr>
          <w:rtl/>
        </w:rPr>
        <w:footnoteReference w:id="156"/>
      </w:r>
    </w:p>
    <w:p w14:paraId="4FBBBF0D" w14:textId="77777777" w:rsidR="00D57654" w:rsidRDefault="00C702A9" w:rsidP="007C2A87">
      <w:pPr>
        <w:jc w:val="right"/>
        <w:rPr>
          <w:rFonts w:asciiTheme="majorBidi" w:hAnsiTheme="majorBidi" w:cstheme="majorBidi"/>
          <w:sz w:val="24"/>
          <w:szCs w:val="24"/>
          <w:rtl/>
        </w:rPr>
      </w:pPr>
      <w:r>
        <w:rPr>
          <w:rFonts w:asciiTheme="majorBidi" w:hAnsiTheme="majorBidi" w:cstheme="majorBidi"/>
          <w:sz w:val="24"/>
          <w:szCs w:val="24"/>
          <w:rtl/>
        </w:rPr>
        <w:t>وخلاصةً لمحاور هذا المبحث، أكد جانب من الفقه أن غياب منظومة تشريعية متسقة في مسألة الذكاء الاصطناعي القانوني يُولّد ثلاثة مخاطر متداخلة: خطر التحيز في المعالجة الآلية، وخطر انعدام المساءلة عن أخطاء النظام، وخطر التمييز غير المقصود في الخدمات القانونية حين تُعتمد نماذج غير محايدة في التصنيف والتنبؤ، وأن التشريع الفعّال هو وحده الكفيل بمعالجة هذه المخاطر الثلاثة بصورة منهجية.</w:t>
      </w:r>
      <w:r>
        <w:rPr>
          <w:rtl/>
        </w:rPr>
        <w:footnoteReference w:id="157"/>
      </w:r>
    </w:p>
    <w:p w14:paraId="709D340E"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وقد أظهر التحليل في هذا السياق</w:t>
      </w:r>
      <w:r>
        <w:rPr>
          <w:rFonts w:asciiTheme="majorBidi" w:hAnsiTheme="majorBidi" w:cstheme="majorBidi"/>
          <w:sz w:val="24"/>
          <w:szCs w:val="24"/>
          <w:rtl/>
        </w:rPr>
        <w:t xml:space="preserve"> أن نظام المحاماة السعودي، رغم صلابته في تنظيم الجوانب التقليدية للمهنة، لم يواكب التطور التقني من حيث المفاهيم والنصوص، إذ ما زال ينظر إلى المحامي بوصفه فاعلًا بشريًا محضًا، ويفترض أن أدواته مادية وتقليدية، دون إدراج أي تعريف أو تنظيم للأدوات الذكية التي أصبحت اليوم عنصرًا جوهريًا في العمل القانوني. وقد أفضى هذا الصمت التشريعي إلى غموض مفاهيمي واسع، تمثل في عدم وضوح طبيعة الأنظمة الذكية المستخدمة في الممارسة المهنية، ومركزها القانوني، وحدود مسؤوليتها عند وقوع الخطأ، فضلًا عن ضعف الربط المؤسسي بين الأنظمة ذات العلاقة، مثل نظام حماية البيانات الشخصية، ونظام مكافحة الجرائم المعلوماتية، ونظام المعاملات المدنية، بما يحقق التكامل المطلوب في تنظيم الذكاء الاصطناعي المهني. ونتيجة لذلك، تجاوزت الممارسة النص، فأصبح المحامي يوظف أدوات الذكاء الاصطناعي في البحث والتحليل والصياغة، في ظل غياب إطار نظامي يضبط هذا الاستخدام أو يوجهه</w:t>
      </w:r>
      <w:r>
        <w:rPr>
          <w:rFonts w:asciiTheme="majorBidi" w:hAnsiTheme="majorBidi" w:cstheme="majorBidi"/>
          <w:sz w:val="24"/>
          <w:szCs w:val="24"/>
        </w:rPr>
        <w:t>.</w:t>
      </w:r>
    </w:p>
    <w:p w14:paraId="59E2F139" w14:textId="77777777" w:rsidR="00D57654" w:rsidRDefault="00C702A9" w:rsidP="000D4B35">
      <w:pPr>
        <w:rPr>
          <w:rFonts w:asciiTheme="majorBidi" w:hAnsiTheme="majorBidi" w:cstheme="majorBidi"/>
          <w:sz w:val="24"/>
          <w:szCs w:val="24"/>
        </w:rPr>
      </w:pPr>
      <w:r>
        <w:rPr>
          <w:rFonts w:asciiTheme="majorBidi" w:hAnsiTheme="majorBidi" w:cstheme="majorBidi"/>
          <w:sz w:val="24"/>
          <w:szCs w:val="24"/>
          <w:rtl/>
        </w:rPr>
        <w:t>وفي سياق التحليل الاجتماعي والنفسي، كشفت عبد الرحمن أن مفهوم الثقة في العدالة الرقمية ينقسم إلى بُعدين: ثقة إجرائية تتعلق بنزاهة الإجراءات وشفافيتها، وثقة نتيجية تتعلق بعدالة الأحكام الصادرة، مُشيرةً إلى أن الذكاء الاصطناعي قد يُعزز الثقة الإجرائية بفضل الاتساق والسرعة، لكنه قد يُضعف الثقة النتيجية إذا أُسيئ توظيفه أو أفرز تحيزات نظامية.</w:t>
      </w:r>
      <w:r>
        <w:rPr>
          <w:rtl/>
        </w:rPr>
        <w:footnoteReference w:id="158"/>
      </w:r>
    </w:p>
    <w:p w14:paraId="724D0686"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 xml:space="preserve">وقد أظهر التحليل الميداني المقارن الذي أجراه العطار والنوايسة أن الدول التي أفصحت مبكراً عن توظيف الذكاء الاصطناعي في منظومتها القضائية واجهت مقاومة شعبية أولية تلاشت تدريجياً حين لمس المتقاضون </w:t>
      </w:r>
      <w:r>
        <w:rPr>
          <w:rFonts w:asciiTheme="majorBidi" w:hAnsiTheme="majorBidi" w:cstheme="majorBidi"/>
          <w:sz w:val="24"/>
          <w:szCs w:val="24"/>
          <w:rtl/>
        </w:rPr>
        <w:lastRenderedPageBreak/>
        <w:t>تحسناً فعلياً في سرعة البت بالقضايا وعدالة توزيع المواعيد، مما يُشير إلى أن الشفافية والنتائج الملموسة هما الكفيلان ببناء ثقة مستدامة في العدالة الرقمية.</w:t>
      </w:r>
      <w:r>
        <w:rPr>
          <w:rtl/>
        </w:rPr>
        <w:footnoteReference w:id="159"/>
      </w:r>
    </w:p>
    <w:p w14:paraId="10003553" w14:textId="77777777" w:rsidR="00D57654" w:rsidRDefault="00C702A9" w:rsidP="000F2879">
      <w:pPr>
        <w:jc w:val="right"/>
        <w:rPr>
          <w:rFonts w:asciiTheme="majorBidi" w:hAnsiTheme="majorBidi" w:cstheme="majorBidi"/>
          <w:sz w:val="24"/>
          <w:szCs w:val="24"/>
          <w:rtl/>
        </w:rPr>
      </w:pPr>
      <w:r>
        <w:rPr>
          <w:rFonts w:asciiTheme="majorBidi" w:hAnsiTheme="majorBidi" w:cstheme="majorBidi"/>
          <w:sz w:val="24"/>
          <w:szCs w:val="24"/>
          <w:rtl/>
        </w:rPr>
        <w:t>وقد أظهر تحليل الأمين في هذا السياق أن مسار بناء الثقة في منظومة العدالة الرقمية يمر بثلاث محطات أساسية: محطة التشريع التي تُرسي حقوق المتقاضين إزاء استخدام الذكاء الاصطناعي، ومحطة التدريب التي تُؤهّل القضاة والمحامين لتقييم مخرجاته ونقدها، ومحطة التقييم المستقل التي تُخضع هذه الأنظمة لمراجعات دورية من جهات محايدة قبل توسيع نطاق تطبيقها.</w:t>
      </w:r>
      <w:r>
        <w:rPr>
          <w:rtl/>
        </w:rPr>
        <w:footnoteReference w:id="160"/>
      </w:r>
    </w:p>
    <w:p w14:paraId="730A6154" w14:textId="77777777" w:rsidR="00E82B9E" w:rsidRPr="00E82B9E" w:rsidRDefault="00E82B9E" w:rsidP="000F2879">
      <w:pPr>
        <w:jc w:val="right"/>
        <w:rPr>
          <w:rFonts w:asciiTheme="majorBidi" w:hAnsiTheme="majorBidi" w:cstheme="majorBidi"/>
          <w:sz w:val="24"/>
          <w:szCs w:val="24"/>
        </w:rPr>
      </w:pPr>
      <w:r>
        <w:rPr>
          <w:rFonts w:asciiTheme="majorBidi" w:hAnsiTheme="majorBidi" w:cstheme="majorBidi"/>
          <w:b/>
          <w:bCs/>
          <w:sz w:val="24"/>
          <w:szCs w:val="24"/>
          <w:rtl/>
        </w:rPr>
        <w:t>كما كشف هذا المبحث</w:t>
      </w:r>
      <w:r>
        <w:rPr>
          <w:rFonts w:asciiTheme="majorBidi" w:hAnsiTheme="majorBidi" w:cstheme="majorBidi"/>
          <w:sz w:val="24"/>
          <w:szCs w:val="24"/>
          <w:rtl/>
        </w:rPr>
        <w:t xml:space="preserve"> عن الآثار العملية المباشرة لهذا القصور على واقع الممارسة اليومية في مكاتب المحاماة، إذ انعكس غياب التنظيم على اضطراب معايير المسؤولية المهنية، فلم يعد من الواضح متى يكون الخطأ ناتجًا عن إهمال بشري، ومتى يكون نتيجة خلل تقني، ومن يتحمل تبعاته النظامية. وامتد هذا الأثر إلى ضعف حماية الموكلين وبياناتهم في ظل توسع المعالجة الرقمية دون ضوابط مهنية واضحة، الأمر الذي أضعف مركز الثقة بين الموكل ومكتبه القانوني. كما ظهر التفاوت في جودة الخدمات القانونية بين المكاتب تبعًا لاختلاف وعيها بالتقنيات أو حذرها منها، إلى جانب تضارب تعامل الجهات القضائية مع المخرجات الذكية في غياب إطار يحدد حجيتها وموقعها في منظومة الإثبات، وهو ما أفضى إلى بروز ممارسات تقنية غير رسمية تفتقر إلى الرقابة والشفافية، وأثّر سلبًا في صورة العدالة الرقمية وثقة المتعاملين بها</w:t>
      </w:r>
      <w:r>
        <w:rPr>
          <w:rFonts w:asciiTheme="majorBidi" w:hAnsiTheme="majorBidi" w:cstheme="majorBidi"/>
          <w:sz w:val="24"/>
          <w:szCs w:val="24"/>
        </w:rPr>
        <w:t>.</w:t>
      </w:r>
    </w:p>
    <w:p w14:paraId="7044CBD9"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ويُستخلص مما سبق</w:t>
      </w:r>
      <w:r>
        <w:rPr>
          <w:rFonts w:asciiTheme="majorBidi" w:hAnsiTheme="majorBidi" w:cstheme="majorBidi"/>
          <w:sz w:val="24"/>
          <w:szCs w:val="24"/>
          <w:rtl/>
        </w:rPr>
        <w:t xml:space="preserve"> أن الفجوة التنظيمية محل الدراسة لا تقتصر على قصور النصوص النظامية فحسب، بل تمثل ظاهرة مركبة ذات أبعاد تشريعية ومؤسسية ومهنية، تجمع بين صمت النظام، وغموض المفاهيم، وتعدد المرجعيات، وغياب الرقابة المتخصصة، وتراخي الأطر الأخلاقية في ضبط الممارسة التقنية. وقد أدت هذه العوامل مجتمعة إلى ممارسة مهنة المحاماة للتحول التقني دون مظلة نظامية واضحة، بما يعرّضها لمخاطر قانونية ومهنية ويقوّض مبادئ الثقة والعدالة التي تقوم عليها المهنة</w:t>
      </w:r>
      <w:r>
        <w:rPr>
          <w:rFonts w:asciiTheme="majorBidi" w:hAnsiTheme="majorBidi" w:cstheme="majorBidi"/>
          <w:sz w:val="24"/>
          <w:szCs w:val="24"/>
        </w:rPr>
        <w:t>.</w:t>
      </w:r>
    </w:p>
    <w:p w14:paraId="1A4D393F" w14:textId="77777777" w:rsidR="00E82B9E" w:rsidRPr="00E82B9E" w:rsidRDefault="00E82B9E" w:rsidP="000D4B35">
      <w:pPr>
        <w:jc w:val="right"/>
        <w:rPr>
          <w:rFonts w:asciiTheme="majorBidi" w:hAnsiTheme="majorBidi" w:cstheme="majorBidi"/>
          <w:sz w:val="24"/>
          <w:szCs w:val="24"/>
        </w:rPr>
      </w:pPr>
      <w:r>
        <w:rPr>
          <w:rFonts w:asciiTheme="majorBidi" w:hAnsiTheme="majorBidi" w:cstheme="majorBidi"/>
          <w:b/>
          <w:bCs/>
          <w:sz w:val="24"/>
          <w:szCs w:val="24"/>
          <w:rtl/>
        </w:rPr>
        <w:t>ومن ثمّ،</w:t>
      </w:r>
      <w:r>
        <w:rPr>
          <w:rFonts w:asciiTheme="majorBidi" w:hAnsiTheme="majorBidi" w:cstheme="majorBidi"/>
          <w:sz w:val="24"/>
          <w:szCs w:val="24"/>
          <w:rtl/>
        </w:rPr>
        <w:t xml:space="preserve"> فإن تجاوز هذه الفجوة يتطلب تبنّي رؤية إصلاحية متكاملة تجمع بين تطوير النصوص النظامية، وتعزيز دور اللوائح التنفيذية، وإنشاء أطر رقابية مهنية متخصصة، وصياغة تعريفات دقيقة للتقنيات القانونية ومخرجات الذكاء الاصطناعي، بما يفضي إلى بناء بيئة تشريعية ومؤسسية قادرة على استيعاب الممارسة الرقمية الحديثة. وعلى هذا الأساس، تمثّل نتائج هذا المبحث قاعدة منهجية للانتقال في الفصول اللاحقة إلى دراسة التكييف النظامي والفقهي للمخرجات الذكية، ثم تقديم التصور التنظيمي المقترح، بما يضمن الانتقال من مرحلة القصور التشريعي إلى مرحلة التنظيم الواعي للتحول التقني في مهنة المحاماة</w:t>
      </w:r>
      <w:r>
        <w:rPr>
          <w:rFonts w:asciiTheme="majorBidi" w:hAnsiTheme="majorBidi" w:cstheme="majorBidi"/>
          <w:sz w:val="24"/>
          <w:szCs w:val="24"/>
        </w:rPr>
        <w:t>.</w:t>
      </w:r>
    </w:p>
    <w:p w14:paraId="1F99F1A4" w14:textId="77777777" w:rsidR="000003D3" w:rsidRPr="000003D3" w:rsidRDefault="000003D3" w:rsidP="000D4B35">
      <w:pPr>
        <w:jc w:val="right"/>
        <w:rPr>
          <w:rFonts w:asciiTheme="majorBidi" w:hAnsiTheme="majorBidi" w:cstheme="majorBidi"/>
          <w:sz w:val="24"/>
          <w:szCs w:val="24"/>
        </w:rPr>
      </w:pPr>
    </w:p>
    <w:p w14:paraId="6FD7EC8E" w14:textId="77777777" w:rsidR="00E82B9E" w:rsidRPr="00E82B9E" w:rsidRDefault="00E82B9E" w:rsidP="000D4B35">
      <w:pPr>
        <w:jc w:val="right"/>
        <w:rPr>
          <w:rFonts w:asciiTheme="majorBidi" w:hAnsiTheme="majorBidi" w:cstheme="majorBidi"/>
          <w:b/>
          <w:bCs/>
          <w:sz w:val="24"/>
          <w:szCs w:val="24"/>
        </w:rPr>
      </w:pPr>
      <w:r>
        <w:rPr>
          <w:rFonts w:asciiTheme="majorBidi" w:hAnsiTheme="majorBidi" w:cstheme="majorBidi"/>
          <w:b/>
          <w:bCs/>
          <w:sz w:val="24"/>
          <w:szCs w:val="24"/>
          <w:rtl/>
        </w:rPr>
        <w:t>وفي ضوء ما تضمّنه هذا الفصل من تحليل، يتبيّن أن الإطار النظامي لمهنة المحاماة في المملكة العربية السعودية يقف اليوم على مفترق طرق بين الماضي الورقي والمستقبل الرقمي. فالنظام الذي وُضع في بدايات القرن الحالي استطاع أن يرسّخ الأسس القانونية التقليدية للمهنة من حيث الترخيص والممارسة والمسؤولية، إلا أنه لم يُبنَ على تصورٍ يستوعب التحول التقني والذكاء الاصطناعي الذي أصبح عنصرًا حتميًا في بيئة العدالة الحديثة. وقد أسفر ذلك عن بروز فجوة واضحة بين النصوص النظامية الثابتة والممارسات المهنية المتطورة التي باتت تعتمد على أدوات رقمية وأنظمة ذكية في التحليل والصياغة وإدارة القضايا</w:t>
      </w:r>
      <w:r>
        <w:rPr>
          <w:rFonts w:asciiTheme="majorBidi" w:hAnsiTheme="majorBidi" w:cstheme="majorBidi"/>
          <w:b/>
          <w:bCs/>
          <w:sz w:val="24"/>
          <w:szCs w:val="24"/>
        </w:rPr>
        <w:t>.</w:t>
      </w:r>
    </w:p>
    <w:p w14:paraId="499AE478" w14:textId="77777777" w:rsidR="00E82B9E" w:rsidRPr="00E82B9E" w:rsidRDefault="00E82B9E" w:rsidP="000D4B35">
      <w:pPr>
        <w:jc w:val="right"/>
        <w:rPr>
          <w:rFonts w:asciiTheme="majorBidi" w:hAnsiTheme="majorBidi" w:cstheme="majorBidi"/>
          <w:b/>
          <w:bCs/>
          <w:sz w:val="24"/>
          <w:szCs w:val="24"/>
        </w:rPr>
      </w:pPr>
      <w:r>
        <w:rPr>
          <w:rFonts w:asciiTheme="majorBidi" w:hAnsiTheme="majorBidi" w:cstheme="majorBidi"/>
          <w:b/>
          <w:bCs/>
          <w:sz w:val="24"/>
          <w:szCs w:val="24"/>
          <w:rtl/>
        </w:rPr>
        <w:t xml:space="preserve">وقد أظهر الفصل، من خلال مبحثيه، أن الأنظمة ذات العلاقة بمهنة المحاماة – كأنظمة حماية البيانات الشخصية، والإثبات، والمعاملات المدنية، والإجراءات الجزائية، والتعاملات الإلكترونية – وفّرت إطارًا عامًا </w:t>
      </w:r>
      <w:r>
        <w:rPr>
          <w:rFonts w:asciiTheme="majorBidi" w:hAnsiTheme="majorBidi" w:cstheme="majorBidi"/>
          <w:b/>
          <w:bCs/>
          <w:sz w:val="24"/>
          <w:szCs w:val="24"/>
          <w:rtl/>
        </w:rPr>
        <w:lastRenderedPageBreak/>
        <w:t>يدعم التحول العدلي الرقمي، إلا أنها لم تتضمّن بعد أحكامًا تفصيلية تضبط العلاقة بين المحامي والتقنية الذكية، ولا تحدد على نحو دقيق حدود استخدام الأدوات الرقمية في الممارسة القانونية. وفي المقابل، كشف التحليل أن هذا القصور التشريعي لم يظل حبيس النصوص، بل انعكس عمليًا على واقع مكاتب المحاماة، من حيث تضارب المسؤوليات المهنية، وتفاوت جودة الخدمات القانونية، وضعف الحماية النظامية للبيانات، وتراجع مستوى الثقة في المخرجات التقنية داخل بيئة العدالة</w:t>
      </w:r>
      <w:r>
        <w:rPr>
          <w:rFonts w:asciiTheme="majorBidi" w:hAnsiTheme="majorBidi" w:cstheme="majorBidi"/>
          <w:b/>
          <w:bCs/>
          <w:sz w:val="24"/>
          <w:szCs w:val="24"/>
        </w:rPr>
        <w:t>.</w:t>
      </w:r>
    </w:p>
    <w:p w14:paraId="563BA430" w14:textId="77777777" w:rsidR="00C41E32" w:rsidRDefault="00C702A9" w:rsidP="000D4B35">
      <w:pPr>
        <w:bidi/>
        <w:jc w:val="both"/>
        <w:rPr>
          <w:rFonts w:asciiTheme="majorBidi" w:hAnsiTheme="majorBidi" w:cstheme="majorBidi"/>
          <w:sz w:val="24"/>
          <w:szCs w:val="24"/>
          <w:rtl/>
        </w:rPr>
      </w:pPr>
      <w:r>
        <w:rPr>
          <w:rFonts w:asciiTheme="majorBidi" w:hAnsiTheme="majorBidi" w:cstheme="majorBidi"/>
          <w:sz w:val="24"/>
          <w:szCs w:val="24"/>
          <w:rtl/>
        </w:rPr>
        <w:t>وفي تأكيد نتائج هذا التحليل، خلص جانب من الفقه إلى أن المنظومة القانونية السعودية تفتقر إلى نصوص صريحة تُبيّن أحكام الضرر الناجم عن استخدام الذكاء الاصطناعي، وتُنظّم توزيع المسؤولية بين مطورّ التقنية ومستخدمها المهني، وهو فراغ تشريعي يجعل القضاء مُضطرًا إلى اللجوء إلى القواعد العامة للمسؤولية المدنية والتفسير القياسي، في غياب نص خاص يُعالج هذه الإشكالية بدقة وتفصيل.</w:t>
      </w:r>
      <w:r>
        <w:rPr>
          <w:rStyle w:val="af"/>
          <w:rFonts w:asciiTheme="majorBidi" w:hAnsiTheme="majorBidi" w:cstheme="majorBidi"/>
          <w:sz w:val="24"/>
          <w:szCs w:val="24"/>
          <w:rtl/>
        </w:rPr>
        <w:footnoteReference w:id="161"/>
      </w:r>
    </w:p>
    <w:p w14:paraId="4916A20C" w14:textId="77777777" w:rsidR="00E82B9E" w:rsidRPr="00E82B9E" w:rsidRDefault="00E82B9E" w:rsidP="00E82B9E">
      <w:pPr>
        <w:jc w:val="right"/>
        <w:rPr>
          <w:rFonts w:asciiTheme="majorBidi" w:hAnsiTheme="majorBidi" w:cstheme="majorBidi"/>
          <w:b/>
          <w:bCs/>
          <w:sz w:val="24"/>
          <w:szCs w:val="24"/>
        </w:rPr>
      </w:pPr>
      <w:r>
        <w:rPr>
          <w:rFonts w:asciiTheme="majorBidi" w:hAnsiTheme="majorBidi" w:cstheme="majorBidi"/>
          <w:b/>
          <w:bCs/>
          <w:sz w:val="24"/>
          <w:szCs w:val="24"/>
          <w:rtl/>
        </w:rPr>
        <w:t>ويُستفاد مما سبق أن مهنة المحاماة في المملكة تمر بمرحلة انتقالية دقيقة؛ فهي من جهة تستفيد من التحول الرقمي الذي تقوده الدولة ضمن رؤية المملكة 2030، ومن جهة أخرى تفتقر إلى تنظيم مهني دقيق يضمن أن يكون هذا التحول منضبطًا بالقواعد القانونية والأخلاقية للمهنة. فالنظام القائم، وإن كان متينًا في ضبط السلوك المهني التقليدي، إلا أنه بحاجة إلى تحديث يعيد صياغة مفاهيم الممارسة القانونية بما يستوعب أدوات الذكاء الاصطناعي بوصفها امتدادًا للاجتهاد البشري، لا بديلًا عنه</w:t>
      </w:r>
      <w:r>
        <w:rPr>
          <w:rFonts w:asciiTheme="majorBidi" w:hAnsiTheme="majorBidi" w:cstheme="majorBidi"/>
          <w:b/>
          <w:bCs/>
          <w:sz w:val="24"/>
          <w:szCs w:val="24"/>
        </w:rPr>
        <w:t>.</w:t>
      </w:r>
    </w:p>
    <w:p w14:paraId="045393AF" w14:textId="77777777" w:rsidR="00AB2138" w:rsidRDefault="00E82B9E" w:rsidP="00E82B9E">
      <w:pPr>
        <w:jc w:val="right"/>
        <w:rPr>
          <w:rFonts w:asciiTheme="majorBidi" w:hAnsiTheme="majorBidi" w:cstheme="majorBidi"/>
          <w:b/>
          <w:bCs/>
          <w:sz w:val="24"/>
          <w:szCs w:val="24"/>
          <w:rtl/>
        </w:rPr>
      </w:pPr>
      <w:r>
        <w:rPr>
          <w:rFonts w:asciiTheme="majorBidi" w:hAnsiTheme="majorBidi" w:cstheme="majorBidi"/>
          <w:b/>
          <w:bCs/>
          <w:sz w:val="24"/>
          <w:szCs w:val="24"/>
          <w:rtl/>
        </w:rPr>
        <w:t>وانطلاقًا من هذه النتائج، يمهّد هذا الفصل للانتقال إلى الفصل الثاني، الذي يتناول التكييف القانوني والفقهي للمخرجات الذكية والمسؤولية النظامية المترتبة عليها، بوصفه امتدادًا منهجيًا للتحليل السابق، ويهدف إلى بيان كيفية تفاعل المفاهيم الفقهية والنظامية التقليدية مع واقع جديد تتشارك فيه الأنظمة الذكية مع المحامين في إنتاج العمل القانوني، بما يتيح للمشرّع وضع قواعد تضمن بقاء الذكاء الاصطناعي في دائرة المساعدة المشروعة، لا في موضع المنافسة أو الإحلال، وبما يسهم في بناء إطار قانوني متكامل لتوظيف الذكاء الاصطناعي في تطوير خدمات مكاتب المحاماة، على نحو يحفظ أصالة المهنة ويحقق في الوقت ذاته متطلبات العدالة الرقمية الحديثة</w:t>
      </w:r>
    </w:p>
    <w:p w14:paraId="15555494"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ويُدعم هذا التقدير ما خلصت إليه دراسة إسماعيل المنشورة عام 2025م من أن الدول الرائدة عالميًا في استخدام الذكاء الاصطناعي في المهن القانونية تتميز بامتلاكها أطرًا تشريعية مرنةً قادرةً على استيعاب المستجدات التقنية وتكييفها قانونيًا، مما يُشير إلى أن الإصلاح التشريعي الموجّه ليس ترفًا أكاديميًا بل ضرورةٌ مهنية وسياسية تتطلب تدخلًا تشريعيًا عاجلًا لإرساء قواعد عادلة وقابلة للتطبيق في ظل التسارع المتنامي لتوظيف هذه التقنيات.</w:t>
      </w:r>
      <w:r>
        <w:rPr>
          <w:rStyle w:val="af"/>
          <w:rFonts w:asciiTheme="majorBidi" w:hAnsiTheme="majorBidi" w:cstheme="majorBidi"/>
          <w:sz w:val="24"/>
          <w:szCs w:val="24"/>
          <w:rtl/>
        </w:rPr>
        <w:footnoteReference w:id="162"/>
      </w:r>
    </w:p>
    <w:p w14:paraId="059A677E" w14:textId="77777777" w:rsidR="00AB2138" w:rsidRDefault="00AB2138" w:rsidP="00E82B9E">
      <w:pPr>
        <w:jc w:val="right"/>
        <w:rPr>
          <w:rFonts w:asciiTheme="majorBidi" w:hAnsiTheme="majorBidi" w:cstheme="majorBidi"/>
          <w:b/>
          <w:bCs/>
          <w:sz w:val="24"/>
          <w:szCs w:val="24"/>
          <w:rtl/>
        </w:rPr>
      </w:pPr>
    </w:p>
    <w:p w14:paraId="0F810952" w14:textId="77777777" w:rsidR="00AB2138" w:rsidRDefault="00AB2138" w:rsidP="00E82B9E">
      <w:pPr>
        <w:jc w:val="right"/>
        <w:rPr>
          <w:rFonts w:asciiTheme="majorBidi" w:hAnsiTheme="majorBidi" w:cstheme="majorBidi"/>
          <w:b/>
          <w:bCs/>
          <w:sz w:val="24"/>
          <w:szCs w:val="24"/>
          <w:rtl/>
        </w:rPr>
      </w:pPr>
    </w:p>
    <w:p w14:paraId="644F3946" w14:textId="77777777" w:rsidR="00AB2138" w:rsidRDefault="00AB2138" w:rsidP="00E82B9E">
      <w:pPr>
        <w:jc w:val="right"/>
        <w:rPr>
          <w:rFonts w:asciiTheme="majorBidi" w:hAnsiTheme="majorBidi" w:cstheme="majorBidi"/>
          <w:b/>
          <w:bCs/>
          <w:sz w:val="24"/>
          <w:szCs w:val="24"/>
          <w:rtl/>
        </w:rPr>
      </w:pPr>
    </w:p>
    <w:p w14:paraId="4E550BE5" w14:textId="77777777" w:rsidR="00AB2138" w:rsidRDefault="00AB2138" w:rsidP="00E82B9E">
      <w:pPr>
        <w:jc w:val="right"/>
        <w:rPr>
          <w:rFonts w:asciiTheme="majorBidi" w:hAnsiTheme="majorBidi" w:cstheme="majorBidi"/>
          <w:b/>
          <w:bCs/>
          <w:sz w:val="24"/>
          <w:szCs w:val="24"/>
          <w:rtl/>
        </w:rPr>
      </w:pPr>
    </w:p>
    <w:p w14:paraId="2FB62563" w14:textId="77777777" w:rsidR="00E82B9E" w:rsidRDefault="00E82B9E" w:rsidP="00E82B9E">
      <w:pPr>
        <w:jc w:val="right"/>
        <w:rPr>
          <w:rFonts w:asciiTheme="majorBidi" w:hAnsiTheme="majorBidi" w:cstheme="majorBidi"/>
          <w:b/>
          <w:bCs/>
          <w:sz w:val="24"/>
          <w:szCs w:val="24"/>
          <w:rtl/>
        </w:rPr>
      </w:pPr>
    </w:p>
    <w:p w14:paraId="79C50E98" w14:textId="77777777" w:rsidR="00AB2138" w:rsidRDefault="00AB2138" w:rsidP="00E82B9E">
      <w:pPr>
        <w:jc w:val="right"/>
        <w:rPr>
          <w:rFonts w:asciiTheme="majorBidi" w:hAnsiTheme="majorBidi" w:cstheme="majorBidi"/>
          <w:b/>
          <w:bCs/>
          <w:sz w:val="24"/>
          <w:szCs w:val="24"/>
          <w:rtl/>
        </w:rPr>
      </w:pPr>
    </w:p>
    <w:p w14:paraId="413169A7" w14:textId="77777777" w:rsidR="00AB2138" w:rsidRDefault="00AB2138" w:rsidP="000F2879">
      <w:pPr>
        <w:rPr>
          <w:rFonts w:asciiTheme="majorBidi" w:hAnsiTheme="majorBidi" w:cstheme="majorBidi"/>
          <w:b/>
          <w:bCs/>
          <w:sz w:val="24"/>
          <w:szCs w:val="24"/>
          <w:rtl/>
        </w:rPr>
      </w:pPr>
    </w:p>
    <w:p w14:paraId="325543DC" w14:textId="77777777" w:rsidR="00F532FA" w:rsidRDefault="00F532FA" w:rsidP="000D4B35">
      <w:pPr>
        <w:rPr>
          <w:rFonts w:asciiTheme="majorBidi" w:hAnsiTheme="majorBidi" w:cstheme="majorBidi"/>
          <w:b/>
          <w:bCs/>
          <w:sz w:val="24"/>
          <w:szCs w:val="24"/>
        </w:rPr>
      </w:pPr>
    </w:p>
    <w:p w14:paraId="0C191A27" w14:textId="77777777" w:rsidR="00624037" w:rsidRPr="00D41CB7" w:rsidRDefault="00624037" w:rsidP="00624037">
      <w:pPr>
        <w:jc w:val="center"/>
        <w:rPr>
          <w:rFonts w:asciiTheme="majorBidi" w:hAnsiTheme="majorBidi" w:cstheme="majorBidi"/>
          <w:b/>
          <w:bCs/>
          <w:color w:val="000000" w:themeColor="text1"/>
          <w:sz w:val="32"/>
          <w:szCs w:val="32"/>
        </w:rPr>
      </w:pPr>
      <w:r>
        <w:rPr>
          <w:rFonts w:asciiTheme="majorBidi" w:hAnsiTheme="majorBidi" w:cstheme="majorBidi"/>
          <w:b/>
          <w:bCs/>
          <w:color w:val="000000" w:themeColor="text1"/>
          <w:sz w:val="32"/>
          <w:szCs w:val="32"/>
          <w:rtl/>
        </w:rPr>
        <w:t xml:space="preserve">الفصل </w:t>
      </w:r>
      <w:r>
        <w:rPr>
          <w:rFonts w:asciiTheme="majorBidi" w:hAnsiTheme="majorBidi" w:cstheme="majorBidi" w:hint="cs"/>
          <w:b/>
          <w:bCs/>
          <w:color w:val="000000" w:themeColor="text1"/>
          <w:sz w:val="32"/>
          <w:szCs w:val="32"/>
          <w:rtl/>
        </w:rPr>
        <w:t>الثاني</w:t>
      </w:r>
    </w:p>
    <w:p w14:paraId="2187DC4D" w14:textId="4DD2E3E8" w:rsidR="00624037" w:rsidRPr="00994DA4" w:rsidRDefault="00994DA4" w:rsidP="00994DA4">
      <w:pPr>
        <w:jc w:val="center"/>
        <w:rPr>
          <w:rFonts w:asciiTheme="majorBidi" w:hAnsiTheme="majorBidi" w:cstheme="majorBidi"/>
          <w:b/>
          <w:bCs/>
          <w:color w:val="000000" w:themeColor="text1"/>
          <w:sz w:val="28"/>
          <w:szCs w:val="28"/>
        </w:rPr>
      </w:pPr>
      <w:r>
        <w:rPr>
          <w:rFonts w:asciiTheme="majorBidi" w:hAnsiTheme="majorBidi" w:cstheme="majorBidi" w:hint="cs"/>
          <w:b/>
          <w:bCs/>
          <w:color w:val="000000" w:themeColor="text1"/>
          <w:sz w:val="28"/>
          <w:szCs w:val="28"/>
          <w:rtl/>
        </w:rPr>
        <w:t>ا</w:t>
      </w:r>
      <w:r>
        <w:rPr>
          <w:rFonts w:asciiTheme="majorBidi" w:hAnsiTheme="majorBidi" w:cstheme="majorBidi"/>
          <w:b/>
          <w:bCs/>
          <w:color w:val="000000" w:themeColor="text1"/>
          <w:sz w:val="28"/>
          <w:szCs w:val="28"/>
          <w:rtl/>
        </w:rPr>
        <w:t>لتكييف القانوني والفقهي لمخرجات الذكاء الاصطناعي والمسؤولية النظامية والمهنية للمحامي عند توظيفها في مكاتب المحاماة</w:t>
      </w:r>
    </w:p>
    <w:p w14:paraId="741B47D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hint="cs"/>
          <w:sz w:val="24"/>
          <w:szCs w:val="24"/>
          <w:rtl/>
        </w:rPr>
        <w:t>ي</w:t>
      </w:r>
      <w:r>
        <w:rPr>
          <w:rFonts w:asciiTheme="majorBidi" w:hAnsiTheme="majorBidi" w:cstheme="majorBidi"/>
          <w:sz w:val="24"/>
          <w:szCs w:val="24"/>
          <w:rtl/>
        </w:rPr>
        <w:t>مثل هذا الفصل الامتداد النظري التحليلي لأطروحة الدراسة، إذ ينتقل البحث من توصيف الإطار النظامي المنظم لمهنة المحاماة – كما عُولج في الفصل الأول – إلى استكشاف الطبيعة القانونية للمخرجات الذكية ذاتها، وتحديد مركزها النظامي، وحدود الاعتداد بها، والمسؤولية المترتبة على استخدامها. فإذا كانت النصوص التقليدية في نظام المحاماة</w:t>
      </w:r>
      <w:r>
        <w:rPr>
          <w:rStyle w:val="af"/>
          <w:rFonts w:asciiTheme="majorBidi" w:hAnsiTheme="majorBidi" w:cstheme="majorBidi"/>
          <w:sz w:val="24"/>
          <w:szCs w:val="24"/>
          <w:rtl/>
        </w:rPr>
        <w:footnoteReference w:id="163"/>
      </w:r>
      <w:r>
        <w:rPr>
          <w:rFonts w:asciiTheme="majorBidi" w:hAnsiTheme="majorBidi" w:cstheme="majorBidi"/>
          <w:sz w:val="24"/>
          <w:szCs w:val="24"/>
          <w:rtl/>
        </w:rPr>
        <w:t xml:space="preserve"> قد افترضت أن العمل القانوني نتاج جهد بشري مباشر، قائم على الاجتهاد الفردي وتحمل المسؤولية الشخصية ، فإن إدماج تقنيات الذكاء الاصطناعي في مراحل التحليل القانوني وصياغة العقود وإعداد المذكرات أوجد نمطًا جديدًا من “الإنتاج القانوني المركب” الذي تتداخل فيه الإرادة البشرية مع المعالجة الخوارزمية</w:t>
      </w:r>
      <w:r>
        <w:rPr>
          <w:rFonts w:asciiTheme="majorBidi" w:hAnsiTheme="majorBidi" w:cstheme="majorBidi"/>
          <w:sz w:val="24"/>
          <w:szCs w:val="24"/>
        </w:rPr>
        <w:t>.</w:t>
      </w:r>
    </w:p>
    <w:p w14:paraId="55A0FDF1"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ولا يقف هذا التحول عند حدود التطوير التقني، بل يمتد إلى صميم النظرية العامة للتصرف القانوني، وإلى مفاهيم الإرادة والنسبة والحجية، بل وإلى إعادة توزيع المخاطر والمسؤوليات داخل البنية المهنية. فالعمل القانوني الذي كان يُنسب تقليديًا إلى المحامي بوصفه فاعلًا بشريًا منفردًا، أصبح اليوم نتاج منظومة قد تشمل مطور النظام، ومزود التقنية، وقواعد بيانات ضخمة، وخوارزميات تحليلية قد تسهم في تشكيل مضمون الرأي أو الصياغة. ومن ثم فإن الإشكال لا يتعلق بمجرد مشروعية استخدام التقنية، بل بمدى اندراج مخرجاتها ضمن المفاهيم النظامية القائمة، ومدى كفاية القواعد التقليدية لاستيعاب هذا النمط المستحدث من الإنتاج القانوني</w:t>
      </w:r>
      <w:r>
        <w:rPr>
          <w:rFonts w:asciiTheme="majorBidi" w:hAnsiTheme="majorBidi" w:cstheme="majorBidi"/>
          <w:sz w:val="24"/>
          <w:szCs w:val="24"/>
        </w:rPr>
        <w:t>.</w:t>
      </w:r>
    </w:p>
    <w:p w14:paraId="1C3AEEC7"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ويزداد هذا التساؤل تعقيدًا في ضوء صدور نظام المعاملات المدنية لعام 1445هـ</w:t>
      </w:r>
      <w:r>
        <w:rPr>
          <w:rStyle w:val="af"/>
          <w:rFonts w:asciiTheme="majorBidi" w:hAnsiTheme="majorBidi" w:cstheme="majorBidi"/>
          <w:sz w:val="24"/>
          <w:szCs w:val="24"/>
          <w:rtl/>
        </w:rPr>
        <w:footnoteReference w:id="164"/>
      </w:r>
      <w:r>
        <w:rPr>
          <w:rFonts w:asciiTheme="majorBidi" w:hAnsiTheme="majorBidi" w:cstheme="majorBidi"/>
          <w:sz w:val="24"/>
          <w:szCs w:val="24"/>
          <w:rtl/>
        </w:rPr>
        <w:t>، الذي أعاد تأصيل النظرية العامة للالتزام والعقد، وكرّس مفهوم الإرادة القانونية بوصفها أساسًا لإنشاء الالتزام. فإذا كان العقد – وفقًا لهذا النظام – ينعقد بتلاقي إرادتين معتبرتين صادرتين عن ذوي أهلية ومتجهتين إلى إحداث أثر قانوني معين، فإن إدماج المعالجة الخوارزمية في صياغة العقود أو تحليلها يفرض إعادة النظر في مفهوم “الإرادة” وحدود نسبتها، خاصة عندما تسهم الخوارزمية في تشكيل مضمون التصرف لا في مجرد التعبير عنه</w:t>
      </w:r>
      <w:r>
        <w:rPr>
          <w:rFonts w:asciiTheme="majorBidi" w:hAnsiTheme="majorBidi" w:cstheme="majorBidi"/>
          <w:sz w:val="24"/>
          <w:szCs w:val="24"/>
        </w:rPr>
        <w:t>.</w:t>
      </w:r>
    </w:p>
    <w:p w14:paraId="1BE7152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كما أن نظام الإثبات الصادر عام 1443</w:t>
      </w:r>
      <w:r>
        <w:rPr>
          <w:rStyle w:val="af"/>
          <w:rFonts w:asciiTheme="majorBidi" w:hAnsiTheme="majorBidi" w:cstheme="majorBidi"/>
          <w:sz w:val="24"/>
          <w:szCs w:val="24"/>
          <w:rtl/>
        </w:rPr>
        <w:footnoteReference w:id="165"/>
      </w:r>
      <w:r>
        <w:rPr>
          <w:rFonts w:asciiTheme="majorBidi" w:hAnsiTheme="majorBidi" w:cstheme="majorBidi"/>
          <w:sz w:val="24"/>
          <w:szCs w:val="24"/>
          <w:rtl/>
        </w:rPr>
        <w:t>هـ أقر حجية المحررات الإلكترونية، وأجاز الإثبات بكافة الوسائل النظامية ما لم يرد نص بخلاف ذلك ، وهو ما يعكس تبني المشرّع لمبدأ الحياد التقني. غير أن الاعتراف بالمحرر الإلكتروني لا يعني التسليم تلقائيًا بحجية كل مخرج قانوني منتج آليًا؛ إذ إن الإشكال هنا لا يتعلق بوسيلة التوثيق، بل بآلية التكوين الفكري للمحرر ومدى إمكانية نسبته إلى إرادة بشرية واعية. وقد أوضح جانب من الفقه</w:t>
      </w:r>
      <w:r>
        <w:rPr>
          <w:rStyle w:val="af"/>
          <w:rFonts w:asciiTheme="majorBidi" w:hAnsiTheme="majorBidi" w:cstheme="majorBidi"/>
          <w:sz w:val="24"/>
          <w:szCs w:val="24"/>
          <w:rtl/>
        </w:rPr>
        <w:footnoteReference w:id="166"/>
      </w:r>
      <w:r>
        <w:rPr>
          <w:rFonts w:asciiTheme="majorBidi" w:hAnsiTheme="majorBidi" w:cstheme="majorBidi"/>
          <w:sz w:val="24"/>
          <w:szCs w:val="24"/>
          <w:rtl/>
        </w:rPr>
        <w:t xml:space="preserve"> (2020) أن الحجية في البيئة الرقمية ترتبط بإمكانية التحقق من المصدر وسلامة المحتوى وقابلية تتبع التعديلات، الأمر الذي يجعل قابلية التفسير عنصرًا جوهريًا في تقييم المخرجات الخوارزمية</w:t>
      </w:r>
      <w:r>
        <w:rPr>
          <w:rFonts w:asciiTheme="majorBidi" w:hAnsiTheme="majorBidi" w:cstheme="majorBidi"/>
          <w:sz w:val="24"/>
          <w:szCs w:val="24"/>
        </w:rPr>
        <w:t>.</w:t>
      </w:r>
    </w:p>
    <w:p w14:paraId="0B23FA66"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جانب آخر، يفرض نظام حماية البيانات الشخصية (1443هـ)</w:t>
      </w:r>
      <w:r>
        <w:rPr>
          <w:rStyle w:val="af"/>
          <w:rFonts w:asciiTheme="majorBidi" w:hAnsiTheme="majorBidi" w:cstheme="majorBidi"/>
          <w:sz w:val="24"/>
          <w:szCs w:val="24"/>
          <w:rtl/>
        </w:rPr>
        <w:footnoteReference w:id="167"/>
      </w:r>
      <w:r>
        <w:rPr>
          <w:rFonts w:asciiTheme="majorBidi" w:hAnsiTheme="majorBidi" w:cstheme="majorBidi"/>
          <w:sz w:val="24"/>
          <w:szCs w:val="24"/>
          <w:rtl/>
        </w:rPr>
        <w:t xml:space="preserve"> إطارًا تنظيميًا لمعالجة البيانات واستخدامها، بما يشمل متطلبات المشروعية والغرض المحدد وتقليل المعالجة. فإذا كانت المخرجات القانونية الذكية تعتمد في جوهرها على تحليل بيانات ضخمة، فإن سلامة هذه البيانات ومشروعية جمعها تمثل عنصرًا مؤثرًا في تقييم مشروعية المخرج ذاته، سواء من زاوية الحجية أو من زاوية المسؤولية</w:t>
      </w:r>
      <w:r>
        <w:rPr>
          <w:rFonts w:asciiTheme="majorBidi" w:hAnsiTheme="majorBidi" w:cstheme="majorBidi"/>
          <w:sz w:val="24"/>
          <w:szCs w:val="24"/>
        </w:rPr>
        <w:t>.</w:t>
      </w:r>
    </w:p>
    <w:p w14:paraId="7E49E47B"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lastRenderedPageBreak/>
        <w:t>وقد تناولت الدراسات القانونية الحديثة هذه الإشكالية من زوايا متعددة. فذهب جانب من الفقه</w:t>
      </w:r>
      <w:r>
        <w:rPr>
          <w:rStyle w:val="af"/>
          <w:rFonts w:asciiTheme="majorBidi" w:hAnsiTheme="majorBidi" w:cstheme="majorBidi"/>
          <w:sz w:val="24"/>
          <w:szCs w:val="24"/>
          <w:rtl/>
        </w:rPr>
        <w:footnoteReference w:id="168"/>
      </w:r>
      <w:r>
        <w:rPr>
          <w:rFonts w:asciiTheme="majorBidi" w:hAnsiTheme="majorBidi" w:cstheme="majorBidi"/>
          <w:sz w:val="24"/>
          <w:szCs w:val="24"/>
          <w:rtl/>
        </w:rPr>
        <w:t xml:space="preserve"> إلى أن الذكاء الاصطناعي لا يُعد شخصًا قانونيًا مستقلًا، وأن المسؤولية تبقى لصيقة بالمستخدم الذي يمارس الرقابة عليه. كما أكدت مجلة العدالة</w:t>
      </w:r>
      <w:r>
        <w:rPr>
          <w:rStyle w:val="af"/>
          <w:rFonts w:asciiTheme="majorBidi" w:hAnsiTheme="majorBidi" w:cstheme="majorBidi"/>
          <w:sz w:val="24"/>
          <w:szCs w:val="24"/>
          <w:rtl/>
        </w:rPr>
        <w:footnoteReference w:id="169"/>
      </w:r>
      <w:r>
        <w:rPr>
          <w:rFonts w:asciiTheme="majorBidi" w:hAnsiTheme="majorBidi" w:cstheme="majorBidi"/>
          <w:sz w:val="24"/>
          <w:szCs w:val="24"/>
          <w:rtl/>
        </w:rPr>
        <w:t xml:space="preserve"> (2022) ضرورة ضبط المسؤولية المهنية في سياق استخدام الأنظمة الذكية داخل الممارسة القانونية، منعًا لحدوث فراغ تنظيمي أو تضارب في توزيع المخاطر. وفي السياق ذاته، أشارت مجلة الشريعة والقانون</w:t>
      </w:r>
      <w:r>
        <w:rPr>
          <w:rStyle w:val="af"/>
          <w:rFonts w:asciiTheme="majorBidi" w:hAnsiTheme="majorBidi" w:cstheme="majorBidi"/>
          <w:sz w:val="24"/>
          <w:szCs w:val="24"/>
          <w:rtl/>
        </w:rPr>
        <w:footnoteReference w:id="170"/>
      </w:r>
      <w:r>
        <w:rPr>
          <w:rFonts w:asciiTheme="majorBidi" w:hAnsiTheme="majorBidi" w:cstheme="majorBidi"/>
          <w:sz w:val="24"/>
          <w:szCs w:val="24"/>
          <w:rtl/>
        </w:rPr>
        <w:t xml:space="preserve"> (2022) إلى أن إدماج الذكاء الاصطناعي في العمل القانوني لا يجوز أن يمس جوهر الوظيفة المهنية أو يضعف معيار الاجتهاد البشري</w:t>
      </w:r>
      <w:r>
        <w:rPr>
          <w:rFonts w:asciiTheme="majorBidi" w:hAnsiTheme="majorBidi" w:cstheme="majorBidi"/>
          <w:sz w:val="24"/>
          <w:szCs w:val="24"/>
        </w:rPr>
        <w:t>.</w:t>
      </w:r>
    </w:p>
    <w:p w14:paraId="73CF432F"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أما فيما يتعلق بالعقود الذكية، فقد ناقش جانب من الفقه</w:t>
      </w:r>
      <w:r>
        <w:rPr>
          <w:rStyle w:val="af"/>
          <w:rFonts w:asciiTheme="majorBidi" w:hAnsiTheme="majorBidi" w:cstheme="majorBidi"/>
          <w:sz w:val="24"/>
          <w:szCs w:val="24"/>
          <w:rtl/>
        </w:rPr>
        <w:footnoteReference w:id="171"/>
      </w:r>
      <w:r>
        <w:rPr>
          <w:rFonts w:asciiTheme="majorBidi" w:hAnsiTheme="majorBidi" w:cstheme="majorBidi"/>
          <w:sz w:val="24"/>
          <w:szCs w:val="24"/>
          <w:rtl/>
        </w:rPr>
        <w:t xml:space="preserve"> (2023) مدى ملاءمة العقود المبرمة عبر أنظمة مؤتمتة لقانون العقود التقليدي، مؤكدًا أن الإشكال لا يكمن في الوسيلة التقنية ذاتها، بل في مدى تحقق الإرادة النظامية وانعكاسها الصحيح في صيغة العقد. كما بيّن جانب من الفقه </w:t>
      </w:r>
      <w:r>
        <w:rPr>
          <w:rStyle w:val="af"/>
          <w:rFonts w:asciiTheme="majorBidi" w:hAnsiTheme="majorBidi" w:cstheme="majorBidi"/>
          <w:sz w:val="24"/>
          <w:szCs w:val="24"/>
          <w:rtl/>
        </w:rPr>
        <w:footnoteReference w:id="172"/>
      </w:r>
      <w:r>
        <w:rPr>
          <w:rFonts w:asciiTheme="majorBidi" w:hAnsiTheme="majorBidi" w:cstheme="majorBidi"/>
          <w:sz w:val="24"/>
          <w:szCs w:val="24"/>
          <w:rtl/>
        </w:rPr>
        <w:t>(2024) أن العقود التجارية الذكية تظل خاضعة للأركان العامة للعقد، غير أن التنفيذ المؤتمت يثير إشكالات تتعلق باستمرار سيطرة الإرادة البشرية على مسار الالتزام</w:t>
      </w:r>
      <w:r>
        <w:rPr>
          <w:rFonts w:asciiTheme="majorBidi" w:hAnsiTheme="majorBidi" w:cstheme="majorBidi"/>
          <w:sz w:val="24"/>
          <w:szCs w:val="24"/>
        </w:rPr>
        <w:t>.</w:t>
      </w:r>
    </w:p>
    <w:p w14:paraId="71514FB1"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ومن الناحية الفقهية، فإن نسبة الأفعال في الفقه الإسلامي لا تقوم إلا إلى مكلف ذي ذمة، ولا يُتصور إسناد حكم شرعي إلى غير مكلف. وقد ناقش جانب من الفقه مسألة الاعتراف بالشخصية القانونية للذكاء الاصطناعي، وخلص إلى أن الإطار التقليدي للنظرية القانونية لا يسمح بمنح التقنية ذمة مستقلة دون إعادة بناء جوهرية لمفاهيم الأهلية والنسبة. ويبدو أن القياس على أحكام الوكالة أو التسبب يظل هو الأقرب للتكييف، مع بقاء المسؤولية على عاتق الفاعل البشري الذي أذن واستخدم واعتمد</w:t>
      </w:r>
      <w:r>
        <w:rPr>
          <w:rFonts w:asciiTheme="majorBidi" w:hAnsiTheme="majorBidi" w:cstheme="majorBidi"/>
          <w:sz w:val="24"/>
          <w:szCs w:val="24"/>
        </w:rPr>
        <w:t>.</w:t>
      </w:r>
    </w:p>
    <w:p w14:paraId="576B2F9D"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وفي السياق التنظيمي الوطني، أكدت الهيئة السعودية للبيانات والذكاء الاصطناعي في وثيقة مبادئ أخلاقيات الذكاء الاصطناعي على مبادئ المساءلة والشفافية وقابلية التتبع (الهيئة السعودية للبيانات والذكاء الاصطناعي، 2023)</w:t>
      </w:r>
      <w:r>
        <w:rPr>
          <w:rStyle w:val="af"/>
          <w:rFonts w:asciiTheme="majorBidi" w:hAnsiTheme="majorBidi" w:cstheme="majorBidi"/>
          <w:sz w:val="24"/>
          <w:szCs w:val="24"/>
          <w:rtl/>
        </w:rPr>
        <w:footnoteReference w:id="173"/>
      </w:r>
      <w:r>
        <w:rPr>
          <w:rFonts w:asciiTheme="majorBidi" w:hAnsiTheme="majorBidi" w:cstheme="majorBidi"/>
          <w:sz w:val="24"/>
          <w:szCs w:val="24"/>
          <w:rtl/>
        </w:rPr>
        <w:t>، كما شدد إطار تبني الذكاء الاصطناعي على ضرورة وضوح الأدوار والمسؤوليات وعدم إعفاء أي جهة من تحمل تبعة قراراتها الخوارزمية. ويُفهم من ذلك أن الاتجاه الوطني لا يميل إلى إسناد الفعل إلى التقنية ذاتها، بل إلى تثبيت المسؤولية في يد الإنسان</w:t>
      </w:r>
      <w:r>
        <w:rPr>
          <w:rFonts w:asciiTheme="majorBidi" w:hAnsiTheme="majorBidi" w:cstheme="majorBidi"/>
          <w:sz w:val="24"/>
          <w:szCs w:val="24"/>
        </w:rPr>
        <w:t>.</w:t>
      </w:r>
    </w:p>
    <w:p w14:paraId="460E6CAE"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وانطلاقًا مما سبق، يقوم هذا الفصل على فرضية مفادها أن المخرجات القانونية المنتجة عبر أنظمة الذكاء الاصطناعي لا تكتسب حجيتها أو مشروعيتها من ذاتها، بل من اندماجها الواعي في الإرادة البشرية، ومن خضوعها لمعيار العناية المهنية، ومن قابليتها للفحص والمساءلة. غير أن هذا التصور لا ينفي الحاجة إلى إعادة قراءة أركان المسؤولية المدنية في ضوء تعقيد العلاقة السببية وتعدد الأطراف المتدخلة في إنتاج المخرج</w:t>
      </w:r>
      <w:r>
        <w:rPr>
          <w:rFonts w:asciiTheme="majorBidi" w:hAnsiTheme="majorBidi" w:cstheme="majorBidi"/>
          <w:sz w:val="24"/>
          <w:szCs w:val="24"/>
        </w:rPr>
        <w:t>.</w:t>
      </w:r>
    </w:p>
    <w:p w14:paraId="326C3677"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السياق التشريعي السعودي لمعيار العناية المهنية، أفاد جانب من الفقه أن الهيئة السعودية للمحامين المرخصين تملك صلاحية إصدار معايير أخلاقية ملزمة وفق نظام المحاماة، وأن هذه الصلاحية تُتيح لها تحديد متطلبات الكفاءة الرقمية ومعايير الإفصاح عن توظيف الذكاء الاصطناعي دون انتظار تعديل تشريعي، وهو مسار أسرع وأكثر مرونة في التعامل مع المتغيرات التقنية.</w:t>
      </w:r>
      <w:r>
        <w:rPr>
          <w:rtl/>
        </w:rPr>
        <w:footnoteReference w:id="174"/>
      </w:r>
    </w:p>
    <w:p w14:paraId="7C72323E"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 xml:space="preserve">وفي تطور معيار العناية المهنية في ظل الذكاء الاصطناعي، خلص جانب من الفقه إلى أن هذا المعيار يشهد تحولاً من معيار المحامي الذي يُتقن القانون إلى معيار المحامي الذي يُتقن القانون ويُحسن توظيف أدواته الرقمية </w:t>
      </w:r>
      <w:r>
        <w:rPr>
          <w:rFonts w:asciiTheme="majorBidi" w:hAnsiTheme="majorBidi" w:cstheme="majorBidi"/>
          <w:sz w:val="24"/>
          <w:szCs w:val="24"/>
          <w:rtl/>
        </w:rPr>
        <w:lastRenderedPageBreak/>
        <w:t>بمسؤولية، مُستشهداً بأن بعض نقابات المحامين الأوروبية بات يُدرج الكفاءة الرقمية ضمن متطلبات الترخيص المهني وشروط التجديد الدوري.</w:t>
      </w:r>
      <w:r>
        <w:rPr>
          <w:rtl/>
        </w:rPr>
        <w:footnoteReference w:id="175"/>
      </w:r>
    </w:p>
    <w:p w14:paraId="43FE6B82"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وفي سياق معيار العناية المهنية المرتقب، اقترح جانب من الفقه مفهوم العناية المهنية الرقمية المعززة، الذي يُلزم المحامي المستخدم للذكاء الاصطناعي بالتحقق من ثلاثة عناصر قبل تقديم أي مخرج آلي: صحة المعلومات المُدخَلة في النظام، ودرجة موثوقية النظام في السياق الموضوعي للقضية، وغياب أي تعارض بين مخرجات النظام ومتطلبات واجب الأمانة تجاه الموكل.</w:t>
      </w:r>
      <w:r>
        <w:rPr>
          <w:rtl/>
        </w:rPr>
        <w:footnoteReference w:id="176"/>
      </w:r>
    </w:p>
    <w:p w14:paraId="126F4527"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وتجدر الإشارة هنا إلى ما أوردته الخميسي بشأن تطور معيار العناية المهنية في الفقه القانوني المقارن، إذ رصدت اتجاهاً واضحاً نحو تبني معيار العناية المهنية الرقمية التي تشمل، فضلاً عن المهارات القانونية التقليدية، معرفة المحامي بالأدوات التقنية المستخدمة في مجاله، والقدرة على تقييم موثوقيتها، وإدارة المخاطر المرتبطة بتوظيفها في سياق تمثيل العملاء.</w:t>
      </w:r>
      <w:r>
        <w:rPr>
          <w:rtl/>
        </w:rPr>
        <w:footnoteReference w:id="177"/>
      </w:r>
    </w:p>
    <w:p w14:paraId="51BCA45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وبناءً عليه، ينقسم هذا الفصل إلى مبحثين رئيسين</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يتناول </w:t>
      </w:r>
      <w:r>
        <w:rPr>
          <w:rFonts w:asciiTheme="majorBidi" w:hAnsiTheme="majorBidi" w:cstheme="majorBidi"/>
          <w:b/>
          <w:bCs/>
          <w:sz w:val="24"/>
          <w:szCs w:val="24"/>
          <w:rtl/>
        </w:rPr>
        <w:t>المبحث الأول</w:t>
      </w:r>
      <w:r>
        <w:rPr>
          <w:rFonts w:asciiTheme="majorBidi" w:hAnsiTheme="majorBidi" w:cstheme="majorBidi"/>
          <w:sz w:val="24"/>
          <w:szCs w:val="24"/>
          <w:rtl/>
        </w:rPr>
        <w:t xml:space="preserve"> التكييف النظامي والفقهي للمخرجات الذكية من حيث حجيتها ومشروعيتها القضائية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أما </w:t>
      </w:r>
      <w:r>
        <w:rPr>
          <w:rFonts w:asciiTheme="majorBidi" w:hAnsiTheme="majorBidi" w:cstheme="majorBidi"/>
          <w:b/>
          <w:bCs/>
          <w:sz w:val="24"/>
          <w:szCs w:val="24"/>
          <w:rtl/>
        </w:rPr>
        <w:t>المبحث الثاني</w:t>
      </w:r>
      <w:r>
        <w:rPr>
          <w:rFonts w:asciiTheme="majorBidi" w:hAnsiTheme="majorBidi" w:cstheme="majorBidi"/>
          <w:sz w:val="24"/>
          <w:szCs w:val="24"/>
          <w:rtl/>
        </w:rPr>
        <w:t xml:space="preserve"> فيعالج المسؤولية القانونية والمهنية المترتبة على استخدامها، من خلال تحليل أركان المسؤولية، ومعيار الخطأ، وتوزيع المخاطر بين المستخدم ومطور التقنية ومقدم الخدمة، مع إشارة مقارنة إلى الاتجاه الأوروبي</w:t>
      </w:r>
      <w:r>
        <w:rPr>
          <w:rFonts w:asciiTheme="majorBidi" w:hAnsiTheme="majorBidi" w:cstheme="majorBidi"/>
          <w:sz w:val="24"/>
          <w:szCs w:val="24"/>
        </w:rPr>
        <w:t>.</w:t>
      </w:r>
    </w:p>
    <w:p w14:paraId="4CFA4A4B"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ويمثل هذا الفصل الأساس النظري الذي تُبنى عليه المعالجة التنظيمية المقترحة في الفصول اللاحقة، ويهدف إلى تحقيق توازن دقيق بين تشجيع الابتكار التقني في مكاتب المحاماة وصون ضمانات العدالة ومبادئ المشروعية والمسؤولية</w:t>
      </w:r>
      <w:r>
        <w:rPr>
          <w:rFonts w:asciiTheme="majorBidi" w:hAnsiTheme="majorBidi" w:cstheme="majorBidi"/>
          <w:sz w:val="24"/>
          <w:szCs w:val="24"/>
        </w:rPr>
        <w:t>.</w:t>
      </w:r>
    </w:p>
    <w:p w14:paraId="3900F62A" w14:textId="77777777" w:rsidR="00624037" w:rsidRDefault="00624037" w:rsidP="00624037">
      <w:pPr>
        <w:jc w:val="right"/>
        <w:rPr>
          <w:rFonts w:asciiTheme="majorBidi" w:hAnsiTheme="majorBidi" w:cstheme="majorBidi"/>
          <w:sz w:val="24"/>
          <w:szCs w:val="24"/>
        </w:rPr>
      </w:pPr>
    </w:p>
    <w:p w14:paraId="74F077B4" w14:textId="77777777" w:rsidR="00624037" w:rsidRDefault="00624037" w:rsidP="00624037">
      <w:pPr>
        <w:rPr>
          <w:rFonts w:asciiTheme="majorBidi" w:hAnsiTheme="majorBidi" w:cstheme="majorBidi"/>
          <w:sz w:val="24"/>
          <w:szCs w:val="24"/>
        </w:rPr>
      </w:pPr>
    </w:p>
    <w:p w14:paraId="482D3B69" w14:textId="77777777" w:rsidR="00624037" w:rsidRDefault="00624037" w:rsidP="00624037">
      <w:pPr>
        <w:jc w:val="right"/>
        <w:rPr>
          <w:rFonts w:asciiTheme="majorBidi" w:hAnsiTheme="majorBidi" w:cstheme="majorBidi"/>
          <w:sz w:val="24"/>
          <w:szCs w:val="24"/>
        </w:rPr>
      </w:pPr>
    </w:p>
    <w:p w14:paraId="0A4D1147" w14:textId="77777777" w:rsidR="00624037" w:rsidRPr="000A2E06"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المبحث الأول</w:t>
      </w:r>
    </w:p>
    <w:p w14:paraId="499C7402" w14:textId="77777777" w:rsidR="00624037" w:rsidRPr="000A2E06"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التكييف النظامي والفقهي للمخرجات الذكية</w:t>
      </w:r>
    </w:p>
    <w:p w14:paraId="121B58CE"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لم يعد توظيف الذكاء الاصطناعي في مكاتب المحاماة مجرد أداة تقنية مساعدة لتسريع العمل أو تنظيم الملفات أو تحسين إدارة الوقت، بل أصبح في صورته المعاصرة قادرًا على إنتاج “مخرجات قانونية” قد تُقدَّم للمتقاضين أو للجهات القضائية بوصفها عقودًا مكتملة الصياغة، أو تقارير تحليلية، أو مذكرات دفاع، أو آراء استشارية، أو حتى تصورات قانونية قائمة على تحليل أنماط السوابق القضائية. وهذه النقلة النوعية تنقل النقاش من مستوى الوسيلة التقنية إلى مستوى البنية النظرية للتصرف القانوني ذاته، وتطرح سؤالًا تأسيسيًا يتجاوز حدود التقنية إلى جوهر النظام القانوني: ما الطبيعة القانونية لهذه المخرجات؟ وهل تُعامل بوصفها مجرد وسائل تحرير وصياغة، أم باعتبارها عنصرًا مؤثرًا في تكوين الإرادة القانونية ونسبة التصرف وحجيته؟</w:t>
      </w:r>
    </w:p>
    <w:p w14:paraId="3E2A95C7"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إن خطورة هذا السؤال لا تكمن في حداثته فحسب، بل في كونه يمس ركائز مستقرة في النظرية العامة للالتزام. فقد قام البناء التقليدي للتصرف القانوني في الفقه الإسلامي ثم في التشريعات المدنية الحديثة على مركزية الإرادة البشرية، باعتبارها مصدر الإلزام ومنشأ الأثر القانوني. وقد أكد نظام المعاملات المدنية الصادر عام 1445هـ هذا المعنى حين قرر أن العقد ينعقد بتلاقي إرادتين معتبرتين، صادرتين عن ذوي أهلية، ومتجهتين إلى إحداث أثر قانوني معين، مع توافر الأركان والشروط المقررة نظامًا</w:t>
      </w:r>
      <w:r>
        <w:rPr>
          <w:rStyle w:val="af"/>
          <w:rFonts w:asciiTheme="majorBidi" w:hAnsiTheme="majorBidi" w:cstheme="majorBidi"/>
          <w:sz w:val="24"/>
          <w:szCs w:val="24"/>
          <w:rtl/>
        </w:rPr>
        <w:footnoteReference w:id="178"/>
      </w:r>
      <w:r>
        <w:rPr>
          <w:rFonts w:asciiTheme="majorBidi" w:hAnsiTheme="majorBidi" w:cstheme="majorBidi"/>
          <w:sz w:val="24"/>
          <w:szCs w:val="24"/>
          <w:rtl/>
        </w:rPr>
        <w:t>. ويُفهم من هذا التأصيل أن الإرادة ليست مجرد نية داخلية، بل تعبير منضبط يمكن نسبته إلى شخص معين، ويُرتب في ذمته التزامات محددة</w:t>
      </w:r>
      <w:r>
        <w:rPr>
          <w:rFonts w:asciiTheme="majorBidi" w:hAnsiTheme="majorBidi" w:cstheme="majorBidi"/>
          <w:sz w:val="24"/>
          <w:szCs w:val="24"/>
        </w:rPr>
        <w:t>.</w:t>
      </w:r>
    </w:p>
    <w:p w14:paraId="02C0BCF4"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إدماج المعالجة الخوارزمية في صياغة العقود أو تحليلها يثير تساؤلًا حول مدى بقاء الإرادة البشرية في موقع “المنشئ الأصلي” للتصرف، أم أنها تتحول أحيانًا إلى إرادة مُجيزة أو مُعتمدة لما أنتجته الخوارزمية. فالمخرجات الذكية لا تقتصر على تنفيذ أوامر صريحة، بل قد تقوم بتحليل معطيات ضخمة، واستخلاص أنماط، واقتراح صيغ تعاقدية أو توصيفات قانونية قد لا تخطر على ذهن المستخدم ابتداءً. وفي هذه الحالة، يصبح السؤال: هل يظل التصرف انعكاسًا خالصًا لإرادة بشرية، أم يصبح نتاجًا مركبًا تشترك في تشكيله منظومة تقنية تحليلية؟</w:t>
      </w:r>
    </w:p>
    <w:p w14:paraId="371D7EF5"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ويتصل بهذا التساؤل جانبٌ آخر يتعلق بالحجية. فقد أقر نظام الإثبات لعام </w:t>
      </w:r>
      <w:r>
        <w:rPr>
          <w:rStyle w:val="af"/>
          <w:rFonts w:asciiTheme="majorBidi" w:hAnsiTheme="majorBidi" w:cstheme="majorBidi"/>
          <w:sz w:val="24"/>
          <w:szCs w:val="24"/>
          <w:rtl/>
        </w:rPr>
        <w:footnoteReference w:id="179"/>
      </w:r>
      <w:r>
        <w:rPr>
          <w:rFonts w:asciiTheme="majorBidi" w:hAnsiTheme="majorBidi" w:cstheme="majorBidi"/>
          <w:sz w:val="24"/>
          <w:szCs w:val="24"/>
          <w:rtl/>
        </w:rPr>
        <w:t>1443هـ حجية المحررات الإلكترونية، وأجاز الإثبات بكافة الوسائل النظامية ما لم يرد نص بخلاف ذلك، بما يعكس تبني المشرّع لمبدأ الحياد التقني. إلا أن هذا الإقرار يفترض – في جوهره – وجود محرر يمكن نسبته إلى مصدر محدد، سواء بالتوقيع أو بوسائل الاعتماد المعتبرة. أما في حالة المخرجات المنتجة آليًا، فإن الإشكال لا يتعلق بشكل المحرر أو وسيطه الإلكتروني، بل بآلية تكوين مضمونه ومدى إمكانية نسبته إلى إرادة بشرية واعية تتحمل تبعته</w:t>
      </w:r>
      <w:r>
        <w:rPr>
          <w:rFonts w:asciiTheme="majorBidi" w:hAnsiTheme="majorBidi" w:cstheme="majorBidi"/>
          <w:sz w:val="24"/>
          <w:szCs w:val="24"/>
        </w:rPr>
        <w:t>.</w:t>
      </w:r>
    </w:p>
    <w:p w14:paraId="019C5E31"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تناول جانب من الفقه مسألة حماية التصرفات القانونية في البيئة الرقمية، وأكد أن الحجية لا تقوم على مجرد وجود وسيط إلكتروني، بل على إمكانية التحقق من المصدر وسلامة المحتوى وقابلية الفحص والتتبع</w:t>
      </w:r>
      <w:r>
        <w:rPr>
          <w:rStyle w:val="af"/>
          <w:rFonts w:asciiTheme="majorBidi" w:hAnsiTheme="majorBidi" w:cstheme="majorBidi"/>
          <w:sz w:val="24"/>
          <w:szCs w:val="24"/>
          <w:rtl/>
        </w:rPr>
        <w:footnoteReference w:id="180"/>
      </w:r>
      <w:r>
        <w:rPr>
          <w:rFonts w:asciiTheme="majorBidi" w:hAnsiTheme="majorBidi" w:cstheme="majorBidi"/>
          <w:sz w:val="24"/>
          <w:szCs w:val="24"/>
          <w:rtl/>
        </w:rPr>
        <w:t>. ويكتسب هذا الطرح أهمية خاصة في سياق المخرجات التوليدية التي قد تنتج نصوصًا قانونية متماسكة ظاهريًا، لكنها لا تُظهر بوضوح مسار تكوينها أو مصادرها أو حدود الاعتماد عليها، الأمر الذي يثير إشكالية تتعلق بمعيار الثقة القانونية وإمكان إخضاع المخرج للفحص النقدي</w:t>
      </w:r>
      <w:r>
        <w:rPr>
          <w:rFonts w:asciiTheme="majorBidi" w:hAnsiTheme="majorBidi" w:cstheme="majorBidi"/>
          <w:sz w:val="24"/>
          <w:szCs w:val="24"/>
        </w:rPr>
        <w:t>.</w:t>
      </w:r>
    </w:p>
    <w:p w14:paraId="66D63878"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وقد أوضح مركز الدراسات والبحوث القانونية (2024م) أن المخرجات التوليدية للذكاء الاصطناعي — لا سيما تلك المستخدمة في إعداد الحجج القانونية — تشكّل تحديًا ضمنيًا للضمانات الإجرائية المتعلقة بصحة الإثبات، إذ إن هذه المخرجات قد تنطوي على أخطاء واقعية أو تحيزات خوارزمية لا يلتفت إليها المحامي المستخدِم.</w:t>
      </w:r>
      <w:r>
        <w:rPr>
          <w:rtl/>
        </w:rPr>
        <w:footnoteReference w:id="181"/>
      </w:r>
    </w:p>
    <w:p w14:paraId="4341360D" w14:textId="77777777" w:rsidR="00624037" w:rsidRPr="000A2E06" w:rsidRDefault="00624037" w:rsidP="000D4B35">
      <w:pPr>
        <w:jc w:val="right"/>
        <w:rPr>
          <w:rFonts w:asciiTheme="majorBidi" w:hAnsiTheme="majorBidi" w:cstheme="majorBidi"/>
          <w:sz w:val="24"/>
          <w:szCs w:val="24"/>
        </w:rPr>
      </w:pPr>
      <w:r>
        <w:rPr>
          <w:rFonts w:asciiTheme="majorBidi" w:hAnsiTheme="majorBidi" w:cstheme="majorBidi"/>
          <w:sz w:val="24"/>
          <w:szCs w:val="24"/>
          <w:rtl/>
        </w:rPr>
        <w:t>كما يفرض نظام حماية البيانات الشخصية (1443هـ) بعدًا إضافيًا في هذا السياق، إذ ينظم معالجة البيانات ويقرر مسؤولية الجهة المعالجة عند مخالفة أحكامه، ويشترط مشروعية الجمع والغرض المحدد وتقليل المعالجة  وبما أن كثيرًا من الأنظمة الذكية تعتمد على تحليل بيانات ضخمة قد تشمل بيانات شخصية أو حساسة، فإن سلامة مصدر البيانات ومشروعية استخدامها تصبح عنصرًا مؤثرًا في تقييم مشروعية المخرج ذاته، سواء من زاوية الحجية أو من زاوية المسؤولية</w:t>
      </w:r>
      <w:r>
        <w:rPr>
          <w:rFonts w:asciiTheme="majorBidi" w:hAnsiTheme="majorBidi" w:cstheme="majorBidi"/>
          <w:sz w:val="24"/>
          <w:szCs w:val="24"/>
        </w:rPr>
        <w:t>.</w:t>
      </w:r>
    </w:p>
    <w:p w14:paraId="37C36997" w14:textId="77777777" w:rsidR="00D57654" w:rsidRDefault="00C702A9" w:rsidP="000D4B35">
      <w:pPr>
        <w:jc w:val="right"/>
        <w:rPr>
          <w:rFonts w:asciiTheme="majorBidi" w:hAnsiTheme="majorBidi" w:cstheme="majorBidi"/>
          <w:sz w:val="24"/>
          <w:szCs w:val="24"/>
          <w:rtl/>
        </w:rPr>
      </w:pPr>
      <w:r>
        <w:rPr>
          <w:rFonts w:asciiTheme="majorBidi" w:hAnsiTheme="majorBidi" w:cstheme="majorBidi"/>
          <w:sz w:val="24"/>
          <w:szCs w:val="24"/>
          <w:rtl/>
        </w:rPr>
        <w:t>ويُستأنس في هذا السياق بما ذهب إليه جانب من الفقه (د.ت) من أن نظام حماية البيانات الشخصية يفرض على مكتب المحاماة قيدًا جوهريًا يتمثل في ضرورة تحديد الغرض من معالجة بيانات الموكل معالجةً ذكية، مع التزام مبدأ التناسب بين حجم البيانات المُعالَجة والغرض القانوني المشروع من هذه المعالجة.</w:t>
      </w:r>
      <w:r>
        <w:rPr>
          <w:rtl/>
        </w:rPr>
        <w:footnoteReference w:id="182"/>
      </w:r>
    </w:p>
    <w:p w14:paraId="5EB689AA"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وفي الإطار الوطني لحوكمة الذكاء الاصطناعي، أكدت الهيئة السعودية للبيانات والذكاء الاصطناعي في وثيقة “مبادئ أخلاقيات الذكاء الاصطناعي” على مبادئ المساءلة والشفافية وعدم الإضرار وقابلية التتبع (الهيئة السعودية للبيانات والذكاء الاصطناعي، 2023)، كما شدد “إطار تبني الذكاء الاصطناعي” على ضرورة وضوح الأدوار والمسؤوليات وعدم إسناد القرار النهائي إلى النظام الآلي بصورة مستقلة (الهيئة السعودية للبيانات والذكاء الاصطناعي، 2024). ويُفهم من هذه الوثائق أن التوجه التنظيمي الوطني لا يعترف للذكاء الاصطناعي بصفة الفاعل القانوني المستقل، بل يرسخ مبدأ بقاء المسؤولية في يد الإنسان، حتى في حال الاستعانة بالأنظمة الذكية</w:t>
      </w:r>
      <w:r>
        <w:rPr>
          <w:rFonts w:asciiTheme="majorBidi" w:hAnsiTheme="majorBidi" w:cstheme="majorBidi"/>
          <w:sz w:val="24"/>
          <w:szCs w:val="24"/>
        </w:rPr>
        <w:t>.</w:t>
      </w:r>
    </w:p>
    <w:p w14:paraId="1BCC275C"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عالجت الدراسات القانونية الحديثة هذه المسألة من زوايا متعددة. فجانب من الفقه يرى أن الذكاء الاصطناعي لا يُعد شخصًا قانونيًا مستقلًا، وأن المسؤولية تبقى لصيقة بالمستخدم أو المشغل الذي يمارس الرقابة عليه. وفي سياق موازٍ، نبهت مجلة العدالة إلى ضرورة ضبط المسؤولية المهنية في استخدام الأنظمة الذكية داخل الممارسة القانونية، منعًا لاضطراب المعايير وفقدان الثقة في المخرجات (مجلة العدالة، 2022). كما أشارت مجلة الشريعة والقانون إلى أن الإفراط في الاعتماد على الأنظمة التحليلية قد يمس جوهر الوظيفة القانونية القائمة على الاجتهاد البشري، إذا تحول الاستخدام إلى بديل عن التمحيص والمراجعة (مجلة الشريعة والقانون، 2022)</w:t>
      </w:r>
      <w:r>
        <w:rPr>
          <w:rFonts w:asciiTheme="majorBidi" w:hAnsiTheme="majorBidi" w:cstheme="majorBidi"/>
          <w:sz w:val="24"/>
          <w:szCs w:val="24"/>
        </w:rPr>
        <w:t>.</w:t>
      </w:r>
    </w:p>
    <w:p w14:paraId="020EBDC8"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الناحية الفقهية، فإن نسبة القول أو الفعل في الشريعة لا تقوم إلا إلى مكلف ذي ذمة، ولا يُتصور إسناد حكم إلى غير مكلف. وقد ناقش جانب من الفقه مسألة الاعتراف بالشخصية القانونية للذكاء الاصطناعي، وخلص إلى صعوبة منح التقنية ذمة مستقلة في ظل البناء التقليدي للنظرية القانونية (جانب من الفقه، دون تاريخ). ويبدو أن القياس الأقرب في هذا السياق هو قياس المخرجات الذكية على صور الوكالة أو التسبب، حيث تُنسب النتائج إلى من أذن واستخدم واعتمد، بشرط تحقق القدرة الواقعية على الرقابة وعدم التفريط</w:t>
      </w:r>
      <w:r>
        <w:rPr>
          <w:rFonts w:asciiTheme="majorBidi" w:hAnsiTheme="majorBidi" w:cstheme="majorBidi"/>
          <w:sz w:val="24"/>
          <w:szCs w:val="24"/>
        </w:rPr>
        <w:t>.</w:t>
      </w:r>
    </w:p>
    <w:p w14:paraId="0A934E78"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sz w:val="24"/>
          <w:szCs w:val="24"/>
          <w:rtl/>
        </w:rPr>
        <w:t>وعليه، فإن الإشكالية التي يعالجها هذا المبحث ليست إشكالية قبول التقنية أو رفضها، بل إشكالية إدراجها ضمن البنية المفاهيمية القائمة للنظام القانوني، وتحديد موقعها بين الإرادة والنسبة والحجية والمسؤولية. فالمخرجات الذكية لا يمكن التعامل معها بوصفها مجرد “أدوات صماء”، ولا بوصفها “فاعلين قانونيين مستقلين”، بل بوصفها عنصرًا وسيطًا متقدمًا داخل منظومة تصرف قانوني يظل في جوهره بشري المصدر</w:t>
      </w:r>
      <w:r>
        <w:rPr>
          <w:rFonts w:asciiTheme="majorBidi" w:hAnsiTheme="majorBidi" w:cstheme="majorBidi"/>
          <w:sz w:val="24"/>
          <w:szCs w:val="24"/>
        </w:rPr>
        <w:t>.</w:t>
      </w:r>
    </w:p>
    <w:p w14:paraId="5035F689" w14:textId="77777777" w:rsidR="00624037" w:rsidRPr="000A2E06"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وانطلاقًا من ذلك، ينقسم هذا المبحث إلى مطلبين</w:t>
      </w:r>
      <w:r>
        <w:rPr>
          <w:rFonts w:asciiTheme="majorBidi" w:hAnsiTheme="majorBidi" w:cstheme="majorBidi"/>
          <w:b/>
          <w:bCs/>
          <w:sz w:val="24"/>
          <w:szCs w:val="24"/>
        </w:rPr>
        <w:t>:</w:t>
      </w:r>
      <w:r>
        <w:rPr>
          <w:rFonts w:asciiTheme="majorBidi" w:hAnsiTheme="majorBidi" w:cstheme="majorBidi"/>
          <w:sz w:val="24"/>
          <w:szCs w:val="24"/>
        </w:rPr>
        <w:br/>
      </w:r>
      <w:r>
        <w:rPr>
          <w:rFonts w:asciiTheme="majorBidi" w:hAnsiTheme="majorBidi" w:cstheme="majorBidi"/>
          <w:sz w:val="24"/>
          <w:szCs w:val="24"/>
          <w:rtl/>
        </w:rPr>
        <w:t xml:space="preserve">يتناول </w:t>
      </w:r>
      <w:r>
        <w:rPr>
          <w:rFonts w:asciiTheme="majorBidi" w:hAnsiTheme="majorBidi" w:cstheme="majorBidi"/>
          <w:b/>
          <w:bCs/>
          <w:sz w:val="24"/>
          <w:szCs w:val="24"/>
          <w:rtl/>
        </w:rPr>
        <w:t>المطلب الأول</w:t>
      </w:r>
      <w:r>
        <w:rPr>
          <w:rFonts w:asciiTheme="majorBidi" w:hAnsiTheme="majorBidi" w:cstheme="majorBidi"/>
          <w:sz w:val="24"/>
          <w:szCs w:val="24"/>
          <w:rtl/>
        </w:rPr>
        <w:t xml:space="preserve"> حجية العقود والتقارير القانونية المنتجة آليًا من حيث التكوين والنسبة والحجية</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أما </w:t>
      </w:r>
      <w:r>
        <w:rPr>
          <w:rFonts w:asciiTheme="majorBidi" w:hAnsiTheme="majorBidi" w:cstheme="majorBidi"/>
          <w:b/>
          <w:bCs/>
          <w:sz w:val="24"/>
          <w:szCs w:val="24"/>
          <w:rtl/>
        </w:rPr>
        <w:t>المطلب الثاني</w:t>
      </w:r>
      <w:r>
        <w:rPr>
          <w:rFonts w:asciiTheme="majorBidi" w:hAnsiTheme="majorBidi" w:cstheme="majorBidi"/>
          <w:sz w:val="24"/>
          <w:szCs w:val="24"/>
          <w:rtl/>
        </w:rPr>
        <w:t xml:space="preserve"> فيبحث مشروعية استخدام هذه المخرجات أمام الجهات القضائية، في ضوء الضمانات الإجرائية وسلطة القاضي في تقدير الأدلة، مع الإشارة إلى بعض التجارب الدولية بوصفها مؤشرات تنظيمية مقارنة لا محل استبدال</w:t>
      </w:r>
      <w:r>
        <w:rPr>
          <w:rFonts w:asciiTheme="majorBidi" w:hAnsiTheme="majorBidi" w:cstheme="majorBidi"/>
          <w:sz w:val="24"/>
          <w:szCs w:val="24"/>
        </w:rPr>
        <w:t>.</w:t>
      </w:r>
    </w:p>
    <w:p w14:paraId="413FC54B" w14:textId="77777777" w:rsidR="00355E75" w:rsidRDefault="00624037" w:rsidP="00624037">
      <w:pPr>
        <w:jc w:val="right"/>
        <w:rPr>
          <w:rFonts w:asciiTheme="majorBidi" w:hAnsiTheme="majorBidi" w:cstheme="majorBidi"/>
          <w:sz w:val="24"/>
          <w:szCs w:val="24"/>
          <w:rtl/>
        </w:rPr>
      </w:pPr>
      <w:r>
        <w:rPr>
          <w:rFonts w:asciiTheme="majorBidi" w:hAnsiTheme="majorBidi" w:cstheme="majorBidi"/>
          <w:sz w:val="24"/>
          <w:szCs w:val="24"/>
          <w:rtl/>
        </w:rPr>
        <w:t>ويمثل هذا التمهيد الأساس النظري الذي سيُبنى عليه التحليل التفصيلي في المطلبين اللاحقين، تمهيدًا للانتقال – في المبحث الثاني – إلى معالجة سؤال المسؤولية القانونية والمهنية عن هذه المخرجات في بيئة إنتاج قانوني مركبة</w:t>
      </w:r>
    </w:p>
    <w:p w14:paraId="4680AF81" w14:textId="77777777" w:rsidR="00355E75" w:rsidRDefault="00355E75" w:rsidP="00624037">
      <w:pPr>
        <w:jc w:val="right"/>
        <w:rPr>
          <w:rFonts w:asciiTheme="majorBidi" w:hAnsiTheme="majorBidi" w:cstheme="majorBidi"/>
          <w:sz w:val="24"/>
          <w:szCs w:val="24"/>
          <w:rtl/>
        </w:rPr>
      </w:pPr>
    </w:p>
    <w:p w14:paraId="51D9B8DC" w14:textId="77777777" w:rsidR="00355E75" w:rsidRDefault="00355E75" w:rsidP="00624037">
      <w:pPr>
        <w:jc w:val="right"/>
        <w:rPr>
          <w:rFonts w:asciiTheme="majorBidi" w:hAnsiTheme="majorBidi" w:cstheme="majorBidi"/>
          <w:sz w:val="24"/>
          <w:szCs w:val="24"/>
        </w:rPr>
      </w:pPr>
    </w:p>
    <w:p w14:paraId="213AF8A0" w14:textId="77777777" w:rsidR="004E4D2E" w:rsidRDefault="004E4D2E" w:rsidP="00624037">
      <w:pPr>
        <w:jc w:val="right"/>
        <w:rPr>
          <w:rFonts w:asciiTheme="majorBidi" w:hAnsiTheme="majorBidi" w:cstheme="majorBidi"/>
          <w:sz w:val="24"/>
          <w:szCs w:val="24"/>
        </w:rPr>
      </w:pPr>
    </w:p>
    <w:p w14:paraId="169CBC2A" w14:textId="77777777" w:rsidR="004E4D2E" w:rsidRDefault="004E4D2E" w:rsidP="00624037">
      <w:pPr>
        <w:jc w:val="right"/>
        <w:rPr>
          <w:rFonts w:asciiTheme="majorBidi" w:hAnsiTheme="majorBidi" w:cstheme="majorBidi"/>
          <w:sz w:val="24"/>
          <w:szCs w:val="24"/>
        </w:rPr>
      </w:pPr>
    </w:p>
    <w:p w14:paraId="0122C301" w14:textId="77777777" w:rsidR="004E4D2E" w:rsidRDefault="004E4D2E" w:rsidP="00624037">
      <w:pPr>
        <w:jc w:val="right"/>
        <w:rPr>
          <w:rFonts w:asciiTheme="majorBidi" w:hAnsiTheme="majorBidi" w:cstheme="majorBidi"/>
          <w:sz w:val="24"/>
          <w:szCs w:val="24"/>
        </w:rPr>
      </w:pPr>
    </w:p>
    <w:p w14:paraId="5211DD12" w14:textId="77777777" w:rsidR="00BB08F4" w:rsidRDefault="00BB08F4" w:rsidP="00624037">
      <w:pPr>
        <w:jc w:val="right"/>
        <w:rPr>
          <w:rFonts w:asciiTheme="majorBidi" w:hAnsiTheme="majorBidi" w:cstheme="majorBidi"/>
          <w:sz w:val="24"/>
          <w:szCs w:val="24"/>
          <w:rtl/>
        </w:rPr>
      </w:pPr>
    </w:p>
    <w:p w14:paraId="2895B753" w14:textId="77777777" w:rsidR="00624037" w:rsidRPr="000A2E06" w:rsidRDefault="00624037" w:rsidP="00624037">
      <w:pPr>
        <w:jc w:val="right"/>
        <w:rPr>
          <w:rFonts w:asciiTheme="majorBidi" w:hAnsiTheme="majorBidi" w:cstheme="majorBidi"/>
          <w:sz w:val="24"/>
          <w:szCs w:val="24"/>
        </w:rPr>
      </w:pPr>
    </w:p>
    <w:p w14:paraId="12A6B81B" w14:textId="77777777" w:rsidR="00624037" w:rsidRPr="00850F57"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المطلب الأول</w:t>
      </w:r>
    </w:p>
    <w:p w14:paraId="20F1AC31" w14:textId="77777777" w:rsidR="00624037" w:rsidRDefault="00624037" w:rsidP="00624037">
      <w:pPr>
        <w:jc w:val="center"/>
        <w:rPr>
          <w:rFonts w:asciiTheme="majorBidi" w:hAnsiTheme="majorBidi" w:cstheme="majorBidi"/>
          <w:b/>
          <w:bCs/>
          <w:sz w:val="32"/>
          <w:szCs w:val="32"/>
          <w:rtl/>
        </w:rPr>
      </w:pPr>
      <w:r>
        <w:rPr>
          <w:rFonts w:asciiTheme="majorBidi" w:hAnsiTheme="majorBidi" w:cstheme="majorBidi"/>
          <w:b/>
          <w:bCs/>
          <w:sz w:val="32"/>
          <w:szCs w:val="32"/>
          <w:rtl/>
        </w:rPr>
        <w:t>حجية العقود والتقارير القانونية المنتجة آليًا</w:t>
      </w:r>
    </w:p>
    <w:p w14:paraId="7267991B" w14:textId="77777777" w:rsidR="00624037" w:rsidRPr="00850F57" w:rsidRDefault="00624037" w:rsidP="00624037">
      <w:pPr>
        <w:jc w:val="center"/>
        <w:rPr>
          <w:rFonts w:asciiTheme="majorBidi" w:hAnsiTheme="majorBidi" w:cstheme="majorBidi"/>
          <w:b/>
          <w:bCs/>
          <w:sz w:val="32"/>
          <w:szCs w:val="32"/>
        </w:rPr>
      </w:pPr>
    </w:p>
    <w:p w14:paraId="0B69A1B0"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أولًا: مفهوم الحجية في النظرية العامة للتصرف القانوني</w:t>
      </w:r>
    </w:p>
    <w:p w14:paraId="6E6CA098"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الحجية في التصور القانوني ليست وصفًا شكليًا للمحرر، بل هي مركز قانوني مركب ينشأ عن توافر شروط محددة تتصل بصحة التكوين، وسلامة النسبة، وقابلية الاحتجاج أمام الغير. وقد قرر نظام المعاملات المدنية أن التصرف القانوني يقوم على إرادة معتبرة شرعًا ونظامًا، تصدر عن ذي أهلية، وتتجه إلى إحداث أثر قانوني معين. ويُفهم من هذا النص أن الحجية لا تُفهم بمعزل عن الإرادة، وأن الإرادة لا تُفهم بمعزل عن النسبة</w:t>
      </w:r>
      <w:r>
        <w:rPr>
          <w:rFonts w:asciiTheme="majorBidi" w:hAnsiTheme="majorBidi" w:cstheme="majorBidi"/>
          <w:sz w:val="24"/>
          <w:szCs w:val="24"/>
        </w:rPr>
        <w:t>.</w:t>
      </w:r>
    </w:p>
    <w:p w14:paraId="5859E83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المخرجات القانونية المنتجة عبر أنظمة الذكاء الاصطناعي تثير تساؤلًا جوهريًا: هل يمكن القول إن الإرادة في هذه الحالة تظل “إرادة بشرية خالصة”، أم أنها إرادة مركبة تتداخل فيها عناصر تحليلية غير بشرية؟</w:t>
      </w:r>
      <w:r>
        <w:rPr>
          <w:rFonts w:asciiTheme="majorBidi" w:hAnsiTheme="majorBidi" w:cstheme="majorBidi"/>
          <w:sz w:val="24"/>
          <w:szCs w:val="24"/>
        </w:rPr>
        <w:br/>
      </w:r>
      <w:r>
        <w:rPr>
          <w:rFonts w:asciiTheme="majorBidi" w:hAnsiTheme="majorBidi" w:cstheme="majorBidi"/>
          <w:sz w:val="24"/>
          <w:szCs w:val="24"/>
          <w:rtl/>
        </w:rPr>
        <w:t>هذا السؤال لا يمس الوسيلة التقنية بقدر ما يمس معيار “الانتماء الإرادي” للتصرف</w:t>
      </w:r>
      <w:r>
        <w:rPr>
          <w:rFonts w:asciiTheme="majorBidi" w:hAnsiTheme="majorBidi" w:cstheme="majorBidi"/>
          <w:sz w:val="24"/>
          <w:szCs w:val="24"/>
        </w:rPr>
        <w:t>.</w:t>
      </w:r>
    </w:p>
    <w:p w14:paraId="0C2F8AA3"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الفقه المدني التقليدي، يُشترط لقيام التصرف أن يكون التعبير عن الإرادة صادرًا عن شخص محدد، بحيث يمكن نسبته إليه وتحميله تبعته. فإذا كان النظام الذكي قد شارك في صياغة العقد أو التقرير القانوني، فإن التكييف يتوقف على مدى اندماج هذا المخرج في إرادة المستخدم واعتماده الواعي له</w:t>
      </w:r>
      <w:r>
        <w:rPr>
          <w:rFonts w:asciiTheme="majorBidi" w:hAnsiTheme="majorBidi" w:cstheme="majorBidi"/>
          <w:sz w:val="24"/>
          <w:szCs w:val="24"/>
        </w:rPr>
        <w:t>.</w:t>
      </w:r>
    </w:p>
    <w:p w14:paraId="16E6493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جانب من الفقه إلى أن الذكاء الاصطناعي – من حيث الأصل – لا يتمتع بإرادة قانونية مستقلة، ولا يمكن إسناد الفعل إليه بوصفه شخصًا قانونيًا، وأن المسؤولية تبقى في يد المشغل أو المستخدم</w:t>
      </w:r>
      <w:r>
        <w:rPr>
          <w:rStyle w:val="af"/>
          <w:rFonts w:asciiTheme="majorBidi" w:hAnsiTheme="majorBidi" w:cstheme="majorBidi"/>
          <w:sz w:val="24"/>
          <w:szCs w:val="24"/>
          <w:rtl/>
        </w:rPr>
        <w:footnoteReference w:id="183"/>
      </w:r>
      <w:r>
        <w:rPr>
          <w:rFonts w:asciiTheme="majorBidi" w:hAnsiTheme="majorBidi" w:cstheme="majorBidi"/>
          <w:sz w:val="24"/>
          <w:szCs w:val="24"/>
          <w:rtl/>
        </w:rPr>
        <w:t>. غير أن هذا الطرح، وإن كان صحيحًا في مستوى المسؤولية، يحتاج إلى تعميق عند بحث الحجية؛ لأن الحجية لا تتعلق فقط بمن يتحمل التبعة، بل بمن يُعد مصدرًا للتكوين الإرادي</w:t>
      </w:r>
      <w:r>
        <w:rPr>
          <w:rFonts w:asciiTheme="majorBidi" w:hAnsiTheme="majorBidi" w:cstheme="majorBidi"/>
          <w:sz w:val="24"/>
          <w:szCs w:val="24"/>
        </w:rPr>
        <w:t>.</w:t>
      </w:r>
    </w:p>
    <w:p w14:paraId="1B9366B9" w14:textId="77777777" w:rsidR="00624037" w:rsidRPr="00850F57" w:rsidRDefault="00355E75"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الحجية في المخرجات الذكية لا تُقاس بمعيار “من كتب النص”، بل بمعيار “من تبنّى المضمون بعد فهمٍ وتمحيص”. فإذا كان المحامي قد اعتمد المخرج اعتمادًا شكليًا دون مراجعة جوهرية، فإن نسبة الإرادة تصبح ضعيفة، حتى لو ظل الشكل مستوفيًا. أما إذا كان الاعتماد مسبوقًا بمراجعة نقدية واعية، فإن المخرج يندمج في إرادته ويكتسب حجية كاملة</w:t>
      </w:r>
      <w:r>
        <w:rPr>
          <w:rFonts w:asciiTheme="majorBidi" w:hAnsiTheme="majorBidi" w:cstheme="majorBidi"/>
          <w:sz w:val="24"/>
          <w:szCs w:val="24"/>
        </w:rPr>
        <w:t>.</w:t>
      </w:r>
    </w:p>
    <w:p w14:paraId="00D89357" w14:textId="77777777" w:rsidR="00624037" w:rsidRPr="00850F57" w:rsidRDefault="00624037" w:rsidP="00624037">
      <w:pPr>
        <w:jc w:val="right"/>
        <w:rPr>
          <w:rFonts w:asciiTheme="majorBidi" w:hAnsiTheme="majorBidi" w:cstheme="majorBidi"/>
          <w:sz w:val="24"/>
          <w:szCs w:val="24"/>
        </w:rPr>
      </w:pPr>
    </w:p>
    <w:p w14:paraId="0F9912B3"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ثانيًا: نظرية الإرادة في مواجهة المعالجة الخوارزمية</w:t>
      </w:r>
    </w:p>
    <w:p w14:paraId="7E6F294D"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وفي هذا السياق الأكاديمي، استعرض أبو العيد في بحثه حول الذكاء الاصطناعي والقانون الإشكالية الجوهرية المتعلقة بغياب الإرادة الحقيقية عن أنظمة الذكاء الاصطناعي؛ إذ يؤكد أن هذه الأنظمة، وإن بلغت من القدرة الحسابية والتنبؤية حدًا مذهلًا، تفتقر إلى الأهلية القانونية اللازمة للإقرار بمسؤوليتها المستقلة، وأن القانون ما زال يُعوّل على الإنسان صاحب الإرادة المدنية بوصفه المرجع الأول في تحديد الحقوق والالتزامات الناجمة عن استخدام هذه التقنيات.</w:t>
      </w:r>
      <w:r>
        <w:rPr>
          <w:rStyle w:val="af"/>
          <w:rFonts w:asciiTheme="majorBidi" w:hAnsiTheme="majorBidi" w:cstheme="majorBidi"/>
          <w:sz w:val="24"/>
          <w:szCs w:val="24"/>
          <w:rtl/>
        </w:rPr>
        <w:footnoteReference w:id="184"/>
      </w:r>
    </w:p>
    <w:p w14:paraId="0990773C"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قامت نظرية الإرادة في الفقه المدني على مبدأ سلطان الإرادة، الذي يجعل الإرادة مصدر الالتزام ومناطه. غير أن الفقه الحديث تطور إلى ما يُعرف بـ “نظرية التوازن الموضوعي”، التي تقيد الإرادة بضوابط العدالة والنظام العام. وفي سياق الذكاء الاصطناعي، لا يكفي القول بوجود إرادة شكلية؛ بل ينبغي بحث ما إذا كانت الإرادة قد تشكلت بحرية ووعي أم تأثرت بمعالجة خوارزمية غير مدركة بالكامل</w:t>
      </w:r>
      <w:r>
        <w:rPr>
          <w:rFonts w:asciiTheme="majorBidi" w:hAnsiTheme="majorBidi" w:cstheme="majorBidi"/>
          <w:sz w:val="24"/>
          <w:szCs w:val="24"/>
        </w:rPr>
        <w:t>.</w:t>
      </w:r>
    </w:p>
    <w:p w14:paraId="063AE53C"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الأنظمة التوليدية قد تقدم للمستخدم صياغات قانونية “مقنعة”، ما يخلق نوعًا من الاعتماد المعرفي على النظام. وهنا يثور تساؤل نظري: هل يؤدي الاعتماد المكثف على التحليل الخوارزمي إلى إضعاف عنصر الإرادة الحرة؟</w:t>
      </w:r>
      <w:r>
        <w:rPr>
          <w:rFonts w:asciiTheme="majorBidi" w:hAnsiTheme="majorBidi" w:cstheme="majorBidi"/>
          <w:sz w:val="24"/>
          <w:szCs w:val="24"/>
        </w:rPr>
        <w:br/>
      </w:r>
      <w:r>
        <w:rPr>
          <w:rFonts w:asciiTheme="majorBidi" w:hAnsiTheme="majorBidi" w:cstheme="majorBidi"/>
          <w:sz w:val="24"/>
          <w:szCs w:val="24"/>
          <w:rtl/>
        </w:rPr>
        <w:t>هذا السؤال يقترب من نظرية “العيوب الإرادية”، لأن الإرادة إذا تشكلت بناءً على تحليل غير قابل للفحص أو قائم على بيانات منحازة، فقد يكون ذلك مؤثرًا في صحتها</w:t>
      </w:r>
      <w:r>
        <w:rPr>
          <w:rFonts w:asciiTheme="majorBidi" w:hAnsiTheme="majorBidi" w:cstheme="majorBidi"/>
          <w:sz w:val="24"/>
          <w:szCs w:val="24"/>
        </w:rPr>
        <w:t>.</w:t>
      </w:r>
    </w:p>
    <w:p w14:paraId="1C78D743"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قرر نظام المعاملات المدنية أن الإرادة إذا شابها عيب مؤثر كان التصرف قابلًا للإبطال (هيئة الخبراء بمجلس الوزراء، 1445هـ)</w:t>
      </w:r>
      <w:r>
        <w:rPr>
          <w:rStyle w:val="af"/>
          <w:rFonts w:asciiTheme="majorBidi" w:hAnsiTheme="majorBidi" w:cstheme="majorBidi"/>
          <w:sz w:val="24"/>
          <w:szCs w:val="24"/>
          <w:rtl/>
        </w:rPr>
        <w:footnoteReference w:id="185"/>
      </w:r>
      <w:r>
        <w:rPr>
          <w:rFonts w:asciiTheme="majorBidi" w:hAnsiTheme="majorBidi" w:cstheme="majorBidi"/>
          <w:sz w:val="24"/>
          <w:szCs w:val="24"/>
          <w:rtl/>
        </w:rPr>
        <w:t>. ومن ثم، فإن استخدام نظام ذكي يقدم توصيفًا قانونيًا خاطئًا بصورة منهجية قد يثير إشكالًا يتعلق بسلامة تكوين الإرادة، لا بمجرد خطأ في الصياغة</w:t>
      </w:r>
      <w:r>
        <w:rPr>
          <w:rFonts w:asciiTheme="majorBidi" w:hAnsiTheme="majorBidi" w:cstheme="majorBidi"/>
          <w:sz w:val="24"/>
          <w:szCs w:val="24"/>
        </w:rPr>
        <w:t>.</w:t>
      </w:r>
    </w:p>
    <w:p w14:paraId="62E6DC1C" w14:textId="77777777" w:rsidR="00624037" w:rsidRPr="00850F57" w:rsidRDefault="00355E75"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لا أرى أن الاعتماد على الذكاء الاصطناعي يُعد في ذاته عيبًا في الإرادة، لكن الخطر يكمن في “الاعتماد غير المفحوص”. فإذا فقد المستخدم القدرة الواقعية على تقييم المخرج أو أصبح عاجزًا عن تفسيره، فإن معيار الإرادة الواعية يتعرض للاهتزاز. ومن ثم، فإن معيار الفحص النقدي يجب أن يُدمج ضمن مفهوم الإرادة في البيئة الرقمية</w:t>
      </w:r>
      <w:r>
        <w:rPr>
          <w:rFonts w:asciiTheme="majorBidi" w:hAnsiTheme="majorBidi" w:cstheme="majorBidi"/>
          <w:sz w:val="24"/>
          <w:szCs w:val="24"/>
        </w:rPr>
        <w:t>.</w:t>
      </w:r>
    </w:p>
    <w:p w14:paraId="4D9715E8" w14:textId="77777777" w:rsidR="00624037" w:rsidRPr="00850F57" w:rsidRDefault="00624037" w:rsidP="00624037">
      <w:pPr>
        <w:jc w:val="right"/>
        <w:rPr>
          <w:rFonts w:asciiTheme="majorBidi" w:hAnsiTheme="majorBidi" w:cstheme="majorBidi"/>
          <w:sz w:val="24"/>
          <w:szCs w:val="24"/>
        </w:rPr>
      </w:pPr>
    </w:p>
    <w:p w14:paraId="38304929"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ثالثًا: حجية المحررات الإلكترونية وحدود القياس عليها</w:t>
      </w:r>
    </w:p>
    <w:p w14:paraId="2F73889B"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أقر نظام الإثبات حجية المحررات الإلكترونية، وأجاز الاحتجاج بها متى ثبتت نسبتها وسلامتها (هيئة الخبراء بمجلس الوزراء، 1443هـ)</w:t>
      </w:r>
      <w:r>
        <w:rPr>
          <w:rStyle w:val="af"/>
          <w:rFonts w:asciiTheme="majorBidi" w:hAnsiTheme="majorBidi" w:cstheme="majorBidi"/>
          <w:sz w:val="24"/>
          <w:szCs w:val="24"/>
          <w:rtl/>
        </w:rPr>
        <w:footnoteReference w:id="186"/>
      </w:r>
      <w:r>
        <w:rPr>
          <w:rFonts w:asciiTheme="majorBidi" w:hAnsiTheme="majorBidi" w:cstheme="majorBidi"/>
          <w:sz w:val="24"/>
          <w:szCs w:val="24"/>
          <w:rtl/>
        </w:rPr>
        <w:t>. وقد استقر الفقه على أن الاعتداد بالمحرر الإلكتروني يقوم على عنصرين: صحة النسبة، وسلامة الوسيط</w:t>
      </w:r>
      <w:r>
        <w:rPr>
          <w:rFonts w:asciiTheme="majorBidi" w:hAnsiTheme="majorBidi" w:cstheme="majorBidi"/>
          <w:sz w:val="24"/>
          <w:szCs w:val="24"/>
        </w:rPr>
        <w:t>.</w:t>
      </w:r>
    </w:p>
    <w:p w14:paraId="7E4C6C8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المخرجات المنتجة آليًا تختلف عن المحررات الإلكترونية التقليدية في نقطة جوهرية؛ إذ إن المحرر الإلكتروني غالبًا ما يكون مجرد نسخة رقمية من إرادة بشرية مكتملة، بينما المخرج الذكي قد يكون نتاج معالجة تحليلية أسهمت في تكوين المضمون ذاته</w:t>
      </w:r>
      <w:r>
        <w:rPr>
          <w:rFonts w:asciiTheme="majorBidi" w:hAnsiTheme="majorBidi" w:cstheme="majorBidi"/>
          <w:sz w:val="24"/>
          <w:szCs w:val="24"/>
        </w:rPr>
        <w:t>.</w:t>
      </w:r>
    </w:p>
    <w:p w14:paraId="54EDAA60"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أوضح جانب من الفقه</w:t>
      </w:r>
      <w:r>
        <w:rPr>
          <w:rStyle w:val="af"/>
          <w:rFonts w:asciiTheme="majorBidi" w:hAnsiTheme="majorBidi" w:cstheme="majorBidi"/>
          <w:sz w:val="24"/>
          <w:szCs w:val="24"/>
          <w:rtl/>
        </w:rPr>
        <w:footnoteReference w:id="187"/>
      </w:r>
      <w:r>
        <w:rPr>
          <w:rFonts w:asciiTheme="majorBidi" w:hAnsiTheme="majorBidi" w:cstheme="majorBidi"/>
          <w:sz w:val="24"/>
          <w:szCs w:val="24"/>
          <w:rtl/>
        </w:rPr>
        <w:t xml:space="preserve"> أن الحجية الرقمية تقوم على قابلية التحقق من المصدر وسلامة المحتوى وقابلية التتبع. وهذا يفتح بابًا مهمًا في تقييم المخرجات الذكية: هل يمكن تتبع آلية تكوينها؟ وهل يمكن فحص أساسها؟ أم أنها تقدم نتيجة دون مسار واضح؟</w:t>
      </w:r>
    </w:p>
    <w:p w14:paraId="3CAE0B9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معيار “قابلية التفسير” هنا يصبح عنصرًا مكملًا للحجية، لأن القضاء لا يستطيع الاعتداد بمحرر لا يمكن فهم أسس تكوينه في حدود معقولة</w:t>
      </w:r>
      <w:r>
        <w:rPr>
          <w:rFonts w:asciiTheme="majorBidi" w:hAnsiTheme="majorBidi" w:cstheme="majorBidi"/>
          <w:sz w:val="24"/>
          <w:szCs w:val="24"/>
        </w:rPr>
        <w:t>.</w:t>
      </w:r>
    </w:p>
    <w:p w14:paraId="7BFFEDE8" w14:textId="77777777" w:rsidR="00624037" w:rsidRDefault="00355E75" w:rsidP="00CF598B">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القياس على المحررات الإلكترونية صحيح من حيث الشكل، لكنه غير كافٍ من حيث الجوهر. فالمخرجات الذكية تحتاج إلى معيار إضافي يتمثل في “إمكان التحقق المهني”، أي قدرة المستخدم على تفسير المخرج والدفاع عنه علميًا وقانونيًا</w:t>
      </w:r>
      <w:r>
        <w:rPr>
          <w:rFonts w:asciiTheme="majorBidi" w:hAnsiTheme="majorBidi" w:cstheme="majorBidi"/>
          <w:sz w:val="24"/>
          <w:szCs w:val="24"/>
        </w:rPr>
        <w:t>.</w:t>
      </w:r>
    </w:p>
    <w:p w14:paraId="2456CAC1" w14:textId="77777777" w:rsidR="00624037" w:rsidRDefault="00624037" w:rsidP="00624037">
      <w:pPr>
        <w:jc w:val="right"/>
        <w:rPr>
          <w:rFonts w:asciiTheme="majorBidi" w:hAnsiTheme="majorBidi" w:cstheme="majorBidi"/>
          <w:sz w:val="24"/>
          <w:szCs w:val="24"/>
        </w:rPr>
      </w:pPr>
    </w:p>
    <w:p w14:paraId="61E2BEB1" w14:textId="77777777" w:rsidR="004E4D2E" w:rsidRDefault="004E4D2E" w:rsidP="00624037">
      <w:pPr>
        <w:jc w:val="right"/>
        <w:rPr>
          <w:rFonts w:asciiTheme="majorBidi" w:hAnsiTheme="majorBidi" w:cstheme="majorBidi"/>
          <w:sz w:val="24"/>
          <w:szCs w:val="24"/>
        </w:rPr>
      </w:pPr>
    </w:p>
    <w:p w14:paraId="30AD1020" w14:textId="77777777" w:rsidR="00624037" w:rsidRPr="00850F57" w:rsidRDefault="00624037" w:rsidP="00624037">
      <w:pPr>
        <w:jc w:val="right"/>
        <w:rPr>
          <w:rFonts w:asciiTheme="majorBidi" w:hAnsiTheme="majorBidi" w:cstheme="majorBidi"/>
          <w:sz w:val="24"/>
          <w:szCs w:val="24"/>
        </w:rPr>
      </w:pPr>
    </w:p>
    <w:p w14:paraId="7A50766F"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رابعًا: العقود الذكية والتنفيذ المؤتمت</w:t>
      </w:r>
    </w:p>
    <w:p w14:paraId="4E001001" w14:textId="77777777" w:rsidR="00841BC7" w:rsidRPr="00BB08F4" w:rsidRDefault="00C702A9" w:rsidP="00BB08F4">
      <w:pPr>
        <w:spacing w:after="200" w:line="276" w:lineRule="auto"/>
        <w:jc w:val="right"/>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tl/>
        </w:rPr>
        <w:t>تجدر الإشارة ابتداءً إلى التمييز الجوهري بين مفهومين كثيرًا ما يُستخدمان بصورة مترادفة خطأً: فالعقود الذكية (Smart Contracts) هي برامج تنفيذية ذاتية مشفّرة على شبكات البلوكشين، تعمل بصورة آلية عند تحقق شروط محددة مسبقًا في الكود البرمجي، دون أن تعتمد في جوهرها على تقنيات الذكاء الاصطناعي كالتعلم الآلي أو النماذج اللغوية. أما الذكاء الاصطناعي، فهو منظومة خوارزمية قادرة على الاستنتاج والتعلم من البيانات وتوليد مخرجات لغوية أو تحليلية. وقد تتشابك التقنيتان في بعض التطبيقات المتقدمة، غير أن التداخل المفاهيمي بينهما يُفضي إلى إشكاليات تنظيمية ومهنية تستوجب الدقة التحليلية؛ إذ يختلف الإطار القانوني الناظم لكل منهما اختلافًا جوهريًا من حيث طبيعة المسؤولية، وضوابط الإثبات، ومتطلبات الإفصاح والمساءلة.</w:t>
      </w:r>
    </w:p>
    <w:p w14:paraId="7BDC8638" w14:textId="09FCFD52"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وفي الاتجاه ذاته، </w:t>
      </w:r>
      <w:r>
        <w:rPr>
          <w:rFonts w:asciiTheme="majorBidi" w:hAnsiTheme="majorBidi" w:cstheme="majorBidi" w:hint="cs"/>
          <w:sz w:val="24"/>
          <w:szCs w:val="24"/>
          <w:rtl/>
        </w:rPr>
        <w:t xml:space="preserve">توجهت </w:t>
      </w:r>
      <w:r>
        <w:rPr>
          <w:rFonts w:asciiTheme="majorBidi" w:hAnsiTheme="majorBidi" w:cstheme="majorBidi"/>
          <w:sz w:val="24"/>
          <w:szCs w:val="24"/>
          <w:rtl/>
        </w:rPr>
        <w:t>بعض البحوث في دراسته مدى ملاءمة العقود الذكية المبرمة عبر تقنية البلوكشين لقانون العقود التقليدي، مستهدفًا إثبات قدرة هذه العقود على إتمام المعاملات التجارية دون الإخلال بحقوق الأطراف أو انتهاك خصوصيتهم، ومنتهيًا إلى أن اشتراط الأهلية في أطراف العقد يُعدّ من أعقد الإشكاليات التي تواجه منظومة العقود الذكية، لا سيما أن هذه العقود لا تتحقق من هوية أطرافها ولا من اكتمال أهليتهم القانونية بالصورة الكافية.</w:t>
      </w:r>
      <w:r>
        <w:rPr>
          <w:rStyle w:val="af"/>
          <w:rFonts w:asciiTheme="majorBidi" w:hAnsiTheme="majorBidi" w:cstheme="majorBidi"/>
          <w:sz w:val="24"/>
          <w:szCs w:val="24"/>
          <w:rtl/>
        </w:rPr>
        <w:footnoteReference w:id="188"/>
      </w:r>
    </w:p>
    <w:p w14:paraId="561602F6"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وعلى صعيد الدراسات القانونية المتخصصة، تناولت علي في بحثها المقارن آلية العقود الذكية ذات الخصائص الفريدة التي غيّرت مسار العملية التعاقدية، مشيرةً إلى أن هذه العقود تُشكّل أحد أبرز التحديات القانونية المعاصرة، وتطرح تساؤلات دقيقة حول كيفية إبرام العقود عبر برامج حاسوبية تعتمد كليًا على الذكاء الاصطناعي، وما طبيعتها القانونية، ومدى استيفائها للأركان اللازمة لصحة العقود في القانون الوضعي.</w:t>
      </w:r>
      <w:r>
        <w:rPr>
          <w:rStyle w:val="af"/>
          <w:rFonts w:asciiTheme="majorBidi" w:hAnsiTheme="majorBidi" w:cstheme="majorBidi"/>
          <w:sz w:val="24"/>
          <w:szCs w:val="24"/>
          <w:rtl/>
        </w:rPr>
        <w:footnoteReference w:id="189"/>
      </w:r>
    </w:p>
    <w:p w14:paraId="257C7182"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تناول جانب من الفقه مسألة العقود المبرمة عبر أنظمة مؤتمتة، وخلص إلى أن هذه العقود لا تخرج عن الأركان العامة للعقد ما دام التراضي قائمًا</w:t>
      </w:r>
      <w:r>
        <w:rPr>
          <w:rStyle w:val="af"/>
          <w:rFonts w:asciiTheme="majorBidi" w:hAnsiTheme="majorBidi" w:cstheme="majorBidi"/>
          <w:sz w:val="24"/>
          <w:szCs w:val="24"/>
          <w:rtl/>
        </w:rPr>
        <w:footnoteReference w:id="190"/>
      </w:r>
      <w:r>
        <w:rPr>
          <w:rFonts w:asciiTheme="majorBidi" w:hAnsiTheme="majorBidi" w:cstheme="majorBidi"/>
          <w:sz w:val="24"/>
          <w:szCs w:val="24"/>
          <w:rtl/>
        </w:rPr>
        <w:t>. كما أكد جانب من الفقه أن العقود التجارية الذكية تظل خاضعة للقواعد العامة، غير أن التنفيذ المؤتمت يثير تحديات تتعلق بتوزيع المخاطر</w:t>
      </w:r>
      <w:r>
        <w:rPr>
          <w:rFonts w:asciiTheme="majorBidi" w:hAnsiTheme="majorBidi" w:cstheme="majorBidi"/>
          <w:sz w:val="24"/>
          <w:szCs w:val="24"/>
        </w:rPr>
        <w:t>.</w:t>
      </w:r>
    </w:p>
    <w:p w14:paraId="321B4F6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ضوء نظام المعاملات المدنية، فإن العقد ينعقد بتوافر الإيجاب والقبول، ولا يشترط وسيلة معينة للتعبير (هيئة الخبراء بمجلس الوزراء، 1445هـ). ومن ثم، فإن استخدام نظام ذكي في صياغة العقد لا ينزع عنه صفته القانونية. غير أن التنفيذ التلقائي – خاصة عبر البرمجة المسبقة – قد يؤدي إلى نتائج لا يمكن إيقافها بسهولة، وهو ما يرفع معيار العناية في مرحلة الإعداد</w:t>
      </w:r>
      <w:r>
        <w:rPr>
          <w:rFonts w:asciiTheme="majorBidi" w:hAnsiTheme="majorBidi" w:cstheme="majorBidi"/>
          <w:sz w:val="24"/>
          <w:szCs w:val="24"/>
        </w:rPr>
        <w:t>.</w:t>
      </w:r>
    </w:p>
    <w:p w14:paraId="5CC2380C"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العقود الذكية لا تُحدث قطيعة مع النظرية العامة للعقد، لكنها تكشف عن قصور في تصورنا التقليدي للخطأ العقدي. فالخطأ البرمجي قد يكون أشد أثرًا من الخطأ في الصياغة، لأنه يُنفذ آليًا دون فرصة للمراجعة اللحظية. ومن ثم، فإن الحجية العقدية هنا يجب أن تُقرأ في ضوء معيار العناية التقنية المشددة</w:t>
      </w:r>
      <w:r>
        <w:rPr>
          <w:rFonts w:asciiTheme="majorBidi" w:hAnsiTheme="majorBidi" w:cstheme="majorBidi"/>
          <w:sz w:val="24"/>
          <w:szCs w:val="24"/>
        </w:rPr>
        <w:t>.</w:t>
      </w:r>
    </w:p>
    <w:p w14:paraId="21ED1A73" w14:textId="77777777" w:rsidR="00624037" w:rsidRPr="00850F57" w:rsidRDefault="00624037" w:rsidP="00624037">
      <w:pPr>
        <w:jc w:val="right"/>
        <w:rPr>
          <w:rFonts w:asciiTheme="majorBidi" w:hAnsiTheme="majorBidi" w:cstheme="majorBidi"/>
          <w:sz w:val="24"/>
          <w:szCs w:val="24"/>
          <w:rtl/>
        </w:rPr>
      </w:pPr>
    </w:p>
    <w:p w14:paraId="201C6B72"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خامسًا: التكييف الفقهي ونظرية النسبة</w:t>
      </w:r>
    </w:p>
    <w:p w14:paraId="7D52BAB2"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يقوم الفقه الإسلامي على مبدأ أن “الأعمال بالنيات”، وأن الفعل يُنسب إلى فاعله المكلف. ولا يتصور في الفقه إسناد حكم إلى غير ذي ذمة. ومن ثم، فإن الذكاء الاصطناعي لا يمكن اعتباره فاعلًا شرعيًا مستقلًا</w:t>
      </w:r>
      <w:r>
        <w:rPr>
          <w:rFonts w:asciiTheme="majorBidi" w:hAnsiTheme="majorBidi" w:cstheme="majorBidi"/>
          <w:sz w:val="24"/>
          <w:szCs w:val="24"/>
        </w:rPr>
        <w:t>.</w:t>
      </w:r>
    </w:p>
    <w:p w14:paraId="69D1270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ناقش جانب من الفقه مسألة الاعتراف بالشخصية القانونية للذكاء الاصطناعي، وانتهى إلى أن منح التقنية ذمة مستقلة يقتضي إعادة بناء جوهرية لمفاهيم الأهلية والنسبة (جانب من الفقه، دون تاريخ). ويبدو أن الأقرب للتكييف هو اعتبار النظام الذكي أداة تنفيذية تُنسب آثارها إلى من فعّلها</w:t>
      </w:r>
      <w:r>
        <w:rPr>
          <w:rFonts w:asciiTheme="majorBidi" w:hAnsiTheme="majorBidi" w:cstheme="majorBidi"/>
          <w:sz w:val="24"/>
          <w:szCs w:val="24"/>
        </w:rPr>
        <w:t>.</w:t>
      </w:r>
    </w:p>
    <w:p w14:paraId="17D38586"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الفقه يميز بين المباشر والمتسبب، ويقرر أن المتسبب يضمن إذا كان متعديًا أو مفرطًا. فإذا استخدم المحامي نظامًا دون فهم كافٍ أو دون مراجعة، فقد يتحقق معنى التفريط</w:t>
      </w:r>
      <w:r>
        <w:rPr>
          <w:rFonts w:asciiTheme="majorBidi" w:hAnsiTheme="majorBidi" w:cstheme="majorBidi"/>
          <w:sz w:val="24"/>
          <w:szCs w:val="24"/>
        </w:rPr>
        <w:t>.</w:t>
      </w:r>
    </w:p>
    <w:p w14:paraId="28B625D2"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القياس على أحكام التسبب أقرب من القياس على الوكالة؛ لأن النظام الذكي لا يملك إرادة مستقلة، بل يعمل في إطار برمجي. ومن ثم، فإن النسبة تبقى في يد المستخدم، لكن معيار التفريط يصبح هو الفيصل في تقييم الحجية والمسؤولية</w:t>
      </w:r>
      <w:r>
        <w:rPr>
          <w:rFonts w:asciiTheme="majorBidi" w:hAnsiTheme="majorBidi" w:cstheme="majorBidi"/>
          <w:sz w:val="24"/>
          <w:szCs w:val="24"/>
        </w:rPr>
        <w:t>.</w:t>
      </w:r>
    </w:p>
    <w:p w14:paraId="6ED5AF58"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سادسًا: التمييز بين الحجية الشكلية والحجية الموضوعية في المخرجات الذكية</w:t>
      </w:r>
    </w:p>
    <w:p w14:paraId="16B4BCC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أبرز الإشكالات النظرية في هذا السياق ضرورة التمييز بين ما يمكن تسميته بـ “الحجية الشكلية” و”الحجية الموضوعية”. فالحجية الشكلية تتحقق عندما يستوفي المحرر شروطه الشكلية من حيث التوقيع أو الاعتماد أو سلامة الوسيط الإلكتروني وفق ما قرره نظام الإثبات. أما الحجية الموضوعية فتتعلق بسلامة التكوين الإرادي، وصحة الأساس الذي بني عليه المضمون</w:t>
      </w:r>
      <w:r>
        <w:rPr>
          <w:rFonts w:asciiTheme="majorBidi" w:hAnsiTheme="majorBidi" w:cstheme="majorBidi"/>
          <w:sz w:val="24"/>
          <w:szCs w:val="24"/>
        </w:rPr>
        <w:t>.</w:t>
      </w:r>
    </w:p>
    <w:p w14:paraId="2EBBEBCD"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المحررات التقليدية، كان الافتراض الغالب أن الشكل والمضمون صادران عن إرادة واحدة. أما في المخرجات المنتجة آليًا، فقد يتحقق الشكل عبر اعتماد المحامي للمحرر، بينما يكون التكوين الموضوعي قد تم عبر معالجة خوارزمية لا تخضع لرقابة دقيقة من المستخدم</w:t>
      </w:r>
      <w:r>
        <w:rPr>
          <w:rFonts w:asciiTheme="majorBidi" w:hAnsiTheme="majorBidi" w:cstheme="majorBidi"/>
          <w:sz w:val="24"/>
          <w:szCs w:val="24"/>
        </w:rPr>
        <w:t>.</w:t>
      </w:r>
    </w:p>
    <w:p w14:paraId="7A51DD7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جانب من الفقه إلى أن الثقة في البيئة الرقمية لا تنشأ من مجرد وجود وسيط تقني، بل من إمكانية التحقق من المصدر والأساس الذي بُني عليه المحتوى. وهذا يفرض إعادة قراءة الحجية بوصفها عملية مركبة، لا وصفًا جامدًا</w:t>
      </w:r>
      <w:r>
        <w:rPr>
          <w:rFonts w:asciiTheme="majorBidi" w:hAnsiTheme="majorBidi" w:cstheme="majorBidi"/>
          <w:sz w:val="24"/>
          <w:szCs w:val="24"/>
        </w:rPr>
        <w:t>.</w:t>
      </w:r>
    </w:p>
    <w:p w14:paraId="31A99E02"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أخطر ما قد يواجه البيئة القانونية هو الخلط بين الحجية الشكلية والحجية الموضوعية. فقد يطمئن المستخدم إلى أن المخرج “مستوفٍ شكليًا”، لكنه يغفل عن ضعف الأساس الموضوعي. ومن ثم فإن معيار الحجية في المخرجات الذكية يجب أن يُبنى على ازدواجية واضحة: سلامة الشكل + سلامة التكوين الواعي</w:t>
      </w:r>
      <w:r>
        <w:rPr>
          <w:rFonts w:asciiTheme="majorBidi" w:hAnsiTheme="majorBidi" w:cstheme="majorBidi"/>
          <w:sz w:val="24"/>
          <w:szCs w:val="24"/>
        </w:rPr>
        <w:t>.</w:t>
      </w:r>
    </w:p>
    <w:p w14:paraId="531F77BC" w14:textId="77777777" w:rsidR="00624037" w:rsidRPr="00850F57" w:rsidRDefault="00624037" w:rsidP="00624037">
      <w:pPr>
        <w:jc w:val="right"/>
        <w:rPr>
          <w:rFonts w:asciiTheme="majorBidi" w:hAnsiTheme="majorBidi" w:cstheme="majorBidi"/>
          <w:sz w:val="24"/>
          <w:szCs w:val="24"/>
          <w:rtl/>
        </w:rPr>
      </w:pPr>
    </w:p>
    <w:p w14:paraId="79414C4C"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سابعًا: نظرية المخاطر وتحوّل معيار الثقة</w:t>
      </w:r>
    </w:p>
    <w:p w14:paraId="5918FA1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التطورات اللافتة في الفقه المدني الحديث ما يُعرف بـ “نظرية المخاطر”، التي تقوم على توزيع تبعة النشاط الخطِر على من يجنيه أو يستفيد منه. وإذا كان توظيف أنظمة الذكاء الاصطناعي في العمل القانوني يُعد نشاطًا ينطوي على مخاطر تقنية (انحياز البيانات، أخطاء تحليلية، نتائج غير متوقعة)، فإن معيار الثقة في المخرجات لا يمكن أن يقوم على الافتراض البسيط بأن التقنية معصومة</w:t>
      </w:r>
      <w:r>
        <w:rPr>
          <w:rFonts w:asciiTheme="majorBidi" w:hAnsiTheme="majorBidi" w:cstheme="majorBidi"/>
          <w:sz w:val="24"/>
          <w:szCs w:val="24"/>
        </w:rPr>
        <w:t>.</w:t>
      </w:r>
    </w:p>
    <w:p w14:paraId="2E402A2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ناقشت مجلة العدالة مسألة ضبط المسؤولية في ظل استخدام الأنظمة الذكية، مؤكدة ضرورة بناء إطار يوازن بين الاستفادة من التقنية وتحديد تبعة مخاطرها (مجلة العدالة، 2022)</w:t>
      </w:r>
      <w:r>
        <w:rPr>
          <w:rStyle w:val="af"/>
          <w:rFonts w:asciiTheme="majorBidi" w:hAnsiTheme="majorBidi" w:cstheme="majorBidi"/>
          <w:sz w:val="24"/>
          <w:szCs w:val="24"/>
          <w:rtl/>
        </w:rPr>
        <w:footnoteReference w:id="191"/>
      </w:r>
      <w:r>
        <w:rPr>
          <w:rFonts w:asciiTheme="majorBidi" w:hAnsiTheme="majorBidi" w:cstheme="majorBidi"/>
          <w:sz w:val="24"/>
          <w:szCs w:val="24"/>
          <w:rtl/>
        </w:rPr>
        <w:t>. ويقود هذا الطرح إلى سؤال: هل ينبغي أن يُشدد معيار الحجية في المخرجات الذكية بسبب طبيعة المخاطر الكامنة فيها؟</w:t>
      </w:r>
    </w:p>
    <w:p w14:paraId="6E9D675D"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lastRenderedPageBreak/>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المخاطر التقنية لا تُنقص الحجية ابتداءً، لكنها تفرض معيار تحقق أعلى. فكلما زادت درجة اعتماد المخرج على معالجة تحليلية معقدة، زاد واجب الفحص والمراجعة. ومن ثم فإن معيار الثقة في المخرجات الذكية ليس مساويًا لمعيار الثقة في الصياغة البشرية التقليدية، بل قد يكون أشد</w:t>
      </w:r>
      <w:r>
        <w:rPr>
          <w:rFonts w:asciiTheme="majorBidi" w:hAnsiTheme="majorBidi" w:cstheme="majorBidi"/>
          <w:sz w:val="24"/>
          <w:szCs w:val="24"/>
        </w:rPr>
        <w:t>.</w:t>
      </w:r>
    </w:p>
    <w:p w14:paraId="27935525" w14:textId="77777777" w:rsidR="00624037" w:rsidRPr="00850F57" w:rsidRDefault="00624037" w:rsidP="00624037">
      <w:pPr>
        <w:jc w:val="right"/>
        <w:rPr>
          <w:rFonts w:asciiTheme="majorBidi" w:hAnsiTheme="majorBidi" w:cstheme="majorBidi"/>
          <w:sz w:val="24"/>
          <w:szCs w:val="24"/>
        </w:rPr>
      </w:pPr>
    </w:p>
    <w:p w14:paraId="5A3637BE"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ثامنًا: حجية التقارير القانونية التحليلية المنتجة آليًا</w:t>
      </w:r>
    </w:p>
    <w:p w14:paraId="6D0562EA"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لا تقتصر المخرجات الذكية على العقود، بل تمتد إلى التقارير القانونية والتحليلات القائمة على استقراء السوابق أو تصنيف الوقائع. وهنا يثور سؤال مختلف: هل يُعامل التقرير التحليلي المولد آليًا بوصفه رأيًا مهنيًا، أم مجرد أداة مساعدة داخلية؟</w:t>
      </w:r>
    </w:p>
    <w:p w14:paraId="02B0A49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نص نظام الإثبات على أن للمحكمة سلطة تقدير الأدلة، وأنها غير مقيدة إلا بما يرد في النظام (هيئة الخبراء بمجلس الوزراء، 1443هـ). ومن ثم فإن التقرير القانوني – سواء أكان بشريًا أم مدعومًا بخوارزمية – لا يتمتع بقوة إلزامية بذاته، بل يخضع للتقدير القضائي</w:t>
      </w:r>
      <w:r>
        <w:rPr>
          <w:rFonts w:asciiTheme="majorBidi" w:hAnsiTheme="majorBidi" w:cstheme="majorBidi"/>
          <w:sz w:val="24"/>
          <w:szCs w:val="24"/>
        </w:rPr>
        <w:t>.</w:t>
      </w:r>
    </w:p>
    <w:p w14:paraId="4DA813BE"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الفرق الجوهري يكمن في إمكانية مناقشة الأساس. فالتقرير البشري يمكن استجواب صاحبه حول منهجه وأسانيده، بينما قد يكون التقرير المولد آليًا قائمًا على تحليل لا يمكن شرحه تفصيليًا</w:t>
      </w:r>
      <w:r>
        <w:rPr>
          <w:rFonts w:asciiTheme="majorBidi" w:hAnsiTheme="majorBidi" w:cstheme="majorBidi"/>
          <w:sz w:val="24"/>
          <w:szCs w:val="24"/>
        </w:rPr>
        <w:t>.</w:t>
      </w:r>
    </w:p>
    <w:p w14:paraId="440A51C4"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حذرت مجلة الشريعة والقانون من الإفراط في الاعتماد على التحليل الخوارزمي في العمل القضائي، لما قد يسببه من إضعاف للاجتهاد القضائي (مجلة الشريعة والقانون، 2022)</w:t>
      </w:r>
      <w:r>
        <w:rPr>
          <w:rStyle w:val="af"/>
          <w:rFonts w:asciiTheme="majorBidi" w:hAnsiTheme="majorBidi" w:cstheme="majorBidi"/>
          <w:sz w:val="24"/>
          <w:szCs w:val="24"/>
          <w:rtl/>
        </w:rPr>
        <w:footnoteReference w:id="192"/>
      </w:r>
      <w:r>
        <w:rPr>
          <w:rFonts w:asciiTheme="majorBidi" w:hAnsiTheme="majorBidi" w:cstheme="majorBidi"/>
          <w:sz w:val="24"/>
          <w:szCs w:val="24"/>
        </w:rPr>
        <w:t>.</w:t>
      </w:r>
    </w:p>
    <w:p w14:paraId="5AEFB2B4"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التقارير المولدة آليًا يجب أن تُعامل بوصفها “أدوات دعم تحليلي”، لا مصادر حجة مستقلة. ويجب أن يظل المحامي قادرًا على شرح مضمون التقرير والدفاع عنه، وإلا أصبحت الحجية محل شك</w:t>
      </w:r>
      <w:r>
        <w:rPr>
          <w:rFonts w:asciiTheme="majorBidi" w:hAnsiTheme="majorBidi" w:cstheme="majorBidi"/>
          <w:sz w:val="24"/>
          <w:szCs w:val="24"/>
        </w:rPr>
        <w:t>.</w:t>
      </w:r>
    </w:p>
    <w:p w14:paraId="38A78FD0" w14:textId="77777777" w:rsidR="00624037" w:rsidRPr="00850F57" w:rsidRDefault="00624037" w:rsidP="00624037">
      <w:pPr>
        <w:jc w:val="right"/>
        <w:rPr>
          <w:rFonts w:asciiTheme="majorBidi" w:hAnsiTheme="majorBidi" w:cstheme="majorBidi"/>
          <w:sz w:val="24"/>
          <w:szCs w:val="24"/>
        </w:rPr>
      </w:pPr>
    </w:p>
    <w:p w14:paraId="0F44F209"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تاسعًا: أثر حوكمة البيانات على الحجية</w:t>
      </w:r>
    </w:p>
    <w:p w14:paraId="63060415"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سلامة المخرج القانوني لا تنفصل عن سلامة البيانات التي بُني عليها. وقد قرر نظام حماية البيانات الشخصية ضوابط دقيقة لمعالجة البيانات، بما في ذلك مشروعية الجمع وتحديد الغرض وتقليل المعالجة (هيئة الخبراء بمجلس الوزراء، 1443هـ)</w:t>
      </w:r>
      <w:r>
        <w:rPr>
          <w:rFonts w:asciiTheme="majorBidi" w:hAnsiTheme="majorBidi" w:cstheme="majorBidi"/>
          <w:sz w:val="24"/>
          <w:szCs w:val="24"/>
        </w:rPr>
        <w:t>.</w:t>
      </w:r>
    </w:p>
    <w:p w14:paraId="78D77809"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فإذا استند نظام ذكي إلى بيانات غير مشروعة أو غير دقيقة أو متحيزة، فإن المخرج الناتج قد يكون مشوبًا بخلل منهجي. وهنا تظهر العلاقة بين حوكمة البيانات والحجية القانونية</w:t>
      </w:r>
      <w:r>
        <w:rPr>
          <w:rFonts w:asciiTheme="majorBidi" w:hAnsiTheme="majorBidi" w:cstheme="majorBidi"/>
          <w:sz w:val="24"/>
          <w:szCs w:val="24"/>
        </w:rPr>
        <w:t>.</w:t>
      </w:r>
    </w:p>
    <w:p w14:paraId="7D24EC60"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أكدت وثيقة مبادئ أخلاقيات الذكاء الاصطناعي على العدالة وعدم التحيز والشفافية (الهيئة السعودية للبيانات والذكاء الاصطناعي، 2023)، وهو ما يعني أن مشروعية البيانات شرط ضمني في مشروعية المخرج</w:t>
      </w:r>
      <w:r>
        <w:rPr>
          <w:rFonts w:asciiTheme="majorBidi" w:hAnsiTheme="majorBidi" w:cstheme="majorBidi"/>
          <w:sz w:val="24"/>
          <w:szCs w:val="24"/>
        </w:rPr>
        <w:t>.</w:t>
      </w:r>
    </w:p>
    <w:p w14:paraId="0C8D0980" w14:textId="77777777" w:rsidR="00624037" w:rsidRPr="00850F57"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حجية المخرجات الذكية لا يمكن فصلها عن جودة البيانات. فإذا كانت البيانات منحازة أو ناقصة، فإن الحجية الموضوعية للمخرج تتأثر حتى لو استوفى الشكل. ومن ثم، فإن الإطار القانوني لتوظيف الذكاء الاصطناعي في مكاتب المحاماة يجب أن يدمج بين قواعد الإثبات وقواعد حماية البيانات</w:t>
      </w:r>
      <w:r>
        <w:rPr>
          <w:rFonts w:asciiTheme="majorBidi" w:hAnsiTheme="majorBidi" w:cstheme="majorBidi"/>
          <w:sz w:val="24"/>
          <w:szCs w:val="24"/>
        </w:rPr>
        <w:t>.</w:t>
      </w:r>
    </w:p>
    <w:p w14:paraId="19B23943" w14:textId="77777777" w:rsidR="00624037" w:rsidRPr="00850F57" w:rsidRDefault="00624037" w:rsidP="00624037">
      <w:pPr>
        <w:jc w:val="right"/>
        <w:rPr>
          <w:rFonts w:asciiTheme="majorBidi" w:hAnsiTheme="majorBidi" w:cstheme="majorBidi"/>
          <w:sz w:val="24"/>
          <w:szCs w:val="24"/>
        </w:rPr>
      </w:pPr>
    </w:p>
    <w:p w14:paraId="654B76EF" w14:textId="77777777" w:rsidR="00624037" w:rsidRPr="00850F57"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عاشرًا: إعادة بناء معيار الحجية في البيئة الرقمية</w:t>
      </w:r>
    </w:p>
    <w:p w14:paraId="1B1EA67D"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خلال التحليل السابق، يتضح أن الحجية في المخرجات الذكية لا يمكن اختزالها في معيار واحد. بل تقوم على</w:t>
      </w:r>
      <w:r>
        <w:rPr>
          <w:rFonts w:asciiTheme="majorBidi" w:hAnsiTheme="majorBidi" w:cstheme="majorBidi" w:hint="cs"/>
          <w:sz w:val="24"/>
          <w:szCs w:val="24"/>
          <w:rtl/>
        </w:rPr>
        <w:t xml:space="preserve"> </w:t>
      </w:r>
      <w:r>
        <w:rPr>
          <w:rFonts w:asciiTheme="majorBidi" w:hAnsiTheme="majorBidi" w:cstheme="majorBidi"/>
          <w:sz w:val="24"/>
          <w:szCs w:val="24"/>
          <w:rtl/>
        </w:rPr>
        <w:t>منظومة مركبة تشمل</w:t>
      </w:r>
      <w:r>
        <w:rPr>
          <w:rFonts w:asciiTheme="majorBidi" w:hAnsiTheme="majorBidi" w:cstheme="majorBidi"/>
          <w:sz w:val="24"/>
          <w:szCs w:val="24"/>
        </w:rPr>
        <w:t>:</w:t>
      </w:r>
    </w:p>
    <w:p w14:paraId="01E5BFF6"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lastRenderedPageBreak/>
        <w:t>صحة التكوين الإرادي وفق نظام المعاملات المدنية (هيئة الخبراء بمجلس الوزراء، 1445هـ)</w:t>
      </w:r>
      <w:r>
        <w:rPr>
          <w:rStyle w:val="af"/>
          <w:rFonts w:asciiTheme="majorBidi" w:hAnsiTheme="majorBidi" w:cstheme="majorBidi"/>
          <w:sz w:val="24"/>
          <w:szCs w:val="24"/>
          <w:rtl/>
        </w:rPr>
        <w:footnoteReference w:id="193"/>
      </w:r>
      <w:r>
        <w:rPr>
          <w:rFonts w:asciiTheme="majorBidi" w:hAnsiTheme="majorBidi" w:cstheme="majorBidi"/>
          <w:sz w:val="24"/>
          <w:szCs w:val="24"/>
        </w:rPr>
        <w:t>.</w:t>
      </w:r>
    </w:p>
    <w:p w14:paraId="6601FCD5"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صحة النسبة وسلامة الوسيط وفق نظام الإثبات (هيئة الخبراء بمجلس الوزراء، 1443هـ)</w:t>
      </w:r>
      <w:r>
        <w:rPr>
          <w:rStyle w:val="af"/>
          <w:rFonts w:asciiTheme="majorBidi" w:hAnsiTheme="majorBidi" w:cstheme="majorBidi"/>
          <w:sz w:val="24"/>
          <w:szCs w:val="24"/>
          <w:rtl/>
        </w:rPr>
        <w:footnoteReference w:id="194"/>
      </w:r>
      <w:r>
        <w:rPr>
          <w:rFonts w:asciiTheme="majorBidi" w:hAnsiTheme="majorBidi" w:cstheme="majorBidi"/>
          <w:sz w:val="24"/>
          <w:szCs w:val="24"/>
        </w:rPr>
        <w:t>.</w:t>
      </w:r>
    </w:p>
    <w:p w14:paraId="754D679F"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قابلية الفحص والتفسير وفق ما قرره جانب من الفقه</w:t>
      </w:r>
      <w:r>
        <w:rPr>
          <w:rStyle w:val="af"/>
          <w:rFonts w:asciiTheme="majorBidi" w:hAnsiTheme="majorBidi" w:cstheme="majorBidi"/>
          <w:sz w:val="24"/>
          <w:szCs w:val="24"/>
          <w:rtl/>
        </w:rPr>
        <w:footnoteReference w:id="195"/>
      </w:r>
      <w:r>
        <w:rPr>
          <w:rFonts w:asciiTheme="majorBidi" w:hAnsiTheme="majorBidi" w:cstheme="majorBidi"/>
          <w:sz w:val="24"/>
          <w:szCs w:val="24"/>
        </w:rPr>
        <w:t xml:space="preserve"> (2020).</w:t>
      </w:r>
    </w:p>
    <w:p w14:paraId="358D335A"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مشروعية البيانات وفق نظام حماية البيانات الشخصية</w:t>
      </w:r>
      <w:r>
        <w:rPr>
          <w:rStyle w:val="af"/>
          <w:rFonts w:asciiTheme="majorBidi" w:hAnsiTheme="majorBidi" w:cstheme="majorBidi"/>
          <w:sz w:val="24"/>
          <w:szCs w:val="24"/>
          <w:rtl/>
        </w:rPr>
        <w:footnoteReference w:id="196"/>
      </w:r>
      <w:r>
        <w:rPr>
          <w:rFonts w:asciiTheme="majorBidi" w:hAnsiTheme="majorBidi" w:cstheme="majorBidi"/>
          <w:sz w:val="24"/>
          <w:szCs w:val="24"/>
          <w:rtl/>
        </w:rPr>
        <w:t xml:space="preserve"> (هيئة الخبراء بمجلس الوزراء، 1443هـ)</w:t>
      </w:r>
      <w:r>
        <w:rPr>
          <w:rFonts w:asciiTheme="majorBidi" w:hAnsiTheme="majorBidi" w:cstheme="majorBidi"/>
          <w:sz w:val="24"/>
          <w:szCs w:val="24"/>
        </w:rPr>
        <w:t>.</w:t>
      </w:r>
    </w:p>
    <w:p w14:paraId="04F7CF74" w14:textId="77777777" w:rsidR="00624037" w:rsidRDefault="00624037" w:rsidP="00624037">
      <w:pPr>
        <w:ind w:left="360"/>
        <w:jc w:val="right"/>
        <w:rPr>
          <w:rFonts w:asciiTheme="majorBidi" w:hAnsiTheme="majorBidi" w:cstheme="majorBidi"/>
          <w:sz w:val="24"/>
          <w:szCs w:val="24"/>
          <w:rtl/>
        </w:rPr>
      </w:pPr>
      <w:r>
        <w:rPr>
          <w:rFonts w:asciiTheme="majorBidi" w:hAnsiTheme="majorBidi" w:cstheme="majorBidi"/>
          <w:sz w:val="24"/>
          <w:szCs w:val="24"/>
          <w:rtl/>
        </w:rPr>
        <w:t>بقاء المسؤولية البشرية وفق مبادئ سدايا</w:t>
      </w:r>
      <w:r>
        <w:rPr>
          <w:rStyle w:val="af"/>
          <w:rFonts w:asciiTheme="majorBidi" w:hAnsiTheme="majorBidi" w:cstheme="majorBidi"/>
          <w:sz w:val="24"/>
          <w:szCs w:val="24"/>
          <w:rtl/>
        </w:rPr>
        <w:footnoteReference w:id="197"/>
      </w:r>
      <w:r>
        <w:rPr>
          <w:rFonts w:asciiTheme="majorBidi" w:hAnsiTheme="majorBidi" w:cstheme="majorBidi"/>
          <w:sz w:val="24"/>
          <w:szCs w:val="24"/>
          <w:rtl/>
        </w:rPr>
        <w:t xml:space="preserve"> (الهيئة السعودية للبيانات والذكاء الاصطناعي، 2023؛</w:t>
      </w:r>
      <w:r>
        <w:rPr>
          <w:rFonts w:asciiTheme="majorBidi" w:hAnsiTheme="majorBidi" w:cstheme="majorBidi" w:hint="cs"/>
          <w:sz w:val="24"/>
          <w:szCs w:val="24"/>
          <w:rtl/>
        </w:rPr>
        <w:t xml:space="preserve"> </w:t>
      </w:r>
    </w:p>
    <w:p w14:paraId="31DE3AC1" w14:textId="77777777" w:rsidR="00624037" w:rsidRPr="00850F57" w:rsidRDefault="00624037" w:rsidP="00624037">
      <w:pPr>
        <w:ind w:left="360"/>
        <w:jc w:val="right"/>
        <w:rPr>
          <w:rFonts w:asciiTheme="majorBidi" w:hAnsiTheme="majorBidi" w:cstheme="majorBidi"/>
          <w:sz w:val="24"/>
          <w:szCs w:val="24"/>
        </w:rPr>
      </w:pPr>
      <w:r>
        <w:rPr>
          <w:rFonts w:asciiTheme="majorBidi" w:hAnsiTheme="majorBidi" w:cstheme="majorBidi"/>
          <w:sz w:val="24"/>
          <w:szCs w:val="24"/>
          <w:rtl/>
        </w:rPr>
        <w:t xml:space="preserve"> </w:t>
      </w:r>
    </w:p>
    <w:p w14:paraId="3580DEFF"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Pr>
        <w:br/>
      </w:r>
      <w:r>
        <w:rPr>
          <w:rFonts w:asciiTheme="majorBidi" w:hAnsiTheme="majorBidi" w:cstheme="majorBidi" w:hint="cs"/>
          <w:sz w:val="24"/>
          <w:szCs w:val="24"/>
          <w:rtl/>
        </w:rPr>
        <w:t xml:space="preserve">مما سبق </w:t>
      </w:r>
      <w:r>
        <w:rPr>
          <w:rFonts w:asciiTheme="majorBidi" w:hAnsiTheme="majorBidi" w:cstheme="majorBidi"/>
          <w:sz w:val="24"/>
          <w:szCs w:val="24"/>
          <w:rtl/>
        </w:rPr>
        <w:t>أرى أن المخرجات القانونية المنتجة آليًا لا ينبغي النظر إليها باعتبارها فاعلًا قانونيًا جديدًا، ولا باعتبارها مجرد وسيلة تحرير محايدة، بل باعتبارها “عنصرًا تحليليًا وسيطًا” داخل عملية تصرف قانوني يظل في جوهره بشري المصدر</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وتكتسب هذه المخرجات حجيتها عندما تندمج اندماجًا واعيًا في إرادة بشرية مسؤولة، وتخضع لمعيار فحص مهني كافٍ، وتقوم على بيانات مشروعة، وتظل قابلة للتفسير في حدود معقولة</w:t>
      </w:r>
      <w:r>
        <w:rPr>
          <w:rFonts w:asciiTheme="majorBidi" w:hAnsiTheme="majorBidi" w:cstheme="majorBidi"/>
          <w:sz w:val="24"/>
          <w:szCs w:val="24"/>
        </w:rPr>
        <w:t>.</w:t>
      </w:r>
    </w:p>
    <w:p w14:paraId="2BF7B128" w14:textId="77777777" w:rsidR="00624037" w:rsidRPr="00850F57"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إذا تحولت إلى مخرجات يُعتمد عليها دون فهم، أو تقوم على معالجة غير قابلة للفحص، فإن الحجية تصبح شكلية أكثر منها موضوعية، وهو ما قد يُحدث خللًا في توازن النظام القانوني</w:t>
      </w:r>
      <w:r>
        <w:rPr>
          <w:rFonts w:asciiTheme="majorBidi" w:hAnsiTheme="majorBidi" w:cstheme="majorBidi"/>
          <w:sz w:val="24"/>
          <w:szCs w:val="24"/>
        </w:rPr>
        <w:t>.</w:t>
      </w:r>
    </w:p>
    <w:p w14:paraId="5854212C" w14:textId="77777777" w:rsidR="00624037" w:rsidRPr="00CF4F0F" w:rsidRDefault="00624037" w:rsidP="00624037">
      <w:pPr>
        <w:jc w:val="right"/>
        <w:rPr>
          <w:rFonts w:asciiTheme="majorBidi" w:hAnsiTheme="majorBidi" w:cstheme="majorBidi"/>
          <w:sz w:val="24"/>
          <w:szCs w:val="24"/>
          <w:u w:val="single"/>
        </w:rPr>
      </w:pPr>
      <w:r>
        <w:rPr>
          <w:rFonts w:asciiTheme="majorBidi" w:hAnsiTheme="majorBidi" w:cstheme="majorBidi"/>
          <w:i/>
          <w:iCs/>
          <w:sz w:val="24"/>
          <w:szCs w:val="24"/>
          <w:u w:val="single"/>
          <w:rtl/>
        </w:rPr>
        <w:t>وبذلك يكون هذا المطلب قد أسس للإطار النظري الذي يمكّن من الانتقال في المطلب الثاني إلى بحث مشروعية استخدام هذه المخرجات أمام الجهات القضائية، في ضوء ضمانات العدالة الإجرائية وسلطة القاضي في تقدير الدليل</w:t>
      </w:r>
      <w:r>
        <w:rPr>
          <w:rFonts w:asciiTheme="majorBidi" w:hAnsiTheme="majorBidi" w:cstheme="majorBidi"/>
          <w:sz w:val="24"/>
          <w:szCs w:val="24"/>
          <w:u w:val="single"/>
        </w:rPr>
        <w:t>.</w:t>
      </w:r>
    </w:p>
    <w:p w14:paraId="2E89866D"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التحول في مفهوم الاجتهاد المهني وأثره على الحجية</w:t>
      </w:r>
    </w:p>
    <w:p w14:paraId="6CF6DD9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المسائل التي لم تحظ بالعناية الكافية في النقاش القانوني مسألة تأثير المخرجات الذكية على مفهوم “الاجتهاد المهني” ذاته. فالمحامي – في البناء التقليدي – يُعد صاحب رأي قانوني مستقل، يقوم على تحليل الوقائع والنصوص والسوابق، ويُسأل مهنيًا عن سلامة منهجه ونتيجته. أما في البيئة المعززة بالذكاء الاصطناعي، فإن الرأي قد يتشكل – جزئيًا أو كليًا – بناءً على معالجة خوارزمية تستند إلى قواعد بيانات واسعة</w:t>
      </w:r>
      <w:r>
        <w:rPr>
          <w:rFonts w:asciiTheme="majorBidi" w:hAnsiTheme="majorBidi" w:cstheme="majorBidi"/>
          <w:sz w:val="24"/>
          <w:szCs w:val="24"/>
        </w:rPr>
        <w:t>.</w:t>
      </w:r>
    </w:p>
    <w:p w14:paraId="559FA31A"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وقد أشار جانب من الفقه </w:t>
      </w:r>
      <w:r>
        <w:rPr>
          <w:rStyle w:val="af"/>
          <w:rFonts w:asciiTheme="majorBidi" w:hAnsiTheme="majorBidi" w:cstheme="majorBidi"/>
          <w:sz w:val="24"/>
          <w:szCs w:val="24"/>
          <w:rtl/>
        </w:rPr>
        <w:footnoteReference w:id="198"/>
      </w:r>
      <w:r>
        <w:rPr>
          <w:rFonts w:asciiTheme="majorBidi" w:hAnsiTheme="majorBidi" w:cstheme="majorBidi"/>
          <w:sz w:val="24"/>
          <w:szCs w:val="24"/>
          <w:rtl/>
        </w:rPr>
        <w:t>في دراسته حول الضوابط القانونية لاستخدام الذكاء الاصطناعي في المعاملات القانونية إلى أن إدخال التقنية في عملية اتخاذ القرار القانوني لا ينبغي أن يُفضي إلى “تفريغ الاجتهاد من مضمونه الإنساني”، بل إلى دعمه وتوسيع آفاقه. وهذا الطرح يثير سؤالًا دقيقًا: هل يُعد الرأي القانوني المدعوم بخوارزمية رأيًا شخصيًا للمحامي، أم رأيًا مشترك التكوين؟</w:t>
      </w:r>
    </w:p>
    <w:p w14:paraId="6840ED97"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الحجية هنا ترتبط بمدى بقاء الاجتهاد عنصرًا بشريًا حاكمًا، لا تابعًا. فإذا أصبح دور المحامي مقتصرًا على نقل نتيجة النظام دون تحليل إضافي، فإن الحجية تتحول من حجية رأي مهني إلى حجية أداة تحليلية، وهو تحول خطِر من منظور الثقة القانونية</w:t>
      </w:r>
      <w:r>
        <w:rPr>
          <w:rFonts w:asciiTheme="majorBidi" w:hAnsiTheme="majorBidi" w:cstheme="majorBidi"/>
          <w:sz w:val="24"/>
          <w:szCs w:val="24"/>
        </w:rPr>
        <w:t>.</w:t>
      </w:r>
    </w:p>
    <w:p w14:paraId="1DE7AF32"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lastRenderedPageBreak/>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الاجتهاد المهني لا ينتفي باستخدام الذكاء الاصطناعي، لكنه يتغير في طبيعته. فالمحامي في البيئة الرقمية مطالب بأن يمارس “اجتهادًا نقديًا” تجاه المخرج، لا مجرد اجتهاد إنشائي. ومن ثم فإن معيار الحجية ينبغي أن يُقاس بمدى ممارسة هذا الاجتهاد النقدي، لا بمجرد صدور المخرج عنه</w:t>
      </w:r>
      <w:r>
        <w:rPr>
          <w:rFonts w:asciiTheme="majorBidi" w:hAnsiTheme="majorBidi" w:cstheme="majorBidi"/>
          <w:sz w:val="24"/>
          <w:szCs w:val="24"/>
        </w:rPr>
        <w:t>.</w:t>
      </w:r>
    </w:p>
    <w:p w14:paraId="5C38D5DF" w14:textId="77777777" w:rsidR="00624037" w:rsidRPr="00F20C0E" w:rsidRDefault="00624037" w:rsidP="00624037">
      <w:pPr>
        <w:jc w:val="right"/>
        <w:rPr>
          <w:rFonts w:asciiTheme="majorBidi" w:hAnsiTheme="majorBidi" w:cstheme="majorBidi"/>
          <w:sz w:val="24"/>
          <w:szCs w:val="24"/>
          <w:rtl/>
        </w:rPr>
      </w:pPr>
    </w:p>
    <w:p w14:paraId="0B71BB82"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المخرجات الذكية بوصفها قرائن تحليلية لا أدلة قاطعة</w:t>
      </w:r>
    </w:p>
    <w:p w14:paraId="2533287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الإشكالات المهمة في سياق الحجية ما يتصل بطبيعة المخرجات التحليلية القائمة على استقراء السوابق أو تصنيف الأنماط. فهذه المخرجات – بطبيعتها – تقوم على تحليل احتمالي أو إحصائي، وهو ما يختلف عن الإثبات المباشر للوقائع</w:t>
      </w:r>
      <w:r>
        <w:rPr>
          <w:rFonts w:asciiTheme="majorBidi" w:hAnsiTheme="majorBidi" w:cstheme="majorBidi"/>
          <w:sz w:val="24"/>
          <w:szCs w:val="24"/>
        </w:rPr>
        <w:t>.</w:t>
      </w:r>
    </w:p>
    <w:p w14:paraId="36A5417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قرر نظام الإثبات أن للقاضي سلطة تقدير القرائن بحسب قوة دلالتها</w:t>
      </w:r>
      <w:r>
        <w:rPr>
          <w:rFonts w:asciiTheme="majorBidi" w:hAnsiTheme="majorBidi" w:cstheme="majorBidi" w:hint="cs"/>
          <w:sz w:val="24"/>
          <w:szCs w:val="24"/>
          <w:rtl/>
        </w:rPr>
        <w:t xml:space="preserve"> </w:t>
      </w:r>
      <w:r>
        <w:rPr>
          <w:rFonts w:asciiTheme="majorBidi" w:hAnsiTheme="majorBidi" w:cstheme="majorBidi"/>
          <w:sz w:val="24"/>
          <w:szCs w:val="24"/>
          <w:rtl/>
        </w:rPr>
        <w:t>وبناءً على ذلك، فإن التحليل الخوارزمي لا يمكن اعتباره دليلًا قاطعًا، بل يدخل – في أفضل الأحوال – ضمن نطاق القرائن المساعدة</w:t>
      </w:r>
      <w:r>
        <w:rPr>
          <w:rFonts w:asciiTheme="majorBidi" w:hAnsiTheme="majorBidi" w:cstheme="majorBidi"/>
          <w:sz w:val="24"/>
          <w:szCs w:val="24"/>
        </w:rPr>
        <w:t>.</w:t>
      </w:r>
    </w:p>
    <w:p w14:paraId="7CCC5374"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حذرت مجلة الشريعة والقانون من تحويل التحليل الإحصائي إلى بديل عن الاستدلال القانوني، مؤكدة أن القضاء لا يقوم على حساب الاحتمالات بل على تطبيق النص على الواقعة الثابتة (مجلة الشريعة والقانون، 2022)</w:t>
      </w:r>
      <w:r>
        <w:rPr>
          <w:rFonts w:asciiTheme="majorBidi" w:hAnsiTheme="majorBidi" w:cstheme="majorBidi"/>
          <w:sz w:val="24"/>
          <w:szCs w:val="24"/>
        </w:rPr>
        <w:t>.</w:t>
      </w:r>
    </w:p>
    <w:p w14:paraId="45AA8D50"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المخرجات الذكية، خاصة تلك القائمة على تحليل السوابق، يجب أن تُعامل بوصفها “قرائن تحليلية” لا أكثر. فإذا تم تقديمها للمحكمة باعتبارها نتيجة علمية حتمية، فإن ذلك يخل بطبيعة الاستدلال القضائي. ومن ثم فإن حجيتها تظل نسبية، مرتبطة بقدرتها على الإقناع لا بالإلزام</w:t>
      </w:r>
      <w:r>
        <w:rPr>
          <w:rFonts w:asciiTheme="majorBidi" w:hAnsiTheme="majorBidi" w:cstheme="majorBidi"/>
          <w:sz w:val="24"/>
          <w:szCs w:val="24"/>
        </w:rPr>
        <w:t>.</w:t>
      </w:r>
    </w:p>
    <w:p w14:paraId="3AFC1FC9" w14:textId="77777777" w:rsidR="00624037" w:rsidRPr="00F20C0E" w:rsidRDefault="00624037" w:rsidP="00624037">
      <w:pPr>
        <w:jc w:val="right"/>
        <w:rPr>
          <w:rFonts w:asciiTheme="majorBidi" w:hAnsiTheme="majorBidi" w:cstheme="majorBidi"/>
          <w:sz w:val="24"/>
          <w:szCs w:val="24"/>
        </w:rPr>
      </w:pPr>
    </w:p>
    <w:p w14:paraId="755C472B"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الحجية ومبدأ الاستقرار القانوني</w:t>
      </w:r>
    </w:p>
    <w:p w14:paraId="7023451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الحجية في جوهرها لا تخدم فقط أطراف التصرف، بل تخدم مبدأ الاستقرار القانوني. فالاستقرار يقوم على الثقة في أن التصرفات المنتجة وفق القواعد النظامية تُرتب آثارها بصورة يمكن التنبؤ بها</w:t>
      </w:r>
      <w:r>
        <w:rPr>
          <w:rFonts w:asciiTheme="majorBidi" w:hAnsiTheme="majorBidi" w:cstheme="majorBidi"/>
          <w:sz w:val="24"/>
          <w:szCs w:val="24"/>
        </w:rPr>
        <w:t>.</w:t>
      </w:r>
    </w:p>
    <w:p w14:paraId="141D6E2D"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الاعتماد المكثف على أنظمة ذكية قد يؤدي إلى تفاوت في النتائج باختلاف النظام المستخدم أو قاعدة البيانات المعتمدة أو طريقة التدريب. وهذا يثير إشكالًا يتعلق بوحدة المعايير</w:t>
      </w:r>
      <w:r>
        <w:rPr>
          <w:rFonts w:asciiTheme="majorBidi" w:hAnsiTheme="majorBidi" w:cstheme="majorBidi"/>
          <w:sz w:val="24"/>
          <w:szCs w:val="24"/>
        </w:rPr>
        <w:t>.</w:t>
      </w:r>
    </w:p>
    <w:p w14:paraId="4818757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جانب من الفقه إلى ضرورة وجود ضوابط تنظيمية موحدة لاستخدامات الذكاء الاصطناعي، منعًا لحدوث تباين في النتائج القانونية بسبب اختلاف الأنظمة</w:t>
      </w:r>
      <w:r>
        <w:rPr>
          <w:rStyle w:val="af"/>
          <w:rFonts w:asciiTheme="majorBidi" w:hAnsiTheme="majorBidi" w:cstheme="majorBidi"/>
          <w:sz w:val="24"/>
          <w:szCs w:val="24"/>
          <w:rtl/>
        </w:rPr>
        <w:footnoteReference w:id="199"/>
      </w:r>
      <w:r>
        <w:rPr>
          <w:rFonts w:asciiTheme="majorBidi" w:hAnsiTheme="majorBidi" w:cstheme="majorBidi"/>
          <w:sz w:val="24"/>
          <w:szCs w:val="24"/>
        </w:rPr>
        <w:t>.</w:t>
      </w:r>
    </w:p>
    <w:p w14:paraId="6D5F03C9"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حجية المخرجات الذكية لا تتعلق فقط بصحة التصرف الفردي، بل بمدى انسجامها مع مبدأ الاستقرار القانوني. فإذا أدى تعدد الأنظمة إلى نتائج متناقضة في حالات متشابهة، فإن الثقة في المخرجات تضعف. ومن ثم فإن الإطار القانوني لتوظيف الذكاء الاصطناعي في مكاتب المحاماة ينبغي أن يضع حدًا أدنى من المعايير المهنية الموحدة</w:t>
      </w:r>
      <w:r>
        <w:rPr>
          <w:rFonts w:asciiTheme="majorBidi" w:hAnsiTheme="majorBidi" w:cstheme="majorBidi"/>
          <w:sz w:val="24"/>
          <w:szCs w:val="24"/>
        </w:rPr>
        <w:t>.</w:t>
      </w:r>
    </w:p>
    <w:p w14:paraId="712120A4" w14:textId="77777777" w:rsidR="00624037" w:rsidRPr="00F20C0E" w:rsidRDefault="00624037" w:rsidP="00624037">
      <w:pPr>
        <w:jc w:val="right"/>
        <w:rPr>
          <w:rFonts w:asciiTheme="majorBidi" w:hAnsiTheme="majorBidi" w:cstheme="majorBidi"/>
          <w:sz w:val="24"/>
          <w:szCs w:val="24"/>
        </w:rPr>
      </w:pPr>
    </w:p>
    <w:p w14:paraId="1EEE1FB4"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مفهوم “الثقة المشروطة” في المخرجات القانونية</w:t>
      </w:r>
    </w:p>
    <w:p w14:paraId="3042F41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تقوم الحجية في البيئة التقليدية على افتراض الثقة في المصدر المهني. أما في البيئة الرقمية، فإن الثقة لا يمكن أن تكون مطلقة، بل تصبح “ثقة مشروطة” بمدى تحقق معايير الشفافية والفحص</w:t>
      </w:r>
      <w:r>
        <w:rPr>
          <w:rFonts w:asciiTheme="majorBidi" w:hAnsiTheme="majorBidi" w:cstheme="majorBidi"/>
          <w:sz w:val="24"/>
          <w:szCs w:val="24"/>
        </w:rPr>
        <w:t>.</w:t>
      </w:r>
    </w:p>
    <w:p w14:paraId="1399E215"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وقد أكدت وثيقة مبادئ أخلاقيات الذكاء الاصطناعي على مبدأ الشفافية وقابلية التفسير وعدم الإضرار (الهيئة السعودية للبيانات والذكاء الاصطناعي، 2023)، وهو ما يعني أن الثقة في المخرجات ليست افتراضًا، بل نتيجة تحقق شروط معينة</w:t>
      </w:r>
      <w:r>
        <w:rPr>
          <w:rFonts w:asciiTheme="majorBidi" w:hAnsiTheme="majorBidi" w:cstheme="majorBidi"/>
          <w:sz w:val="24"/>
          <w:szCs w:val="24"/>
        </w:rPr>
        <w:t>.</w:t>
      </w:r>
    </w:p>
    <w:p w14:paraId="1182F20F" w14:textId="77777777" w:rsidR="00624037" w:rsidRPr="00F20C0E" w:rsidRDefault="00AC4E6B" w:rsidP="00AC4E6B">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أ</w:t>
      </w:r>
      <w:r>
        <w:rPr>
          <w:rFonts w:asciiTheme="majorBidi" w:hAnsiTheme="majorBidi" w:cstheme="majorBidi"/>
          <w:sz w:val="24"/>
          <w:szCs w:val="24"/>
          <w:rtl/>
        </w:rPr>
        <w:t>رى أن الثقة في المخرجات الذكية يجب أن تُبنى على معيارين</w:t>
      </w:r>
    </w:p>
    <w:p w14:paraId="678CE64A" w14:textId="77777777" w:rsidR="00624037" w:rsidRPr="00F20C0E" w:rsidRDefault="00624037">
      <w:pPr>
        <w:numPr>
          <w:ilvl w:val="0"/>
          <w:numId w:val="11"/>
        </w:numPr>
        <w:jc w:val="right"/>
        <w:rPr>
          <w:rFonts w:asciiTheme="majorBidi" w:hAnsiTheme="majorBidi" w:cstheme="majorBidi"/>
          <w:sz w:val="24"/>
          <w:szCs w:val="24"/>
        </w:rPr>
      </w:pPr>
      <w:r>
        <w:rPr>
          <w:rFonts w:asciiTheme="majorBidi" w:hAnsiTheme="majorBidi" w:cstheme="majorBidi"/>
          <w:sz w:val="24"/>
          <w:szCs w:val="24"/>
          <w:rtl/>
        </w:rPr>
        <w:t>وضوح حدود النظام المستخدم</w:t>
      </w:r>
      <w:r>
        <w:rPr>
          <w:rFonts w:asciiTheme="majorBidi" w:hAnsiTheme="majorBidi" w:cstheme="majorBidi"/>
          <w:sz w:val="24"/>
          <w:szCs w:val="24"/>
        </w:rPr>
        <w:t>.</w:t>
      </w:r>
    </w:p>
    <w:p w14:paraId="236B919B" w14:textId="77777777" w:rsidR="00624037" w:rsidRPr="00F20C0E" w:rsidRDefault="00624037">
      <w:pPr>
        <w:numPr>
          <w:ilvl w:val="0"/>
          <w:numId w:val="11"/>
        </w:numPr>
        <w:jc w:val="right"/>
        <w:rPr>
          <w:rFonts w:asciiTheme="majorBidi" w:hAnsiTheme="majorBidi" w:cstheme="majorBidi"/>
          <w:sz w:val="24"/>
          <w:szCs w:val="24"/>
        </w:rPr>
      </w:pPr>
      <w:r>
        <w:rPr>
          <w:rFonts w:asciiTheme="majorBidi" w:hAnsiTheme="majorBidi" w:cstheme="majorBidi"/>
          <w:sz w:val="24"/>
          <w:szCs w:val="24"/>
          <w:rtl/>
        </w:rPr>
        <w:t>قدرة المستخدم على تفسير النتيجة والدفاع عنها</w:t>
      </w:r>
      <w:r>
        <w:rPr>
          <w:rFonts w:asciiTheme="majorBidi" w:hAnsiTheme="majorBidi" w:cstheme="majorBidi"/>
          <w:sz w:val="24"/>
          <w:szCs w:val="24"/>
        </w:rPr>
        <w:t>.</w:t>
      </w:r>
    </w:p>
    <w:p w14:paraId="70BDB049"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وبغير ذلك، تصبح الحجية مبنية على ثقة تقنية لا على ثقة قانونية</w:t>
      </w:r>
      <w:r>
        <w:rPr>
          <w:rFonts w:asciiTheme="majorBidi" w:hAnsiTheme="majorBidi" w:cstheme="majorBidi"/>
          <w:sz w:val="24"/>
          <w:szCs w:val="24"/>
        </w:rPr>
        <w:t>.</w:t>
      </w:r>
    </w:p>
    <w:p w14:paraId="3820DD93" w14:textId="77777777" w:rsidR="00624037" w:rsidRPr="00F20C0E" w:rsidRDefault="00624037" w:rsidP="00624037">
      <w:pPr>
        <w:jc w:val="right"/>
        <w:rPr>
          <w:rFonts w:asciiTheme="majorBidi" w:hAnsiTheme="majorBidi" w:cstheme="majorBidi"/>
          <w:sz w:val="24"/>
          <w:szCs w:val="24"/>
        </w:rPr>
      </w:pPr>
    </w:p>
    <w:p w14:paraId="5FE13062"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من الحجية الفردية إلى الحجية المؤسسية</w:t>
      </w:r>
    </w:p>
    <w:p w14:paraId="5D0A1397"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في الممارسة التقليدية، تُنسب الحجية إلى شخص المحامي. أما في البيئة الرقمية، فقد تصبح المخرجات نتاج منظومة مؤسسية تشمل مزود التقنية ومطور النظام وفريق البيانات</w:t>
      </w:r>
      <w:r>
        <w:rPr>
          <w:rFonts w:asciiTheme="majorBidi" w:hAnsiTheme="majorBidi" w:cstheme="majorBidi"/>
          <w:sz w:val="24"/>
          <w:szCs w:val="24"/>
        </w:rPr>
        <w:t>.</w:t>
      </w:r>
    </w:p>
    <w:p w14:paraId="669E689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وهنا يثور تساؤل: هل تبقى الحجية فردية أم تتحول إلى حجية مؤسسية؟</w:t>
      </w:r>
    </w:p>
    <w:p w14:paraId="661F2F7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إطار تبني الذكاء الاصطناعي ضرورة وضوح الأدوار والمسؤوليات داخل الجهات (الهيئة السعودية للبيانات والذكاء الاصطناعي، 2024)، وهو ما يعني أن الحجية لا يمكن فصلها عن البنية المؤسسية التي أنتجت المخرج</w:t>
      </w:r>
      <w:r>
        <w:rPr>
          <w:rFonts w:asciiTheme="majorBidi" w:hAnsiTheme="majorBidi" w:cstheme="majorBidi"/>
          <w:sz w:val="24"/>
          <w:szCs w:val="24"/>
        </w:rPr>
        <w:t>.</w:t>
      </w:r>
    </w:p>
    <w:p w14:paraId="556BB992"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الحجية في المخرجات الذكية تتجه نحو طابع مؤسسي، لأن عملية الإنتاج لم تعد فردية بالكامل. ومن ثم فإن الإطار التنظيمي لمكاتب المحاماة يجب أن يعترف بهذا التحول، ويحدد مسؤوليات واضحة داخل المؤسسة المهنية</w:t>
      </w:r>
      <w:r>
        <w:rPr>
          <w:rFonts w:asciiTheme="majorBidi" w:hAnsiTheme="majorBidi" w:cstheme="majorBidi"/>
          <w:sz w:val="24"/>
          <w:szCs w:val="24"/>
        </w:rPr>
        <w:t>.</w:t>
      </w:r>
    </w:p>
    <w:p w14:paraId="20BB06BC" w14:textId="77777777" w:rsidR="00624037" w:rsidRPr="00F20C0E" w:rsidRDefault="00624037" w:rsidP="00624037">
      <w:pPr>
        <w:jc w:val="right"/>
        <w:rPr>
          <w:rFonts w:asciiTheme="majorBidi" w:hAnsiTheme="majorBidi" w:cstheme="majorBidi"/>
          <w:sz w:val="24"/>
          <w:szCs w:val="24"/>
        </w:rPr>
      </w:pPr>
    </w:p>
    <w:p w14:paraId="41FE14F7" w14:textId="77777777" w:rsidR="00624037" w:rsidRPr="00F20C0E"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قراءة نقدية ختامية للمطلب</w:t>
      </w:r>
    </w:p>
    <w:p w14:paraId="4B772A3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يتبين من مجموع ما سبق أن حجية العقود والتقارير القانونية المنتجة آليًا ليست مسألة شكلية تتعلق بوسيط إلكتروني، ولا مسألة تقنية بحتة تتعلق بمدى تطور الخوارزمية، بل هي مسألة نظرية تمس جوهر الإرادة والنسبة والثقة والاستقرار</w:t>
      </w:r>
      <w:r>
        <w:rPr>
          <w:rFonts w:asciiTheme="majorBidi" w:hAnsiTheme="majorBidi" w:cstheme="majorBidi"/>
          <w:sz w:val="24"/>
          <w:szCs w:val="24"/>
        </w:rPr>
        <w:t>.</w:t>
      </w:r>
    </w:p>
    <w:p w14:paraId="359A40D7"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وقد تناول جابر في بحثه المنشور ضمن المجلة الدولية للبحوث النوعية المتخصصة (IJSSR) عام 2023م موضوع تطبيقات الذكاء الاصطناعي في الحكم القضائي، مستعرضًا العلاقة بين الذكاء الاصطناعي والدعاوى القضائية وسُبل الإثبات والنفي بواسطته. وتوصل إلى جملة من النتائج الجوهرية، منها: أن استعانة القاضي بالذكاء الاصطناعي في استنباط القرائن تبقى رهينةً بتقدير القاضي لا بالإلزام النظامي، وأن إقرار النظام الاصطناعي لا يُعدّ دليلًا نافذًا في النظام القانوني الحالي، وأن عدم توافر شروط الشهادة يمنع اعتماد تقنيات الذكاء الاصطناعي بديلًا عنها.</w:t>
      </w:r>
      <w:r>
        <w:rPr>
          <w:rStyle w:val="af"/>
          <w:rFonts w:asciiTheme="majorBidi" w:hAnsiTheme="majorBidi" w:cstheme="majorBidi"/>
          <w:sz w:val="24"/>
          <w:szCs w:val="24"/>
          <w:rtl/>
        </w:rPr>
        <w:footnoteReference w:id="200"/>
      </w:r>
    </w:p>
    <w:p w14:paraId="79B643E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فالذكاء الاصطناعي لا ينشئ بذاته تصرفًا قانونيًا، لكنه قد يسهم في تشكيله. والحجية لا تُستمد من الآلة، بل من الإنسان الذي يعتمدها ويُحسن استخدامها ويخضعها للفحص</w:t>
      </w:r>
      <w:r>
        <w:rPr>
          <w:rFonts w:asciiTheme="majorBidi" w:hAnsiTheme="majorBidi" w:cstheme="majorBidi"/>
          <w:sz w:val="24"/>
          <w:szCs w:val="24"/>
        </w:rPr>
        <w:t>.</w:t>
      </w:r>
    </w:p>
    <w:p w14:paraId="6058FAC5" w14:textId="77777777" w:rsidR="00624037" w:rsidRPr="00F20C0E"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lastRenderedPageBreak/>
        <w:t>ويظهر من تحليل هذا المطلب :</w:t>
      </w:r>
      <w:r>
        <w:rPr>
          <w:rFonts w:asciiTheme="majorBidi" w:hAnsiTheme="majorBidi" w:cstheme="majorBidi"/>
          <w:sz w:val="24"/>
          <w:szCs w:val="24"/>
        </w:rPr>
        <w:br/>
      </w:r>
      <w:r>
        <w:rPr>
          <w:rFonts w:asciiTheme="majorBidi" w:hAnsiTheme="majorBidi" w:cstheme="majorBidi" w:hint="cs"/>
          <w:sz w:val="24"/>
          <w:szCs w:val="24"/>
          <w:rtl/>
        </w:rPr>
        <w:t>ا</w:t>
      </w:r>
      <w:r>
        <w:rPr>
          <w:rFonts w:asciiTheme="majorBidi" w:hAnsiTheme="majorBidi" w:cstheme="majorBidi"/>
          <w:sz w:val="24"/>
          <w:szCs w:val="24"/>
          <w:rtl/>
        </w:rPr>
        <w:t>ن التكييف الصحيح للمخرجات القانونية المنتجة آليًا في النظام السعودي يقوم على ثلاثة أعمدة</w:t>
      </w:r>
    </w:p>
    <w:p w14:paraId="50993467"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t>اندماج واعٍ في إرادة بشرية مسؤولة</w:t>
      </w:r>
      <w:r>
        <w:rPr>
          <w:rFonts w:asciiTheme="majorBidi" w:hAnsiTheme="majorBidi" w:cstheme="majorBidi"/>
          <w:sz w:val="24"/>
          <w:szCs w:val="24"/>
        </w:rPr>
        <w:t>.</w:t>
      </w:r>
    </w:p>
    <w:p w14:paraId="207C2F48"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t>قابلية مهنية للفحص والتفسير</w:t>
      </w:r>
      <w:r>
        <w:rPr>
          <w:rFonts w:asciiTheme="majorBidi" w:hAnsiTheme="majorBidi" w:cstheme="majorBidi"/>
          <w:sz w:val="24"/>
          <w:szCs w:val="24"/>
        </w:rPr>
        <w:t>.</w:t>
      </w:r>
    </w:p>
    <w:p w14:paraId="572EAB28" w14:textId="77777777" w:rsidR="00624037" w:rsidRPr="00F20C0E" w:rsidRDefault="00624037">
      <w:pPr>
        <w:numPr>
          <w:ilvl w:val="0"/>
          <w:numId w:val="12"/>
        </w:numPr>
        <w:jc w:val="right"/>
        <w:rPr>
          <w:rFonts w:asciiTheme="majorBidi" w:hAnsiTheme="majorBidi" w:cstheme="majorBidi"/>
          <w:sz w:val="24"/>
          <w:szCs w:val="24"/>
        </w:rPr>
      </w:pPr>
      <w:r>
        <w:rPr>
          <w:rFonts w:asciiTheme="majorBidi" w:hAnsiTheme="majorBidi" w:cstheme="majorBidi"/>
          <w:sz w:val="24"/>
          <w:szCs w:val="24"/>
          <w:rtl/>
        </w:rPr>
        <w:t>خضوع لضوابط حوكمة البيانات والمسؤولية المؤسسية</w:t>
      </w:r>
      <w:r>
        <w:rPr>
          <w:rFonts w:asciiTheme="majorBidi" w:hAnsiTheme="majorBidi" w:cstheme="majorBidi"/>
          <w:sz w:val="24"/>
          <w:szCs w:val="24"/>
        </w:rPr>
        <w:t>.</w:t>
      </w:r>
    </w:p>
    <w:p w14:paraId="3468FAB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وبذلك تبقى الحجية محفوظة ضمن الإطار التقليدي للتصرف القانوني، مع تطوير معاييره بما يتلاءم مع البيئة الرقمية، دون الاعتراف للذكاء الاصطناعي بصفة الفاعل القانوني المستقل</w:t>
      </w:r>
      <w:r>
        <w:rPr>
          <w:rFonts w:asciiTheme="majorBidi" w:hAnsiTheme="majorBidi" w:cstheme="majorBidi"/>
          <w:sz w:val="24"/>
          <w:szCs w:val="24"/>
        </w:rPr>
        <w:t>.</w:t>
      </w:r>
    </w:p>
    <w:p w14:paraId="3A68235D" w14:textId="77777777" w:rsidR="00624037" w:rsidRDefault="00624037" w:rsidP="00624037">
      <w:pPr>
        <w:jc w:val="right"/>
        <w:rPr>
          <w:rFonts w:asciiTheme="majorBidi" w:hAnsiTheme="majorBidi" w:cstheme="majorBidi"/>
          <w:sz w:val="24"/>
          <w:szCs w:val="24"/>
        </w:rPr>
      </w:pPr>
    </w:p>
    <w:p w14:paraId="4821868B" w14:textId="77777777" w:rsidR="003048E3" w:rsidRDefault="003048E3" w:rsidP="00624037">
      <w:pPr>
        <w:jc w:val="right"/>
        <w:rPr>
          <w:rFonts w:asciiTheme="majorBidi" w:hAnsiTheme="majorBidi" w:cstheme="majorBidi"/>
          <w:sz w:val="24"/>
          <w:szCs w:val="24"/>
        </w:rPr>
      </w:pPr>
    </w:p>
    <w:p w14:paraId="49336194" w14:textId="77777777" w:rsidR="003048E3" w:rsidRDefault="003048E3" w:rsidP="00624037">
      <w:pPr>
        <w:jc w:val="right"/>
        <w:rPr>
          <w:rFonts w:asciiTheme="majorBidi" w:hAnsiTheme="majorBidi" w:cstheme="majorBidi"/>
          <w:sz w:val="24"/>
          <w:szCs w:val="24"/>
        </w:rPr>
      </w:pPr>
    </w:p>
    <w:p w14:paraId="533357DC" w14:textId="77777777" w:rsidR="00CF598B" w:rsidRDefault="00CF598B" w:rsidP="00624037">
      <w:pPr>
        <w:jc w:val="right"/>
        <w:rPr>
          <w:rFonts w:asciiTheme="majorBidi" w:hAnsiTheme="majorBidi" w:cstheme="majorBidi"/>
          <w:sz w:val="24"/>
          <w:szCs w:val="24"/>
        </w:rPr>
      </w:pPr>
    </w:p>
    <w:p w14:paraId="73BE7EBE" w14:textId="77777777" w:rsidR="00CF598B" w:rsidRDefault="00CF598B" w:rsidP="00624037">
      <w:pPr>
        <w:jc w:val="right"/>
        <w:rPr>
          <w:rFonts w:asciiTheme="majorBidi" w:hAnsiTheme="majorBidi" w:cstheme="majorBidi"/>
          <w:sz w:val="24"/>
          <w:szCs w:val="24"/>
        </w:rPr>
      </w:pPr>
    </w:p>
    <w:p w14:paraId="6E112779" w14:textId="77777777" w:rsidR="00624037" w:rsidRPr="00F20C0E"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المطلب الثاني</w:t>
      </w:r>
    </w:p>
    <w:p w14:paraId="23242EE4" w14:textId="77777777" w:rsidR="00624037" w:rsidRPr="00F20C0E" w:rsidRDefault="00624037" w:rsidP="00624037">
      <w:pPr>
        <w:jc w:val="center"/>
        <w:rPr>
          <w:rFonts w:asciiTheme="majorBidi" w:hAnsiTheme="majorBidi" w:cstheme="majorBidi"/>
          <w:b/>
          <w:bCs/>
          <w:sz w:val="32"/>
          <w:szCs w:val="32"/>
        </w:rPr>
      </w:pPr>
      <w:r>
        <w:rPr>
          <w:rFonts w:asciiTheme="majorBidi" w:hAnsiTheme="majorBidi" w:cstheme="majorBidi"/>
          <w:b/>
          <w:bCs/>
          <w:sz w:val="32"/>
          <w:szCs w:val="32"/>
          <w:rtl/>
        </w:rPr>
        <w:t>مشروعية استخدامها أمام الجهات القضائية مع الإشارة إلى بعض التجارب الدولية</w:t>
      </w:r>
    </w:p>
    <w:p w14:paraId="3E27A3E4"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البحث في حجية العقود والتقارير القانونية المنتجة آليًا قد انصرف – في المطلب الأول – إلى تحليل طبيعتها من حيث التكوين والنسبة والأساس النظري للاعتداد بها، فإن الانتقال إلى هذا المطلب يقتضي طرح سؤال أكثر دقة وحساسية: هل يُعد استخدام هذه المخرجات أمام الجهات القضائية مشروعًا في ضوء النظام السعودي، وما الضوابط التي تحكم هذا الاستخدام؟ ثم إلى أي مدى يمكن الاستئناس ببعض التجارب الدولية في تنظيم هذه المسألة دون الإخلال بخصوصية البيئة النظامية الوطنية؟</w:t>
      </w:r>
    </w:p>
    <w:p w14:paraId="11C72B1C"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مشروعية استخدام المخرجات الذكية أمام القضاء لا تُختزل في مجرد الاعتراف بالمحررات الإلكترونية أو تبني مبدأ الحياد التقني، بل ترتبط بمدى انسجام هذه المخرجات مع ضمانات التقاضي، وسلطة المحكمة في تقدير الدليل، ومبدأ المواجهة بين الخصوم، فضلًا عن متطلبات الشفافية والمساءلة التي أكدتها الوثائق الوطنية في مجال حوكمة الذكاء الاصطناعي</w:t>
      </w:r>
      <w:r>
        <w:rPr>
          <w:rFonts w:asciiTheme="majorBidi" w:hAnsiTheme="majorBidi" w:cstheme="majorBidi"/>
          <w:sz w:val="24"/>
          <w:szCs w:val="24"/>
        </w:rPr>
        <w:t>.</w:t>
      </w:r>
    </w:p>
    <w:p w14:paraId="20CD9D60"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فقد أقر نظام الإثبات لعام 1443هـ حجية المحررات الإلكترونية، وقرر أن الإثبات يكون بكافة الوسائل النظامية، وأكد أن للمحكمة سلطة تقدير الأدلة بحسب قناعتها المستمدة من أوراق الدعوى (هيئة الخبراء بمجلس الوزراء، 1443هـ). غير أن هذا الإقرار لا يعني أن كل مخرج تقني يُقبل أمام القضاء دون قيد، بل يظل خاضعًا لمعيار المشروعية الإجرائية والموضوعية</w:t>
      </w:r>
      <w:r>
        <w:rPr>
          <w:rFonts w:asciiTheme="majorBidi" w:hAnsiTheme="majorBidi" w:cstheme="majorBidi"/>
          <w:sz w:val="24"/>
          <w:szCs w:val="24"/>
        </w:rPr>
        <w:t>.</w:t>
      </w:r>
    </w:p>
    <w:p w14:paraId="0B1B3B4D"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 xml:space="preserve">ومن ثم فإن هذا </w:t>
      </w:r>
      <w:r>
        <w:rPr>
          <w:rFonts w:asciiTheme="majorBidi" w:hAnsiTheme="majorBidi" w:cstheme="majorBidi"/>
          <w:b/>
          <w:bCs/>
          <w:sz w:val="24"/>
          <w:szCs w:val="24"/>
          <w:rtl/>
        </w:rPr>
        <w:t xml:space="preserve">المطلب ينطلق من فرضية أساسية </w:t>
      </w:r>
      <w:r>
        <w:rPr>
          <w:rFonts w:asciiTheme="majorBidi" w:hAnsiTheme="majorBidi" w:cstheme="majorBidi"/>
          <w:sz w:val="24"/>
          <w:szCs w:val="24"/>
          <w:rtl/>
        </w:rPr>
        <w:t>مؤداها أن مشروعية استخدام المخرجات الذكية أمام الجهات القضائية تقوم على ثلاثة مرتكزات متداخلة</w:t>
      </w:r>
      <w:r>
        <w:rPr>
          <w:rFonts w:asciiTheme="majorBidi" w:hAnsiTheme="majorBidi" w:cstheme="majorBidi"/>
          <w:sz w:val="24"/>
          <w:szCs w:val="24"/>
        </w:rPr>
        <w:t>:</w:t>
      </w:r>
    </w:p>
    <w:p w14:paraId="2EBEC121"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أولها:</w:t>
      </w:r>
      <w:r>
        <w:rPr>
          <w:rFonts w:asciiTheme="majorBidi" w:hAnsiTheme="majorBidi" w:cstheme="majorBidi"/>
          <w:sz w:val="24"/>
          <w:szCs w:val="24"/>
          <w:rtl/>
        </w:rPr>
        <w:t xml:space="preserve"> المرتكز النظامي، المتعلق بمدى اتساق الاستخدام مع أحكام نظام الإثبات، ونظام المرافعات الشرعية، ونظام الإجراءات الجزائية، من حيث قبول الوسائل الإلكترونية، وضمان حق الدفاع، وسلطة القاضي في تقدير الأدلة (هيئة الخبراء بمجلس الوزراء، 1443هـ؛ 1435هـ)</w:t>
      </w:r>
      <w:r>
        <w:rPr>
          <w:rFonts w:asciiTheme="majorBidi" w:hAnsiTheme="majorBidi" w:cstheme="majorBidi"/>
          <w:sz w:val="24"/>
          <w:szCs w:val="24"/>
        </w:rPr>
        <w:t>.</w:t>
      </w:r>
    </w:p>
    <w:p w14:paraId="6703E5C1" w14:textId="77777777"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ويُرسي نظام القضاء السعودي الصادر بالمرسوم الملكي رقم م/78 وتاريخ 19/9/1428هـ ضمانات استقلال القضاء وحياده، مؤكدًا في مادته الأولى أن القضاة مستقلون لا سلطان عليهم في قضائهم لغير أحكام الشريعة </w:t>
      </w:r>
      <w:r>
        <w:rPr>
          <w:rFonts w:asciiTheme="majorBidi" w:hAnsiTheme="majorBidi" w:cstheme="majorBidi"/>
          <w:sz w:val="24"/>
          <w:szCs w:val="24"/>
          <w:rtl/>
        </w:rPr>
        <w:lastRenderedPageBreak/>
        <w:t>الإسلامية والأنظمة المرعية. وتُشكّل هذه الضمانة حجر أساس لأي نقاش حول استخدام الذكاء الاصطناعي في إصدار الأحكام أو مساندة القاضي في تقدير الأدلة؛ إذ إن إدخال هذه التقنيات لا يجوز أن يُخلّ باستقلالية القاضي أو يُشكّل مصدر ضغط خارجي على قرارته القضائية.</w:t>
      </w:r>
      <w:r>
        <w:rPr>
          <w:rStyle w:val="af"/>
          <w:rFonts w:asciiTheme="majorBidi" w:hAnsiTheme="majorBidi" w:cstheme="majorBidi"/>
          <w:sz w:val="24"/>
          <w:szCs w:val="24"/>
          <w:rtl/>
        </w:rPr>
        <w:footnoteReference w:id="201"/>
      </w:r>
    </w:p>
    <w:p w14:paraId="1B9203F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وثانيها:</w:t>
      </w:r>
      <w:r>
        <w:rPr>
          <w:rFonts w:asciiTheme="majorBidi" w:hAnsiTheme="majorBidi" w:cstheme="majorBidi"/>
          <w:sz w:val="24"/>
          <w:szCs w:val="24"/>
          <w:rtl/>
        </w:rPr>
        <w:t xml:space="preserve"> المرتكز المهني، المتصل بحدود الدور الذي يجوز للمحامي أن يُسند فيه جزءًا من تحليله أو صياغته إلى نظام ذكي، دون أن يتحول إلى ناقل آلي لنتيجة غير مفحوصة، وهو ما تناولته بعض الدراسات القانونية المعاصرة عند بحثها في المسؤولية المهنية المرتبطة باستخدام الذكاء الاصطناعي</w:t>
      </w:r>
      <w:r>
        <w:rPr>
          <w:rFonts w:asciiTheme="majorBidi" w:hAnsiTheme="majorBidi" w:cstheme="majorBidi"/>
          <w:sz w:val="24"/>
          <w:szCs w:val="24"/>
        </w:rPr>
        <w:t>.</w:t>
      </w:r>
    </w:p>
    <w:p w14:paraId="4BAFE9CF"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 xml:space="preserve">وثالثها: </w:t>
      </w:r>
      <w:r>
        <w:rPr>
          <w:rFonts w:asciiTheme="majorBidi" w:hAnsiTheme="majorBidi" w:cstheme="majorBidi"/>
          <w:sz w:val="24"/>
          <w:szCs w:val="24"/>
          <w:rtl/>
        </w:rPr>
        <w:t>المرتكز المقارن، الذي يهدف إلى استجلاء الكيفية التي تعاملت بها بعض الأنظمة القانونية مع هذه المسألة، خاصة في ظل صدور تنظيمات حديثة للذكاء الاصطناعي في بعض الدول، بما يسمح باستخلاص مؤشرات تنظيمية يمكن الاستئناس بها دون أن تُعد بديلًا عن البناء الوطني</w:t>
      </w:r>
      <w:r>
        <w:rPr>
          <w:rFonts w:asciiTheme="majorBidi" w:hAnsiTheme="majorBidi" w:cstheme="majorBidi"/>
          <w:sz w:val="24"/>
          <w:szCs w:val="24"/>
        </w:rPr>
        <w:t>.</w:t>
      </w:r>
    </w:p>
    <w:p w14:paraId="36A98F6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وفيما يتعلق بالمرتكز النظامي، فإن مبدأ الحياد التقني الذي كرسه نظام الإثبات يعني أن الوسيلة لا تُرفض لكونها إلكترونية، بل يُنظر إلى سلامة نسبتها ومطابقتها للشروط النظامية (هيئة الخبراء بمجلس الوزراء، 1443هـ). إلا أن المخرجات الذكية تثير إشكالًا إضافيًا يتمثل في طبيعة تكوينها التحليلي؛ إذ قد تقوم على معالجة خوارزمية معقدة يصعب على الخصم أو حتى المحكمة الإحاطة بكامل تفاصيلها</w:t>
      </w:r>
      <w:r>
        <w:rPr>
          <w:rFonts w:asciiTheme="majorBidi" w:hAnsiTheme="majorBidi" w:cstheme="majorBidi"/>
          <w:sz w:val="24"/>
          <w:szCs w:val="24"/>
        </w:rPr>
        <w:t>.</w:t>
      </w:r>
    </w:p>
    <w:p w14:paraId="21F031A6"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 جانب من الفقه إلى أن الاعتداد بالأدلة الرقمية يتطلب قابلية التتبع والتحقق، بما يضمن إمكان فحصها ومناقشتها أمام القضاء</w:t>
      </w:r>
      <w:r>
        <w:rPr>
          <w:rStyle w:val="af"/>
          <w:rFonts w:asciiTheme="majorBidi" w:hAnsiTheme="majorBidi" w:cstheme="majorBidi"/>
          <w:sz w:val="24"/>
          <w:szCs w:val="24"/>
          <w:rtl/>
        </w:rPr>
        <w:footnoteReference w:id="202"/>
      </w:r>
      <w:r>
        <w:rPr>
          <w:rFonts w:asciiTheme="majorBidi" w:hAnsiTheme="majorBidi" w:cstheme="majorBidi"/>
          <w:sz w:val="24"/>
          <w:szCs w:val="24"/>
          <w:rtl/>
        </w:rPr>
        <w:t>. وهذا يضع شرطًا ضمنيًا لمشروعية استخدام المخرجات الذكية، وهو أن تكون قابلة للفحص والمناقشة، وألا تُقدَّم بوصفها نتائج مغلقة لا تقبل التفكيك</w:t>
      </w:r>
      <w:r>
        <w:rPr>
          <w:rFonts w:asciiTheme="majorBidi" w:hAnsiTheme="majorBidi" w:cstheme="majorBidi"/>
          <w:sz w:val="24"/>
          <w:szCs w:val="24"/>
        </w:rPr>
        <w:t>.</w:t>
      </w:r>
    </w:p>
    <w:p w14:paraId="16AD7A1C"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من الناحية المهنية، فإن استخدام المخرجات الذكية أمام القضاء يثير تساؤلًا حول حدود التفويض التقني في العمل القانوني. فإذا قدم المحامي مذكرة أو تقريرًا أُنتج بمعالجة خوارزمية، فإن مسؤوليته المهنية لا تنتفي لمجرد أن النظام هو الذي اقترح الصياغة أو التحليل. وقد أكدت مجلة العدالة ضرورة بقاء المسؤولية المهنية قائمة عند استخدام الأنظمة الذكية، منعًا لحدوث فراغ تنظيمي (مجلة العدالة، 2022)</w:t>
      </w:r>
      <w:r>
        <w:rPr>
          <w:rStyle w:val="af"/>
          <w:rFonts w:asciiTheme="majorBidi" w:hAnsiTheme="majorBidi" w:cstheme="majorBidi"/>
          <w:sz w:val="24"/>
          <w:szCs w:val="24"/>
          <w:rtl/>
        </w:rPr>
        <w:footnoteReference w:id="203"/>
      </w:r>
      <w:r>
        <w:rPr>
          <w:rFonts w:asciiTheme="majorBidi" w:hAnsiTheme="majorBidi" w:cstheme="majorBidi"/>
          <w:sz w:val="24"/>
          <w:szCs w:val="24"/>
        </w:rPr>
        <w:t>.</w:t>
      </w:r>
    </w:p>
    <w:p w14:paraId="18323E9E"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ويعني ذلك أن مشروعية الاستخدام أمام القضاء لا تنفصل عن بقاء العنصر البشري في موقع السيطرة والتحكم، وهو ما يتفق مع ما أكدته الهيئة السعودية للبيانات والذكاء الاصطناعي في مبادئ أخلاقيات الذكاء الاصطناعي من ضرورة وجود إشراف بشري فعّال، وقابلية تفسير المخرجات، وتحمل المسؤولية عن نتائجها (الهيئة السعودية للبيانات والذكاء الاصطناعي، 2023). كما شدد إطار تبني الذكاء الاصطناعي على وضوح الأدوار وعدم إسناد القرار النهائي إلى النظام بصورة مستقلة (الهيئة السعودية للبيانات والذكاء الاصطناعي، 2024)</w:t>
      </w:r>
      <w:r>
        <w:rPr>
          <w:rFonts w:asciiTheme="majorBidi" w:hAnsiTheme="majorBidi" w:cstheme="majorBidi"/>
          <w:sz w:val="24"/>
          <w:szCs w:val="24"/>
        </w:rPr>
        <w:t>.</w:t>
      </w:r>
    </w:p>
    <w:p w14:paraId="5A9900F3" w14:textId="77777777" w:rsidR="00624037" w:rsidRPr="00F20C0E" w:rsidRDefault="00624037" w:rsidP="00624037">
      <w:pPr>
        <w:jc w:val="right"/>
        <w:rPr>
          <w:rFonts w:asciiTheme="majorBidi" w:hAnsiTheme="majorBidi" w:cstheme="majorBidi"/>
          <w:sz w:val="24"/>
          <w:szCs w:val="24"/>
        </w:rPr>
      </w:pPr>
      <w:r>
        <w:rPr>
          <w:rFonts w:asciiTheme="majorBidi" w:hAnsiTheme="majorBidi" w:cstheme="majorBidi"/>
          <w:sz w:val="24"/>
          <w:szCs w:val="24"/>
          <w:rtl/>
        </w:rPr>
        <w:t>أما المرتكز المقارن، فيكتسب أهميته من أن بعض الأنظمة القانونية الحديثة قد واجهت بالفعل مسألة استخدام الذكاء الاصطناعي في السياق القضائي، سواء في تقديم المذكرات المدعومة بتحليل آلي، أو في استخدام أدوات تنبؤية. وقد اتجه التنظيم الأوروبي في قانون الذكاء الاصطناعي</w:t>
      </w:r>
      <w:r>
        <w:rPr>
          <w:rFonts w:asciiTheme="majorBidi" w:hAnsiTheme="majorBidi" w:cstheme="majorBidi"/>
          <w:sz w:val="24"/>
          <w:szCs w:val="24"/>
        </w:rPr>
        <w:t xml:space="preserve"> (AI Act) </w:t>
      </w:r>
      <w:r>
        <w:rPr>
          <w:rFonts w:asciiTheme="majorBidi" w:hAnsiTheme="majorBidi" w:cstheme="majorBidi"/>
          <w:sz w:val="24"/>
          <w:szCs w:val="24"/>
          <w:rtl/>
        </w:rPr>
        <w:t>إلى تصنيف بعض أنظمة الذكاء الاصطناعي المستخدمة في المجال القضائي ضمن فئة “الأنظمة عالية المخاطر”، وفرض عليها متطلبات تتعلق بالشفافية والإشراف البشري وإدارة المخاطر</w:t>
      </w:r>
      <w:r>
        <w:rPr>
          <w:rFonts w:asciiTheme="majorBidi" w:hAnsiTheme="majorBidi" w:cstheme="majorBidi"/>
          <w:sz w:val="24"/>
          <w:szCs w:val="24"/>
        </w:rPr>
        <w:t xml:space="preserve"> (European Parliament &amp; Council of the European Union, 2024). </w:t>
      </w:r>
      <w:r>
        <w:rPr>
          <w:rFonts w:asciiTheme="majorBidi" w:hAnsiTheme="majorBidi" w:cstheme="majorBidi"/>
          <w:sz w:val="24"/>
          <w:szCs w:val="24"/>
          <w:rtl/>
        </w:rPr>
        <w:t>ويعكس هذا الاتجاه إدراكًا تشريعيًا لحساسية البيئة القضائية، وضرورة وضع ضوابط خاصة لاستخدام التقنية فيها</w:t>
      </w:r>
      <w:r>
        <w:rPr>
          <w:rFonts w:asciiTheme="majorBidi" w:hAnsiTheme="majorBidi" w:cstheme="majorBidi"/>
          <w:sz w:val="24"/>
          <w:szCs w:val="24"/>
        </w:rPr>
        <w:t>.</w:t>
      </w:r>
    </w:p>
    <w:p w14:paraId="3AC6440B" w14:textId="77777777" w:rsidR="00D57654" w:rsidRDefault="00C702A9" w:rsidP="00BB08F4">
      <w:pPr>
        <w:jc w:val="right"/>
        <w:rPr>
          <w:rFonts w:asciiTheme="majorBidi" w:hAnsiTheme="majorBidi" w:cstheme="majorBidi"/>
          <w:sz w:val="24"/>
          <w:szCs w:val="24"/>
          <w:rtl/>
        </w:rPr>
      </w:pPr>
      <w:r>
        <w:rPr>
          <w:rFonts w:asciiTheme="majorBidi" w:hAnsiTheme="majorBidi" w:cstheme="majorBidi"/>
          <w:sz w:val="24"/>
          <w:szCs w:val="24"/>
          <w:rtl/>
        </w:rPr>
        <w:t xml:space="preserve">وبالنظر إلى اتجاه التنظيم الأوروبي في قانون الذكاء الاصطناعي، لاحظ جانب من الفقه أن هذا القانون يُرسي نظام المساءلة القائمة على الخطر بدلاً من نظام المساءلة القائمة على الخطأ بالنسبة لأنظمة الذكاء الاصطناعي </w:t>
      </w:r>
      <w:r>
        <w:rPr>
          <w:rFonts w:asciiTheme="majorBidi" w:hAnsiTheme="majorBidi" w:cstheme="majorBidi"/>
          <w:sz w:val="24"/>
          <w:szCs w:val="24"/>
          <w:rtl/>
        </w:rPr>
        <w:lastRenderedPageBreak/>
        <w:t>ذات المخاطر العالية، وأن هذا التحول المفاهيمي يتيح للمتضررين تعويضاً أيسر إثباتاً وأكثر اتساقاً مع مبدأ العدالة التوزيعية.</w:t>
      </w:r>
      <w:r>
        <w:rPr>
          <w:rtl/>
        </w:rPr>
        <w:footnoteReference w:id="204"/>
      </w:r>
    </w:p>
    <w:p w14:paraId="632D24B3" w14:textId="77777777" w:rsidR="00D57654" w:rsidRDefault="00C702A9" w:rsidP="004E4D2E">
      <w:pPr>
        <w:jc w:val="right"/>
        <w:rPr>
          <w:rFonts w:asciiTheme="majorBidi" w:hAnsiTheme="majorBidi" w:cstheme="majorBidi"/>
          <w:sz w:val="24"/>
          <w:szCs w:val="24"/>
          <w:rtl/>
        </w:rPr>
      </w:pPr>
      <w:r>
        <w:rPr>
          <w:rFonts w:asciiTheme="majorBidi" w:hAnsiTheme="majorBidi" w:cstheme="majorBidi"/>
          <w:sz w:val="24"/>
          <w:szCs w:val="24"/>
          <w:rtl/>
        </w:rPr>
        <w:t>وفي السياق المقارن، أشار جانب من الفقه إلى أن التنظيم الأوروبي في قانون الذكاء الاصطناعي اعتمد مقاربة تصنيفية مبتكرة قائمة على درجة الخطورة، حيث تخضع الأنظمة ذات الاستخدام القضائي والقانوني لأعلى مستويات الرقابة والاشتراطات التقنية، وهو نهج يرى الباحث أنه جدير بالاستلهام في السياق السعودي مع مراعاة الخصوصية الثقافية والنظامية.</w:t>
      </w:r>
      <w:r>
        <w:rPr>
          <w:rtl/>
        </w:rPr>
        <w:footnoteReference w:id="205"/>
      </w:r>
    </w:p>
    <w:p w14:paraId="55E5C489" w14:textId="77777777" w:rsidR="00D57654" w:rsidRDefault="00C702A9" w:rsidP="004E4D2E">
      <w:pPr>
        <w:jc w:val="right"/>
        <w:rPr>
          <w:rFonts w:asciiTheme="majorBidi" w:hAnsiTheme="majorBidi" w:cstheme="majorBidi"/>
          <w:sz w:val="24"/>
          <w:szCs w:val="24"/>
          <w:rtl/>
        </w:rPr>
      </w:pPr>
      <w:r>
        <w:rPr>
          <w:rFonts w:asciiTheme="majorBidi" w:hAnsiTheme="majorBidi" w:cstheme="majorBidi"/>
          <w:sz w:val="24"/>
          <w:szCs w:val="24"/>
          <w:rtl/>
        </w:rPr>
        <w:t>وعلى صعيد تطبيق معيار درجة الخطورة على النظام السعودي، أشار جانب من الفقه إلى أن أنظمة الذكاء الاصطناعي المستخدمة في قضايا الأحوال الشخصية كالطلاق والحضانة والميراث ينبغي أن تنتمي إلى الفئة الأشد خطورة بالنسبة للنظام السعودي، لحساسيتها الدينية والاجتماعية البالغة، مُقترِحاً أن يُحرَّم على هذه الأنظمة إصدار أي توصية نهائية في هذه المسائل دون مراجعة قضائية إنسانية صريحة.</w:t>
      </w:r>
      <w:r>
        <w:rPr>
          <w:rtl/>
        </w:rPr>
        <w:footnoteReference w:id="206"/>
      </w:r>
    </w:p>
    <w:p w14:paraId="6AB1AFFB" w14:textId="77777777" w:rsidR="00D57654" w:rsidRDefault="00C702A9" w:rsidP="004E4D2E">
      <w:pPr>
        <w:jc w:val="right"/>
        <w:rPr>
          <w:rFonts w:asciiTheme="majorBidi" w:hAnsiTheme="majorBidi" w:cstheme="majorBidi"/>
          <w:sz w:val="24"/>
          <w:szCs w:val="24"/>
          <w:rtl/>
        </w:rPr>
      </w:pPr>
      <w:r>
        <w:rPr>
          <w:rFonts w:asciiTheme="majorBidi" w:hAnsiTheme="majorBidi" w:cstheme="majorBidi"/>
          <w:sz w:val="24"/>
          <w:szCs w:val="24"/>
          <w:rtl/>
        </w:rPr>
        <w:t>وفي سياق التصنيف بحسب درجة الخطورة، أبدت الجلعود اهتماماً خاصاً بأنظمة الذكاء الاصطناعي المستخدمة في تقدير القرائن وتوجيه قرارات التقاضي، معتبرةً إياها من فئة الأنظمة عالية الخطورة التي ينبغي ألا يُعتمد على مخرجاتها انفرادياً دون مراجعة قضائية معمّقة، لما قد تنطوي عليه من تحيزات مرتبطة بطبيعة بيانات التدريب المستخدمة في بنائها.</w:t>
      </w:r>
      <w:r>
        <w:rPr>
          <w:rtl/>
        </w:rPr>
        <w:footnoteReference w:id="207"/>
      </w:r>
    </w:p>
    <w:p w14:paraId="3DB925D2"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غير أن الاستفادة من التجارب الدولية لا تعني نقلها بحرفيتها، بل تقتضي تحليلها في ضوء البنية النظامية الوطنية، التي تقوم على مركزية القاضي في تكوين قناعته، وعلى عدم وجود نظام السوابق الملزمة بالمعنى الأنجلوسكسوني، وهو ما يجعل وظيفة التحليل الخوارزمي في البيئة السعودية ذات طبيعة استرشادية لا تقريرية</w:t>
      </w:r>
      <w:r>
        <w:rPr>
          <w:rFonts w:asciiTheme="majorBidi" w:hAnsiTheme="majorBidi" w:cstheme="majorBidi"/>
          <w:sz w:val="24"/>
          <w:szCs w:val="24"/>
        </w:rPr>
        <w:t>.</w:t>
      </w:r>
    </w:p>
    <w:p w14:paraId="02ECC9E0" w14:textId="77777777" w:rsidR="00624037" w:rsidRPr="00F20C0E" w:rsidRDefault="00AC4E6B" w:rsidP="004E4D2E">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مشروعية استخدام المخرجات الذكية أمام الجهات القضائية في النظام السعودي تقوم على مبدأ “القبول المشروط”، لا القبول المطلق ولا الرفض المطلق. فهي مقبولة متى كانت</w:t>
      </w:r>
      <w:r>
        <w:rPr>
          <w:rFonts w:asciiTheme="majorBidi" w:hAnsiTheme="majorBidi" w:cstheme="majorBidi"/>
          <w:sz w:val="24"/>
          <w:szCs w:val="24"/>
        </w:rPr>
        <w:t>:</w:t>
      </w:r>
      <w:r>
        <w:rPr>
          <w:rFonts w:asciiTheme="majorBidi" w:hAnsiTheme="majorBidi" w:cstheme="majorBidi"/>
          <w:sz w:val="24"/>
          <w:szCs w:val="24"/>
        </w:rPr>
        <w:br/>
        <w:t xml:space="preserve">– </w:t>
      </w:r>
      <w:r>
        <w:rPr>
          <w:rFonts w:asciiTheme="majorBidi" w:hAnsiTheme="majorBidi" w:cstheme="majorBidi"/>
          <w:sz w:val="24"/>
          <w:szCs w:val="24"/>
          <w:rtl/>
        </w:rPr>
        <w:t>صادرة عن محامٍ تبناها عن وعي،</w:t>
      </w:r>
      <w:r>
        <w:rPr>
          <w:rFonts w:asciiTheme="majorBidi" w:hAnsiTheme="majorBidi" w:cstheme="majorBidi"/>
          <w:sz w:val="24"/>
          <w:szCs w:val="24"/>
        </w:rPr>
        <w:br/>
        <w:t xml:space="preserve">– </w:t>
      </w:r>
      <w:r>
        <w:rPr>
          <w:rFonts w:asciiTheme="majorBidi" w:hAnsiTheme="majorBidi" w:cstheme="majorBidi"/>
          <w:sz w:val="24"/>
          <w:szCs w:val="24"/>
          <w:rtl/>
        </w:rPr>
        <w:t>قابلة للفحص والمناقشة أمام الخصم،</w:t>
      </w:r>
      <w:r>
        <w:rPr>
          <w:rFonts w:asciiTheme="majorBidi" w:hAnsiTheme="majorBidi" w:cstheme="majorBidi"/>
          <w:sz w:val="24"/>
          <w:szCs w:val="24"/>
        </w:rPr>
        <w:br/>
        <w:t xml:space="preserve">– </w:t>
      </w:r>
      <w:r>
        <w:rPr>
          <w:rFonts w:asciiTheme="majorBidi" w:hAnsiTheme="majorBidi" w:cstheme="majorBidi"/>
          <w:sz w:val="24"/>
          <w:szCs w:val="24"/>
          <w:rtl/>
        </w:rPr>
        <w:t>خاضعة لسلطة القاضي في التقدير،</w:t>
      </w:r>
      <w:r>
        <w:rPr>
          <w:rFonts w:asciiTheme="majorBidi" w:hAnsiTheme="majorBidi" w:cstheme="majorBidi"/>
          <w:sz w:val="24"/>
          <w:szCs w:val="24"/>
        </w:rPr>
        <w:br/>
        <w:t xml:space="preserve">– </w:t>
      </w:r>
      <w:r>
        <w:rPr>
          <w:rFonts w:asciiTheme="majorBidi" w:hAnsiTheme="majorBidi" w:cstheme="majorBidi"/>
          <w:sz w:val="24"/>
          <w:szCs w:val="24"/>
          <w:rtl/>
        </w:rPr>
        <w:t>متسقة مع ضوابط الشفافية والمسؤولية المنصوص عليها في الوثائق الوطنية</w:t>
      </w:r>
      <w:r>
        <w:rPr>
          <w:rFonts w:asciiTheme="majorBidi" w:hAnsiTheme="majorBidi" w:cstheme="majorBidi"/>
          <w:sz w:val="24"/>
          <w:szCs w:val="24"/>
        </w:rPr>
        <w:t>.</w:t>
      </w:r>
    </w:p>
    <w:p w14:paraId="51094F05"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أما إذا قُدمت بوصفها نتائج تقنية مغلقة أو بديلًا عن الاجتهاد القضائي، فإن استخدامها يخرج عن حدود المشروعية الإجرائية</w:t>
      </w:r>
      <w:r>
        <w:rPr>
          <w:rFonts w:asciiTheme="majorBidi" w:hAnsiTheme="majorBidi" w:cstheme="majorBidi"/>
          <w:sz w:val="24"/>
          <w:szCs w:val="24"/>
        </w:rPr>
        <w:t>.</w:t>
      </w:r>
    </w:p>
    <w:p w14:paraId="6D2958F2" w14:textId="77777777" w:rsidR="00624037" w:rsidRPr="00F20C0E" w:rsidRDefault="00624037" w:rsidP="004E4D2E">
      <w:pPr>
        <w:jc w:val="right"/>
        <w:rPr>
          <w:rFonts w:asciiTheme="majorBidi" w:hAnsiTheme="majorBidi" w:cstheme="majorBidi"/>
          <w:sz w:val="24"/>
          <w:szCs w:val="24"/>
        </w:rPr>
      </w:pPr>
      <w:r>
        <w:rPr>
          <w:rFonts w:asciiTheme="majorBidi" w:hAnsiTheme="majorBidi" w:cstheme="majorBidi"/>
          <w:sz w:val="24"/>
          <w:szCs w:val="24"/>
          <w:rtl/>
        </w:rPr>
        <w:t>وانطلاقًا من هذا التمهيد، سيعالج هذا المطلب – في فقراته اللاحقة – ضوابط هذا الاستخدام المشروع في ضوء النظام السعودي، ثم يقف عند بعض التجارب الدولية الحديثة بوصفها نماذج مقارنة، وصولًا إلى صياغة تصور تنظيمي متوازن ينسجم مع أهداف هذه الدراسة</w:t>
      </w:r>
      <w:r>
        <w:rPr>
          <w:rFonts w:asciiTheme="majorBidi" w:hAnsiTheme="majorBidi" w:cstheme="majorBidi"/>
          <w:sz w:val="24"/>
          <w:szCs w:val="24"/>
        </w:rPr>
        <w:t>.</w:t>
      </w:r>
    </w:p>
    <w:p w14:paraId="66461C7F" w14:textId="77777777" w:rsidR="00624037" w:rsidRDefault="00624037" w:rsidP="004E4D2E">
      <w:pPr>
        <w:jc w:val="right"/>
        <w:rPr>
          <w:rFonts w:asciiTheme="majorBidi" w:hAnsiTheme="majorBidi" w:cstheme="majorBidi"/>
          <w:sz w:val="24"/>
          <w:szCs w:val="24"/>
        </w:rPr>
      </w:pPr>
    </w:p>
    <w:p w14:paraId="2AC01339" w14:textId="77777777" w:rsidR="00624037" w:rsidRPr="00B4002A" w:rsidRDefault="00624037" w:rsidP="004E4D2E">
      <w:pPr>
        <w:jc w:val="right"/>
        <w:rPr>
          <w:rFonts w:asciiTheme="majorBidi" w:hAnsiTheme="majorBidi" w:cstheme="majorBidi"/>
          <w:b/>
          <w:bCs/>
          <w:sz w:val="24"/>
          <w:szCs w:val="24"/>
        </w:rPr>
      </w:pPr>
      <w:r>
        <w:rPr>
          <w:rFonts w:asciiTheme="majorBidi" w:hAnsiTheme="majorBidi" w:cstheme="majorBidi"/>
          <w:b/>
          <w:bCs/>
          <w:sz w:val="24"/>
          <w:szCs w:val="24"/>
          <w:rtl/>
        </w:rPr>
        <w:lastRenderedPageBreak/>
        <w:t>الضوابط الإجرائية لمشروعية تقديم المخرجات الذكية أمام القضاء</w:t>
      </w:r>
    </w:p>
    <w:p w14:paraId="25AE3871" w14:textId="77777777" w:rsidR="00624037" w:rsidRPr="00B4002A" w:rsidRDefault="00624037" w:rsidP="004E4D2E">
      <w:pPr>
        <w:jc w:val="right"/>
        <w:rPr>
          <w:rFonts w:asciiTheme="majorBidi" w:hAnsiTheme="majorBidi" w:cstheme="majorBidi"/>
          <w:sz w:val="24"/>
          <w:szCs w:val="24"/>
        </w:rPr>
      </w:pPr>
      <w:r>
        <w:rPr>
          <w:rFonts w:asciiTheme="majorBidi" w:hAnsiTheme="majorBidi" w:cstheme="majorBidi"/>
          <w:sz w:val="24"/>
          <w:szCs w:val="24"/>
          <w:rtl/>
        </w:rPr>
        <w:t>إن أول معيار حاكم لمشروعية استخدام المخرجات القانونية المنتجة آليًا أمام الجهات القضائية يتمثل في مدى انسجام هذا الاستخدام مع القواعد الإجرائية المنظمة للخصومة. فالقضاء ليس ساحة عرض تقني، وإنما نظام منضبط تحكمه ضمانات دقيقة، في مقدمتها حق الدفاع، ومبدأ المواجهة، وعلانية الإجراءات، وسلطة المحكمة في تكوين قناعتها</w:t>
      </w:r>
      <w:r>
        <w:rPr>
          <w:rFonts w:asciiTheme="majorBidi" w:hAnsiTheme="majorBidi" w:cstheme="majorBidi"/>
          <w:sz w:val="24"/>
          <w:szCs w:val="24"/>
        </w:rPr>
        <w:t>.</w:t>
      </w:r>
    </w:p>
    <w:p w14:paraId="27B80C83" w14:textId="77777777" w:rsidR="00624037" w:rsidRPr="00B4002A" w:rsidRDefault="00624037" w:rsidP="004E4D2E">
      <w:pPr>
        <w:jc w:val="right"/>
        <w:rPr>
          <w:rFonts w:asciiTheme="majorBidi" w:hAnsiTheme="majorBidi" w:cstheme="majorBidi"/>
          <w:sz w:val="24"/>
          <w:szCs w:val="24"/>
        </w:rPr>
      </w:pPr>
      <w:r>
        <w:rPr>
          <w:rFonts w:asciiTheme="majorBidi" w:hAnsiTheme="majorBidi" w:cstheme="majorBidi"/>
          <w:sz w:val="24"/>
          <w:szCs w:val="24"/>
          <w:rtl/>
        </w:rPr>
        <w:t>وقد قرر نظام الإثبات لعام 1443هـ أن للمحكمة سلطة تقدير الأدلة دون تقيد بوسيلة معينة، ما لم يرد نص خاص، كما أقر حجية الوسائل الإلكترونية متى ثبتت نسبتها وسلامتها (هيئة الخبراء بمجلس الوزراء، 1443هـ). غير أن هذه السلطة التقديرية لا تعني أن كل وسيلة إلكترونية مقبولة بذاتها، بل تظل خاضعة لمعيار الفحص القضائي</w:t>
      </w:r>
      <w:r>
        <w:rPr>
          <w:rFonts w:asciiTheme="majorBidi" w:hAnsiTheme="majorBidi" w:cstheme="majorBidi"/>
          <w:sz w:val="24"/>
          <w:szCs w:val="24"/>
        </w:rPr>
        <w:t>.</w:t>
      </w:r>
    </w:p>
    <w:p w14:paraId="5AC4BFAD"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هنا يبرز سؤال جوهري</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هل تتيح المخرجات الذكية للخصم إمكانية مناقشتها والطعن فيها بذات الدرجة التي تتيحها المذكرات التقليدية؟</w:t>
      </w:r>
    </w:p>
    <w:p w14:paraId="48FA31A1"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التقرير أو التحليل مبنيًا على معالجة خوارزمية معقدة لا يمكن تفسيرها أو تتبعها، فإن الخصم قد يُحرم عمليًا من حقه في الرد الفعّال. وقد أشار جانب من الفقه إلى أن سلامة الدليل الرقمي لا تتحقق بمجرد وجوده في صيغة إلكترونية، بل تتطلب إمكانية التحقق من مصدره وآلية إنتاجه.</w:t>
      </w:r>
      <w:r>
        <w:rPr>
          <w:rStyle w:val="af"/>
          <w:rFonts w:asciiTheme="majorBidi" w:hAnsiTheme="majorBidi" w:cstheme="majorBidi"/>
          <w:sz w:val="24"/>
          <w:szCs w:val="24"/>
          <w:rtl/>
        </w:rPr>
        <w:footnoteReference w:id="208"/>
      </w:r>
      <w:r>
        <w:rPr>
          <w:rFonts w:asciiTheme="majorBidi" w:hAnsiTheme="majorBidi" w:cstheme="majorBidi"/>
          <w:sz w:val="24"/>
          <w:szCs w:val="24"/>
          <w:rtl/>
        </w:rPr>
        <w:t xml:space="preserve"> وهذا المبدأ يكتسب أهمية مضاعفة في سياق المخرجات الذكية، لأن آلية التوليد نفسها قد تكون جزءًا من قوة الدليل</w:t>
      </w:r>
      <w:r>
        <w:rPr>
          <w:rFonts w:asciiTheme="majorBidi" w:hAnsiTheme="majorBidi" w:cstheme="majorBidi"/>
          <w:sz w:val="24"/>
          <w:szCs w:val="24"/>
        </w:rPr>
        <w:t>.</w:t>
      </w:r>
    </w:p>
    <w:p w14:paraId="414EC8E7"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مشروعية تقديم المخرجات الذكية أمام القضاء مشروطة بقابليتها للمناقشة. فإذا كان النظام المستخدم ينتج تحليلًا لا يمكن تفسير منطقه أو منهجه، فإن تقديمه أمام المحكمة يخل بمبدأ المواجهة، حتى وإن استوفى الشكل الإلكتروني. ومن ثم فإن قابلية الشرح والتفسير تصبح شرطًا ضمنيًا لقبول هذه المخرجات</w:t>
      </w:r>
      <w:r>
        <w:rPr>
          <w:rFonts w:asciiTheme="majorBidi" w:hAnsiTheme="majorBidi" w:cstheme="majorBidi"/>
          <w:sz w:val="24"/>
          <w:szCs w:val="24"/>
        </w:rPr>
        <w:t>.</w:t>
      </w:r>
    </w:p>
    <w:p w14:paraId="067E107A" w14:textId="77777777" w:rsidR="00624037" w:rsidRPr="00B4002A" w:rsidRDefault="00624037" w:rsidP="00624037">
      <w:pPr>
        <w:jc w:val="right"/>
        <w:rPr>
          <w:rFonts w:asciiTheme="majorBidi" w:hAnsiTheme="majorBidi" w:cstheme="majorBidi"/>
          <w:sz w:val="24"/>
          <w:szCs w:val="24"/>
        </w:rPr>
      </w:pPr>
    </w:p>
    <w:p w14:paraId="2D4AC188"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سلطة القاضي في تقدير المخرجات الذكية</w:t>
      </w:r>
    </w:p>
    <w:p w14:paraId="27EF5480"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يُعد مبدأ حرية القاضي في تكوين قناعته من المبادئ الراسخة في النظام السعودي، حيث لم يقيد نظام الإثبات المحكمة بوسائل محددة في تقدير الأدلة، بل منحها سلطة واسعة في وزنها بحسب ظروف الدعوى (هيئة الخبراء بمجلس الوزراء، 1443هـ). وهذا يعني أن المخرجات الذكية – مهما بلغت درجة تطورها – لا يمكن أن تكون ملزمة للقاضي بذاتها</w:t>
      </w:r>
      <w:r>
        <w:rPr>
          <w:rFonts w:asciiTheme="majorBidi" w:hAnsiTheme="majorBidi" w:cstheme="majorBidi"/>
          <w:sz w:val="24"/>
          <w:szCs w:val="24"/>
        </w:rPr>
        <w:t>.</w:t>
      </w:r>
    </w:p>
    <w:p w14:paraId="23898107"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إلا أن الإشكال لا يكمن في الإلزام المباشر، بل في التأثير غير المباشر. فالتقارير التحليلية القائمة على استقراء السوابق أو تحليل أنماط الأحكام قد تُحدث أثرًا نفسيًا أو استرشاديًا قويًا، خاصة إذا قُدمت بلغة تقنية توحي بالدقة العلمية. وقد حذرت مجلة الشريعة والقانون من تحويل التحليل الخوارزمي إلى مرجع حاسم في العمل القضائي، لما قد يترتب عليه من تآكل دور الاجتهاد القضائي (مجلة الشريعة والقانون، 2022)</w:t>
      </w:r>
      <w:r>
        <w:rPr>
          <w:rFonts w:asciiTheme="majorBidi" w:hAnsiTheme="majorBidi" w:cstheme="majorBidi"/>
          <w:sz w:val="24"/>
          <w:szCs w:val="24"/>
        </w:rPr>
        <w:t>.</w:t>
      </w:r>
    </w:p>
    <w:p w14:paraId="6D27AACE"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مشروعية الاستخدام أمام القضاء تقتضي أن يبقى المخرج في إطار الوسيلة الإقناعية، لا المرجعية الملزمة</w:t>
      </w:r>
      <w:r>
        <w:rPr>
          <w:rFonts w:asciiTheme="majorBidi" w:hAnsiTheme="majorBidi" w:cstheme="majorBidi"/>
          <w:sz w:val="24"/>
          <w:szCs w:val="24"/>
        </w:rPr>
        <w:t>.</w:t>
      </w:r>
    </w:p>
    <w:p w14:paraId="25D082B2"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أخطر ما يمكن أن يحدث هو انتقال مركز الثقل من “اقتناع القاضي” إلى “نتيجة النظام”. فالقضاء نشاط تفسيري إنساني، لا عملية حسابية. وإذا أصبحت المخرجات الذكية تُقدَّم بوصفها نتائج حاسمة، فإن ذلك يخل بالتوازن بين التقنية والاجتهاد القضائي. ومن ثم فإن دورها يجب أن يظل استرشاديًا لا تقريريًا</w:t>
      </w:r>
      <w:r>
        <w:rPr>
          <w:rFonts w:asciiTheme="majorBidi" w:hAnsiTheme="majorBidi" w:cstheme="majorBidi"/>
          <w:sz w:val="24"/>
          <w:szCs w:val="24"/>
        </w:rPr>
        <w:t>.</w:t>
      </w:r>
    </w:p>
    <w:p w14:paraId="4B32A2D5" w14:textId="77777777" w:rsidR="00624037" w:rsidRDefault="00624037" w:rsidP="00624037">
      <w:pPr>
        <w:jc w:val="right"/>
        <w:rPr>
          <w:rFonts w:asciiTheme="majorBidi" w:hAnsiTheme="majorBidi" w:cstheme="majorBidi"/>
          <w:sz w:val="24"/>
          <w:szCs w:val="24"/>
        </w:rPr>
      </w:pPr>
    </w:p>
    <w:p w14:paraId="709D99BF" w14:textId="77777777" w:rsidR="00CF598B" w:rsidRDefault="00CF598B" w:rsidP="00624037">
      <w:pPr>
        <w:jc w:val="right"/>
        <w:rPr>
          <w:rFonts w:asciiTheme="majorBidi" w:hAnsiTheme="majorBidi" w:cstheme="majorBidi"/>
          <w:sz w:val="24"/>
          <w:szCs w:val="24"/>
        </w:rPr>
      </w:pPr>
    </w:p>
    <w:p w14:paraId="69202274" w14:textId="77777777" w:rsidR="00CF598B" w:rsidRPr="00B4002A" w:rsidRDefault="00CF598B" w:rsidP="00624037">
      <w:pPr>
        <w:jc w:val="right"/>
        <w:rPr>
          <w:rFonts w:asciiTheme="majorBidi" w:hAnsiTheme="majorBidi" w:cstheme="majorBidi"/>
          <w:sz w:val="24"/>
          <w:szCs w:val="24"/>
        </w:rPr>
      </w:pPr>
    </w:p>
    <w:p w14:paraId="10D6B5E7"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التكييف النظامي للتقارير المدعومة بالذكاء الاصطناعي</w:t>
      </w:r>
    </w:p>
    <w:p w14:paraId="180D18C4"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الناحية التكييفية، يمكن النظر إلى المذكرات أو التقارير المدعومة بالذكاء الاصطناعي باعتبارها أعمالًا مهنية صادرة عن محامٍ، لا باعتبارها منتجات تقنية مستقلة. فالمسؤولية المهنية عن محتواها تظل قائمة على عاتق مقدمها، حتى لو استعان في إعدادها بنظام ذكي</w:t>
      </w:r>
      <w:r>
        <w:rPr>
          <w:rFonts w:asciiTheme="majorBidi" w:hAnsiTheme="majorBidi" w:cstheme="majorBidi"/>
          <w:sz w:val="24"/>
          <w:szCs w:val="24"/>
        </w:rPr>
        <w:t>.</w:t>
      </w:r>
    </w:p>
    <w:p w14:paraId="497BD35F"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جانب من الفقه أن المسؤولية عن نتائج استخدام الذكاء الاصطناعي تبقى في يد المشغل أو المستخدم، لا في يد النظام ذاته</w:t>
      </w:r>
      <w:r>
        <w:rPr>
          <w:rStyle w:val="af"/>
          <w:rFonts w:asciiTheme="majorBidi" w:hAnsiTheme="majorBidi" w:cstheme="majorBidi"/>
          <w:sz w:val="24"/>
          <w:szCs w:val="24"/>
          <w:rtl/>
        </w:rPr>
        <w:footnoteReference w:id="209"/>
      </w:r>
      <w:r>
        <w:rPr>
          <w:rFonts w:asciiTheme="majorBidi" w:hAnsiTheme="majorBidi" w:cstheme="majorBidi"/>
          <w:sz w:val="24"/>
          <w:szCs w:val="24"/>
          <w:rtl/>
        </w:rPr>
        <w:t>. وهذا المبدأ، إذا أُسقط على البيئة القضائية، يعني أن المحكمة لا تنظر إلى “النظام”، بل إلى المحامي الذي تبنى المخرج ووقع عليه</w:t>
      </w:r>
      <w:r>
        <w:rPr>
          <w:rFonts w:asciiTheme="majorBidi" w:hAnsiTheme="majorBidi" w:cstheme="majorBidi"/>
          <w:sz w:val="24"/>
          <w:szCs w:val="24"/>
        </w:rPr>
        <w:t>.</w:t>
      </w:r>
    </w:p>
    <w:p w14:paraId="2E68B7E2"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إلا أن هذا التكييف لا يعفي من ضرورة الإفصاح – في بعض الحالات – عن طبيعة الاستعانة بالنظام، خاصة إذا كان التحليل القائم على البيانات جزءًا جوهريًا من الحجة</w:t>
      </w:r>
      <w:r>
        <w:rPr>
          <w:rFonts w:asciiTheme="majorBidi" w:hAnsiTheme="majorBidi" w:cstheme="majorBidi"/>
          <w:sz w:val="24"/>
          <w:szCs w:val="24"/>
        </w:rPr>
        <w:t>.</w:t>
      </w:r>
    </w:p>
    <w:p w14:paraId="026320D0"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التكييف الصحيح لهذه المخرجات أمام القضاء هو اعتبارها “رأيًا مهنيًا مدعومًا بأداة تحليلية”. فهي ليست تقريرًا خبيرًا مستقلًا، وليست دليلًا تقنيًا قائمًا بذاته، بل جزء من بناء الحجة القانونية. ومن ثم فإن مشروعيتها ترتبط بمدى تحمل مقدمها لمسؤوليتها كاملة</w:t>
      </w:r>
      <w:r>
        <w:rPr>
          <w:rFonts w:asciiTheme="majorBidi" w:hAnsiTheme="majorBidi" w:cstheme="majorBidi"/>
          <w:sz w:val="24"/>
          <w:szCs w:val="24"/>
        </w:rPr>
        <w:t>.</w:t>
      </w:r>
    </w:p>
    <w:p w14:paraId="2FEE7885" w14:textId="77777777" w:rsidR="00624037" w:rsidRPr="00B4002A" w:rsidRDefault="00624037" w:rsidP="00624037">
      <w:pPr>
        <w:jc w:val="right"/>
        <w:rPr>
          <w:rFonts w:asciiTheme="majorBidi" w:hAnsiTheme="majorBidi" w:cstheme="majorBidi"/>
          <w:sz w:val="24"/>
          <w:szCs w:val="24"/>
          <w:rtl/>
        </w:rPr>
      </w:pPr>
    </w:p>
    <w:p w14:paraId="6A925F8E" w14:textId="77777777" w:rsidR="00624037" w:rsidRPr="00B4002A"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العلاقة بين الشفافية والمشروعية القضائية</w:t>
      </w:r>
    </w:p>
    <w:p w14:paraId="0C68C83F"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أكدت الهيئة السعودية للبيانات والذكاء الاصطناعي في وثيقة مبادئ أخلاقيات الذكاء الاصطناعي على مبدأ الشفافية وقابلية التفسير والمساءلة (الهيئة السعودية للبيانات والذكاء الاصطناعي، 2023)، كما شدد إطار تبني الذكاء الاصطناعي على ضرورة وضوح الأدوار والمسؤوليات (الهيئة السعودية للبيانات والذكاء الاصطناعي، 2024)</w:t>
      </w:r>
      <w:r>
        <w:rPr>
          <w:rStyle w:val="af"/>
          <w:rFonts w:asciiTheme="majorBidi" w:hAnsiTheme="majorBidi" w:cstheme="majorBidi"/>
          <w:sz w:val="24"/>
          <w:szCs w:val="24"/>
          <w:rtl/>
        </w:rPr>
        <w:footnoteReference w:id="210"/>
      </w:r>
      <w:r>
        <w:rPr>
          <w:rFonts w:asciiTheme="majorBidi" w:hAnsiTheme="majorBidi" w:cstheme="majorBidi"/>
          <w:sz w:val="24"/>
          <w:szCs w:val="24"/>
        </w:rPr>
        <w:t>.</w:t>
      </w:r>
    </w:p>
    <w:p w14:paraId="2AD6BD74"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سياق التقاضي، فإن هذه المبادئ لا تبقى مجرد إرشادات إدارية، بل تتحول إلى ضمانات إجرائية. فالمخرج الذي لا يمكن تفسيره أو تتبع أساسه قد يُضعف الثقة في العملية القضائية ذاتها</w:t>
      </w:r>
      <w:r>
        <w:rPr>
          <w:rFonts w:asciiTheme="majorBidi" w:hAnsiTheme="majorBidi" w:cstheme="majorBidi"/>
          <w:sz w:val="24"/>
          <w:szCs w:val="24"/>
        </w:rPr>
        <w:t>.</w:t>
      </w:r>
    </w:p>
    <w:p w14:paraId="0B2ED732" w14:textId="77777777" w:rsidR="00624037" w:rsidRPr="00B4002A"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مشروعية الاستخدام القضائي لا تنفصل عن الامتثال لمبادئ الحوكمة الوطنية</w:t>
      </w:r>
      <w:r>
        <w:rPr>
          <w:rFonts w:asciiTheme="majorBidi" w:hAnsiTheme="majorBidi" w:cstheme="majorBidi"/>
          <w:sz w:val="24"/>
          <w:szCs w:val="24"/>
        </w:rPr>
        <w:t>.</w:t>
      </w:r>
    </w:p>
    <w:p w14:paraId="1F025AA7" w14:textId="77777777" w:rsidR="00624037" w:rsidRPr="00B4002A"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مبدأ الشفافية في البيئة القضائية يتجاوز كونه مبدأ أخلاقيًا، ليصبح شرطًا إجرائيًا. فالمخرجات الذكية التي لا يمكن تفسيرها تفسيرًا معقولًا أمام المحكمة ينبغي التعامل معها بحذر شديد، وربما رفضها إذا تعارضت مع حق الدفاع</w:t>
      </w:r>
      <w:r>
        <w:rPr>
          <w:rFonts w:asciiTheme="majorBidi" w:hAnsiTheme="majorBidi" w:cstheme="majorBidi"/>
          <w:sz w:val="24"/>
          <w:szCs w:val="24"/>
        </w:rPr>
        <w:t>.</w:t>
      </w:r>
    </w:p>
    <w:p w14:paraId="385C8911"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المعايير العملية لقبول المخرجات الذكية أمام القضاء</w:t>
      </w:r>
    </w:p>
    <w:p w14:paraId="5103273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إذا كان الإطار النظري لمشروعية استخدام المخرجات الذكية أمام الجهات القضائية قد ارتبط بسلطة القاضي وضمانات المواجهة ووجوب الشفافية، فإن الانتقال إلى المستوى العملي يقتضي تحديد معايير يمكن من خلالها التمييز بين الاستخدام المشروع والاستخدام غير المشروع</w:t>
      </w:r>
      <w:r>
        <w:rPr>
          <w:rFonts w:asciiTheme="majorBidi" w:hAnsiTheme="majorBidi" w:cstheme="majorBidi"/>
          <w:sz w:val="24"/>
          <w:szCs w:val="24"/>
        </w:rPr>
        <w:t>.</w:t>
      </w:r>
    </w:p>
    <w:p w14:paraId="010370B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انطلاقًا من نظام الإثبات، فإن قبول أي وسيلة إثبات يخضع لمعيارين أساسيين</w:t>
      </w:r>
      <w:r>
        <w:rPr>
          <w:rFonts w:asciiTheme="majorBidi" w:hAnsiTheme="majorBidi" w:cstheme="majorBidi"/>
          <w:sz w:val="24"/>
          <w:szCs w:val="24"/>
        </w:rPr>
        <w:t>:</w:t>
      </w:r>
    </w:p>
    <w:p w14:paraId="7C082E96" w14:textId="77777777" w:rsidR="00624037" w:rsidRPr="002E352F" w:rsidRDefault="00624037">
      <w:pPr>
        <w:numPr>
          <w:ilvl w:val="0"/>
          <w:numId w:val="13"/>
        </w:numPr>
        <w:jc w:val="right"/>
        <w:rPr>
          <w:rFonts w:asciiTheme="majorBidi" w:hAnsiTheme="majorBidi" w:cstheme="majorBidi"/>
          <w:sz w:val="24"/>
          <w:szCs w:val="24"/>
        </w:rPr>
      </w:pPr>
      <w:r>
        <w:rPr>
          <w:rFonts w:asciiTheme="majorBidi" w:hAnsiTheme="majorBidi" w:cstheme="majorBidi"/>
          <w:sz w:val="24"/>
          <w:szCs w:val="24"/>
          <w:rtl/>
        </w:rPr>
        <w:t>سلامة النسبة وصحة المصدر</w:t>
      </w:r>
      <w:r>
        <w:rPr>
          <w:rFonts w:asciiTheme="majorBidi" w:hAnsiTheme="majorBidi" w:cstheme="majorBidi"/>
          <w:sz w:val="24"/>
          <w:szCs w:val="24"/>
        </w:rPr>
        <w:t>.</w:t>
      </w:r>
    </w:p>
    <w:p w14:paraId="60F03856" w14:textId="77777777" w:rsidR="00624037" w:rsidRPr="002E352F" w:rsidRDefault="00624037">
      <w:pPr>
        <w:numPr>
          <w:ilvl w:val="0"/>
          <w:numId w:val="13"/>
        </w:numPr>
        <w:jc w:val="right"/>
        <w:rPr>
          <w:rFonts w:asciiTheme="majorBidi" w:hAnsiTheme="majorBidi" w:cstheme="majorBidi"/>
          <w:sz w:val="24"/>
          <w:szCs w:val="24"/>
        </w:rPr>
      </w:pPr>
      <w:r>
        <w:rPr>
          <w:rFonts w:asciiTheme="majorBidi" w:hAnsiTheme="majorBidi" w:cstheme="majorBidi"/>
          <w:sz w:val="24"/>
          <w:szCs w:val="24"/>
          <w:rtl/>
        </w:rPr>
        <w:t>قدرة المحكمة على تقدير الدليل في ضوء ظروف الدعوى (هيئة الخبراء بمجلس الوزراء، 1443هـ)</w:t>
      </w:r>
      <w:r>
        <w:rPr>
          <w:rFonts w:asciiTheme="majorBidi" w:hAnsiTheme="majorBidi" w:cstheme="majorBidi"/>
          <w:sz w:val="24"/>
          <w:szCs w:val="24"/>
        </w:rPr>
        <w:t>.</w:t>
      </w:r>
    </w:p>
    <w:p w14:paraId="7AAE2CC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lastRenderedPageBreak/>
        <w:t>وبتطبيق هذين المعيارين على المخرجات الذكية، يمكن استخلاص ضوابط عملية أهمها</w:t>
      </w:r>
      <w:r>
        <w:rPr>
          <w:rFonts w:asciiTheme="majorBidi" w:hAnsiTheme="majorBidi" w:cstheme="majorBidi"/>
          <w:sz w:val="24"/>
          <w:szCs w:val="24"/>
        </w:rPr>
        <w:t>:</w:t>
      </w:r>
    </w:p>
    <w:p w14:paraId="06F7EF7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b/>
          <w:bCs/>
          <w:sz w:val="24"/>
          <w:szCs w:val="24"/>
          <w:rtl/>
        </w:rPr>
        <w:t>أولًا</w:t>
      </w:r>
      <w:r>
        <w:rPr>
          <w:rFonts w:asciiTheme="majorBidi" w:hAnsiTheme="majorBidi" w:cstheme="majorBidi"/>
          <w:sz w:val="24"/>
          <w:szCs w:val="24"/>
          <w:rtl/>
        </w:rPr>
        <w:t>: أن يكون المخرج صادرًا عن محامٍ تبناه صراحة وتحمل مسؤوليته المهنية، فلا يُقدَّم بوصفه منتجًا تقنيًا مستقلًا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ثانيًا</w:t>
      </w:r>
      <w:r>
        <w:rPr>
          <w:rFonts w:asciiTheme="majorBidi" w:hAnsiTheme="majorBidi" w:cstheme="majorBidi"/>
          <w:sz w:val="24"/>
          <w:szCs w:val="24"/>
          <w:rtl/>
        </w:rPr>
        <w:t>: أن يكون محتواه قابلاً للفحص والمناقشة، بحيث يستطيع الخصم تفكيك الأساس الذي بُني عليه</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ثالثًا</w:t>
      </w:r>
      <w:r>
        <w:rPr>
          <w:rFonts w:asciiTheme="majorBidi" w:hAnsiTheme="majorBidi" w:cstheme="majorBidi"/>
          <w:sz w:val="24"/>
          <w:szCs w:val="24"/>
          <w:rtl/>
        </w:rPr>
        <w:t>: ألا يتضمن ادعاءً بصفة “القطعية العلمية”، بل يُقدم ضمن إطار الاستدلال القانوني القابل للرد</w:t>
      </w:r>
      <w:r>
        <w:rPr>
          <w:rFonts w:asciiTheme="majorBidi" w:hAnsiTheme="majorBidi" w:cstheme="majorBidi"/>
          <w:sz w:val="24"/>
          <w:szCs w:val="24"/>
        </w:rPr>
        <w:t>.</w:t>
      </w:r>
    </w:p>
    <w:p w14:paraId="70A950F5"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أكد جانب من الفقه أن المسؤولية القانونية عن أفعال الذكاء الاصطناعي لا تعفي المستخدم من واجب التحقق، بل قد تشدد معيار العناية المهنية في بعض الحالات</w:t>
      </w:r>
      <w:r>
        <w:rPr>
          <w:rStyle w:val="af"/>
          <w:rFonts w:asciiTheme="majorBidi" w:hAnsiTheme="majorBidi" w:cstheme="majorBidi"/>
          <w:sz w:val="24"/>
          <w:szCs w:val="24"/>
          <w:rtl/>
        </w:rPr>
        <w:footnoteReference w:id="211"/>
      </w:r>
      <w:r>
        <w:rPr>
          <w:rFonts w:asciiTheme="majorBidi" w:hAnsiTheme="majorBidi" w:cstheme="majorBidi"/>
          <w:sz w:val="24"/>
          <w:szCs w:val="24"/>
          <w:rtl/>
        </w:rPr>
        <w:t>. وهذا التشديد ينعكس في البيئة القضائية على مستوى تقديم المذكرات أو التقارير</w:t>
      </w:r>
      <w:r>
        <w:rPr>
          <w:rFonts w:asciiTheme="majorBidi" w:hAnsiTheme="majorBidi" w:cstheme="majorBidi"/>
          <w:sz w:val="24"/>
          <w:szCs w:val="24"/>
        </w:rPr>
        <w:t>.</w:t>
      </w:r>
    </w:p>
    <w:p w14:paraId="2A93CCD4" w14:textId="77777777" w:rsidR="00624037" w:rsidRPr="002E352F" w:rsidRDefault="00AC4E6B"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المعيار العملي الأهم هو بقاء “القابلية للنقاش”. فإذا كان المخرج لا يسمح بالمناقشة التفصيلية، أو إذا كان يعتمد على معالجة لا يمكن توضيحها، فإن قبوله أمام القضاء يهدد مبدأ المواجهة. ومن ثم فإن قابلية الشرح ليست ترفًا تقنيًا، بل شرطًا جوهريًا للمشروعية</w:t>
      </w:r>
      <w:r>
        <w:rPr>
          <w:rFonts w:asciiTheme="majorBidi" w:hAnsiTheme="majorBidi" w:cstheme="majorBidi"/>
          <w:sz w:val="24"/>
          <w:szCs w:val="24"/>
        </w:rPr>
        <w:t>.</w:t>
      </w:r>
    </w:p>
    <w:p w14:paraId="0325A461" w14:textId="77777777" w:rsidR="00624037" w:rsidRPr="002E352F" w:rsidRDefault="00624037" w:rsidP="00624037">
      <w:pPr>
        <w:jc w:val="right"/>
        <w:rPr>
          <w:rFonts w:asciiTheme="majorBidi" w:hAnsiTheme="majorBidi" w:cstheme="majorBidi"/>
          <w:sz w:val="24"/>
          <w:szCs w:val="24"/>
        </w:rPr>
      </w:pPr>
    </w:p>
    <w:p w14:paraId="561FDC07"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التفرقة بين القضاء المدني والقضاء الجزائي</w:t>
      </w:r>
    </w:p>
    <w:p w14:paraId="1F48DAA1"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تختلف طبيعة الإثبات بين المجال المدني والجزائي، وهو ما يؤثر مباشرة في تقييم مشروعية استخدام المخرجات الذكية</w:t>
      </w:r>
      <w:r>
        <w:rPr>
          <w:rFonts w:asciiTheme="majorBidi" w:hAnsiTheme="majorBidi" w:cstheme="majorBidi"/>
          <w:sz w:val="24"/>
          <w:szCs w:val="24"/>
        </w:rPr>
        <w:t>.</w:t>
      </w:r>
    </w:p>
    <w:p w14:paraId="48F8140D"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في المجال المدني، يقوم الإثبات في الأصل على مبدأ حرية الإثبات ما لم يرد نص خاص، ويُترك للقاضي تقدير الدليل في ضوء ظروف الدعوى (هيئة الخبراء بمجلس الوزراء، 1443هـ)</w:t>
      </w:r>
      <w:r>
        <w:rPr>
          <w:rStyle w:val="af"/>
          <w:rFonts w:asciiTheme="majorBidi" w:hAnsiTheme="majorBidi" w:cstheme="majorBidi"/>
          <w:sz w:val="24"/>
          <w:szCs w:val="24"/>
          <w:rtl/>
        </w:rPr>
        <w:footnoteReference w:id="212"/>
      </w:r>
      <w:r>
        <w:rPr>
          <w:rFonts w:asciiTheme="majorBidi" w:hAnsiTheme="majorBidi" w:cstheme="majorBidi"/>
          <w:sz w:val="24"/>
          <w:szCs w:val="24"/>
          <w:rtl/>
        </w:rPr>
        <w:t>. ومن ثم فإن تقديم تحليل مدعوم بالذكاء الاصطناعي في نزاع تجاري أو مدني قد يكون مقبولًا بوصفه عنصرًا استرشاديًا، ما دام لا يخل بحقوق الخصوم</w:t>
      </w:r>
      <w:r>
        <w:rPr>
          <w:rFonts w:asciiTheme="majorBidi" w:hAnsiTheme="majorBidi" w:cstheme="majorBidi"/>
          <w:sz w:val="24"/>
          <w:szCs w:val="24"/>
        </w:rPr>
        <w:t>.</w:t>
      </w:r>
    </w:p>
    <w:p w14:paraId="70260E16"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أما في المجال الجزائي، فإن معايير الإثبات أكثر تشددًا، ويغلب عليها مبدأ الاقتناع القضائي المبني على أدلة قاطعة أو قوية، مع مراعاة</w:t>
      </w:r>
      <w:r>
        <w:rPr>
          <w:rFonts w:asciiTheme="majorBidi" w:hAnsiTheme="majorBidi" w:cstheme="majorBidi"/>
          <w:sz w:val="24"/>
          <w:szCs w:val="24"/>
        </w:rPr>
        <w:t xml:space="preserve"> </w:t>
      </w:r>
      <w:r>
        <w:rPr>
          <w:rFonts w:asciiTheme="majorBidi" w:hAnsiTheme="majorBidi" w:cstheme="majorBidi"/>
          <w:sz w:val="24"/>
          <w:szCs w:val="24"/>
          <w:rtl/>
        </w:rPr>
        <w:t>(هيئة الخبراء بمجلس الوزراء، 1435هـ – نظام الإجراءات الجزائية). وفي هذا السياق، فإن استخدام أدوات تنبؤية أو تحليل احتمالي قد يثير إشكالات أعمق تتعلق بقرينة البراءة</w:t>
      </w:r>
      <w:r>
        <w:rPr>
          <w:rFonts w:asciiTheme="majorBidi" w:hAnsiTheme="majorBidi" w:cstheme="majorBidi"/>
          <w:sz w:val="24"/>
          <w:szCs w:val="24"/>
        </w:rPr>
        <w:t>.</w:t>
      </w:r>
    </w:p>
    <w:p w14:paraId="7EF75A40"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وقد أشار جانب من الفقه</w:t>
      </w:r>
      <w:r>
        <w:rPr>
          <w:rStyle w:val="af"/>
          <w:rFonts w:asciiTheme="majorBidi" w:hAnsiTheme="majorBidi" w:cstheme="majorBidi"/>
          <w:sz w:val="24"/>
          <w:szCs w:val="24"/>
          <w:rtl/>
        </w:rPr>
        <w:footnoteReference w:id="213"/>
      </w:r>
      <w:r>
        <w:rPr>
          <w:rFonts w:asciiTheme="majorBidi" w:hAnsiTheme="majorBidi" w:cstheme="majorBidi"/>
          <w:sz w:val="24"/>
          <w:szCs w:val="24"/>
          <w:rtl/>
        </w:rPr>
        <w:t xml:space="preserve"> في دراسته حول الذكاء الاصطناعي ومكافحة الجريمة الإلكترونية إلى أن الاعتماد على أدوات تحليلية في المجال الجنائي يجب أن يكون محاطًا بضمانات دقيقة، منعًا لتحول التحليل الاحتمالي إلى بديل عن الإثبات المباشر</w:t>
      </w:r>
      <w:r>
        <w:rPr>
          <w:rFonts w:asciiTheme="majorBidi" w:hAnsiTheme="majorBidi" w:cstheme="majorBidi"/>
          <w:sz w:val="24"/>
          <w:szCs w:val="24"/>
        </w:rPr>
        <w:t>.</w:t>
      </w:r>
    </w:p>
    <w:p w14:paraId="724E379E" w14:textId="77777777" w:rsidR="00D57654" w:rsidRDefault="00C702A9" w:rsidP="00A83851">
      <w:pPr>
        <w:jc w:val="right"/>
        <w:rPr>
          <w:rFonts w:asciiTheme="majorBidi" w:hAnsiTheme="majorBidi" w:cstheme="majorBidi"/>
          <w:sz w:val="24"/>
          <w:szCs w:val="24"/>
          <w:rtl/>
        </w:rPr>
      </w:pPr>
      <w:r>
        <w:rPr>
          <w:rFonts w:asciiTheme="majorBidi" w:hAnsiTheme="majorBidi" w:cstheme="majorBidi"/>
          <w:sz w:val="24"/>
          <w:szCs w:val="24"/>
          <w:rtl/>
        </w:rPr>
        <w:t>وفي إطار مقارن موسَّع، رصدت بعض الدراسات الفوارق الجوهرية بين التجربتين الأوروبية والسعودية في تنظيم الذكاء الاصطناعي، وأكدت أن النموذج السعودي يتميز بمرونة تنظيمية أعلى ولكنه يفتقر إلى آليات إنفاذ فعّالة لضمان الامتثال لمتطلبات أخلاقيات الذكاء الاصطناعي داخل المكاتب المهنية.</w:t>
      </w:r>
      <w:r>
        <w:rPr>
          <w:rtl/>
        </w:rPr>
        <w:footnoteReference w:id="214"/>
      </w:r>
    </w:p>
    <w:p w14:paraId="3DB897AB"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نطاق المشروعية في المجال المدني أوسع منه في المجال الجزائي. ففي القضايا المدنية يمكن قبول المخرجات الذكية ضمن إطار الاستدلال والموازنة، أما في القضايا الجزائية فيجب أن يظل استخدامها محدودًا للغاية، وألا يُبنى عليه حكم بالإدانة دون أدلة مستقلة تدعمه</w:t>
      </w:r>
      <w:r>
        <w:rPr>
          <w:rFonts w:asciiTheme="majorBidi" w:hAnsiTheme="majorBidi" w:cstheme="majorBidi"/>
          <w:sz w:val="24"/>
          <w:szCs w:val="24"/>
        </w:rPr>
        <w:t>.</w:t>
      </w:r>
    </w:p>
    <w:p w14:paraId="6D9F4AEB" w14:textId="77777777" w:rsidR="00D57654" w:rsidRDefault="00C702A9" w:rsidP="00BB08F4">
      <w:pPr>
        <w:jc w:val="right"/>
        <w:rPr>
          <w:rFonts w:asciiTheme="majorBidi" w:hAnsiTheme="majorBidi" w:cstheme="majorBidi"/>
          <w:sz w:val="24"/>
          <w:szCs w:val="24"/>
          <w:rtl/>
        </w:rPr>
      </w:pPr>
      <w:r>
        <w:rPr>
          <w:rFonts w:asciiTheme="majorBidi" w:hAnsiTheme="majorBidi" w:cstheme="majorBidi"/>
          <w:sz w:val="24"/>
          <w:szCs w:val="24"/>
          <w:rtl/>
        </w:rPr>
        <w:lastRenderedPageBreak/>
        <w:t>وتتوافق هذه الرؤية مع ما انتهت إليه دراسة جانب من الفقه من أن المجال المدني يتيح هامشًا أوسع لاستخدام مخرجات الذكاء الاصطناعي مقارنةً بالمجال الجزائي، نظرًا لاشتراط درجات إثبات مختلفة في كل منهما، مما يعني وجود ضوابط أكثر صرامة على توظيف الأنظمة الذكية في مسائل الاتهام والعقوبة.</w:t>
      </w:r>
      <w:r>
        <w:rPr>
          <w:rtl/>
        </w:rPr>
        <w:footnoteReference w:id="215"/>
      </w:r>
    </w:p>
    <w:p w14:paraId="130A045F" w14:textId="77777777" w:rsidR="00624037" w:rsidRPr="002E352F" w:rsidRDefault="00624037" w:rsidP="00624037">
      <w:pPr>
        <w:jc w:val="right"/>
        <w:rPr>
          <w:rFonts w:asciiTheme="majorBidi" w:hAnsiTheme="majorBidi" w:cstheme="majorBidi"/>
          <w:sz w:val="24"/>
          <w:szCs w:val="24"/>
        </w:rPr>
      </w:pPr>
    </w:p>
    <w:p w14:paraId="025672AD"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حدود استخدامها في المسائل التقديرية</w:t>
      </w:r>
    </w:p>
    <w:p w14:paraId="497A193C" w14:textId="77777777" w:rsidR="00D57654" w:rsidRDefault="00C702A9" w:rsidP="00BB08F4">
      <w:pPr>
        <w:jc w:val="right"/>
        <w:rPr>
          <w:rFonts w:asciiTheme="majorBidi" w:hAnsiTheme="majorBidi" w:cstheme="majorBidi"/>
          <w:sz w:val="24"/>
          <w:szCs w:val="24"/>
          <w:rtl/>
        </w:rPr>
      </w:pPr>
      <w:r>
        <w:rPr>
          <w:rFonts w:asciiTheme="majorBidi" w:hAnsiTheme="majorBidi" w:cstheme="majorBidi"/>
          <w:sz w:val="24"/>
          <w:szCs w:val="24"/>
          <w:rtl/>
        </w:rPr>
        <w:t>وفيما يتعلق بحدود استخدام الذكاء الاصطناعي في المسائل التقديرية، أكد جانب من الفقه أن حدود الاستخدام المشروع ترتبط ارتباطاً وثيقاً بمدى إمكانية العزو والتفسير؛ فالنظام الذكي الذي لا يمكن تفسير آلية وصوله إلى توصيته يُشكّل خطراً جوهرياً في المسائل التقديرية التي تتطلب من القاضي أو المحامي تبرير المنطق الذي استند إليه.</w:t>
      </w:r>
      <w:r>
        <w:rPr>
          <w:rtl/>
        </w:rPr>
        <w:footnoteReference w:id="216"/>
      </w:r>
    </w:p>
    <w:p w14:paraId="6C26EA17" w14:textId="77777777" w:rsidR="00D57654" w:rsidRDefault="00C702A9" w:rsidP="00BB08F4">
      <w:pPr>
        <w:jc w:val="right"/>
        <w:rPr>
          <w:rFonts w:asciiTheme="majorBidi" w:hAnsiTheme="majorBidi" w:cstheme="majorBidi"/>
          <w:sz w:val="24"/>
          <w:szCs w:val="24"/>
          <w:rtl/>
        </w:rPr>
      </w:pPr>
      <w:r>
        <w:rPr>
          <w:rFonts w:asciiTheme="majorBidi" w:hAnsiTheme="majorBidi" w:cstheme="majorBidi"/>
          <w:sz w:val="24"/>
          <w:szCs w:val="24"/>
          <w:rtl/>
        </w:rPr>
        <w:t>وفيما يتعلق بحدود استخدام الذكاء الاصطناعي في المسائل التقديرية، استقر رأي الجلعود على أن ثمة فئتين من القرارات ينبغي أن تظلا حكراً على الذكاء الإنساني: الأولى قرارات تقدير الدليل ووزنه، والثانية قرارات تكييف الوقائع ومطابقتها بالنصوص النظامية، لأن هذين النوعين ينطويان على بُعد أخلاقي واجتهادي لا تستطيع الخوارزمية الإحاطة به.</w:t>
      </w:r>
      <w:r>
        <w:rPr>
          <w:rtl/>
        </w:rPr>
        <w:footnoteReference w:id="217"/>
      </w:r>
    </w:p>
    <w:p w14:paraId="2BEF564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المسائل الدقيقة مسألة استخدام المخرجات الذكية في القضايا التي تقوم على تقدير شخصي أو موازنة قيمية، مثل تقدير التعويض، أو تقدير مدى توافر حسن النية، أو تفسير نية المتعاقدين</w:t>
      </w:r>
      <w:r>
        <w:rPr>
          <w:rFonts w:asciiTheme="majorBidi" w:hAnsiTheme="majorBidi" w:cstheme="majorBidi"/>
          <w:sz w:val="24"/>
          <w:szCs w:val="24"/>
        </w:rPr>
        <w:t>.</w:t>
      </w:r>
    </w:p>
    <w:p w14:paraId="17CE17F2"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فهذه المسائل بطبيعتها لا تخضع لحساب رياضي، بل تتطلب تقديرًا إنسانيًا يستند إلى فهم السياق والملابسات. وقد قرر نظام المعاملات المدنية أن تفسير العقود يتم وفقًا للنية المشتركة للمتعاقدين، لا بالوقوف عند ظاهر الألفاظ فحسب (هيئة الخبراء بمجلس الوزراء، 1445هـ). وهذا التفسير يتطلب قراءة سياقية لا يمكن اختزالها في تحليل بيانات</w:t>
      </w:r>
      <w:r>
        <w:rPr>
          <w:rFonts w:asciiTheme="majorBidi" w:hAnsiTheme="majorBidi" w:cstheme="majorBidi"/>
          <w:sz w:val="24"/>
          <w:szCs w:val="24"/>
        </w:rPr>
        <w:t>.</w:t>
      </w:r>
    </w:p>
    <w:p w14:paraId="5879683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ومن ثم فإن تقديم تحليل خوارزمي لتحديد “المعنى الأرجح” قد يكون مساعدًا، لكنه لا يمكن أن يحل محل الاجتهاد القضائي في تفسير الإرادة</w:t>
      </w:r>
      <w:r>
        <w:rPr>
          <w:rFonts w:asciiTheme="majorBidi" w:hAnsiTheme="majorBidi" w:cstheme="majorBidi"/>
          <w:sz w:val="24"/>
          <w:szCs w:val="24"/>
        </w:rPr>
        <w:t>.</w:t>
      </w:r>
    </w:p>
    <w:p w14:paraId="449F125E"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المخرجات الذكية يجب أن تبقى في دائرة المسائل القابلة للتحليل الموضوعي، لا أن تمتد إلى المجالات التقديرية الخالصة. فالقضاء في هذه المسائل يستند إلى تقدير إنساني مركب لا يمكن استبداله بخوارزمية، مهما بلغت درجة تطورها</w:t>
      </w:r>
      <w:r>
        <w:rPr>
          <w:rFonts w:asciiTheme="majorBidi" w:hAnsiTheme="majorBidi" w:cstheme="majorBidi"/>
          <w:sz w:val="24"/>
          <w:szCs w:val="24"/>
        </w:rPr>
        <w:t>.</w:t>
      </w:r>
    </w:p>
    <w:p w14:paraId="25906F93" w14:textId="77777777" w:rsidR="00624037" w:rsidRPr="002E352F" w:rsidRDefault="00624037" w:rsidP="00624037">
      <w:pPr>
        <w:jc w:val="right"/>
        <w:rPr>
          <w:rFonts w:asciiTheme="majorBidi" w:hAnsiTheme="majorBidi" w:cstheme="majorBidi"/>
          <w:sz w:val="24"/>
          <w:szCs w:val="24"/>
          <w:rtl/>
        </w:rPr>
      </w:pPr>
    </w:p>
    <w:p w14:paraId="3115228F"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التمهيد للبعد المقارن: لماذا نحتاج إلى التجارب الدولية؟</w:t>
      </w:r>
    </w:p>
    <w:p w14:paraId="12DB9EB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إن إدخال عنصر المقارنة في هذا المطلب لا يهدف إلى استيراد حلول جاهزة، بل إلى فهم الاتجاهات التنظيمية التي سعت إلى معالجة التحديات ذاتها. فالتجارب الدولية تقدم مؤشرات على كيفية التوفيق بين التطور التقني وضمانات العدالة</w:t>
      </w:r>
      <w:r>
        <w:rPr>
          <w:rFonts w:asciiTheme="majorBidi" w:hAnsiTheme="majorBidi" w:cstheme="majorBidi"/>
          <w:sz w:val="24"/>
          <w:szCs w:val="24"/>
        </w:rPr>
        <w:t>.</w:t>
      </w:r>
    </w:p>
    <w:p w14:paraId="0E64B95C"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اتجه التنظيم الأوروبي في قانون الذكاء الاصطناعي</w:t>
      </w:r>
      <w:r>
        <w:rPr>
          <w:rFonts w:asciiTheme="majorBidi" w:hAnsiTheme="majorBidi" w:cstheme="majorBidi"/>
          <w:sz w:val="24"/>
          <w:szCs w:val="24"/>
        </w:rPr>
        <w:t xml:space="preserve"> (AI Act) </w:t>
      </w:r>
      <w:r>
        <w:rPr>
          <w:rFonts w:asciiTheme="majorBidi" w:hAnsiTheme="majorBidi" w:cstheme="majorBidi"/>
          <w:sz w:val="24"/>
          <w:szCs w:val="24"/>
          <w:rtl/>
        </w:rPr>
        <w:t xml:space="preserve">إلى تصنيف بعض أنظمة الذكاء الاصطناعي المستخدمة في المجال القضائي ضمن فئة “الأنظمة عالية المخاطر”، وفرض عليها متطلبات تتعلق </w:t>
      </w:r>
      <w:r>
        <w:rPr>
          <w:rFonts w:asciiTheme="majorBidi" w:hAnsiTheme="majorBidi" w:cstheme="majorBidi"/>
          <w:sz w:val="24"/>
          <w:szCs w:val="24"/>
          <w:rtl/>
        </w:rPr>
        <w:lastRenderedPageBreak/>
        <w:t>بإدارة المخاطر والشفافية والإشراف البشري</w:t>
      </w:r>
      <w:r>
        <w:rPr>
          <w:rFonts w:asciiTheme="majorBidi" w:hAnsiTheme="majorBidi" w:cstheme="majorBidi"/>
          <w:sz w:val="24"/>
          <w:szCs w:val="24"/>
        </w:rPr>
        <w:t xml:space="preserve"> (European Parliament &amp; Council of the European Union, 2024). </w:t>
      </w:r>
      <w:r>
        <w:rPr>
          <w:rFonts w:asciiTheme="majorBidi" w:hAnsiTheme="majorBidi" w:cstheme="majorBidi"/>
          <w:sz w:val="24"/>
          <w:szCs w:val="24"/>
          <w:rtl/>
        </w:rPr>
        <w:t>ويعكس هذا الاتجاه اعترافًا بحساسية البيئة القضائية، وضرورة وضع ضوابط خاصة لاستخدام التقنية فيها</w:t>
      </w:r>
      <w:r>
        <w:rPr>
          <w:rFonts w:asciiTheme="majorBidi" w:hAnsiTheme="majorBidi" w:cstheme="majorBidi"/>
          <w:sz w:val="24"/>
          <w:szCs w:val="24"/>
        </w:rPr>
        <w:t>.</w:t>
      </w:r>
    </w:p>
    <w:p w14:paraId="4927C0F5" w14:textId="77777777" w:rsidR="00624037" w:rsidRPr="002E352F" w:rsidRDefault="00624037" w:rsidP="00A83851">
      <w:pPr>
        <w:jc w:val="right"/>
        <w:rPr>
          <w:rFonts w:asciiTheme="majorBidi" w:hAnsiTheme="majorBidi" w:cstheme="majorBidi"/>
          <w:sz w:val="24"/>
          <w:szCs w:val="24"/>
        </w:rPr>
      </w:pPr>
      <w:r>
        <w:rPr>
          <w:rFonts w:asciiTheme="majorBidi" w:hAnsiTheme="majorBidi" w:cstheme="majorBidi"/>
          <w:sz w:val="24"/>
          <w:szCs w:val="24"/>
          <w:rtl/>
        </w:rPr>
        <w:t>غير أن البيئة النظامية السعودية تختلف في بنيتها عن بعض الأنظمة المقارنة، خاصة في مسألة عدم وجود نظام سوابق ملزمة، وفي مركزية سلطة القاضي في تكوين قناعته. ومن ثم فإن المقارنة ينبغي أن تكون استرشادية لا إحلالية</w:t>
      </w:r>
      <w:r>
        <w:rPr>
          <w:rFonts w:asciiTheme="majorBidi" w:hAnsiTheme="majorBidi" w:cstheme="majorBidi"/>
          <w:sz w:val="24"/>
          <w:szCs w:val="24"/>
        </w:rPr>
        <w:t>.</w:t>
      </w:r>
    </w:p>
    <w:p w14:paraId="15225C3C" w14:textId="77777777" w:rsidR="00D57654" w:rsidRDefault="00C702A9" w:rsidP="00A83851">
      <w:pPr>
        <w:jc w:val="right"/>
        <w:rPr>
          <w:rFonts w:asciiTheme="majorBidi" w:hAnsiTheme="majorBidi" w:cstheme="majorBidi"/>
          <w:sz w:val="24"/>
          <w:szCs w:val="24"/>
          <w:rtl/>
        </w:rPr>
      </w:pPr>
      <w:r>
        <w:rPr>
          <w:rFonts w:asciiTheme="majorBidi" w:hAnsiTheme="majorBidi" w:cstheme="majorBidi"/>
          <w:sz w:val="24"/>
          <w:szCs w:val="24"/>
          <w:rtl/>
        </w:rPr>
        <w:t>وعلى الصعيد الجزائي، رأى العطار والنوايسة أن غياب السوابق الملزمة في المسائل الجزائية المرتبطة بالذكاء الاصطناعي يُفضي إلى إشكالية مضاعفة تتمثل في تباين الأحكام؛ فقد تُعامَل الجريمة الواحدة معاملات مختلفة من دائرة لأخرى تبعاً لاجتهاد القاضي في تطبيق النصوص العامة، وهو ما يمس مبدأ المساواة أمام القانون ويُثير تساؤلات جوهرية حول العدالة التوزيعية في القضاء الجنائي.</w:t>
      </w:r>
      <w:r>
        <w:rPr>
          <w:rtl/>
        </w:rPr>
        <w:footnoteReference w:id="218"/>
      </w:r>
    </w:p>
    <w:p w14:paraId="62392C7B" w14:textId="77777777" w:rsidR="00D57654" w:rsidRDefault="00C702A9" w:rsidP="00A83851">
      <w:pPr>
        <w:jc w:val="right"/>
        <w:rPr>
          <w:rFonts w:asciiTheme="majorBidi" w:hAnsiTheme="majorBidi" w:cstheme="majorBidi"/>
          <w:sz w:val="24"/>
          <w:szCs w:val="24"/>
          <w:rtl/>
        </w:rPr>
      </w:pPr>
      <w:r>
        <w:rPr>
          <w:rFonts w:asciiTheme="majorBidi" w:hAnsiTheme="majorBidi" w:cstheme="majorBidi"/>
          <w:sz w:val="24"/>
          <w:szCs w:val="24"/>
          <w:rtl/>
        </w:rPr>
        <w:t>وفي ضوء غياب نظام السوابق الملزمة في منظومة التقاضي السعودي، أكد جانب من الفقه أن هذا الغياب يزداد أثره السلبي في القضايا التقنية الناشئة، مقترحَين إنشاء دليل إرشادي قضائي وطني يتضمن التوجيهات الشرعية والنظامية التي تُرشد القضاة في التعامل مع الحجج والأدلة المعتمدة على الذكاء الاصطناعي، دون أن يصل إلى مستوى السابقة الملزمة التي قد تتعارض مع خصائص المنظومة القضائية السعودية.</w:t>
      </w:r>
      <w:r>
        <w:rPr>
          <w:rtl/>
        </w:rPr>
        <w:footnoteReference w:id="219"/>
      </w:r>
    </w:p>
    <w:p w14:paraId="466C5DD9" w14:textId="77777777" w:rsidR="00D57654" w:rsidRDefault="00C702A9" w:rsidP="00A83851">
      <w:pPr>
        <w:jc w:val="right"/>
        <w:rPr>
          <w:rFonts w:asciiTheme="majorBidi" w:hAnsiTheme="majorBidi" w:cstheme="majorBidi"/>
          <w:sz w:val="24"/>
          <w:szCs w:val="24"/>
          <w:rtl/>
        </w:rPr>
      </w:pPr>
      <w:r>
        <w:rPr>
          <w:rFonts w:asciiTheme="majorBidi" w:hAnsiTheme="majorBidi" w:cstheme="majorBidi"/>
          <w:sz w:val="24"/>
          <w:szCs w:val="24"/>
          <w:rtl/>
        </w:rPr>
        <w:t>وفيما يتعلق بمسألة عدم وجود نظام سوابق قضائية ملزمة في المنظومة القضائية السعودية، أفاد جانب من الفقه بأن هذا الغياب يتضاعف أثره السلبي في المسائل التقنية الناشئة كالذكاء الاصطناعي؛ إذ يُفضي إلى تباين في المعالجة القضائية من دائرة إلى أخرى، وهو ما يمس مبدأ المساواة أمام القضاء ومبدأ اليقين القانوني اللذَين تؤكد عليهما نظرية التقاضي العادل.</w:t>
      </w:r>
      <w:r>
        <w:rPr>
          <w:rtl/>
        </w:rPr>
        <w:footnoteReference w:id="220"/>
      </w:r>
    </w:p>
    <w:p w14:paraId="46592EA4" w14:textId="77777777" w:rsidR="00624037" w:rsidRPr="002E352F" w:rsidRDefault="001C2B27" w:rsidP="00A83851">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الاستفادة من التجارب الدولية يجب أن تكون انتقائية، تركز على المبادئ العامة مثل الشفافية والإشراف البشري وإدارة المخاطر، دون نقل آليات تنظيمية قد لا تتسق مع خصوصية النظام السعودي</w:t>
      </w:r>
      <w:r>
        <w:rPr>
          <w:rFonts w:asciiTheme="majorBidi" w:hAnsiTheme="majorBidi" w:cstheme="majorBidi"/>
          <w:sz w:val="24"/>
          <w:szCs w:val="24"/>
        </w:rPr>
        <w:t>.</w:t>
      </w:r>
    </w:p>
    <w:p w14:paraId="665F1720" w14:textId="77777777" w:rsidR="00624037" w:rsidRDefault="00624037" w:rsidP="00624037">
      <w:pPr>
        <w:jc w:val="right"/>
        <w:rPr>
          <w:rFonts w:asciiTheme="majorBidi" w:hAnsiTheme="majorBidi" w:cstheme="majorBidi"/>
          <w:sz w:val="24"/>
          <w:szCs w:val="24"/>
        </w:rPr>
      </w:pPr>
    </w:p>
    <w:p w14:paraId="690726C0"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التجارب الدولية في تنظيم استخدام المخرجات الذكية أمام القضاء</w:t>
      </w:r>
    </w:p>
    <w:p w14:paraId="526684D1"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أولًا: التجربة الأوروبية – تنظيم المخاطر بدل حظر التقنية</w:t>
      </w:r>
    </w:p>
    <w:p w14:paraId="4202237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يُعد قانون الذكاء الاصطناعي الصادر عن الاتحاد الأوروبي</w:t>
      </w:r>
      <w:r>
        <w:rPr>
          <w:rFonts w:asciiTheme="majorBidi" w:hAnsiTheme="majorBidi" w:cstheme="majorBidi"/>
          <w:sz w:val="24"/>
          <w:szCs w:val="24"/>
        </w:rPr>
        <w:t xml:space="preserve"> (AI Act) </w:t>
      </w:r>
      <w:r>
        <w:rPr>
          <w:rFonts w:asciiTheme="majorBidi" w:hAnsiTheme="majorBidi" w:cstheme="majorBidi"/>
          <w:sz w:val="24"/>
          <w:szCs w:val="24"/>
          <w:rtl/>
        </w:rPr>
        <w:t>من أوائل التشريعات الشاملة التي تناولت استخدام أنظمة الذكاء الاصطناعي في القطاعات الحساسة، ومن بينها المجال القضائي. وقد تبنى المشرّع الأوروبي منهج “تصنيف المخاطر”، حيث قسّم الأنظمة إلى مستويات مختلفة بحسب خطورتها، واعتبر بعض التطبيقات المستخدمة في سياق العدالة أو إنفاذ القانون ضمن فئة “الأنظمة عالية المخاطر</w:t>
      </w:r>
      <w:r>
        <w:rPr>
          <w:rFonts w:asciiTheme="majorBidi" w:hAnsiTheme="majorBidi" w:cstheme="majorBidi"/>
          <w:sz w:val="24"/>
          <w:szCs w:val="24"/>
        </w:rPr>
        <w:t>” (European Parliament &amp; Council of the European Union, 2024).</w:t>
      </w:r>
    </w:p>
    <w:p w14:paraId="67164D89"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ويترتب على هذا التصنيف فرض التزامات إضافية، من أهمها</w:t>
      </w:r>
      <w:r>
        <w:rPr>
          <w:rFonts w:asciiTheme="majorBidi" w:hAnsiTheme="majorBidi" w:cstheme="majorBidi"/>
          <w:sz w:val="24"/>
          <w:szCs w:val="24"/>
        </w:rPr>
        <w:t>:</w:t>
      </w:r>
    </w:p>
    <w:p w14:paraId="5DA97668"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وجود إشراف بشري فعّال</w:t>
      </w:r>
      <w:r>
        <w:rPr>
          <w:rFonts w:asciiTheme="majorBidi" w:hAnsiTheme="majorBidi" w:cstheme="majorBidi"/>
          <w:sz w:val="24"/>
          <w:szCs w:val="24"/>
        </w:rPr>
        <w:t>.</w:t>
      </w:r>
    </w:p>
    <w:p w14:paraId="4930545D"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lastRenderedPageBreak/>
        <w:t>ضمان جودة البيانات المستخدمة في التدريب</w:t>
      </w:r>
      <w:r>
        <w:rPr>
          <w:rFonts w:asciiTheme="majorBidi" w:hAnsiTheme="majorBidi" w:cstheme="majorBidi"/>
          <w:sz w:val="24"/>
          <w:szCs w:val="24"/>
        </w:rPr>
        <w:t>.</w:t>
      </w:r>
    </w:p>
    <w:p w14:paraId="5E2152CB"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توثيق آلية عمل النظام</w:t>
      </w:r>
      <w:r>
        <w:rPr>
          <w:rFonts w:asciiTheme="majorBidi" w:hAnsiTheme="majorBidi" w:cstheme="majorBidi"/>
          <w:sz w:val="24"/>
          <w:szCs w:val="24"/>
        </w:rPr>
        <w:t>.</w:t>
      </w:r>
    </w:p>
    <w:p w14:paraId="3F721BE0" w14:textId="77777777" w:rsidR="00624037" w:rsidRPr="002E352F" w:rsidRDefault="00624037">
      <w:pPr>
        <w:numPr>
          <w:ilvl w:val="0"/>
          <w:numId w:val="14"/>
        </w:numPr>
        <w:jc w:val="right"/>
        <w:rPr>
          <w:rFonts w:asciiTheme="majorBidi" w:hAnsiTheme="majorBidi" w:cstheme="majorBidi"/>
          <w:sz w:val="24"/>
          <w:szCs w:val="24"/>
        </w:rPr>
      </w:pPr>
      <w:r>
        <w:rPr>
          <w:rFonts w:asciiTheme="majorBidi" w:hAnsiTheme="majorBidi" w:cstheme="majorBidi"/>
          <w:sz w:val="24"/>
          <w:szCs w:val="24"/>
          <w:rtl/>
        </w:rPr>
        <w:t>تمكين الأطراف من الطعن في النتائج الآلية</w:t>
      </w:r>
      <w:r>
        <w:rPr>
          <w:rFonts w:asciiTheme="majorBidi" w:hAnsiTheme="majorBidi" w:cstheme="majorBidi"/>
          <w:sz w:val="24"/>
          <w:szCs w:val="24"/>
        </w:rPr>
        <w:t>.</w:t>
      </w:r>
    </w:p>
    <w:p w14:paraId="17A429F5"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ويلاحظ أن التشريع الأوروبي لم يحظر استخدام الذكاء الاصطناعي في المجال القضائي، بل اشترط خضوعه لضوابط مشددة. وهذا يعكس فلسفة تنظيمية تقوم على إدارة المخاطر لا منع الابتكار</w:t>
      </w:r>
      <w:r>
        <w:rPr>
          <w:rFonts w:asciiTheme="majorBidi" w:hAnsiTheme="majorBidi" w:cstheme="majorBidi"/>
          <w:sz w:val="24"/>
          <w:szCs w:val="24"/>
        </w:rPr>
        <w:t>.</w:t>
      </w:r>
    </w:p>
    <w:p w14:paraId="0FEA5DB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التنظيم الأوروبي يؤكد في جميع الأحوال بقاء القرار القضائي في يد القاضي، وعدم جواز إسناد سلطة تقريرية ملزمة إلى نظام آلي. وهذا المبدأ يتقاطع مع ما قررته الوثائق الوطنية السعودية بشأن ضرورة بقاء العنصر البشري في موقع القرار (الهيئة السعودية للبيانات والذكاء الاصطناعي، 2023؛ 2024)</w:t>
      </w:r>
      <w:r>
        <w:rPr>
          <w:rStyle w:val="af"/>
          <w:rFonts w:asciiTheme="majorBidi" w:hAnsiTheme="majorBidi" w:cstheme="majorBidi"/>
          <w:sz w:val="24"/>
          <w:szCs w:val="24"/>
          <w:rtl/>
        </w:rPr>
        <w:footnoteReference w:id="221"/>
      </w:r>
      <w:r>
        <w:rPr>
          <w:rFonts w:asciiTheme="majorBidi" w:hAnsiTheme="majorBidi" w:cstheme="majorBidi"/>
          <w:sz w:val="24"/>
          <w:szCs w:val="24"/>
        </w:rPr>
        <w:t>.</w:t>
      </w:r>
    </w:p>
    <w:p w14:paraId="2D1A1AC9"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أرى أن النموذج الأوروبي يقدم تصورًا متوازنًا، يقوم على الاعتراف بواقع التقنية دون التسليم لها بسلطة تقريرية. ويمكن الاستفادة منه في السياق السعودي عبر تبني مبدأ “الإشراف البشري الملزم” في البيئة القضائية، مع مراعاة الخصوصية النظامية الوطنية</w:t>
      </w:r>
      <w:r>
        <w:rPr>
          <w:rFonts w:asciiTheme="majorBidi" w:hAnsiTheme="majorBidi" w:cstheme="majorBidi"/>
          <w:sz w:val="24"/>
          <w:szCs w:val="24"/>
        </w:rPr>
        <w:t>.</w:t>
      </w:r>
    </w:p>
    <w:p w14:paraId="5D825AAC" w14:textId="77777777" w:rsidR="00624037" w:rsidRPr="002E352F" w:rsidRDefault="00624037" w:rsidP="00624037">
      <w:pPr>
        <w:jc w:val="right"/>
        <w:rPr>
          <w:rFonts w:asciiTheme="majorBidi" w:hAnsiTheme="majorBidi" w:cstheme="majorBidi"/>
          <w:sz w:val="24"/>
          <w:szCs w:val="24"/>
        </w:rPr>
      </w:pPr>
    </w:p>
    <w:p w14:paraId="6CDD6787"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ثانيًا: أدوات التحليل التنبئي في بعض الأنظمة المقارنة</w:t>
      </w:r>
    </w:p>
    <w:p w14:paraId="04D9873B"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وقد رصدت دراسة محمود وعناني المنشورة ضمن كتاب التحديات والآفاق القانونية والاقتصادية للذكاء الاصطناعي واقع استخدام هذه التقنيات في العمل القضائي، مؤكدَين أن الذكاء الاصطناعي أصبح أداةً قويةً تُسهم في تحسين فعالية وكفاءة العمل القضائي من خلال تحليل البيانات القانونية، وتوفير معلومات مفيدة، وتوجيه المحامين والقضاة في اتخاذ القرارات؛ مع التنبيه إلى ضرورة وجود مبادئ أخلاقية ترتكز عليها هذه التقنيات عند استخدامها في الفصل في المنازعات.</w:t>
      </w:r>
      <w:r>
        <w:rPr>
          <w:rStyle w:val="af"/>
          <w:rFonts w:asciiTheme="majorBidi" w:hAnsiTheme="majorBidi" w:cstheme="majorBidi"/>
          <w:sz w:val="24"/>
          <w:szCs w:val="24"/>
          <w:rtl/>
        </w:rPr>
        <w:footnoteReference w:id="222"/>
      </w:r>
    </w:p>
    <w:p w14:paraId="2825862D"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شهدت بعض الأنظمة القانونية استخدام أدوات تحليلية لتوقع مآلات النزاعات أو تقدير احتمالية النجاح في الدعوى. ورغم أن هذه الأدوات تُستخدم غالبًا في مرحلة الاستشارة القانونية، فإن بعضها امتد إلى البيئة القضائية بصورة غير مباشرة</w:t>
      </w:r>
      <w:r>
        <w:rPr>
          <w:rFonts w:asciiTheme="majorBidi" w:hAnsiTheme="majorBidi" w:cstheme="majorBidi"/>
          <w:sz w:val="24"/>
          <w:szCs w:val="24"/>
        </w:rPr>
        <w:t>.</w:t>
      </w:r>
    </w:p>
    <w:p w14:paraId="4299387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أثار هذا الاستخدام نقاشًا فقهيًا واسعًا حول مدى تأثير التحليل التنبئي على استقلال القضاء. فالتنبؤ القائم على تحليل بيانات الأحكام السابقة قد يعزز الاتساق، لكنه قد يؤدي في الوقت ذاته إلى تثبيت أنماط اجتهادية قائمة، والحد من التطور القضائي</w:t>
      </w:r>
      <w:r>
        <w:rPr>
          <w:rFonts w:asciiTheme="majorBidi" w:hAnsiTheme="majorBidi" w:cstheme="majorBidi"/>
          <w:sz w:val="24"/>
          <w:szCs w:val="24"/>
        </w:rPr>
        <w:t>.</w:t>
      </w:r>
    </w:p>
    <w:p w14:paraId="0B1868C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أشارت دراسات قانونية مقارنة إلى أن التحليل الإحصائي في المجال القضائي ينبغي أن يظل أداة مساعدة لا مرجعًا حاكمًا، وإلا تحولت العدالة إلى “عدالة تنبؤية” بدل أن تكون عدالة تطبيقية قائمة على فهم خصوصية كل نزاع</w:t>
      </w:r>
      <w:r>
        <w:rPr>
          <w:rFonts w:asciiTheme="majorBidi" w:hAnsiTheme="majorBidi" w:cstheme="majorBidi"/>
          <w:sz w:val="24"/>
          <w:szCs w:val="24"/>
        </w:rPr>
        <w:t>.</w:t>
      </w:r>
    </w:p>
    <w:p w14:paraId="42786692" w14:textId="77777777" w:rsidR="00624037" w:rsidRPr="002E352F" w:rsidRDefault="001C2B27"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استخدام التحليل التنبئي في السياق القضائي السعودي يجب أن يظل في حدود الاستشارة المهنية، لا أن يمتد إلى التأثير المباشر في تكوين قناعة القاضي. فالنظام السعودي لا يقوم على مبدأ السوابق الملزمة، بل يمنح القاضي سلطة تقديرية واسعة، وهو ما يجعل التحليل التنبئي ذا طابع استرشادي فقط</w:t>
      </w:r>
      <w:r>
        <w:rPr>
          <w:rFonts w:asciiTheme="majorBidi" w:hAnsiTheme="majorBidi" w:cstheme="majorBidi"/>
          <w:sz w:val="24"/>
          <w:szCs w:val="24"/>
        </w:rPr>
        <w:t>.</w:t>
      </w:r>
    </w:p>
    <w:p w14:paraId="2003C56F" w14:textId="77777777" w:rsidR="00624037" w:rsidRPr="002E352F" w:rsidRDefault="00624037" w:rsidP="00624037">
      <w:pPr>
        <w:jc w:val="right"/>
        <w:rPr>
          <w:rFonts w:asciiTheme="majorBidi" w:hAnsiTheme="majorBidi" w:cstheme="majorBidi"/>
          <w:sz w:val="24"/>
          <w:szCs w:val="24"/>
        </w:rPr>
      </w:pPr>
    </w:p>
    <w:p w14:paraId="4BB9F75C"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ثالثًا: حماية الضمانات الإجرائية في البيئة الرقمية</w:t>
      </w:r>
    </w:p>
    <w:p w14:paraId="38535B90" w14:textId="77777777" w:rsidR="00B16B4E" w:rsidRDefault="00C702A9" w:rsidP="00BB08F4">
      <w:pPr>
        <w:jc w:val="right"/>
        <w:rPr>
          <w:rFonts w:asciiTheme="majorBidi" w:hAnsiTheme="majorBidi" w:cstheme="majorBidi"/>
          <w:sz w:val="24"/>
          <w:szCs w:val="24"/>
          <w:rtl/>
        </w:rPr>
      </w:pPr>
      <w:r>
        <w:rPr>
          <w:rFonts w:asciiTheme="majorBidi" w:hAnsiTheme="majorBidi" w:cstheme="majorBidi"/>
          <w:sz w:val="24"/>
          <w:szCs w:val="24"/>
          <w:rtl/>
        </w:rPr>
        <w:lastRenderedPageBreak/>
        <w:t>وتفرض البيئة الرقمية تحديات جوهرية أمام الضمانات الإجرائية المقررة للمتقاضين، وذلك في ظل تنامي الاعتماد على الأنظمة الذكية في إعداد المستندات القانونية، مما يستدعي تطبيق أحكام نظام التعاملات الإلكترونية الصادر بالمرسوم الملكي رقم م/18 لعام 1428هـ.</w:t>
      </w:r>
      <w:r>
        <w:rPr>
          <w:rtl/>
        </w:rPr>
        <w:footnoteReference w:id="223"/>
      </w:r>
    </w:p>
    <w:p w14:paraId="70EC86AA" w14:textId="77777777" w:rsidR="00B16B4E" w:rsidRDefault="00C702A9">
      <w:pPr>
        <w:bidi/>
        <w:jc w:val="both"/>
        <w:rPr>
          <w:rFonts w:asciiTheme="majorBidi" w:hAnsiTheme="majorBidi" w:cstheme="majorBidi"/>
          <w:sz w:val="24"/>
          <w:szCs w:val="24"/>
          <w:rtl/>
        </w:rPr>
      </w:pPr>
      <w:r>
        <w:rPr>
          <w:rFonts w:asciiTheme="majorBidi" w:hAnsiTheme="majorBidi" w:cstheme="majorBidi"/>
          <w:sz w:val="24"/>
          <w:szCs w:val="24"/>
          <w:rtl/>
        </w:rPr>
        <w:t>وفي هذا الإطار، أشارت الهيئة السعودية للبيانات والذكاء الاصطناعي (سدايا) في وثيقتها الاسترشادية حول أخلاقيات الذكاء الاصطناعي الصادرة في طبعتها الثانية عام 2024م إلى أن مبدأ القيم الإنسانية والعدالة يستلزم أن تكون أنظمة الذكاء الاصطناعي مصممةً بحيث تحترم كرامة الإنسان وتُراعي مبادئ العدالة والمساواة، وهو ما يستوجب في السياق القضائي والمهني توافر ضمانات إجرائية صريحة تكفل حقوق الأطراف وتُحكم مسؤولية مستخدمي هذه الأنظمة.</w:t>
      </w:r>
      <w:r>
        <w:rPr>
          <w:rStyle w:val="af"/>
          <w:rFonts w:asciiTheme="majorBidi" w:hAnsiTheme="majorBidi" w:cstheme="majorBidi"/>
          <w:sz w:val="24"/>
          <w:szCs w:val="24"/>
          <w:rtl/>
        </w:rPr>
        <w:footnoteReference w:id="224"/>
      </w:r>
    </w:p>
    <w:p w14:paraId="3CF7226A"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من أبرز ما شددت عليه التجارب المقارنة ضرورة حماية الضمانات الإجرائية عند إدخال التقنية في المجال القضائي. فالمشكلة لا تكمن في الوسيلة ذاتها، بل في احتمال أن تؤدي إلى الإخلال بحق الدفاع أو مبدأ المساواة بين الخصوم</w:t>
      </w:r>
      <w:r>
        <w:rPr>
          <w:rFonts w:asciiTheme="majorBidi" w:hAnsiTheme="majorBidi" w:cstheme="majorBidi"/>
          <w:sz w:val="24"/>
          <w:szCs w:val="24"/>
        </w:rPr>
        <w:t>.</w:t>
      </w:r>
    </w:p>
    <w:p w14:paraId="6FF023AE"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وقد ربط التنظيم الأوروبي بين استخدام أنظمة الذكاء الاصطناعي في العدالة وبين حماية الحقوق الأساسية، واعتبر الشفافية وقابلية التفسير عنصرين جوهريين لضمان المحاكمة العادلة</w:t>
      </w:r>
      <w:r>
        <w:rPr>
          <w:rFonts w:asciiTheme="majorBidi" w:hAnsiTheme="majorBidi" w:cstheme="majorBidi"/>
          <w:sz w:val="24"/>
          <w:szCs w:val="24"/>
        </w:rPr>
        <w:t xml:space="preserve"> (European Parliament &amp; Council of the European Union, 2024).</w:t>
      </w:r>
    </w:p>
    <w:p w14:paraId="6A95CEFB"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وفي السياق السعودي، فإن ضمانات التقاضي مستمدة من النظام الأساسي للحكم ومن الأنظمة الإجرائية ذات الصلة، التي تؤكد حق الدفاع وعلانية الإجراءات واستقلال القضاء. ومن ثم فإن أي استخدام تقني ينبغي أن يُقاس بمدى اتساقه مع هذه المبادئ</w:t>
      </w:r>
      <w:r>
        <w:rPr>
          <w:rFonts w:asciiTheme="majorBidi" w:hAnsiTheme="majorBidi" w:cstheme="majorBidi"/>
          <w:sz w:val="24"/>
          <w:szCs w:val="24"/>
        </w:rPr>
        <w:t>.</w:t>
      </w:r>
    </w:p>
    <w:p w14:paraId="10326E4B" w14:textId="77777777" w:rsidR="00624037" w:rsidRPr="002E352F" w:rsidRDefault="00523C56" w:rsidP="00624037">
      <w:pPr>
        <w:jc w:val="right"/>
        <w:rPr>
          <w:rFonts w:asciiTheme="majorBidi" w:hAnsiTheme="majorBidi" w:cstheme="majorBidi"/>
          <w:sz w:val="24"/>
          <w:szCs w:val="24"/>
        </w:rPr>
      </w:pPr>
      <w:r>
        <w:rPr>
          <w:rFonts w:asciiTheme="majorBidi" w:hAnsiTheme="majorBidi" w:cstheme="majorBidi" w:hint="cs"/>
          <w:b/>
          <w:bCs/>
          <w:sz w:val="24"/>
          <w:szCs w:val="24"/>
          <w:rtl/>
        </w:rPr>
        <w:t>مما سبق</w:t>
      </w:r>
      <w:r>
        <w:rPr>
          <w:rFonts w:asciiTheme="majorBidi" w:hAnsiTheme="majorBidi" w:cstheme="majorBidi" w:hint="cs"/>
          <w:sz w:val="24"/>
          <w:szCs w:val="24"/>
          <w:rtl/>
        </w:rPr>
        <w:t xml:space="preserve"> </w:t>
      </w:r>
      <w:r>
        <w:rPr>
          <w:rFonts w:asciiTheme="majorBidi" w:hAnsiTheme="majorBidi" w:cstheme="majorBidi"/>
          <w:sz w:val="24"/>
          <w:szCs w:val="24"/>
          <w:rtl/>
        </w:rPr>
        <w:t>أرى أن المعيار الحاكم في قبول أو رفض المخرجات الذكية أمام القضاء يجب أن يكون مدى تأثيرها في ضمانات العدالة. فإذا أدت إلى تعزيز الفهم أو تسريع الفصل دون الإخلال بحقوق الخصوم، فهي أداة مشروعة. أما إذا مست جوهر المواجهة أو أضعفت قدرة أحد الأطراف على الرد، فإن استخدامها يصبح محل نظر</w:t>
      </w:r>
      <w:r>
        <w:rPr>
          <w:rFonts w:asciiTheme="majorBidi" w:hAnsiTheme="majorBidi" w:cstheme="majorBidi"/>
          <w:sz w:val="24"/>
          <w:szCs w:val="24"/>
        </w:rPr>
        <w:t>.</w:t>
      </w:r>
    </w:p>
    <w:p w14:paraId="79BDF76D" w14:textId="77777777" w:rsidR="00624037" w:rsidRPr="002E352F" w:rsidRDefault="00624037" w:rsidP="00624037">
      <w:pPr>
        <w:jc w:val="right"/>
        <w:rPr>
          <w:rFonts w:asciiTheme="majorBidi" w:hAnsiTheme="majorBidi" w:cstheme="majorBidi"/>
          <w:sz w:val="24"/>
          <w:szCs w:val="24"/>
        </w:rPr>
      </w:pPr>
    </w:p>
    <w:p w14:paraId="07CA1C0B" w14:textId="77777777" w:rsidR="00624037" w:rsidRPr="002E352F" w:rsidRDefault="00624037" w:rsidP="00624037">
      <w:pPr>
        <w:jc w:val="right"/>
        <w:rPr>
          <w:rFonts w:asciiTheme="majorBidi" w:hAnsiTheme="majorBidi" w:cstheme="majorBidi"/>
          <w:b/>
          <w:bCs/>
          <w:sz w:val="24"/>
          <w:szCs w:val="24"/>
        </w:rPr>
      </w:pPr>
      <w:r>
        <w:rPr>
          <w:rFonts w:asciiTheme="majorBidi" w:hAnsiTheme="majorBidi" w:cstheme="majorBidi"/>
          <w:b/>
          <w:bCs/>
          <w:sz w:val="24"/>
          <w:szCs w:val="24"/>
          <w:rtl/>
        </w:rPr>
        <w:t>قراءة مقارنة ختامية في ضوء النظام السعودي</w:t>
      </w:r>
    </w:p>
    <w:p w14:paraId="6FA286D1"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يتضح من استعراض التجارب الدولية أن الاتجاه العام لا يتجه إلى منع استخدام المخرجات الذكية أمام القضاء، بل إلى تنظيمها وإحاطتها بضوابط مشددة. ويتركز جوهر هذه الضوابط في ثلاث نقاط رئيسة</w:t>
      </w:r>
      <w:r>
        <w:rPr>
          <w:rFonts w:asciiTheme="majorBidi" w:hAnsiTheme="majorBidi" w:cstheme="majorBidi"/>
          <w:sz w:val="24"/>
          <w:szCs w:val="24"/>
        </w:rPr>
        <w:t>:</w:t>
      </w:r>
    </w:p>
    <w:p w14:paraId="491B024D"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بقاء القرار القضائي بيد الإنسان</w:t>
      </w:r>
      <w:r>
        <w:rPr>
          <w:rFonts w:asciiTheme="majorBidi" w:hAnsiTheme="majorBidi" w:cstheme="majorBidi"/>
          <w:sz w:val="24"/>
          <w:szCs w:val="24"/>
        </w:rPr>
        <w:t>.</w:t>
      </w:r>
    </w:p>
    <w:p w14:paraId="2C341FE9"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قابلية المخرجات للفحص والمراجعة</w:t>
      </w:r>
      <w:r>
        <w:rPr>
          <w:rFonts w:asciiTheme="majorBidi" w:hAnsiTheme="majorBidi" w:cstheme="majorBidi"/>
          <w:sz w:val="24"/>
          <w:szCs w:val="24"/>
        </w:rPr>
        <w:t>.</w:t>
      </w:r>
    </w:p>
    <w:p w14:paraId="66B9029C" w14:textId="77777777" w:rsidR="00624037" w:rsidRPr="002E352F" w:rsidRDefault="00624037">
      <w:pPr>
        <w:numPr>
          <w:ilvl w:val="0"/>
          <w:numId w:val="15"/>
        </w:numPr>
        <w:jc w:val="right"/>
        <w:rPr>
          <w:rFonts w:asciiTheme="majorBidi" w:hAnsiTheme="majorBidi" w:cstheme="majorBidi"/>
          <w:sz w:val="24"/>
          <w:szCs w:val="24"/>
        </w:rPr>
      </w:pPr>
      <w:r>
        <w:rPr>
          <w:rFonts w:asciiTheme="majorBidi" w:hAnsiTheme="majorBidi" w:cstheme="majorBidi"/>
          <w:sz w:val="24"/>
          <w:szCs w:val="24"/>
          <w:rtl/>
        </w:rPr>
        <w:t>وضوح المسؤولية عن النتائج</w:t>
      </w:r>
      <w:r>
        <w:rPr>
          <w:rFonts w:asciiTheme="majorBidi" w:hAnsiTheme="majorBidi" w:cstheme="majorBidi"/>
          <w:sz w:val="24"/>
          <w:szCs w:val="24"/>
        </w:rPr>
        <w:t>.</w:t>
      </w:r>
    </w:p>
    <w:p w14:paraId="62A61A20"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وهذه النقاط تتسق – في جوهرها – مع ما قررته الأنظمة السعودية من حيث سلطة القاضي في تقدير الأدلة (هيئة الخبراء بمجلس الوزراء، 1443هـ)، وبقاء المسؤولية المهنية على عاتق مقدم العمل القانوني</w:t>
      </w:r>
      <w:r>
        <w:rPr>
          <w:rStyle w:val="af"/>
          <w:rFonts w:asciiTheme="majorBidi" w:hAnsiTheme="majorBidi" w:cstheme="majorBidi"/>
          <w:sz w:val="24"/>
          <w:szCs w:val="24"/>
          <w:rtl/>
        </w:rPr>
        <w:footnoteReference w:id="225"/>
      </w:r>
      <w:r>
        <w:rPr>
          <w:rFonts w:asciiTheme="majorBidi" w:hAnsiTheme="majorBidi" w:cstheme="majorBidi"/>
          <w:sz w:val="24"/>
          <w:szCs w:val="24"/>
          <w:rtl/>
        </w:rPr>
        <w:t xml:space="preserve">، ووجوب </w:t>
      </w:r>
      <w:r>
        <w:rPr>
          <w:rFonts w:asciiTheme="majorBidi" w:hAnsiTheme="majorBidi" w:cstheme="majorBidi"/>
          <w:sz w:val="24"/>
          <w:szCs w:val="24"/>
          <w:rtl/>
        </w:rPr>
        <w:lastRenderedPageBreak/>
        <w:t>الشفافية والمساءلة في استخدام الذكاء الاصطناعي (الهيئة السعودية للبيانات والذكاء الاصطناعي، 2023؛ 2024)</w:t>
      </w:r>
      <w:r>
        <w:rPr>
          <w:rFonts w:asciiTheme="majorBidi" w:hAnsiTheme="majorBidi" w:cstheme="majorBidi"/>
          <w:sz w:val="24"/>
          <w:szCs w:val="24"/>
        </w:rPr>
        <w:t>.</w:t>
      </w:r>
    </w:p>
    <w:p w14:paraId="19451658" w14:textId="77777777" w:rsidR="00624037" w:rsidRPr="002E352F" w:rsidRDefault="00624037" w:rsidP="00624037">
      <w:pPr>
        <w:jc w:val="right"/>
        <w:rPr>
          <w:rFonts w:asciiTheme="majorBidi" w:hAnsiTheme="majorBidi" w:cstheme="majorBidi"/>
          <w:sz w:val="24"/>
          <w:szCs w:val="24"/>
        </w:rPr>
      </w:pPr>
      <w:r>
        <w:rPr>
          <w:rFonts w:asciiTheme="majorBidi" w:hAnsiTheme="majorBidi" w:cstheme="majorBidi"/>
          <w:sz w:val="24"/>
          <w:szCs w:val="24"/>
          <w:rtl/>
        </w:rPr>
        <w:t>غير أن البيئة السعودية تتميز بخصوصيات، منها</w:t>
      </w:r>
      <w:r>
        <w:rPr>
          <w:rFonts w:asciiTheme="majorBidi" w:hAnsiTheme="majorBidi" w:cstheme="majorBidi"/>
          <w:sz w:val="24"/>
          <w:szCs w:val="24"/>
        </w:rPr>
        <w:t>:</w:t>
      </w:r>
    </w:p>
    <w:p w14:paraId="0A76E3D9" w14:textId="77777777" w:rsidR="00624037" w:rsidRPr="002E352F" w:rsidRDefault="00624037">
      <w:pPr>
        <w:numPr>
          <w:ilvl w:val="0"/>
          <w:numId w:val="16"/>
        </w:numPr>
        <w:jc w:val="right"/>
        <w:rPr>
          <w:rFonts w:asciiTheme="majorBidi" w:hAnsiTheme="majorBidi" w:cstheme="majorBidi"/>
          <w:sz w:val="24"/>
          <w:szCs w:val="24"/>
        </w:rPr>
      </w:pPr>
      <w:r>
        <w:rPr>
          <w:rFonts w:asciiTheme="majorBidi" w:hAnsiTheme="majorBidi" w:cstheme="majorBidi"/>
          <w:sz w:val="24"/>
          <w:szCs w:val="24"/>
          <w:rtl/>
        </w:rPr>
        <w:t>عدم وجود نظام سوابق ملزمة</w:t>
      </w:r>
      <w:r>
        <w:rPr>
          <w:rFonts w:asciiTheme="majorBidi" w:hAnsiTheme="majorBidi" w:cstheme="majorBidi"/>
          <w:sz w:val="24"/>
          <w:szCs w:val="24"/>
        </w:rPr>
        <w:t>.</w:t>
      </w:r>
    </w:p>
    <w:p w14:paraId="0E0F9FF3" w14:textId="77777777" w:rsidR="00624037" w:rsidRPr="002E352F" w:rsidRDefault="00624037" w:rsidP="00786384">
      <w:pPr>
        <w:numPr>
          <w:ilvl w:val="0"/>
          <w:numId w:val="16"/>
        </w:numPr>
        <w:jc w:val="right"/>
        <w:rPr>
          <w:rFonts w:asciiTheme="majorBidi" w:hAnsiTheme="majorBidi" w:cstheme="majorBidi"/>
          <w:sz w:val="24"/>
          <w:szCs w:val="24"/>
        </w:rPr>
      </w:pPr>
      <w:r>
        <w:rPr>
          <w:rFonts w:asciiTheme="majorBidi" w:hAnsiTheme="majorBidi" w:cstheme="majorBidi"/>
          <w:sz w:val="24"/>
          <w:szCs w:val="24"/>
          <w:rtl/>
        </w:rPr>
        <w:t>مركزية الاجتهاد القضائي</w:t>
      </w:r>
      <w:r>
        <w:rPr>
          <w:rFonts w:asciiTheme="majorBidi" w:hAnsiTheme="majorBidi" w:cstheme="majorBidi"/>
          <w:sz w:val="24"/>
          <w:szCs w:val="24"/>
        </w:rPr>
        <w:t>.</w:t>
      </w:r>
    </w:p>
    <w:p w14:paraId="0877F5E3" w14:textId="77777777" w:rsidR="00D57654" w:rsidRDefault="00C702A9" w:rsidP="00786384">
      <w:pPr>
        <w:jc w:val="right"/>
        <w:rPr>
          <w:rFonts w:asciiTheme="majorBidi" w:hAnsiTheme="majorBidi" w:cstheme="majorBidi"/>
          <w:sz w:val="24"/>
          <w:szCs w:val="24"/>
          <w:rtl/>
        </w:rPr>
      </w:pPr>
      <w:r>
        <w:rPr>
          <w:rFonts w:asciiTheme="majorBidi" w:hAnsiTheme="majorBidi" w:cstheme="majorBidi"/>
          <w:sz w:val="24"/>
          <w:szCs w:val="24"/>
          <w:rtl/>
        </w:rPr>
        <w:t>وفي معالجة مركزية الاجتهاد القضائي في مواجهة المسائل التقنية، خلص جانب من الفقه إلى أن إنشاء وحدة تقنية مساندة للقضاء تضم خبراء في الذكاء الاصطناعي والأدلة الرقمية سيُخفف من حدة هذه المركزية ويُوفر للقضاء مرجعية موضوعية تُعينه على التعامل مع الحجج التقنية، على نحو يُشبه في وظيفته دور خبير الحساب أو الخبير الطبي الشرعي في المنظومات القضائية المتخصصة.</w:t>
      </w:r>
      <w:r>
        <w:rPr>
          <w:rtl/>
        </w:rPr>
        <w:footnoteReference w:id="226"/>
      </w:r>
    </w:p>
    <w:p w14:paraId="7D20B950" w14:textId="77777777" w:rsidR="00D57654" w:rsidRDefault="00C702A9" w:rsidP="00786384">
      <w:pPr>
        <w:jc w:val="right"/>
        <w:rPr>
          <w:rFonts w:asciiTheme="majorBidi" w:hAnsiTheme="majorBidi" w:cstheme="majorBidi"/>
          <w:sz w:val="24"/>
          <w:szCs w:val="24"/>
          <w:rtl/>
        </w:rPr>
      </w:pPr>
      <w:r>
        <w:rPr>
          <w:rFonts w:asciiTheme="majorBidi" w:hAnsiTheme="majorBidi" w:cstheme="majorBidi"/>
          <w:sz w:val="24"/>
          <w:szCs w:val="24"/>
          <w:rtl/>
        </w:rPr>
        <w:t>وفي مواجهة مركزية الاجتهاد القضائي التي تُشكّل سمة بنيوية في المنظومة القانونية السعودية، دعا جانب من الفقه إلى إنشاء غرف قضائية متخصصة في القضايا الرقمية تضم قضاة مُؤهَّلين تأهيلاً تقنياً مزدوجاً، يُدركون أحكام النظام السعودي من جهة ومعطيات الثورة الرقمية من جهة أخرى، مما يُتيح بناء اجتهاد قضائي موحّد في مسائل المسؤولية عن الذكاء الاصطناعي.</w:t>
      </w:r>
      <w:r>
        <w:rPr>
          <w:rtl/>
        </w:rPr>
        <w:footnoteReference w:id="227"/>
      </w:r>
    </w:p>
    <w:p w14:paraId="6B722693" w14:textId="77777777" w:rsidR="00624037" w:rsidRPr="002E352F" w:rsidRDefault="00624037" w:rsidP="00786384">
      <w:pPr>
        <w:numPr>
          <w:ilvl w:val="0"/>
          <w:numId w:val="16"/>
        </w:numPr>
        <w:jc w:val="right"/>
        <w:rPr>
          <w:rFonts w:asciiTheme="majorBidi" w:hAnsiTheme="majorBidi" w:cstheme="majorBidi"/>
          <w:sz w:val="24"/>
          <w:szCs w:val="24"/>
        </w:rPr>
      </w:pPr>
      <w:r>
        <w:rPr>
          <w:rFonts w:asciiTheme="majorBidi" w:hAnsiTheme="majorBidi" w:cstheme="majorBidi"/>
          <w:sz w:val="24"/>
          <w:szCs w:val="24"/>
          <w:rtl/>
        </w:rPr>
        <w:t>الطبيعة المختلطة للمرجعية بين الشريعة والنظام</w:t>
      </w:r>
      <w:r>
        <w:rPr>
          <w:rFonts w:asciiTheme="majorBidi" w:hAnsiTheme="majorBidi" w:cstheme="majorBidi"/>
          <w:sz w:val="24"/>
          <w:szCs w:val="24"/>
        </w:rPr>
        <w:t>.</w:t>
      </w:r>
    </w:p>
    <w:p w14:paraId="153EC0A1" w14:textId="77777777" w:rsidR="00D57654" w:rsidRDefault="00C702A9" w:rsidP="00786384">
      <w:pPr>
        <w:jc w:val="right"/>
        <w:rPr>
          <w:rFonts w:asciiTheme="majorBidi" w:hAnsiTheme="majorBidi" w:cstheme="majorBidi"/>
          <w:sz w:val="24"/>
          <w:szCs w:val="24"/>
          <w:rtl/>
        </w:rPr>
      </w:pPr>
      <w:r>
        <w:rPr>
          <w:rFonts w:asciiTheme="majorBidi" w:hAnsiTheme="majorBidi" w:cstheme="majorBidi"/>
          <w:sz w:val="24"/>
          <w:szCs w:val="24"/>
          <w:rtl/>
        </w:rPr>
        <w:t>وفي السياق المقارن لتوظيف مبادئ الفقه الإسلامي في مواجهة تحديات الذكاء الاصطناعي، عرضت عبد الرحمن حالات عدة من الفقه الإسلامي المعاصر تُوظّف فيها قواعد مثل لا ضرر ولا ضرار، وقاعدة الغرم بالغنم، وقاعدة المشقة تجلب التيسير، في معالجة مسائل الضرر الرقمي والمسؤولية عن الأخطاء الخوارزمية، منتهيةً إلى أن الفقه الإسلامي يمتلك المرونة الكافية لاستيعاب هذه الإشكاليات المستحدثة.</w:t>
      </w:r>
      <w:r>
        <w:rPr>
          <w:rtl/>
        </w:rPr>
        <w:footnoteReference w:id="228"/>
      </w:r>
    </w:p>
    <w:p w14:paraId="23709145" w14:textId="77777777" w:rsidR="00D57654" w:rsidRDefault="00C702A9" w:rsidP="00786384">
      <w:pPr>
        <w:jc w:val="right"/>
        <w:rPr>
          <w:rFonts w:asciiTheme="majorBidi" w:hAnsiTheme="majorBidi" w:cstheme="majorBidi"/>
          <w:sz w:val="24"/>
          <w:szCs w:val="24"/>
          <w:rtl/>
        </w:rPr>
      </w:pPr>
      <w:r>
        <w:rPr>
          <w:rFonts w:asciiTheme="majorBidi" w:hAnsiTheme="majorBidi" w:cstheme="majorBidi"/>
          <w:sz w:val="24"/>
          <w:szCs w:val="24"/>
          <w:rtl/>
        </w:rPr>
        <w:t>وفيما يتعلق بالطبيعة المختلطة للمرجعية القانونية في المنظومة السعودية، نبّه جانب من الفقه إلى أن هذه الطبيعة المزدوجة تمنح المشرّع والقاضي مرونة نادرة في التعامل مع المستجدات التقنية؛ إذ يمكن الاستناد إلى مبادئ الشريعة الإسلامية كقواعد درء الضرر وحماية الحقوق المكتسبة، إلى جانب النصوص التنظيمية، لسد الفراغ التشريعي في مواجهة إشكاليات الذكاء الاصطناعي الطارئة.</w:t>
      </w:r>
      <w:r>
        <w:rPr>
          <w:rtl/>
        </w:rPr>
        <w:footnoteReference w:id="229"/>
      </w:r>
    </w:p>
    <w:p w14:paraId="3081C10F" w14:textId="77777777" w:rsidR="00D57654" w:rsidRDefault="00C702A9" w:rsidP="00786384">
      <w:pPr>
        <w:jc w:val="right"/>
        <w:rPr>
          <w:rFonts w:asciiTheme="majorBidi" w:hAnsiTheme="majorBidi" w:cstheme="majorBidi"/>
          <w:sz w:val="24"/>
          <w:szCs w:val="24"/>
          <w:rtl/>
        </w:rPr>
      </w:pPr>
      <w:r>
        <w:rPr>
          <w:rFonts w:asciiTheme="majorBidi" w:hAnsiTheme="majorBidi" w:cstheme="majorBidi"/>
          <w:sz w:val="24"/>
          <w:szCs w:val="24"/>
          <w:rtl/>
        </w:rPr>
        <w:t>وعلى الصعيد الأكاديمي، رصدت الأمين ما وصفته بالطبيعة المختلطة للمرجعية القانونية في القطاع القانوني السعودي الرقمي؛ إذ تتشابك المرجعية الشرعية الإسلامية والمرجعية النظامية المُدوّنة مع مبادئ القانون المقارن في معالجة مسائل التقنية القانونية، وهذا التشابك يُثري النقاش الأكاديمي لكنه يُعقّد تطبيق النصوص ما لم تُضبط الأولويات تشريعياً.</w:t>
      </w:r>
      <w:r>
        <w:rPr>
          <w:rtl/>
        </w:rPr>
        <w:footnoteReference w:id="230"/>
      </w:r>
    </w:p>
    <w:p w14:paraId="7CD830BD" w14:textId="77777777" w:rsidR="00624037" w:rsidRPr="002E352F" w:rsidRDefault="00624037" w:rsidP="00786384">
      <w:pPr>
        <w:jc w:val="right"/>
        <w:rPr>
          <w:rFonts w:asciiTheme="majorBidi" w:hAnsiTheme="majorBidi" w:cstheme="majorBidi"/>
          <w:sz w:val="24"/>
          <w:szCs w:val="24"/>
        </w:rPr>
      </w:pPr>
      <w:r>
        <w:rPr>
          <w:rFonts w:asciiTheme="majorBidi" w:hAnsiTheme="majorBidi" w:cstheme="majorBidi"/>
          <w:sz w:val="24"/>
          <w:szCs w:val="24"/>
          <w:rtl/>
        </w:rPr>
        <w:lastRenderedPageBreak/>
        <w:t>وهي عناصر تجعل نقل التجارب المقارنة بحرفيتها غير ممكن، لكنها تسمح بالاستفادة من مبادئها العامة</w:t>
      </w:r>
      <w:r>
        <w:rPr>
          <w:rFonts w:asciiTheme="majorBidi" w:hAnsiTheme="majorBidi" w:cstheme="majorBidi"/>
          <w:sz w:val="24"/>
          <w:szCs w:val="24"/>
        </w:rPr>
        <w:t>.</w:t>
      </w:r>
    </w:p>
    <w:p w14:paraId="0CD2D021" w14:textId="77777777" w:rsidR="00624037" w:rsidRPr="002E352F" w:rsidRDefault="00624037" w:rsidP="00786384">
      <w:pPr>
        <w:jc w:val="right"/>
        <w:rPr>
          <w:rFonts w:asciiTheme="majorBidi" w:hAnsiTheme="majorBidi" w:cstheme="majorBidi"/>
          <w:sz w:val="24"/>
          <w:szCs w:val="24"/>
        </w:rPr>
      </w:pPr>
    </w:p>
    <w:p w14:paraId="73BEEC0A" w14:textId="2EE4D84A" w:rsidR="00624037" w:rsidRPr="002E352F" w:rsidRDefault="00BB08F4" w:rsidP="00624037">
      <w:pPr>
        <w:jc w:val="right"/>
        <w:rPr>
          <w:rFonts w:asciiTheme="majorBidi" w:hAnsiTheme="majorBidi" w:cstheme="majorBidi"/>
          <w:sz w:val="24"/>
          <w:szCs w:val="24"/>
        </w:rPr>
      </w:pPr>
      <w:r>
        <w:rPr>
          <w:rFonts w:asciiTheme="majorBidi" w:hAnsiTheme="majorBidi" w:cstheme="majorBidi" w:hint="cs"/>
          <w:b/>
          <w:bCs/>
          <w:sz w:val="24"/>
          <w:szCs w:val="24"/>
          <w:rtl/>
        </w:rPr>
        <w:t xml:space="preserve">و </w:t>
      </w:r>
      <w:r>
        <w:rPr>
          <w:rFonts w:asciiTheme="majorBidi" w:hAnsiTheme="majorBidi" w:cstheme="majorBidi"/>
          <w:b/>
          <w:bCs/>
          <w:sz w:val="24"/>
          <w:szCs w:val="24"/>
          <w:rtl/>
        </w:rPr>
        <w:t>من خلال التحليل النظامي والمقارن</w:t>
      </w:r>
      <w:r>
        <w:rPr>
          <w:rFonts w:asciiTheme="majorBidi" w:hAnsiTheme="majorBidi" w:cstheme="majorBidi" w:hint="cs"/>
          <w:b/>
          <w:bCs/>
          <w:sz w:val="24"/>
          <w:szCs w:val="24"/>
          <w:rtl/>
        </w:rPr>
        <w:t xml:space="preserve"> لهذا المطلب</w:t>
      </w:r>
      <w:r>
        <w:rPr>
          <w:rFonts w:asciiTheme="majorBidi" w:hAnsiTheme="majorBidi" w:cstheme="majorBidi"/>
          <w:sz w:val="24"/>
          <w:szCs w:val="24"/>
          <w:rtl/>
        </w:rPr>
        <w:t>، يتبين أن مشروعية استخدام المخرجات الذكية أمام الجهات القضائية في النظام السعودي تقوم على مبدأ “القبول المنضبط”، الذي يجمع بين</w:t>
      </w:r>
      <w:r>
        <w:rPr>
          <w:rFonts w:asciiTheme="majorBidi" w:hAnsiTheme="majorBidi" w:cstheme="majorBidi"/>
          <w:sz w:val="24"/>
          <w:szCs w:val="24"/>
        </w:rPr>
        <w:t>:</w:t>
      </w:r>
    </w:p>
    <w:p w14:paraId="7E7225CD"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احترام ضمانات التقاضي</w:t>
      </w:r>
      <w:r>
        <w:rPr>
          <w:rFonts w:asciiTheme="majorBidi" w:hAnsiTheme="majorBidi" w:cstheme="majorBidi"/>
          <w:sz w:val="24"/>
          <w:szCs w:val="24"/>
        </w:rPr>
        <w:t>.</w:t>
      </w:r>
    </w:p>
    <w:p w14:paraId="7C213882"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بقاء سلطة القاضي في التقدير</w:t>
      </w:r>
      <w:r>
        <w:rPr>
          <w:rFonts w:asciiTheme="majorBidi" w:hAnsiTheme="majorBidi" w:cstheme="majorBidi"/>
          <w:sz w:val="24"/>
          <w:szCs w:val="24"/>
        </w:rPr>
        <w:t>.</w:t>
      </w:r>
    </w:p>
    <w:p w14:paraId="2181C9FD"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تحمل المحامي لمسؤوليته المهنية</w:t>
      </w:r>
      <w:r>
        <w:rPr>
          <w:rFonts w:asciiTheme="majorBidi" w:hAnsiTheme="majorBidi" w:cstheme="majorBidi"/>
          <w:sz w:val="24"/>
          <w:szCs w:val="24"/>
        </w:rPr>
        <w:t>.</w:t>
      </w:r>
    </w:p>
    <w:p w14:paraId="0B2EC502" w14:textId="77777777" w:rsidR="00624037" w:rsidRPr="002E352F" w:rsidRDefault="00624037">
      <w:pPr>
        <w:numPr>
          <w:ilvl w:val="0"/>
          <w:numId w:val="17"/>
        </w:numPr>
        <w:jc w:val="right"/>
        <w:rPr>
          <w:rFonts w:asciiTheme="majorBidi" w:hAnsiTheme="majorBidi" w:cstheme="majorBidi"/>
          <w:sz w:val="24"/>
          <w:szCs w:val="24"/>
        </w:rPr>
      </w:pPr>
      <w:r>
        <w:rPr>
          <w:rFonts w:asciiTheme="majorBidi" w:hAnsiTheme="majorBidi" w:cstheme="majorBidi"/>
          <w:sz w:val="24"/>
          <w:szCs w:val="24"/>
          <w:rtl/>
        </w:rPr>
        <w:t>خضوع التقنية لمبادئ الشفافية والمساءلة</w:t>
      </w:r>
      <w:r>
        <w:rPr>
          <w:rFonts w:asciiTheme="majorBidi" w:hAnsiTheme="majorBidi" w:cstheme="majorBidi"/>
          <w:sz w:val="24"/>
          <w:szCs w:val="24"/>
        </w:rPr>
        <w:t>.</w:t>
      </w:r>
    </w:p>
    <w:p w14:paraId="1C4885E4" w14:textId="77777777" w:rsidR="00CF598B" w:rsidRDefault="007C31A8" w:rsidP="00624037">
      <w:pPr>
        <w:jc w:val="right"/>
        <w:rPr>
          <w:rFonts w:asciiTheme="majorBidi" w:hAnsiTheme="majorBidi" w:cstheme="majorBidi"/>
          <w:sz w:val="24"/>
          <w:szCs w:val="24"/>
          <w:rtl/>
        </w:rPr>
      </w:pPr>
      <w:r>
        <w:rPr>
          <w:rFonts w:asciiTheme="majorBidi" w:hAnsiTheme="majorBidi" w:cstheme="majorBidi" w:hint="cs"/>
          <w:b/>
          <w:bCs/>
          <w:sz w:val="24"/>
          <w:szCs w:val="24"/>
          <w:rtl/>
        </w:rPr>
        <w:t xml:space="preserve">ومن خلال تحليل المطلب نجد </w:t>
      </w:r>
      <w:r>
        <w:rPr>
          <w:rFonts w:asciiTheme="majorBidi" w:hAnsiTheme="majorBidi" w:cstheme="majorBidi"/>
          <w:sz w:val="24"/>
          <w:szCs w:val="24"/>
          <w:rtl/>
        </w:rPr>
        <w:t>أن الإطار القانوني لتوظيف الذكاء الاصطناعي في مكاتب المحاماة ينبغي أن ينص صراحة على أن المخرجات الذكية لا تُقدَّم أمام القضاء إلا بوصفها رأيًا مهنيًا تبناه محامٍ مسؤول، وأن تظل خاضعة لسلطة المحكمة في التقدير، وألا تُعامل كأدلة تقنية مستقلة بذاتها. كما ينبغي أن يُدمج مبدأ الإشراف البشري وقابلية التفسير ضمن المعايير المهنية الملزمة</w:t>
      </w:r>
    </w:p>
    <w:p w14:paraId="25453D18" w14:textId="77777777" w:rsidR="00624037" w:rsidRDefault="00624037" w:rsidP="00624037">
      <w:pPr>
        <w:jc w:val="right"/>
        <w:rPr>
          <w:rFonts w:asciiTheme="majorBidi" w:hAnsiTheme="majorBidi" w:cstheme="majorBidi"/>
          <w:sz w:val="24"/>
          <w:szCs w:val="24"/>
          <w:rtl/>
        </w:rPr>
      </w:pPr>
    </w:p>
    <w:p w14:paraId="6C457D36" w14:textId="77777777" w:rsidR="00CF598B" w:rsidRPr="00A845BC" w:rsidRDefault="00CF598B" w:rsidP="00CF598B">
      <w:pPr>
        <w:jc w:val="center"/>
        <w:rPr>
          <w:rFonts w:asciiTheme="majorBidi" w:hAnsiTheme="majorBidi" w:cstheme="majorBidi"/>
          <w:sz w:val="32"/>
          <w:szCs w:val="32"/>
          <w:rtl/>
        </w:rPr>
      </w:pPr>
    </w:p>
    <w:p w14:paraId="40E16300" w14:textId="77777777" w:rsidR="00CF598B" w:rsidRPr="00A845BC" w:rsidRDefault="00CF598B" w:rsidP="00CF598B">
      <w:pPr>
        <w:jc w:val="center"/>
        <w:rPr>
          <w:rFonts w:asciiTheme="majorBidi" w:hAnsiTheme="majorBidi" w:cstheme="majorBidi"/>
          <w:b/>
          <w:bCs/>
          <w:sz w:val="32"/>
          <w:szCs w:val="32"/>
        </w:rPr>
      </w:pPr>
      <w:r>
        <w:rPr>
          <w:rFonts w:asciiTheme="majorBidi" w:hAnsiTheme="majorBidi" w:cstheme="majorBidi"/>
          <w:b/>
          <w:bCs/>
          <w:sz w:val="32"/>
          <w:szCs w:val="32"/>
          <w:rtl/>
        </w:rPr>
        <w:t>المبحث الثاني</w:t>
      </w:r>
    </w:p>
    <w:p w14:paraId="219FBD82" w14:textId="77777777" w:rsidR="00CF598B" w:rsidRPr="00A845BC" w:rsidRDefault="00CF598B" w:rsidP="00CF598B">
      <w:pPr>
        <w:jc w:val="center"/>
        <w:rPr>
          <w:rFonts w:asciiTheme="majorBidi" w:hAnsiTheme="majorBidi" w:cstheme="majorBidi"/>
          <w:b/>
          <w:bCs/>
          <w:sz w:val="24"/>
          <w:szCs w:val="24"/>
        </w:rPr>
      </w:pPr>
      <w:r>
        <w:rPr>
          <w:rFonts w:asciiTheme="majorBidi" w:hAnsiTheme="majorBidi" w:cstheme="majorBidi"/>
          <w:b/>
          <w:bCs/>
          <w:sz w:val="32"/>
          <w:szCs w:val="32"/>
          <w:rtl/>
        </w:rPr>
        <w:t>المسؤولية القانونية والمهنية عن استخدام تقنيات الذكاء الاصطناعي في مكاتب المحاماة</w:t>
      </w:r>
    </w:p>
    <w:p w14:paraId="0835FB26"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إذا كان المبحث الأول قد انصرف إلى تحديد الطبيعة النظامية والفقهية للمخرجات القانونية المنتجة عبر تقنيات الذكاء الاصطناعي، وبيان مدى حجيتها وإمكان الاحتجاج بها أمام الجهات القضائية، فإن هذا المبحث ينتقل إلى المستوى الأعمق في البناء القانوني، وهو مستوى </w:t>
      </w:r>
      <w:r>
        <w:rPr>
          <w:rFonts w:asciiTheme="majorBidi" w:hAnsiTheme="majorBidi" w:cstheme="majorBidi"/>
          <w:b/>
          <w:bCs/>
          <w:sz w:val="24"/>
          <w:szCs w:val="24"/>
          <w:rtl/>
        </w:rPr>
        <w:t>المساءلة</w:t>
      </w:r>
      <w:r>
        <w:rPr>
          <w:rFonts w:asciiTheme="majorBidi" w:hAnsiTheme="majorBidi" w:cstheme="majorBidi"/>
          <w:sz w:val="24"/>
          <w:szCs w:val="24"/>
        </w:rPr>
        <w:t xml:space="preserve">. </w:t>
      </w:r>
      <w:r>
        <w:rPr>
          <w:rFonts w:asciiTheme="majorBidi" w:hAnsiTheme="majorBidi" w:cstheme="majorBidi"/>
          <w:sz w:val="24"/>
          <w:szCs w:val="24"/>
          <w:rtl/>
        </w:rPr>
        <w:t>ذلك أن أي تنظيم قانوني لتوظيف الذكاء الاصطناعي في مكاتب المحاماة لا يكتمل بمجرد تحديد مشروعية الاستخدام أو توصيف الطبيعة القانونية للمخرجات، بل يتوقف في جوهره على الإجابة عن سؤال أكثر حساسية: من يتحمل تبعة الخطأ عند وقوعه؟</w:t>
      </w:r>
    </w:p>
    <w:p w14:paraId="19F088E5"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فالذكاء الاصطناعي، مهما بلغت درجة تطوره، يظل أداة تُستخدم في إطار علاقة قانونية قائمة بين المحامي وموكله. وهذه العلاقة ذات طبيعة ائتمانية خاصة، تُبنى على الثقة والسرية وحسن العناية، وهي خصائص تميز مهنة المحاماة عن غيرها من الأنشطة التجارية. ومن ثم فإن إدخال أنظمة تحليل ذكية في عملية إعداد العقود، أو صياغة المذكرات، أو تحليل السوابق القضائية، لا يُعد مجرد تحسين تقني في آلية العمل، بل يُعيد تشكيل نطاق الالتزامات المهنية ذاتها</w:t>
      </w:r>
      <w:r>
        <w:rPr>
          <w:rFonts w:asciiTheme="majorBidi" w:hAnsiTheme="majorBidi" w:cstheme="majorBidi"/>
          <w:sz w:val="24"/>
          <w:szCs w:val="24"/>
        </w:rPr>
        <w:t>.</w:t>
      </w:r>
    </w:p>
    <w:p w14:paraId="3BC0737C"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وقد قرر المنظم السعودي في </w:t>
      </w:r>
      <w:r>
        <w:rPr>
          <w:rFonts w:asciiTheme="majorBidi" w:hAnsiTheme="majorBidi" w:cstheme="majorBidi"/>
          <w:b/>
          <w:bCs/>
          <w:sz w:val="24"/>
          <w:szCs w:val="24"/>
          <w:rtl/>
        </w:rPr>
        <w:t>نظام المحاماة</w:t>
      </w:r>
      <w:r>
        <w:rPr>
          <w:rFonts w:asciiTheme="majorBidi" w:hAnsiTheme="majorBidi" w:cstheme="majorBidi"/>
          <w:sz w:val="24"/>
          <w:szCs w:val="24"/>
          <w:rtl/>
        </w:rPr>
        <w:t xml:space="preserve"> </w:t>
      </w:r>
      <w:r>
        <w:rPr>
          <w:rStyle w:val="af"/>
          <w:rFonts w:asciiTheme="majorBidi" w:hAnsiTheme="majorBidi" w:cstheme="majorBidi"/>
          <w:sz w:val="24"/>
          <w:szCs w:val="24"/>
          <w:rtl/>
        </w:rPr>
        <w:footnoteReference w:id="231"/>
      </w:r>
      <w:r>
        <w:rPr>
          <w:rFonts w:asciiTheme="majorBidi" w:hAnsiTheme="majorBidi" w:cstheme="majorBidi"/>
          <w:sz w:val="24"/>
          <w:szCs w:val="24"/>
          <w:rtl/>
        </w:rPr>
        <w:t xml:space="preserve">أن المحامي يلتزم بأداء عمله وفق أصول المهنة ، كما أكدت اللائحة التنفيذية على مقتضيات الأمانة والمحافظة على حقوق الموكلين. كما أن القواعد العامة في </w:t>
      </w:r>
      <w:r>
        <w:rPr>
          <w:rFonts w:asciiTheme="majorBidi" w:hAnsiTheme="majorBidi" w:cstheme="majorBidi"/>
          <w:b/>
          <w:bCs/>
          <w:sz w:val="24"/>
          <w:szCs w:val="24"/>
          <w:rtl/>
        </w:rPr>
        <w:t>نظام المعاملات المدنية</w:t>
      </w:r>
      <w:r>
        <w:rPr>
          <w:rStyle w:val="af"/>
          <w:rFonts w:asciiTheme="majorBidi" w:hAnsiTheme="majorBidi" w:cstheme="majorBidi"/>
          <w:b/>
          <w:bCs/>
          <w:sz w:val="24"/>
          <w:szCs w:val="24"/>
          <w:rtl/>
        </w:rPr>
        <w:footnoteReference w:id="232"/>
      </w:r>
      <w:r>
        <w:rPr>
          <w:rFonts w:asciiTheme="majorBidi" w:hAnsiTheme="majorBidi" w:cstheme="majorBidi" w:hint="cs"/>
          <w:b/>
          <w:bCs/>
          <w:sz w:val="24"/>
          <w:szCs w:val="24"/>
          <w:rtl/>
        </w:rPr>
        <w:t xml:space="preserve"> </w:t>
      </w:r>
      <w:r>
        <w:rPr>
          <w:rFonts w:asciiTheme="majorBidi" w:hAnsiTheme="majorBidi" w:cstheme="majorBidi"/>
          <w:sz w:val="24"/>
          <w:szCs w:val="24"/>
          <w:rtl/>
        </w:rPr>
        <w:t>تقضي بأن كل خطأ سبب ضررًا للغير يوجب التعويض، وهو ما يشكل الأساس العام للمسؤولية المدنية. وعليه فإن السؤال لا ينصب على وجود المسؤولية من عدمها، بل على كيفية تكييفها في ظل بيئة تقنية تتسم بالتعقيد وتعدد الأطراف</w:t>
      </w:r>
      <w:r>
        <w:rPr>
          <w:rFonts w:asciiTheme="majorBidi" w:hAnsiTheme="majorBidi" w:cstheme="majorBidi"/>
          <w:sz w:val="24"/>
          <w:szCs w:val="24"/>
        </w:rPr>
        <w:t>.</w:t>
      </w:r>
    </w:p>
    <w:p w14:paraId="611B4206"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lastRenderedPageBreak/>
        <w:t>وإذا كان التحليل السابق قد انتهى إلى أن المسؤولية المهنية للمحامي في البيئة الرقمية لا تسقط بمجرد استعانته بأدوات تقنية حديثة، بل تظل قائمة في حدود التزامه بالعناية واليقظة المهنية، فإن الإشكال يتعمّق حين يكون مصدر الخطأ ذاته ناتجًا عن نظام ذكي يعمل بآليات خوارزمية معقدة. فهنا لا يعود السؤال مقتصرًا على مدى التزام المحامي بواجباته، بل يمتد إلى طبيعة الفعل الضار ذاته، وكيفية إسناده في ظل بيئة تقنية لا تتسم بالشفافية الكاملة</w:t>
      </w:r>
      <w:r>
        <w:rPr>
          <w:rFonts w:asciiTheme="majorBidi" w:hAnsiTheme="majorBidi" w:cstheme="majorBidi"/>
          <w:sz w:val="24"/>
          <w:szCs w:val="24"/>
        </w:rPr>
        <w:t>.</w:t>
      </w:r>
    </w:p>
    <w:p w14:paraId="6DC0C22F"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ذلك أن إشكالية المسؤولية في سياق تطبيقات الذكاء الاصطناعي تتجاوز الفرضية التقليدية التي تربط الخطأ بالفعل المباشر الصادر عن شخص محدد يمكن تعيينه بسهولة. ففي التطبيقات القانونية المعاصرة، قد يصدر المخرج – كصياغة عقد، أو إعداد مذكرة قانونية، أو تقديم استشارة أولية – نتيجة معالجة خوارزمية ذاتية التعلم تعتمد على تحليل كميات ضخمة من البيانات، وتتطور بصورة مستمرة وفق آليات التعلم الآلي والتغذية الراجعة. وفي مثل هذا السياق، تتراجع قابلية إسناد الخطأ إلى فاعل بشري واحد بصورة مباشرة، ويغدو تحديد مصدر الخلل مسألة مركبة تتداخل فيها أدوار المصمّم، والمطور، والمستخدم، بل وأحيانًا مزود البيانات أو الجهة المالكة للبنية التحتية التقنية</w:t>
      </w:r>
      <w:r>
        <w:rPr>
          <w:rFonts w:asciiTheme="majorBidi" w:hAnsiTheme="majorBidi" w:cstheme="majorBidi"/>
          <w:sz w:val="24"/>
          <w:szCs w:val="24"/>
        </w:rPr>
        <w:t>.</w:t>
      </w:r>
    </w:p>
    <w:p w14:paraId="16E67565"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هذا الإطار، يبرز ما يُعرف في الأدبيات القانونية والتقنية بمشكلة “الغموض الخوارزمي” أو ما يُصطلح عليه بـ “الصندوق الأسود”، حيث تكون آلية اتخاذ القرار داخل النظام الذكي غير شفافة أو غير قابلة للتتبع الكامل. ويزداد هذا التعقيد في نماذج التعلم العميق التي لا يمكن فيها تفسير جميع المراحل الوسيطة التي أدت إلى النتيجة النهائية بسهولة. وقد نبهت دراسات قانونية معاصرة إلى أن هذا الغموض يمثل تحديًا جوهريًا أمام أنظمة المسؤولية المدنية التقليدية، التي تقوم على افتراض إمكانية تحديد الخطأ، وربطه بفاعل معلوم، وإثبات علاقة السببية بصورة واضحة ومباشرة</w:t>
      </w:r>
      <w:r>
        <w:rPr>
          <w:rFonts w:asciiTheme="majorBidi" w:hAnsiTheme="majorBidi" w:cstheme="majorBidi"/>
          <w:sz w:val="24"/>
          <w:szCs w:val="24"/>
        </w:rPr>
        <w:t>.</w:t>
      </w:r>
    </w:p>
    <w:p w14:paraId="223261F5"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غير أن هذا التعقيد التقني – مهما بلغ – لا يمكن أن يُتخذ مبررًا لإفراغ المسؤولية من مضمونها أو تعطيل الحماية النظامية المقررة للمتعاملين. فالقواعد العامة في المسؤولية لم تُبنَ على بساطة الوسائل، بل على حماية المراكز القانونية ومنع الإضرار بالغير. ومن ثم، فإن ظهور “الصندوق الأسود” لا يعني سقوط المسؤولية، وإنما يقتضي إعادة ضبط معايير إسنادها، سواء من خلال توسيع مفهوم الخطأ المهني ليشمل سوء الاختيار أو الإشراف أو التحقق، أو من خلال إعادة النظر في معيار العناية الواجبة، أو حتى الاتجاه – في بعض الصور – نحو تصورات أقرب إلى المسؤولية المفترضة أو الموضوعية، متى تعذر إثبات الخطأ التقليدي على نحو دقيق</w:t>
      </w:r>
      <w:r>
        <w:rPr>
          <w:rFonts w:asciiTheme="majorBidi" w:hAnsiTheme="majorBidi" w:cstheme="majorBidi"/>
          <w:sz w:val="24"/>
          <w:szCs w:val="24"/>
        </w:rPr>
        <w:t>.</w:t>
      </w:r>
    </w:p>
    <w:p w14:paraId="01E4CBAD" w14:textId="77777777" w:rsidR="00CF598B" w:rsidRPr="00C0240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جوهر الإشكالية لا يتمثل في غياب المسؤولية، بل في كيفية تكييفها بما يحقق التوازن بين العدالة التقنية وحماية العملاء من جهة، وعدم شلّ الابتكار القانوني بقيود جامدة من جهة أخرى؛ وهو ما يمهد للانتقال إلى بحث تحديد المسؤولية بين أطراف العملية التقنية: المحامي المستخدم، والمطور، ومقدم الخدمة التقنية</w:t>
      </w:r>
      <w:r>
        <w:rPr>
          <w:rFonts w:asciiTheme="majorBidi" w:hAnsiTheme="majorBidi" w:cstheme="majorBidi"/>
          <w:sz w:val="24"/>
          <w:szCs w:val="24"/>
        </w:rPr>
        <w:t>.</w:t>
      </w:r>
    </w:p>
    <w:p w14:paraId="41664CE4" w14:textId="77777777" w:rsidR="00CF598B" w:rsidRPr="00A845BC" w:rsidRDefault="00CF598B" w:rsidP="00CF598B">
      <w:pPr>
        <w:jc w:val="right"/>
        <w:rPr>
          <w:rFonts w:asciiTheme="majorBidi" w:hAnsiTheme="majorBidi" w:cstheme="majorBidi"/>
          <w:sz w:val="24"/>
          <w:szCs w:val="24"/>
        </w:rPr>
      </w:pPr>
    </w:p>
    <w:p w14:paraId="0CA0A4A5"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 xml:space="preserve">كما أن وثيقة </w:t>
      </w:r>
      <w:r>
        <w:rPr>
          <w:rFonts w:asciiTheme="majorBidi" w:hAnsiTheme="majorBidi" w:cstheme="majorBidi"/>
          <w:b/>
          <w:bCs/>
          <w:sz w:val="24"/>
          <w:szCs w:val="24"/>
          <w:rtl/>
        </w:rPr>
        <w:t>مبادئ أخلاقيات الذكاء الاصطناعي</w:t>
      </w:r>
      <w:r>
        <w:rPr>
          <w:rStyle w:val="af"/>
          <w:rFonts w:asciiTheme="majorBidi" w:hAnsiTheme="majorBidi" w:cstheme="majorBidi"/>
          <w:sz w:val="24"/>
          <w:szCs w:val="24"/>
          <w:rtl/>
        </w:rPr>
        <w:footnoteReference w:id="233"/>
      </w:r>
      <w:r>
        <w:rPr>
          <w:rFonts w:asciiTheme="majorBidi" w:hAnsiTheme="majorBidi" w:cstheme="majorBidi"/>
          <w:sz w:val="24"/>
          <w:szCs w:val="24"/>
          <w:rtl/>
        </w:rPr>
        <w:t xml:space="preserve"> الصادرة عن الهيئة السعودية للبيانات والذكاء الاصطناعي (2023) أكدت على مبدأ المساءلة بوصفه ركنًا أساسيًا في الاستخدام المسؤول للتقنيات الذكية، بما يعني أن أي جهة تستخدم هذه الأنظمة تظل مسؤولة عن نتائجها. ويتعزز هذا الاتجاه في ضوء </w:t>
      </w:r>
      <w:r>
        <w:rPr>
          <w:rFonts w:asciiTheme="majorBidi" w:hAnsiTheme="majorBidi" w:cstheme="majorBidi"/>
          <w:b/>
          <w:bCs/>
          <w:sz w:val="24"/>
          <w:szCs w:val="24"/>
          <w:rtl/>
        </w:rPr>
        <w:t>نظام حماية البيانات الشخصية</w:t>
      </w:r>
      <w:r>
        <w:rPr>
          <w:rFonts w:asciiTheme="majorBidi" w:hAnsiTheme="majorBidi" w:cstheme="majorBidi"/>
          <w:sz w:val="24"/>
          <w:szCs w:val="24"/>
          <w:rtl/>
        </w:rPr>
        <w:t xml:space="preserve"> ، الذي يحمل الجهة المعالجة التزامًا قانونيًا بضمان أمن البيانات ومنع تسريبها، وهو التزام قد يتأثر مباشرة بطريقة توظيف أنظمة الذكاء الاصطناعي داخل مكاتب المحاماة</w:t>
      </w:r>
      <w:r>
        <w:rPr>
          <w:rFonts w:asciiTheme="majorBidi" w:hAnsiTheme="majorBidi" w:cstheme="majorBidi"/>
          <w:sz w:val="24"/>
          <w:szCs w:val="24"/>
        </w:rPr>
        <w:t>.</w:t>
      </w:r>
    </w:p>
    <w:p w14:paraId="09D901F2"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المقابل، يثور تساؤل فقهي حول مدى إمكانية تحميل المسؤولية للآلة ذاتها أو منحها شخصية قانونية مستقلة، كما ناقش جانب من الفقه</w:t>
      </w:r>
      <w:r>
        <w:rPr>
          <w:rStyle w:val="af"/>
          <w:rFonts w:asciiTheme="majorBidi" w:hAnsiTheme="majorBidi" w:cstheme="majorBidi"/>
          <w:sz w:val="24"/>
          <w:szCs w:val="24"/>
          <w:rtl/>
        </w:rPr>
        <w:footnoteReference w:id="234"/>
      </w:r>
      <w:r>
        <w:rPr>
          <w:rFonts w:asciiTheme="majorBidi" w:hAnsiTheme="majorBidi" w:cstheme="majorBidi"/>
          <w:sz w:val="24"/>
          <w:szCs w:val="24"/>
          <w:rtl/>
        </w:rPr>
        <w:t>، إلا أن الاتجاه الغالب – في البيئة النظامية السعودية – لا يعترف للذكاء الاصطناعي بذمة مستقلة، مما يعني بقاء المسؤولية في إطارها البشري، سواء تعلق الأمر بالمحامي المستخدم للتقنية، أو بالمطور، أو بمقدم الخدمة التقنية</w:t>
      </w:r>
      <w:r>
        <w:rPr>
          <w:rFonts w:asciiTheme="majorBidi" w:hAnsiTheme="majorBidi" w:cstheme="majorBidi"/>
          <w:sz w:val="24"/>
          <w:szCs w:val="24"/>
        </w:rPr>
        <w:t>.</w:t>
      </w:r>
    </w:p>
    <w:p w14:paraId="652C56A3" w14:textId="77777777" w:rsidR="00CF598B" w:rsidRDefault="00CF598B" w:rsidP="00CF598B">
      <w:pPr>
        <w:jc w:val="right"/>
        <w:rPr>
          <w:rFonts w:asciiTheme="majorBidi" w:hAnsiTheme="majorBidi" w:cstheme="majorBidi"/>
          <w:sz w:val="24"/>
          <w:szCs w:val="24"/>
          <w:rtl/>
        </w:rPr>
      </w:pPr>
      <w:r>
        <w:rPr>
          <w:rFonts w:asciiTheme="majorBidi" w:hAnsiTheme="majorBidi" w:cstheme="majorBidi"/>
          <w:sz w:val="24"/>
          <w:szCs w:val="24"/>
          <w:rtl/>
        </w:rPr>
        <w:lastRenderedPageBreak/>
        <w:t>ومن ثم فإن هذا المبحث لا يقتصر على بحث مسؤولية المحامي وحده، بل يتناول بنية المسؤولية بوصفها منظومة متكاملة، تتوزع فيها الأدوار بين عدة أطراف، ويُعاد فيها تقييم معيار الخطأ والعناية المهنية وحدود الإشراف التقني. كما يستلزم ذلك الوقوف على التجارب المقارنة، لا سيما الاتجاهات الأوروبية الحديثة في مجال مسؤولية أنظمة الذكاء الاصطناعي، للاستفادة منها في ضبط التصور التنظيمي المحلي دون إغفال خصوصية البيئة النظامية السعودية</w:t>
      </w:r>
    </w:p>
    <w:p w14:paraId="71048E1E" w14:textId="77777777" w:rsidR="00CF598B" w:rsidRDefault="00CF598B" w:rsidP="00CF598B">
      <w:pPr>
        <w:jc w:val="right"/>
        <w:rPr>
          <w:rFonts w:asciiTheme="majorBidi" w:hAnsiTheme="majorBidi" w:cstheme="majorBidi"/>
          <w:sz w:val="24"/>
          <w:szCs w:val="24"/>
          <w:rtl/>
        </w:rPr>
      </w:pPr>
    </w:p>
    <w:p w14:paraId="56CD0C1C" w14:textId="77777777" w:rsidR="00CF598B" w:rsidRPr="00A845BC" w:rsidRDefault="00CF598B" w:rsidP="00CF598B">
      <w:pPr>
        <w:jc w:val="right"/>
        <w:rPr>
          <w:rFonts w:asciiTheme="majorBidi" w:hAnsiTheme="majorBidi" w:cstheme="majorBidi"/>
          <w:sz w:val="24"/>
          <w:szCs w:val="24"/>
        </w:rPr>
      </w:pPr>
    </w:p>
    <w:p w14:paraId="135667B7"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وبناءً على ما تقدم، ينقسم هذا المبحث إلى مطلبين رئيسين</w:t>
      </w:r>
    </w:p>
    <w:p w14:paraId="74D58D47"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المطلب الأول: المسؤولية المدنية والمهنية للمحامي عند استخدام الذكاء الاصطناعي</w:t>
      </w:r>
    </w:p>
    <w:p w14:paraId="3F99C6AB"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ويُعنى هذا المطلب بتحليل الأساس النظامي لمسؤولية المحامي في ضوء عقد الوكالة والقواعد العامة في المسؤولية المدنية، وبيان مدى تأثر معيار العناية المهنية باستخدام التقنيات الذكية. كما يتناول التفرقة بين الخطأ التقني والخطأ المهني، وحدود واجب الإشراف والرقابة على الأنظمة المستخدمة، وأثر الإخلال بسرية البيانات في قيام المسؤولية. وسيناقش هذا المطلب آراء الفقه القانوني المعاصر حول إعادة تشكيل مفهوم الخطأ في سياق الذكاء الاصطناعي، مع بيان موقف الباحث من مدى تشديد أو توزيع المسؤولية في البيئة المهنية للمحاماة</w:t>
      </w:r>
      <w:r>
        <w:rPr>
          <w:rFonts w:asciiTheme="majorBidi" w:hAnsiTheme="majorBidi" w:cstheme="majorBidi"/>
          <w:sz w:val="24"/>
          <w:szCs w:val="24"/>
        </w:rPr>
        <w:t>.</w:t>
      </w:r>
    </w:p>
    <w:p w14:paraId="09675AED" w14:textId="77777777" w:rsidR="00CF598B" w:rsidRPr="00A845BC" w:rsidRDefault="00CF598B" w:rsidP="00CF598B">
      <w:pPr>
        <w:jc w:val="right"/>
        <w:rPr>
          <w:rFonts w:asciiTheme="majorBidi" w:hAnsiTheme="majorBidi" w:cstheme="majorBidi"/>
          <w:b/>
          <w:bCs/>
          <w:sz w:val="24"/>
          <w:szCs w:val="24"/>
        </w:rPr>
      </w:pPr>
      <w:r>
        <w:rPr>
          <w:rFonts w:asciiTheme="majorBidi" w:hAnsiTheme="majorBidi" w:cstheme="majorBidi"/>
          <w:b/>
          <w:bCs/>
          <w:sz w:val="24"/>
          <w:szCs w:val="24"/>
          <w:rtl/>
        </w:rPr>
        <w:t>المطلب الثاني: مسؤولية المطور، المستخدم، ومقدم التقنية مع مقارنة مختصرة بالتجربة الأوروبية</w:t>
      </w:r>
    </w:p>
    <w:p w14:paraId="5D17F08A"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أما هذا المطلب فيتجه إلى تحليل توزيع المسؤولية بين الأطراف المتداخلة في إنتاج وتشغيل أنظمة الذكاء الاصطناعي، ابتداءً من المطور الذي صمم الخوارزمية، ومرورًا بمقدم الخدمة التقنية أو المنصة السحابية، وانتهاءً بالمستخدم المهني. كما يتناول مدى إمكان تطبيق نظريات تحمل التبعة أو المخاطر التقنية، ومدى ملاءمتها للبيئة النظامية السعودية. ويُستكمل التحليل بإشارة مقارنة موجزة إلى الاتجاهات الأوروبية في تنظيم مسؤولية الذكاء الاصطناعي، لا سيما فيما يتعلق بإعادة توزيع عبء الإثبات أو افتراض الخطأ، بهدف استجلاء مدى إمكانية الاستفادة منها في بناء تصور تنظيمي متوازن</w:t>
      </w:r>
      <w:r>
        <w:rPr>
          <w:rFonts w:asciiTheme="majorBidi" w:hAnsiTheme="majorBidi" w:cstheme="majorBidi"/>
          <w:sz w:val="24"/>
          <w:szCs w:val="24"/>
        </w:rPr>
        <w:t>.</w:t>
      </w:r>
    </w:p>
    <w:p w14:paraId="7A73D20B" w14:textId="77777777" w:rsidR="00CF598B" w:rsidRPr="00A845BC" w:rsidRDefault="00CF598B" w:rsidP="00CF598B">
      <w:pPr>
        <w:jc w:val="right"/>
        <w:rPr>
          <w:rFonts w:asciiTheme="majorBidi" w:hAnsiTheme="majorBidi" w:cstheme="majorBidi"/>
          <w:sz w:val="24"/>
          <w:szCs w:val="24"/>
          <w:rtl/>
        </w:rPr>
      </w:pPr>
    </w:p>
    <w:p w14:paraId="484DF020" w14:textId="77777777" w:rsidR="00CF598B" w:rsidRPr="00A845BC" w:rsidRDefault="00CF598B" w:rsidP="00CF598B">
      <w:pPr>
        <w:jc w:val="right"/>
        <w:rPr>
          <w:rFonts w:asciiTheme="majorBidi" w:hAnsiTheme="majorBidi" w:cstheme="majorBidi"/>
          <w:sz w:val="24"/>
          <w:szCs w:val="24"/>
        </w:rPr>
      </w:pPr>
      <w:r>
        <w:rPr>
          <w:rFonts w:asciiTheme="majorBidi" w:hAnsiTheme="majorBidi" w:cstheme="majorBidi"/>
          <w:sz w:val="24"/>
          <w:szCs w:val="24"/>
          <w:rtl/>
        </w:rPr>
        <w:t>وبذلك يسعى هذا المبحث إلى تأسيس تصور قانوني متكامل لمسؤولية استخدام الذكاء الاصطناعي في مكاتب المحاماة، يوازن بين حماية حقوق الموكلين، وضمان استقرار المعاملات القانونية، وعدم إرهاق الممارسين بعبء غير منضبط، تمهيدًا للانتقال في الفصول اللاحقة إلى صياغة إطار تنظيمي مقترح أكثر تحديدًا ووضوحًا</w:t>
      </w:r>
      <w:r>
        <w:rPr>
          <w:rFonts w:asciiTheme="majorBidi" w:hAnsiTheme="majorBidi" w:cstheme="majorBidi"/>
          <w:sz w:val="24"/>
          <w:szCs w:val="24"/>
        </w:rPr>
        <w:t>.</w:t>
      </w:r>
    </w:p>
    <w:p w14:paraId="16F82B9B" w14:textId="77777777" w:rsidR="00FE66C9" w:rsidRPr="002E352F" w:rsidRDefault="00FE66C9" w:rsidP="00FE66C9">
      <w:pPr>
        <w:jc w:val="right"/>
        <w:rPr>
          <w:rFonts w:asciiTheme="majorBidi" w:hAnsiTheme="majorBidi" w:cstheme="majorBidi"/>
          <w:sz w:val="24"/>
          <w:szCs w:val="24"/>
        </w:rPr>
      </w:pPr>
    </w:p>
    <w:p w14:paraId="49AD9A32" w14:textId="77777777" w:rsidR="00FE66C9" w:rsidRPr="00A845BC" w:rsidRDefault="00FE66C9" w:rsidP="00FE66C9">
      <w:pPr>
        <w:jc w:val="center"/>
        <w:rPr>
          <w:rFonts w:asciiTheme="majorBidi" w:hAnsiTheme="majorBidi" w:cstheme="majorBidi"/>
          <w:b/>
          <w:bCs/>
          <w:sz w:val="32"/>
          <w:szCs w:val="32"/>
        </w:rPr>
      </w:pPr>
      <w:r>
        <w:rPr>
          <w:rFonts w:asciiTheme="majorBidi" w:hAnsiTheme="majorBidi" w:cstheme="majorBidi"/>
          <w:b/>
          <w:bCs/>
          <w:sz w:val="32"/>
          <w:szCs w:val="32"/>
          <w:rtl/>
        </w:rPr>
        <w:t>المطلب الأول</w:t>
      </w:r>
    </w:p>
    <w:p w14:paraId="22570D55" w14:textId="07ECE553" w:rsidR="004F0491" w:rsidRDefault="00FE66C9" w:rsidP="004F0491">
      <w:pPr>
        <w:jc w:val="center"/>
        <w:rPr>
          <w:rFonts w:asciiTheme="majorBidi" w:hAnsiTheme="majorBidi" w:cstheme="majorBidi"/>
          <w:b/>
          <w:bCs/>
          <w:sz w:val="32"/>
          <w:szCs w:val="32"/>
        </w:rPr>
      </w:pPr>
      <w:r>
        <w:rPr>
          <w:rFonts w:asciiTheme="majorBidi" w:hAnsiTheme="majorBidi" w:cstheme="majorBidi"/>
          <w:b/>
          <w:bCs/>
          <w:sz w:val="32"/>
          <w:szCs w:val="32"/>
          <w:rtl/>
        </w:rPr>
        <w:t>المسؤولية المدنية والمهنية للمحامي عند استخدام الذكاء الاصطناعي</w:t>
      </w:r>
    </w:p>
    <w:p w14:paraId="28FF2559" w14:textId="77777777" w:rsidR="004F0491" w:rsidRDefault="004F0491" w:rsidP="004F0491">
      <w:pPr>
        <w:jc w:val="center"/>
        <w:rPr>
          <w:rFonts w:asciiTheme="majorBidi" w:hAnsiTheme="majorBidi" w:cstheme="majorBidi"/>
          <w:b/>
          <w:bCs/>
          <w:sz w:val="32"/>
          <w:szCs w:val="32"/>
        </w:rPr>
      </w:pPr>
    </w:p>
    <w:p w14:paraId="00A73546"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أولًا: الأساس النظامي وطبيعة التزام المحامي عند استخدام الذكاء الاصطناعي</w:t>
      </w:r>
    </w:p>
    <w:p w14:paraId="29B3652B"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 xml:space="preserve">وعلى صعيد أنظمة الإثبات الرقمي، يُشكّل نظام الإثبات السعودي الصادر بالمرسوم الملكي رقم م/43 وتاريخ 26/5/1443هـ مرجعًا تنظيميًا محوريًا يُحدد شروط قبول الدليل الرقمي وحجيته أمام القضاء. وقد أقرّ النظام بمبدأ قبول المحررات الإلكترونية وإسباغ الحجية عليها وفق شروط محددة تتعلق بضمان السلامة والتوثيق. غير أن هذه </w:t>
      </w:r>
      <w:r>
        <w:rPr>
          <w:rFonts w:asciiTheme="majorBidi" w:hAnsiTheme="majorBidi" w:cstheme="majorBidi"/>
          <w:sz w:val="24"/>
          <w:szCs w:val="24"/>
          <w:rtl/>
        </w:rPr>
        <w:lastRenderedPageBreak/>
        <w:t>الأحكام لم تُعالج بعدُ الإشكاليات الناجمة بصفة خاصة عن استخدام الذكاء الاصطناعي في إنتاج هذه الأدلة أو تحليلها.</w:t>
      </w:r>
      <w:r>
        <w:rPr>
          <w:rStyle w:val="af"/>
          <w:rFonts w:asciiTheme="majorBidi" w:hAnsiTheme="majorBidi" w:cstheme="majorBidi"/>
          <w:sz w:val="24"/>
          <w:szCs w:val="24"/>
          <w:rtl/>
        </w:rPr>
        <w:footnoteReference w:id="235"/>
      </w:r>
    </w:p>
    <w:p w14:paraId="623CF8F0"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ويُعدّ نظام المعاملات المدنية الصادر بالمرسوم الملكي رقم م/191 وتاريخ 29/11/1443هـ ركيزةً قانونيةً جوهريةً في تحديد الإطار العام للمسؤولية المدنية في المملكة؛ إذ أعاد تأصيل نظرية الالتزام والعقد وكرّس مفهوم الإرادة القانونية بوصفها أساسًا لإنشائه، كما أرسى قواعد المسؤولية عن الأضرار التي يُلحقها الشخص بغيره بسبب فعله أو خطئه أو بسبب الأشياء التي في حراسته. وتنطبق هذه القواعد على المحامي في ضوء استخدامه لأدوات الذكاء الاصطناعي في عمله المهني، مما يجعله مسؤولًا عن الأضرار الناجمة عن تقصيره في الإشراف على هذه الأدوات.</w:t>
      </w:r>
      <w:r>
        <w:rPr>
          <w:rStyle w:val="af"/>
          <w:rFonts w:asciiTheme="majorBidi" w:hAnsiTheme="majorBidi" w:cstheme="majorBidi"/>
          <w:sz w:val="24"/>
          <w:szCs w:val="24"/>
          <w:rtl/>
        </w:rPr>
        <w:footnoteReference w:id="236"/>
      </w:r>
    </w:p>
    <w:p w14:paraId="5826FE1E"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تُبنى مسؤولية المحامي في النظام السعودي – في أصلها – على </w:t>
      </w:r>
      <w:r>
        <w:rPr>
          <w:rFonts w:asciiTheme="majorBidi" w:hAnsiTheme="majorBidi" w:cstheme="majorBidi"/>
          <w:b/>
          <w:bCs/>
          <w:sz w:val="24"/>
          <w:szCs w:val="24"/>
          <w:rtl/>
        </w:rPr>
        <w:t>رابطة الوكالة</w:t>
      </w:r>
      <w:r>
        <w:rPr>
          <w:rFonts w:asciiTheme="majorBidi" w:hAnsiTheme="majorBidi" w:cstheme="majorBidi"/>
          <w:sz w:val="24"/>
          <w:szCs w:val="24"/>
          <w:rtl/>
        </w:rPr>
        <w:t xml:space="preserve"> التي تنشأ بينه وبين موكله، باعتبارها الإطار العقدي الذي يُفسّر طبيعة الالتزام وحدوده، ثم تتداخل معها </w:t>
      </w:r>
      <w:r>
        <w:rPr>
          <w:rFonts w:asciiTheme="majorBidi" w:hAnsiTheme="majorBidi" w:cstheme="majorBidi"/>
          <w:b/>
          <w:bCs/>
          <w:sz w:val="24"/>
          <w:szCs w:val="24"/>
          <w:rtl/>
        </w:rPr>
        <w:t>الطبيعة المهنية الخاصة</w:t>
      </w:r>
      <w:r>
        <w:rPr>
          <w:rFonts w:asciiTheme="majorBidi" w:hAnsiTheme="majorBidi" w:cstheme="majorBidi"/>
          <w:sz w:val="24"/>
          <w:szCs w:val="24"/>
          <w:rtl/>
        </w:rPr>
        <w:t xml:space="preserve"> للمحاماة بوصفها مهنة تقوم على الثقة والأمانة وحماية المراكز القانونية. ومن هنا، فإن مسؤولية المحامي لا تُفهم بوصفها التزامًا عاديًا بين متعاقدين متكافئين، بل التزامًا “مهنيًا” تُقاس فيه العناية بمعيار أعلى من معيار الشخص المعتاد، لأن المحامي يمارس دورًا مؤثرًا في مصائر الحقوق والإجراءات والدفوع</w:t>
      </w:r>
      <w:r>
        <w:rPr>
          <w:rFonts w:asciiTheme="majorBidi" w:hAnsiTheme="majorBidi" w:cstheme="majorBidi"/>
          <w:sz w:val="24"/>
          <w:szCs w:val="24"/>
        </w:rPr>
        <w:t>.</w:t>
      </w:r>
    </w:p>
    <w:p w14:paraId="6AEFAED8"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وقد قرر </w:t>
      </w:r>
      <w:r>
        <w:rPr>
          <w:rFonts w:asciiTheme="majorBidi" w:hAnsiTheme="majorBidi" w:cstheme="majorBidi"/>
          <w:b/>
          <w:bCs/>
          <w:sz w:val="24"/>
          <w:szCs w:val="24"/>
          <w:rtl/>
        </w:rPr>
        <w:t>نظام المحاماة</w:t>
      </w:r>
      <w:r>
        <w:rPr>
          <w:rFonts w:asciiTheme="majorBidi" w:hAnsiTheme="majorBidi" w:cstheme="majorBidi"/>
          <w:sz w:val="24"/>
          <w:szCs w:val="24"/>
          <w:rtl/>
        </w:rPr>
        <w:t xml:space="preserve"> أن المحامي يباشر أعماله “وفق أصولها الشرعية والنظامية” وبما يقتضيه ذلك من التزام بواجبات المهنة (هيئة الخبراء بمجلس الوزراء، 1422هـ)، وجاءت </w:t>
      </w:r>
      <w:r>
        <w:rPr>
          <w:rFonts w:asciiTheme="majorBidi" w:hAnsiTheme="majorBidi" w:cstheme="majorBidi"/>
          <w:b/>
          <w:bCs/>
          <w:sz w:val="24"/>
          <w:szCs w:val="24"/>
          <w:rtl/>
        </w:rPr>
        <w:t>اللائحة التنفيذية</w:t>
      </w:r>
      <w:r>
        <w:rPr>
          <w:rFonts w:asciiTheme="majorBidi" w:hAnsiTheme="majorBidi" w:cstheme="majorBidi"/>
          <w:sz w:val="24"/>
          <w:szCs w:val="24"/>
          <w:rtl/>
        </w:rPr>
        <w:t xml:space="preserve"> مؤكدةً على مضمون هذا الالتزام من خلال تقرير واجب المحافظة على مصالح الموكل وبذل العناية اللازمة في الأداء (وزارة العدل، 1441هـ). ويكتسب هذا الإطار أهميته لأنه يضع أساسًا يُفيد بأن “العناية” ليست خيارًا مهنيًا، بل </w:t>
      </w:r>
      <w:r>
        <w:rPr>
          <w:rFonts w:asciiTheme="majorBidi" w:hAnsiTheme="majorBidi" w:cstheme="majorBidi"/>
          <w:b/>
          <w:bCs/>
          <w:sz w:val="24"/>
          <w:szCs w:val="24"/>
          <w:rtl/>
        </w:rPr>
        <w:t>واجب نظامي</w:t>
      </w:r>
      <w:r>
        <w:rPr>
          <w:rFonts w:asciiTheme="majorBidi" w:hAnsiTheme="majorBidi" w:cstheme="majorBidi"/>
          <w:sz w:val="24"/>
          <w:szCs w:val="24"/>
          <w:rtl/>
        </w:rPr>
        <w:t xml:space="preserve"> يُرتّب آثارًا عند الإخلال</w:t>
      </w:r>
      <w:r>
        <w:rPr>
          <w:rFonts w:asciiTheme="majorBidi" w:hAnsiTheme="majorBidi" w:cstheme="majorBidi"/>
          <w:sz w:val="24"/>
          <w:szCs w:val="24"/>
        </w:rPr>
        <w:t>.</w:t>
      </w:r>
    </w:p>
    <w:p w14:paraId="08138E88"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وعلى مستوى القواعد العامة، يقرر </w:t>
      </w:r>
      <w:r>
        <w:rPr>
          <w:rFonts w:asciiTheme="majorBidi" w:hAnsiTheme="majorBidi" w:cstheme="majorBidi"/>
          <w:b/>
          <w:bCs/>
          <w:sz w:val="24"/>
          <w:szCs w:val="24"/>
          <w:rtl/>
        </w:rPr>
        <w:t>نظام المعاملات المدنية</w:t>
      </w:r>
      <w:r>
        <w:rPr>
          <w:rFonts w:asciiTheme="majorBidi" w:hAnsiTheme="majorBidi" w:cstheme="majorBidi"/>
          <w:sz w:val="24"/>
          <w:szCs w:val="24"/>
          <w:rtl/>
        </w:rPr>
        <w:t xml:space="preserve"> أن كل خطأ سبب ضررًا للغير يُلزم من ارتكبه بالتعويض (هيئة الخبراء بمجلس الوزراء، 1445هـ). وبذلك تلتقي مسؤولية المحامي مع النموذج المدني العام القائم على</w:t>
      </w:r>
      <w:r>
        <w:rPr>
          <w:rFonts w:asciiTheme="majorBidi" w:hAnsiTheme="majorBidi" w:cstheme="majorBidi"/>
          <w:sz w:val="24"/>
          <w:szCs w:val="24"/>
        </w:rPr>
        <w:t xml:space="preserve">: </w:t>
      </w:r>
      <w:r>
        <w:rPr>
          <w:rFonts w:asciiTheme="majorBidi" w:hAnsiTheme="majorBidi" w:cstheme="majorBidi"/>
          <w:b/>
          <w:bCs/>
          <w:sz w:val="24"/>
          <w:szCs w:val="24"/>
          <w:rtl/>
        </w:rPr>
        <w:t>الخطأ – الضرر – السببية</w:t>
      </w:r>
      <w:r>
        <w:rPr>
          <w:rFonts w:asciiTheme="majorBidi" w:hAnsiTheme="majorBidi" w:cstheme="majorBidi"/>
          <w:sz w:val="24"/>
          <w:szCs w:val="24"/>
        </w:rPr>
        <w:t xml:space="preserve">. </w:t>
      </w:r>
      <w:r>
        <w:rPr>
          <w:rFonts w:asciiTheme="majorBidi" w:hAnsiTheme="majorBidi" w:cstheme="majorBidi"/>
          <w:sz w:val="24"/>
          <w:szCs w:val="24"/>
          <w:rtl/>
        </w:rPr>
        <w:t>غير أن إدخال الذكاء الاصطناعي إلى أعمال البحث والصياغة والتحليل يخلق سؤالًا محوريًا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 يتغير “موضع الإسناد” إذا كان المخرج القانوني قد تولّد عبر خوارزمية؟</w:t>
      </w:r>
    </w:p>
    <w:p w14:paraId="714FA6D5"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هنا تظهر أطروحتان في الكتابات القانونية المعاصرة</w:t>
      </w:r>
      <w:r>
        <w:rPr>
          <w:rFonts w:asciiTheme="majorBidi" w:hAnsiTheme="majorBidi" w:cstheme="majorBidi"/>
          <w:sz w:val="24"/>
          <w:szCs w:val="24"/>
        </w:rPr>
        <w:t>:</w:t>
      </w:r>
    </w:p>
    <w:p w14:paraId="17C038C3" w14:textId="77777777" w:rsidR="004F0491" w:rsidRPr="00AD56AA" w:rsidRDefault="004F0491" w:rsidP="004F0491">
      <w:pPr>
        <w:numPr>
          <w:ilvl w:val="0"/>
          <w:numId w:val="18"/>
        </w:numPr>
        <w:bidi/>
        <w:rPr>
          <w:rFonts w:asciiTheme="majorBidi" w:hAnsiTheme="majorBidi" w:cstheme="majorBidi"/>
          <w:sz w:val="24"/>
          <w:szCs w:val="24"/>
        </w:rPr>
      </w:pPr>
      <w:r>
        <w:rPr>
          <w:rFonts w:asciiTheme="majorBidi" w:hAnsiTheme="majorBidi" w:cstheme="majorBidi"/>
          <w:b/>
          <w:bCs/>
          <w:sz w:val="24"/>
          <w:szCs w:val="24"/>
          <w:rtl/>
        </w:rPr>
        <w:t>أطروحة الإبقاء على الإسناد للمحامي (الاعتماد والتقديم)</w:t>
      </w:r>
      <w:r>
        <w:rPr>
          <w:rFonts w:asciiTheme="majorBidi" w:hAnsiTheme="majorBidi" w:cstheme="majorBidi"/>
          <w:sz w:val="24"/>
          <w:szCs w:val="24"/>
        </w:rPr>
        <w:br/>
      </w:r>
      <w:r>
        <w:rPr>
          <w:rFonts w:asciiTheme="majorBidi" w:hAnsiTheme="majorBidi" w:cstheme="majorBidi"/>
          <w:sz w:val="24"/>
          <w:szCs w:val="24"/>
          <w:rtl/>
        </w:rPr>
        <w:t xml:space="preserve">ومؤداها أن المسؤولية لا تنتفي لمجرد استعمال أداة تقنية، لأن المحامي يظل هو “صاحب القرار” في اعتماد المخرج وتقديمه للموكل أو للقضاء باسمه، وبالتالي فإن علاقة السببية القانونية لا تنقطع بمجرد وجود وسيط تقني. وهذه الفكرة تتعزز بما انتهى إليه </w:t>
      </w:r>
      <w:r>
        <w:rPr>
          <w:rFonts w:asciiTheme="majorBidi" w:hAnsiTheme="majorBidi" w:cstheme="majorBidi"/>
          <w:b/>
          <w:bCs/>
          <w:sz w:val="24"/>
          <w:szCs w:val="24"/>
          <w:rtl/>
        </w:rPr>
        <w:t>الحربي</w:t>
      </w:r>
      <w:r>
        <w:rPr>
          <w:rFonts w:asciiTheme="majorBidi" w:hAnsiTheme="majorBidi" w:cstheme="majorBidi"/>
          <w:b/>
          <w:bCs/>
          <w:sz w:val="24"/>
          <w:szCs w:val="24"/>
        </w:rPr>
        <w:t xml:space="preserve"> (2019)</w:t>
      </w:r>
      <w:r>
        <w:rPr>
          <w:rFonts w:asciiTheme="majorBidi" w:hAnsiTheme="majorBidi" w:cstheme="majorBidi"/>
          <w:sz w:val="24"/>
          <w:szCs w:val="24"/>
        </w:rPr>
        <w:t xml:space="preserve"> </w:t>
      </w:r>
      <w:r>
        <w:rPr>
          <w:rFonts w:asciiTheme="majorBidi" w:hAnsiTheme="majorBidi" w:cstheme="majorBidi"/>
          <w:sz w:val="24"/>
          <w:szCs w:val="24"/>
          <w:rtl/>
        </w:rPr>
        <w:t>عند مناقشة الشخصية القانونية للذكاء الاصطناعي؛ إذ يقرر – في الاتجاه الغالب – أن الأنظمة الذكية لا تتمتع بذمة مستقلة، وأن الإسناد يبقى للأشخاص الطبيعيين أو الاعتباريين، وهو ما يعني عمليًا أن “الآلة” لا تتحول إلى مركز للمسؤولية في ذاتها</w:t>
      </w:r>
      <w:r>
        <w:rPr>
          <w:rFonts w:asciiTheme="majorBidi" w:hAnsiTheme="majorBidi" w:cstheme="majorBidi"/>
          <w:sz w:val="24"/>
          <w:szCs w:val="24"/>
        </w:rPr>
        <w:t>.</w:t>
      </w:r>
    </w:p>
    <w:p w14:paraId="444E3C39" w14:textId="77777777" w:rsidR="004F0491" w:rsidRPr="00AD56AA" w:rsidRDefault="004F0491" w:rsidP="004F0491">
      <w:pPr>
        <w:numPr>
          <w:ilvl w:val="0"/>
          <w:numId w:val="18"/>
        </w:numPr>
        <w:bidi/>
        <w:rPr>
          <w:rFonts w:asciiTheme="majorBidi" w:hAnsiTheme="majorBidi" w:cstheme="majorBidi"/>
          <w:sz w:val="24"/>
          <w:szCs w:val="24"/>
        </w:rPr>
      </w:pPr>
      <w:r>
        <w:rPr>
          <w:rFonts w:asciiTheme="majorBidi" w:hAnsiTheme="majorBidi" w:cstheme="majorBidi"/>
          <w:b/>
          <w:bCs/>
          <w:sz w:val="24"/>
          <w:szCs w:val="24"/>
          <w:rtl/>
        </w:rPr>
        <w:t>أطروحة تقييد الإسناد إذا كان الخلل تقنيًا محضًا وخفيًا</w:t>
      </w:r>
      <w:r>
        <w:rPr>
          <w:rFonts w:asciiTheme="majorBidi" w:hAnsiTheme="majorBidi" w:cstheme="majorBidi"/>
          <w:sz w:val="24"/>
          <w:szCs w:val="24"/>
        </w:rPr>
        <w:br/>
      </w:r>
      <w:r>
        <w:rPr>
          <w:rFonts w:asciiTheme="majorBidi" w:hAnsiTheme="majorBidi" w:cstheme="majorBidi"/>
          <w:sz w:val="24"/>
          <w:szCs w:val="24"/>
          <w:rtl/>
        </w:rPr>
        <w:t xml:space="preserve">وتُثيرها بعض أدبيات المسؤولية عن أفعال الذكاء الاصطناعي حين تتحدث عن تعقيد الخوارزميات وصعوبة إدراك آليات إنتاج النتيجة، لكن هذه الأطروحة – في المجال المهني – لا تقود غالبًا إلى </w:t>
      </w:r>
      <w:r>
        <w:rPr>
          <w:rFonts w:asciiTheme="majorBidi" w:hAnsiTheme="majorBidi" w:cstheme="majorBidi"/>
          <w:sz w:val="24"/>
          <w:szCs w:val="24"/>
          <w:rtl/>
        </w:rPr>
        <w:lastRenderedPageBreak/>
        <w:t xml:space="preserve">الإعفاء، بل إلى </w:t>
      </w:r>
      <w:r>
        <w:rPr>
          <w:rFonts w:asciiTheme="majorBidi" w:hAnsiTheme="majorBidi" w:cstheme="majorBidi"/>
          <w:b/>
          <w:bCs/>
          <w:sz w:val="24"/>
          <w:szCs w:val="24"/>
          <w:rtl/>
        </w:rPr>
        <w:t>إعادة توزيع المسؤولية</w:t>
      </w:r>
      <w:r>
        <w:rPr>
          <w:rFonts w:asciiTheme="majorBidi" w:hAnsiTheme="majorBidi" w:cstheme="majorBidi"/>
          <w:sz w:val="24"/>
          <w:szCs w:val="24"/>
          <w:rtl/>
        </w:rPr>
        <w:t xml:space="preserve"> بين المستخدم المهني ومطور التقنية ومزودها، وهو ما سنفصل له في المطلب الثاني</w:t>
      </w:r>
      <w:r>
        <w:rPr>
          <w:rFonts w:asciiTheme="majorBidi" w:hAnsiTheme="majorBidi" w:cstheme="majorBidi"/>
          <w:sz w:val="24"/>
          <w:szCs w:val="24"/>
        </w:rPr>
        <w:t>.</w:t>
      </w:r>
    </w:p>
    <w:p w14:paraId="08693712" w14:textId="7E46469D" w:rsidR="004F0491" w:rsidRPr="00AD56AA" w:rsidRDefault="006367A6" w:rsidP="004F0491">
      <w:pPr>
        <w:jc w:val="right"/>
        <w:rPr>
          <w:rFonts w:asciiTheme="majorBidi" w:hAnsiTheme="majorBidi" w:cstheme="majorBidi"/>
          <w:sz w:val="24"/>
          <w:szCs w:val="24"/>
        </w:rPr>
      </w:pPr>
      <w:r>
        <w:rPr>
          <w:rFonts w:asciiTheme="majorBidi" w:hAnsiTheme="majorBidi" w:cstheme="majorBidi" w:hint="cs"/>
          <w:sz w:val="24"/>
          <w:szCs w:val="24"/>
          <w:rtl/>
        </w:rPr>
        <w:t>ومما سبق</w:t>
      </w:r>
      <w:r>
        <w:rPr>
          <w:rFonts w:asciiTheme="majorBidi" w:hAnsiTheme="majorBidi" w:cstheme="majorBidi"/>
          <w:sz w:val="24"/>
          <w:szCs w:val="24"/>
          <w:rtl/>
        </w:rPr>
        <w:t xml:space="preserve">، فإن محاولة “تجريد” المحامي من المسؤولية بحجة استقلال الخوارزمية لا تتسق مع جوهر المهنة؛ لأن جوهر المحاماة ليس إنتاج النص، بل </w:t>
      </w:r>
      <w:r>
        <w:rPr>
          <w:rFonts w:asciiTheme="majorBidi" w:hAnsiTheme="majorBidi" w:cstheme="majorBidi"/>
          <w:b/>
          <w:bCs/>
          <w:sz w:val="24"/>
          <w:szCs w:val="24"/>
          <w:rtl/>
        </w:rPr>
        <w:t>تحمل تبعة الرأي القانوني</w:t>
      </w:r>
      <w:r>
        <w:rPr>
          <w:rFonts w:asciiTheme="majorBidi" w:hAnsiTheme="majorBidi" w:cstheme="majorBidi"/>
          <w:sz w:val="24"/>
          <w:szCs w:val="24"/>
          <w:rtl/>
        </w:rPr>
        <w:t>، وتقدير المخاطر، والتحقق من الملاءمة. فالذكاء الاصطناعي – مهما بلغ – يظل في نهاية المطاف “أداة استدلال” أو “مُعينًا” لا “ضميرًا مهنيًا” ولا “جهة إفتاء قانوني” تُنهي النقاش أو تحسم الإسناد</w:t>
      </w:r>
      <w:r>
        <w:rPr>
          <w:rFonts w:asciiTheme="majorBidi" w:hAnsiTheme="majorBidi" w:cstheme="majorBidi"/>
          <w:sz w:val="24"/>
          <w:szCs w:val="24"/>
        </w:rPr>
        <w:t>.</w:t>
      </w:r>
    </w:p>
    <w:p w14:paraId="47725148" w14:textId="77777777" w:rsidR="004F0491" w:rsidRPr="00AD56AA" w:rsidRDefault="004F0491" w:rsidP="004F0491">
      <w:pPr>
        <w:rPr>
          <w:rFonts w:asciiTheme="majorBidi" w:hAnsiTheme="majorBidi" w:cstheme="majorBidi"/>
          <w:sz w:val="24"/>
          <w:szCs w:val="24"/>
        </w:rPr>
      </w:pPr>
    </w:p>
    <w:p w14:paraId="07A5034A" w14:textId="77777777" w:rsidR="004F0491" w:rsidRDefault="004F0491" w:rsidP="004F0491">
      <w:pPr>
        <w:bidi/>
        <w:jc w:val="both"/>
        <w:rPr>
          <w:rFonts w:asciiTheme="majorBidi" w:hAnsiTheme="majorBidi" w:cstheme="majorBidi"/>
          <w:sz w:val="24"/>
          <w:szCs w:val="24"/>
          <w:rtl/>
        </w:rPr>
      </w:pPr>
      <w:r>
        <w:rPr>
          <w:rFonts w:asciiTheme="majorBidi" w:hAnsiTheme="majorBidi" w:cstheme="majorBidi"/>
          <w:sz w:val="24"/>
          <w:szCs w:val="24"/>
          <w:rtl/>
        </w:rPr>
        <w:t>وقد أوضح المالكي في دراسته الرائدة حول المسؤولية المدنية عن فعل الذكاء الاصطناعي في النظام السعودي أن مبدأ الإشراف يشمل جميع الوسائل التي يستخدمها المهني في أداء عمله، وأنه يظل مسؤولًا عن نتائجها القانونية ما لم يُثبت أنه بذل العناية اللازمة للتحقق من صحتها. ويرى الباحث في ضوء هذا الطرح أن التزام المحامي بالتدقيق في مخرجات أدوات الذكاء الاصطناعي واستيثاق صحتها قبل تقديمها للموكل أو للجهات القضائية يُعدّ التزامًا قانونيًا مدنيًا لا يُعفى منه.</w:t>
      </w:r>
      <w:r>
        <w:rPr>
          <w:rStyle w:val="af"/>
          <w:rFonts w:asciiTheme="majorBidi" w:hAnsiTheme="majorBidi" w:cstheme="majorBidi"/>
          <w:sz w:val="24"/>
          <w:szCs w:val="24"/>
          <w:rtl/>
        </w:rPr>
        <w:footnoteReference w:id="237"/>
      </w:r>
    </w:p>
    <w:p w14:paraId="607BCFF9"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استقر الفقه القانوني على أن التزام المحامي – في الغالب</w:t>
      </w:r>
      <w:r>
        <w:rPr>
          <w:rFonts w:asciiTheme="majorBidi" w:hAnsiTheme="majorBidi" w:cstheme="majorBidi"/>
          <w:sz w:val="24"/>
          <w:szCs w:val="24"/>
        </w:rPr>
        <w:t xml:space="preserve"> – </w:t>
      </w:r>
      <w:r>
        <w:rPr>
          <w:rFonts w:asciiTheme="majorBidi" w:hAnsiTheme="majorBidi" w:cstheme="majorBidi"/>
          <w:b/>
          <w:bCs/>
          <w:sz w:val="24"/>
          <w:szCs w:val="24"/>
          <w:rtl/>
        </w:rPr>
        <w:t>التزام ببذل عناية</w:t>
      </w:r>
      <w:r>
        <w:rPr>
          <w:rFonts w:asciiTheme="majorBidi" w:hAnsiTheme="majorBidi" w:cstheme="majorBidi"/>
          <w:sz w:val="24"/>
          <w:szCs w:val="24"/>
          <w:rtl/>
        </w:rPr>
        <w:t xml:space="preserve"> لا التزام بتحقيق نتيجة؛ فلا يضمن المحامي كسب الدعوى، لكنه يضمن مستوىً من الجهد المهني المتوافق مع أصول المهنة. إلا أن الإشكال في البيئة الرقمية ليس في هذا التكييف من حيث المبدأ، بل في </w:t>
      </w:r>
      <w:r>
        <w:rPr>
          <w:rFonts w:asciiTheme="majorBidi" w:hAnsiTheme="majorBidi" w:cstheme="majorBidi"/>
          <w:b/>
          <w:bCs/>
          <w:sz w:val="24"/>
          <w:szCs w:val="24"/>
          <w:rtl/>
        </w:rPr>
        <w:t>معيار العناية ذاته</w:t>
      </w:r>
      <w:r>
        <w:rPr>
          <w:rFonts w:asciiTheme="majorBidi" w:hAnsiTheme="majorBidi" w:cstheme="majorBidi"/>
          <w:sz w:val="24"/>
          <w:szCs w:val="24"/>
        </w:rPr>
        <w:t xml:space="preserve">: </w:t>
      </w:r>
      <w:r>
        <w:rPr>
          <w:rFonts w:asciiTheme="majorBidi" w:hAnsiTheme="majorBidi" w:cstheme="majorBidi"/>
          <w:sz w:val="24"/>
          <w:szCs w:val="24"/>
          <w:rtl/>
        </w:rPr>
        <w:t>هل يبقى ثابتًا بينما تتغير أدوات إنتاج الخدمة القانونية جذريًا؟</w:t>
      </w:r>
    </w:p>
    <w:p w14:paraId="08E6761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يشير </w:t>
      </w:r>
      <w:r>
        <w:rPr>
          <w:rFonts w:asciiTheme="majorBidi" w:hAnsiTheme="majorBidi" w:cstheme="majorBidi" w:hint="cs"/>
          <w:b/>
          <w:bCs/>
          <w:sz w:val="24"/>
          <w:szCs w:val="24"/>
          <w:rtl/>
        </w:rPr>
        <w:t>خليل</w:t>
      </w:r>
      <w:r>
        <w:rPr>
          <w:rStyle w:val="af"/>
          <w:rFonts w:asciiTheme="majorBidi" w:hAnsiTheme="majorBidi" w:cstheme="majorBidi"/>
          <w:b/>
          <w:bCs/>
          <w:sz w:val="24"/>
          <w:szCs w:val="24"/>
          <w:rtl/>
        </w:rPr>
        <w:footnoteReference w:id="238"/>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أن التحول الرقمي يعيد تعريف الكفاءة المهنية، بحيث لا تقتصر على المعرفة القانونية التقليدية، بل تمتد إلى القدرة على توظيف الأدوات التقنية بصورة صحيحة ومُحكمة. وفي السياق نفسه، يذهب </w:t>
      </w:r>
      <w:r>
        <w:rPr>
          <w:rFonts w:asciiTheme="majorBidi" w:hAnsiTheme="majorBidi" w:cstheme="majorBidi"/>
          <w:b/>
          <w:bCs/>
          <w:sz w:val="24"/>
          <w:szCs w:val="24"/>
          <w:rtl/>
        </w:rPr>
        <w:t>العيسى</w:t>
      </w:r>
      <w:r>
        <w:rPr>
          <w:rStyle w:val="af"/>
          <w:rFonts w:asciiTheme="majorBidi" w:hAnsiTheme="majorBidi" w:cstheme="majorBidi"/>
          <w:b/>
          <w:bCs/>
          <w:sz w:val="24"/>
          <w:szCs w:val="24"/>
          <w:rtl/>
        </w:rPr>
        <w:footnoteReference w:id="239"/>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 xml:space="preserve">إلى أن استخدام أنظمة الذكاء الاصطناعي يرتب واجبًا على المستخدم المهني يتمثل في </w:t>
      </w:r>
      <w:r>
        <w:rPr>
          <w:rFonts w:asciiTheme="majorBidi" w:hAnsiTheme="majorBidi" w:cstheme="majorBidi"/>
          <w:b/>
          <w:bCs/>
          <w:sz w:val="24"/>
          <w:szCs w:val="24"/>
          <w:rtl/>
        </w:rPr>
        <w:t>التحقق من ملاءمة الأداة ودقة مخرجاتها</w:t>
      </w:r>
      <w:r>
        <w:rPr>
          <w:rFonts w:asciiTheme="majorBidi" w:hAnsiTheme="majorBidi" w:cstheme="majorBidi"/>
          <w:sz w:val="24"/>
          <w:szCs w:val="24"/>
          <w:rtl/>
        </w:rPr>
        <w:t xml:space="preserve"> قبل الاعتماد عليها، لأن الاعتماد غير المتحقق يفرغ واجب العناية من مضمونه</w:t>
      </w:r>
      <w:r>
        <w:rPr>
          <w:rFonts w:asciiTheme="majorBidi" w:hAnsiTheme="majorBidi" w:cstheme="majorBidi"/>
          <w:sz w:val="24"/>
          <w:szCs w:val="24"/>
        </w:rPr>
        <w:t>.</w:t>
      </w:r>
    </w:p>
    <w:p w14:paraId="0C4D737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وعليه، فإن “العناية” في زمن الذكاء الاصطناعي لا تعني مجرد القراءة والتدقيق اللغوي أو استحضار النصوص، بل تشمل عناصر جديدة، أهمها</w:t>
      </w:r>
      <w:r>
        <w:rPr>
          <w:rFonts w:asciiTheme="majorBidi" w:hAnsiTheme="majorBidi" w:cstheme="majorBidi"/>
          <w:sz w:val="24"/>
          <w:szCs w:val="24"/>
        </w:rPr>
        <w:t>:</w:t>
      </w:r>
    </w:p>
    <w:p w14:paraId="1253D35C"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فهم حدود النظام</w:t>
      </w:r>
      <w:r>
        <w:rPr>
          <w:rFonts w:asciiTheme="majorBidi" w:hAnsiTheme="majorBidi" w:cstheme="majorBidi"/>
          <w:sz w:val="24"/>
          <w:szCs w:val="24"/>
          <w:rtl/>
        </w:rPr>
        <w:t xml:space="preserve"> </w:t>
      </w:r>
      <w:r>
        <w:rPr>
          <w:rFonts w:asciiTheme="majorBidi" w:hAnsiTheme="majorBidi" w:cstheme="majorBidi"/>
          <w:sz w:val="24"/>
          <w:szCs w:val="24"/>
        </w:rPr>
        <w:t>(</w:t>
      </w:r>
      <w:r>
        <w:rPr>
          <w:rFonts w:asciiTheme="majorBidi" w:hAnsiTheme="majorBidi" w:cstheme="majorBidi"/>
          <w:sz w:val="24"/>
          <w:szCs w:val="24"/>
          <w:rtl/>
        </w:rPr>
        <w:t>ما الذي يجيده؟ وما الذي يضلّل فيه؟</w:t>
      </w:r>
      <w:r>
        <w:rPr>
          <w:rFonts w:asciiTheme="majorBidi" w:hAnsiTheme="majorBidi" w:cstheme="majorBidi"/>
          <w:sz w:val="24"/>
          <w:szCs w:val="24"/>
        </w:rPr>
        <w:t>).</w:t>
      </w:r>
    </w:p>
    <w:p w14:paraId="34E02134"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التأكد من تحديثه</w:t>
      </w:r>
      <w:r>
        <w:rPr>
          <w:rFonts w:asciiTheme="majorBidi" w:hAnsiTheme="majorBidi" w:cstheme="majorBidi"/>
          <w:sz w:val="24"/>
          <w:szCs w:val="24"/>
          <w:rtl/>
        </w:rPr>
        <w:t xml:space="preserve"> ومصدر معارفه ومدى مواءمته للأنظمة السعودية</w:t>
      </w:r>
      <w:r>
        <w:rPr>
          <w:rFonts w:asciiTheme="majorBidi" w:hAnsiTheme="majorBidi" w:cstheme="majorBidi"/>
          <w:sz w:val="24"/>
          <w:szCs w:val="24"/>
        </w:rPr>
        <w:t>.</w:t>
      </w:r>
    </w:p>
    <w:p w14:paraId="156684E3"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تقدير قابلية الخطأ</w:t>
      </w:r>
      <w:r>
        <w:rPr>
          <w:rFonts w:asciiTheme="majorBidi" w:hAnsiTheme="majorBidi" w:cstheme="majorBidi"/>
          <w:sz w:val="24"/>
          <w:szCs w:val="24"/>
          <w:rtl/>
        </w:rPr>
        <w:t xml:space="preserve"> في المخرجات واحتمال “الهلاوس القانونية” (إحالات أو سوابق غير دقيقة)</w:t>
      </w:r>
      <w:r>
        <w:rPr>
          <w:rFonts w:asciiTheme="majorBidi" w:hAnsiTheme="majorBidi" w:cstheme="majorBidi"/>
          <w:sz w:val="24"/>
          <w:szCs w:val="24"/>
        </w:rPr>
        <w:t>.</w:t>
      </w:r>
    </w:p>
    <w:p w14:paraId="1904A666" w14:textId="77777777" w:rsidR="004F0491" w:rsidRPr="00AD56AA" w:rsidRDefault="004F0491" w:rsidP="004F0491">
      <w:pPr>
        <w:numPr>
          <w:ilvl w:val="0"/>
          <w:numId w:val="19"/>
        </w:numPr>
        <w:bidi/>
        <w:rPr>
          <w:rFonts w:asciiTheme="majorBidi" w:hAnsiTheme="majorBidi" w:cstheme="majorBidi"/>
          <w:sz w:val="24"/>
          <w:szCs w:val="24"/>
        </w:rPr>
      </w:pPr>
      <w:r>
        <w:rPr>
          <w:rFonts w:asciiTheme="majorBidi" w:hAnsiTheme="majorBidi" w:cstheme="majorBidi"/>
          <w:b/>
          <w:bCs/>
          <w:sz w:val="24"/>
          <w:szCs w:val="24"/>
          <w:rtl/>
        </w:rPr>
        <w:t>عدم الإحلال الكامل</w:t>
      </w:r>
      <w:r>
        <w:rPr>
          <w:rFonts w:asciiTheme="majorBidi" w:hAnsiTheme="majorBidi" w:cstheme="majorBidi"/>
          <w:sz w:val="24"/>
          <w:szCs w:val="24"/>
          <w:rtl/>
        </w:rPr>
        <w:t xml:space="preserve"> للأداة محل الاجتهاد البشري، خصوصًا في الوقائع المعقدة أو المسائل المستحدثة</w:t>
      </w:r>
      <w:r>
        <w:rPr>
          <w:rFonts w:asciiTheme="majorBidi" w:hAnsiTheme="majorBidi" w:cstheme="majorBidi"/>
          <w:sz w:val="24"/>
          <w:szCs w:val="24"/>
        </w:rPr>
        <w:t>.</w:t>
      </w:r>
    </w:p>
    <w:p w14:paraId="627057CA" w14:textId="77777777" w:rsidR="004F0491" w:rsidRPr="00AD56AA" w:rsidRDefault="004F0491" w:rsidP="004F0491">
      <w:pPr>
        <w:jc w:val="right"/>
        <w:rPr>
          <w:rFonts w:asciiTheme="majorBidi" w:hAnsiTheme="majorBidi" w:cstheme="majorBidi"/>
          <w:sz w:val="24"/>
          <w:szCs w:val="24"/>
          <w:rtl/>
        </w:rPr>
      </w:pPr>
      <w:r>
        <w:rPr>
          <w:rFonts w:asciiTheme="majorBidi" w:hAnsiTheme="majorBidi" w:cstheme="majorBidi"/>
          <w:sz w:val="24"/>
          <w:szCs w:val="24"/>
          <w:rtl/>
        </w:rPr>
        <w:t xml:space="preserve">ومن تحليلي كباحث، أرى أن التزام المحامي في البيئة الرقمية أصبح أقرب إلى </w:t>
      </w:r>
      <w:r>
        <w:rPr>
          <w:rFonts w:asciiTheme="majorBidi" w:hAnsiTheme="majorBidi" w:cstheme="majorBidi"/>
          <w:b/>
          <w:bCs/>
          <w:sz w:val="24"/>
          <w:szCs w:val="24"/>
          <w:rtl/>
        </w:rPr>
        <w:t>التزام مركّب</w:t>
      </w:r>
      <w:r>
        <w:rPr>
          <w:rFonts w:asciiTheme="majorBidi" w:hAnsiTheme="majorBidi" w:cstheme="majorBidi"/>
          <w:sz w:val="24"/>
          <w:szCs w:val="24"/>
          <w:rtl/>
        </w:rPr>
        <w:t xml:space="preserve"> </w:t>
      </w:r>
      <w:r>
        <w:rPr>
          <w:rFonts w:asciiTheme="majorBidi" w:hAnsiTheme="majorBidi" w:cstheme="majorBidi"/>
          <w:sz w:val="24"/>
          <w:szCs w:val="24"/>
        </w:rPr>
        <w:t>(</w:t>
      </w:r>
      <w:r>
        <w:rPr>
          <w:rFonts w:asciiTheme="majorBidi" w:hAnsiTheme="majorBidi" w:cstheme="majorBidi"/>
          <w:sz w:val="24"/>
          <w:szCs w:val="24"/>
          <w:rtl/>
        </w:rPr>
        <w:t>وليس مجرد بذل عناية بسيط</w:t>
      </w:r>
      <w:r>
        <w:rPr>
          <w:rFonts w:asciiTheme="majorBidi" w:hAnsiTheme="majorBidi" w:cstheme="majorBidi" w:hint="cs"/>
          <w:sz w:val="24"/>
          <w:szCs w:val="24"/>
          <w:rtl/>
        </w:rPr>
        <w:t>ة:</w:t>
      </w:r>
    </w:p>
    <w:p w14:paraId="0AE4DE31" w14:textId="77777777" w:rsidR="004F0491" w:rsidRPr="00AD56AA" w:rsidRDefault="004F0491" w:rsidP="004F0491">
      <w:pPr>
        <w:numPr>
          <w:ilvl w:val="0"/>
          <w:numId w:val="20"/>
        </w:numPr>
        <w:bidi/>
        <w:rPr>
          <w:rFonts w:asciiTheme="majorBidi" w:hAnsiTheme="majorBidi" w:cstheme="majorBidi"/>
          <w:sz w:val="24"/>
          <w:szCs w:val="24"/>
        </w:rPr>
      </w:pPr>
      <w:r>
        <w:rPr>
          <w:rFonts w:asciiTheme="majorBidi" w:hAnsiTheme="majorBidi" w:cstheme="majorBidi"/>
          <w:b/>
          <w:bCs/>
          <w:sz w:val="24"/>
          <w:szCs w:val="24"/>
          <w:rtl/>
        </w:rPr>
        <w:t>عناية قانونية</w:t>
      </w:r>
      <w:r>
        <w:rPr>
          <w:rFonts w:asciiTheme="majorBidi" w:hAnsiTheme="majorBidi" w:cstheme="majorBidi"/>
          <w:sz w:val="24"/>
          <w:szCs w:val="24"/>
        </w:rPr>
        <w:t xml:space="preserve">: </w:t>
      </w:r>
      <w:r>
        <w:rPr>
          <w:rFonts w:asciiTheme="majorBidi" w:hAnsiTheme="majorBidi" w:cstheme="majorBidi"/>
          <w:sz w:val="24"/>
          <w:szCs w:val="24"/>
          <w:rtl/>
        </w:rPr>
        <w:t>تتعلق بصحة التكييف، وحسن الاستدلال، وتقدير النصوص والدفوع</w:t>
      </w:r>
      <w:r>
        <w:rPr>
          <w:rFonts w:asciiTheme="majorBidi" w:hAnsiTheme="majorBidi" w:cstheme="majorBidi"/>
          <w:sz w:val="24"/>
          <w:szCs w:val="24"/>
        </w:rPr>
        <w:t>.</w:t>
      </w:r>
    </w:p>
    <w:p w14:paraId="092CB04E" w14:textId="77777777" w:rsidR="004F0491" w:rsidRPr="00AD56AA" w:rsidRDefault="004F0491" w:rsidP="004F0491">
      <w:pPr>
        <w:numPr>
          <w:ilvl w:val="0"/>
          <w:numId w:val="20"/>
        </w:numPr>
        <w:bidi/>
        <w:rPr>
          <w:rFonts w:asciiTheme="majorBidi" w:hAnsiTheme="majorBidi" w:cstheme="majorBidi"/>
          <w:sz w:val="24"/>
          <w:szCs w:val="24"/>
        </w:rPr>
      </w:pPr>
      <w:r>
        <w:rPr>
          <w:rFonts w:asciiTheme="majorBidi" w:hAnsiTheme="majorBidi" w:cstheme="majorBidi"/>
          <w:b/>
          <w:bCs/>
          <w:sz w:val="24"/>
          <w:szCs w:val="24"/>
          <w:rtl/>
        </w:rPr>
        <w:t>عناية تقنية</w:t>
      </w:r>
      <w:r>
        <w:rPr>
          <w:rFonts w:asciiTheme="majorBidi" w:hAnsiTheme="majorBidi" w:cstheme="majorBidi"/>
          <w:sz w:val="24"/>
          <w:szCs w:val="24"/>
        </w:rPr>
        <w:t xml:space="preserve">: </w:t>
      </w:r>
      <w:r>
        <w:rPr>
          <w:rFonts w:asciiTheme="majorBidi" w:hAnsiTheme="majorBidi" w:cstheme="majorBidi"/>
          <w:sz w:val="24"/>
          <w:szCs w:val="24"/>
          <w:rtl/>
        </w:rPr>
        <w:t>تتعلق بحسن اختيار الأداة، وضبط طريقة الاستخدام، ومراجعة المخرجات والتحقق منها</w:t>
      </w:r>
      <w:r>
        <w:rPr>
          <w:rFonts w:asciiTheme="majorBidi" w:hAnsiTheme="majorBidi" w:cstheme="majorBidi"/>
          <w:sz w:val="24"/>
          <w:szCs w:val="24"/>
        </w:rPr>
        <w:t>.</w:t>
      </w:r>
    </w:p>
    <w:p w14:paraId="12746426"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 xml:space="preserve">وإهمال أي من المستويين قد ينهض خطأ مهنيًا، حتى لو كان أصل الخلل تقنيًا؛ لأن الخطأ هنا يتجسد في </w:t>
      </w:r>
      <w:r>
        <w:rPr>
          <w:rFonts w:asciiTheme="majorBidi" w:hAnsiTheme="majorBidi" w:cstheme="majorBidi"/>
          <w:b/>
          <w:bCs/>
          <w:sz w:val="24"/>
          <w:szCs w:val="24"/>
          <w:rtl/>
        </w:rPr>
        <w:t>سوء الإدارة المهنية للمخاطر</w:t>
      </w:r>
      <w:r>
        <w:rPr>
          <w:rFonts w:asciiTheme="majorBidi" w:hAnsiTheme="majorBidi" w:cstheme="majorBidi"/>
          <w:sz w:val="24"/>
          <w:szCs w:val="24"/>
        </w:rPr>
        <w:t>.</w:t>
      </w:r>
    </w:p>
    <w:p w14:paraId="1632C80B" w14:textId="77777777" w:rsidR="004F0491" w:rsidRPr="00AD56AA" w:rsidRDefault="004F0491" w:rsidP="004F0491">
      <w:pPr>
        <w:rPr>
          <w:rFonts w:asciiTheme="majorBidi" w:hAnsiTheme="majorBidi" w:cstheme="majorBidi"/>
          <w:sz w:val="24"/>
          <w:szCs w:val="24"/>
        </w:rPr>
      </w:pPr>
    </w:p>
    <w:p w14:paraId="3531175A"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ثانيًا: معيار الخطأ المهني وأنواعه في بيئة الذكاء الاصطناعي</w:t>
      </w:r>
    </w:p>
    <w:p w14:paraId="3759AADE"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وعلى الصعيد المقارن، أكدت لقرب في سياق بحثها المنشور بمجلة المحترف أن وجود علاقة تأثير إيجابية للذكاء الاصطناعي في الميدان القانوني يتجلى في سرعة إنجاز المهام وتنفيذها، غير أن ثمة إشكاليتين تبقيان محل بحث ودراسة: الأولى تتعلق بإشكالية التحيز الخوارزمي، والثانية بمسألة الشخصية القانونية، فضلًا عن الفوارق الجوهرية بين الذكاء الاصطناعي والذكاء البشري، وهي إشكاليات تُلقي بظلالها مباشرةً على معيار الخطأ المهني الواجب التطبيق.</w:t>
      </w:r>
      <w:r>
        <w:rPr>
          <w:rStyle w:val="af"/>
          <w:rFonts w:asciiTheme="majorBidi" w:hAnsiTheme="majorBidi" w:cstheme="majorBidi"/>
          <w:sz w:val="24"/>
          <w:szCs w:val="24"/>
          <w:rtl/>
        </w:rPr>
        <w:footnoteReference w:id="240"/>
      </w:r>
    </w:p>
    <w:p w14:paraId="05FCD1F5"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تقليديًا، يُقاس الخطأ المهني بانحراف المحامي عن سلوك محامٍ معتاد حريص في ذات الظروف. لكن السؤال في عصر الذكاء الاصطناعي يصبح أكثر تعقيدًا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من هو المحامي “المعتاد”؟</w:t>
      </w:r>
      <w:r>
        <w:rPr>
          <w:rFonts w:asciiTheme="majorBidi" w:hAnsiTheme="majorBidi" w:cstheme="majorBidi"/>
          <w:sz w:val="24"/>
          <w:szCs w:val="24"/>
        </w:rPr>
        <w:br/>
      </w:r>
      <w:r>
        <w:rPr>
          <w:rFonts w:asciiTheme="majorBidi" w:hAnsiTheme="majorBidi" w:cstheme="majorBidi"/>
          <w:sz w:val="24"/>
          <w:szCs w:val="24"/>
          <w:rtl/>
        </w:rPr>
        <w:t>هل هو الذي لا يستخدم التقنية؟ أم الذي يستخدمها بحذر؟ أم الذي يعتمد عليها على نطاق واسع؟</w:t>
      </w:r>
    </w:p>
    <w:p w14:paraId="4F0F462C"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يذهب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41"/>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 xml:space="preserve">إلى أن شيوع أدوات الذكاء الاصطناعي في المهن القانونية قد يجعل الامتناع عن استخدامها – في بعض البيئات – مدخلًا لاعتبار سلوك المحامي أقل كفاءة إذا ترتب عليه إغفال بحث أو تحليل كان متاحًا بسهولة وبكلفة زمنية معقولة. وفي المقابل، يحذر </w:t>
      </w:r>
      <w:r>
        <w:rPr>
          <w:rFonts w:asciiTheme="majorBidi" w:hAnsiTheme="majorBidi" w:cstheme="majorBidi"/>
          <w:b/>
          <w:bCs/>
          <w:sz w:val="24"/>
          <w:szCs w:val="24"/>
          <w:rtl/>
        </w:rPr>
        <w:t>حمادي</w:t>
      </w:r>
      <w:r>
        <w:rPr>
          <w:rStyle w:val="af"/>
          <w:rFonts w:asciiTheme="majorBidi" w:hAnsiTheme="majorBidi" w:cstheme="majorBidi"/>
          <w:b/>
          <w:bCs/>
          <w:sz w:val="24"/>
          <w:szCs w:val="24"/>
          <w:rtl/>
        </w:rPr>
        <w:footnoteReference w:id="242"/>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من أن تحميل المستخدم المهني تبعة كل خلل تقني قد يؤدي عمليًا إلى مسؤولية شبه مطلقة، تتعارض مع العدالة التعاقدية، وتُعطل تبني التقنية وتطويرها داخل المهن</w:t>
      </w:r>
      <w:r>
        <w:rPr>
          <w:rFonts w:asciiTheme="majorBidi" w:hAnsiTheme="majorBidi" w:cstheme="majorBidi"/>
          <w:sz w:val="24"/>
          <w:szCs w:val="24"/>
        </w:rPr>
        <w:t>.</w:t>
      </w:r>
    </w:p>
    <w:p w14:paraId="1803D93C"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ثم، فالمعيار الأدق – في نظري – ليس “استخدم التقنية أو لم يستخدمها”، بل </w:t>
      </w:r>
      <w:r>
        <w:rPr>
          <w:rFonts w:asciiTheme="majorBidi" w:hAnsiTheme="majorBidi" w:cstheme="majorBidi"/>
          <w:b/>
          <w:bCs/>
          <w:sz w:val="24"/>
          <w:szCs w:val="24"/>
          <w:rtl/>
        </w:rPr>
        <w:t>كيف استخدمها</w:t>
      </w:r>
      <w:r>
        <w:rPr>
          <w:rFonts w:asciiTheme="majorBidi" w:hAnsiTheme="majorBidi" w:cstheme="majorBidi"/>
          <w:sz w:val="24"/>
          <w:szCs w:val="24"/>
          <w:rtl/>
        </w:rPr>
        <w:t xml:space="preserve">، وهل مارس إشرافًا بشريًا يحقق العناية المتوقعة أم لا. وعلى هذا، يتعين أن يكون معيار الخطأ </w:t>
      </w:r>
      <w:r>
        <w:rPr>
          <w:rFonts w:asciiTheme="majorBidi" w:hAnsiTheme="majorBidi" w:cstheme="majorBidi"/>
          <w:b/>
          <w:bCs/>
          <w:sz w:val="24"/>
          <w:szCs w:val="24"/>
          <w:rtl/>
        </w:rPr>
        <w:t>نسبيًا</w:t>
      </w:r>
      <w:r>
        <w:rPr>
          <w:rFonts w:asciiTheme="majorBidi" w:hAnsiTheme="majorBidi" w:cstheme="majorBidi"/>
          <w:sz w:val="24"/>
          <w:szCs w:val="24"/>
          <w:rtl/>
        </w:rPr>
        <w:t xml:space="preserve"> يأخذ في الاعتبار</w:t>
      </w:r>
      <w:r>
        <w:rPr>
          <w:rFonts w:asciiTheme="majorBidi" w:hAnsiTheme="majorBidi" w:cstheme="majorBidi"/>
          <w:sz w:val="24"/>
          <w:szCs w:val="24"/>
        </w:rPr>
        <w:t>:</w:t>
      </w:r>
    </w:p>
    <w:p w14:paraId="66B17EB4" w14:textId="77777777" w:rsidR="004F0491" w:rsidRPr="00AD56A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درجة شيوع التقنية في الوسط المهني (هل أصبحت معيارًا مؤسسيًا؟)</w:t>
      </w:r>
      <w:r>
        <w:rPr>
          <w:rFonts w:asciiTheme="majorBidi" w:hAnsiTheme="majorBidi" w:cstheme="majorBidi"/>
          <w:sz w:val="24"/>
          <w:szCs w:val="24"/>
        </w:rPr>
        <w:t>.</w:t>
      </w:r>
    </w:p>
    <w:p w14:paraId="4256AA2A" w14:textId="77777777" w:rsidR="004F0491" w:rsidRPr="00AD56A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طبيعة المسألة محل العمل (روتينية أم دقيقة عالية المخاطر)</w:t>
      </w:r>
      <w:r>
        <w:rPr>
          <w:rFonts w:asciiTheme="majorBidi" w:hAnsiTheme="majorBidi" w:cstheme="majorBidi"/>
          <w:sz w:val="24"/>
          <w:szCs w:val="24"/>
        </w:rPr>
        <w:t>.</w:t>
      </w:r>
    </w:p>
    <w:p w14:paraId="11CAE0E2" w14:textId="77777777" w:rsidR="004F0491" w:rsidRPr="00AD56A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وضوح قيود النظام والتحذيرات (هل نبهت المنصة إلى حدودها؟)</w:t>
      </w:r>
      <w:r>
        <w:rPr>
          <w:rFonts w:asciiTheme="majorBidi" w:hAnsiTheme="majorBidi" w:cstheme="majorBidi"/>
          <w:sz w:val="24"/>
          <w:szCs w:val="24"/>
        </w:rPr>
        <w:t>.</w:t>
      </w:r>
    </w:p>
    <w:p w14:paraId="2F21E67D" w14:textId="77777777" w:rsidR="004F0491" w:rsidRPr="00AC662A" w:rsidRDefault="004F0491" w:rsidP="004F0491">
      <w:pPr>
        <w:numPr>
          <w:ilvl w:val="0"/>
          <w:numId w:val="21"/>
        </w:numPr>
        <w:bidi/>
        <w:rPr>
          <w:rFonts w:asciiTheme="majorBidi" w:hAnsiTheme="majorBidi" w:cstheme="majorBidi"/>
          <w:sz w:val="24"/>
          <w:szCs w:val="24"/>
        </w:rPr>
      </w:pPr>
      <w:r>
        <w:rPr>
          <w:rFonts w:asciiTheme="majorBidi" w:hAnsiTheme="majorBidi" w:cstheme="majorBidi"/>
          <w:sz w:val="24"/>
          <w:szCs w:val="24"/>
          <w:rtl/>
        </w:rPr>
        <w:t>مستوى المراجعة البشرية والتحقق (هل اكتفى بالنسخ؟ أم راجع واستوثق؟)</w:t>
      </w:r>
      <w:r>
        <w:rPr>
          <w:rFonts w:asciiTheme="majorBidi" w:hAnsiTheme="majorBidi" w:cstheme="majorBidi"/>
          <w:sz w:val="24"/>
          <w:szCs w:val="24"/>
        </w:rPr>
        <w:t>..</w:t>
      </w:r>
    </w:p>
    <w:p w14:paraId="42941F94" w14:textId="77777777" w:rsidR="004F0491" w:rsidRPr="00AD56AA" w:rsidRDefault="004F0491" w:rsidP="004F0491">
      <w:pPr>
        <w:rPr>
          <w:rFonts w:asciiTheme="majorBidi" w:hAnsiTheme="majorBidi" w:cstheme="majorBidi"/>
          <w:sz w:val="24"/>
          <w:szCs w:val="24"/>
        </w:rPr>
      </w:pPr>
    </w:p>
    <w:p w14:paraId="478C4642"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 xml:space="preserve">وفي إطار بحث أوجه هذه التفرقة، تناول المنشور الصادر عن مجلة العدالة مسألة المسؤولية عن الذكاء الاصطناعي بين القانون الخاص والقانون العام، منطلقًا من حقيقة أن الذكاء الاصطناعي أصبح مستخدمًا على نطاق واسع في عمليات المساعدة في القرار في مجالات مختلفة، وأن الاعتماد على نتائجه يُثير تساؤلات قانونية </w:t>
      </w:r>
      <w:r>
        <w:rPr>
          <w:rFonts w:asciiTheme="majorBidi" w:hAnsiTheme="majorBidi" w:cstheme="majorBidi"/>
          <w:sz w:val="24"/>
          <w:szCs w:val="24"/>
          <w:rtl/>
        </w:rPr>
        <w:lastRenderedPageBreak/>
        <w:t>جوهرية تتعلق بكيفية استيعاب القانون لمعالجة مشكلات المسؤولية الناتجة عن استخدام هذه الأنظمة، وما إذا كانت قواعد القانون المدني الحالية كافية للتعويض عن الأضرار الناجمة جراء ذلك.</w:t>
      </w:r>
      <w:r>
        <w:rPr>
          <w:rStyle w:val="af"/>
          <w:rFonts w:asciiTheme="majorBidi" w:hAnsiTheme="majorBidi" w:cstheme="majorBidi"/>
          <w:sz w:val="24"/>
          <w:szCs w:val="24"/>
          <w:rtl/>
        </w:rPr>
        <w:footnoteReference w:id="243"/>
      </w:r>
    </w:p>
    <w:p w14:paraId="6B70357B" w14:textId="77777777" w:rsidR="004F0491" w:rsidRPr="00AD56AA" w:rsidRDefault="004F0491" w:rsidP="004F0491">
      <w:pPr>
        <w:rPr>
          <w:rFonts w:asciiTheme="majorBidi" w:hAnsiTheme="majorBidi" w:cstheme="majorBidi"/>
          <w:sz w:val="24"/>
          <w:szCs w:val="24"/>
        </w:rPr>
      </w:pPr>
      <w:r>
        <w:rPr>
          <w:rFonts w:asciiTheme="majorBidi" w:hAnsiTheme="majorBidi" w:cstheme="majorBidi"/>
          <w:sz w:val="24"/>
          <w:szCs w:val="24"/>
          <w:rtl/>
        </w:rPr>
        <w:t>تحديد طبيعة الخطأ هو قلب النزاع في مسؤولية الذكاء الاصطناعي داخل مكاتب المحاماة. فالخطأ قد يكون</w:t>
      </w:r>
      <w:r>
        <w:rPr>
          <w:rFonts w:asciiTheme="majorBidi" w:hAnsiTheme="majorBidi" w:cstheme="majorBidi"/>
          <w:sz w:val="24"/>
          <w:szCs w:val="24"/>
        </w:rPr>
        <w:t>:</w:t>
      </w:r>
    </w:p>
    <w:p w14:paraId="4AC091E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b/>
          <w:bCs/>
          <w:sz w:val="24"/>
          <w:szCs w:val="24"/>
          <w:rtl/>
        </w:rPr>
        <w:t>(أ) خطأ تقني</w:t>
      </w:r>
      <w:r>
        <w:rPr>
          <w:rFonts w:asciiTheme="majorBidi" w:hAnsiTheme="majorBidi" w:cstheme="majorBidi"/>
          <w:sz w:val="24"/>
          <w:szCs w:val="24"/>
          <w:rtl/>
        </w:rPr>
        <w:t xml:space="preserve"> مثل</w:t>
      </w:r>
      <w:r>
        <w:rPr>
          <w:rFonts w:asciiTheme="majorBidi" w:hAnsiTheme="majorBidi" w:cstheme="majorBidi"/>
          <w:sz w:val="24"/>
          <w:szCs w:val="24"/>
        </w:rPr>
        <w:t>:</w:t>
      </w:r>
    </w:p>
    <w:p w14:paraId="58AA9CF1"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خلل في قاعدة البيانات أو مصادرها</w:t>
      </w:r>
      <w:r>
        <w:rPr>
          <w:rFonts w:asciiTheme="majorBidi" w:hAnsiTheme="majorBidi" w:cstheme="majorBidi"/>
          <w:sz w:val="24"/>
          <w:szCs w:val="24"/>
        </w:rPr>
        <w:t>.</w:t>
      </w:r>
    </w:p>
    <w:p w14:paraId="2453A8B6"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اعتماد تشريعات غير محدثة أو غير سعودية</w:t>
      </w:r>
      <w:r>
        <w:rPr>
          <w:rFonts w:asciiTheme="majorBidi" w:hAnsiTheme="majorBidi" w:cstheme="majorBidi"/>
          <w:sz w:val="24"/>
          <w:szCs w:val="24"/>
        </w:rPr>
        <w:t>.</w:t>
      </w:r>
    </w:p>
    <w:p w14:paraId="387C1BD2"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انحراف خوارزمي في التحليل أو ترتيب الأولويات</w:t>
      </w:r>
      <w:r>
        <w:rPr>
          <w:rFonts w:asciiTheme="majorBidi" w:hAnsiTheme="majorBidi" w:cstheme="majorBidi"/>
          <w:sz w:val="24"/>
          <w:szCs w:val="24"/>
        </w:rPr>
        <w:t>.</w:t>
      </w:r>
    </w:p>
    <w:p w14:paraId="0C4408A1" w14:textId="77777777" w:rsidR="004F0491" w:rsidRPr="00AD56AA" w:rsidRDefault="004F0491" w:rsidP="004F0491">
      <w:pPr>
        <w:numPr>
          <w:ilvl w:val="0"/>
          <w:numId w:val="22"/>
        </w:numPr>
        <w:bidi/>
        <w:rPr>
          <w:rFonts w:asciiTheme="majorBidi" w:hAnsiTheme="majorBidi" w:cstheme="majorBidi"/>
          <w:sz w:val="24"/>
          <w:szCs w:val="24"/>
        </w:rPr>
      </w:pPr>
      <w:r>
        <w:rPr>
          <w:rFonts w:asciiTheme="majorBidi" w:hAnsiTheme="majorBidi" w:cstheme="majorBidi"/>
          <w:sz w:val="24"/>
          <w:szCs w:val="24"/>
          <w:rtl/>
        </w:rPr>
        <w:t>توليد إحالات غير صحيحة أو “سوابق وهمية</w:t>
      </w:r>
      <w:r>
        <w:rPr>
          <w:rFonts w:asciiTheme="majorBidi" w:hAnsiTheme="majorBidi" w:cstheme="majorBidi"/>
          <w:sz w:val="24"/>
          <w:szCs w:val="24"/>
        </w:rPr>
        <w:t>”.</w:t>
      </w:r>
    </w:p>
    <w:p w14:paraId="290BCAF4"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b/>
          <w:bCs/>
          <w:sz w:val="24"/>
          <w:szCs w:val="24"/>
          <w:rtl/>
        </w:rPr>
        <w:t>(ب) خطأ مهني</w:t>
      </w:r>
      <w:r>
        <w:rPr>
          <w:rFonts w:asciiTheme="majorBidi" w:hAnsiTheme="majorBidi" w:cstheme="majorBidi"/>
          <w:sz w:val="24"/>
          <w:szCs w:val="24"/>
          <w:rtl/>
        </w:rPr>
        <w:t xml:space="preserve"> مثل</w:t>
      </w:r>
      <w:r>
        <w:rPr>
          <w:rFonts w:asciiTheme="majorBidi" w:hAnsiTheme="majorBidi" w:cstheme="majorBidi"/>
          <w:sz w:val="24"/>
          <w:szCs w:val="24"/>
        </w:rPr>
        <w:t>:</w:t>
      </w:r>
    </w:p>
    <w:p w14:paraId="4475AA8A"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اعتماد المخرج دون مراجعة</w:t>
      </w:r>
      <w:r>
        <w:rPr>
          <w:rFonts w:asciiTheme="majorBidi" w:hAnsiTheme="majorBidi" w:cstheme="majorBidi"/>
          <w:sz w:val="24"/>
          <w:szCs w:val="24"/>
        </w:rPr>
        <w:t>.</w:t>
      </w:r>
    </w:p>
    <w:p w14:paraId="711C36F0"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إدخال بيانات ناقصة أو مضللة</w:t>
      </w:r>
      <w:r>
        <w:rPr>
          <w:rFonts w:asciiTheme="majorBidi" w:hAnsiTheme="majorBidi" w:cstheme="majorBidi"/>
          <w:sz w:val="24"/>
          <w:szCs w:val="24"/>
        </w:rPr>
        <w:t>.</w:t>
      </w:r>
    </w:p>
    <w:p w14:paraId="627487FA"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سوء اختيار الأداة (غير مخصصة للبيئة السعودية/غير آمنة)</w:t>
      </w:r>
      <w:r>
        <w:rPr>
          <w:rFonts w:asciiTheme="majorBidi" w:hAnsiTheme="majorBidi" w:cstheme="majorBidi"/>
          <w:sz w:val="24"/>
          <w:szCs w:val="24"/>
        </w:rPr>
        <w:t>.</w:t>
      </w:r>
    </w:p>
    <w:p w14:paraId="2B916627" w14:textId="77777777" w:rsidR="004F0491" w:rsidRPr="00AD56AA" w:rsidRDefault="004F0491" w:rsidP="004F0491">
      <w:pPr>
        <w:numPr>
          <w:ilvl w:val="0"/>
          <w:numId w:val="23"/>
        </w:numPr>
        <w:bidi/>
        <w:rPr>
          <w:rFonts w:asciiTheme="majorBidi" w:hAnsiTheme="majorBidi" w:cstheme="majorBidi"/>
          <w:sz w:val="24"/>
          <w:szCs w:val="24"/>
        </w:rPr>
      </w:pPr>
      <w:r>
        <w:rPr>
          <w:rFonts w:asciiTheme="majorBidi" w:hAnsiTheme="majorBidi" w:cstheme="majorBidi"/>
          <w:sz w:val="24"/>
          <w:szCs w:val="24"/>
          <w:rtl/>
        </w:rPr>
        <w:t>تجاهل تحذيرات الاستخدام أو استعمال الأداة خارج نطاقها</w:t>
      </w:r>
      <w:r>
        <w:rPr>
          <w:rFonts w:asciiTheme="majorBidi" w:hAnsiTheme="majorBidi" w:cstheme="majorBidi"/>
          <w:sz w:val="24"/>
          <w:szCs w:val="24"/>
        </w:rPr>
        <w:t>.</w:t>
      </w:r>
    </w:p>
    <w:p w14:paraId="0408A1F7"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ويُشير </w:t>
      </w:r>
      <w:r>
        <w:rPr>
          <w:rFonts w:asciiTheme="majorBidi" w:hAnsiTheme="majorBidi" w:cstheme="majorBidi"/>
          <w:b/>
          <w:bCs/>
          <w:sz w:val="24"/>
          <w:szCs w:val="24"/>
          <w:rtl/>
        </w:rPr>
        <w:t>خليل</w:t>
      </w:r>
      <w:r>
        <w:rPr>
          <w:rStyle w:val="af"/>
          <w:rFonts w:asciiTheme="majorBidi" w:hAnsiTheme="majorBidi" w:cstheme="majorBidi"/>
          <w:b/>
          <w:bCs/>
          <w:sz w:val="24"/>
          <w:szCs w:val="24"/>
          <w:rtl/>
        </w:rPr>
        <w:footnoteReference w:id="244"/>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فكرة “انقطاع الصلة الإدراكية” بسبب تعقيد الخوارزميات؛ أي أن المستخدم قد لا يدرك كيف تولّدت النتيجة. غير أن هذا الانقطاع – في العمل المهني – لا يُعفي من المسؤولية بمجرده، لأن المحامي عندما يعتمد المخرج ويقدمه فهو يمنحه </w:t>
      </w:r>
      <w:r>
        <w:rPr>
          <w:rFonts w:asciiTheme="majorBidi" w:hAnsiTheme="majorBidi" w:cstheme="majorBidi"/>
          <w:b/>
          <w:bCs/>
          <w:sz w:val="24"/>
          <w:szCs w:val="24"/>
          <w:rtl/>
        </w:rPr>
        <w:t>صفة مهنية</w:t>
      </w:r>
      <w:r>
        <w:rPr>
          <w:rFonts w:asciiTheme="majorBidi" w:hAnsiTheme="majorBidi" w:cstheme="majorBidi"/>
          <w:sz w:val="24"/>
          <w:szCs w:val="24"/>
          <w:rtl/>
        </w:rPr>
        <w:t xml:space="preserve"> ويستند إليه في ممارسة حق الموكل، فيصبح الإسناد قائمًا من زاوية “الاعتماد” حتى لو تعذر إدراك “كيفية التوليد” بالكامل</w:t>
      </w:r>
      <w:r>
        <w:rPr>
          <w:rFonts w:asciiTheme="majorBidi" w:hAnsiTheme="majorBidi" w:cstheme="majorBidi"/>
          <w:sz w:val="24"/>
          <w:szCs w:val="24"/>
        </w:rPr>
        <w:t>.</w:t>
      </w:r>
    </w:p>
    <w:p w14:paraId="5A3A3242"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كما يذهب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45"/>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إلى أن معيار “السيطرة أو الرقابة الفعلية” أصلح في بناء المسؤولية من معيار الفعل المادي؛ لأن جوهر المسؤولية ليس “من كتب السطر”، بل “من كان قادرًا على منع الضرر أو تقليله” عبر الرقابة والتحقق. وبما أن المحامي هو الذي اختار النظام واعتمد الناتج وقدمه باسمه، فحدٌّ أدنى من الرقابة متحقق من جانبه</w:t>
      </w:r>
      <w:r>
        <w:rPr>
          <w:rFonts w:asciiTheme="majorBidi" w:hAnsiTheme="majorBidi" w:cstheme="majorBidi"/>
          <w:sz w:val="24"/>
          <w:szCs w:val="24"/>
        </w:rPr>
        <w:t>.</w:t>
      </w:r>
    </w:p>
    <w:p w14:paraId="05A6EA4B"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hint="cs"/>
          <w:sz w:val="24"/>
          <w:szCs w:val="24"/>
          <w:rtl/>
        </w:rPr>
        <w:t>ومما سبق</w:t>
      </w:r>
      <w:r>
        <w:rPr>
          <w:rFonts w:asciiTheme="majorBidi" w:hAnsiTheme="majorBidi" w:cstheme="majorBidi"/>
          <w:sz w:val="24"/>
          <w:szCs w:val="24"/>
          <w:rtl/>
        </w:rPr>
        <w:t xml:space="preserve"> ، أرى أن النقطة الفاصلة هي </w:t>
      </w:r>
      <w:r>
        <w:rPr>
          <w:rFonts w:asciiTheme="majorBidi" w:hAnsiTheme="majorBidi" w:cstheme="majorBidi"/>
          <w:b/>
          <w:bCs/>
          <w:sz w:val="24"/>
          <w:szCs w:val="24"/>
          <w:rtl/>
        </w:rPr>
        <w:t>الاعتماد الواعي المصحوب بإشراف معقول</w:t>
      </w:r>
      <w:r>
        <w:rPr>
          <w:rFonts w:asciiTheme="majorBidi" w:hAnsiTheme="majorBidi" w:cstheme="majorBidi"/>
          <w:sz w:val="24"/>
          <w:szCs w:val="24"/>
        </w:rPr>
        <w:t>:</w:t>
      </w:r>
    </w:p>
    <w:p w14:paraId="6F76EA54" w14:textId="77777777" w:rsidR="004F0491" w:rsidRPr="00AD56AA" w:rsidRDefault="004F0491" w:rsidP="004F0491">
      <w:pPr>
        <w:numPr>
          <w:ilvl w:val="0"/>
          <w:numId w:val="24"/>
        </w:numPr>
        <w:bidi/>
        <w:rPr>
          <w:rFonts w:asciiTheme="majorBidi" w:hAnsiTheme="majorBidi" w:cstheme="majorBidi"/>
          <w:sz w:val="24"/>
          <w:szCs w:val="24"/>
        </w:rPr>
      </w:pPr>
      <w:r>
        <w:rPr>
          <w:rFonts w:asciiTheme="majorBidi" w:hAnsiTheme="majorBidi" w:cstheme="majorBidi"/>
          <w:sz w:val="24"/>
          <w:szCs w:val="24"/>
          <w:rtl/>
        </w:rPr>
        <w:t xml:space="preserve">إذا كان الخطأ يمكن اكتشافه بمراجعة بشرية معتادة (كإحالة نظامية خاطئة أو سابقة غير موجودة) فالمسؤولية تميل إلى أن تكون </w:t>
      </w:r>
      <w:r>
        <w:rPr>
          <w:rFonts w:asciiTheme="majorBidi" w:hAnsiTheme="majorBidi" w:cstheme="majorBidi"/>
          <w:b/>
          <w:bCs/>
          <w:sz w:val="24"/>
          <w:szCs w:val="24"/>
          <w:rtl/>
        </w:rPr>
        <w:t>مهنية</w:t>
      </w:r>
      <w:r>
        <w:rPr>
          <w:rFonts w:asciiTheme="majorBidi" w:hAnsiTheme="majorBidi" w:cstheme="majorBidi"/>
          <w:sz w:val="24"/>
          <w:szCs w:val="24"/>
        </w:rPr>
        <w:t>.</w:t>
      </w:r>
    </w:p>
    <w:p w14:paraId="4008835D" w14:textId="77777777" w:rsidR="004F0491" w:rsidRPr="00AD56AA" w:rsidRDefault="004F0491" w:rsidP="004F0491">
      <w:pPr>
        <w:numPr>
          <w:ilvl w:val="0"/>
          <w:numId w:val="24"/>
        </w:numPr>
        <w:bidi/>
        <w:jc w:val="both"/>
        <w:rPr>
          <w:rFonts w:asciiTheme="majorBidi" w:hAnsiTheme="majorBidi" w:cstheme="majorBidi"/>
          <w:sz w:val="24"/>
          <w:szCs w:val="24"/>
        </w:rPr>
      </w:pPr>
      <w:r>
        <w:rPr>
          <w:rFonts w:asciiTheme="majorBidi" w:hAnsiTheme="majorBidi" w:cstheme="majorBidi"/>
          <w:sz w:val="24"/>
          <w:szCs w:val="24"/>
          <w:rtl/>
        </w:rPr>
        <w:t xml:space="preserve">أما إذا كان الخلل خفيًا تقنيًا لا يُكتشف بالوسائل المهنية المتعارف عليها، بعد تحقق حقيقي ومراجعة، فهنا ننتقل إلى منطق </w:t>
      </w:r>
      <w:r>
        <w:rPr>
          <w:rFonts w:asciiTheme="majorBidi" w:hAnsiTheme="majorBidi" w:cstheme="majorBidi"/>
          <w:b/>
          <w:bCs/>
          <w:sz w:val="24"/>
          <w:szCs w:val="24"/>
          <w:rtl/>
        </w:rPr>
        <w:t>توزيع المسؤولية</w:t>
      </w:r>
      <w:r>
        <w:rPr>
          <w:rFonts w:asciiTheme="majorBidi" w:hAnsiTheme="majorBidi" w:cstheme="majorBidi"/>
          <w:sz w:val="24"/>
          <w:szCs w:val="24"/>
          <w:rtl/>
        </w:rPr>
        <w:t xml:space="preserve"> وليس نفيها</w:t>
      </w:r>
      <w:r>
        <w:rPr>
          <w:rFonts w:asciiTheme="majorBidi" w:hAnsiTheme="majorBidi" w:cstheme="majorBidi"/>
          <w:sz w:val="24"/>
          <w:szCs w:val="24"/>
        </w:rPr>
        <w:t>.</w:t>
      </w:r>
    </w:p>
    <w:p w14:paraId="21A46187"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وبالتالي لا يصح الاكتفاء بعبارة: “النظام أخطأ”، بل يجب اختبار سؤالٍ حاكم</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b/>
          <w:bCs/>
          <w:sz w:val="24"/>
          <w:szCs w:val="24"/>
          <w:rtl/>
        </w:rPr>
        <w:t>هل كان بإمكان محامٍ حريص اكتشاف الخطأ بقدرٍ معقول من المراجعة؟</w:t>
      </w:r>
      <w:r>
        <w:rPr>
          <w:rFonts w:asciiTheme="majorBidi" w:hAnsiTheme="majorBidi" w:cstheme="majorBidi"/>
          <w:sz w:val="24"/>
          <w:szCs w:val="24"/>
        </w:rPr>
        <w:br/>
      </w:r>
      <w:r>
        <w:rPr>
          <w:rFonts w:asciiTheme="majorBidi" w:hAnsiTheme="majorBidi" w:cstheme="majorBidi"/>
          <w:sz w:val="24"/>
          <w:szCs w:val="24"/>
          <w:rtl/>
        </w:rPr>
        <w:t>فإن كانت الإجابة نعم، فالإخلال مهني. وإن كانت لا، فالمسألة تُدار بمنطق تعدد الأطراف وتوزيع المخاطر</w:t>
      </w:r>
      <w:r>
        <w:rPr>
          <w:rFonts w:asciiTheme="majorBidi" w:hAnsiTheme="majorBidi" w:cstheme="majorBidi"/>
          <w:sz w:val="24"/>
          <w:szCs w:val="24"/>
        </w:rPr>
        <w:t>.</w:t>
      </w:r>
    </w:p>
    <w:p w14:paraId="3A3E2A3F" w14:textId="77777777" w:rsidR="004F0491" w:rsidRPr="00AD56AA" w:rsidRDefault="004F0491" w:rsidP="004F0491">
      <w:pPr>
        <w:jc w:val="right"/>
        <w:rPr>
          <w:rFonts w:asciiTheme="majorBidi" w:hAnsiTheme="majorBidi" w:cstheme="majorBidi"/>
          <w:sz w:val="24"/>
          <w:szCs w:val="24"/>
        </w:rPr>
      </w:pPr>
    </w:p>
    <w:p w14:paraId="7DE7812F"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تثير تطبيقات الذكاء الاصطناعي سؤالًا أعمق: هل ما زال مفهوم “الخطأ التقليدي” كافيًا وحده؟</w:t>
      </w:r>
      <w:r>
        <w:rPr>
          <w:rFonts w:asciiTheme="majorBidi" w:hAnsiTheme="majorBidi" w:cstheme="majorBidi"/>
          <w:sz w:val="24"/>
          <w:szCs w:val="24"/>
        </w:rPr>
        <w:br/>
      </w:r>
      <w:r>
        <w:rPr>
          <w:rFonts w:asciiTheme="majorBidi" w:hAnsiTheme="majorBidi" w:cstheme="majorBidi"/>
          <w:sz w:val="24"/>
          <w:szCs w:val="24"/>
          <w:rtl/>
        </w:rPr>
        <w:t xml:space="preserve">تذهب </w:t>
      </w:r>
      <w:r>
        <w:rPr>
          <w:rFonts w:asciiTheme="majorBidi" w:hAnsiTheme="majorBidi" w:cstheme="majorBidi"/>
          <w:b/>
          <w:bCs/>
          <w:sz w:val="24"/>
          <w:szCs w:val="24"/>
          <w:rtl/>
        </w:rPr>
        <w:t>الربيع</w:t>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 xml:space="preserve">إلى توسيع زاوية النظر في المسؤولية المدنية عند صعوبة تحديد مصدر الخلل بدقة، لأن التقنية تُنتج أحيانًا ضررًا دون إمكانية سهلة لإسناده لفاعل واحد. ويشير </w:t>
      </w:r>
      <w:r>
        <w:rPr>
          <w:rFonts w:asciiTheme="majorBidi" w:hAnsiTheme="majorBidi" w:cstheme="majorBidi"/>
          <w:b/>
          <w:bCs/>
          <w:sz w:val="24"/>
          <w:szCs w:val="24"/>
          <w:rtl/>
        </w:rPr>
        <w:t>رجب</w:t>
      </w:r>
      <w:r>
        <w:rPr>
          <w:rStyle w:val="af"/>
          <w:rFonts w:asciiTheme="majorBidi" w:hAnsiTheme="majorBidi" w:cstheme="majorBidi"/>
          <w:b/>
          <w:bCs/>
          <w:sz w:val="24"/>
          <w:szCs w:val="24"/>
          <w:rtl/>
        </w:rPr>
        <w:footnoteReference w:id="246"/>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إلى أن تأطير أخلاقيات الذكاء الاصطناعي يتطلب آليات مساءلة تتناسب مع تعقيد التقنية وتداخل الأطراف</w:t>
      </w:r>
      <w:r>
        <w:rPr>
          <w:rFonts w:asciiTheme="majorBidi" w:hAnsiTheme="majorBidi" w:cstheme="majorBidi"/>
          <w:sz w:val="24"/>
          <w:szCs w:val="24"/>
        </w:rPr>
        <w:t>.</w:t>
      </w:r>
    </w:p>
    <w:p w14:paraId="3553E129"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غير أن التوسع غير المنضبط قد يؤدي إلى مسؤولية شبه موضوعية تضعف الحوافز المهنية لتبني التقنية. ومن ثم، فالحل الأقرب للاتزان – في نظري – ليس هدم القواعد التقليدية، بل </w:t>
      </w:r>
      <w:r>
        <w:rPr>
          <w:rFonts w:asciiTheme="majorBidi" w:hAnsiTheme="majorBidi" w:cstheme="majorBidi"/>
          <w:b/>
          <w:bCs/>
          <w:sz w:val="24"/>
          <w:szCs w:val="24"/>
          <w:rtl/>
        </w:rPr>
        <w:t>تطوير تطبيقها</w:t>
      </w:r>
      <w:r>
        <w:rPr>
          <w:rFonts w:asciiTheme="majorBidi" w:hAnsiTheme="majorBidi" w:cstheme="majorBidi"/>
          <w:sz w:val="24"/>
          <w:szCs w:val="24"/>
          <w:rtl/>
        </w:rPr>
        <w:t xml:space="preserve"> عبر</w:t>
      </w:r>
      <w:r>
        <w:rPr>
          <w:rFonts w:asciiTheme="majorBidi" w:hAnsiTheme="majorBidi" w:cstheme="majorBidi"/>
          <w:sz w:val="24"/>
          <w:szCs w:val="24"/>
        </w:rPr>
        <w:t>:</w:t>
      </w:r>
    </w:p>
    <w:p w14:paraId="6DF1A9C0"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الإبقاء على الخطأ بوصفه إخلالًا بواجب العناية</w:t>
      </w:r>
      <w:r>
        <w:rPr>
          <w:rFonts w:asciiTheme="majorBidi" w:hAnsiTheme="majorBidi" w:cstheme="majorBidi"/>
          <w:sz w:val="24"/>
          <w:szCs w:val="24"/>
        </w:rPr>
        <w:t>.</w:t>
      </w:r>
    </w:p>
    <w:p w14:paraId="6B0A0C01"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إعادة تعريف العناية لتشمل البعد التقني والحوكمة</w:t>
      </w:r>
      <w:r>
        <w:rPr>
          <w:rFonts w:asciiTheme="majorBidi" w:hAnsiTheme="majorBidi" w:cstheme="majorBidi"/>
          <w:sz w:val="24"/>
          <w:szCs w:val="24"/>
        </w:rPr>
        <w:t>.</w:t>
      </w:r>
    </w:p>
    <w:p w14:paraId="7B7B79DF"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مراعاة “التوقع المعقول للضرر” عند تقدير المسؤولية</w:t>
      </w:r>
      <w:r>
        <w:rPr>
          <w:rFonts w:asciiTheme="majorBidi" w:hAnsiTheme="majorBidi" w:cstheme="majorBidi"/>
          <w:sz w:val="24"/>
          <w:szCs w:val="24"/>
        </w:rPr>
        <w:t>.</w:t>
      </w:r>
    </w:p>
    <w:p w14:paraId="4AFF556D" w14:textId="77777777" w:rsidR="004F0491" w:rsidRPr="00AD56AA" w:rsidRDefault="004F0491" w:rsidP="004F0491">
      <w:pPr>
        <w:numPr>
          <w:ilvl w:val="0"/>
          <w:numId w:val="28"/>
        </w:numPr>
        <w:bidi/>
        <w:rPr>
          <w:rFonts w:asciiTheme="majorBidi" w:hAnsiTheme="majorBidi" w:cstheme="majorBidi"/>
          <w:sz w:val="24"/>
          <w:szCs w:val="24"/>
        </w:rPr>
      </w:pPr>
      <w:r>
        <w:rPr>
          <w:rFonts w:asciiTheme="majorBidi" w:hAnsiTheme="majorBidi" w:cstheme="majorBidi"/>
          <w:sz w:val="24"/>
          <w:szCs w:val="24"/>
          <w:rtl/>
        </w:rPr>
        <w:t>التمييز بين الاعتماد المساعد والاعتماد الكلي</w:t>
      </w:r>
      <w:r>
        <w:rPr>
          <w:rFonts w:asciiTheme="majorBidi" w:hAnsiTheme="majorBidi" w:cstheme="majorBidi"/>
          <w:sz w:val="24"/>
          <w:szCs w:val="24"/>
        </w:rPr>
        <w:t>.</w:t>
      </w:r>
    </w:p>
    <w:p w14:paraId="407D025A"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وبذلك يتحقق توازنٌ منصف بين حماية الموكلين وضمان الثقة في الخدمة القانونية، وبين عدم تحميل المحامي تبعة تقنية لا يملك أدوات التحكم بها منفردًا</w:t>
      </w:r>
      <w:r>
        <w:rPr>
          <w:rFonts w:asciiTheme="majorBidi" w:hAnsiTheme="majorBidi" w:cstheme="majorBidi"/>
          <w:sz w:val="24"/>
          <w:szCs w:val="24"/>
        </w:rPr>
        <w:t>.</w:t>
      </w:r>
    </w:p>
    <w:p w14:paraId="16D002AD" w14:textId="77777777" w:rsidR="004F0491" w:rsidRPr="00A845BC" w:rsidRDefault="004F0491" w:rsidP="004F0491">
      <w:pPr>
        <w:rPr>
          <w:rFonts w:asciiTheme="majorBidi" w:hAnsiTheme="majorBidi" w:cstheme="majorBidi"/>
          <w:sz w:val="24"/>
          <w:szCs w:val="24"/>
          <w:rtl/>
        </w:rPr>
      </w:pPr>
    </w:p>
    <w:p w14:paraId="4503615E"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ثالثًا: الواجبات المهنية للمحامي في بيئة الذكاء الاصطناعي: الإشراف والسرية والإفصاح</w:t>
      </w:r>
    </w:p>
    <w:p w14:paraId="2DBB27AB" w14:textId="77777777" w:rsidR="004F0491" w:rsidRPr="00AD56AA" w:rsidRDefault="004F0491" w:rsidP="009426DA">
      <w:pPr>
        <w:jc w:val="right"/>
        <w:rPr>
          <w:rFonts w:asciiTheme="majorBidi" w:hAnsiTheme="majorBidi" w:cstheme="majorBidi"/>
          <w:sz w:val="24"/>
          <w:szCs w:val="24"/>
        </w:rPr>
      </w:pPr>
      <w:r>
        <w:rPr>
          <w:rFonts w:asciiTheme="majorBidi" w:hAnsiTheme="majorBidi" w:cstheme="majorBidi"/>
          <w:sz w:val="24"/>
          <w:szCs w:val="24"/>
          <w:rtl/>
        </w:rPr>
        <w:t>لم تعد العناية المهنية – واقعيًا – مجرد مهارة قانونية، بل أصبحت إدارة منظومة أدوات وبيانات ومزودين وتقنيات. ومن ثم يثور تصور مسؤولية المحامي – أو المكتب – عن جوانب مثل</w:t>
      </w:r>
      <w:r>
        <w:rPr>
          <w:rFonts w:asciiTheme="majorBidi" w:hAnsiTheme="majorBidi" w:cstheme="majorBidi"/>
          <w:sz w:val="24"/>
          <w:szCs w:val="24"/>
        </w:rPr>
        <w:t>:</w:t>
      </w:r>
    </w:p>
    <w:p w14:paraId="7FEDA0C3"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عدم التحقق من تحديث النظام ومصادره</w:t>
      </w:r>
      <w:r>
        <w:rPr>
          <w:rFonts w:asciiTheme="majorBidi" w:hAnsiTheme="majorBidi" w:cstheme="majorBidi"/>
          <w:sz w:val="24"/>
          <w:szCs w:val="24"/>
        </w:rPr>
        <w:t>.</w:t>
      </w:r>
    </w:p>
    <w:p w14:paraId="5A3D4A48"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عدم التأكد من مستوى أمان المنصة (خصوصًا مع البيانات الحساسة)</w:t>
      </w:r>
      <w:r>
        <w:rPr>
          <w:rFonts w:asciiTheme="majorBidi" w:hAnsiTheme="majorBidi" w:cstheme="majorBidi"/>
          <w:sz w:val="24"/>
          <w:szCs w:val="24"/>
        </w:rPr>
        <w:t>.</w:t>
      </w:r>
    </w:p>
    <w:p w14:paraId="7C57864B"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استخدام حلول غير معتمدة أو غير واضحة الشروط</w:t>
      </w:r>
      <w:r>
        <w:rPr>
          <w:rFonts w:asciiTheme="majorBidi" w:hAnsiTheme="majorBidi" w:cstheme="majorBidi"/>
          <w:sz w:val="24"/>
          <w:szCs w:val="24"/>
        </w:rPr>
        <w:t>.</w:t>
      </w:r>
    </w:p>
    <w:p w14:paraId="44C7D8CB" w14:textId="77777777" w:rsidR="004F0491" w:rsidRPr="00AD56AA" w:rsidRDefault="004F0491" w:rsidP="004F0491">
      <w:pPr>
        <w:numPr>
          <w:ilvl w:val="0"/>
          <w:numId w:val="25"/>
        </w:numPr>
        <w:bidi/>
        <w:rPr>
          <w:rFonts w:asciiTheme="majorBidi" w:hAnsiTheme="majorBidi" w:cstheme="majorBidi"/>
          <w:sz w:val="24"/>
          <w:szCs w:val="24"/>
        </w:rPr>
      </w:pPr>
      <w:r>
        <w:rPr>
          <w:rFonts w:asciiTheme="majorBidi" w:hAnsiTheme="majorBidi" w:cstheme="majorBidi"/>
          <w:sz w:val="24"/>
          <w:szCs w:val="24"/>
          <w:rtl/>
        </w:rPr>
        <w:t>غياب سياسة داخلية تضبط استخدام الذكاء الاصطناعي</w:t>
      </w:r>
      <w:r>
        <w:rPr>
          <w:rFonts w:asciiTheme="majorBidi" w:hAnsiTheme="majorBidi" w:cstheme="majorBidi"/>
          <w:sz w:val="24"/>
          <w:szCs w:val="24"/>
        </w:rPr>
        <w:t>.</w:t>
      </w:r>
    </w:p>
    <w:p w14:paraId="41D4ACCD"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وتؤكد </w:t>
      </w:r>
      <w:r>
        <w:rPr>
          <w:rFonts w:asciiTheme="majorBidi" w:hAnsiTheme="majorBidi" w:cstheme="majorBidi"/>
          <w:b/>
          <w:bCs/>
          <w:sz w:val="24"/>
          <w:szCs w:val="24"/>
          <w:rtl/>
        </w:rPr>
        <w:t>وثيقة مبادئ أخلاقيات الذكاء الاصطناعي</w:t>
      </w:r>
      <w:r>
        <w:rPr>
          <w:rFonts w:asciiTheme="majorBidi" w:hAnsiTheme="majorBidi" w:cstheme="majorBidi"/>
          <w:sz w:val="24"/>
          <w:szCs w:val="24"/>
          <w:rtl/>
        </w:rPr>
        <w:t xml:space="preserve"> مبدأ “المساءلة” و”الشفافية” بما يفترض أن الجهة المستخدمة يجب أن تفهم حدود النظام وأن تتحمل أثر قرارات الاستخدام (سدايا، 2023)</w:t>
      </w:r>
      <w:r>
        <w:rPr>
          <w:rStyle w:val="af"/>
          <w:rFonts w:asciiTheme="majorBidi" w:hAnsiTheme="majorBidi" w:cstheme="majorBidi"/>
          <w:sz w:val="24"/>
          <w:szCs w:val="24"/>
          <w:rtl/>
        </w:rPr>
        <w:footnoteReference w:id="247"/>
      </w:r>
      <w:r>
        <w:rPr>
          <w:rFonts w:asciiTheme="majorBidi" w:hAnsiTheme="majorBidi" w:cstheme="majorBidi"/>
          <w:sz w:val="24"/>
          <w:szCs w:val="24"/>
          <w:rtl/>
        </w:rPr>
        <w:t xml:space="preserve">. كما يشدد </w:t>
      </w:r>
      <w:r>
        <w:rPr>
          <w:rFonts w:asciiTheme="majorBidi" w:hAnsiTheme="majorBidi" w:cstheme="majorBidi"/>
          <w:b/>
          <w:bCs/>
          <w:sz w:val="24"/>
          <w:szCs w:val="24"/>
          <w:rtl/>
        </w:rPr>
        <w:t>إطار تبني الذكاء الاصطناعي</w:t>
      </w:r>
      <w:r>
        <w:rPr>
          <w:rFonts w:asciiTheme="majorBidi" w:hAnsiTheme="majorBidi" w:cstheme="majorBidi"/>
          <w:sz w:val="24"/>
          <w:szCs w:val="24"/>
          <w:rtl/>
        </w:rPr>
        <w:t xml:space="preserve"> على حوكمة إدخال التقنية داخل المؤسسات وإدارة المخاطر وتحديد المسؤوليات (سدايا، 2023)</w:t>
      </w:r>
      <w:r>
        <w:rPr>
          <w:rStyle w:val="af"/>
          <w:rFonts w:asciiTheme="majorBidi" w:hAnsiTheme="majorBidi" w:cstheme="majorBidi"/>
          <w:sz w:val="24"/>
          <w:szCs w:val="24"/>
          <w:rtl/>
        </w:rPr>
        <w:footnoteReference w:id="248"/>
      </w:r>
      <w:r>
        <w:rPr>
          <w:rFonts w:asciiTheme="majorBidi" w:hAnsiTheme="majorBidi" w:cstheme="majorBidi"/>
          <w:sz w:val="24"/>
          <w:szCs w:val="24"/>
          <w:rtl/>
        </w:rPr>
        <w:t>. وإذا أسقطنا ذلك على مكاتب المحاماة، فإن واجب الإشراف يأخذ صورة عملية مثل</w:t>
      </w:r>
      <w:r>
        <w:rPr>
          <w:rFonts w:asciiTheme="majorBidi" w:hAnsiTheme="majorBidi" w:cstheme="majorBidi"/>
          <w:sz w:val="24"/>
          <w:szCs w:val="24"/>
        </w:rPr>
        <w:t>:</w:t>
      </w:r>
    </w:p>
    <w:p w14:paraId="16F61223"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سياسات داخلية لاستخدام الذكاء الاصطناعي (متى يستخدم؟ ومتى يُمنع؟)</w:t>
      </w:r>
      <w:r>
        <w:rPr>
          <w:rFonts w:asciiTheme="majorBidi" w:hAnsiTheme="majorBidi" w:cstheme="majorBidi"/>
          <w:sz w:val="24"/>
          <w:szCs w:val="24"/>
        </w:rPr>
        <w:t>.</w:t>
      </w:r>
    </w:p>
    <w:p w14:paraId="79227E23"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تدريب الموظفين على قيود الأدوات ومخاطرها</w:t>
      </w:r>
      <w:r>
        <w:rPr>
          <w:rFonts w:asciiTheme="majorBidi" w:hAnsiTheme="majorBidi" w:cstheme="majorBidi"/>
          <w:sz w:val="24"/>
          <w:szCs w:val="24"/>
        </w:rPr>
        <w:t>.</w:t>
      </w:r>
    </w:p>
    <w:p w14:paraId="3B4DF21C"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تحديد نطاق البيانات المسموح إدخالها (خصوصية/سرية/حساسية)</w:t>
      </w:r>
      <w:r>
        <w:rPr>
          <w:rFonts w:asciiTheme="majorBidi" w:hAnsiTheme="majorBidi" w:cstheme="majorBidi"/>
          <w:sz w:val="24"/>
          <w:szCs w:val="24"/>
        </w:rPr>
        <w:t>.</w:t>
      </w:r>
    </w:p>
    <w:p w14:paraId="384DFD81" w14:textId="77777777" w:rsidR="004F0491" w:rsidRPr="00AD56AA" w:rsidRDefault="004F0491" w:rsidP="004F0491">
      <w:pPr>
        <w:numPr>
          <w:ilvl w:val="0"/>
          <w:numId w:val="26"/>
        </w:numPr>
        <w:bidi/>
        <w:rPr>
          <w:rFonts w:asciiTheme="majorBidi" w:hAnsiTheme="majorBidi" w:cstheme="majorBidi"/>
          <w:sz w:val="24"/>
          <w:szCs w:val="24"/>
        </w:rPr>
      </w:pPr>
      <w:r>
        <w:rPr>
          <w:rFonts w:asciiTheme="majorBidi" w:hAnsiTheme="majorBidi" w:cstheme="majorBidi"/>
          <w:sz w:val="24"/>
          <w:szCs w:val="24"/>
          <w:rtl/>
        </w:rPr>
        <w:t>مراجعة عقود مزودي التقنية (المسؤولية، الضمانات، مكان التخزين)</w:t>
      </w:r>
      <w:r>
        <w:rPr>
          <w:rFonts w:asciiTheme="majorBidi" w:hAnsiTheme="majorBidi" w:cstheme="majorBidi"/>
          <w:sz w:val="24"/>
          <w:szCs w:val="24"/>
        </w:rPr>
        <w:t>.</w:t>
      </w:r>
    </w:p>
    <w:p w14:paraId="230315D5" w14:textId="77777777" w:rsidR="004F0491" w:rsidRPr="00AD56AA" w:rsidRDefault="004F0491" w:rsidP="00133FA5">
      <w:pPr>
        <w:jc w:val="right"/>
        <w:rPr>
          <w:rFonts w:asciiTheme="majorBidi" w:hAnsiTheme="majorBidi" w:cstheme="majorBidi"/>
          <w:sz w:val="24"/>
          <w:szCs w:val="24"/>
        </w:rPr>
      </w:pPr>
      <w:r>
        <w:rPr>
          <w:rFonts w:asciiTheme="majorBidi" w:hAnsiTheme="majorBidi" w:cstheme="majorBidi" w:hint="cs"/>
          <w:sz w:val="24"/>
          <w:szCs w:val="24"/>
          <w:rtl/>
        </w:rPr>
        <w:lastRenderedPageBreak/>
        <w:t>ومن خلال ما سبق</w:t>
      </w:r>
      <w:r>
        <w:rPr>
          <w:rFonts w:asciiTheme="majorBidi" w:hAnsiTheme="majorBidi" w:cstheme="majorBidi"/>
          <w:sz w:val="24"/>
          <w:szCs w:val="24"/>
          <w:rtl/>
        </w:rPr>
        <w:t xml:space="preserve">، فإن هذا الجانب لم يعد “إداريًا” محضًا؛ لأن الإخلال به قد يُنتج ضررًا مباشرًا بالموكل ويشكل </w:t>
      </w:r>
      <w:r>
        <w:rPr>
          <w:rFonts w:asciiTheme="majorBidi" w:hAnsiTheme="majorBidi" w:cstheme="majorBidi"/>
          <w:b/>
          <w:bCs/>
          <w:sz w:val="24"/>
          <w:szCs w:val="24"/>
          <w:rtl/>
        </w:rPr>
        <w:t>خطأ مهنيًا جسيمًا</w:t>
      </w:r>
      <w:r>
        <w:rPr>
          <w:rFonts w:asciiTheme="majorBidi" w:hAnsiTheme="majorBidi" w:cstheme="majorBidi"/>
          <w:sz w:val="24"/>
          <w:szCs w:val="24"/>
          <w:rtl/>
        </w:rPr>
        <w:t>، خصوصًا إذا ترتب عليه تسريب، أو إساءة استخدام بيانات، أو اعتماد مخرجات غير موثوقة في إجراء قضائي</w:t>
      </w:r>
      <w:r>
        <w:rPr>
          <w:rFonts w:asciiTheme="majorBidi" w:hAnsiTheme="majorBidi" w:cstheme="majorBidi"/>
          <w:sz w:val="24"/>
          <w:szCs w:val="24"/>
        </w:rPr>
        <w:t>.</w:t>
      </w:r>
    </w:p>
    <w:p w14:paraId="4869494C" w14:textId="77777777" w:rsidR="004F0491" w:rsidRPr="00AD56AA" w:rsidRDefault="004F0491" w:rsidP="004F0491">
      <w:pPr>
        <w:rPr>
          <w:rFonts w:asciiTheme="majorBidi" w:hAnsiTheme="majorBidi" w:cstheme="majorBidi"/>
          <w:sz w:val="24"/>
          <w:szCs w:val="24"/>
        </w:rPr>
      </w:pPr>
    </w:p>
    <w:p w14:paraId="0A2DB5F0"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السرية المهنية ليست مجرد التزام أخلاقي، بل عمود نظامي لمهنة المحاماة، ويزداد ثقلها في البيئة الرقمية لأن البيانات تصبح قابلة للنسخ والتخزين والمعالجة عن بعد. ويظهر الخطر عند استخدام أدوات قد</w:t>
      </w:r>
      <w:r>
        <w:rPr>
          <w:rFonts w:asciiTheme="majorBidi" w:hAnsiTheme="majorBidi" w:cstheme="majorBidi"/>
          <w:sz w:val="24"/>
          <w:szCs w:val="24"/>
        </w:rPr>
        <w:t>:</w:t>
      </w:r>
    </w:p>
    <w:p w14:paraId="16A97D0D"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تخزن البيانات على خوادم خارج المملكة</w:t>
      </w:r>
      <w:r>
        <w:rPr>
          <w:rFonts w:asciiTheme="majorBidi" w:hAnsiTheme="majorBidi" w:cstheme="majorBidi"/>
          <w:sz w:val="24"/>
          <w:szCs w:val="24"/>
        </w:rPr>
        <w:t>.</w:t>
      </w:r>
    </w:p>
    <w:p w14:paraId="7F2F0C6C"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تعالج معلومات حساسة دون تشفير أو ضوابط</w:t>
      </w:r>
      <w:r>
        <w:rPr>
          <w:rFonts w:asciiTheme="majorBidi" w:hAnsiTheme="majorBidi" w:cstheme="majorBidi"/>
          <w:sz w:val="24"/>
          <w:szCs w:val="24"/>
        </w:rPr>
        <w:t>.</w:t>
      </w:r>
    </w:p>
    <w:p w14:paraId="4AFC8DFC"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تُستغل فيها البيانات لتحسين نماذج أو خدمات دون إذن واضح</w:t>
      </w:r>
      <w:r>
        <w:rPr>
          <w:rFonts w:asciiTheme="majorBidi" w:hAnsiTheme="majorBidi" w:cstheme="majorBidi"/>
          <w:sz w:val="24"/>
          <w:szCs w:val="24"/>
        </w:rPr>
        <w:t>.</w:t>
      </w:r>
    </w:p>
    <w:p w14:paraId="55DFD509" w14:textId="77777777" w:rsidR="004F0491" w:rsidRPr="00AD56AA" w:rsidRDefault="004F0491" w:rsidP="004F0491">
      <w:pPr>
        <w:numPr>
          <w:ilvl w:val="0"/>
          <w:numId w:val="27"/>
        </w:numPr>
        <w:bidi/>
        <w:rPr>
          <w:rFonts w:asciiTheme="majorBidi" w:hAnsiTheme="majorBidi" w:cstheme="majorBidi"/>
          <w:sz w:val="24"/>
          <w:szCs w:val="24"/>
        </w:rPr>
      </w:pPr>
      <w:r>
        <w:rPr>
          <w:rFonts w:asciiTheme="majorBidi" w:hAnsiTheme="majorBidi" w:cstheme="majorBidi"/>
          <w:sz w:val="24"/>
          <w:szCs w:val="24"/>
          <w:rtl/>
        </w:rPr>
        <w:t>تتعرض لاختراقات أو تسربات</w:t>
      </w:r>
      <w:r>
        <w:rPr>
          <w:rFonts w:asciiTheme="majorBidi" w:hAnsiTheme="majorBidi" w:cstheme="majorBidi"/>
          <w:sz w:val="24"/>
          <w:szCs w:val="24"/>
        </w:rPr>
        <w:t>.</w:t>
      </w:r>
    </w:p>
    <w:p w14:paraId="06FCA7F8"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وهنا يتداخل </w:t>
      </w:r>
      <w:r>
        <w:rPr>
          <w:rFonts w:asciiTheme="majorBidi" w:hAnsiTheme="majorBidi" w:cstheme="majorBidi"/>
          <w:b/>
          <w:bCs/>
          <w:sz w:val="24"/>
          <w:szCs w:val="24"/>
          <w:rtl/>
        </w:rPr>
        <w:t>نظام حماية البيانات الشخصية</w:t>
      </w:r>
      <w:r>
        <w:rPr>
          <w:rFonts w:asciiTheme="majorBidi" w:hAnsiTheme="majorBidi" w:cstheme="majorBidi"/>
          <w:sz w:val="24"/>
          <w:szCs w:val="24"/>
          <w:rtl/>
        </w:rPr>
        <w:t xml:space="preserve"> الذي يلزم الجهة المعالجة باتخاذ التدابير الفنية والتنظيمية المناسبة لحماية البيانات (هيئة الخبراء بمجلس الوزراء، 1443هـ). كما يلفت </w:t>
      </w:r>
      <w:r>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249"/>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القيمة القانونية للمستند الرقمي وموثوقيته تتأثر بصلابة بيئته التقنية، وأن حماية البيانات ليست ترفًا تقنيًا بل جزء من ضمان الحجية والثقة</w:t>
      </w:r>
      <w:r>
        <w:rPr>
          <w:rFonts w:asciiTheme="majorBidi" w:hAnsiTheme="majorBidi" w:cstheme="majorBidi"/>
          <w:sz w:val="24"/>
          <w:szCs w:val="24"/>
        </w:rPr>
        <w:t>.</w:t>
      </w:r>
    </w:p>
    <w:p w14:paraId="25C48593" w14:textId="77777777" w:rsidR="004F0491" w:rsidRPr="00AD56AA" w:rsidRDefault="004F0491" w:rsidP="000C7173">
      <w:pPr>
        <w:jc w:val="right"/>
        <w:rPr>
          <w:rFonts w:asciiTheme="majorBidi" w:hAnsiTheme="majorBidi" w:cstheme="majorBidi"/>
          <w:sz w:val="24"/>
          <w:szCs w:val="24"/>
        </w:rPr>
      </w:pPr>
      <w:r>
        <w:rPr>
          <w:rFonts w:asciiTheme="majorBidi" w:hAnsiTheme="majorBidi" w:cstheme="majorBidi"/>
          <w:sz w:val="24"/>
          <w:szCs w:val="24"/>
          <w:rtl/>
        </w:rPr>
        <w:t xml:space="preserve">وبناءً عليه، فإن المحامي الذي يُدخل بيانات موكله في منصة ذكاء اصطناعي دون تحقق من الأمان والحوكمة، قد يكون قد أخل بواجب السرية </w:t>
      </w:r>
      <w:r>
        <w:rPr>
          <w:rFonts w:asciiTheme="majorBidi" w:hAnsiTheme="majorBidi" w:cstheme="majorBidi"/>
          <w:b/>
          <w:bCs/>
          <w:sz w:val="24"/>
          <w:szCs w:val="24"/>
          <w:rtl/>
        </w:rPr>
        <w:t>حتى قبل وقوع التسريب</w:t>
      </w:r>
      <w:r>
        <w:rPr>
          <w:rFonts w:asciiTheme="majorBidi" w:hAnsiTheme="majorBidi" w:cstheme="majorBidi"/>
          <w:sz w:val="24"/>
          <w:szCs w:val="24"/>
          <w:rtl/>
        </w:rPr>
        <w:t>؛ لأن مجرد تعريض البيانات لخطر غير مبرر قد يعد إخلالًا بالعناية</w:t>
      </w:r>
      <w:r>
        <w:rPr>
          <w:rFonts w:asciiTheme="majorBidi" w:hAnsiTheme="majorBidi" w:cstheme="majorBidi"/>
          <w:sz w:val="24"/>
          <w:szCs w:val="24"/>
        </w:rPr>
        <w:t>.</w:t>
      </w:r>
    </w:p>
    <w:p w14:paraId="7F451FE1" w14:textId="77777777" w:rsidR="004F0491" w:rsidRPr="00AD56AA"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w:t>
      </w:r>
      <w:r>
        <w:rPr>
          <w:rFonts w:asciiTheme="majorBidi" w:hAnsiTheme="majorBidi" w:cstheme="majorBidi" w:hint="cs"/>
          <w:sz w:val="24"/>
          <w:szCs w:val="24"/>
          <w:rtl/>
        </w:rPr>
        <w:t>تحليل ما سبق</w:t>
      </w:r>
      <w:r>
        <w:rPr>
          <w:rFonts w:asciiTheme="majorBidi" w:hAnsiTheme="majorBidi" w:cstheme="majorBidi"/>
          <w:sz w:val="24"/>
          <w:szCs w:val="24"/>
          <w:rtl/>
        </w:rPr>
        <w:t xml:space="preserve">، أرى أن معيار المسؤولية هنا يجب أن يكون </w:t>
      </w:r>
      <w:r>
        <w:rPr>
          <w:rFonts w:asciiTheme="majorBidi" w:hAnsiTheme="majorBidi" w:cstheme="majorBidi"/>
          <w:b/>
          <w:bCs/>
          <w:sz w:val="24"/>
          <w:szCs w:val="24"/>
          <w:rtl/>
        </w:rPr>
        <w:t>وقائيًا</w:t>
      </w:r>
      <w:r>
        <w:rPr>
          <w:rFonts w:asciiTheme="majorBidi" w:hAnsiTheme="majorBidi" w:cstheme="majorBidi"/>
          <w:sz w:val="24"/>
          <w:szCs w:val="24"/>
          <w:rtl/>
        </w:rPr>
        <w:t xml:space="preserve"> لا “انتظاريًا</w:t>
      </w:r>
      <w:r>
        <w:rPr>
          <w:rFonts w:asciiTheme="majorBidi" w:hAnsiTheme="majorBidi" w:cstheme="majorBidi"/>
          <w:sz w:val="24"/>
          <w:szCs w:val="24"/>
        </w:rPr>
        <w:t>”:</w:t>
      </w:r>
      <w:r>
        <w:rPr>
          <w:rFonts w:asciiTheme="majorBidi" w:hAnsiTheme="majorBidi" w:cstheme="majorBidi"/>
          <w:sz w:val="24"/>
          <w:szCs w:val="24"/>
        </w:rPr>
        <w:br/>
      </w:r>
      <w:r>
        <w:rPr>
          <w:rFonts w:asciiTheme="majorBidi" w:hAnsiTheme="majorBidi" w:cstheme="majorBidi"/>
          <w:sz w:val="24"/>
          <w:szCs w:val="24"/>
          <w:rtl/>
        </w:rPr>
        <w:t xml:space="preserve">أي أن المحامي يُسأل عن </w:t>
      </w:r>
      <w:r>
        <w:rPr>
          <w:rFonts w:asciiTheme="majorBidi" w:hAnsiTheme="majorBidi" w:cstheme="majorBidi"/>
          <w:b/>
          <w:bCs/>
          <w:sz w:val="24"/>
          <w:szCs w:val="24"/>
          <w:rtl/>
        </w:rPr>
        <w:t>المخاطرة غير المبررة</w:t>
      </w:r>
      <w:r>
        <w:rPr>
          <w:rFonts w:asciiTheme="majorBidi" w:hAnsiTheme="majorBidi" w:cstheme="majorBidi"/>
          <w:sz w:val="24"/>
          <w:szCs w:val="24"/>
          <w:rtl/>
        </w:rPr>
        <w:t xml:space="preserve"> بالبيانات، لا فقط عن وقوع الضرر بالفعل؛ لأن وظيفة السرية في المهن القانونية هي منع الخطر قبل أن يتحول إلى كارثة قانونية أو أخلاقية</w:t>
      </w:r>
      <w:r>
        <w:rPr>
          <w:rFonts w:asciiTheme="majorBidi" w:hAnsiTheme="majorBidi" w:cstheme="majorBidi"/>
          <w:sz w:val="24"/>
          <w:szCs w:val="24"/>
        </w:rPr>
        <w:t>.</w:t>
      </w:r>
    </w:p>
    <w:p w14:paraId="19E505E2" w14:textId="77777777" w:rsidR="004F0491" w:rsidRPr="00AD56AA" w:rsidRDefault="004F0491" w:rsidP="004F0491">
      <w:pPr>
        <w:rPr>
          <w:rFonts w:asciiTheme="majorBidi" w:hAnsiTheme="majorBidi" w:cstheme="majorBidi"/>
          <w:sz w:val="24"/>
          <w:szCs w:val="24"/>
        </w:rPr>
      </w:pPr>
    </w:p>
    <w:p w14:paraId="021F6E6C" w14:textId="77777777" w:rsidR="004F0491" w:rsidRPr="003A3742" w:rsidRDefault="004F0491" w:rsidP="004F0491">
      <w:pPr>
        <w:rPr>
          <w:rFonts w:asciiTheme="majorBidi" w:hAnsiTheme="majorBidi" w:cstheme="majorBidi"/>
          <w:sz w:val="24"/>
          <w:szCs w:val="24"/>
        </w:rPr>
      </w:pPr>
      <w:r>
        <w:rPr>
          <w:rFonts w:asciiTheme="majorBidi" w:hAnsiTheme="majorBidi" w:cstheme="majorBidi"/>
          <w:sz w:val="24"/>
          <w:szCs w:val="24"/>
          <w:rtl/>
        </w:rPr>
        <w:t>من الأفكار الجديدة التي تطرحها البيئة الرقمية: هل يجب على المحامي أن يُفصح للموكل عن استخدام الذكاء الاصطناعي في إعداد العمل؟</w:t>
      </w:r>
      <w:r>
        <w:rPr>
          <w:rFonts w:asciiTheme="majorBidi" w:hAnsiTheme="majorBidi" w:cstheme="majorBidi"/>
          <w:sz w:val="24"/>
          <w:szCs w:val="24"/>
        </w:rPr>
        <w:br/>
      </w:r>
      <w:r>
        <w:rPr>
          <w:rFonts w:asciiTheme="majorBidi" w:hAnsiTheme="majorBidi" w:cstheme="majorBidi"/>
          <w:sz w:val="24"/>
          <w:szCs w:val="24"/>
          <w:rtl/>
        </w:rPr>
        <w:t>هذه المسألة ليست شكلية، بل تتصل بجوهر العلاقة المهنية القائمة على الثقة وحق الموكل في تقدير المخاطر</w:t>
      </w:r>
      <w:r>
        <w:rPr>
          <w:rFonts w:asciiTheme="majorBidi" w:hAnsiTheme="majorBidi" w:cstheme="majorBidi"/>
          <w:sz w:val="24"/>
          <w:szCs w:val="24"/>
        </w:rPr>
        <w:t>.</w:t>
      </w:r>
    </w:p>
    <w:p w14:paraId="0ADBC502"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ترتبط هذه النقطة بمبدأ “المساءلة والشفافية” الذي تؤكد عليه وثائق الحوكمة الأخلاقية للذكاء الاصطناعي (سدايا، 2023)، وبمنطق العناية المهنية الذي يجعل الموكل طرفًا يجب ألا يُفاجأ بمخاطر خفية تمس بياناته أو مسار قضيته. وفي نفس الاتجاه، يقرر </w:t>
      </w:r>
      <w:r>
        <w:rPr>
          <w:rFonts w:asciiTheme="majorBidi" w:hAnsiTheme="majorBidi" w:cstheme="majorBidi"/>
          <w:b/>
          <w:bCs/>
          <w:sz w:val="24"/>
          <w:szCs w:val="24"/>
          <w:rtl/>
        </w:rPr>
        <w:t>رجب</w:t>
      </w:r>
      <w:r>
        <w:rPr>
          <w:rStyle w:val="af"/>
          <w:rFonts w:asciiTheme="majorBidi" w:hAnsiTheme="majorBidi" w:cstheme="majorBidi"/>
          <w:b/>
          <w:bCs/>
          <w:sz w:val="24"/>
          <w:szCs w:val="24"/>
          <w:rtl/>
        </w:rPr>
        <w:footnoteReference w:id="250"/>
      </w:r>
      <w:r>
        <w:rPr>
          <w:rFonts w:asciiTheme="majorBidi" w:hAnsiTheme="majorBidi" w:cstheme="majorBidi"/>
          <w:b/>
          <w:bCs/>
          <w:sz w:val="24"/>
          <w:szCs w:val="24"/>
        </w:rPr>
        <w:t xml:space="preserve"> (2023)</w:t>
      </w:r>
      <w:r>
        <w:rPr>
          <w:rFonts w:asciiTheme="majorBidi" w:hAnsiTheme="majorBidi" w:cstheme="majorBidi"/>
          <w:sz w:val="24"/>
          <w:szCs w:val="24"/>
        </w:rPr>
        <w:t xml:space="preserve"> </w:t>
      </w:r>
      <w:r>
        <w:rPr>
          <w:rFonts w:asciiTheme="majorBidi" w:hAnsiTheme="majorBidi" w:cstheme="majorBidi"/>
          <w:sz w:val="24"/>
          <w:szCs w:val="24"/>
          <w:rtl/>
        </w:rPr>
        <w:t>أن التأطير الأخلاقي للذكاء الاصطناعي يقتضي آليات مساءلة تتضمن شفافية مناسبة لطبيعة المخاطر وتداخل الأطراف</w:t>
      </w:r>
      <w:r>
        <w:rPr>
          <w:rFonts w:asciiTheme="majorBidi" w:hAnsiTheme="majorBidi" w:cstheme="majorBidi"/>
          <w:sz w:val="24"/>
          <w:szCs w:val="24"/>
        </w:rPr>
        <w:t>.</w:t>
      </w:r>
    </w:p>
    <w:p w14:paraId="2C2191CE"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عمليًا، قد تترتب على عدم الإفصاح صور ضرر واضحة</w:t>
      </w:r>
      <w:r>
        <w:rPr>
          <w:rFonts w:asciiTheme="majorBidi" w:hAnsiTheme="majorBidi" w:cstheme="majorBidi"/>
          <w:sz w:val="24"/>
          <w:szCs w:val="24"/>
        </w:rPr>
        <w:t>:</w:t>
      </w:r>
    </w:p>
    <w:p w14:paraId="1EE35F86" w14:textId="77777777" w:rsidR="004F0491" w:rsidRPr="003A3742" w:rsidRDefault="004F0491" w:rsidP="004F0491">
      <w:pPr>
        <w:numPr>
          <w:ilvl w:val="0"/>
          <w:numId w:val="30"/>
        </w:numPr>
        <w:bidi/>
        <w:rPr>
          <w:rFonts w:asciiTheme="majorBidi" w:hAnsiTheme="majorBidi" w:cstheme="majorBidi"/>
          <w:sz w:val="24"/>
          <w:szCs w:val="24"/>
        </w:rPr>
      </w:pPr>
      <w:r>
        <w:rPr>
          <w:rFonts w:asciiTheme="majorBidi" w:hAnsiTheme="majorBidi" w:cstheme="majorBidi"/>
          <w:sz w:val="24"/>
          <w:szCs w:val="24"/>
          <w:rtl/>
        </w:rPr>
        <w:t>موكل يرفض تخزين بياناته في منصات سحابية أو خارجية، لكنه لم يُستأذن</w:t>
      </w:r>
      <w:r>
        <w:rPr>
          <w:rFonts w:asciiTheme="majorBidi" w:hAnsiTheme="majorBidi" w:cstheme="majorBidi"/>
          <w:sz w:val="24"/>
          <w:szCs w:val="24"/>
        </w:rPr>
        <w:t>.</w:t>
      </w:r>
    </w:p>
    <w:p w14:paraId="13D45E27" w14:textId="77777777" w:rsidR="004F0491" w:rsidRPr="003A3742" w:rsidRDefault="004F0491" w:rsidP="004F0491">
      <w:pPr>
        <w:numPr>
          <w:ilvl w:val="0"/>
          <w:numId w:val="30"/>
        </w:numPr>
        <w:bidi/>
        <w:rPr>
          <w:rFonts w:asciiTheme="majorBidi" w:hAnsiTheme="majorBidi" w:cstheme="majorBidi"/>
          <w:sz w:val="24"/>
          <w:szCs w:val="24"/>
        </w:rPr>
      </w:pPr>
      <w:r>
        <w:rPr>
          <w:rFonts w:asciiTheme="majorBidi" w:hAnsiTheme="majorBidi" w:cstheme="majorBidi"/>
          <w:sz w:val="24"/>
          <w:szCs w:val="24"/>
          <w:rtl/>
        </w:rPr>
        <w:t>موكل يعتمد على “اجتهاد بشري كامل” في قضية عالية الحساسية، بينما جرى الاعتماد على أداة توليد</w:t>
      </w:r>
      <w:r>
        <w:rPr>
          <w:rFonts w:asciiTheme="majorBidi" w:hAnsiTheme="majorBidi" w:cstheme="majorBidi"/>
          <w:sz w:val="24"/>
          <w:szCs w:val="24"/>
        </w:rPr>
        <w:t>.</w:t>
      </w:r>
    </w:p>
    <w:p w14:paraId="552CBE6B" w14:textId="77777777" w:rsidR="004F0491" w:rsidRPr="003A3742" w:rsidRDefault="004F0491" w:rsidP="004F0491">
      <w:pPr>
        <w:numPr>
          <w:ilvl w:val="0"/>
          <w:numId w:val="30"/>
        </w:numPr>
        <w:bidi/>
        <w:rPr>
          <w:rFonts w:asciiTheme="majorBidi" w:hAnsiTheme="majorBidi" w:cstheme="majorBidi"/>
          <w:sz w:val="24"/>
          <w:szCs w:val="24"/>
        </w:rPr>
      </w:pPr>
      <w:r>
        <w:rPr>
          <w:rFonts w:asciiTheme="majorBidi" w:hAnsiTheme="majorBidi" w:cstheme="majorBidi"/>
          <w:sz w:val="24"/>
          <w:szCs w:val="24"/>
          <w:rtl/>
        </w:rPr>
        <w:t>موكل يتضرر من مخرج خاطئ ثم يُفاجأ بأن مصدره “نظام آلي” لم يوافق على استخدامه</w:t>
      </w:r>
      <w:r>
        <w:rPr>
          <w:rFonts w:asciiTheme="majorBidi" w:hAnsiTheme="majorBidi" w:cstheme="majorBidi"/>
          <w:sz w:val="24"/>
          <w:szCs w:val="24"/>
        </w:rPr>
        <w:t>.</w:t>
      </w:r>
    </w:p>
    <w:p w14:paraId="3091F291"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ومن رأيي كباحث</w:t>
      </w:r>
      <w:r>
        <w:rPr>
          <w:rFonts w:asciiTheme="majorBidi" w:hAnsiTheme="majorBidi" w:cstheme="majorBidi"/>
          <w:sz w:val="24"/>
          <w:szCs w:val="24"/>
        </w:rPr>
        <w:t xml:space="preserve">: </w:t>
      </w:r>
      <w:r>
        <w:rPr>
          <w:rFonts w:asciiTheme="majorBidi" w:hAnsiTheme="majorBidi" w:cstheme="majorBidi"/>
          <w:b/>
          <w:bCs/>
          <w:sz w:val="24"/>
          <w:szCs w:val="24"/>
          <w:rtl/>
        </w:rPr>
        <w:t>عدم الإفصاح في حالات معينة قد يُكيَّف كإخلال بواجب الأمانة المهنية</w:t>
      </w:r>
      <w:r>
        <w:rPr>
          <w:rFonts w:asciiTheme="majorBidi" w:hAnsiTheme="majorBidi" w:cstheme="majorBidi"/>
          <w:sz w:val="24"/>
          <w:szCs w:val="24"/>
          <w:rtl/>
        </w:rPr>
        <w:t>، ليس لأن استخدام الذكاء الاصطناعي ممنوع، بل لأن الموكل من حقه معرفة ما إذا كانت خدمته تمر عبر قنوات تزيد المخاطر أو تقلل التحكم. وأرى أن معيار الإفصاح يجب أن يكون “وظيفيًا</w:t>
      </w:r>
      <w:r>
        <w:rPr>
          <w:rFonts w:asciiTheme="majorBidi" w:hAnsiTheme="majorBidi" w:cstheme="majorBidi"/>
          <w:sz w:val="24"/>
          <w:szCs w:val="24"/>
        </w:rPr>
        <w:t>”:</w:t>
      </w:r>
    </w:p>
    <w:p w14:paraId="6A135ED1" w14:textId="77777777" w:rsidR="004F0491" w:rsidRPr="003A3742" w:rsidRDefault="004F0491" w:rsidP="004F0491">
      <w:pPr>
        <w:numPr>
          <w:ilvl w:val="0"/>
          <w:numId w:val="31"/>
        </w:numPr>
        <w:bidi/>
        <w:rPr>
          <w:rFonts w:asciiTheme="majorBidi" w:hAnsiTheme="majorBidi" w:cstheme="majorBidi"/>
          <w:sz w:val="24"/>
          <w:szCs w:val="24"/>
        </w:rPr>
      </w:pPr>
      <w:r>
        <w:rPr>
          <w:rFonts w:asciiTheme="majorBidi" w:hAnsiTheme="majorBidi" w:cstheme="majorBidi"/>
          <w:sz w:val="24"/>
          <w:szCs w:val="24"/>
          <w:rtl/>
        </w:rPr>
        <w:t xml:space="preserve">كلما زادت </w:t>
      </w:r>
      <w:r>
        <w:rPr>
          <w:rFonts w:asciiTheme="majorBidi" w:hAnsiTheme="majorBidi" w:cstheme="majorBidi"/>
          <w:b/>
          <w:bCs/>
          <w:sz w:val="24"/>
          <w:szCs w:val="24"/>
          <w:rtl/>
        </w:rPr>
        <w:t>حساسية البيانات</w:t>
      </w:r>
      <w:r>
        <w:rPr>
          <w:rFonts w:asciiTheme="majorBidi" w:hAnsiTheme="majorBidi" w:cstheme="majorBidi"/>
          <w:sz w:val="24"/>
          <w:szCs w:val="24"/>
          <w:rtl/>
        </w:rPr>
        <w:t xml:space="preserve"> أو </w:t>
      </w:r>
      <w:r>
        <w:rPr>
          <w:rFonts w:asciiTheme="majorBidi" w:hAnsiTheme="majorBidi" w:cstheme="majorBidi"/>
          <w:b/>
          <w:bCs/>
          <w:sz w:val="24"/>
          <w:szCs w:val="24"/>
          <w:rtl/>
        </w:rPr>
        <w:t>ارتفاع المخاطر</w:t>
      </w:r>
      <w:r>
        <w:rPr>
          <w:rFonts w:asciiTheme="majorBidi" w:hAnsiTheme="majorBidi" w:cstheme="majorBidi"/>
          <w:sz w:val="24"/>
          <w:szCs w:val="24"/>
          <w:rtl/>
        </w:rPr>
        <w:t xml:space="preserve"> أو </w:t>
      </w:r>
      <w:r>
        <w:rPr>
          <w:rFonts w:asciiTheme="majorBidi" w:hAnsiTheme="majorBidi" w:cstheme="majorBidi"/>
          <w:b/>
          <w:bCs/>
          <w:sz w:val="24"/>
          <w:szCs w:val="24"/>
          <w:rtl/>
        </w:rPr>
        <w:t>اتساع الاعتماد</w:t>
      </w:r>
      <w:r>
        <w:rPr>
          <w:rFonts w:asciiTheme="majorBidi" w:hAnsiTheme="majorBidi" w:cstheme="majorBidi"/>
          <w:sz w:val="24"/>
          <w:szCs w:val="24"/>
          <w:rtl/>
        </w:rPr>
        <w:t xml:space="preserve"> على الذكاء الاصطناعي، اقتربنا من وجوب الإفصاح</w:t>
      </w:r>
      <w:r>
        <w:rPr>
          <w:rFonts w:asciiTheme="majorBidi" w:hAnsiTheme="majorBidi" w:cstheme="majorBidi"/>
          <w:sz w:val="24"/>
          <w:szCs w:val="24"/>
        </w:rPr>
        <w:t>.</w:t>
      </w:r>
    </w:p>
    <w:p w14:paraId="04297655" w14:textId="77777777" w:rsidR="004F0491" w:rsidRPr="003A3742" w:rsidRDefault="004F0491" w:rsidP="004F0491">
      <w:pPr>
        <w:numPr>
          <w:ilvl w:val="0"/>
          <w:numId w:val="31"/>
        </w:numPr>
        <w:bidi/>
        <w:rPr>
          <w:rFonts w:asciiTheme="majorBidi" w:hAnsiTheme="majorBidi" w:cstheme="majorBidi"/>
          <w:sz w:val="24"/>
          <w:szCs w:val="24"/>
        </w:rPr>
      </w:pPr>
      <w:r>
        <w:rPr>
          <w:rFonts w:asciiTheme="majorBidi" w:hAnsiTheme="majorBidi" w:cstheme="majorBidi"/>
          <w:sz w:val="24"/>
          <w:szCs w:val="24"/>
          <w:rtl/>
        </w:rPr>
        <w:t>أما في الاستخدامات المساندة البسيطة (كالتلخيص الداخلي دون إدخال بيانات حساسة) فقد يُكتفى بسياسة مكتب عامة</w:t>
      </w:r>
      <w:r>
        <w:rPr>
          <w:rFonts w:asciiTheme="majorBidi" w:hAnsiTheme="majorBidi" w:cstheme="majorBidi"/>
          <w:sz w:val="24"/>
          <w:szCs w:val="24"/>
        </w:rPr>
        <w:t>.</w:t>
      </w:r>
    </w:p>
    <w:p w14:paraId="45AD5EC4" w14:textId="77777777" w:rsidR="004F0491" w:rsidRPr="003A3742" w:rsidRDefault="004F0491" w:rsidP="004F0491">
      <w:pPr>
        <w:rPr>
          <w:rFonts w:asciiTheme="majorBidi" w:hAnsiTheme="majorBidi" w:cstheme="majorBidi"/>
          <w:sz w:val="24"/>
          <w:szCs w:val="24"/>
        </w:rPr>
      </w:pPr>
    </w:p>
    <w:p w14:paraId="27194E69"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التقنية قد تُدخل على العمل القانوني مخاطر ليست “أخطاء نصية” بل </w:t>
      </w:r>
      <w:r>
        <w:rPr>
          <w:rFonts w:asciiTheme="majorBidi" w:hAnsiTheme="majorBidi" w:cstheme="majorBidi"/>
          <w:b/>
          <w:bCs/>
          <w:sz w:val="24"/>
          <w:szCs w:val="24"/>
          <w:rtl/>
        </w:rPr>
        <w:t>انحرافات منهجية</w:t>
      </w:r>
      <w:r>
        <w:rPr>
          <w:rFonts w:asciiTheme="majorBidi" w:hAnsiTheme="majorBidi" w:cstheme="majorBidi"/>
          <w:sz w:val="24"/>
          <w:szCs w:val="24"/>
        </w:rPr>
        <w:t xml:space="preserve">: </w:t>
      </w:r>
      <w:r>
        <w:rPr>
          <w:rFonts w:asciiTheme="majorBidi" w:hAnsiTheme="majorBidi" w:cstheme="majorBidi"/>
          <w:sz w:val="24"/>
          <w:szCs w:val="24"/>
          <w:rtl/>
        </w:rPr>
        <w:t xml:space="preserve">تحيزات في البيانات، أو توجيه في الاستنتاجات، أو تقديم حلول “نماذجية” لا تناسب الخصوصية النظامية السعودية. وهذه المخاطر تختلف عن الخطأ التقليدي؛ لأنها قد تنتج مخرجًا يبدو مقنعًا ظاهريًا لكنه </w:t>
      </w:r>
      <w:r>
        <w:rPr>
          <w:rFonts w:asciiTheme="majorBidi" w:hAnsiTheme="majorBidi" w:cstheme="majorBidi"/>
          <w:b/>
          <w:bCs/>
          <w:sz w:val="24"/>
          <w:szCs w:val="24"/>
          <w:rtl/>
        </w:rPr>
        <w:t>منحاز</w:t>
      </w:r>
      <w:r>
        <w:rPr>
          <w:rFonts w:asciiTheme="majorBidi" w:hAnsiTheme="majorBidi" w:cstheme="majorBidi"/>
          <w:sz w:val="24"/>
          <w:szCs w:val="24"/>
          <w:rtl/>
        </w:rPr>
        <w:t xml:space="preserve"> أو </w:t>
      </w:r>
      <w:r>
        <w:rPr>
          <w:rFonts w:asciiTheme="majorBidi" w:hAnsiTheme="majorBidi" w:cstheme="majorBidi"/>
          <w:b/>
          <w:bCs/>
          <w:sz w:val="24"/>
          <w:szCs w:val="24"/>
          <w:rtl/>
        </w:rPr>
        <w:t>غير ملائم</w:t>
      </w:r>
      <w:r>
        <w:rPr>
          <w:rFonts w:asciiTheme="majorBidi" w:hAnsiTheme="majorBidi" w:cstheme="majorBidi"/>
          <w:sz w:val="24"/>
          <w:szCs w:val="24"/>
        </w:rPr>
        <w:t>.</w:t>
      </w:r>
    </w:p>
    <w:p w14:paraId="10E1D762"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تشير أدبيات المسؤولية عن الذكاء الاصطناعي إلى أن الإشكال ليس في الخطأ الفردي فحسب، بل في طبيعة الأنظمة التي تتعلم من بيانات قد تكون غير متوازنة أو غير ممثلة، ما ينعكس على النتائج (الربيع، 2022). ومن زاوية أخرى، يلفت </w:t>
      </w:r>
      <w:r>
        <w:rPr>
          <w:rFonts w:asciiTheme="majorBidi" w:hAnsiTheme="majorBidi" w:cstheme="majorBidi" w:hint="cs"/>
          <w:b/>
          <w:bCs/>
          <w:sz w:val="24"/>
          <w:szCs w:val="24"/>
          <w:rtl/>
        </w:rPr>
        <w:t>الاسيوطي</w:t>
      </w:r>
      <w:r>
        <w:rPr>
          <w:rStyle w:val="af"/>
          <w:rFonts w:asciiTheme="majorBidi" w:hAnsiTheme="majorBidi" w:cstheme="majorBidi"/>
          <w:b/>
          <w:bCs/>
          <w:sz w:val="24"/>
          <w:szCs w:val="24"/>
          <w:rtl/>
        </w:rPr>
        <w:footnoteReference w:id="251"/>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التحول التقني يعيد تعريف الكفاءة المهنية، وهو ما يعني ضمنًا أن الكفاءة تشمل القدرة على اكتشاف الانحرافات المنهجية لا مجرد اكتشاف الأخطاء الصريحة</w:t>
      </w:r>
      <w:r>
        <w:rPr>
          <w:rFonts w:asciiTheme="majorBidi" w:hAnsiTheme="majorBidi" w:cstheme="majorBidi"/>
          <w:sz w:val="24"/>
          <w:szCs w:val="24"/>
        </w:rPr>
        <w:t>.</w:t>
      </w:r>
    </w:p>
    <w:p w14:paraId="431077C9"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وتظهر هنا مسؤولية المحامي في نقطتين</w:t>
      </w:r>
      <w:r>
        <w:rPr>
          <w:rFonts w:asciiTheme="majorBidi" w:hAnsiTheme="majorBidi" w:cstheme="majorBidi"/>
          <w:sz w:val="24"/>
          <w:szCs w:val="24"/>
        </w:rPr>
        <w:t>:</w:t>
      </w:r>
    </w:p>
    <w:p w14:paraId="69D021CC" w14:textId="77777777" w:rsidR="004F0491" w:rsidRPr="003A3742" w:rsidRDefault="004F0491" w:rsidP="004F0491">
      <w:pPr>
        <w:numPr>
          <w:ilvl w:val="0"/>
          <w:numId w:val="32"/>
        </w:numPr>
        <w:bidi/>
        <w:rPr>
          <w:rFonts w:asciiTheme="majorBidi" w:hAnsiTheme="majorBidi" w:cstheme="majorBidi"/>
          <w:sz w:val="24"/>
          <w:szCs w:val="24"/>
        </w:rPr>
      </w:pPr>
      <w:r>
        <w:rPr>
          <w:rFonts w:asciiTheme="majorBidi" w:hAnsiTheme="majorBidi" w:cstheme="majorBidi"/>
          <w:b/>
          <w:bCs/>
          <w:sz w:val="24"/>
          <w:szCs w:val="24"/>
          <w:rtl/>
        </w:rPr>
        <w:t>تحقق الملاءمة النظامية السعودية</w:t>
      </w:r>
      <w:r>
        <w:rPr>
          <w:rFonts w:asciiTheme="majorBidi" w:hAnsiTheme="majorBidi" w:cstheme="majorBidi"/>
          <w:sz w:val="24"/>
          <w:szCs w:val="24"/>
        </w:rPr>
        <w:t xml:space="preserve">: </w:t>
      </w:r>
      <w:r>
        <w:rPr>
          <w:rFonts w:asciiTheme="majorBidi" w:hAnsiTheme="majorBidi" w:cstheme="majorBidi"/>
          <w:sz w:val="24"/>
          <w:szCs w:val="24"/>
          <w:rtl/>
        </w:rPr>
        <w:t>لأن كثيرًا من الأدوات العامة لا تبني استدلالاتها على مصادر سعودية، وقد تخلط بين نظم مختلفة</w:t>
      </w:r>
      <w:r>
        <w:rPr>
          <w:rFonts w:asciiTheme="majorBidi" w:hAnsiTheme="majorBidi" w:cstheme="majorBidi"/>
          <w:sz w:val="24"/>
          <w:szCs w:val="24"/>
        </w:rPr>
        <w:t>.</w:t>
      </w:r>
    </w:p>
    <w:p w14:paraId="70AD8FC2" w14:textId="77777777" w:rsidR="004F0491" w:rsidRPr="003A3742" w:rsidRDefault="004F0491" w:rsidP="004F0491">
      <w:pPr>
        <w:numPr>
          <w:ilvl w:val="0"/>
          <w:numId w:val="32"/>
        </w:numPr>
        <w:bidi/>
        <w:rPr>
          <w:rFonts w:asciiTheme="majorBidi" w:hAnsiTheme="majorBidi" w:cstheme="majorBidi"/>
          <w:sz w:val="24"/>
          <w:szCs w:val="24"/>
        </w:rPr>
      </w:pPr>
      <w:r>
        <w:rPr>
          <w:rFonts w:asciiTheme="majorBidi" w:hAnsiTheme="majorBidi" w:cstheme="majorBidi"/>
          <w:b/>
          <w:bCs/>
          <w:sz w:val="24"/>
          <w:szCs w:val="24"/>
          <w:rtl/>
        </w:rPr>
        <w:t>تحقق العدالة التعاقدية والواقعية</w:t>
      </w:r>
      <w:r>
        <w:rPr>
          <w:rFonts w:asciiTheme="majorBidi" w:hAnsiTheme="majorBidi" w:cstheme="majorBidi"/>
          <w:sz w:val="24"/>
          <w:szCs w:val="24"/>
        </w:rPr>
        <w:t xml:space="preserve">: </w:t>
      </w:r>
      <w:r>
        <w:rPr>
          <w:rFonts w:asciiTheme="majorBidi" w:hAnsiTheme="majorBidi" w:cstheme="majorBidi"/>
          <w:sz w:val="24"/>
          <w:szCs w:val="24"/>
          <w:rtl/>
        </w:rPr>
        <w:t>لأن المخرج قد يقترح إستراتيجية قانونية تبدو “أمثل” نظريًا لكنها تؤدي إلى ضرر عملي لخصوصية القضية</w:t>
      </w:r>
      <w:r>
        <w:rPr>
          <w:rFonts w:asciiTheme="majorBidi" w:hAnsiTheme="majorBidi" w:cstheme="majorBidi"/>
          <w:sz w:val="24"/>
          <w:szCs w:val="24"/>
        </w:rPr>
        <w:t>.</w:t>
      </w:r>
    </w:p>
    <w:p w14:paraId="4D7100F5"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hint="cs"/>
          <w:sz w:val="24"/>
          <w:szCs w:val="24"/>
          <w:rtl/>
        </w:rPr>
        <w:t xml:space="preserve">ومن خلال ما سبق نجد ان </w:t>
      </w:r>
      <w:r>
        <w:rPr>
          <w:rFonts w:asciiTheme="majorBidi" w:hAnsiTheme="majorBidi" w:cstheme="majorBidi"/>
          <w:sz w:val="24"/>
          <w:szCs w:val="24"/>
          <w:rtl/>
        </w:rPr>
        <w:t xml:space="preserve">التحيز الخوارزمي إذا أدى إلى توجيه دفاع أو نصيحة بشكل يضر الموكل قد ينهض كخطأ مهني حتى لو لم يظهر كخطأ “قانوني” صريح، لأنه يمثل </w:t>
      </w:r>
      <w:r>
        <w:rPr>
          <w:rFonts w:asciiTheme="majorBidi" w:hAnsiTheme="majorBidi" w:cstheme="majorBidi"/>
          <w:b/>
          <w:bCs/>
          <w:sz w:val="24"/>
          <w:szCs w:val="24"/>
          <w:rtl/>
        </w:rPr>
        <w:t>قصورًا في التبصر المهني</w:t>
      </w:r>
      <w:r>
        <w:rPr>
          <w:rFonts w:asciiTheme="majorBidi" w:hAnsiTheme="majorBidi" w:cstheme="majorBidi"/>
          <w:sz w:val="24"/>
          <w:szCs w:val="24"/>
        </w:rPr>
        <w:t xml:space="preserve">. </w:t>
      </w:r>
      <w:r>
        <w:rPr>
          <w:rFonts w:asciiTheme="majorBidi" w:hAnsiTheme="majorBidi" w:cstheme="majorBidi"/>
          <w:sz w:val="24"/>
          <w:szCs w:val="24"/>
          <w:rtl/>
        </w:rPr>
        <w:t>والمحامي هنا لا يُسأل لأنه لم يفهم الخوارزمية، بل لأنه لم يضع ضوابط تمنع تسلل التحيز إلى القرار المهني</w:t>
      </w:r>
      <w:r>
        <w:rPr>
          <w:rFonts w:asciiTheme="majorBidi" w:hAnsiTheme="majorBidi" w:cstheme="majorBidi"/>
          <w:sz w:val="24"/>
          <w:szCs w:val="24"/>
        </w:rPr>
        <w:t>.</w:t>
      </w:r>
    </w:p>
    <w:p w14:paraId="033E9E09" w14:textId="77777777" w:rsidR="004F0491" w:rsidRPr="003A3742" w:rsidRDefault="004F0491" w:rsidP="004F0491">
      <w:pPr>
        <w:rPr>
          <w:rFonts w:asciiTheme="majorBidi" w:hAnsiTheme="majorBidi" w:cstheme="majorBidi"/>
          <w:sz w:val="24"/>
          <w:szCs w:val="24"/>
        </w:rPr>
      </w:pPr>
    </w:p>
    <w:p w14:paraId="14416962" w14:textId="77777777" w:rsidR="004F0491" w:rsidRDefault="004F0491" w:rsidP="004F0491">
      <w:pPr>
        <w:jc w:val="right"/>
        <w:rPr>
          <w:rFonts w:asciiTheme="majorBidi" w:hAnsiTheme="majorBidi" w:cstheme="majorBidi"/>
          <w:b/>
          <w:bCs/>
          <w:sz w:val="24"/>
          <w:szCs w:val="24"/>
        </w:rPr>
      </w:pPr>
      <w:r>
        <w:rPr>
          <w:rFonts w:asciiTheme="majorBidi" w:hAnsiTheme="majorBidi" w:cstheme="majorBidi"/>
          <w:b/>
          <w:bCs/>
          <w:sz w:val="24"/>
          <w:szCs w:val="24"/>
          <w:rtl/>
        </w:rPr>
        <w:t>رابعًا: توزيع المسؤولية وإشكاليات الإثبات في منظومة الذكاء الاصطناعي</w:t>
      </w:r>
    </w:p>
    <w:p w14:paraId="2C748B3A" w14:textId="77777777" w:rsidR="004F0491" w:rsidRDefault="004F0491" w:rsidP="004F0491">
      <w:pPr>
        <w:bidi/>
        <w:rPr>
          <w:rFonts w:asciiTheme="majorBidi" w:hAnsiTheme="majorBidi" w:cstheme="majorBidi"/>
          <w:sz w:val="24"/>
          <w:szCs w:val="24"/>
          <w:rtl/>
        </w:rPr>
      </w:pPr>
      <w:r>
        <w:rPr>
          <w:rFonts w:asciiTheme="majorBidi" w:hAnsiTheme="majorBidi" w:cstheme="majorBidi"/>
          <w:sz w:val="24"/>
          <w:szCs w:val="24"/>
          <w:rtl/>
        </w:rPr>
        <w:t>وفي إطار إشكالية الإثبات بالذكاء الاصطناعي، توصل الأسيوطي إلى أن مسألة الإثبات تحتل حيزًا جوهريًا في مجال تطبيق الذكاء الاصطناعي؛ لأن صاحب الحق الذي يعجز عن إثبات مصدر حقه يفقده حتى وإن كان معترفًا به قانونًا. ومن ثم، فإن اعتماد مخرجات أنظمة الذكاء الاصطناعي كدليل أمام القضاء يستلزم بناء منظومة إثباتية رقمية تضمن صحة المصدر وسلامة المعالجة وإمكانية التحقق من المخرج.</w:t>
      </w:r>
      <w:r>
        <w:rPr>
          <w:rStyle w:val="af"/>
          <w:rFonts w:asciiTheme="majorBidi" w:hAnsiTheme="majorBidi" w:cstheme="majorBidi"/>
          <w:sz w:val="24"/>
          <w:szCs w:val="24"/>
          <w:rtl/>
        </w:rPr>
        <w:footnoteReference w:id="252"/>
      </w:r>
    </w:p>
    <w:p w14:paraId="0E0E0A83"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إذا انتقلنا من المسؤولية المدنية المجردة إلى </w:t>
      </w:r>
      <w:r>
        <w:rPr>
          <w:rFonts w:asciiTheme="majorBidi" w:hAnsiTheme="majorBidi" w:cstheme="majorBidi"/>
          <w:b/>
          <w:bCs/>
          <w:sz w:val="24"/>
          <w:szCs w:val="24"/>
          <w:rtl/>
        </w:rPr>
        <w:t>سياق المنازعة القضائية</w:t>
      </w:r>
      <w:r>
        <w:rPr>
          <w:rFonts w:asciiTheme="majorBidi" w:hAnsiTheme="majorBidi" w:cstheme="majorBidi"/>
          <w:sz w:val="24"/>
          <w:szCs w:val="24"/>
          <w:rtl/>
        </w:rPr>
        <w:t xml:space="preserve">، تظهر زاوية دقيقة غالبًا تُهمل: ليست المشكلة فقط في صحة المخرج، بل في </w:t>
      </w:r>
      <w:r>
        <w:rPr>
          <w:rFonts w:asciiTheme="majorBidi" w:hAnsiTheme="majorBidi" w:cstheme="majorBidi"/>
          <w:b/>
          <w:bCs/>
          <w:sz w:val="24"/>
          <w:szCs w:val="24"/>
          <w:rtl/>
        </w:rPr>
        <w:t>حجيته وإمكان الاحتجاج به</w:t>
      </w:r>
      <w:r>
        <w:rPr>
          <w:rFonts w:asciiTheme="majorBidi" w:hAnsiTheme="majorBidi" w:cstheme="majorBidi"/>
          <w:sz w:val="24"/>
          <w:szCs w:val="24"/>
          <w:rtl/>
        </w:rPr>
        <w:t xml:space="preserve"> وإمكان إثبات نسبته وسلامة مساره. </w:t>
      </w:r>
      <w:r>
        <w:rPr>
          <w:rFonts w:asciiTheme="majorBidi" w:hAnsiTheme="majorBidi" w:cstheme="majorBidi"/>
          <w:sz w:val="24"/>
          <w:szCs w:val="24"/>
          <w:rtl/>
        </w:rPr>
        <w:lastRenderedPageBreak/>
        <w:t xml:space="preserve">فالمحامي عندما يقدم عقدًا أو مذكرة أو تقريرًا صيغ بمساعدة الذكاء الاصطناعي، فهو لا يقدم “نصًا” فقط، بل يقدم </w:t>
      </w:r>
      <w:r>
        <w:rPr>
          <w:rFonts w:asciiTheme="majorBidi" w:hAnsiTheme="majorBidi" w:cstheme="majorBidi"/>
          <w:b/>
          <w:bCs/>
          <w:sz w:val="24"/>
          <w:szCs w:val="24"/>
          <w:rtl/>
        </w:rPr>
        <w:t>مستندًا</w:t>
      </w:r>
      <w:r>
        <w:rPr>
          <w:rFonts w:asciiTheme="majorBidi" w:hAnsiTheme="majorBidi" w:cstheme="majorBidi"/>
          <w:sz w:val="24"/>
          <w:szCs w:val="24"/>
          <w:rtl/>
        </w:rPr>
        <w:t xml:space="preserve"> ضمن منظومة إثبات، وقد ترتب عليه آثار إجرائية ومراكز قانونية</w:t>
      </w:r>
      <w:r>
        <w:rPr>
          <w:rFonts w:asciiTheme="majorBidi" w:hAnsiTheme="majorBidi" w:cstheme="majorBidi"/>
          <w:sz w:val="24"/>
          <w:szCs w:val="24"/>
        </w:rPr>
        <w:t>.</w:t>
      </w:r>
    </w:p>
    <w:p w14:paraId="4BB60048" w14:textId="77777777" w:rsidR="004F0491" w:rsidRPr="003A3742" w:rsidRDefault="004F0491" w:rsidP="004F0491">
      <w:pPr>
        <w:rPr>
          <w:rFonts w:asciiTheme="majorBidi" w:hAnsiTheme="majorBidi" w:cstheme="majorBidi"/>
          <w:sz w:val="24"/>
          <w:szCs w:val="24"/>
        </w:rPr>
      </w:pPr>
      <w:r>
        <w:rPr>
          <w:rFonts w:asciiTheme="majorBidi" w:hAnsiTheme="majorBidi" w:cstheme="majorBidi"/>
          <w:sz w:val="24"/>
          <w:szCs w:val="24"/>
          <w:rtl/>
        </w:rPr>
        <w:t xml:space="preserve">ويبرز هنا دور </w:t>
      </w:r>
      <w:r>
        <w:rPr>
          <w:rFonts w:asciiTheme="majorBidi" w:hAnsiTheme="majorBidi" w:cstheme="majorBidi"/>
          <w:b/>
          <w:bCs/>
          <w:sz w:val="24"/>
          <w:szCs w:val="24"/>
          <w:rtl/>
        </w:rPr>
        <w:t>نظام الإثبات</w:t>
      </w:r>
      <w:r>
        <w:rPr>
          <w:rFonts w:asciiTheme="majorBidi" w:hAnsiTheme="majorBidi" w:cstheme="majorBidi"/>
          <w:sz w:val="24"/>
          <w:szCs w:val="24"/>
          <w:rtl/>
        </w:rPr>
        <w:t xml:space="preserve"> الذي يقوم – في جوهره – على ضبط وسائل الإثبات وقيمتها الحجية وشروط قبولها (هيئة الخبراء بمجلس الوزراء، 1443هـ). وبناءً عليه، فإن المخرجات الذكية قد تُثار بشأنها إشكالات مثل</w:t>
      </w:r>
      <w:r>
        <w:rPr>
          <w:rFonts w:asciiTheme="majorBidi" w:hAnsiTheme="majorBidi" w:cstheme="majorBidi"/>
          <w:sz w:val="24"/>
          <w:szCs w:val="24"/>
        </w:rPr>
        <w:t>:</w:t>
      </w:r>
    </w:p>
    <w:p w14:paraId="2035A8F1" w14:textId="77777777" w:rsidR="004F0491" w:rsidRPr="003A3742" w:rsidRDefault="004F0491" w:rsidP="004F0491">
      <w:pPr>
        <w:numPr>
          <w:ilvl w:val="0"/>
          <w:numId w:val="29"/>
        </w:numPr>
        <w:bidi/>
        <w:rPr>
          <w:rFonts w:asciiTheme="majorBidi" w:hAnsiTheme="majorBidi" w:cstheme="majorBidi"/>
          <w:sz w:val="24"/>
          <w:szCs w:val="24"/>
        </w:rPr>
      </w:pPr>
      <w:r>
        <w:rPr>
          <w:rFonts w:asciiTheme="majorBidi" w:hAnsiTheme="majorBidi" w:cstheme="majorBidi"/>
          <w:b/>
          <w:bCs/>
          <w:sz w:val="24"/>
          <w:szCs w:val="24"/>
          <w:rtl/>
        </w:rPr>
        <w:t>هل يُعد المستند المولد آليًا “محررًا” له حجية؟</w:t>
      </w:r>
    </w:p>
    <w:p w14:paraId="459EF6C6" w14:textId="77777777" w:rsidR="004F0491" w:rsidRPr="003A3742" w:rsidRDefault="004F0491" w:rsidP="004F0491">
      <w:pPr>
        <w:numPr>
          <w:ilvl w:val="0"/>
          <w:numId w:val="29"/>
        </w:numPr>
        <w:bidi/>
        <w:rPr>
          <w:rFonts w:asciiTheme="majorBidi" w:hAnsiTheme="majorBidi" w:cstheme="majorBidi"/>
          <w:sz w:val="24"/>
          <w:szCs w:val="24"/>
        </w:rPr>
      </w:pPr>
      <w:r>
        <w:rPr>
          <w:rFonts w:asciiTheme="majorBidi" w:hAnsiTheme="majorBidi" w:cstheme="majorBidi"/>
          <w:b/>
          <w:bCs/>
          <w:sz w:val="24"/>
          <w:szCs w:val="24"/>
          <w:rtl/>
        </w:rPr>
        <w:t>هل يمكن الاعتراض عليه لعدم وضوح مصدره أو مساره أو لاحتمال العبث به؟</w:t>
      </w:r>
    </w:p>
    <w:p w14:paraId="7E6DDFDE" w14:textId="77777777" w:rsidR="004F0491" w:rsidRPr="003A3742" w:rsidRDefault="004F0491" w:rsidP="004F0491">
      <w:pPr>
        <w:numPr>
          <w:ilvl w:val="0"/>
          <w:numId w:val="29"/>
        </w:numPr>
        <w:bidi/>
        <w:rPr>
          <w:rFonts w:asciiTheme="majorBidi" w:hAnsiTheme="majorBidi" w:cstheme="majorBidi"/>
          <w:sz w:val="24"/>
          <w:szCs w:val="24"/>
        </w:rPr>
      </w:pPr>
      <w:r>
        <w:rPr>
          <w:rFonts w:asciiTheme="majorBidi" w:hAnsiTheme="majorBidi" w:cstheme="majorBidi"/>
          <w:b/>
          <w:bCs/>
          <w:sz w:val="24"/>
          <w:szCs w:val="24"/>
          <w:rtl/>
        </w:rPr>
        <w:t>هل يملك المحامي إثبات سلامة الإجراءات التقنية التي أنتجته؟</w:t>
      </w:r>
    </w:p>
    <w:p w14:paraId="583254F6"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يشير </w:t>
      </w:r>
      <w:r>
        <w:rPr>
          <w:rFonts w:asciiTheme="majorBidi" w:hAnsiTheme="majorBidi" w:cstheme="majorBidi"/>
          <w:b/>
          <w:bCs/>
          <w:sz w:val="24"/>
          <w:szCs w:val="24"/>
          <w:rtl/>
        </w:rPr>
        <w:t>الأسيوطي</w:t>
      </w:r>
      <w:r>
        <w:rPr>
          <w:rStyle w:val="af"/>
          <w:rFonts w:asciiTheme="majorBidi" w:hAnsiTheme="majorBidi" w:cstheme="majorBidi"/>
          <w:b/>
          <w:bCs/>
          <w:sz w:val="24"/>
          <w:szCs w:val="24"/>
          <w:rtl/>
        </w:rPr>
        <w:footnoteReference w:id="253"/>
      </w:r>
      <w:r>
        <w:rPr>
          <w:rFonts w:asciiTheme="majorBidi" w:hAnsiTheme="majorBidi" w:cstheme="majorBidi"/>
          <w:b/>
          <w:bCs/>
          <w:sz w:val="24"/>
          <w:szCs w:val="24"/>
        </w:rPr>
        <w:t xml:space="preserve"> (2020)</w:t>
      </w:r>
      <w:r>
        <w:rPr>
          <w:rFonts w:asciiTheme="majorBidi" w:hAnsiTheme="majorBidi" w:cstheme="majorBidi"/>
          <w:sz w:val="24"/>
          <w:szCs w:val="24"/>
        </w:rPr>
        <w:t xml:space="preserve"> </w:t>
      </w:r>
      <w:r>
        <w:rPr>
          <w:rFonts w:asciiTheme="majorBidi" w:hAnsiTheme="majorBidi" w:cstheme="majorBidi"/>
          <w:sz w:val="24"/>
          <w:szCs w:val="24"/>
          <w:rtl/>
        </w:rPr>
        <w:t>إلى أن حجية المستندات الرقمية لا تنفصل عن سلامة بيئتها التقنية، وأن عنصر الأمان التقني والتوثيق يؤثر في الثقة القانونية بالمحرر الرقمي. وهذا المعنى – وإن ورد في سياق أوسع – ينطبق على المخرجات الذكية: فكلما كانت سلسلة إنتاج المخرج غامضة وغير موثقة، زادت قابلية الطعن فيه من الخصم، وازداد عبء المحامي في دفع هذه الطعون</w:t>
      </w:r>
      <w:r>
        <w:rPr>
          <w:rFonts w:asciiTheme="majorBidi" w:hAnsiTheme="majorBidi" w:cstheme="majorBidi"/>
          <w:sz w:val="24"/>
          <w:szCs w:val="24"/>
        </w:rPr>
        <w:t>.</w:t>
      </w:r>
    </w:p>
    <w:p w14:paraId="1DF25163" w14:textId="77777777" w:rsidR="004F0491" w:rsidRPr="003A3742" w:rsidRDefault="004F0491" w:rsidP="004F0491">
      <w:pPr>
        <w:rPr>
          <w:rFonts w:asciiTheme="majorBidi" w:hAnsiTheme="majorBidi" w:cstheme="majorBidi"/>
          <w:sz w:val="24"/>
          <w:szCs w:val="24"/>
        </w:rPr>
      </w:pPr>
    </w:p>
    <w:p w14:paraId="74290BA4"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في كثير من الحالات، المحامي لا يستخدم ذكاءً اصطناعيًا داخليًا فحسب، بل عبر منصات طرف ثالث: مزود تقنية، منصة سحابية، أو شركة</w:t>
      </w:r>
      <w:r>
        <w:rPr>
          <w:rFonts w:asciiTheme="majorBidi" w:hAnsiTheme="majorBidi" w:cstheme="majorBidi"/>
          <w:sz w:val="24"/>
          <w:szCs w:val="24"/>
        </w:rPr>
        <w:t xml:space="preserve"> “LegalTech”. </w:t>
      </w:r>
      <w:r>
        <w:rPr>
          <w:rFonts w:asciiTheme="majorBidi" w:hAnsiTheme="majorBidi" w:cstheme="majorBidi"/>
          <w:sz w:val="24"/>
          <w:szCs w:val="24"/>
          <w:rtl/>
        </w:rPr>
        <w:t xml:space="preserve">وهنا تظهر فكرة قانونية جديدة: هل تُعد هذه الاستعانة </w:t>
      </w:r>
      <w:r>
        <w:rPr>
          <w:rFonts w:asciiTheme="majorBidi" w:hAnsiTheme="majorBidi" w:cstheme="majorBidi"/>
          <w:b/>
          <w:bCs/>
          <w:sz w:val="24"/>
          <w:szCs w:val="24"/>
          <w:rtl/>
        </w:rPr>
        <w:t>تعاقدًا من الباطن</w:t>
      </w:r>
      <w:r>
        <w:rPr>
          <w:rFonts w:asciiTheme="majorBidi" w:hAnsiTheme="majorBidi" w:cstheme="majorBidi"/>
          <w:sz w:val="24"/>
          <w:szCs w:val="24"/>
          <w:rtl/>
        </w:rPr>
        <w:t xml:space="preserve"> في جزء من الخدمة؟ وإذا نعم، فما أثر ذلك على المسؤولية؟</w:t>
      </w:r>
    </w:p>
    <w:p w14:paraId="65B09A1F"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القواعد العامة في المسؤولية المدنية تجعل من المتعاقد الأصلي (المحامي/المكتب) مسؤولًا تجاه الموكل عن تنفيذ الالتزام، ولا يُعفيه أن يكون قد استعان بغيره، ما دام الموكل لم يتعاقد مع ذلك الغير مباشرة. ويقوى هذا المعنى حين تكون الخدمة قانونية بطبيعتها وتتصل بالثقة والسرية. ويعزز </w:t>
      </w:r>
      <w:r>
        <w:rPr>
          <w:rFonts w:asciiTheme="majorBidi" w:hAnsiTheme="majorBidi" w:cstheme="majorBidi"/>
          <w:b/>
          <w:bCs/>
          <w:sz w:val="24"/>
          <w:szCs w:val="24"/>
          <w:rtl/>
        </w:rPr>
        <w:t>المالكي</w:t>
      </w:r>
      <w:r>
        <w:rPr>
          <w:rStyle w:val="af"/>
          <w:rFonts w:asciiTheme="majorBidi" w:hAnsiTheme="majorBidi" w:cstheme="majorBidi"/>
          <w:b/>
          <w:bCs/>
          <w:sz w:val="24"/>
          <w:szCs w:val="24"/>
          <w:rtl/>
        </w:rPr>
        <w:footnoteReference w:id="254"/>
      </w:r>
      <w:r>
        <w:rPr>
          <w:rFonts w:asciiTheme="majorBidi" w:hAnsiTheme="majorBidi" w:cstheme="majorBidi"/>
          <w:b/>
          <w:bCs/>
          <w:sz w:val="24"/>
          <w:szCs w:val="24"/>
        </w:rPr>
        <w:t xml:space="preserve"> (2024)</w:t>
      </w:r>
      <w:r>
        <w:rPr>
          <w:rFonts w:asciiTheme="majorBidi" w:hAnsiTheme="majorBidi" w:cstheme="majorBidi"/>
          <w:sz w:val="24"/>
          <w:szCs w:val="24"/>
        </w:rPr>
        <w:t xml:space="preserve"> </w:t>
      </w:r>
      <w:r>
        <w:rPr>
          <w:rFonts w:asciiTheme="majorBidi" w:hAnsiTheme="majorBidi" w:cstheme="majorBidi"/>
          <w:sz w:val="24"/>
          <w:szCs w:val="24"/>
          <w:rtl/>
        </w:rPr>
        <w:t>فكرة بناء المسؤولية على معيار “الرقابة والسيطرة الفعلية”؛ فالمكتب الذي يختار مزود التقنية ويبرم معه عقدًا ويُدخل بيانات الموكل عبره، يكون قد تولى إدارة مخاطره</w:t>
      </w:r>
      <w:r>
        <w:rPr>
          <w:rFonts w:asciiTheme="majorBidi" w:hAnsiTheme="majorBidi" w:cstheme="majorBidi"/>
          <w:sz w:val="24"/>
          <w:szCs w:val="24"/>
        </w:rPr>
        <w:t>.</w:t>
      </w:r>
    </w:p>
    <w:p w14:paraId="431587BB"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لكن في المقابل، يحذر </w:t>
      </w:r>
      <w:r>
        <w:rPr>
          <w:rFonts w:asciiTheme="majorBidi" w:hAnsiTheme="majorBidi" w:cstheme="majorBidi"/>
          <w:b/>
          <w:bCs/>
          <w:sz w:val="24"/>
          <w:szCs w:val="24"/>
          <w:rtl/>
        </w:rPr>
        <w:t>حمادي</w:t>
      </w:r>
      <w:r>
        <w:rPr>
          <w:rStyle w:val="af"/>
          <w:rFonts w:asciiTheme="majorBidi" w:hAnsiTheme="majorBidi" w:cstheme="majorBidi"/>
          <w:b/>
          <w:bCs/>
          <w:sz w:val="24"/>
          <w:szCs w:val="24"/>
          <w:rtl/>
        </w:rPr>
        <w:footnoteReference w:id="255"/>
      </w:r>
      <w:r>
        <w:rPr>
          <w:rFonts w:asciiTheme="majorBidi" w:hAnsiTheme="majorBidi" w:cstheme="majorBidi"/>
          <w:b/>
          <w:bCs/>
          <w:sz w:val="24"/>
          <w:szCs w:val="24"/>
        </w:rPr>
        <w:t xml:space="preserve"> (2022)</w:t>
      </w:r>
      <w:r>
        <w:rPr>
          <w:rFonts w:asciiTheme="majorBidi" w:hAnsiTheme="majorBidi" w:cstheme="majorBidi"/>
          <w:sz w:val="24"/>
          <w:szCs w:val="24"/>
        </w:rPr>
        <w:t xml:space="preserve"> </w:t>
      </w:r>
      <w:r>
        <w:rPr>
          <w:rFonts w:asciiTheme="majorBidi" w:hAnsiTheme="majorBidi" w:cstheme="majorBidi"/>
          <w:sz w:val="24"/>
          <w:szCs w:val="24"/>
          <w:rtl/>
        </w:rPr>
        <w:t>من تحميل المستخدم تبعة كل خلل تقني على نحو مطلق، بما قد يقتضي توزيعًا مسؤولًا للمخاطر عند ثبوت قصور المزود أو خلل تقني لا يمكن للمستخدم كشفه</w:t>
      </w:r>
      <w:r>
        <w:rPr>
          <w:rFonts w:asciiTheme="majorBidi" w:hAnsiTheme="majorBidi" w:cstheme="majorBidi"/>
          <w:sz w:val="24"/>
          <w:szCs w:val="24"/>
        </w:rPr>
        <w:t>.</w:t>
      </w:r>
    </w:p>
    <w:p w14:paraId="2C04DD10"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ومن رأيي كباحث: الحل النظامي المتوازن هنا يقوم على </w:t>
      </w:r>
      <w:r>
        <w:rPr>
          <w:rFonts w:asciiTheme="majorBidi" w:hAnsiTheme="majorBidi" w:cstheme="majorBidi"/>
          <w:b/>
          <w:bCs/>
          <w:sz w:val="24"/>
          <w:szCs w:val="24"/>
          <w:rtl/>
        </w:rPr>
        <w:t>مستويين من المسؤولية</w:t>
      </w:r>
      <w:r>
        <w:rPr>
          <w:rFonts w:asciiTheme="majorBidi" w:hAnsiTheme="majorBidi" w:cstheme="majorBidi"/>
          <w:sz w:val="24"/>
          <w:szCs w:val="24"/>
        </w:rPr>
        <w:t>:</w:t>
      </w:r>
    </w:p>
    <w:p w14:paraId="51A17744" w14:textId="77777777" w:rsidR="004F0491" w:rsidRPr="003A3742" w:rsidRDefault="004F0491" w:rsidP="004F0491">
      <w:pPr>
        <w:numPr>
          <w:ilvl w:val="0"/>
          <w:numId w:val="33"/>
        </w:numPr>
        <w:bidi/>
        <w:rPr>
          <w:rFonts w:asciiTheme="majorBidi" w:hAnsiTheme="majorBidi" w:cstheme="majorBidi"/>
          <w:sz w:val="24"/>
          <w:szCs w:val="24"/>
        </w:rPr>
      </w:pPr>
      <w:r>
        <w:rPr>
          <w:rFonts w:asciiTheme="majorBidi" w:hAnsiTheme="majorBidi" w:cstheme="majorBidi"/>
          <w:sz w:val="24"/>
          <w:szCs w:val="24"/>
          <w:rtl/>
        </w:rPr>
        <w:t>أمام الموكل: يبقى المكتب مسؤولًا أصلًا عن سلامة تقديم الخدمة، لأنه صاحب العلاقة العقدية والصفة المهنية</w:t>
      </w:r>
      <w:r>
        <w:rPr>
          <w:rFonts w:asciiTheme="majorBidi" w:hAnsiTheme="majorBidi" w:cstheme="majorBidi"/>
          <w:sz w:val="24"/>
          <w:szCs w:val="24"/>
        </w:rPr>
        <w:t>.</w:t>
      </w:r>
    </w:p>
    <w:p w14:paraId="3A695E58" w14:textId="77777777" w:rsidR="004F0491" w:rsidRPr="003A3742" w:rsidRDefault="004F0491" w:rsidP="004F0491">
      <w:pPr>
        <w:numPr>
          <w:ilvl w:val="0"/>
          <w:numId w:val="33"/>
        </w:numPr>
        <w:bidi/>
        <w:rPr>
          <w:rFonts w:asciiTheme="majorBidi" w:hAnsiTheme="majorBidi" w:cstheme="majorBidi"/>
          <w:sz w:val="24"/>
          <w:szCs w:val="24"/>
        </w:rPr>
      </w:pPr>
      <w:r>
        <w:rPr>
          <w:rFonts w:asciiTheme="majorBidi" w:hAnsiTheme="majorBidi" w:cstheme="majorBidi"/>
          <w:sz w:val="24"/>
          <w:szCs w:val="24"/>
          <w:rtl/>
        </w:rPr>
        <w:t>تجاه مزود التقنية: يملك المكتب حق الرجوع وفقًا لعقد الخدمة (ضمان، تعويض، إخلال بالتزامات الأمان، إلخ)</w:t>
      </w:r>
      <w:r>
        <w:rPr>
          <w:rFonts w:asciiTheme="majorBidi" w:hAnsiTheme="majorBidi" w:cstheme="majorBidi"/>
          <w:sz w:val="24"/>
          <w:szCs w:val="24"/>
        </w:rPr>
        <w:t>.</w:t>
      </w:r>
    </w:p>
    <w:p w14:paraId="77552C5C"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 xml:space="preserve">وبالتالي، مجرد وجود طرف ثالث لا يُسقط المسؤولية، بل يحوّل جزءًا منها إلى </w:t>
      </w:r>
      <w:r>
        <w:rPr>
          <w:rFonts w:asciiTheme="majorBidi" w:hAnsiTheme="majorBidi" w:cstheme="majorBidi"/>
          <w:b/>
          <w:bCs/>
          <w:sz w:val="24"/>
          <w:szCs w:val="24"/>
          <w:rtl/>
        </w:rPr>
        <w:t>مسؤولية رجوعية</w:t>
      </w:r>
      <w:r>
        <w:rPr>
          <w:rFonts w:asciiTheme="majorBidi" w:hAnsiTheme="majorBidi" w:cstheme="majorBidi"/>
          <w:sz w:val="24"/>
          <w:szCs w:val="24"/>
          <w:rtl/>
        </w:rPr>
        <w:t xml:space="preserve"> بعد تعويض الموكل، وهو ما يجعل صياغة عقود مزودي التقنية جزءًا من الاحتراز المهني لا مجرد مسألة تقنية</w:t>
      </w:r>
      <w:r>
        <w:rPr>
          <w:rFonts w:asciiTheme="majorBidi" w:hAnsiTheme="majorBidi" w:cstheme="majorBidi"/>
          <w:sz w:val="24"/>
          <w:szCs w:val="24"/>
        </w:rPr>
        <w:t>.</w:t>
      </w:r>
    </w:p>
    <w:p w14:paraId="1993AFD3" w14:textId="77777777" w:rsidR="004F0491" w:rsidRPr="003A3742" w:rsidRDefault="004F0491" w:rsidP="004F0491">
      <w:pPr>
        <w:rPr>
          <w:rFonts w:asciiTheme="majorBidi" w:hAnsiTheme="majorBidi" w:cstheme="majorBidi"/>
          <w:sz w:val="24"/>
          <w:szCs w:val="24"/>
          <w:rtl/>
        </w:rPr>
      </w:pPr>
    </w:p>
    <w:p w14:paraId="51CCE26E"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lastRenderedPageBreak/>
        <w:t xml:space="preserve">من أهم الأفكار غير المطروقة سابقًا: في النزاع، كثيرًا ما تكون المشكلة ليست “هل أخطأ المحامي؟” بل “هل يستطيع إثبات أنه لم يُهمل؟”. وفي بيئة الذكاء الاصطناعي، يصبح مفهوم </w:t>
      </w:r>
      <w:r>
        <w:rPr>
          <w:rFonts w:asciiTheme="majorBidi" w:hAnsiTheme="majorBidi" w:cstheme="majorBidi"/>
          <w:b/>
          <w:bCs/>
          <w:sz w:val="24"/>
          <w:szCs w:val="24"/>
          <w:rtl/>
        </w:rPr>
        <w:t>توثيق خطوات العمل</w:t>
      </w:r>
      <w:r>
        <w:rPr>
          <w:rFonts w:asciiTheme="majorBidi" w:hAnsiTheme="majorBidi" w:cstheme="majorBidi"/>
          <w:sz w:val="24"/>
          <w:szCs w:val="24"/>
          <w:rtl/>
        </w:rPr>
        <w:t xml:space="preserve"> عنصرًا حاسمًا في تقدير الخطأ والسببية</w:t>
      </w:r>
      <w:r>
        <w:rPr>
          <w:rFonts w:asciiTheme="majorBidi" w:hAnsiTheme="majorBidi" w:cstheme="majorBidi"/>
          <w:sz w:val="24"/>
          <w:szCs w:val="24"/>
        </w:rPr>
        <w:t>.</w:t>
      </w:r>
    </w:p>
    <w:p w14:paraId="3C177951"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وهنا يظهر ما يمكن تسميته</w:t>
      </w:r>
      <w:r>
        <w:rPr>
          <w:rFonts w:asciiTheme="majorBidi" w:hAnsiTheme="majorBidi" w:cstheme="majorBidi"/>
          <w:sz w:val="24"/>
          <w:szCs w:val="24"/>
        </w:rPr>
        <w:t xml:space="preserve">: </w:t>
      </w:r>
      <w:r>
        <w:rPr>
          <w:rFonts w:asciiTheme="majorBidi" w:hAnsiTheme="majorBidi" w:cstheme="majorBidi"/>
          <w:b/>
          <w:bCs/>
          <w:sz w:val="24"/>
          <w:szCs w:val="24"/>
          <w:rtl/>
        </w:rPr>
        <w:t>سجل القرار المهني</w:t>
      </w:r>
      <w:r>
        <w:rPr>
          <w:rFonts w:asciiTheme="majorBidi" w:hAnsiTheme="majorBidi" w:cstheme="majorBidi"/>
          <w:sz w:val="24"/>
          <w:szCs w:val="24"/>
          <w:rtl/>
        </w:rPr>
        <w:t xml:space="preserve"> </w:t>
      </w:r>
      <w:r>
        <w:rPr>
          <w:rFonts w:asciiTheme="majorBidi" w:hAnsiTheme="majorBidi" w:cstheme="majorBidi"/>
          <w:sz w:val="24"/>
          <w:szCs w:val="24"/>
        </w:rPr>
        <w:t xml:space="preserve">(Decision Log) </w:t>
      </w:r>
      <w:r>
        <w:rPr>
          <w:rFonts w:asciiTheme="majorBidi" w:hAnsiTheme="majorBidi" w:cstheme="majorBidi"/>
          <w:sz w:val="24"/>
          <w:szCs w:val="24"/>
          <w:rtl/>
        </w:rPr>
        <w:t>أو “أثر المراجعة</w:t>
      </w:r>
      <w:r>
        <w:rPr>
          <w:rFonts w:asciiTheme="majorBidi" w:hAnsiTheme="majorBidi" w:cstheme="majorBidi"/>
          <w:sz w:val="24"/>
          <w:szCs w:val="24"/>
        </w:rPr>
        <w:t xml:space="preserve">” (Audit Trail) </w:t>
      </w:r>
      <w:r>
        <w:rPr>
          <w:rFonts w:asciiTheme="majorBidi" w:hAnsiTheme="majorBidi" w:cstheme="majorBidi"/>
          <w:sz w:val="24"/>
          <w:szCs w:val="24"/>
          <w:rtl/>
        </w:rPr>
        <w:t xml:space="preserve">بوصفه قرينة عملية على قيام العناية. وهذا يتسق مع الاتجاهات المؤسسية في حوكمة الذكاء الاصطناعي التي تؤكد على التنظيم والتوثيق ووضوح الأدوار (سدايا، 2023). كما يتصل بمسألة “انقطاع الصلة الإدراكية” التي ناقشها </w:t>
      </w:r>
      <w:r>
        <w:rPr>
          <w:rFonts w:asciiTheme="majorBidi" w:hAnsiTheme="majorBidi" w:cstheme="majorBidi"/>
          <w:b/>
          <w:bCs/>
          <w:sz w:val="24"/>
          <w:szCs w:val="24"/>
          <w:rtl/>
        </w:rPr>
        <w:t>خليل</w:t>
      </w:r>
      <w:r>
        <w:rPr>
          <w:rStyle w:val="af"/>
          <w:rFonts w:asciiTheme="majorBidi" w:hAnsiTheme="majorBidi" w:cstheme="majorBidi"/>
          <w:b/>
          <w:bCs/>
          <w:sz w:val="24"/>
          <w:szCs w:val="24"/>
          <w:rtl/>
        </w:rPr>
        <w:footnoteReference w:id="256"/>
      </w:r>
      <w:r>
        <w:rPr>
          <w:rFonts w:asciiTheme="majorBidi" w:hAnsiTheme="majorBidi" w:cstheme="majorBidi"/>
          <w:b/>
          <w:bCs/>
          <w:sz w:val="24"/>
          <w:szCs w:val="24"/>
        </w:rPr>
        <w:t xml:space="preserve"> (2022)</w:t>
      </w:r>
      <w:r>
        <w:rPr>
          <w:rFonts w:asciiTheme="majorBidi" w:hAnsiTheme="majorBidi" w:cstheme="majorBidi"/>
          <w:sz w:val="24"/>
          <w:szCs w:val="24"/>
          <w:rtl/>
        </w:rPr>
        <w:t>؛ إذ إن تعقيد الخوارزمية لا يُعالج بإعفاء المسؤول، بل بإيجاد أدوات توثيق تساعد على بيان ما تم فعله وما تم التحقق منه</w:t>
      </w:r>
      <w:r>
        <w:rPr>
          <w:rFonts w:asciiTheme="majorBidi" w:hAnsiTheme="majorBidi" w:cstheme="majorBidi"/>
          <w:sz w:val="24"/>
          <w:szCs w:val="24"/>
        </w:rPr>
        <w:t>.</w:t>
      </w:r>
    </w:p>
    <w:p w14:paraId="6B95ECB8" w14:textId="77777777" w:rsidR="004F0491" w:rsidRPr="003A3742" w:rsidRDefault="004F0491" w:rsidP="004F0491">
      <w:pPr>
        <w:jc w:val="right"/>
        <w:rPr>
          <w:rFonts w:asciiTheme="majorBidi" w:hAnsiTheme="majorBidi" w:cstheme="majorBidi"/>
          <w:sz w:val="24"/>
          <w:szCs w:val="24"/>
        </w:rPr>
      </w:pPr>
      <w:r>
        <w:rPr>
          <w:rFonts w:asciiTheme="majorBidi" w:hAnsiTheme="majorBidi" w:cstheme="majorBidi"/>
          <w:sz w:val="24"/>
          <w:szCs w:val="24"/>
          <w:rtl/>
        </w:rPr>
        <w:t>أمثلة عملية لسجل القرار المهني في مكتب محاماة يستخدم الذكاء الاصطناعي</w:t>
      </w:r>
      <w:r>
        <w:rPr>
          <w:rFonts w:asciiTheme="majorBidi" w:hAnsiTheme="majorBidi" w:cstheme="majorBidi"/>
          <w:sz w:val="24"/>
          <w:szCs w:val="24"/>
        </w:rPr>
        <w:t>:</w:t>
      </w:r>
    </w:p>
    <w:p w14:paraId="71A735F1"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ما الغرض من استخدام الأداة في هذه المسألة تحديدًا؟</w:t>
      </w:r>
    </w:p>
    <w:p w14:paraId="36CD5C5B"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ما نوع البيانات التي أُدخلت؟ وهل أُزيلت منها المعلومات الحساسة؟</w:t>
      </w:r>
    </w:p>
    <w:p w14:paraId="7F5CE7FF"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هل تم التحقق من مصادر النصوص النظامية/السوابق؟</w:t>
      </w:r>
    </w:p>
    <w:p w14:paraId="2A3D12C8"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ما الذي تم تعديله يدويًا؟ وما الذي تم رفضه؟ ولماذا؟</w:t>
      </w:r>
    </w:p>
    <w:p w14:paraId="040640ED" w14:textId="77777777" w:rsidR="004F0491" w:rsidRPr="003A3742" w:rsidRDefault="004F0491" w:rsidP="004F0491">
      <w:pPr>
        <w:numPr>
          <w:ilvl w:val="0"/>
          <w:numId w:val="34"/>
        </w:numPr>
        <w:bidi/>
        <w:rPr>
          <w:rFonts w:asciiTheme="majorBidi" w:hAnsiTheme="majorBidi" w:cstheme="majorBidi"/>
          <w:sz w:val="24"/>
          <w:szCs w:val="24"/>
        </w:rPr>
      </w:pPr>
      <w:r>
        <w:rPr>
          <w:rFonts w:asciiTheme="majorBidi" w:hAnsiTheme="majorBidi" w:cstheme="majorBidi"/>
          <w:sz w:val="24"/>
          <w:szCs w:val="24"/>
          <w:rtl/>
        </w:rPr>
        <w:t>من اعتمد النسخة النهائية؟ ومتى؟</w:t>
      </w:r>
    </w:p>
    <w:p w14:paraId="6D587D7E" w14:textId="7EF57566" w:rsidR="004F0491" w:rsidRDefault="004F0491" w:rsidP="00811A08">
      <w:pPr>
        <w:jc w:val="right"/>
        <w:rPr>
          <w:rFonts w:asciiTheme="majorBidi" w:hAnsiTheme="majorBidi" w:cstheme="majorBidi"/>
          <w:sz w:val="24"/>
          <w:szCs w:val="24"/>
        </w:rPr>
      </w:pPr>
      <w:r>
        <w:rPr>
          <w:rFonts w:asciiTheme="majorBidi" w:hAnsiTheme="majorBidi" w:cstheme="majorBidi" w:hint="cs"/>
          <w:sz w:val="24"/>
          <w:szCs w:val="24"/>
          <w:rtl/>
        </w:rPr>
        <w:t>ومن خلال ما سبق فإن</w:t>
      </w:r>
      <w:r>
        <w:rPr>
          <w:rFonts w:asciiTheme="majorBidi" w:hAnsiTheme="majorBidi" w:cstheme="majorBidi"/>
          <w:sz w:val="24"/>
          <w:szCs w:val="24"/>
          <w:rtl/>
        </w:rPr>
        <w:t xml:space="preserve"> وجود هذا السجل لا يرفع المسؤولية تلقائيًا، لكنه يغير </w:t>
      </w:r>
      <w:r>
        <w:rPr>
          <w:rFonts w:asciiTheme="majorBidi" w:hAnsiTheme="majorBidi" w:cstheme="majorBidi"/>
          <w:b/>
          <w:bCs/>
          <w:sz w:val="24"/>
          <w:szCs w:val="24"/>
          <w:rtl/>
        </w:rPr>
        <w:t>تقدير المحكمة</w:t>
      </w:r>
      <w:r>
        <w:rPr>
          <w:rFonts w:asciiTheme="majorBidi" w:hAnsiTheme="majorBidi" w:cstheme="majorBidi"/>
          <w:sz w:val="24"/>
          <w:szCs w:val="24"/>
          <w:rtl/>
        </w:rPr>
        <w:t xml:space="preserve"> أو الجهة الناظرة للمسؤولية؛ لأنه يقدّم دليلًا على أن المحامي مارس إشرافًا فعليًا ولم يعتمد اعتمادًا أعمى. وفي المقابل، غياب أي توثيق في قضايا عالية المخاطر قد يُفهم كقرينة على الإهمال أو ضعف العناية، خصوصًا إذا كان الضرر يمكن توقعه</w:t>
      </w:r>
    </w:p>
    <w:p w14:paraId="56FBBBC6" w14:textId="2CE3242B" w:rsidR="00FE66C9" w:rsidRPr="003A3742" w:rsidRDefault="00FE66C9" w:rsidP="00D650FF">
      <w:pPr>
        <w:jc w:val="right"/>
        <w:rPr>
          <w:rFonts w:asciiTheme="majorBidi" w:hAnsiTheme="majorBidi" w:cstheme="majorBidi"/>
          <w:sz w:val="24"/>
          <w:szCs w:val="24"/>
        </w:rPr>
      </w:pPr>
      <w:r>
        <w:rPr>
          <w:rFonts w:asciiTheme="majorBidi" w:hAnsiTheme="majorBidi" w:cstheme="majorBidi"/>
          <w:sz w:val="24"/>
          <w:szCs w:val="24"/>
        </w:rPr>
        <w:t>.</w:t>
      </w:r>
    </w:p>
    <w:p w14:paraId="125F8F26" w14:textId="77777777" w:rsidR="00FE66C9" w:rsidRDefault="00FE66C9" w:rsidP="00CF67E5">
      <w:pPr>
        <w:jc w:val="center"/>
        <w:rPr>
          <w:rFonts w:asciiTheme="majorBidi" w:hAnsiTheme="majorBidi" w:cstheme="majorBidi"/>
          <w:sz w:val="24"/>
          <w:szCs w:val="24"/>
        </w:rPr>
      </w:pPr>
    </w:p>
    <w:p w14:paraId="38A68C31" w14:textId="77777777" w:rsidR="00CF67E5" w:rsidRDefault="00CF67E5" w:rsidP="00CF67E5">
      <w:pPr>
        <w:jc w:val="center"/>
        <w:rPr>
          <w:b/>
          <w:bCs/>
        </w:rPr>
      </w:pPr>
      <w:r>
        <w:rPr>
          <w:rFonts w:hint="cs"/>
          <w:b/>
          <w:bCs/>
          <w:sz w:val="32"/>
          <w:szCs w:val="32"/>
          <w:rtl/>
        </w:rPr>
        <w:t>المطلب الثاني</w:t>
      </w:r>
    </w:p>
    <w:p w14:paraId="685CF4B0" w14:textId="77777777" w:rsidR="00CF67E5" w:rsidRDefault="00CF67E5" w:rsidP="00CF67E5">
      <w:pPr>
        <w:jc w:val="center"/>
        <w:rPr>
          <w:b/>
          <w:bCs/>
        </w:rPr>
      </w:pPr>
      <w:r>
        <w:rPr>
          <w:rFonts w:hint="cs"/>
          <w:b/>
          <w:bCs/>
          <w:rtl/>
        </w:rPr>
        <w:t>مسؤولية المطوِّر، والمستخدم، ومقدِّم التقنية</w:t>
      </w:r>
    </w:p>
    <w:p w14:paraId="5123E951" w14:textId="77777777" w:rsidR="00CF67E5" w:rsidRDefault="00CF67E5" w:rsidP="00CF67E5">
      <w:pPr>
        <w:jc w:val="center"/>
        <w:rPr>
          <w:b/>
          <w:bCs/>
        </w:rPr>
      </w:pPr>
      <w:r>
        <w:rPr>
          <w:rFonts w:hint="cs"/>
          <w:b/>
          <w:bCs/>
          <w:rtl/>
        </w:rPr>
        <w:t>من المسؤولية الفردية إلى المسؤولية متعددة الأطراف</w:t>
      </w:r>
    </w:p>
    <w:p w14:paraId="69BA990C" w14:textId="77777777" w:rsidR="00CF67E5" w:rsidRDefault="00CF67E5" w:rsidP="00CF67E5"/>
    <w:p w14:paraId="368E4C48"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إذا كان المطلب الأول قد انصرف إلى بحث مسؤولية المحامي بوصفه المستخدم المهني للمخرجات الذكية، فإن الإشكال في هذا المطلب يتجاوز الشخص المهني الواحد إلى البنية الكاملة للمنظومة التقنية. فالمسؤولية في بيئة الذكاء الاصطناعي لا تنحصر واقعيًا في فاعل مباشر واحد، بل تتوزع بين أطراف عدة: مطوِّر الخوارزمية، ومزوِّد المنصة، والمستخدم المهني.</w:t>
      </w:r>
    </w:p>
    <w:p w14:paraId="0C1147B7"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في الفقه المعاصر، يذهب جانب من الفقه إلى أن تعقيد الخوارزميات يُفضي إلى ما يُعرف بـ"تشتت الإسناد" (Attribution Dispersion)، بحيث يصعب ردُّ الضرر إلى فاعل واحد محدد.</w:t>
      </w:r>
      <w:r>
        <w:rPr>
          <w:rFonts w:asciiTheme="majorBidi" w:hAnsiTheme="majorBidi" w:cstheme="majorBidi"/>
          <w:sz w:val="24"/>
          <w:szCs w:val="24"/>
          <w:vertAlign w:val="superscript"/>
          <w:rtl/>
        </w:rPr>
        <w:footnoteReference w:id="257"/>
      </w:r>
    </w:p>
    <w:p w14:paraId="0DF8FDFE"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lastRenderedPageBreak/>
        <w:t>وفي المقابل، يُؤكِّد جانب من الفقه أن هذا التشتت لا ينبغي أن يتحوَّل إلى وسيلة لإفراغ المسؤولية من مضمونها، بل يجب البحث عن الطرف الأقرب إلى السيطرة الفعلية على مصدر الخطر.</w:t>
      </w:r>
      <w:r>
        <w:rPr>
          <w:rFonts w:asciiTheme="majorBidi" w:hAnsiTheme="majorBidi" w:cstheme="majorBidi"/>
          <w:sz w:val="24"/>
          <w:szCs w:val="24"/>
          <w:vertAlign w:val="superscript"/>
          <w:rtl/>
        </w:rPr>
        <w:footnoteReference w:id="258"/>
      </w:r>
    </w:p>
    <w:p w14:paraId="2434A9D4"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ويرى الباحث أن الانتقال من مسؤولية المحامي إلى مسؤولية باقي الأطراف لا يعني إعفاءه، بل يعني إعادة هندسة شبكة الإسناد بما يحقق التوازن بين حماية المتضرر وعدم تحميل طرف واحد تبعة منظومة كاملة.</w:t>
      </w:r>
    </w:p>
    <w:p w14:paraId="1363F878" w14:textId="77777777" w:rsidR="00CF67E5" w:rsidRPr="00CF67E5" w:rsidRDefault="00CF67E5" w:rsidP="00CF67E5">
      <w:pPr>
        <w:jc w:val="right"/>
        <w:rPr>
          <w:rFonts w:asciiTheme="majorBidi" w:hAnsiTheme="majorBidi" w:cstheme="majorBidi"/>
          <w:sz w:val="24"/>
          <w:szCs w:val="24"/>
        </w:rPr>
      </w:pPr>
    </w:p>
    <w:p w14:paraId="7D3FCDE2"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أولًا: مسؤولية مطوِّر الخوارزمية — ثلاثة أوجه للمساءلة</w:t>
      </w:r>
    </w:p>
    <w:p w14:paraId="13CA6372"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يُعدُّ المطوِّر الجهةَ التي صمَّمت الخوارزمية وحدَّدت بنيتها وآلية تدريبها وقواعد الاستدلال التي تعمل بها. وهو في كثير من الأحيان ليس طرفًا في العلاقة المباشرة مع الموكل، بل طرف تقني سابق على الاستخدام المهني. ومسؤوليته تقوم متى ثبت وجود عيب أو إهمال أو قصور في بناء النظام أو التحذير من حدوده.</w:t>
      </w:r>
      <w:r>
        <w:rPr>
          <w:rFonts w:asciiTheme="majorBidi" w:hAnsiTheme="majorBidi" w:cstheme="majorBidi"/>
          <w:sz w:val="24"/>
          <w:szCs w:val="24"/>
          <w:vertAlign w:val="superscript"/>
          <w:rtl/>
        </w:rPr>
        <w:footnoteReference w:id="259"/>
      </w:r>
    </w:p>
    <w:p w14:paraId="5655C822"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وتتوزع مسؤولية المطوِّر على ثلاثة أوجه جوهرية:</w:t>
      </w:r>
    </w:p>
    <w:p w14:paraId="33EB9146"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عيب التصميم (Structural Defect): </w:t>
      </w:r>
      <w:r>
        <w:rPr>
          <w:rFonts w:asciiTheme="majorBidi" w:hAnsiTheme="majorBidi" w:cstheme="majorBidi"/>
          <w:sz w:val="24"/>
          <w:szCs w:val="24"/>
          <w:rtl/>
        </w:rPr>
        <w:t>يكون فيه الخلل سابقًا على الاستخدام — كأن تُبنى الخوارزمية على قواعد استدلال غير دقيقة، أو نماذج لغوية تُولِّد سوابق قضائية غير موجودة، أو أدوات لا تراعي المتطلبات النظامية المحلية. وإذا ثبت العيب البنيوي كانت مسؤولية المطوِّر أصلية لا يدفعها ادعاء الخطأ في الاستخدام.</w:t>
      </w:r>
      <w:r>
        <w:rPr>
          <w:rFonts w:asciiTheme="majorBidi" w:hAnsiTheme="majorBidi" w:cstheme="majorBidi"/>
          <w:sz w:val="24"/>
          <w:szCs w:val="24"/>
          <w:vertAlign w:val="superscript"/>
          <w:rtl/>
        </w:rPr>
        <w:footnoteReference w:id="260"/>
      </w:r>
    </w:p>
    <w:p w14:paraId="6F310ADC"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عيب التدريب والبيانات (Training/Data Defect): </w:t>
      </w:r>
      <w:r>
        <w:rPr>
          <w:rFonts w:asciiTheme="majorBidi" w:hAnsiTheme="majorBidi" w:cstheme="majorBidi"/>
          <w:sz w:val="24"/>
          <w:szCs w:val="24"/>
          <w:rtl/>
        </w:rPr>
        <w:t>وهو الأخطر في المجال القانوني؛ إذ يتغذى النموذج على بيانات غير ممثِّلة للبيئة السعودية، أو يُنتج إحالات وسوابق غير دقيقة. ولا يجوز أن يتحوَّل التعقيد الخوارزمي إلى حصانة؛ بل يرتِّب على المطوِّر واجبًا أعلى في الاختبار والتقييم قبل الطرح.</w:t>
      </w:r>
    </w:p>
    <w:p w14:paraId="477A915C"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قصور التحذير والإفصاح (Duty to Warn): </w:t>
      </w:r>
      <w:r>
        <w:rPr>
          <w:rFonts w:asciiTheme="majorBidi" w:hAnsiTheme="majorBidi" w:cstheme="majorBidi"/>
          <w:sz w:val="24"/>
          <w:szCs w:val="24"/>
          <w:rtl/>
        </w:rPr>
        <w:t>حتى لو لم يكن النظام معيبًا في ذاته، فإن مسؤولية المطوِّر تقوم بسبب إخفاء حدوده أو التسويق له على نحو يُوهم بالدقة القانونية المطلقة. وتتقاطع هذه الفكرة مع مبادئ الشفافية والمساءلة في وثائق الحوكمة الوطنية لسدايا.</w:t>
      </w:r>
      <w:r>
        <w:rPr>
          <w:rFonts w:asciiTheme="majorBidi" w:hAnsiTheme="majorBidi" w:cstheme="majorBidi"/>
          <w:sz w:val="24"/>
          <w:szCs w:val="24"/>
          <w:vertAlign w:val="superscript"/>
          <w:rtl/>
        </w:rPr>
        <w:footnoteReference w:id="261"/>
      </w:r>
    </w:p>
    <w:p w14:paraId="44273E94"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وبذلك تشمل مسؤولية المطوِّر ثلاثة مستويات: سلامة البنية (Design)، وسلامة المعرفة (Training/Data)، وسلامة التوقعات (Disclosure/Warn)؛ لأن الضرر القانوني لا ينتج فقط من خطأ الحساب، بل من خداع الثقة المهنية بمنتج يُظهر "يقينًا" وهو في الحقيقة "ترجيح لغوي".</w:t>
      </w:r>
    </w:p>
    <w:p w14:paraId="30988A89" w14:textId="77777777" w:rsidR="00CF67E5" w:rsidRPr="00CF67E5" w:rsidRDefault="00CF67E5" w:rsidP="00CF67E5">
      <w:pPr>
        <w:jc w:val="right"/>
        <w:rPr>
          <w:rFonts w:asciiTheme="majorBidi" w:hAnsiTheme="majorBidi" w:cstheme="majorBidi"/>
          <w:sz w:val="24"/>
          <w:szCs w:val="24"/>
        </w:rPr>
      </w:pPr>
    </w:p>
    <w:p w14:paraId="67076A48"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ثانيًا: مسؤولية مقدِّم التقنية — من تشغيل المنصة إلى حراسة البيانات</w:t>
      </w:r>
    </w:p>
    <w:p w14:paraId="2285350F"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يختلف مقدِّم التقنية عن المطوِّر في أنه قد لا يكون صانع الخوارزمية ذاتها، بل مشغِّل البنية التي تُمكِّن من استخدامها: منصة سحابية، وواجهة استخدام، وتخزين بيانات. وقد أشار جانب من الفقه إلى أن توسيع دائرة المسؤولية لتشمل جهات تطوير الأنظمة الذكية ومقدمي المنصات التقنية يُعدُّ اتجاهًا تشريعيًا متناميًا في عدد من الأنظمة المقارنة.</w:t>
      </w:r>
      <w:r>
        <w:rPr>
          <w:rFonts w:asciiTheme="majorBidi" w:hAnsiTheme="majorBidi" w:cstheme="majorBidi"/>
          <w:sz w:val="24"/>
          <w:szCs w:val="24"/>
          <w:vertAlign w:val="superscript"/>
          <w:rtl/>
        </w:rPr>
        <w:footnoteReference w:id="262"/>
      </w:r>
    </w:p>
    <w:p w14:paraId="6B513F50"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وتتحدد مسؤولية مقدِّم التقنية في ثلاثة محاور:</w:t>
      </w:r>
    </w:p>
    <w:p w14:paraId="26F6C91D"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lastRenderedPageBreak/>
        <w:t xml:space="preserve">أمن البيانات وسريتها: </w:t>
      </w:r>
      <w:r>
        <w:rPr>
          <w:rFonts w:asciiTheme="majorBidi" w:hAnsiTheme="majorBidi" w:cstheme="majorBidi"/>
          <w:sz w:val="24"/>
          <w:szCs w:val="24"/>
          <w:rtl/>
        </w:rPr>
        <w:t>يقع على عاتق مقدِّم التقنية التزام بالتدابير الفنية الواجبة لحماية بيانات الموكلين؛ فاختراق المنصة أو تسريب الملفات أو إتلافها يُرتِّب مسؤولية مباشرة، خاصة في ضوء نظام حماية البيانات الشخصية.</w:t>
      </w:r>
      <w:r>
        <w:rPr>
          <w:rFonts w:asciiTheme="majorBidi" w:hAnsiTheme="majorBidi" w:cstheme="majorBidi"/>
          <w:sz w:val="24"/>
          <w:szCs w:val="24"/>
          <w:vertAlign w:val="superscript"/>
          <w:rtl/>
        </w:rPr>
        <w:footnoteReference w:id="263"/>
      </w:r>
    </w:p>
    <w:p w14:paraId="648E2A7C"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سلامة التشغيل والاعتمادية: </w:t>
      </w:r>
      <w:r>
        <w:rPr>
          <w:rFonts w:asciiTheme="majorBidi" w:hAnsiTheme="majorBidi" w:cstheme="majorBidi"/>
          <w:sz w:val="24"/>
          <w:szCs w:val="24"/>
          <w:rtl/>
        </w:rPr>
        <w:t>انقطاع الخدمة أو فقدان الملفات أو خلل التزامن ليس ضررًا تقنيًا فحسب؛ بل قد يُفوِّت مواعيد، أو يُسقط دفاعًا، أو يُضعف مركزًا قانونيًا. ومن هنا تتداخل مسؤولية مقدِّم التقنية مع فكرة الضرر المهني.</w:t>
      </w:r>
      <w:r>
        <w:rPr>
          <w:rFonts w:asciiTheme="majorBidi" w:hAnsiTheme="majorBidi" w:cstheme="majorBidi"/>
          <w:sz w:val="24"/>
          <w:szCs w:val="24"/>
          <w:vertAlign w:val="superscript"/>
          <w:rtl/>
        </w:rPr>
        <w:footnoteReference w:id="264"/>
      </w:r>
    </w:p>
    <w:p w14:paraId="3D00C5CB"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حدود شروط الإعفاء التعاقدية: </w:t>
      </w:r>
      <w:r>
        <w:rPr>
          <w:rFonts w:asciiTheme="majorBidi" w:hAnsiTheme="majorBidi" w:cstheme="majorBidi"/>
          <w:sz w:val="24"/>
          <w:szCs w:val="24"/>
          <w:rtl/>
        </w:rPr>
        <w:t>يميل مزوِّدو التقنية إلى إدراج شروط مقيِّدة للمسؤولية، غير أن القواعد العامة لا تُجيز الاتفاق على الإعفاء من المسؤولية عن الغش أو الخطأ الجسيم. كما أن التزامات حماية البيانات لا يمكن تفريغها من مضمونها بعبارات تعاقدية عامة.</w:t>
      </w:r>
    </w:p>
    <w:p w14:paraId="61B0C20E"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وخلاصة الرأي أن مقدِّم التقنية يجب أن يُعامَل في البيئة القانونية كطرف ذي مسؤولية حساسة؛ لأن خطأه لا يُخرِّب ملفًا فقط، بل قد يضرب جوهر السرية المهنية وثقة العدالة الرقمية. لذا ينبغي أن يكون معيار العناية لديه أعلى من الخدمات التقنية العامة، بحكم طبيعة البيانات والآثار.</w:t>
      </w:r>
    </w:p>
    <w:p w14:paraId="55116D99" w14:textId="77777777" w:rsidR="00CF67E5" w:rsidRPr="00CF67E5" w:rsidRDefault="00CF67E5" w:rsidP="00CF67E5">
      <w:pPr>
        <w:jc w:val="right"/>
        <w:rPr>
          <w:rFonts w:asciiTheme="majorBidi" w:hAnsiTheme="majorBidi" w:cstheme="majorBidi"/>
          <w:sz w:val="24"/>
          <w:szCs w:val="24"/>
        </w:rPr>
      </w:pPr>
    </w:p>
    <w:p w14:paraId="18A6709C"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ثالثًا: مسؤولية المستخدم المهني وفق معيار الرقابة الفعلية وقابلية الاكتشاف</w:t>
      </w:r>
    </w:p>
    <w:p w14:paraId="443AC4F9"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إذا كان المطوِّر يُسأل عن العيب التصميمي، ومقدِّم التقنية يُسأل عن سلامة البنية التشغيلية، فإن المستخدم المهني يظل محورًا أساسيًا في شبكة الإسناد. غير أن مسؤوليته لا تُفهم بمعزل عن بقية الأطراف، بل ضمن مفهوم تعدد مصادر الخطر.</w:t>
      </w:r>
      <w:r>
        <w:rPr>
          <w:rFonts w:asciiTheme="majorBidi" w:hAnsiTheme="majorBidi" w:cstheme="majorBidi"/>
          <w:sz w:val="24"/>
          <w:szCs w:val="24"/>
          <w:vertAlign w:val="superscript"/>
          <w:rtl/>
        </w:rPr>
        <w:footnoteReference w:id="265"/>
      </w:r>
    </w:p>
    <w:p w14:paraId="1DA3560E"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وتتحدد مسؤولية المستخدم المهني وفق معيار "قابلية اكتشاف الخلل بالمراجعة المهنية المعتادة"، مع مراعاة ثلاثة عناصر: درجة التدخل البشري في القرار النهائي، وقابلية اكتشاف الخلل بالمراجعة المهنية المعتادة، وحساسية المسألة محل الاستخدام.</w:t>
      </w:r>
      <w:r>
        <w:rPr>
          <w:rFonts w:asciiTheme="majorBidi" w:hAnsiTheme="majorBidi" w:cstheme="majorBidi"/>
          <w:sz w:val="24"/>
          <w:szCs w:val="24"/>
          <w:vertAlign w:val="superscript"/>
          <w:rtl/>
        </w:rPr>
        <w:footnoteReference w:id="266"/>
      </w:r>
    </w:p>
    <w:p w14:paraId="1E292982"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الخطأ الظاهر: </w:t>
      </w:r>
      <w:r>
        <w:rPr>
          <w:rFonts w:asciiTheme="majorBidi" w:hAnsiTheme="majorBidi" w:cstheme="majorBidi"/>
          <w:sz w:val="24"/>
          <w:szCs w:val="24"/>
          <w:rtl/>
        </w:rPr>
        <w:t>إذا كان الخطأ ظاهرًا — إحالة نظامية خاطئة، سابقة وهمية، خلط بين منظومتين تشريعيتين — وكان بمقدور محامٍ حريص اكتشافه، فإن الإخلال هنا مهني بامتياز وتميل المسؤولية إلى المستخدم.</w:t>
      </w:r>
    </w:p>
    <w:p w14:paraId="2C2A3293"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الخلل الخفي البنيوي: </w:t>
      </w:r>
      <w:r>
        <w:rPr>
          <w:rFonts w:asciiTheme="majorBidi" w:hAnsiTheme="majorBidi" w:cstheme="majorBidi"/>
          <w:sz w:val="24"/>
          <w:szCs w:val="24"/>
          <w:rtl/>
        </w:rPr>
        <w:t>أما إذا كان الخلل خفيًا بنيويًا لا يظهر إلا بفحص تقني متخصص يتجاوز حدود المراجعة المهنية المعتادة، فإن تحميل المستخدم وحده كامل المسؤولية يقترب من المسؤولية المطلقة — وهو ما يُحذِّر منه الفقه المعاصر.</w:t>
      </w:r>
    </w:p>
    <w:p w14:paraId="69E2FCC7"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وعليه، فإن المعيار العادل هو "إشراف معقول + تحقق معقول"؛ فإذا تحقق هذا الإشراف انتقلت بؤرة المسؤولية إلى المطوِّر أو مقدِّم التقنية بحسب مصدر الخلل. أما إذا غاب الإشراف فلا معنى للحديث عن الغموض الخوارزمي؛ لأن الإهمال المهني قائم بذاته.</w:t>
      </w:r>
    </w:p>
    <w:p w14:paraId="44085428" w14:textId="77777777" w:rsidR="00CF67E5" w:rsidRPr="00CF67E5" w:rsidRDefault="00CF67E5" w:rsidP="00CF67E5">
      <w:pPr>
        <w:jc w:val="right"/>
        <w:rPr>
          <w:rFonts w:asciiTheme="majorBidi" w:hAnsiTheme="majorBidi" w:cstheme="majorBidi"/>
          <w:sz w:val="24"/>
          <w:szCs w:val="24"/>
        </w:rPr>
      </w:pPr>
    </w:p>
    <w:p w14:paraId="0E9151A9"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رابعًا: التضامن والنسبية في توزيع المسؤولية — ثلاث مدارس للإسناد</w:t>
      </w:r>
    </w:p>
    <w:p w14:paraId="77F66CAD"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lastRenderedPageBreak/>
        <w:t>يثور في بيئة تعدد أطراف المسؤولية سؤال دقيق: هل تُعدُّ مسؤولية المطوِّر والمستخدم ومقدِّم التقنية تضامنية بحيث يحق للمتضرر الرجوع على أي منهم بكامل التعويض؟ أم أنها نسبية توزَّع بحسب درجة الخطأ والمساهمة في الضرر؟ ويتنازع الإجابة ثلاث مدارس فقهية معاصرة:</w:t>
      </w:r>
      <w:r>
        <w:rPr>
          <w:rFonts w:asciiTheme="majorBidi" w:hAnsiTheme="majorBidi" w:cstheme="majorBidi"/>
          <w:sz w:val="24"/>
          <w:szCs w:val="24"/>
          <w:vertAlign w:val="superscript"/>
          <w:rtl/>
        </w:rPr>
        <w:footnoteReference w:id="267"/>
      </w:r>
    </w:p>
    <w:p w14:paraId="43B41019"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مدرسة الإسناد إلى صاحب الاعتماد النهائي (Decision-based liability): </w:t>
      </w:r>
      <w:r>
        <w:rPr>
          <w:rFonts w:asciiTheme="majorBidi" w:hAnsiTheme="majorBidi" w:cstheme="majorBidi"/>
          <w:sz w:val="24"/>
          <w:szCs w:val="24"/>
          <w:rtl/>
        </w:rPr>
        <w:t>وتقوم على أن الطرف الذي اعتمد المخرج وقدَّمه للغير هو الأقرب لتحمُّل التبعة؛ لأنها مسؤولية مرتبطة بالقرار النهائي لا بآلية التوليد. هذه المدرسة تغري بالبساطة لكنها قد تظلم المستخدم إذا كان العيب بنيويًا خفيًا.</w:t>
      </w:r>
      <w:r>
        <w:rPr>
          <w:rFonts w:asciiTheme="majorBidi" w:hAnsiTheme="majorBidi" w:cstheme="majorBidi"/>
          <w:sz w:val="24"/>
          <w:szCs w:val="24"/>
          <w:vertAlign w:val="superscript"/>
          <w:rtl/>
        </w:rPr>
        <w:footnoteReference w:id="268"/>
      </w:r>
    </w:p>
    <w:p w14:paraId="6DDA749B"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مدرسة الإسناد إلى صاحب التصميم (Design-based liability): </w:t>
      </w:r>
      <w:r>
        <w:rPr>
          <w:rFonts w:asciiTheme="majorBidi" w:hAnsiTheme="majorBidi" w:cstheme="majorBidi"/>
          <w:sz w:val="24"/>
          <w:szCs w:val="24"/>
          <w:rtl/>
        </w:rPr>
        <w:t>وترى أن المسؤولية الأصلية تثبت حيث ينشأ الخطر: في مرحلة التدريب والتصميم واختبار المنتج قبل طرحه. وهذا قريب من القياس على "عيب المنتج" في قانون المسؤولية التقليدي.</w:t>
      </w:r>
      <w:r>
        <w:rPr>
          <w:rFonts w:asciiTheme="majorBidi" w:hAnsiTheme="majorBidi" w:cstheme="majorBidi"/>
          <w:sz w:val="24"/>
          <w:szCs w:val="24"/>
          <w:vertAlign w:val="superscript"/>
          <w:rtl/>
        </w:rPr>
        <w:footnoteReference w:id="269"/>
      </w:r>
    </w:p>
    <w:p w14:paraId="70B8633B"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b/>
          <w:bCs/>
          <w:sz w:val="24"/>
          <w:szCs w:val="24"/>
          <w:rtl/>
        </w:rPr>
        <w:t xml:space="preserve">مدرسة السيطرة والرقابة الفعلية (Control-based liability) — المدرسة الراجحة: </w:t>
      </w:r>
      <w:r>
        <w:rPr>
          <w:rFonts w:asciiTheme="majorBidi" w:hAnsiTheme="majorBidi" w:cstheme="majorBidi"/>
          <w:sz w:val="24"/>
          <w:szCs w:val="24"/>
          <w:rtl/>
        </w:rPr>
        <w:t>لا تتوقف عند من اتخذ القرار فحسب، ولا عند من صمَّم النظام فحسب، بل تسأل: من كان يملك القدرة الواقعية على منع الضرر أو تقليله في المرحلة التي وقع فيها؟ وهذا يتسق مع مبدأ المساءلة بوصفه ركنًا حاكمًا في وثائق سدايا.</w:t>
      </w:r>
      <w:r>
        <w:rPr>
          <w:rFonts w:asciiTheme="majorBidi" w:hAnsiTheme="majorBidi" w:cstheme="majorBidi"/>
          <w:sz w:val="24"/>
          <w:szCs w:val="24"/>
          <w:vertAlign w:val="superscript"/>
          <w:rtl/>
        </w:rPr>
        <w:footnoteReference w:id="270"/>
      </w:r>
    </w:p>
    <w:p w14:paraId="6CC3B143"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وانطلاقًا من هذه المدارس، يقترح الباحث "مصفوفة إسناد" تربط نوع الخلل بالطرف الأقرب للسيطرة: عيب التصميم → المطوِّر. عيب التدريب والبيانات → المطوِّر مع مسؤولية مشتركة إذا كان المزوِّد يُعدِّل البيانات. خلل التشغيل أو التخزين أو الاختراق → مقدِّم التقنية. اعتماد دون تحقق أو إدخال بيانات خاطئة → المستخدم المهني. الحالات المركبة → مسؤولية مشتركة أمام المتضرر مع رجوع داخلي منضبط بحسب المساهمة.</w:t>
      </w:r>
    </w:p>
    <w:p w14:paraId="2A7447A9"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وبهذا التصور لا يُعدُّ "الصندوق الأسود" مبررًا للإفلات، ولا تُصبح المهنة ضحية خطأ تقني لا تملك السيطرة عليه منفردة. ومن الواقعي أن يظل المكتب مسؤولًا أمام الموكل لأنه صاحب العلاقة العقدية والواجهة المهنية، مع فتح باب الرجوع الداخلي على المطوِّر أو مقدِّم التقنية وفقًا لمصدر الخلل.</w:t>
      </w:r>
    </w:p>
    <w:p w14:paraId="49EDDCA9" w14:textId="77777777" w:rsidR="00CF67E5" w:rsidRPr="00CF67E5" w:rsidRDefault="00CF67E5" w:rsidP="00CF67E5">
      <w:pPr>
        <w:jc w:val="right"/>
        <w:rPr>
          <w:rFonts w:asciiTheme="majorBidi" w:hAnsiTheme="majorBidi" w:cstheme="majorBidi"/>
          <w:sz w:val="24"/>
          <w:szCs w:val="24"/>
        </w:rPr>
      </w:pPr>
    </w:p>
    <w:p w14:paraId="45371710"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خامسًا: التجربة الأوروبية مرجعًا مقارنًا — قانون الذكاء الاصطناعي (EU AI Act 2024)</w:t>
      </w:r>
    </w:p>
    <w:p w14:paraId="6D7C8837"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أقرَّ البرلمان الأوروبي قانون الذكاء الاصطناعي في مارس 2024م ليكون أول إطار تنظيمي شامل ومُلزِم لتنظيم الذكاء الاصطناعي في العالم. واعتمد نهجًا قائمًا على تصنيف الأنظمة وفق مستويات المخاطر، وفرض على الأنظمة عالية المخاطر اشتراطاتٍ صارمة تشمل الشفافية، واستمرارية الإشراف البشري، والتوثيق التقني.</w:t>
      </w:r>
      <w:r>
        <w:rPr>
          <w:rFonts w:asciiTheme="majorBidi" w:hAnsiTheme="majorBidi" w:cstheme="majorBidi"/>
          <w:sz w:val="24"/>
          <w:szCs w:val="24"/>
          <w:vertAlign w:val="superscript"/>
          <w:rtl/>
        </w:rPr>
        <w:footnoteReference w:id="271"/>
      </w:r>
    </w:p>
    <w:p w14:paraId="5D82AA27" w14:textId="77777777" w:rsidR="00CF67E5" w:rsidRPr="00CF67E5" w:rsidRDefault="00CF67E5" w:rsidP="00CF67E5">
      <w:pPr>
        <w:jc w:val="right"/>
        <w:rPr>
          <w:rFonts w:asciiTheme="majorBidi" w:hAnsiTheme="majorBidi" w:cstheme="majorBidi"/>
          <w:sz w:val="24"/>
          <w:szCs w:val="24"/>
        </w:rPr>
      </w:pPr>
      <w:r>
        <w:rPr>
          <w:rFonts w:asciiTheme="majorBidi" w:hAnsiTheme="majorBidi" w:cstheme="majorBidi"/>
          <w:sz w:val="24"/>
          <w:szCs w:val="24"/>
          <w:rtl/>
        </w:rPr>
        <w:t>وتكشف التجربة الأوروبية عن ثلاثة دروس جوهرية للمنظومة السعودية:</w:t>
      </w:r>
    </w:p>
    <w:p w14:paraId="78C683E3" w14:textId="77777777" w:rsidR="00CF67E5" w:rsidRPr="00CF67E5" w:rsidRDefault="00CF67E5" w:rsidP="00A02FE3">
      <w:pPr>
        <w:bidi/>
        <w:spacing w:line="259" w:lineRule="auto"/>
        <w:ind w:left="360"/>
        <w:rPr>
          <w:rFonts w:asciiTheme="majorBidi" w:hAnsiTheme="majorBidi" w:cstheme="majorBidi"/>
          <w:sz w:val="24"/>
          <w:szCs w:val="24"/>
        </w:rPr>
      </w:pPr>
      <w:r>
        <w:rPr>
          <w:rFonts w:asciiTheme="majorBidi" w:hAnsiTheme="majorBidi" w:cstheme="majorBidi"/>
          <w:sz w:val="24"/>
          <w:szCs w:val="24"/>
          <w:rtl/>
        </w:rPr>
        <w:lastRenderedPageBreak/>
        <w:t>ضرورة تصنيف أنظمة الذكاء الاصطناعي بحسب درجة الخطورة؛ إذ يُتيح التصنيف التدريجي تخصيص الموارد الرقابية بكفاءة أعلى، ويُوجِّه أشد الاشتراطات صرامةً نحو الأنظمة الأعلى خطورة.</w:t>
      </w:r>
      <w:r>
        <w:rPr>
          <w:rFonts w:asciiTheme="majorBidi" w:hAnsiTheme="majorBidi" w:cstheme="majorBidi"/>
          <w:sz w:val="24"/>
          <w:szCs w:val="24"/>
          <w:vertAlign w:val="superscript"/>
          <w:rtl/>
        </w:rPr>
        <w:footnoteReference w:id="272"/>
      </w:r>
    </w:p>
    <w:p w14:paraId="72BEA6FB"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Pr>
          <w:rFonts w:asciiTheme="majorBidi" w:hAnsiTheme="majorBidi" w:cstheme="majorBidi"/>
          <w:sz w:val="24"/>
          <w:szCs w:val="24"/>
          <w:rtl/>
        </w:rPr>
        <w:t>التمييز الواضح بين مزوِّد النظام ومستخدِمه المهني؛ وإناطة كل منهما بالتزامات رقابية مستقلة، بما فيها التحقق من خلو النظام الذكي من المخاطر العالية قبل توظيفه في الخدمات القانونية الحساسة.</w:t>
      </w:r>
      <w:r>
        <w:rPr>
          <w:rFonts w:asciiTheme="majorBidi" w:hAnsiTheme="majorBidi" w:cstheme="majorBidi"/>
          <w:sz w:val="24"/>
          <w:szCs w:val="24"/>
          <w:vertAlign w:val="superscript"/>
          <w:rtl/>
        </w:rPr>
        <w:footnoteReference w:id="273"/>
      </w:r>
    </w:p>
    <w:p w14:paraId="1718CD6B"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Pr>
          <w:rFonts w:asciiTheme="majorBidi" w:hAnsiTheme="majorBidi" w:cstheme="majorBidi"/>
          <w:sz w:val="24"/>
          <w:szCs w:val="24"/>
          <w:rtl/>
        </w:rPr>
        <w:t>توسيع مفهوم "المنتج" ليشمل البرمجيات والأنظمة الذكية، بما يُتيح تطبيق قواعد مسؤولية المنتج المعيب على الخوارزميات، وتخفيف عبء الإثبات عن المتضرر عند ثبوت الاستخدام والضرر.</w:t>
      </w:r>
    </w:p>
    <w:p w14:paraId="2D8D3A72" w14:textId="77777777" w:rsidR="00CF67E5" w:rsidRPr="00CF67E5" w:rsidRDefault="00CF67E5" w:rsidP="00A02FE3">
      <w:pPr>
        <w:rPr>
          <w:rFonts w:asciiTheme="majorBidi" w:hAnsiTheme="majorBidi" w:cstheme="majorBidi"/>
          <w:sz w:val="24"/>
          <w:szCs w:val="24"/>
        </w:rPr>
      </w:pPr>
      <w:r>
        <w:rPr>
          <w:rFonts w:asciiTheme="majorBidi" w:hAnsiTheme="majorBidi" w:cstheme="majorBidi"/>
          <w:sz w:val="24"/>
          <w:szCs w:val="24"/>
          <w:rtl/>
        </w:rPr>
        <w:t>غير أن الباحث لا يرى أن نقل النموذج الأوروبي بحذافيره مناسب، لأن البيئة المهنية السعودية — خاصة في مهنة المحاماة — تقوم على مركز مهني شخصي يختلف عن البيئات الأوروبية ذات الطابع المؤسسي الأوسع. لكن التجربة الأوروبية تبقى مرجعًا مقارنًا بالغ الأهمية عند بناء منظومة تنظيمية مماثلة.</w:t>
      </w:r>
      <w:r>
        <w:rPr>
          <w:rFonts w:asciiTheme="majorBidi" w:hAnsiTheme="majorBidi" w:cstheme="majorBidi"/>
          <w:sz w:val="24"/>
          <w:szCs w:val="24"/>
          <w:vertAlign w:val="superscript"/>
          <w:rtl/>
        </w:rPr>
        <w:footnoteReference w:id="274"/>
      </w:r>
    </w:p>
    <w:p w14:paraId="1E07E036" w14:textId="77777777" w:rsidR="00CF67E5" w:rsidRPr="00CF67E5" w:rsidRDefault="00CF67E5" w:rsidP="00CF67E5">
      <w:pPr>
        <w:jc w:val="right"/>
        <w:rPr>
          <w:rFonts w:asciiTheme="majorBidi" w:hAnsiTheme="majorBidi" w:cstheme="majorBidi"/>
          <w:sz w:val="24"/>
          <w:szCs w:val="24"/>
        </w:rPr>
      </w:pPr>
    </w:p>
    <w:p w14:paraId="2F314552" w14:textId="77777777" w:rsidR="00CF67E5" w:rsidRPr="00CF67E5" w:rsidRDefault="00CF67E5" w:rsidP="00CF67E5">
      <w:pPr>
        <w:jc w:val="right"/>
        <w:rPr>
          <w:rFonts w:asciiTheme="majorBidi" w:hAnsiTheme="majorBidi" w:cstheme="majorBidi"/>
          <w:b/>
          <w:bCs/>
          <w:sz w:val="24"/>
          <w:szCs w:val="24"/>
        </w:rPr>
      </w:pPr>
      <w:r>
        <w:rPr>
          <w:rFonts w:asciiTheme="majorBidi" w:hAnsiTheme="majorBidi" w:cstheme="majorBidi"/>
          <w:b/>
          <w:bCs/>
          <w:sz w:val="24"/>
          <w:szCs w:val="24"/>
          <w:rtl/>
        </w:rPr>
        <w:t>سادسًا: نحو تصور تنظيمي متوازن في السياق السعودي</w:t>
      </w:r>
    </w:p>
    <w:p w14:paraId="103D1C21" w14:textId="77777777" w:rsidR="00CF67E5" w:rsidRPr="00CF67E5" w:rsidRDefault="00CF67E5" w:rsidP="00A02FE3">
      <w:pPr>
        <w:rPr>
          <w:rFonts w:asciiTheme="majorBidi" w:hAnsiTheme="majorBidi" w:cstheme="majorBidi"/>
          <w:sz w:val="24"/>
          <w:szCs w:val="24"/>
        </w:rPr>
      </w:pPr>
      <w:r>
        <w:rPr>
          <w:rFonts w:asciiTheme="majorBidi" w:hAnsiTheme="majorBidi" w:cstheme="majorBidi"/>
          <w:sz w:val="24"/>
          <w:szCs w:val="24"/>
          <w:rtl/>
        </w:rPr>
        <w:t>في ضوء التحليل السابق للمنظومة النظامية السعودية القائمة — نظام المعاملات المدنية، ونظام حماية البيانات الشخصية، ومبادئ الحوكمة الوطنية لسدايا — يقترح الباحث تصورًا تنظيميًا يقوم على خمسة محاور:</w:t>
      </w:r>
      <w:r>
        <w:rPr>
          <w:rFonts w:asciiTheme="majorBidi" w:hAnsiTheme="majorBidi" w:cstheme="majorBidi"/>
          <w:sz w:val="24"/>
          <w:szCs w:val="24"/>
          <w:vertAlign w:val="superscript"/>
          <w:rtl/>
        </w:rPr>
        <w:footnoteReference w:id="275"/>
      </w:r>
    </w:p>
    <w:p w14:paraId="136CE074"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Pr>
          <w:rFonts w:asciiTheme="majorBidi" w:hAnsiTheme="majorBidi" w:cstheme="majorBidi"/>
          <w:sz w:val="24"/>
          <w:szCs w:val="24"/>
          <w:rtl/>
        </w:rPr>
        <w:t>الإبقاء على المسؤولية القائمة على الخطأ أساسًا عامًا، مع استحداث معيار موضوعي مرن يراعي التعقيد التقني ولا يُحوِّل الغموض الخوارزمي إلى حصانة للمتسببين في الضرر.</w:t>
      </w:r>
    </w:p>
    <w:p w14:paraId="52EB7A09"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Pr>
          <w:rFonts w:asciiTheme="majorBidi" w:hAnsiTheme="majorBidi" w:cstheme="majorBidi"/>
          <w:sz w:val="24"/>
          <w:szCs w:val="24"/>
          <w:rtl/>
        </w:rPr>
        <w:t>اعتماد معيار السيطرة الفعلية لتوزيع المسؤولية بين الأطراف، مع التفريق بين مسؤولية المطوِّر عن البنية التصميمية، ومسؤولية مقدِّم التقنية عن البيئة التشغيلية، ومسؤولية المستخدم المهني عن قرار الاعتماد والتحقق.</w:t>
      </w:r>
      <w:r>
        <w:rPr>
          <w:rFonts w:asciiTheme="majorBidi" w:hAnsiTheme="majorBidi" w:cstheme="majorBidi"/>
          <w:sz w:val="24"/>
          <w:szCs w:val="24"/>
          <w:vertAlign w:val="superscript"/>
          <w:rtl/>
        </w:rPr>
        <w:footnoteReference w:id="276"/>
      </w:r>
    </w:p>
    <w:p w14:paraId="2EB59871"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Pr>
          <w:rFonts w:asciiTheme="majorBidi" w:hAnsiTheme="majorBidi" w:cstheme="majorBidi"/>
          <w:sz w:val="24"/>
          <w:szCs w:val="24"/>
          <w:rtl/>
        </w:rPr>
        <w:t>إلزام المطوِّرين بواجب إفصاح تقني واضح يشمل حدود النظام ومجالات استخدامه المقصودة وغير المقصودة، بحيث يتمكن المستخدم المهني من ممارسة رقابة فعَّالة مستنيرة.</w:t>
      </w:r>
      <w:r>
        <w:rPr>
          <w:rFonts w:asciiTheme="majorBidi" w:hAnsiTheme="majorBidi" w:cstheme="majorBidi"/>
          <w:sz w:val="24"/>
          <w:szCs w:val="24"/>
          <w:vertAlign w:val="superscript"/>
          <w:rtl/>
        </w:rPr>
        <w:footnoteReference w:id="277"/>
      </w:r>
    </w:p>
    <w:p w14:paraId="07A5F37B"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Pr>
          <w:rFonts w:asciiTheme="majorBidi" w:hAnsiTheme="majorBidi" w:cstheme="majorBidi"/>
          <w:sz w:val="24"/>
          <w:szCs w:val="24"/>
          <w:rtl/>
        </w:rPr>
        <w:t>تمكين المتضرر من الرجوع تضامنيًا في الحالات المختلطة التي يتعذر فيها تحديد نسبة مساهمة كل طرف، مع تنظيم الرجوع الداخلي بين الأطراف وفقًا لدرجة مساهمتهم وفق سجلات المنصة أو تقارير الخبرة.</w:t>
      </w:r>
    </w:p>
    <w:p w14:paraId="047A73A7" w14:textId="77777777" w:rsidR="00CF67E5" w:rsidRPr="00CF67E5" w:rsidRDefault="00CF67E5" w:rsidP="00A02FE3">
      <w:pPr>
        <w:numPr>
          <w:ilvl w:val="0"/>
          <w:numId w:val="57"/>
        </w:numPr>
        <w:bidi/>
        <w:spacing w:line="259" w:lineRule="auto"/>
        <w:rPr>
          <w:rFonts w:asciiTheme="majorBidi" w:hAnsiTheme="majorBidi" w:cstheme="majorBidi"/>
          <w:sz w:val="24"/>
          <w:szCs w:val="24"/>
        </w:rPr>
      </w:pPr>
      <w:r>
        <w:rPr>
          <w:rFonts w:asciiTheme="majorBidi" w:hAnsiTheme="majorBidi" w:cstheme="majorBidi"/>
          <w:sz w:val="24"/>
          <w:szCs w:val="24"/>
          <w:rtl/>
        </w:rPr>
        <w:lastRenderedPageBreak/>
        <w:t>استحداث تصنيف تشريعي للأنظمة الذكية القانونية بحسب درجة الخطورة، على غرار النموذج الأوروبي، مع مراعاة خصوصية البيئة المهنية السعودية وأولويات التحول الرقمي في منظومة العدالة.</w:t>
      </w:r>
      <w:r>
        <w:rPr>
          <w:rFonts w:asciiTheme="majorBidi" w:hAnsiTheme="majorBidi" w:cstheme="majorBidi"/>
          <w:sz w:val="24"/>
          <w:szCs w:val="24"/>
          <w:vertAlign w:val="superscript"/>
          <w:rtl/>
        </w:rPr>
        <w:footnoteReference w:id="278"/>
      </w:r>
    </w:p>
    <w:p w14:paraId="68B38975" w14:textId="77777777" w:rsidR="00CF67E5" w:rsidRPr="00CF67E5" w:rsidRDefault="00CF67E5" w:rsidP="00A02FE3">
      <w:pPr>
        <w:jc w:val="right"/>
        <w:rPr>
          <w:rFonts w:asciiTheme="majorBidi" w:hAnsiTheme="majorBidi" w:cstheme="majorBidi"/>
          <w:sz w:val="24"/>
          <w:szCs w:val="24"/>
        </w:rPr>
      </w:pPr>
      <w:r>
        <w:rPr>
          <w:rFonts w:asciiTheme="majorBidi" w:hAnsiTheme="majorBidi" w:cstheme="majorBidi"/>
          <w:sz w:val="24"/>
          <w:szCs w:val="24"/>
          <w:rtl/>
        </w:rPr>
        <w:t>والهدف الحقيقي من هذا التصور ليس توسيع المسؤولية، بل توضيحها وضبط معاييرها بحيث: لا تُفرِّغ حماية الموكل من مضمونها، ولا تُحبط التطوير التقني داخل المهنة، ولا تُحمِّل المحامي عبئًا تقنيًا يتجاوز قدرته الواقعية على السيطرة.</w:t>
      </w:r>
    </w:p>
    <w:p w14:paraId="4AAD4BC2" w14:textId="77777777" w:rsidR="00CF67E5" w:rsidRPr="00CF67E5" w:rsidRDefault="00CF67E5" w:rsidP="00A02FE3">
      <w:pPr>
        <w:jc w:val="right"/>
        <w:rPr>
          <w:rFonts w:asciiTheme="majorBidi" w:hAnsiTheme="majorBidi" w:cstheme="majorBidi"/>
          <w:sz w:val="24"/>
          <w:szCs w:val="24"/>
        </w:rPr>
      </w:pPr>
    </w:p>
    <w:p w14:paraId="3A296FD5" w14:textId="6444556F" w:rsidR="00CF67E5" w:rsidRPr="00CF67E5" w:rsidRDefault="00A02FE3" w:rsidP="00A02FE3">
      <w:pPr>
        <w:jc w:val="right"/>
        <w:rPr>
          <w:rFonts w:asciiTheme="majorBidi" w:hAnsiTheme="majorBidi" w:cstheme="majorBidi"/>
          <w:sz w:val="24"/>
          <w:szCs w:val="24"/>
        </w:rPr>
      </w:pPr>
      <w:r>
        <w:rPr>
          <w:rFonts w:asciiTheme="majorBidi" w:hAnsiTheme="majorBidi" w:cstheme="majorBidi" w:hint="cs"/>
          <w:b/>
          <w:bCs/>
          <w:sz w:val="24"/>
          <w:szCs w:val="24"/>
          <w:rtl/>
        </w:rPr>
        <w:t xml:space="preserve">مما سبق </w:t>
      </w:r>
      <w:r>
        <w:rPr>
          <w:rFonts w:asciiTheme="majorBidi" w:hAnsiTheme="majorBidi" w:cstheme="majorBidi"/>
          <w:sz w:val="24"/>
          <w:szCs w:val="24"/>
          <w:rtl/>
        </w:rPr>
        <w:t>يتضح من التحليل أن مسؤولية الذكاء الاصطناعي في المجال القانوني لا يمكن اختزالها في ثنائية تقليدية بين "فاعل" و"متضرر"، بل هي مسؤولية تتشكَّل داخل بنية تقنية ومهنية مركَّبة تتوزع فيها أدوار السيطرة والرقابة والتصميم والتشغيل والاعتماد. فالمطوِّر يضع الأساس البنيوي للمنظومة، ومقدِّم التقنية يسيطر على بيئة التشغيل وحراسة البيانات، والمستخدم المهني يتخذ قرار الاعتماد النهائي الذي يمنح المخرج صفة قانونية ملزِمة.</w:t>
      </w:r>
    </w:p>
    <w:p w14:paraId="7306E912" w14:textId="12EA4891" w:rsidR="00CF598B" w:rsidRPr="00AA1B4E" w:rsidRDefault="00CF67E5" w:rsidP="00A02FE3">
      <w:pPr>
        <w:jc w:val="right"/>
        <w:rPr>
          <w:rFonts w:asciiTheme="majorBidi" w:hAnsiTheme="majorBidi" w:cstheme="majorBidi"/>
          <w:sz w:val="24"/>
          <w:szCs w:val="24"/>
        </w:rPr>
      </w:pPr>
      <w:r>
        <w:rPr>
          <w:rFonts w:asciiTheme="majorBidi" w:hAnsiTheme="majorBidi" w:cstheme="majorBidi"/>
          <w:sz w:val="24"/>
          <w:szCs w:val="24"/>
          <w:rtl/>
        </w:rPr>
        <w:t>ومن ثَمَّ، فإن مسؤولية الذكاء الاصطناعي في مكاتب المحاماة يجب أن تُفهم بوصفها مسؤولية متعددة المستويات: تصميمية وتشغيلية ومهنية — تُدار وفق منطق السيطرة والرقابة والاعتماد الواعي، لا وفق منطق الإسناد الأحادي. وبهذا التأسيس يمكن الانتقال إلى بناء إطار تنظيمي مقترح يُحوِّل هذا التحليل النظري إلى معايير إجرائية قابلة للتطبيق في البيئة النظامية السعودية.</w:t>
      </w:r>
    </w:p>
    <w:p w14:paraId="6B284562" w14:textId="77777777" w:rsidR="00CF598B" w:rsidRPr="00AA1B4E" w:rsidRDefault="00CF598B" w:rsidP="00CF598B">
      <w:pPr>
        <w:ind w:left="720"/>
        <w:jc w:val="right"/>
        <w:rPr>
          <w:rFonts w:asciiTheme="majorBidi" w:hAnsiTheme="majorBidi" w:cstheme="majorBidi"/>
          <w:sz w:val="24"/>
          <w:szCs w:val="24"/>
        </w:rPr>
      </w:pPr>
      <w:r>
        <w:rPr>
          <w:rFonts w:asciiTheme="majorBidi" w:hAnsiTheme="majorBidi" w:cstheme="majorBidi"/>
          <w:sz w:val="24"/>
          <w:szCs w:val="24"/>
          <w:rtl/>
        </w:rPr>
        <w:t xml:space="preserve">وقد أظهرت الدراسة أن الاعتماد على معيار الفعل المادي وحده لا يكفي لضبط الإسناد، كما أن تحميل المستخدم المهني تبعة كل خلل تقني يُفضي إلى مسؤولية شبه مطلقة لا تتفق مع العدالة النظامية ولا مع تشجيع الابتكار. ومن ثم، فإن معيار </w:t>
      </w:r>
      <w:r>
        <w:rPr>
          <w:rFonts w:asciiTheme="majorBidi" w:hAnsiTheme="majorBidi" w:cstheme="majorBidi"/>
          <w:b/>
          <w:bCs/>
          <w:sz w:val="24"/>
          <w:szCs w:val="24"/>
          <w:rtl/>
        </w:rPr>
        <w:t>السيطرة الفعلية على مصدر الخطر</w:t>
      </w:r>
      <w:r>
        <w:rPr>
          <w:rFonts w:asciiTheme="majorBidi" w:hAnsiTheme="majorBidi" w:cstheme="majorBidi"/>
          <w:sz w:val="24"/>
          <w:szCs w:val="24"/>
          <w:rtl/>
        </w:rPr>
        <w:t xml:space="preserve">، مقرونًا بمعيار </w:t>
      </w:r>
      <w:r>
        <w:rPr>
          <w:rFonts w:asciiTheme="majorBidi" w:hAnsiTheme="majorBidi" w:cstheme="majorBidi"/>
          <w:b/>
          <w:bCs/>
          <w:sz w:val="24"/>
          <w:szCs w:val="24"/>
          <w:rtl/>
        </w:rPr>
        <w:t>قابلية اكتشاف الخلل بالمراجعة المهنية المعتادة</w:t>
      </w:r>
      <w:r>
        <w:rPr>
          <w:rFonts w:asciiTheme="majorBidi" w:hAnsiTheme="majorBidi" w:cstheme="majorBidi"/>
          <w:sz w:val="24"/>
          <w:szCs w:val="24"/>
          <w:rtl/>
        </w:rPr>
        <w:t>، يمثلان الأساس الأكثر اتزانًا لتوزيع المسؤولية بين الأطراف</w:t>
      </w:r>
      <w:r>
        <w:rPr>
          <w:rFonts w:asciiTheme="majorBidi" w:hAnsiTheme="majorBidi" w:cstheme="majorBidi"/>
          <w:sz w:val="24"/>
          <w:szCs w:val="24"/>
        </w:rPr>
        <w:t>.</w:t>
      </w:r>
    </w:p>
    <w:p w14:paraId="5D6B2710" w14:textId="595245C0" w:rsidR="00CF598B" w:rsidRPr="00AA1B4E" w:rsidRDefault="00CF598B" w:rsidP="00A02FE3">
      <w:pPr>
        <w:ind w:left="720"/>
        <w:jc w:val="right"/>
        <w:rPr>
          <w:rFonts w:asciiTheme="majorBidi" w:hAnsiTheme="majorBidi" w:cstheme="majorBidi"/>
          <w:sz w:val="24"/>
          <w:szCs w:val="24"/>
        </w:rPr>
      </w:pPr>
      <w:r>
        <w:rPr>
          <w:rFonts w:asciiTheme="majorBidi" w:hAnsiTheme="majorBidi" w:cstheme="majorBidi"/>
          <w:sz w:val="24"/>
          <w:szCs w:val="24"/>
          <w:rtl/>
        </w:rPr>
        <w:t>كما أن تحليل عيوب التصميم والتدريب، وواجب التحذير، ومسؤولية البنية التشغيلية، ومسألة التضامن في الحالات المختلطة، يكشف أن المسؤولية في هذا السياق ليست “إعفاءً أو إدانة”، بل عملية ضبط دقيق للعلاقة بين الخطر ومن يملك أدوات التحكم فيه. فحيث يثبت العيب البنيوي تنعقد المسؤولية في جانب المطوّر، وحيث يثبت خلل الأمان أو التخزين تتجه إلى مقدم التقنية، وحيث يثبت الاعتماد غير المتحقق أو الإدخال الخاطئ تتحملها جهة الاستخدام المهني</w:t>
      </w:r>
      <w:r>
        <w:rPr>
          <w:rFonts w:asciiTheme="majorBidi" w:hAnsiTheme="majorBidi" w:cstheme="majorBidi"/>
          <w:sz w:val="24"/>
          <w:szCs w:val="24"/>
        </w:rPr>
        <w:t>.</w:t>
      </w:r>
    </w:p>
    <w:p w14:paraId="4166754C" w14:textId="370EB251" w:rsidR="00CF598B" w:rsidRDefault="00CF598B" w:rsidP="00A02FE3">
      <w:pPr>
        <w:ind w:left="720"/>
        <w:jc w:val="right"/>
        <w:rPr>
          <w:rFonts w:asciiTheme="majorBidi" w:hAnsiTheme="majorBidi" w:cstheme="majorBidi"/>
          <w:sz w:val="24"/>
          <w:szCs w:val="24"/>
        </w:rPr>
      </w:pPr>
      <w:r>
        <w:rPr>
          <w:rFonts w:asciiTheme="majorBidi" w:hAnsiTheme="majorBidi" w:cstheme="majorBidi"/>
          <w:sz w:val="24"/>
          <w:szCs w:val="24"/>
          <w:rtl/>
        </w:rPr>
        <w:t xml:space="preserve">وعليه، فإن مسؤولية الذكاء الاصطناعي في مكاتب المحاماة يجب أن تُفهم بوصفها مسؤولية </w:t>
      </w:r>
      <w:r>
        <w:rPr>
          <w:rFonts w:asciiTheme="majorBidi" w:hAnsiTheme="majorBidi" w:cstheme="majorBidi"/>
          <w:b/>
          <w:bCs/>
          <w:sz w:val="24"/>
          <w:szCs w:val="24"/>
          <w:rtl/>
        </w:rPr>
        <w:t>متعددة المستويات</w:t>
      </w:r>
      <w:r>
        <w:rPr>
          <w:rFonts w:asciiTheme="majorBidi" w:hAnsiTheme="majorBidi" w:cstheme="majorBidi"/>
          <w:sz w:val="24"/>
          <w:szCs w:val="24"/>
        </w:rPr>
        <w:t xml:space="preserve">: </w:t>
      </w:r>
      <w:r>
        <w:rPr>
          <w:rFonts w:asciiTheme="majorBidi" w:hAnsiTheme="majorBidi" w:cstheme="majorBidi"/>
          <w:sz w:val="24"/>
          <w:szCs w:val="24"/>
          <w:rtl/>
        </w:rPr>
        <w:t>تصميمية، تشغيلية، ومهنية، تُدار وفق منطق السيطرة والرقابة والاعتماد الواعي، لا وفق منطق الإسناد الأحادي. وبهذا التأسيس يمكن الانتقال – في الفصل اللاحق – إلى بناء إطار تنظيمي مقترح يحدد هذه الحدود بصورة أكثر وضوحًا، ويُحوّل هذا التحليل النظري إلى معايير إجرائية قابلة للتطبيق في البيئة النظامية السعودية</w:t>
      </w:r>
    </w:p>
    <w:p w14:paraId="6A540D42" w14:textId="77777777" w:rsidR="00A02FE3" w:rsidRPr="003A3742" w:rsidRDefault="00A02FE3" w:rsidP="00CF598B">
      <w:pPr>
        <w:ind w:left="720"/>
        <w:jc w:val="right"/>
        <w:rPr>
          <w:rFonts w:asciiTheme="majorBidi" w:hAnsiTheme="majorBidi" w:cstheme="majorBidi"/>
          <w:sz w:val="24"/>
          <w:szCs w:val="24"/>
          <w:rtl/>
        </w:rPr>
      </w:pPr>
    </w:p>
    <w:p w14:paraId="743E822E" w14:textId="1CCA358E" w:rsidR="00A02FE3" w:rsidRPr="001962B5" w:rsidRDefault="00CF598B" w:rsidP="00A02FE3">
      <w:pPr>
        <w:jc w:val="right"/>
        <w:rPr>
          <w:rFonts w:asciiTheme="majorBidi" w:hAnsiTheme="majorBidi" w:cstheme="majorBidi"/>
          <w:sz w:val="24"/>
          <w:szCs w:val="24"/>
        </w:rPr>
      </w:pPr>
      <w:r>
        <w:rPr>
          <w:rFonts w:asciiTheme="majorBidi" w:hAnsiTheme="majorBidi" w:cstheme="majorBidi"/>
          <w:b/>
          <w:bCs/>
          <w:sz w:val="24"/>
          <w:szCs w:val="24"/>
          <w:rtl/>
        </w:rPr>
        <w:t>ختامًا، يتضح من هذا الفصل أن الذكاء الاصطناعي</w:t>
      </w:r>
      <w:r>
        <w:rPr>
          <w:rFonts w:asciiTheme="majorBidi" w:hAnsiTheme="majorBidi" w:cstheme="majorBidi"/>
          <w:sz w:val="24"/>
          <w:szCs w:val="24"/>
          <w:rtl/>
        </w:rPr>
        <w:t xml:space="preserve"> في مكاتب المحاماة ليس مجرد أداة تقنية أُضيفت إلى بيئة العمل التقليدية، بل هو عاملٌ يعيد تشكيل البنية المفاهيمية للقانون المهني ذاته. فقد كشف التحليل أن الإشكال لا يكمن في “مشروعية الاستخدام” في حد ذاتها، وإنما في كيفية إدماج هذه التقنيات داخل منظومة تقوم أصلًا على الثقة، والإسناد الشخصي، والمسؤولية المباشرة. ومن ثم فإن جوهر الإشكال لم يكن تقنيًا بقدر ما كان تأصيليًا: </w:t>
      </w:r>
      <w:r>
        <w:rPr>
          <w:rFonts w:asciiTheme="majorBidi" w:hAnsiTheme="majorBidi" w:cstheme="majorBidi"/>
          <w:sz w:val="24"/>
          <w:szCs w:val="24"/>
          <w:rtl/>
        </w:rPr>
        <w:lastRenderedPageBreak/>
        <w:t>كيف يُعاد تعريف الحجية، وكيف يُعاد ضبط الإسناد، وكيف تُوزع المسؤولية في بيئة تتداخل فيها الخوارزمية مع القرار المهني</w:t>
      </w:r>
      <w:r>
        <w:rPr>
          <w:rFonts w:asciiTheme="majorBidi" w:hAnsiTheme="majorBidi" w:cstheme="majorBidi" w:hint="cs"/>
          <w:sz w:val="24"/>
          <w:szCs w:val="24"/>
          <w:rtl/>
        </w:rPr>
        <w:t>.</w:t>
      </w:r>
    </w:p>
    <w:p w14:paraId="53A7E0A4"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لقد انتهى هذا الفصل</w:t>
      </w:r>
      <w:r>
        <w:rPr>
          <w:rFonts w:asciiTheme="majorBidi" w:hAnsiTheme="majorBidi" w:cstheme="majorBidi"/>
          <w:b/>
          <w:bCs/>
          <w:sz w:val="24"/>
          <w:szCs w:val="24"/>
          <w:rtl/>
        </w:rPr>
        <w:t xml:space="preserve"> </w:t>
      </w:r>
      <w:r>
        <w:rPr>
          <w:rFonts w:asciiTheme="majorBidi" w:hAnsiTheme="majorBidi" w:cstheme="majorBidi"/>
          <w:sz w:val="24"/>
          <w:szCs w:val="24"/>
          <w:rtl/>
        </w:rPr>
        <w:t>إلى أن المخرجات الذكية لا تملك مركزًا قانونيًا قائمًا بذاته، ولا يمكن أن تُعامل كفاعل مستقل أو مصدر إرادة قانونية، بل تظل جزءًا من فعل مهني بشري يتطلب اعتمادًا وتحملًا للتبعة. وبذلك فإن القيمة القانونية لهذه المخرجات لا تُستمد من طبيعتها الآلية، بل من سلامة اعتمادها المهني وقابليتها للتحقق والإثبات. فالمعيار الحاسم لم يعد السؤال عما إذا كان النص قد كُتب بيد بشرية أو وُلد خوارزميًا، وإنما عما إذا كان قد خضع لرقابة مهنية واعية تُعيد إليه صفته القانونية وتحمله مسؤولية محددة</w:t>
      </w:r>
      <w:r>
        <w:rPr>
          <w:rFonts w:asciiTheme="majorBidi" w:hAnsiTheme="majorBidi" w:cstheme="majorBidi"/>
          <w:sz w:val="24"/>
          <w:szCs w:val="24"/>
        </w:rPr>
        <w:t>.</w:t>
      </w:r>
    </w:p>
    <w:p w14:paraId="6A61CB51"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وفي جانب المسؤولية، كشف الفصل أن الذكاء الاصطناعي لا يُسقط أركان المسؤولية المدنية، لكنه يُعقّد تطبيقها. فمع بقاء الخطأ والضرر والسببية عناصر ثابتة، أصبح معيار الخطأ أكثر تركيبًا؛ إذ لم يعد يكفي التحقق من سلامة التكييف القانوني فحسب، بل صار يتعين فحص مستوى الإشراف التقني، وإدارة المخاطر، وحدود الاعتماد على المخرجات الآلية. كما لم تعد المسؤولية حكرًا على المستخدم المهني وحده، بل باتت تتوزع داخل شبكة متعددة الأطراف تشمل المطور الذي يصوغ البنية الاستدلالية للنظام، ومقدم التقنية الذي يسيطر على بيئة التشغيل وحماية البيانات، والمستخدم الذي يمنح المخرج صفة قانونية من خلال اعتماده</w:t>
      </w:r>
      <w:r>
        <w:rPr>
          <w:rFonts w:asciiTheme="majorBidi" w:hAnsiTheme="majorBidi" w:cstheme="majorBidi"/>
          <w:sz w:val="24"/>
          <w:szCs w:val="24"/>
        </w:rPr>
        <w:t>.</w:t>
      </w:r>
    </w:p>
    <w:p w14:paraId="44C1D72A"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وقد أبرز التحليل أن معيارين يمثلان الركيزة الأكثر اتزانًا لضبط الإسناد في هذا السياق: معيار السيطرة الفعلية على مصدر الخطر، ومعيار قابلية اكتشاف الخلل بالمراجعة المهنية المعتادة. فمن يملك القدرة الواقعية على منع الضرر أو تقليله يكون أقرب إلى تحمله، ومن كان بإمكانه كشف الخلل بمستوى عناية مهني معقول ولم يفعل، ينعقد في جانبه الإخلال. أما الغموض الخوارزمي وتعقيد البنية التقنية، فلا ينبغي أن يتحولا إلى مظلة لإعفاء غير منضبط، ولا إلى أساس لتحميل طرف واحد عبئًا يفوق نطاق سيطرته</w:t>
      </w:r>
      <w:r>
        <w:rPr>
          <w:rFonts w:asciiTheme="majorBidi" w:hAnsiTheme="majorBidi" w:cstheme="majorBidi"/>
          <w:sz w:val="24"/>
          <w:szCs w:val="24"/>
        </w:rPr>
        <w:t>.</w:t>
      </w:r>
    </w:p>
    <w:p w14:paraId="5B683FF2"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كما أن المقارنة الموجزة بالتجارب الأوروبية أظهرت اتجاهًا نحو تصنيف المخاطر وتوسيع أدوات الإسناد، إلا أن الدراسة خلصت إلى أن نقل هذه النماذج بحذافيرها لا يستقيم دون مراعاة خصوصية البيئة النظامية السعودية، حيث تقوم مهنة المحاماة على رابطة ثقة شخصية ومهنية مباشرة. ومن ثم فإن الحل لا يكمن في استيراد نموذج مسؤولية موضوعية صارمة، ولا في الإبقاء على نموذج تقليدي يغفل التعقيد التقني، بل في تطوير تطبيق القواعد العامة بما يواكب التحول الرقمي دون أن يهدم أسس المسؤولية</w:t>
      </w:r>
      <w:r>
        <w:rPr>
          <w:rFonts w:asciiTheme="majorBidi" w:hAnsiTheme="majorBidi" w:cstheme="majorBidi"/>
          <w:sz w:val="24"/>
          <w:szCs w:val="24"/>
        </w:rPr>
        <w:t>.</w:t>
      </w:r>
    </w:p>
    <w:p w14:paraId="496A1103" w14:textId="77777777" w:rsidR="00CF598B" w:rsidRPr="001962B5" w:rsidRDefault="00CF598B" w:rsidP="00CF598B">
      <w:pPr>
        <w:jc w:val="right"/>
        <w:rPr>
          <w:rFonts w:asciiTheme="majorBidi" w:hAnsiTheme="majorBidi" w:cstheme="majorBidi"/>
          <w:sz w:val="24"/>
          <w:szCs w:val="24"/>
        </w:rPr>
      </w:pPr>
      <w:r>
        <w:rPr>
          <w:rFonts w:asciiTheme="majorBidi" w:hAnsiTheme="majorBidi" w:cstheme="majorBidi"/>
          <w:sz w:val="24"/>
          <w:szCs w:val="24"/>
          <w:rtl/>
        </w:rPr>
        <w:t>وعليه، فإن هذا الفصل لا يمثل نهاية تحليلية بقدر ما يشكل نقطة ارتكاز منهجية للفصول اللاحقة؛ إذ أثبت أن الإشكال ليس في وجود الذكاء الاصطناعي، بل في غياب إطار تنظيمي تفصيلي يحدد معايير الاعتماد، وحدود الرقابة، وتوزيع المخاطر بين الأطراف. وهذا ما يقتضي الانتقال من مستوى التأصيل النظري إلى مستوى الفحص الواقعي للتطبيقات المهنية المعاصرة، لاختبار مدى اتساقها مع ما تم تأصيله من معايير، والكشف عن الفجوة بين النص والممارسة. ومن هنا يجيء الفصل الثالث بوصفه امتدادًا طبيعيًا لهذا التحليل، إذ ينتقل من بناء المفهوم إلى رصد الواقع، ومن ضبط النظرية إلى مساءلة التطبيق، تمهيدًا للوصول في الفصول اللاحقة إلى تصور تنظيمي مقترح يستند إلى تحليل نظري راسخ ومعطيات عملية موثقة</w:t>
      </w:r>
      <w:r>
        <w:rPr>
          <w:rFonts w:asciiTheme="majorBidi" w:hAnsiTheme="majorBidi" w:cstheme="majorBidi"/>
          <w:sz w:val="24"/>
          <w:szCs w:val="24"/>
        </w:rPr>
        <w:t>.</w:t>
      </w:r>
    </w:p>
    <w:p w14:paraId="051B81BA" w14:textId="6FBA73D9" w:rsidR="00C41E32" w:rsidRDefault="00C702A9">
      <w:pPr>
        <w:bidi/>
        <w:jc w:val="both"/>
        <w:rPr>
          <w:rFonts w:asciiTheme="majorBidi" w:hAnsiTheme="majorBidi" w:cstheme="majorBidi"/>
          <w:sz w:val="24"/>
          <w:szCs w:val="24"/>
          <w:rtl/>
        </w:rPr>
      </w:pPr>
      <w:r>
        <w:rPr>
          <w:rFonts w:asciiTheme="majorBidi" w:hAnsiTheme="majorBidi" w:cstheme="majorBidi"/>
          <w:sz w:val="24"/>
          <w:szCs w:val="24"/>
          <w:rtl/>
        </w:rPr>
        <w:t xml:space="preserve">وتُدعم هذه الخلاصة بما أثارته دراسات حديثة حول الطبيعة القانونية للعقود الذكية في السياق السعودي؛ إذ </w:t>
      </w:r>
      <w:r>
        <w:rPr>
          <w:rFonts w:asciiTheme="majorBidi" w:hAnsiTheme="majorBidi" w:cstheme="majorBidi" w:hint="cs"/>
          <w:sz w:val="24"/>
          <w:szCs w:val="24"/>
          <w:rtl/>
        </w:rPr>
        <w:t>ترى</w:t>
      </w:r>
      <w:r>
        <w:rPr>
          <w:rFonts w:asciiTheme="majorBidi" w:hAnsiTheme="majorBidi" w:cstheme="majorBidi"/>
          <w:sz w:val="24"/>
          <w:szCs w:val="24"/>
          <w:rtl/>
        </w:rPr>
        <w:t xml:space="preserve"> </w:t>
      </w:r>
      <w:r>
        <w:rPr>
          <w:rFonts w:asciiTheme="majorBidi" w:hAnsiTheme="majorBidi" w:cstheme="majorBidi" w:hint="cs"/>
          <w:sz w:val="24"/>
          <w:szCs w:val="24"/>
          <w:rtl/>
        </w:rPr>
        <w:t>الدراسات القانونية</w:t>
      </w:r>
      <w:r>
        <w:rPr>
          <w:rFonts w:asciiTheme="majorBidi" w:hAnsiTheme="majorBidi" w:cstheme="majorBidi"/>
          <w:sz w:val="24"/>
          <w:szCs w:val="24"/>
          <w:rtl/>
        </w:rPr>
        <w:t xml:space="preserve"> أن المنظومة القانونية السعودية تملك الأدوات النظامية الكافية لاستيعاب ظاهرة العقود الذكية ضمن إطارها التعاقدي الحالي، لكنها تفتقر إلى نصوص تفصيلية تُحكم ضبط هذه العقود وتُعيّن شروط الاحتجاج بها ومعايير تسوية النزاعات الناشئة عنها، وهو ما يدعو إلى مساعٍ تشريعية موجّهة تُكمل هذه المنظومة وتُصلّبها.</w:t>
      </w:r>
      <w:r>
        <w:rPr>
          <w:rStyle w:val="af"/>
          <w:rFonts w:asciiTheme="majorBidi" w:hAnsiTheme="majorBidi" w:cstheme="majorBidi"/>
          <w:sz w:val="24"/>
          <w:szCs w:val="24"/>
          <w:rtl/>
        </w:rPr>
        <w:footnoteReference w:id="279"/>
      </w:r>
    </w:p>
    <w:p w14:paraId="10ACE96E" w14:textId="77777777" w:rsidR="005705DD" w:rsidRDefault="005705DD" w:rsidP="000003D3">
      <w:pPr>
        <w:jc w:val="right"/>
        <w:rPr>
          <w:rFonts w:asciiTheme="majorBidi" w:hAnsiTheme="majorBidi" w:cstheme="majorBidi"/>
          <w:sz w:val="24"/>
          <w:szCs w:val="24"/>
          <w:rtl/>
        </w:rPr>
      </w:pPr>
    </w:p>
    <w:p w14:paraId="3377571D"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lastRenderedPageBreak/>
        <w:t>الفصل الثالث</w:t>
      </w:r>
    </w:p>
    <w:p w14:paraId="0455D578"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واقع وتحديات استخدام الذكاء الاصطناعي في مكاتب المحاماة</w:t>
      </w:r>
    </w:p>
    <w:p w14:paraId="6BEB1F94" w14:textId="77777777" w:rsidR="005705DD" w:rsidRDefault="005705DD" w:rsidP="005705DD"/>
    <w:p w14:paraId="36275971" w14:textId="77777777" w:rsidR="005705DD" w:rsidRPr="00A84F46" w:rsidRDefault="005705DD" w:rsidP="005705DD">
      <w:pPr>
        <w:bidi/>
        <w:spacing w:after="200" w:line="276" w:lineRule="auto"/>
        <w:rPr>
          <w:bCs/>
          <w:color w:val="000000" w:themeColor="text1"/>
          <w:rtl/>
        </w:rPr>
      </w:pPr>
      <w:r>
        <w:rPr>
          <w:rFonts w:asciiTheme="majorBidi" w:hAnsiTheme="majorBidi" w:cstheme="majorBidi"/>
          <w:bCs/>
          <w:color w:val="000000" w:themeColor="text1"/>
          <w:sz w:val="28"/>
          <w:szCs w:val="28"/>
          <w:rtl/>
        </w:rPr>
        <w:t>تمهيد الفصل</w:t>
      </w:r>
    </w:p>
    <w:p w14:paraId="1E9F1474" w14:textId="77777777" w:rsidR="005705DD" w:rsidRDefault="005705DD" w:rsidP="005705DD">
      <w:pPr>
        <w:bidi/>
        <w:spacing w:after="200" w:line="276" w:lineRule="auto"/>
        <w:rPr>
          <w:rtl/>
        </w:rPr>
      </w:pPr>
      <w:r>
        <w:rPr>
          <w:rFonts w:asciiTheme="majorBidi" w:hAnsiTheme="majorBidi" w:cstheme="majorBidi"/>
          <w:sz w:val="24"/>
          <w:szCs w:val="24"/>
          <w:rtl/>
        </w:rPr>
        <w:t>انتهى الفصلان الأول والثاني من هذه الدراسة إلى تحليل الإطار النظامي المنظِّم لمهنة المحاماة في المملكة العربية السعودية، وتقييم مدى استيعابه لتقنيات الذكاء الاصطناعي من جهة، ومناقشة التكييف القانوني والفقهي للمخرجات الذكية وتحديد المسؤولية المهنية المترتبة على توظيفها من جهة أخرى. وقد كشف هذا التحليل عن وجود فجوة تشريعية واضحة بين ما تفرزه التقنية من واقع ميداني متسارع وما توفره الأنظمة القائمة من إطار قانوني ضابط.</w:t>
      </w:r>
    </w:p>
    <w:p w14:paraId="57E055CB" w14:textId="77777777" w:rsidR="005705DD" w:rsidRDefault="005705DD" w:rsidP="005705DD">
      <w:pPr>
        <w:bidi/>
        <w:spacing w:after="200" w:line="276" w:lineRule="auto"/>
        <w:rPr>
          <w:rtl/>
        </w:rPr>
      </w:pPr>
      <w:r>
        <w:rPr>
          <w:rFonts w:asciiTheme="majorBidi" w:hAnsiTheme="majorBidi" w:cstheme="majorBidi"/>
          <w:sz w:val="24"/>
          <w:szCs w:val="24"/>
          <w:rtl/>
        </w:rPr>
        <w:t>ويأتي هذا الفصل ليقفز من المستوى التشريعي النظري إلى المستوى التطبيقي الميداني، إذ يتناول واقع استخدام تقنيات الذكاء الاصطناعي داخل مكاتب المحاماة السعودية فعلياً، ويرصد التطبيقات المهنية المعاصرة وأدوات التقنية المتداولة في السوق القانوني السعودي، ومدى توافق هذه الأدوات مع البيئة النظامية السائدة. ثم ينتقل إلى الجانب الأكثر تعقيداً وإشكاليةً، وهو أنماط الاستخدام الفردي غير المنظم لهذه التقنيات، وما يرتبه من مخاطر قانونية ومهنية في البيئة السعودية تحديداً.</w:t>
      </w:r>
    </w:p>
    <w:p w14:paraId="54483AAA" w14:textId="77777777" w:rsidR="005705DD" w:rsidRDefault="005705DD" w:rsidP="005705DD">
      <w:pPr>
        <w:bidi/>
        <w:spacing w:after="200" w:line="276" w:lineRule="auto"/>
        <w:rPr>
          <w:rtl/>
        </w:rPr>
      </w:pPr>
      <w:r>
        <w:rPr>
          <w:rFonts w:asciiTheme="majorBidi" w:hAnsiTheme="majorBidi" w:cstheme="majorBidi"/>
          <w:sz w:val="24"/>
          <w:szCs w:val="24"/>
          <w:rtl/>
        </w:rPr>
        <w:t>وتتجلى أهمية هذا الفصل في كونه يوفر قاعدة تجريبية واقعية للتصور التنظيمي المقترح الذي سيُعالجه الفصل الرابع، إذ لا يمكن اقتراح إطار قانوني لتنظيم ظاهرة ما دون الإحاطة الكافية بتفاصيل هذه الظاهرة ومحدداتها وإشكالياتها. كما يُعدّ هذا الفصل ثمرةً للتساؤل الثالث من تساؤلات الدراسة الذي يرصد واقع الاستخدام غير المنظم لتقنيات الذكاء الاصطناعي في المجال القانوني السعودي.</w:t>
      </w:r>
    </w:p>
    <w:p w14:paraId="71FF7781" w14:textId="77777777" w:rsidR="005705DD" w:rsidRDefault="005705DD" w:rsidP="005705DD">
      <w:pPr>
        <w:bidi/>
        <w:spacing w:after="200" w:line="276" w:lineRule="auto"/>
        <w:rPr>
          <w:rtl/>
        </w:rPr>
      </w:pPr>
      <w:r>
        <w:rPr>
          <w:rFonts w:asciiTheme="majorBidi" w:hAnsiTheme="majorBidi" w:cstheme="majorBidi"/>
          <w:sz w:val="24"/>
          <w:szCs w:val="24"/>
          <w:rtl/>
        </w:rPr>
        <w:t>ولا بد قبل الخوض في مضمون هذا الفصل من الوقوف عند تمييز مفاهيمي جوهري يُفتقر إليه في كثير من الأدبيات القانونية المعاصرة، وهو التمييز بين ثلاثة أصناف من التقنيات كثيراً ما تقع في دائرة واحدة خطأً، وهي: الذكاء الاصطناعي القانوني، والبرمجيات القانونية التقليدية، والعقود الذكية المرتبطة بتقنية البلوكشين. ويُعدّ هذا التمييز أساساً لا غنى عنه للتحليل القانوني الدقيق في هذا الفصل وما يليه.</w:t>
      </w:r>
    </w:p>
    <w:p w14:paraId="6ACD4334" w14:textId="77777777" w:rsidR="00F06D4D" w:rsidRDefault="00000000">
      <w:pPr>
        <w:bidi/>
        <w:spacing w:after="200" w:line="276" w:lineRule="auto"/>
        <w:jc w:val="both"/>
        <w:rPr>
          <w:rFonts w:asciiTheme="majorBidi" w:hAnsiTheme="majorBidi" w:cstheme="majorBidi"/>
          <w:sz w:val="24"/>
          <w:szCs w:val="24"/>
          <w:rtl/>
        </w:rPr>
      </w:pPr>
      <w:r>
        <w:rPr>
          <w:rFonts w:asciiTheme="majorBidi" w:hAnsiTheme="majorBidi" w:cstheme="majorBidi"/>
          <w:sz w:val="24"/>
          <w:szCs w:val="24"/>
          <w:rtl/>
        </w:rPr>
        <w:t>وبناءً على ما تقدم، انتظم هذا الفصل في ثلاثة مباحث: يتناول المبحث الأول التطبيقات المهنية المعاصرة في السعودية، ويعالج المبحث الثاني أنماط الاستخدام الفردي للتقنيات القانونية، ويعرض المبحث الثالث التحديات المستقبلية وآفاق تطوير المنظومة القانونية الرقمية. وقد وُحِّد أسلوب التوثيق في الفصل كله بالإحالة في الهوامش أسفل الصفحات، مع ذكر المرجع كاملاً في أول وروده ثم الاكتفاء بالإشارة إليه بـ(مرجع سابق).</w:t>
      </w:r>
    </w:p>
    <w:p w14:paraId="70987158" w14:textId="77777777" w:rsidR="005705DD" w:rsidRDefault="005705DD" w:rsidP="005705DD"/>
    <w:p w14:paraId="234122F3" w14:textId="77777777" w:rsidR="005705DD" w:rsidRPr="00A84F46" w:rsidRDefault="005705DD" w:rsidP="005705DD">
      <w:pPr>
        <w:bidi/>
        <w:spacing w:after="200" w:line="276" w:lineRule="auto"/>
        <w:rPr>
          <w:bCs/>
          <w:color w:val="000000" w:themeColor="text1"/>
          <w:rtl/>
        </w:rPr>
      </w:pPr>
      <w:r>
        <w:rPr>
          <w:rFonts w:asciiTheme="majorBidi" w:hAnsiTheme="majorBidi" w:cstheme="majorBidi"/>
          <w:bCs/>
          <w:color w:val="000000" w:themeColor="text1"/>
          <w:sz w:val="24"/>
          <w:szCs w:val="24"/>
          <w:rtl/>
        </w:rPr>
        <w:t>أولاً: تمييز مفاهيمي ضروري — ثلاث تقنيات مختلفة يقع فيها الخلط</w:t>
      </w:r>
    </w:p>
    <w:p w14:paraId="14E68000" w14:textId="77777777" w:rsidR="005705DD" w:rsidRDefault="005705DD" w:rsidP="005705DD">
      <w:pPr>
        <w:bidi/>
        <w:spacing w:after="200" w:line="276" w:lineRule="auto"/>
        <w:rPr>
          <w:rtl/>
        </w:rPr>
      </w:pPr>
      <w:r>
        <w:rPr>
          <w:rFonts w:asciiTheme="majorBidi" w:hAnsiTheme="majorBidi" w:cstheme="majorBidi"/>
          <w:sz w:val="24"/>
          <w:szCs w:val="24"/>
          <w:rtl/>
        </w:rPr>
        <w:t>يُلاحظ أن كثيراً من الدراسات القانونية والأكاديمية العربية — وبعض التقارير المهنية — تقع في خلط مفاهيمي واضح حين تضع تحت مسمى "الذكاء الاصطناعي" ثلاثة أصناف من التقنيات تختلف اختلافاً جذرياً في طبيعتها وآلية عملها وحجم المخاطر القانونية التي تفرزها. ويتمثل هذا الخلط تحديداً في:</w:t>
      </w:r>
    </w:p>
    <w:p w14:paraId="69C92A8F" w14:textId="77777777" w:rsidR="005705DD" w:rsidRDefault="005705DD" w:rsidP="005705DD">
      <w:pPr>
        <w:bidi/>
        <w:spacing w:after="200" w:line="276" w:lineRule="auto"/>
        <w:rPr>
          <w:rtl/>
        </w:rPr>
      </w:pPr>
      <w:r>
        <w:rPr>
          <w:rFonts w:asciiTheme="majorBidi" w:hAnsiTheme="majorBidi" w:cstheme="majorBidi"/>
          <w:sz w:val="24"/>
          <w:szCs w:val="24"/>
          <w:rtl/>
        </w:rPr>
        <w:t>الصنف الأول: الذكاء الاصطناعي القانوني بصوره التنبؤية والتوليدية (Legal AI — Predictive &amp; Generative)، الذي يشمل أنظمة التعلم الآلي ونماذج اللغة الكبيرة (Large Language Models) القادرة على تحليل بيانات ضخمة، واستنتاج أنماط، وتوليد نصوص قانونية جديدة، والتنبؤ بنتائج القضايا استناداً إلى السوابق القضائية. وهذا الصنف هو موضوع الدراسة في جوهره، وهو الذي يُفرز أصعب الإشكاليات القانونية وأكثرها تعقيداً.</w:t>
      </w:r>
    </w:p>
    <w:p w14:paraId="65729061"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الصنف الثاني: البرمجيات القانونية التقليدية (Legal Software)، التي تشمل أنظمة إدارة القضايا وتتبع المواعيد والفوترة وإدارة الوثائق. وهذه البرمجيات أدوات تنظيمية وإدارية لا تعتمد في جوهرها على التعلم الذاتي أو توليد المعرفة، وإن كانت بعضها يُدمج الآن وحداتٍ ذكية إضافية. والفارق الجوهري هنا أن البرنامج القانوني التقليدي يُنفذ تعليمات ثابتة ومبرمجة مسبقاً ولا يستخلص أنماطاً مستقلة ولا يولّد مضموناً جديداً من تلقاء نفسه.</w:t>
      </w:r>
    </w:p>
    <w:p w14:paraId="7719D0AC" w14:textId="77777777" w:rsidR="005705DD" w:rsidRDefault="005705DD" w:rsidP="005705DD">
      <w:pPr>
        <w:bidi/>
        <w:spacing w:after="200" w:line="276" w:lineRule="auto"/>
        <w:rPr>
          <w:rtl/>
        </w:rPr>
      </w:pPr>
      <w:r>
        <w:rPr>
          <w:rFonts w:asciiTheme="majorBidi" w:hAnsiTheme="majorBidi" w:cstheme="majorBidi"/>
          <w:sz w:val="24"/>
          <w:szCs w:val="24"/>
          <w:rtl/>
        </w:rPr>
        <w:t>الصنف الثالث: العقود الذكية (Smart Contracts)، وهي في حقيقتها أكواد برمجية تنفيذية ذاتية (Self-executing Code) مُشفّرة على شبكات البلوكشين (Blockchain). وهذه ليست من الذكاء الاصطناعي في شيء؛ فهي لا تتعلم، ولا تُحلّل بيانات، ولا تولّد نصوصاً، بل تُنفّذ شرطاً برمجياً محدداً مسبقاً على صورة "إذا تحقق الشرط (س) فنفّذ الأمر (ص)". وارتباطها بالبلوكشين لا بالذكاء الاصطناعي هو الحقيقة التقنية الصحيحة، وإن كان الباحثون والإعلام يجمعونها مع تقنيات الذكاء الاصطناعي خطأً.</w:t>
      </w:r>
    </w:p>
    <w:p w14:paraId="346744DB" w14:textId="77777777" w:rsidR="005705DD" w:rsidRDefault="005705DD" w:rsidP="005705DD">
      <w:pPr>
        <w:bidi/>
        <w:spacing w:after="200" w:line="276" w:lineRule="auto"/>
        <w:rPr>
          <w:rtl/>
        </w:rPr>
      </w:pPr>
      <w:commentRangeStart w:id="12"/>
      <w:commentRangeStart w:id="13"/>
      <w:r>
        <w:rPr>
          <w:rFonts w:asciiTheme="majorBidi" w:hAnsiTheme="majorBidi" w:cstheme="majorBidi"/>
          <w:sz w:val="24"/>
          <w:szCs w:val="24"/>
          <w:rtl/>
        </w:rPr>
        <w:t>ويشير جانب من الفقه في دراسة حول</w:t>
      </w:r>
      <w:commentRangeEnd w:id="12"/>
      <w:r>
        <w:rPr>
          <w:rStyle w:val="af0"/>
          <w:rFonts w:asciiTheme="majorBidi" w:hAnsiTheme="majorBidi" w:cstheme="majorBidi"/>
          <w:sz w:val="24"/>
          <w:szCs w:val="24"/>
          <w:rtl/>
        </w:rPr>
        <w:commentReference w:id="12"/>
      </w:r>
      <w:commentRangeEnd w:id="13"/>
      <w:r>
        <w:rPr>
          <w:rStyle w:val="af0"/>
          <w:rFonts w:asciiTheme="majorBidi" w:hAnsiTheme="majorBidi" w:cstheme="majorBidi"/>
          <w:sz w:val="24"/>
          <w:szCs w:val="24"/>
          <w:rtl/>
        </w:rPr>
        <w:commentReference w:id="13"/>
      </w:r>
      <w:r>
        <w:rPr>
          <w:rFonts w:asciiTheme="majorBidi" w:hAnsiTheme="majorBidi" w:cstheme="majorBidi"/>
          <w:sz w:val="24"/>
          <w:szCs w:val="24"/>
          <w:rtl/>
        </w:rPr>
        <w:t xml:space="preserve"> "الذكاء الاصطناعي ودوره في إبرام العقود التجارية الذكية" إلى هذا الخلط صراحةً، مؤكداً أن العقد الذكي في جوهره لا يعتمد على نماذج لغوية أو تعلم ذاتي، بل على رمز برمجي ثابت مُبرمَج مسبقاً على البلوكشين، وإن كان الذكاء الاصطناعي وتقنية البلوكشين قد يتشابكان في بعض التطبيقات المتقدمة فإن هذا التشابك يظل استثناءً تطبيقياً لا قاعدة تقنية </w:t>
      </w:r>
      <w:r>
        <w:rPr>
          <w:rFonts w:asciiTheme="majorBidi" w:hAnsiTheme="majorBidi" w:cstheme="majorBidi"/>
          <w:sz w:val="24"/>
          <w:szCs w:val="24"/>
          <w:vertAlign w:val="superscript"/>
          <w:rtl/>
        </w:rPr>
        <w:footnoteReference w:id="280"/>
      </w:r>
      <w:r>
        <w:rPr>
          <w:rFonts w:asciiTheme="majorBidi" w:hAnsiTheme="majorBidi" w:cstheme="majorBidi"/>
          <w:sz w:val="24"/>
          <w:szCs w:val="24"/>
          <w:rtl/>
        </w:rPr>
        <w:t>.</w:t>
      </w:r>
    </w:p>
    <w:p w14:paraId="78C94E76"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هذا الخلط ليس مجرد هفوة أكاديمية، بل له تبعات قانونية خطيرة؛ فالمحامي الذي يعتمد على برنامج إدارة القضايا لا يواجه الإشكاليات النظامية نفسها التي يواجهها من يستخدم نموذجاً لغوياً كبيراً لصياغة مذكرة قانونية حساسة. وعليه، فإن الدراسة تتبنّى في هذا الفصل تصنيفاً دقيقاً لهذه الأصناف الثلاثة ريثما يأتي المشرّع السعودي بتعريف تشريعي صريح يُميّز بينها.</w:t>
      </w:r>
    </w:p>
    <w:p w14:paraId="5DD3FAF4" w14:textId="77777777" w:rsidR="005705DD" w:rsidRDefault="005705DD" w:rsidP="005705DD"/>
    <w:p w14:paraId="284F46AC"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المبحث الأول</w:t>
      </w:r>
    </w:p>
    <w:p w14:paraId="0456FAC5" w14:textId="59DCC192"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 xml:space="preserve">التطبيقات </w:t>
      </w:r>
      <w:commentRangeStart w:id="14"/>
      <w:commentRangeStart w:id="15"/>
      <w:r>
        <w:rPr>
          <w:rFonts w:asciiTheme="majorBidi" w:hAnsiTheme="majorBidi" w:cstheme="majorBidi"/>
          <w:bCs/>
          <w:color w:val="000000" w:themeColor="text1"/>
          <w:sz w:val="28"/>
          <w:szCs w:val="28"/>
          <w:rtl/>
        </w:rPr>
        <w:t>المهنية</w:t>
      </w:r>
      <w:commentRangeEnd w:id="14"/>
      <w:r>
        <w:rPr>
          <w:rStyle w:val="af0"/>
          <w:rFonts w:asciiTheme="majorBidi" w:hAnsiTheme="majorBidi" w:cstheme="majorBidi" w:hint="cs"/>
          <w:bCs/>
          <w:color w:val="000000" w:themeColor="text1"/>
          <w:sz w:val="28"/>
          <w:szCs w:val="28"/>
          <w:rtl/>
        </w:rPr>
        <w:commentReference w:id="14"/>
      </w:r>
      <w:commentRangeEnd w:id="15"/>
      <w:r>
        <w:rPr>
          <w:rStyle w:val="af0"/>
          <w:rFonts w:asciiTheme="majorBidi" w:hAnsiTheme="majorBidi" w:cstheme="majorBidi" w:hint="cs"/>
          <w:bCs/>
          <w:color w:val="000000" w:themeColor="text1"/>
          <w:sz w:val="28"/>
          <w:szCs w:val="28"/>
          <w:rtl/>
        </w:rPr>
        <w:commentReference w:id="15"/>
      </w:r>
      <w:r w:rsidR="002D0332">
        <w:rPr>
          <w:rFonts w:asciiTheme="majorBidi" w:hAnsiTheme="majorBidi" w:cstheme="majorBidi" w:hint="cs"/>
          <w:bCs/>
          <w:color w:val="000000" w:themeColor="text1"/>
          <w:sz w:val="28"/>
          <w:szCs w:val="28"/>
          <w:rtl/>
        </w:rPr>
        <w:t xml:space="preserve"> ا</w:t>
      </w:r>
      <w:r w:rsidR="00D254DC">
        <w:rPr>
          <w:rFonts w:asciiTheme="majorBidi" w:hAnsiTheme="majorBidi" w:cstheme="majorBidi" w:hint="cs"/>
          <w:bCs/>
          <w:color w:val="000000" w:themeColor="text1"/>
          <w:sz w:val="28"/>
          <w:szCs w:val="28"/>
          <w:rtl/>
        </w:rPr>
        <w:t>لق</w:t>
      </w:r>
      <w:r w:rsidR="002D0332">
        <w:rPr>
          <w:rFonts w:asciiTheme="majorBidi" w:hAnsiTheme="majorBidi" w:cstheme="majorBidi" w:hint="cs"/>
          <w:bCs/>
          <w:color w:val="000000" w:themeColor="text1"/>
          <w:sz w:val="28"/>
          <w:szCs w:val="28"/>
          <w:rtl/>
        </w:rPr>
        <w:t>انونية</w:t>
      </w:r>
      <w:r>
        <w:rPr>
          <w:rFonts w:asciiTheme="majorBidi" w:hAnsiTheme="majorBidi" w:cstheme="majorBidi"/>
          <w:bCs/>
          <w:color w:val="000000" w:themeColor="text1"/>
          <w:sz w:val="28"/>
          <w:szCs w:val="28"/>
          <w:rtl/>
        </w:rPr>
        <w:t xml:space="preserve"> المعاصرة في السعودية</w:t>
      </w:r>
    </w:p>
    <w:p w14:paraId="17DF1995" w14:textId="77777777" w:rsidR="005705DD" w:rsidRDefault="005705DD" w:rsidP="005705DD">
      <w:pPr>
        <w:bidi/>
        <w:spacing w:after="200" w:line="276" w:lineRule="auto"/>
        <w:rPr>
          <w:rtl/>
        </w:rPr>
      </w:pPr>
      <w:r>
        <w:rPr>
          <w:rFonts w:asciiTheme="majorBidi" w:hAnsiTheme="majorBidi" w:cstheme="majorBidi"/>
          <w:sz w:val="24"/>
          <w:szCs w:val="24"/>
          <w:rtl/>
        </w:rPr>
        <w:t>يُعدّ هذا المبحث مدخلاً ميدانياً ضرورياً لفهم الواقع الفعلي لتوظيف تقنيات الذكاء الاصطناعي في مكاتب المحاماة السعودية، ويتناول بالتحليل الأدوات التقنية الذكية المتداولة في السوق القانوني السعودي (المطلب الأول)، ثم يقيّم مدى توافق هذه الأدوات مع البيئة النظامية السعودية القائمة (المطلب الثاني).</w:t>
      </w:r>
    </w:p>
    <w:p w14:paraId="64E51D94" w14:textId="77777777" w:rsidR="005705DD" w:rsidRDefault="005705DD" w:rsidP="005705DD">
      <w:pPr>
        <w:bidi/>
        <w:spacing w:after="200" w:line="276" w:lineRule="auto"/>
        <w:rPr>
          <w:rtl/>
        </w:rPr>
      </w:pPr>
      <w:r>
        <w:rPr>
          <w:rFonts w:asciiTheme="majorBidi" w:hAnsiTheme="majorBidi" w:cstheme="majorBidi"/>
          <w:sz w:val="24"/>
          <w:szCs w:val="24"/>
          <w:rtl/>
        </w:rPr>
        <w:t>ويستند هذا المبحث إلى مزيج من المصادر التشريعية والأكاديمية، ومخرجات الجهات الرسمية ذات الصلة كسدايا ووزارة العدل، فضلاً عن الدراسات المعاصرة التي رصدت واقع الممارسة التقنية في بيئات المحاماة الخليجية والعربية، مع الحرص على إسقاط ذلك على الخصوصية السعودية من حيث البيئة التشريعية والتحولات الرقمية الجارية في ظل رؤية 2030.</w:t>
      </w:r>
    </w:p>
    <w:p w14:paraId="44AC964D" w14:textId="77777777" w:rsidR="005705DD" w:rsidRDefault="005705DD" w:rsidP="005705DD"/>
    <w:p w14:paraId="2C0ED227"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المطلب الأول</w:t>
      </w:r>
    </w:p>
    <w:p w14:paraId="4FA0F543"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أدوات الذكاء الاصطناعي المتداولة في السوق القانوني السعودي</w:t>
      </w:r>
    </w:p>
    <w:p w14:paraId="6CEDF609" w14:textId="77777777" w:rsidR="005705DD" w:rsidRDefault="005705DD" w:rsidP="005705DD">
      <w:pPr>
        <w:bidi/>
        <w:spacing w:after="200" w:line="276" w:lineRule="auto"/>
        <w:rPr>
          <w:rtl/>
        </w:rPr>
      </w:pPr>
      <w:r>
        <w:rPr>
          <w:rFonts w:asciiTheme="majorBidi" w:hAnsiTheme="majorBidi" w:cstheme="majorBidi"/>
          <w:sz w:val="24"/>
          <w:szCs w:val="24"/>
          <w:rtl/>
        </w:rPr>
        <w:t xml:space="preserve">شهد السوق القانوني السعودي في الفترة الممتدة بين عامَي 2020م و2026م تحولاً نوعياً في طبيعة الأدوات التقنية المستخدمة داخل مكاتب المحاماة، إذ انتقل الاستخدام التقني من الوسائل الإدارية البسيطة كجداول المواعيد الإلكترونية وبرامج معالجة النصوص، إلى أدوات ذات طابع تحليلي واستدلالي متقدم تعتمد على نماذج تعلم الآلة </w:t>
      </w:r>
      <w:commentRangeStart w:id="16"/>
      <w:commentRangeStart w:id="17"/>
      <w:r>
        <w:rPr>
          <w:rFonts w:asciiTheme="majorBidi" w:hAnsiTheme="majorBidi" w:cstheme="majorBidi"/>
          <w:sz w:val="24"/>
          <w:szCs w:val="24"/>
          <w:rtl/>
        </w:rPr>
        <w:lastRenderedPageBreak/>
        <w:t xml:space="preserve">ومعالجة اللغة الطبيعية. وقد ساهم في تسريع هذا التحول </w:t>
      </w:r>
      <w:commentRangeEnd w:id="16"/>
      <w:r>
        <w:rPr>
          <w:rStyle w:val="af0"/>
          <w:rFonts w:asciiTheme="majorBidi" w:hAnsiTheme="majorBidi" w:cstheme="majorBidi"/>
          <w:sz w:val="24"/>
          <w:szCs w:val="24"/>
          <w:rtl/>
        </w:rPr>
        <w:commentReference w:id="16"/>
      </w:r>
      <w:commentRangeEnd w:id="17"/>
      <w:r>
        <w:rPr>
          <w:rStyle w:val="af0"/>
          <w:rFonts w:asciiTheme="majorBidi" w:hAnsiTheme="majorBidi" w:cstheme="majorBidi"/>
          <w:sz w:val="24"/>
          <w:szCs w:val="24"/>
          <w:rtl/>
        </w:rPr>
        <w:commentReference w:id="17"/>
      </w:r>
      <w:r>
        <w:rPr>
          <w:rFonts w:asciiTheme="majorBidi" w:hAnsiTheme="majorBidi" w:cstheme="majorBidi"/>
          <w:sz w:val="24"/>
          <w:szCs w:val="24"/>
          <w:rtl/>
        </w:rPr>
        <w:t xml:space="preserve">عدة عوامل متضافرة، في مقدمتها: الانتشار الواسع للأدوات التوليدية عالمياً منذ نهاية عام 2022م، وإطلاق منصة ناجز ورقمنة الخدمات العدلية في المملكة، واستراتيجيات التحول الرقمي المرتبطة برؤية 2030 </w:t>
      </w:r>
      <w:r>
        <w:rPr>
          <w:rFonts w:asciiTheme="majorBidi" w:hAnsiTheme="majorBidi" w:cstheme="majorBidi"/>
          <w:sz w:val="24"/>
          <w:szCs w:val="24"/>
          <w:vertAlign w:val="superscript"/>
          <w:rtl/>
        </w:rPr>
        <w:footnoteReference w:id="281"/>
      </w:r>
      <w:r>
        <w:rPr>
          <w:rFonts w:asciiTheme="majorBidi" w:hAnsiTheme="majorBidi" w:cstheme="majorBidi"/>
          <w:sz w:val="24"/>
          <w:szCs w:val="24"/>
          <w:rtl/>
        </w:rPr>
        <w:t>.</w:t>
      </w:r>
    </w:p>
    <w:p w14:paraId="0004AA4A" w14:textId="77777777" w:rsidR="005705DD" w:rsidRDefault="005705DD" w:rsidP="005705DD">
      <w:pPr>
        <w:bidi/>
        <w:spacing w:after="200" w:line="276" w:lineRule="auto"/>
        <w:rPr>
          <w:rtl/>
        </w:rPr>
      </w:pPr>
      <w:r>
        <w:rPr>
          <w:rFonts w:asciiTheme="majorBidi" w:hAnsiTheme="majorBidi" w:cstheme="majorBidi"/>
          <w:b/>
          <w:sz w:val="28"/>
          <w:szCs w:val="28"/>
          <w:rtl/>
        </w:rPr>
        <w:t>أولاً: تصنيف أدوات الذكاء الاصطناعي في البيئة القانونية السعودية</w:t>
      </w:r>
    </w:p>
    <w:p w14:paraId="4E058577" w14:textId="77777777" w:rsidR="005705DD" w:rsidRDefault="005705DD" w:rsidP="005705DD">
      <w:pPr>
        <w:bidi/>
        <w:spacing w:after="200" w:line="276" w:lineRule="auto"/>
        <w:rPr>
          <w:rtl/>
        </w:rPr>
      </w:pPr>
      <w:r>
        <w:rPr>
          <w:rFonts w:asciiTheme="majorBidi" w:hAnsiTheme="majorBidi" w:cstheme="majorBidi"/>
          <w:sz w:val="24"/>
          <w:szCs w:val="24"/>
          <w:rtl/>
        </w:rPr>
        <w:t>يمكن تصنيف الأدوات التقنية المستخدمة فعلياً في مكاتب المحاماة السعودية ضمن ثلاثة محاور رئيسية، وذلك استناداً إلى التصنيف المفاهيمي الذي أُسّس له في تمهيد هذا الفصل:</w:t>
      </w:r>
    </w:p>
    <w:p w14:paraId="44DE02FE" w14:textId="77777777" w:rsidR="005705DD" w:rsidRDefault="005705DD" w:rsidP="005705DD">
      <w:pPr>
        <w:bidi/>
        <w:spacing w:after="200" w:line="276" w:lineRule="auto"/>
        <w:rPr>
          <w:rtl/>
        </w:rPr>
      </w:pPr>
      <w:r>
        <w:rPr>
          <w:rFonts w:asciiTheme="majorBidi" w:hAnsiTheme="majorBidi" w:cstheme="majorBidi"/>
          <w:sz w:val="24"/>
          <w:szCs w:val="24"/>
          <w:rtl/>
        </w:rPr>
        <w:t>المحور الأول — أدوات الذكاء الاصطناعي التوليدي العامة (General-Purpose Generative AI): تُهيمن على هذا المحور النماذج اللغوية الكبيرة ذات الاستخدام العام التي دخلت مكاتب المحاماة السعودية بصورة واسعة دون تخصيص قانوني مسبق. ويتصدر هذه الأدوات نموذج ChatGPT الصادر عن شركة OpenAI الأمريكية، إضافة إلى Gemini من Google، وCopilot من Microsoft المدمج في تطبيقات Office 365، اللذان يتداولان في بيئات العمل السعودية نظراً لانتشار منتجات هاتين الشركتين فيها. وتُستخدم هذه الأدوات في السياق القانوني السعودي أساساً في: صياغة مسودات العقود الأولية بناءً على وصف موجز من المحامي، وتلخيص الأحكام القضائية والنصوص التشريعية الطويلة، وترجمة الوثائق القانونية بين العربية والإنجليزية، وإعداد الردود القانونية الأولية على مراسلات الجهات الحكومية.</w:t>
      </w:r>
    </w:p>
    <w:p w14:paraId="1425AD08" w14:textId="77777777" w:rsidR="005705DD" w:rsidRDefault="005705DD" w:rsidP="005705DD">
      <w:pPr>
        <w:bidi/>
        <w:spacing w:after="200" w:line="276" w:lineRule="auto"/>
        <w:rPr>
          <w:rtl/>
        </w:rPr>
      </w:pPr>
      <w:commentRangeStart w:id="18"/>
      <w:commentRangeStart w:id="19"/>
      <w:r>
        <w:rPr>
          <w:rFonts w:asciiTheme="majorBidi" w:hAnsiTheme="majorBidi" w:cstheme="majorBidi"/>
          <w:sz w:val="24"/>
          <w:szCs w:val="24"/>
          <w:rtl/>
        </w:rPr>
        <w:t>وتؤكد بعض الدراسات أن</w:t>
      </w:r>
      <w:commentRangeEnd w:id="18"/>
      <w:r>
        <w:rPr>
          <w:rStyle w:val="af0"/>
          <w:rFonts w:asciiTheme="majorBidi" w:hAnsiTheme="majorBidi" w:cstheme="majorBidi"/>
          <w:sz w:val="24"/>
          <w:szCs w:val="24"/>
          <w:rtl/>
        </w:rPr>
        <w:commentReference w:id="18"/>
      </w:r>
      <w:commentRangeEnd w:id="19"/>
      <w:r>
        <w:rPr>
          <w:rStyle w:val="af0"/>
          <w:rFonts w:asciiTheme="majorBidi" w:hAnsiTheme="majorBidi" w:cstheme="majorBidi"/>
          <w:sz w:val="24"/>
          <w:szCs w:val="24"/>
          <w:rtl/>
        </w:rPr>
        <w:commentReference w:id="19"/>
      </w:r>
      <w:r>
        <w:rPr>
          <w:rFonts w:asciiTheme="majorBidi" w:hAnsiTheme="majorBidi" w:cstheme="majorBidi"/>
          <w:sz w:val="24"/>
          <w:szCs w:val="24"/>
          <w:rtl/>
        </w:rPr>
        <w:t xml:space="preserve"> هذه الأدوات العامة تُستخدم في البيئة القانونية السعودية دون مراعاة كافية لمتطلبات نظام حماية البيانات الشخصية (1443هـ)، ولا سيما أن كثيراً منها يُرسل البيانات المُدخَلة إلى خوادم خارج حدود المملكة. كما لفتت الدراسة إلى أن المحامين السعوديين في الغالب لا يُفصحون لموكليهم عن استخدامهم لهذه الأدوات في معالجة ملفاتهم، وهو ما يُثير تساؤلات جدية حول الالتزام بواجب الإفصاح المرتبط بمبدأ حسن النية الذي يُجسّده قانون الأخلاقيات المهنية.</w:t>
      </w:r>
      <w:r>
        <w:rPr>
          <w:rFonts w:asciiTheme="majorBidi" w:hAnsiTheme="majorBidi" w:cstheme="majorBidi"/>
          <w:sz w:val="24"/>
          <w:szCs w:val="24"/>
          <w:vertAlign w:val="superscript"/>
          <w:rtl/>
        </w:rPr>
        <w:footnoteReference w:id="282"/>
      </w:r>
    </w:p>
    <w:p w14:paraId="046BCED2" w14:textId="77777777" w:rsidR="005705DD" w:rsidRDefault="005705DD" w:rsidP="005705DD">
      <w:pPr>
        <w:bidi/>
        <w:spacing w:after="200" w:line="276" w:lineRule="auto"/>
        <w:rPr>
          <w:rtl/>
        </w:rPr>
      </w:pPr>
      <w:r>
        <w:rPr>
          <w:rFonts w:asciiTheme="majorBidi" w:hAnsiTheme="majorBidi" w:cstheme="majorBidi"/>
          <w:sz w:val="24"/>
          <w:szCs w:val="24"/>
          <w:rtl/>
        </w:rPr>
        <w:t>المحور الثاني — أدوات الذكاء الاصطناعي القانوني المتخصصة (Specialized Legal AI): وهي أدوات صُمّمت أصلاً للاستخدام في البيئة القانونية، وتعتمد على نماذج مدرّبة على بيانات قانونية ضخمة. ومن أبرز هذه الأدوات في السياق العالمي والتي يتعامل معها المحامون السعوديون في الشركات الكبرى والمكاتب الدولية العاملة في المملكة: أداة Harvey AI، وهي نموذج ذكاء اصطناعي قانوني متخصص للمحاماة التجارية؛ وأداة Luminance البريطانية المتخصصة في تحليل العقود وفحص المستندات في الصفقات وعمليات الدمج والاستحواذ؛ وأداة Kira Systems الكندية للاستخراج الآلي للبنود التعاقدية، وبعض منتجات Thomson Reuters وLexisNexis المتكاملة مع وحدات ذكاء اصطناعي لتحليل السوابق القضائية.</w:t>
      </w:r>
    </w:p>
    <w:p w14:paraId="36EA09A2" w14:textId="77777777" w:rsidR="005705DD" w:rsidRDefault="005705DD" w:rsidP="005705DD">
      <w:pPr>
        <w:bidi/>
        <w:spacing w:after="200" w:line="276" w:lineRule="auto"/>
        <w:rPr>
          <w:rtl/>
        </w:rPr>
      </w:pPr>
      <w:commentRangeStart w:id="20"/>
      <w:commentRangeStart w:id="21"/>
      <w:r>
        <w:rPr>
          <w:rFonts w:asciiTheme="majorBidi" w:hAnsiTheme="majorBidi" w:cstheme="majorBidi"/>
          <w:sz w:val="24"/>
          <w:szCs w:val="24"/>
          <w:rtl/>
        </w:rPr>
        <w:t>وتشير بعض الدراسات إلى أن</w:t>
      </w:r>
      <w:commentRangeEnd w:id="20"/>
      <w:r>
        <w:rPr>
          <w:rStyle w:val="af0"/>
          <w:rFonts w:asciiTheme="majorBidi" w:hAnsiTheme="majorBidi" w:cstheme="majorBidi"/>
          <w:sz w:val="24"/>
          <w:szCs w:val="24"/>
          <w:rtl/>
        </w:rPr>
        <w:commentReference w:id="20"/>
      </w:r>
      <w:commentRangeEnd w:id="21"/>
      <w:r>
        <w:rPr>
          <w:rStyle w:val="af0"/>
          <w:rFonts w:asciiTheme="majorBidi" w:hAnsiTheme="majorBidi" w:cstheme="majorBidi"/>
          <w:sz w:val="24"/>
          <w:szCs w:val="24"/>
          <w:rtl/>
        </w:rPr>
        <w:commentReference w:id="21"/>
      </w:r>
      <w:r>
        <w:rPr>
          <w:rFonts w:asciiTheme="majorBidi" w:hAnsiTheme="majorBidi" w:cstheme="majorBidi"/>
          <w:sz w:val="24"/>
          <w:szCs w:val="24"/>
          <w:rtl/>
        </w:rPr>
        <w:t xml:space="preserve"> هذه الأدوات المتخصصة ترفع إنتاجية المحامين في المهام التكرارية — كمراجعة العقود وفحص الوثائق — بنسبة تتراوح بين 30% و60%، مستشهداً بأن منصة Luminance استُخدمت في مراجعة أكثر من 400 وثيقة خلال 24 ساعة في إحدى صفقات الدمج، مقابل ثلاثة أسابيع لو اضطلع بها محامون بشريون </w:t>
      </w:r>
      <w:r>
        <w:rPr>
          <w:rFonts w:asciiTheme="majorBidi" w:hAnsiTheme="majorBidi" w:cstheme="majorBidi"/>
          <w:sz w:val="24"/>
          <w:szCs w:val="24"/>
          <w:vertAlign w:val="superscript"/>
          <w:rtl/>
        </w:rPr>
        <w:footnoteReference w:id="283"/>
      </w:r>
      <w:r>
        <w:rPr>
          <w:rFonts w:asciiTheme="majorBidi" w:hAnsiTheme="majorBidi" w:cstheme="majorBidi"/>
          <w:sz w:val="24"/>
          <w:szCs w:val="24"/>
          <w:rtl/>
        </w:rPr>
        <w:t>. غير أن الباحث نفسه يُحذّر من أن هذه الأدوات لم تخضع لأي اعتماد نظامي في المنظومة القانونية السعودية.</w:t>
      </w:r>
    </w:p>
    <w:p w14:paraId="4B80604C"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الثالث — المنصات القانونية الرقمية المحلية ذات المكوّن الذكي: ظهرت في السوق السعودي في السنوات الأخيرة منصات رقمية قانونية تجمع بين خدمات إدارة القضايا التقليدية ووحدات ذكاء اصطناعي محدودة. وتتضمن هذه الفئة بعض الخدمات المدمجة في منصة ناجز التابعة لوزارة العدل، التي تتيح خدمات التنبؤ بالجداول الزمنية لسير القضايا وتوجيهات إجرائية آلية. ويُلاحَظ أن هذه المنصات تستخدم في الغالب </w:t>
      </w:r>
      <w:r>
        <w:rPr>
          <w:rFonts w:asciiTheme="majorBidi" w:hAnsiTheme="majorBidi" w:cstheme="majorBidi"/>
          <w:sz w:val="24"/>
          <w:szCs w:val="24"/>
          <w:rtl/>
        </w:rPr>
        <w:lastRenderedPageBreak/>
        <w:t>وحدات برمجة قاعدية (Rule-based Systems) تُعالج سيناريوهات محددة، أكثر من استخدامها لنماذج التعلم الآلي الكاملة.</w:t>
      </w:r>
    </w:p>
    <w:p w14:paraId="16FB1249" w14:textId="77777777" w:rsidR="005705DD" w:rsidRDefault="005705DD" w:rsidP="005705DD">
      <w:pPr>
        <w:bidi/>
        <w:spacing w:after="200" w:line="276" w:lineRule="auto"/>
        <w:rPr>
          <w:rtl/>
        </w:rPr>
      </w:pPr>
      <w:r>
        <w:rPr>
          <w:rFonts w:asciiTheme="majorBidi" w:hAnsiTheme="majorBidi" w:cstheme="majorBidi"/>
          <w:sz w:val="24"/>
          <w:szCs w:val="24"/>
          <w:rtl/>
        </w:rPr>
        <w:t xml:space="preserve">وقد أوضح مركز الدراسات والبحوث القانونية التابع لوزارة العدل (2024م) أن منصة ناجز استوعبت عدداً من الوظائف الإجرائية الذكية، كالتوجيه الآلي للقضايا وتحديد الاختصاص القضائي تلقائياً وإخطار المحامين بالمواعيد، مؤكداً أن أكثر من 92% من الخدمات العدلية باتت تُقدَّم إلكترونياً مما يجعل الكفاءة التقنية للمحامي ركيزة أساسية في ممارسة المهنة </w:t>
      </w:r>
      <w:r>
        <w:rPr>
          <w:rFonts w:asciiTheme="majorBidi" w:hAnsiTheme="majorBidi" w:cstheme="majorBidi"/>
          <w:sz w:val="24"/>
          <w:szCs w:val="24"/>
          <w:vertAlign w:val="superscript"/>
          <w:rtl/>
        </w:rPr>
        <w:footnoteReference w:id="284"/>
      </w:r>
      <w:r>
        <w:rPr>
          <w:rFonts w:asciiTheme="majorBidi" w:hAnsiTheme="majorBidi" w:cstheme="majorBidi"/>
          <w:sz w:val="24"/>
          <w:szCs w:val="24"/>
          <w:rtl/>
        </w:rPr>
        <w:t>.</w:t>
      </w:r>
    </w:p>
    <w:p w14:paraId="38F949B8" w14:textId="77777777" w:rsidR="005705DD" w:rsidRDefault="005705DD" w:rsidP="005705DD">
      <w:pPr>
        <w:bidi/>
        <w:spacing w:after="200" w:line="276" w:lineRule="auto"/>
        <w:rPr>
          <w:rtl/>
        </w:rPr>
      </w:pPr>
      <w:r>
        <w:rPr>
          <w:rFonts w:asciiTheme="majorBidi" w:hAnsiTheme="majorBidi" w:cstheme="majorBidi"/>
          <w:b/>
          <w:sz w:val="28"/>
          <w:szCs w:val="28"/>
          <w:rtl/>
        </w:rPr>
        <w:t>ثانياً: توزيع استخدام هذه الأدوات بحسب حجم المكاتب القانونية</w:t>
      </w:r>
    </w:p>
    <w:p w14:paraId="4E8DF175" w14:textId="77777777" w:rsidR="005705DD" w:rsidRDefault="005705DD" w:rsidP="005705DD">
      <w:pPr>
        <w:bidi/>
        <w:spacing w:after="200" w:line="276" w:lineRule="auto"/>
        <w:rPr>
          <w:rtl/>
        </w:rPr>
      </w:pPr>
      <w:r>
        <w:rPr>
          <w:rFonts w:asciiTheme="majorBidi" w:hAnsiTheme="majorBidi" w:cstheme="majorBidi"/>
          <w:sz w:val="24"/>
          <w:szCs w:val="24"/>
          <w:rtl/>
        </w:rPr>
        <w:t>لا يتوزع استخدام أدوات الذكاء الاصطناعي في مكاتب المحاماة السعودية توزيعاً متساوياً، بل يرتبط ارتباطاً وثيقاً بحجم المكتب القانوني وتخصصه وطبيعة موكليه. ويمكن رصد ثلاثة أنماط متمايزة:</w:t>
      </w:r>
    </w:p>
    <w:p w14:paraId="3674F8A3" w14:textId="77777777" w:rsidR="005705DD" w:rsidRDefault="005705DD" w:rsidP="005705DD">
      <w:pPr>
        <w:bidi/>
        <w:spacing w:after="200" w:line="276" w:lineRule="auto"/>
        <w:rPr>
          <w:rtl/>
        </w:rPr>
      </w:pPr>
      <w:r>
        <w:rPr>
          <w:rFonts w:asciiTheme="majorBidi" w:hAnsiTheme="majorBidi" w:cstheme="majorBidi"/>
          <w:sz w:val="24"/>
          <w:szCs w:val="24"/>
          <w:rtl/>
        </w:rPr>
        <w:t>النمط الأول — المكاتب الكبرى والشركات القانونية متعددة الجنسيات: تعتمد هذه المكاتب على أدوات الذكاء الاصطناعي القانوني المتخصصة، وتتكامل مع شركات التقنية الكبرى من خلال عقود اشتراك مؤسسية. وتمتلك بعض هذه المكاتب أقساماً تقنية متخصصة تتولى إدارة هذه الأدوات والإشراف على مخرجاتها. وتُفيد تقارير غير رسمية بأن بعض الشركات القانونية الكبرى العاملة في المملكة بدأت بتوظيف مختصين في "القانون والتقنية" (LegalTech Specialists) لسد الفجوة بين الكفاءة القانونية والإتقان التقني. ويتسم هذا النمط بأنه الأقل إشكالية نسبياً، لوجود رقابة مؤسسية ذاتية وبروتوكولات داخلية.</w:t>
      </w:r>
    </w:p>
    <w:p w14:paraId="4073449B" w14:textId="77777777" w:rsidR="005705DD" w:rsidRDefault="005705DD" w:rsidP="005705DD">
      <w:pPr>
        <w:bidi/>
        <w:spacing w:after="200" w:line="276" w:lineRule="auto"/>
        <w:rPr>
          <w:rtl/>
        </w:rPr>
      </w:pPr>
      <w:r>
        <w:rPr>
          <w:rFonts w:asciiTheme="majorBidi" w:hAnsiTheme="majorBidi" w:cstheme="majorBidi"/>
          <w:sz w:val="24"/>
          <w:szCs w:val="24"/>
          <w:rtl/>
        </w:rPr>
        <w:t>النمط الثاني — المكاتب المتوسطة: تعتمد في الغالب على الأدوات التوليدية العامة كـChatGPT وCopilot، مع استخدام برمجيات إدارة القضايا التقليدية. ويتسم استخدامها بالعشوائية وغياب السياسات الداخلية المنظِّمة، وتتفاوت أساليب الاستخدام بين المحامين في المكتب الواحد دون ضابط مؤسسي. وهذا النمط هو الأوسع انتشاراً عددياً في السوق القانوني السعودي، وهو الأكثر احتياجاً للتوجيه التنظيمي.</w:t>
      </w:r>
    </w:p>
    <w:p w14:paraId="211BBB69" w14:textId="77777777" w:rsidR="005705DD" w:rsidRDefault="005705DD" w:rsidP="005705DD">
      <w:pPr>
        <w:bidi/>
        <w:spacing w:after="200" w:line="276" w:lineRule="auto"/>
        <w:rPr>
          <w:rtl/>
        </w:rPr>
      </w:pPr>
      <w:r>
        <w:rPr>
          <w:rFonts w:asciiTheme="majorBidi" w:hAnsiTheme="majorBidi" w:cstheme="majorBidi"/>
          <w:sz w:val="24"/>
          <w:szCs w:val="24"/>
          <w:rtl/>
        </w:rPr>
        <w:t>النمط الثالث — المكاتب الصغيرة والمحامون الأفراد: يلجؤون أساساً إلى الأدوات المجانية أو منخفضة الكلفة، وفي مقدمتها النسخ المجانية من ChatGPT وGemini. وهذا النمط هو الأكثر إثارةً للإشكاليات القانونية والمهنية لغياب أي رقابة مؤسسية وعدم اليقين من مدى الالتزام بضوابط الخصوصية والسرية.</w:t>
      </w:r>
    </w:p>
    <w:p w14:paraId="3FF18176" w14:textId="77777777" w:rsidR="005705DD" w:rsidRDefault="005705DD" w:rsidP="005705DD">
      <w:pPr>
        <w:bidi/>
        <w:spacing w:after="200" w:line="276" w:lineRule="auto"/>
        <w:rPr>
          <w:rtl/>
        </w:rPr>
      </w:pPr>
      <w:r>
        <w:rPr>
          <w:rFonts w:asciiTheme="majorBidi" w:hAnsiTheme="majorBidi" w:cstheme="majorBidi"/>
          <w:sz w:val="24"/>
          <w:szCs w:val="24"/>
          <w:rtl/>
        </w:rPr>
        <w:t xml:space="preserve">يرى الباحث: </w:t>
      </w:r>
      <w:commentRangeStart w:id="22"/>
      <w:commentRangeStart w:id="23"/>
      <w:r>
        <w:rPr>
          <w:rFonts w:asciiTheme="majorBidi" w:hAnsiTheme="majorBidi" w:cstheme="majorBidi"/>
          <w:sz w:val="24"/>
          <w:szCs w:val="24"/>
          <w:rtl/>
        </w:rPr>
        <w:t>أن ضعف التوثيق الرسمي للاستخدام الفعلي لهذه الأدوات في البيئة السعودية يُشكّل بحد ذاته إشكاليةً تنظيميةً، إذ لا يمكن رسم سياسة تنظيمية دقيقة دون بيانات إحصائية موثوقة تكشف عن حجم الانتشار وأنماطه. ومن مهام الباحث أيضاً لفت النظر إلى أن من أولويات سدايا والهيئة السعودية للمحامين إجراء مسح ميداني شامل لتقييم حجم الاعتماد على الذكاء الاصطناعي في مكاتب المحاماة السعودية.</w:t>
      </w:r>
      <w:commentRangeEnd w:id="22"/>
      <w:r>
        <w:rPr>
          <w:rStyle w:val="af0"/>
          <w:sz w:val="22"/>
          <w:szCs w:val="22"/>
          <w:rtl/>
        </w:rPr>
        <w:commentReference w:id="22"/>
      </w:r>
      <w:commentRangeEnd w:id="23"/>
      <w:r>
        <w:rPr>
          <w:rStyle w:val="af0"/>
          <w:sz w:val="22"/>
          <w:szCs w:val="22"/>
          <w:rtl/>
        </w:rPr>
        <w:commentReference w:id="23"/>
      </w:r>
    </w:p>
    <w:p w14:paraId="2F006F4C" w14:textId="77777777" w:rsidR="005705DD" w:rsidRDefault="005705DD" w:rsidP="005705DD">
      <w:pPr>
        <w:bidi/>
        <w:spacing w:after="200" w:line="276" w:lineRule="auto"/>
        <w:rPr>
          <w:rtl/>
        </w:rPr>
      </w:pPr>
      <w:r>
        <w:rPr>
          <w:rFonts w:asciiTheme="majorBidi" w:hAnsiTheme="majorBidi" w:cstheme="majorBidi"/>
          <w:b/>
          <w:sz w:val="28"/>
          <w:szCs w:val="28"/>
          <w:rtl/>
        </w:rPr>
        <w:t>ثالثاً: الفارق الجوهري بين الذكاء الاصطناعي القانوني والبرمجيات القانونية</w:t>
      </w:r>
    </w:p>
    <w:p w14:paraId="3EBA91DF" w14:textId="77777777" w:rsidR="005705DD" w:rsidRDefault="005705DD" w:rsidP="005705DD">
      <w:pPr>
        <w:bidi/>
        <w:spacing w:after="200" w:line="276" w:lineRule="auto"/>
        <w:rPr>
          <w:rtl/>
        </w:rPr>
      </w:pPr>
      <w:r>
        <w:rPr>
          <w:rFonts w:asciiTheme="majorBidi" w:hAnsiTheme="majorBidi" w:cstheme="majorBidi"/>
          <w:sz w:val="24"/>
          <w:szCs w:val="24"/>
          <w:rtl/>
        </w:rPr>
        <w:t>يتعامل بعض الكتّاب مع كل برنامج يستخدمه المحامي في عمله باعتباره "ذكاء اصطناعياً"، وهو تعميم أفضى إلى أخطاء تحليلية متعددة في الأدبيات القانونية. وللتمييز الدقيق بين هذين الصنفين في سياقهما التطبيقي، يمكن القول إن البرمجيات القانونية التقليدية (Legal Software) هي أدوات برمجية تقوم على تنفيذ قواعد ثابتة ومحددة مسبقاً دون قدرة على التعلم الذاتي أو الاستنتاج خارج نطاق ما بُرمجت عليه. ومن أمثلتها في البيئة القانونية السعودية: أنظمة إدارة القضايا كـClio وMyCase، وبرامج الفوترة القانونية، وأنظمة إدارة الوثائق كـiManage، وبرامج أتمتة النماذج القانونية القياسية. كل هذه الأدوات، وإن كانت تُسهم في رفع كفاءة العمل، إلا أنها لا تُوصَف تقنياً بأنها "ذكاء اصطناعي" بمعناه الدقيق.</w:t>
      </w:r>
    </w:p>
    <w:p w14:paraId="167AFAFF"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أما الذكاء الاصطناعي القانوني (Legal AI) فيعتمد على نماذج تعلم آلي أو معالجة لغة طبيعية أو ذكاء اصطناعي توليدي، مما يمنحه قدرة على استيعاب مدخلات غير متوقعة، واستنتاج أنماط من بيانات ضخمة، وتوليد نصوص أو تقييمات لم تُبرمَج صراحةً. والفارق هنا ليس مجرد فارق تقني، بل له تبعات قانونية متمايزة من حيث المسؤولية والمساءلة؛ فالمحامي الذي يُدخل بيانات موكله في نموذج لغوي كبير يتعرض لمخاطر مغايرة تماماً لتلك التي تنجم عن استخدامه لبرنامج إدارة قضايا محلي لا يتواصل مع شبكة خارجية.</w:t>
      </w:r>
    </w:p>
    <w:p w14:paraId="06FBBA18" w14:textId="77777777" w:rsidR="005705DD" w:rsidRDefault="005705DD" w:rsidP="005705DD">
      <w:pPr>
        <w:bidi/>
        <w:spacing w:after="200" w:line="276" w:lineRule="auto"/>
        <w:rPr>
          <w:rtl/>
        </w:rPr>
      </w:pPr>
      <w:r>
        <w:rPr>
          <w:rFonts w:asciiTheme="majorBidi" w:hAnsiTheme="majorBidi" w:cstheme="majorBidi"/>
          <w:sz w:val="24"/>
          <w:szCs w:val="24"/>
          <w:rtl/>
        </w:rPr>
        <w:t>وفيما يخص هذا التمييز، يلاحظ جانب من الفقه أن</w:t>
      </w:r>
      <w:commentRangeStart w:id="24"/>
      <w:commentRangeStart w:id="25"/>
      <w:commentRangeEnd w:id="24"/>
      <w:r>
        <w:rPr>
          <w:rStyle w:val="af0"/>
          <w:rFonts w:asciiTheme="majorBidi" w:hAnsiTheme="majorBidi" w:cstheme="majorBidi"/>
          <w:sz w:val="24"/>
          <w:szCs w:val="24"/>
          <w:rtl/>
        </w:rPr>
        <w:commentReference w:id="24"/>
      </w:r>
      <w:commentRangeEnd w:id="25"/>
      <w:r>
        <w:rPr>
          <w:rStyle w:val="af0"/>
          <w:rFonts w:asciiTheme="majorBidi" w:hAnsiTheme="majorBidi" w:cstheme="majorBidi"/>
          <w:sz w:val="24"/>
          <w:szCs w:val="24"/>
          <w:rtl/>
        </w:rPr>
        <w:commentReference w:id="25"/>
      </w:r>
      <w:r>
        <w:rPr>
          <w:rFonts w:asciiTheme="majorBidi" w:hAnsiTheme="majorBidi" w:cstheme="majorBidi"/>
          <w:sz w:val="24"/>
          <w:szCs w:val="24"/>
          <w:rtl/>
        </w:rPr>
        <w:t xml:space="preserve"> الخلط بين الصنفين يُفضي إلى إما إفراط في التنظيم للبرمجيات البسيطة غير الخطِرة، أو تساهل في التنظيم تجاه الأنظمة الذكية ذات المخاطر الحقيقية </w:t>
      </w:r>
      <w:r>
        <w:rPr>
          <w:rFonts w:asciiTheme="majorBidi" w:hAnsiTheme="majorBidi" w:cstheme="majorBidi"/>
          <w:sz w:val="24"/>
          <w:szCs w:val="24"/>
          <w:vertAlign w:val="superscript"/>
          <w:rtl/>
        </w:rPr>
        <w:footnoteReference w:id="285"/>
      </w:r>
      <w:r>
        <w:rPr>
          <w:rFonts w:asciiTheme="majorBidi" w:hAnsiTheme="majorBidi" w:cstheme="majorBidi"/>
          <w:sz w:val="24"/>
          <w:szCs w:val="24"/>
          <w:rtl/>
        </w:rPr>
        <w:t>. ويرى الباحث أن الحل الأمثل هو أن يتبنّى المشرّع السعودي تعريفاً تشريعياً يُميّز بوضوح بين الأنظمة التي تعتمد على التعلم الذاتي والنماذج الاحتمالية من جهة، والبرمجيات القائمة على قواعد ثابتة ذات الدور المساعد من جهة أخرى</w:t>
      </w:r>
      <w:commentRangeStart w:id="26"/>
      <w:commentRangeStart w:id="27"/>
      <w:commentRangeEnd w:id="26"/>
      <w:r>
        <w:rPr>
          <w:rStyle w:val="af0"/>
          <w:rFonts w:asciiTheme="majorBidi" w:hAnsiTheme="majorBidi" w:cstheme="majorBidi"/>
          <w:sz w:val="24"/>
          <w:szCs w:val="24"/>
          <w:rtl/>
        </w:rPr>
        <w:commentReference w:id="26"/>
      </w:r>
      <w:commentRangeEnd w:id="27"/>
      <w:r>
        <w:rPr>
          <w:rStyle w:val="af0"/>
          <w:rFonts w:asciiTheme="majorBidi" w:hAnsiTheme="majorBidi" w:cstheme="majorBidi"/>
          <w:sz w:val="24"/>
          <w:szCs w:val="24"/>
          <w:rtl/>
        </w:rPr>
        <w:commentReference w:id="27"/>
      </w:r>
      <w:r>
        <w:rPr>
          <w:rFonts w:asciiTheme="majorBidi" w:hAnsiTheme="majorBidi" w:cstheme="majorBidi"/>
          <w:sz w:val="24"/>
          <w:szCs w:val="24"/>
          <w:rtl/>
        </w:rPr>
        <w:t>، تمهيداً لتطبيق متطلبات تنظيمية متباينة على كل فئة بحسب درجة مخاطرها.</w:t>
      </w:r>
    </w:p>
    <w:p w14:paraId="021ED9B4" w14:textId="77777777" w:rsidR="005705DD" w:rsidRDefault="005705DD" w:rsidP="005705DD"/>
    <w:p w14:paraId="74927D98" w14:textId="77777777" w:rsidR="005705DD" w:rsidRDefault="005705DD" w:rsidP="005705DD">
      <w:pPr>
        <w:bidi/>
        <w:spacing w:after="200" w:line="276" w:lineRule="auto"/>
        <w:rPr>
          <w:rtl/>
        </w:rPr>
      </w:pPr>
      <w:r>
        <w:rPr>
          <w:rFonts w:asciiTheme="majorBidi" w:hAnsiTheme="majorBidi" w:cstheme="majorBidi"/>
          <w:b/>
          <w:sz w:val="28"/>
          <w:szCs w:val="28"/>
          <w:rtl/>
        </w:rPr>
        <w:t>رابعاً: أبرز أدوات الذكاء الاصطناعي الغربية المتداولة في السوق القانوني السعودي</w:t>
      </w:r>
    </w:p>
    <w:p w14:paraId="32E91AB2" w14:textId="77777777" w:rsidR="005705DD" w:rsidRDefault="005705DD" w:rsidP="005705DD">
      <w:pPr>
        <w:bidi/>
        <w:spacing w:after="200" w:line="276" w:lineRule="auto"/>
        <w:rPr>
          <w:rtl/>
        </w:rPr>
      </w:pPr>
      <w:r>
        <w:rPr>
          <w:rFonts w:asciiTheme="majorBidi" w:hAnsiTheme="majorBidi" w:cstheme="majorBidi"/>
          <w:sz w:val="24"/>
          <w:szCs w:val="24"/>
          <w:rtl/>
        </w:rPr>
        <w:t>شهد السوق القانوني السعودي انتشاراً واسعاً لعدد من نماذج الذكاء الاصطناعي التوليدية التي باتت حاضرةً في بيئة عمل مكاتب المحاماة. وفي مقدمة هذه الأدوات نموذج ChatGPT الصادر عن شركة OpenAI، الذي يُستخدم في صياغة المراسلات القانونية وتلخيص الوثائق والإجابة على الاستفسارات الأولية للعملاء.</w:t>
      </w:r>
      <w:r>
        <w:rPr>
          <w:rFonts w:asciiTheme="majorBidi" w:hAnsiTheme="majorBidi" w:cstheme="majorBidi"/>
          <w:sz w:val="16"/>
          <w:szCs w:val="16"/>
          <w:vertAlign w:val="superscript"/>
          <w:rtl/>
        </w:rPr>
        <w:t>(1)</w:t>
      </w:r>
    </w:p>
    <w:p w14:paraId="33B1ED6A" w14:textId="77777777" w:rsidR="005705DD" w:rsidRDefault="005705DD" w:rsidP="005705DD">
      <w:pPr>
        <w:bidi/>
        <w:spacing w:after="200" w:line="276" w:lineRule="auto"/>
        <w:rPr>
          <w:rtl/>
        </w:rPr>
      </w:pPr>
      <w:r>
        <w:rPr>
          <w:rFonts w:asciiTheme="majorBidi" w:hAnsiTheme="majorBidi" w:cstheme="majorBidi"/>
          <w:sz w:val="24"/>
          <w:szCs w:val="24"/>
          <w:rtl/>
        </w:rPr>
        <w:t>ويُنافسه نموذج Claude الصادر عن شركة Anthropic، والذي يتميز بقدرته على معالجة المستندات البالغة مئتي ألف وحدة نصية، وتحليل العقود بدقة أعلى، مما جعله خياراً مفضلاً لدى عدد من المكاتب القانونية المتخصصة في مراجعة العقود الضخمة ضمن مشاريع التحكيم التجاري والمعاملات العقارية الكبرى.</w:t>
      </w:r>
      <w:r>
        <w:rPr>
          <w:rFonts w:asciiTheme="majorBidi" w:hAnsiTheme="majorBidi" w:cstheme="majorBidi"/>
          <w:sz w:val="16"/>
          <w:szCs w:val="16"/>
          <w:vertAlign w:val="superscript"/>
          <w:rtl/>
        </w:rPr>
        <w:t>(2)</w:t>
      </w:r>
    </w:p>
    <w:p w14:paraId="4BEDD1AD" w14:textId="77777777" w:rsidR="005705DD" w:rsidRDefault="005705DD" w:rsidP="005705DD">
      <w:pPr>
        <w:bidi/>
        <w:spacing w:after="200" w:line="276" w:lineRule="auto"/>
        <w:rPr>
          <w:rtl/>
        </w:rPr>
      </w:pPr>
      <w:r>
        <w:rPr>
          <w:rFonts w:asciiTheme="majorBidi" w:hAnsiTheme="majorBidi" w:cstheme="majorBidi"/>
          <w:sz w:val="24"/>
          <w:szCs w:val="24"/>
          <w:rtl/>
        </w:rPr>
        <w:t>أما نموذج Gemini الصادر عن Google فيتيح التكامل المباشر مع منظومة أدوات العمل المكتبي (Google Workspace)، مما يُيسّر توثيق الإجراءات وإعداد التقارير. كما تبرز أدوات متخصصة كـCopilot من Microsoft المدمج في حزمة Microsoft 365، وأدوات قانونية موجّهة كـHarvey AI وClio Duo التي صُمّمت أصلاً للبيئة القانونية الناطقة بالإنجليزية.</w:t>
      </w:r>
      <w:r>
        <w:rPr>
          <w:rFonts w:asciiTheme="majorBidi" w:hAnsiTheme="majorBidi" w:cstheme="majorBidi"/>
          <w:sz w:val="16"/>
          <w:szCs w:val="16"/>
          <w:vertAlign w:val="superscript"/>
          <w:rtl/>
        </w:rPr>
        <w:t>(3)</w:t>
      </w:r>
    </w:p>
    <w:p w14:paraId="7D91AF56" w14:textId="77777777" w:rsidR="005705DD" w:rsidRDefault="005705DD" w:rsidP="005705DD">
      <w:pPr>
        <w:bidi/>
        <w:rPr>
          <w:rtl/>
        </w:rPr>
      </w:pPr>
    </w:p>
    <w:p w14:paraId="5900801C" w14:textId="77777777" w:rsidR="005705DD" w:rsidRDefault="005705DD" w:rsidP="005705DD">
      <w:pPr>
        <w:bidi/>
        <w:rPr>
          <w:rtl/>
        </w:rPr>
      </w:pPr>
    </w:p>
    <w:p w14:paraId="033F9468" w14:textId="77777777" w:rsidR="005705DD" w:rsidRDefault="005705DD" w:rsidP="005705DD">
      <w:pPr>
        <w:bidi/>
        <w:spacing w:after="200" w:line="276" w:lineRule="auto"/>
        <w:rPr>
          <w:rtl/>
        </w:rPr>
      </w:pPr>
      <w:r>
        <w:rPr>
          <w:rFonts w:asciiTheme="majorBidi" w:hAnsiTheme="majorBidi" w:cstheme="majorBidi"/>
          <w:b/>
          <w:sz w:val="28"/>
          <w:szCs w:val="28"/>
          <w:rtl/>
        </w:rPr>
        <w:t>خامساً: أبرز أدوات الذكاء الاصطناعي العربية والسعودية الناشئة</w:t>
      </w:r>
    </w:p>
    <w:p w14:paraId="392D1247" w14:textId="77777777" w:rsidR="005705DD" w:rsidRDefault="005705DD" w:rsidP="005705DD">
      <w:pPr>
        <w:bidi/>
        <w:spacing w:after="200" w:line="276" w:lineRule="auto"/>
        <w:rPr>
          <w:rtl/>
        </w:rPr>
      </w:pPr>
      <w:r>
        <w:rPr>
          <w:rFonts w:asciiTheme="majorBidi" w:hAnsiTheme="majorBidi" w:cstheme="majorBidi"/>
          <w:sz w:val="24"/>
          <w:szCs w:val="24"/>
          <w:rtl/>
        </w:rPr>
        <w:t xml:space="preserve">في سياق التحولات الرقمية الإقليمية، برزت مبادرات عربية وسعودية لتطوير نماذج ذكاء اصطناعي تُعالج القصور اللغوي والتشريعي في النماذج الغربية. فعلى صعيد النماذج العربية المتخصصة، طُوِّر في دولة الإمارات نموذج جيس (Jais) عام 2023م، المدرَّب على مليارات الكلمات العربية الفصيحة والعامية، مع قدرة على فهم السياقات القانونية والاقتصادية العربية بصورة أعمق </w:t>
      </w:r>
      <w:commentRangeStart w:id="28"/>
      <w:commentRangeStart w:id="29"/>
      <w:r>
        <w:rPr>
          <w:rFonts w:asciiTheme="majorBidi" w:hAnsiTheme="majorBidi" w:cstheme="majorBidi"/>
          <w:sz w:val="24"/>
          <w:szCs w:val="24"/>
          <w:rtl/>
        </w:rPr>
        <w:t>من النماذج الغربية.</w:t>
      </w:r>
      <w:r>
        <w:rPr>
          <w:rFonts w:asciiTheme="majorBidi" w:hAnsiTheme="majorBidi" w:cstheme="majorBidi"/>
          <w:sz w:val="16"/>
          <w:szCs w:val="16"/>
          <w:vertAlign w:val="superscript"/>
          <w:rtl/>
        </w:rPr>
        <w:t>(4)</w:t>
      </w:r>
      <w:commentRangeEnd w:id="28"/>
      <w:r>
        <w:rPr>
          <w:rStyle w:val="af0"/>
          <w:sz w:val="22"/>
          <w:szCs w:val="22"/>
          <w:rtl/>
        </w:rPr>
        <w:commentReference w:id="28"/>
      </w:r>
      <w:commentRangeEnd w:id="29"/>
      <w:r>
        <w:rPr>
          <w:rStyle w:val="af0"/>
          <w:sz w:val="22"/>
          <w:szCs w:val="22"/>
          <w:rtl/>
        </w:rPr>
        <w:commentReference w:id="29"/>
      </w:r>
    </w:p>
    <w:p w14:paraId="112305FD" w14:textId="77777777" w:rsidR="005705DD" w:rsidRDefault="005705DD" w:rsidP="005705DD">
      <w:pPr>
        <w:bidi/>
        <w:spacing w:after="200" w:line="276" w:lineRule="auto"/>
        <w:rPr>
          <w:rtl/>
        </w:rPr>
      </w:pPr>
      <w:r>
        <w:rPr>
          <w:rFonts w:asciiTheme="majorBidi" w:hAnsiTheme="majorBidi" w:cstheme="majorBidi"/>
          <w:sz w:val="24"/>
          <w:szCs w:val="24"/>
          <w:rtl/>
        </w:rPr>
        <w:t>وعلى الصعيد السعودي تحديداً، طوّرت الهيئة السعودية للبيانات والذكاء الاصطناعي (سدايا) النموذج اللغوي العربي علاّم (ALLaM)، المتاح عبر منصات حوسبة عالمية، والمدرَّب على نصوص عربية متنوعة تشمل مصادر أكاديمية وقانونية وإسلامية. ويحمل هذا النموذج إمكانات واعدة لتطبيقات القطاع القانوني السعودي في إطار التحول الرقمي لوزارة العدل وبرامج تطوير القطاع القانوني الوطني.</w:t>
      </w:r>
      <w:r>
        <w:rPr>
          <w:rFonts w:asciiTheme="majorBidi" w:hAnsiTheme="majorBidi" w:cstheme="majorBidi"/>
          <w:sz w:val="16"/>
          <w:szCs w:val="16"/>
          <w:vertAlign w:val="superscript"/>
          <w:rtl/>
        </w:rPr>
        <w:t>(5)</w:t>
      </w:r>
    </w:p>
    <w:p w14:paraId="07A97D60" w14:textId="77777777" w:rsidR="005705DD" w:rsidRDefault="005705DD" w:rsidP="005705DD">
      <w:pPr>
        <w:bidi/>
        <w:spacing w:after="200" w:line="276" w:lineRule="auto"/>
        <w:rPr>
          <w:rtl/>
        </w:rPr>
      </w:pPr>
      <w:r>
        <w:rPr>
          <w:rFonts w:asciiTheme="majorBidi" w:hAnsiTheme="majorBidi" w:cstheme="majorBidi"/>
          <w:sz w:val="24"/>
          <w:szCs w:val="24"/>
          <w:rtl/>
        </w:rPr>
        <w:lastRenderedPageBreak/>
        <w:t>فضلاً عن ذلك، ظهر نموذج AceGPT الذي شاركت في تطويره جامعة الملك عبدالله للعلوم والتقنية (كاوست) مع جهات بحثية، المركِّز</w:t>
      </w:r>
      <w:commentRangeStart w:id="30"/>
      <w:commentRangeStart w:id="31"/>
      <w:r>
        <w:rPr>
          <w:rFonts w:asciiTheme="majorBidi" w:hAnsiTheme="majorBidi" w:cstheme="majorBidi"/>
          <w:sz w:val="24"/>
          <w:szCs w:val="24"/>
          <w:rtl/>
        </w:rPr>
        <w:t xml:space="preserve"> على الفهم الثقافي والديني والقانوني الإسلامي العربي. وعلى الصعيد المنصّاتي المحلي</w:t>
      </w:r>
      <w:commentRangeEnd w:id="30"/>
      <w:r>
        <w:rPr>
          <w:rStyle w:val="af0"/>
          <w:rFonts w:asciiTheme="majorBidi" w:hAnsiTheme="majorBidi" w:cstheme="majorBidi"/>
          <w:sz w:val="24"/>
          <w:szCs w:val="24"/>
          <w:rtl/>
        </w:rPr>
        <w:commentReference w:id="30"/>
      </w:r>
      <w:commentRangeEnd w:id="31"/>
      <w:r>
        <w:rPr>
          <w:rStyle w:val="af0"/>
          <w:rFonts w:asciiTheme="majorBidi" w:hAnsiTheme="majorBidi" w:cstheme="majorBidi"/>
          <w:sz w:val="24"/>
          <w:szCs w:val="24"/>
          <w:rtl/>
        </w:rPr>
        <w:commentReference w:id="31"/>
      </w:r>
      <w:r>
        <w:rPr>
          <w:rFonts w:asciiTheme="majorBidi" w:hAnsiTheme="majorBidi" w:cstheme="majorBidi"/>
          <w:sz w:val="24"/>
          <w:szCs w:val="24"/>
          <w:rtl/>
        </w:rPr>
        <w:t>، تبرز منصة "منظومة" السعودية للمعلومات القانونية التي تدمج تقنيات الذكاء الاصطناعي في البحث التشريعي، ومشاريع وزارة العدل السعودية لتوظيف الذكاء الاصطناعي في تسريع الفصل في القضايا وتحليل الأحكام القضائية.</w:t>
      </w:r>
      <w:r>
        <w:rPr>
          <w:rFonts w:asciiTheme="majorBidi" w:hAnsiTheme="majorBidi" w:cstheme="majorBidi"/>
          <w:sz w:val="16"/>
          <w:szCs w:val="16"/>
          <w:vertAlign w:val="superscript"/>
          <w:rtl/>
        </w:rPr>
        <w:t>(6)</w:t>
      </w:r>
    </w:p>
    <w:p w14:paraId="0C3B83C6" w14:textId="77777777" w:rsidR="005705DD" w:rsidRDefault="005705DD" w:rsidP="005705DD">
      <w:pPr>
        <w:bidi/>
        <w:spacing w:after="200" w:line="276" w:lineRule="auto"/>
        <w:rPr>
          <w:rtl/>
        </w:rPr>
      </w:pPr>
      <w:r>
        <w:rPr>
          <w:rFonts w:asciiTheme="majorBidi" w:hAnsiTheme="majorBidi" w:cstheme="majorBidi"/>
          <w:sz w:val="24"/>
          <w:szCs w:val="24"/>
          <w:rtl/>
        </w:rPr>
        <w:t>وتُشير التقارير إلى أن المحامين السعوديين يواجهون في تعاملهم مع هذه الأدوات جملةً من التحديات؛ إذ تفتقر معظم النماذج الغربية إلى التدريب الكافي على مصادر القانون السعودي ومنظومته التشريعية المتمثلة في نظام المرافعات الشرعية والأنظمة الاقتصادية الصادرة في إطار رؤية 2030. كما يتسم استخدامها بالطابع الفردي غير المنهجي، وهو ما يستدعي بناء أطر تنظيمية وطنية واضحة.</w:t>
      </w:r>
      <w:r>
        <w:rPr>
          <w:rFonts w:asciiTheme="majorBidi" w:hAnsiTheme="majorBidi" w:cstheme="majorBidi"/>
          <w:sz w:val="16"/>
          <w:szCs w:val="16"/>
          <w:vertAlign w:val="superscript"/>
          <w:rtl/>
        </w:rPr>
        <w:t>(7)</w:t>
      </w:r>
    </w:p>
    <w:p w14:paraId="623B09BC" w14:textId="77777777" w:rsidR="005705DD" w:rsidRDefault="005705DD" w:rsidP="005705DD">
      <w:pPr>
        <w:bidi/>
        <w:rPr>
          <w:rtl/>
        </w:rPr>
      </w:pPr>
    </w:p>
    <w:p w14:paraId="0DF16417" w14:textId="77777777" w:rsidR="005705DD" w:rsidRDefault="005705DD" w:rsidP="005705DD">
      <w:pPr>
        <w:bidi/>
        <w:spacing w:after="200" w:line="276" w:lineRule="auto"/>
        <w:rPr>
          <w:rtl/>
        </w:rPr>
      </w:pPr>
      <w:r>
        <w:rPr>
          <w:rFonts w:asciiTheme="majorBidi" w:hAnsiTheme="majorBidi" w:cstheme="majorBidi"/>
          <w:b/>
          <w:sz w:val="28"/>
          <w:szCs w:val="28"/>
          <w:rtl/>
        </w:rPr>
        <w:t xml:space="preserve">سادساً: جدول مقارنة بين أبرز أدوات الذكاء الاصطناعي في السياق القانوني </w:t>
      </w:r>
    </w:p>
    <w:tbl>
      <w:tblPr>
        <w:bidiVisual/>
        <w:tblW w:w="8400" w:type="dxa"/>
        <w:jc w:val="center"/>
        <w:tblLook w:val="04A0" w:firstRow="1" w:lastRow="0" w:firstColumn="1" w:lastColumn="0" w:noHBand="0" w:noVBand="1"/>
      </w:tblPr>
      <w:tblGrid>
        <w:gridCol w:w="1600"/>
        <w:gridCol w:w="1400"/>
        <w:gridCol w:w="900"/>
        <w:gridCol w:w="1400"/>
        <w:gridCol w:w="1700"/>
        <w:gridCol w:w="1400"/>
      </w:tblGrid>
      <w:tr w:rsidR="005705DD" w14:paraId="36373F9D" w14:textId="77777777" w:rsidTr="00DE7F8F">
        <w:trPr>
          <w:tblHeader/>
          <w:jc w:val="center"/>
        </w:trPr>
        <w:tc>
          <w:tcPr>
            <w:tcW w:w="16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00998453" w14:textId="77777777" w:rsidR="005705DD" w:rsidRDefault="005705DD" w:rsidP="00DE7F8F">
            <w:pPr>
              <w:bidi/>
              <w:rPr>
                <w:rtl/>
              </w:rPr>
            </w:pPr>
            <w:r>
              <w:rPr>
                <w:rFonts w:asciiTheme="majorBidi" w:hAnsiTheme="majorBidi" w:cstheme="majorBidi"/>
                <w:b/>
                <w:color w:val="FFFFFF"/>
                <w:sz w:val="20"/>
                <w:szCs w:val="20"/>
                <w:rtl/>
              </w:rPr>
              <w:t>الأداة</w:t>
            </w:r>
          </w:p>
        </w:tc>
        <w:tc>
          <w:tcPr>
            <w:tcW w:w="14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1C761FF3" w14:textId="77777777" w:rsidR="005705DD" w:rsidRDefault="005705DD" w:rsidP="00DE7F8F">
            <w:pPr>
              <w:bidi/>
              <w:rPr>
                <w:rtl/>
              </w:rPr>
            </w:pPr>
            <w:r>
              <w:rPr>
                <w:rFonts w:asciiTheme="majorBidi" w:hAnsiTheme="majorBidi" w:cstheme="majorBidi"/>
                <w:b/>
                <w:color w:val="FFFFFF"/>
                <w:sz w:val="20"/>
                <w:szCs w:val="20"/>
                <w:rtl/>
              </w:rPr>
              <w:t>المطوِّر</w:t>
            </w:r>
          </w:p>
        </w:tc>
        <w:tc>
          <w:tcPr>
            <w:tcW w:w="9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7AB45ECE" w14:textId="77777777" w:rsidR="005705DD" w:rsidRDefault="005705DD" w:rsidP="00DE7F8F">
            <w:pPr>
              <w:bidi/>
              <w:rPr>
                <w:rtl/>
              </w:rPr>
            </w:pPr>
            <w:r>
              <w:rPr>
                <w:rFonts w:asciiTheme="majorBidi" w:hAnsiTheme="majorBidi" w:cstheme="majorBidi"/>
                <w:b/>
                <w:color w:val="FFFFFF"/>
                <w:sz w:val="20"/>
                <w:szCs w:val="20"/>
                <w:rtl/>
              </w:rPr>
              <w:t>دعم العربية</w:t>
            </w:r>
          </w:p>
        </w:tc>
        <w:tc>
          <w:tcPr>
            <w:tcW w:w="14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74A5ECA5" w14:textId="77777777" w:rsidR="005705DD" w:rsidRDefault="005705DD" w:rsidP="00DE7F8F">
            <w:pPr>
              <w:bidi/>
              <w:rPr>
                <w:rtl/>
              </w:rPr>
            </w:pPr>
            <w:r>
              <w:rPr>
                <w:rFonts w:asciiTheme="majorBidi" w:hAnsiTheme="majorBidi" w:cstheme="majorBidi"/>
                <w:b/>
                <w:color w:val="FFFFFF"/>
                <w:sz w:val="20"/>
                <w:szCs w:val="20"/>
                <w:rtl/>
              </w:rPr>
              <w:t>التخصص القانوني</w:t>
            </w:r>
          </w:p>
        </w:tc>
        <w:tc>
          <w:tcPr>
            <w:tcW w:w="17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1C747C71" w14:textId="77777777" w:rsidR="005705DD" w:rsidRDefault="005705DD" w:rsidP="00DE7F8F">
            <w:pPr>
              <w:bidi/>
              <w:rPr>
                <w:rtl/>
              </w:rPr>
            </w:pPr>
            <w:r>
              <w:rPr>
                <w:rFonts w:asciiTheme="majorBidi" w:hAnsiTheme="majorBidi" w:cstheme="majorBidi"/>
                <w:b/>
                <w:color w:val="FFFFFF"/>
                <w:sz w:val="20"/>
                <w:szCs w:val="20"/>
                <w:rtl/>
              </w:rPr>
              <w:t>معالجة المستندات الطويلة</w:t>
            </w:r>
          </w:p>
        </w:tc>
        <w:tc>
          <w:tcPr>
            <w:tcW w:w="1400" w:type="dxa"/>
            <w:tcBorders>
              <w:top w:val="single" w:sz="6" w:space="0" w:color="2C4770"/>
              <w:left w:val="single" w:sz="6" w:space="0" w:color="2C4770"/>
              <w:bottom w:val="single" w:sz="6" w:space="0" w:color="2C4770"/>
              <w:right w:val="single" w:sz="6" w:space="0" w:color="2C4770"/>
            </w:tcBorders>
            <w:shd w:val="clear" w:color="auto" w:fill="2C4770"/>
            <w:tcMar>
              <w:top w:w="80" w:type="dxa"/>
              <w:left w:w="80" w:type="dxa"/>
              <w:bottom w:w="80" w:type="dxa"/>
              <w:right w:w="80" w:type="dxa"/>
            </w:tcMar>
            <w:vAlign w:val="center"/>
          </w:tcPr>
          <w:p w14:paraId="3BD6B053" w14:textId="77777777" w:rsidR="005705DD" w:rsidRDefault="005705DD" w:rsidP="00DE7F8F">
            <w:pPr>
              <w:bidi/>
              <w:rPr>
                <w:rtl/>
              </w:rPr>
            </w:pPr>
            <w:r>
              <w:rPr>
                <w:rFonts w:asciiTheme="majorBidi" w:hAnsiTheme="majorBidi" w:cstheme="majorBidi"/>
                <w:b/>
                <w:color w:val="FFFFFF"/>
                <w:sz w:val="20"/>
                <w:szCs w:val="20"/>
                <w:rtl/>
              </w:rPr>
              <w:t>الأنسب لـ</w:t>
            </w:r>
          </w:p>
        </w:tc>
      </w:tr>
      <w:tr w:rsidR="005705DD" w14:paraId="7A90E97F"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00902D40" w14:textId="77777777" w:rsidR="005705DD" w:rsidRDefault="005705DD" w:rsidP="00DE7F8F">
            <w:pPr>
              <w:bidi/>
              <w:rPr>
                <w:rtl/>
              </w:rPr>
            </w:pPr>
            <w:r>
              <w:rPr>
                <w:rFonts w:asciiTheme="majorBidi" w:hAnsiTheme="majorBidi" w:cstheme="majorBidi"/>
                <w:sz w:val="18"/>
                <w:szCs w:val="18"/>
                <w:rtl/>
              </w:rPr>
              <w:t>ChatGPT</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3624A11B" w14:textId="77777777" w:rsidR="005705DD" w:rsidRDefault="005705DD" w:rsidP="00DE7F8F">
            <w:pPr>
              <w:bidi/>
              <w:rPr>
                <w:rtl/>
              </w:rPr>
            </w:pPr>
            <w:r>
              <w:rPr>
                <w:rFonts w:asciiTheme="majorBidi" w:hAnsiTheme="majorBidi" w:cstheme="majorBidi"/>
                <w:sz w:val="18"/>
                <w:szCs w:val="18"/>
                <w:rtl/>
              </w:rPr>
              <w:t>OpenAI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6454CC5" w14:textId="77777777" w:rsidR="005705DD" w:rsidRDefault="005705DD" w:rsidP="00DE7F8F">
            <w:pPr>
              <w:bidi/>
              <w:rPr>
                <w:rtl/>
              </w:rPr>
            </w:pPr>
            <w:r>
              <w:rPr>
                <w:rFonts w:asciiTheme="majorBidi" w:hAnsiTheme="majorBidi" w:cstheme="majorBidi"/>
                <w:sz w:val="18"/>
                <w:szCs w:val="18"/>
                <w:rtl/>
              </w:rPr>
              <w:t>متوسط</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B9EFD35" w14:textId="77777777" w:rsidR="005705DD" w:rsidRDefault="005705DD" w:rsidP="00DE7F8F">
            <w:pPr>
              <w:bidi/>
              <w:rPr>
                <w:rtl/>
              </w:rPr>
            </w:pPr>
            <w:r>
              <w:rPr>
                <w:rFonts w:asciiTheme="majorBidi" w:hAnsiTheme="majorBidi" w:cstheme="majorBidi"/>
                <w:sz w:val="18"/>
                <w:szCs w:val="18"/>
                <w:rtl/>
              </w:rPr>
              <w:t>عام</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D64935A" w14:textId="77777777" w:rsidR="005705DD" w:rsidRDefault="005705DD" w:rsidP="00DE7F8F">
            <w:pPr>
              <w:bidi/>
              <w:rPr>
                <w:rtl/>
              </w:rPr>
            </w:pPr>
            <w:r>
              <w:rPr>
                <w:rFonts w:asciiTheme="majorBidi" w:hAnsiTheme="majorBidi" w:cstheme="majorBidi"/>
                <w:sz w:val="18"/>
                <w:szCs w:val="18"/>
                <w:rtl/>
              </w:rPr>
              <w:t>محدودة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5675A6E8" w14:textId="77777777" w:rsidR="005705DD" w:rsidRDefault="005705DD" w:rsidP="00DE7F8F">
            <w:pPr>
              <w:bidi/>
              <w:rPr>
                <w:rtl/>
              </w:rPr>
            </w:pPr>
            <w:r>
              <w:rPr>
                <w:rFonts w:asciiTheme="majorBidi" w:hAnsiTheme="majorBidi" w:cstheme="majorBidi"/>
                <w:sz w:val="18"/>
                <w:szCs w:val="18"/>
                <w:rtl/>
              </w:rPr>
              <w:t>المراسلات والصياغة الأولية</w:t>
            </w:r>
          </w:p>
        </w:tc>
      </w:tr>
      <w:tr w:rsidR="005705DD" w14:paraId="2C72C703"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245A9776" w14:textId="77777777" w:rsidR="005705DD" w:rsidRDefault="005705DD" w:rsidP="00DE7F8F">
            <w:pPr>
              <w:bidi/>
              <w:rPr>
                <w:rtl/>
              </w:rPr>
            </w:pPr>
            <w:r>
              <w:rPr>
                <w:rFonts w:asciiTheme="majorBidi" w:hAnsiTheme="majorBidi" w:cstheme="majorBidi"/>
                <w:sz w:val="18"/>
                <w:szCs w:val="18"/>
                <w:rtl/>
              </w:rPr>
              <w:t>Claude</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2715A1E" w14:textId="77777777" w:rsidR="005705DD" w:rsidRDefault="005705DD" w:rsidP="00DE7F8F">
            <w:pPr>
              <w:bidi/>
              <w:rPr>
                <w:rtl/>
              </w:rPr>
            </w:pPr>
            <w:r>
              <w:rPr>
                <w:rFonts w:asciiTheme="majorBidi" w:hAnsiTheme="majorBidi" w:cstheme="majorBidi"/>
                <w:sz w:val="18"/>
                <w:szCs w:val="18"/>
                <w:rtl/>
              </w:rPr>
              <w:t>Anthropic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19AF8FC" w14:textId="77777777" w:rsidR="005705DD" w:rsidRDefault="005705DD" w:rsidP="00DE7F8F">
            <w:pPr>
              <w:bidi/>
              <w:rPr>
                <w:rtl/>
              </w:rPr>
            </w:pPr>
            <w:r>
              <w:rPr>
                <w:rFonts w:asciiTheme="majorBidi" w:hAnsiTheme="majorBidi" w:cstheme="majorBidi"/>
                <w:sz w:val="18"/>
                <w:szCs w:val="18"/>
                <w:rtl/>
              </w:rPr>
              <w:t>متوسط-جيد</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014E84FD" w14:textId="77777777" w:rsidR="005705DD" w:rsidRDefault="005705DD" w:rsidP="00DE7F8F">
            <w:pPr>
              <w:bidi/>
              <w:rPr>
                <w:rtl/>
              </w:rPr>
            </w:pPr>
            <w:r>
              <w:rPr>
                <w:rFonts w:asciiTheme="majorBidi" w:hAnsiTheme="majorBidi" w:cstheme="majorBidi"/>
                <w:sz w:val="18"/>
                <w:szCs w:val="18"/>
                <w:rtl/>
              </w:rPr>
              <w:t>عام (دقيق في النصوص)</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C507C2F" w14:textId="77777777" w:rsidR="005705DD" w:rsidRDefault="005705DD" w:rsidP="00DE7F8F">
            <w:pPr>
              <w:bidi/>
              <w:rPr>
                <w:rtl/>
              </w:rPr>
            </w:pPr>
            <w:r>
              <w:rPr>
                <w:rFonts w:asciiTheme="majorBidi" w:hAnsiTheme="majorBidi" w:cstheme="majorBidi"/>
                <w:sz w:val="18"/>
                <w:szCs w:val="18"/>
                <w:rtl/>
              </w:rPr>
              <w:t>ممتازة (200k)</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76B8D93C" w14:textId="77777777" w:rsidR="005705DD" w:rsidRDefault="005705DD" w:rsidP="00DE7F8F">
            <w:pPr>
              <w:bidi/>
              <w:rPr>
                <w:rtl/>
              </w:rPr>
            </w:pPr>
            <w:r>
              <w:rPr>
                <w:rFonts w:asciiTheme="majorBidi" w:hAnsiTheme="majorBidi" w:cstheme="majorBidi"/>
                <w:sz w:val="18"/>
                <w:szCs w:val="18"/>
                <w:rtl/>
              </w:rPr>
              <w:t>مراجعة العقود الطويلة</w:t>
            </w:r>
          </w:p>
        </w:tc>
      </w:tr>
      <w:tr w:rsidR="005705DD" w14:paraId="3E32254C"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4A498D70" w14:textId="77777777" w:rsidR="005705DD" w:rsidRDefault="005705DD" w:rsidP="00DE7F8F">
            <w:pPr>
              <w:bidi/>
              <w:rPr>
                <w:rtl/>
              </w:rPr>
            </w:pPr>
            <w:r>
              <w:rPr>
                <w:rFonts w:asciiTheme="majorBidi" w:hAnsiTheme="majorBidi" w:cstheme="majorBidi"/>
                <w:sz w:val="18"/>
                <w:szCs w:val="18"/>
                <w:rtl/>
              </w:rPr>
              <w:t>Gemini</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02C3E93E" w14:textId="77777777" w:rsidR="005705DD" w:rsidRDefault="005705DD" w:rsidP="00DE7F8F">
            <w:pPr>
              <w:bidi/>
              <w:rPr>
                <w:rtl/>
              </w:rPr>
            </w:pPr>
            <w:r>
              <w:rPr>
                <w:rFonts w:asciiTheme="majorBidi" w:hAnsiTheme="majorBidi" w:cstheme="majorBidi"/>
                <w:sz w:val="18"/>
                <w:szCs w:val="18"/>
                <w:rtl/>
              </w:rPr>
              <w:t>Google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0D7A40D" w14:textId="77777777" w:rsidR="005705DD" w:rsidRDefault="005705DD" w:rsidP="00DE7F8F">
            <w:pPr>
              <w:bidi/>
              <w:rPr>
                <w:rtl/>
              </w:rPr>
            </w:pPr>
            <w:r>
              <w:rPr>
                <w:rFonts w:asciiTheme="majorBidi" w:hAnsiTheme="majorBidi" w:cstheme="majorBidi"/>
                <w:sz w:val="18"/>
                <w:szCs w:val="18"/>
                <w:rtl/>
              </w:rPr>
              <w:t>جيد</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5BBD46DD" w14:textId="77777777" w:rsidR="005705DD" w:rsidRDefault="005705DD" w:rsidP="00DE7F8F">
            <w:pPr>
              <w:bidi/>
              <w:rPr>
                <w:rtl/>
              </w:rPr>
            </w:pPr>
            <w:r>
              <w:rPr>
                <w:rFonts w:asciiTheme="majorBidi" w:hAnsiTheme="majorBidi" w:cstheme="majorBidi"/>
                <w:sz w:val="18"/>
                <w:szCs w:val="18"/>
                <w:rtl/>
              </w:rPr>
              <w:t>عام</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0754695A" w14:textId="77777777" w:rsidR="005705DD" w:rsidRDefault="005705DD" w:rsidP="00DE7F8F">
            <w:pPr>
              <w:bidi/>
              <w:rPr>
                <w:rtl/>
              </w:rPr>
            </w:pPr>
            <w:r>
              <w:rPr>
                <w:rFonts w:asciiTheme="majorBidi" w:hAnsiTheme="majorBidi" w:cstheme="majorBidi"/>
                <w:sz w:val="18"/>
                <w:szCs w:val="18"/>
                <w:rtl/>
              </w:rPr>
              <w:t>ممتازة (1M token)</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C5A45BC" w14:textId="77777777" w:rsidR="005705DD" w:rsidRDefault="005705DD" w:rsidP="00DE7F8F">
            <w:pPr>
              <w:bidi/>
              <w:rPr>
                <w:rtl/>
              </w:rPr>
            </w:pPr>
            <w:r>
              <w:rPr>
                <w:rFonts w:asciiTheme="majorBidi" w:hAnsiTheme="majorBidi" w:cstheme="majorBidi"/>
                <w:sz w:val="18"/>
                <w:szCs w:val="18"/>
                <w:rtl/>
              </w:rPr>
              <w:t>التوثيق والتقارير المكتبية</w:t>
            </w:r>
          </w:p>
        </w:tc>
      </w:tr>
      <w:tr w:rsidR="005705DD" w14:paraId="3EB3872D"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24CDB2F2" w14:textId="77777777" w:rsidR="005705DD" w:rsidRDefault="005705DD" w:rsidP="00DE7F8F">
            <w:pPr>
              <w:bidi/>
              <w:rPr>
                <w:rtl/>
              </w:rPr>
            </w:pPr>
            <w:r>
              <w:rPr>
                <w:rFonts w:asciiTheme="majorBidi" w:hAnsiTheme="majorBidi" w:cstheme="majorBidi"/>
                <w:sz w:val="18"/>
                <w:szCs w:val="18"/>
                <w:rtl/>
              </w:rPr>
              <w:t>Copilot</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0256BBB2" w14:textId="77777777" w:rsidR="005705DD" w:rsidRDefault="005705DD" w:rsidP="00DE7F8F">
            <w:pPr>
              <w:bidi/>
              <w:rPr>
                <w:rtl/>
              </w:rPr>
            </w:pPr>
            <w:r>
              <w:rPr>
                <w:rFonts w:asciiTheme="majorBidi" w:hAnsiTheme="majorBidi" w:cstheme="majorBidi"/>
                <w:sz w:val="18"/>
                <w:szCs w:val="18"/>
                <w:rtl/>
              </w:rPr>
              <w:t>Microsoft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546B3D9B" w14:textId="77777777" w:rsidR="005705DD" w:rsidRDefault="005705DD" w:rsidP="00DE7F8F">
            <w:pPr>
              <w:bidi/>
              <w:rPr>
                <w:rtl/>
              </w:rPr>
            </w:pPr>
            <w:r>
              <w:rPr>
                <w:rFonts w:asciiTheme="majorBidi" w:hAnsiTheme="majorBidi" w:cstheme="majorBidi"/>
                <w:sz w:val="18"/>
                <w:szCs w:val="18"/>
                <w:rtl/>
              </w:rPr>
              <w:t>جيد</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31274804" w14:textId="77777777" w:rsidR="005705DD" w:rsidRDefault="005705DD" w:rsidP="00DE7F8F">
            <w:pPr>
              <w:bidi/>
              <w:rPr>
                <w:rtl/>
              </w:rPr>
            </w:pPr>
            <w:r>
              <w:rPr>
                <w:rFonts w:asciiTheme="majorBidi" w:hAnsiTheme="majorBidi" w:cstheme="majorBidi"/>
                <w:sz w:val="18"/>
                <w:szCs w:val="18"/>
                <w:rtl/>
              </w:rPr>
              <w:t>عام</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4B0290BA" w14:textId="77777777" w:rsidR="005705DD" w:rsidRDefault="005705DD" w:rsidP="00DE7F8F">
            <w:pPr>
              <w:bidi/>
              <w:rPr>
                <w:rtl/>
              </w:rPr>
            </w:pPr>
            <w:r>
              <w:rPr>
                <w:rFonts w:asciiTheme="majorBidi" w:hAnsiTheme="majorBidi" w:cstheme="majorBidi"/>
                <w:sz w:val="18"/>
                <w:szCs w:val="18"/>
                <w:rtl/>
              </w:rPr>
              <w:t>متوسطة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3C771027" w14:textId="77777777" w:rsidR="005705DD" w:rsidRDefault="005705DD" w:rsidP="00DE7F8F">
            <w:pPr>
              <w:bidi/>
              <w:rPr>
                <w:rtl/>
              </w:rPr>
            </w:pPr>
            <w:r>
              <w:rPr>
                <w:rFonts w:asciiTheme="majorBidi" w:hAnsiTheme="majorBidi" w:cstheme="majorBidi"/>
                <w:sz w:val="18"/>
                <w:szCs w:val="18"/>
                <w:rtl/>
              </w:rPr>
              <w:t>مكاتب تستخدم Microsoft 365</w:t>
            </w:r>
          </w:p>
        </w:tc>
      </w:tr>
      <w:tr w:rsidR="005705DD" w14:paraId="72021143"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0855AF7B" w14:textId="77777777" w:rsidR="005705DD" w:rsidRDefault="005705DD" w:rsidP="00DE7F8F">
            <w:pPr>
              <w:bidi/>
              <w:rPr>
                <w:rtl/>
              </w:rPr>
            </w:pPr>
            <w:r>
              <w:rPr>
                <w:rFonts w:asciiTheme="majorBidi" w:hAnsiTheme="majorBidi" w:cstheme="majorBidi"/>
                <w:sz w:val="18"/>
                <w:szCs w:val="18"/>
                <w:rtl/>
              </w:rPr>
              <w:t>Harvey AI</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5A39A4E6" w14:textId="77777777" w:rsidR="005705DD" w:rsidRDefault="005705DD" w:rsidP="00DE7F8F">
            <w:pPr>
              <w:bidi/>
              <w:rPr>
                <w:rtl/>
              </w:rPr>
            </w:pPr>
            <w:r>
              <w:rPr>
                <w:rFonts w:asciiTheme="majorBidi" w:hAnsiTheme="majorBidi" w:cstheme="majorBidi"/>
                <w:sz w:val="18"/>
                <w:szCs w:val="18"/>
                <w:rtl/>
              </w:rPr>
              <w:t>Harvey (أمريكية)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7077F3A1" w14:textId="77777777" w:rsidR="005705DD" w:rsidRDefault="005705DD" w:rsidP="00DE7F8F">
            <w:pPr>
              <w:bidi/>
              <w:rPr>
                <w:rtl/>
              </w:rPr>
            </w:pPr>
            <w:r>
              <w:rPr>
                <w:rFonts w:asciiTheme="majorBidi" w:hAnsiTheme="majorBidi" w:cstheme="majorBidi"/>
                <w:sz w:val="18"/>
                <w:szCs w:val="18"/>
                <w:rtl/>
              </w:rPr>
              <w:t>ضعيف</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4CA4CCB" w14:textId="77777777" w:rsidR="005705DD" w:rsidRDefault="005705DD" w:rsidP="00DE7F8F">
            <w:pPr>
              <w:bidi/>
              <w:rPr>
                <w:rtl/>
              </w:rPr>
            </w:pPr>
            <w:r>
              <w:rPr>
                <w:rFonts w:asciiTheme="majorBidi" w:hAnsiTheme="majorBidi" w:cstheme="majorBidi"/>
                <w:sz w:val="18"/>
                <w:szCs w:val="18"/>
                <w:rtl/>
              </w:rPr>
              <w:t>قانوني متخصص</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FF0D167" w14:textId="77777777" w:rsidR="005705DD" w:rsidRDefault="005705DD" w:rsidP="00DE7F8F">
            <w:pPr>
              <w:bidi/>
              <w:rPr>
                <w:rtl/>
              </w:rPr>
            </w:pPr>
            <w:r>
              <w:rPr>
                <w:rFonts w:asciiTheme="majorBidi" w:hAnsiTheme="majorBidi" w:cstheme="majorBidi"/>
                <w:sz w:val="18"/>
                <w:szCs w:val="18"/>
                <w:rtl/>
              </w:rPr>
              <w:t>ممتازة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749E2518" w14:textId="77777777" w:rsidR="005705DD" w:rsidRDefault="005705DD" w:rsidP="00DE7F8F">
            <w:pPr>
              <w:bidi/>
              <w:rPr>
                <w:rtl/>
              </w:rPr>
            </w:pPr>
            <w:r>
              <w:rPr>
                <w:rFonts w:asciiTheme="majorBidi" w:hAnsiTheme="majorBidi" w:cstheme="majorBidi"/>
                <w:sz w:val="18"/>
                <w:szCs w:val="18"/>
                <w:rtl/>
              </w:rPr>
              <w:t>العقود والسوابق بالإنجليزية</w:t>
            </w:r>
          </w:p>
        </w:tc>
      </w:tr>
      <w:tr w:rsidR="005705DD" w14:paraId="16A6074B"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545D27CE" w14:textId="77777777" w:rsidR="005705DD" w:rsidRDefault="005705DD" w:rsidP="00DE7F8F">
            <w:pPr>
              <w:bidi/>
              <w:rPr>
                <w:rtl/>
              </w:rPr>
            </w:pPr>
            <w:r>
              <w:rPr>
                <w:rFonts w:asciiTheme="majorBidi" w:hAnsiTheme="majorBidi" w:cstheme="majorBidi"/>
                <w:sz w:val="18"/>
                <w:szCs w:val="18"/>
                <w:rtl/>
              </w:rPr>
              <w:t>جيس (Jais)</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4CCFC67" w14:textId="77777777" w:rsidR="005705DD" w:rsidRDefault="005705DD" w:rsidP="00DE7F8F">
            <w:pPr>
              <w:bidi/>
              <w:rPr>
                <w:rtl/>
              </w:rPr>
            </w:pPr>
            <w:r>
              <w:rPr>
                <w:rFonts w:asciiTheme="majorBidi" w:hAnsiTheme="majorBidi" w:cstheme="majorBidi"/>
                <w:sz w:val="18"/>
                <w:szCs w:val="18"/>
                <w:rtl/>
              </w:rPr>
              <w:t>G42 / إماراتية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6FBCAD8" w14:textId="77777777" w:rsidR="005705DD" w:rsidRDefault="005705DD" w:rsidP="00DE7F8F">
            <w:pPr>
              <w:bidi/>
              <w:rPr>
                <w:rtl/>
              </w:rPr>
            </w:pPr>
            <w:r>
              <w:rPr>
                <w:rFonts w:asciiTheme="majorBidi" w:hAnsiTheme="majorBidi" w:cstheme="majorBidi"/>
                <w:sz w:val="18"/>
                <w:szCs w:val="18"/>
                <w:rtl/>
              </w:rPr>
              <w:t>ممتاز</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54A188A0" w14:textId="77777777" w:rsidR="005705DD" w:rsidRDefault="005705DD" w:rsidP="00DE7F8F">
            <w:pPr>
              <w:bidi/>
              <w:rPr>
                <w:rtl/>
              </w:rPr>
            </w:pPr>
            <w:r>
              <w:rPr>
                <w:rFonts w:asciiTheme="majorBidi" w:hAnsiTheme="majorBidi" w:cstheme="majorBidi"/>
                <w:sz w:val="18"/>
                <w:szCs w:val="18"/>
                <w:rtl/>
              </w:rPr>
              <w:t>عام</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540338E4" w14:textId="77777777" w:rsidR="005705DD" w:rsidRDefault="005705DD" w:rsidP="00DE7F8F">
            <w:pPr>
              <w:bidi/>
              <w:rPr>
                <w:rtl/>
              </w:rPr>
            </w:pPr>
            <w:r>
              <w:rPr>
                <w:rFonts w:asciiTheme="majorBidi" w:hAnsiTheme="majorBidi" w:cstheme="majorBidi"/>
                <w:sz w:val="18"/>
                <w:szCs w:val="18"/>
                <w:rtl/>
              </w:rPr>
              <w:t>متوسطة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AAA69B5" w14:textId="77777777" w:rsidR="005705DD" w:rsidRDefault="005705DD" w:rsidP="00DE7F8F">
            <w:pPr>
              <w:bidi/>
              <w:rPr>
                <w:rtl/>
              </w:rPr>
            </w:pPr>
            <w:r>
              <w:rPr>
                <w:rFonts w:asciiTheme="majorBidi" w:hAnsiTheme="majorBidi" w:cstheme="majorBidi"/>
                <w:sz w:val="18"/>
                <w:szCs w:val="18"/>
                <w:rtl/>
              </w:rPr>
              <w:t>النصوص القانونية العربية</w:t>
            </w:r>
          </w:p>
        </w:tc>
      </w:tr>
      <w:tr w:rsidR="005705DD" w14:paraId="7A383386"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7A72871C" w14:textId="77777777" w:rsidR="005705DD" w:rsidRDefault="005705DD" w:rsidP="00DE7F8F">
            <w:pPr>
              <w:bidi/>
              <w:rPr>
                <w:rtl/>
              </w:rPr>
            </w:pPr>
            <w:r>
              <w:rPr>
                <w:rFonts w:asciiTheme="majorBidi" w:hAnsiTheme="majorBidi" w:cstheme="majorBidi"/>
                <w:sz w:val="18"/>
                <w:szCs w:val="18"/>
                <w:rtl/>
              </w:rPr>
              <w:t>علاّم (ALLaM)</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6B62639" w14:textId="77777777" w:rsidR="005705DD" w:rsidRDefault="005705DD" w:rsidP="00DE7F8F">
            <w:pPr>
              <w:bidi/>
              <w:rPr>
                <w:rtl/>
              </w:rPr>
            </w:pPr>
            <w:r>
              <w:rPr>
                <w:rFonts w:asciiTheme="majorBidi" w:hAnsiTheme="majorBidi" w:cstheme="majorBidi"/>
                <w:sz w:val="18"/>
                <w:szCs w:val="18"/>
                <w:rtl/>
              </w:rPr>
              <w:t>سدايا (سعودية)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64E525A8" w14:textId="77777777" w:rsidR="005705DD" w:rsidRDefault="005705DD" w:rsidP="00DE7F8F">
            <w:pPr>
              <w:bidi/>
              <w:rPr>
                <w:rtl/>
              </w:rPr>
            </w:pPr>
            <w:r>
              <w:rPr>
                <w:rFonts w:asciiTheme="majorBidi" w:hAnsiTheme="majorBidi" w:cstheme="majorBidi"/>
                <w:sz w:val="18"/>
                <w:szCs w:val="18"/>
                <w:rtl/>
              </w:rPr>
              <w:t>ممتاز</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5E28CC6" w14:textId="77777777" w:rsidR="005705DD" w:rsidRDefault="005705DD" w:rsidP="00DE7F8F">
            <w:pPr>
              <w:bidi/>
              <w:rPr>
                <w:rtl/>
              </w:rPr>
            </w:pPr>
            <w:r>
              <w:rPr>
                <w:rFonts w:asciiTheme="majorBidi" w:hAnsiTheme="majorBidi" w:cstheme="majorBidi"/>
                <w:sz w:val="18"/>
                <w:szCs w:val="18"/>
                <w:rtl/>
              </w:rPr>
              <w:t>عام-قانوني</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F3F739B" w14:textId="77777777" w:rsidR="005705DD" w:rsidRDefault="005705DD" w:rsidP="00DE7F8F">
            <w:pPr>
              <w:bidi/>
              <w:rPr>
                <w:rtl/>
              </w:rPr>
            </w:pPr>
            <w:r>
              <w:rPr>
                <w:rFonts w:asciiTheme="majorBidi" w:hAnsiTheme="majorBidi" w:cstheme="majorBidi"/>
                <w:sz w:val="18"/>
                <w:szCs w:val="18"/>
                <w:rtl/>
              </w:rPr>
              <w:t>جيدة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6042B575" w14:textId="77777777" w:rsidR="005705DD" w:rsidRDefault="005705DD" w:rsidP="00DE7F8F">
            <w:pPr>
              <w:bidi/>
              <w:rPr>
                <w:rtl/>
              </w:rPr>
            </w:pPr>
            <w:r>
              <w:rPr>
                <w:rFonts w:asciiTheme="majorBidi" w:hAnsiTheme="majorBidi" w:cstheme="majorBidi"/>
                <w:sz w:val="18"/>
                <w:szCs w:val="18"/>
                <w:rtl/>
              </w:rPr>
              <w:t>التطبيقات القانونية السعودية</w:t>
            </w:r>
          </w:p>
        </w:tc>
      </w:tr>
      <w:tr w:rsidR="005705DD" w14:paraId="5D79A8D4" w14:textId="77777777" w:rsidTr="00DE7F8F">
        <w:trPr>
          <w:jc w:val="center"/>
        </w:trPr>
        <w:tc>
          <w:tcPr>
            <w:tcW w:w="16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591D9CB4" w14:textId="77777777" w:rsidR="005705DD" w:rsidRDefault="005705DD" w:rsidP="00DE7F8F">
            <w:pPr>
              <w:bidi/>
              <w:rPr>
                <w:rtl/>
              </w:rPr>
            </w:pPr>
            <w:r>
              <w:rPr>
                <w:rFonts w:asciiTheme="majorBidi" w:hAnsiTheme="majorBidi" w:cstheme="majorBidi"/>
                <w:sz w:val="18"/>
                <w:szCs w:val="18"/>
                <w:rtl/>
              </w:rPr>
              <w:t>AceGPT</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60119D80" w14:textId="77777777" w:rsidR="005705DD" w:rsidRDefault="005705DD" w:rsidP="00DE7F8F">
            <w:pPr>
              <w:bidi/>
              <w:rPr>
                <w:rtl/>
              </w:rPr>
            </w:pPr>
            <w:r>
              <w:rPr>
                <w:rFonts w:asciiTheme="majorBidi" w:hAnsiTheme="majorBidi" w:cstheme="majorBidi"/>
                <w:sz w:val="18"/>
                <w:szCs w:val="18"/>
                <w:rtl/>
              </w:rPr>
              <w:t>بحثية عربية</w:t>
            </w:r>
          </w:p>
        </w:tc>
        <w:tc>
          <w:tcPr>
            <w:tcW w:w="9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1ED417DC" w14:textId="77777777" w:rsidR="005705DD" w:rsidRDefault="005705DD" w:rsidP="00DE7F8F">
            <w:pPr>
              <w:bidi/>
              <w:rPr>
                <w:rtl/>
              </w:rPr>
            </w:pPr>
            <w:r>
              <w:rPr>
                <w:rFonts w:asciiTheme="majorBidi" w:hAnsiTheme="majorBidi" w:cstheme="majorBidi"/>
                <w:sz w:val="18"/>
                <w:szCs w:val="18"/>
                <w:rtl/>
              </w:rPr>
              <w:t>ممتاز</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49A41D07" w14:textId="77777777" w:rsidR="005705DD" w:rsidRDefault="005705DD" w:rsidP="00DE7F8F">
            <w:pPr>
              <w:bidi/>
              <w:rPr>
                <w:rtl/>
              </w:rPr>
            </w:pPr>
            <w:r>
              <w:rPr>
                <w:rFonts w:asciiTheme="majorBidi" w:hAnsiTheme="majorBidi" w:cstheme="majorBidi"/>
                <w:sz w:val="18"/>
                <w:szCs w:val="18"/>
                <w:rtl/>
              </w:rPr>
              <w:t>قانوني-إسلامي</w:t>
            </w:r>
          </w:p>
        </w:tc>
        <w:tc>
          <w:tcPr>
            <w:tcW w:w="1700" w:type="dxa"/>
            <w:tcBorders>
              <w:top w:val="single" w:sz="4" w:space="0" w:color="999999"/>
              <w:left w:val="single" w:sz="4" w:space="0" w:color="999999"/>
              <w:bottom w:val="single" w:sz="4" w:space="0" w:color="999999"/>
              <w:right w:val="single" w:sz="4" w:space="0" w:color="999999"/>
            </w:tcBorders>
            <w:shd w:val="clear" w:color="auto" w:fill="F0F4FA"/>
            <w:tcMar>
              <w:top w:w="80" w:type="dxa"/>
              <w:left w:w="80" w:type="dxa"/>
              <w:bottom w:w="80" w:type="dxa"/>
              <w:right w:w="80" w:type="dxa"/>
            </w:tcMar>
            <w:vAlign w:val="center"/>
          </w:tcPr>
          <w:p w14:paraId="37FA61AC" w14:textId="77777777" w:rsidR="005705DD" w:rsidRDefault="005705DD" w:rsidP="00DE7F8F">
            <w:pPr>
              <w:bidi/>
              <w:rPr>
                <w:rtl/>
              </w:rPr>
            </w:pPr>
            <w:r>
              <w:rPr>
                <w:rFonts w:asciiTheme="majorBidi" w:hAnsiTheme="majorBidi" w:cstheme="majorBidi"/>
                <w:sz w:val="18"/>
                <w:szCs w:val="18"/>
                <w:rtl/>
              </w:rPr>
              <w:t>متوسطة</w:t>
            </w:r>
          </w:p>
        </w:tc>
        <w:tc>
          <w:tcPr>
            <w:tcW w:w="1400" w:type="dxa"/>
            <w:tcBorders>
              <w:top w:val="single" w:sz="4" w:space="0" w:color="999999"/>
              <w:left w:val="single" w:sz="4" w:space="0" w:color="999999"/>
              <w:bottom w:val="single" w:sz="4" w:space="0" w:color="999999"/>
              <w:right w:val="single" w:sz="4" w:space="0" w:color="999999"/>
            </w:tcBorders>
            <w:shd w:val="clear" w:color="auto" w:fill="FFFFFF"/>
            <w:tcMar>
              <w:top w:w="80" w:type="dxa"/>
              <w:left w:w="80" w:type="dxa"/>
              <w:bottom w:w="80" w:type="dxa"/>
              <w:right w:w="80" w:type="dxa"/>
            </w:tcMar>
            <w:vAlign w:val="center"/>
          </w:tcPr>
          <w:p w14:paraId="1B81CBF1" w14:textId="77777777" w:rsidR="005705DD" w:rsidRDefault="005705DD" w:rsidP="00DE7F8F">
            <w:pPr>
              <w:bidi/>
              <w:rPr>
                <w:rtl/>
              </w:rPr>
            </w:pPr>
            <w:r>
              <w:rPr>
                <w:rFonts w:asciiTheme="majorBidi" w:hAnsiTheme="majorBidi" w:cstheme="majorBidi"/>
                <w:sz w:val="18"/>
                <w:szCs w:val="18"/>
                <w:rtl/>
              </w:rPr>
              <w:t>البحث القانوني الإسلامي</w:t>
            </w:r>
          </w:p>
        </w:tc>
      </w:tr>
    </w:tbl>
    <w:p w14:paraId="1F4EA369" w14:textId="77777777" w:rsidR="005705DD" w:rsidRDefault="005705DD" w:rsidP="005705DD">
      <w:pPr>
        <w:bidi/>
        <w:rPr>
          <w:rtl/>
        </w:rPr>
      </w:pPr>
    </w:p>
    <w:p w14:paraId="26DFB72E" w14:textId="77777777" w:rsidR="005705DD" w:rsidRDefault="005705DD" w:rsidP="005705DD">
      <w:pPr>
        <w:bidi/>
        <w:spacing w:after="200" w:line="276" w:lineRule="auto"/>
        <w:rPr>
          <w:rtl/>
        </w:rPr>
      </w:pPr>
      <w:r>
        <w:rPr>
          <w:rFonts w:asciiTheme="majorBidi" w:hAnsiTheme="majorBidi" w:cstheme="majorBidi"/>
          <w:i/>
          <w:sz w:val="20"/>
          <w:szCs w:val="20"/>
          <w:rtl/>
        </w:rPr>
        <w:t>المصدر: إعداد الباحث بالاستناد إلى وثائق المنتجات الرسمية ومنشورات الشركات، 1446هـ/2025م.</w:t>
      </w:r>
    </w:p>
    <w:p w14:paraId="6F8336DA" w14:textId="77777777" w:rsidR="005705DD" w:rsidRDefault="005705DD" w:rsidP="005705DD">
      <w:pPr>
        <w:bidi/>
        <w:spacing w:after="200" w:line="276" w:lineRule="auto"/>
        <w:rPr>
          <w:rtl/>
        </w:rPr>
      </w:pPr>
      <w:r>
        <w:rPr>
          <w:rFonts w:asciiTheme="majorBidi" w:hAnsiTheme="majorBidi" w:cstheme="majorBidi"/>
          <w:sz w:val="24"/>
          <w:szCs w:val="24"/>
          <w:rtl/>
        </w:rPr>
        <w:t>يتضح من الجدول المقارن السابق أن الأدوات القانونية المتخصصة كـHarvey AI تفتقر إلى دعم اللغة العربية بصورة كافية، مما يُقيّد توظيفها في السياق السعودي. في المقابل، تُقدّم النماذج العربية الناشئة كجيس وعلاّم آفاقاً واعدة نحو ذكاء اصطناعي قانوني عربي حقيقي، يُرجَّح أن تشهد السنوات القادمة تطوره المتسارع في إطار مبادرات رؤية 2030 الرقمية.</w:t>
      </w:r>
      <w:r>
        <w:rPr>
          <w:rFonts w:asciiTheme="majorBidi" w:hAnsiTheme="majorBidi" w:cstheme="majorBidi"/>
          <w:sz w:val="16"/>
          <w:szCs w:val="16"/>
          <w:vertAlign w:val="superscript"/>
          <w:rtl/>
        </w:rPr>
        <w:t>(8)</w:t>
      </w:r>
    </w:p>
    <w:p w14:paraId="17DC2C8E" w14:textId="77777777" w:rsidR="005705DD" w:rsidRDefault="005705DD" w:rsidP="005705DD">
      <w:pPr>
        <w:bidi/>
        <w:rPr>
          <w:rtl/>
        </w:rPr>
      </w:pPr>
    </w:p>
    <w:p w14:paraId="74A5F1AA" w14:textId="77777777" w:rsidR="005705DD" w:rsidRPr="00A84F46" w:rsidRDefault="005705DD" w:rsidP="005705DD">
      <w:pPr>
        <w:bidi/>
        <w:spacing w:after="200" w:line="276" w:lineRule="auto"/>
        <w:rPr>
          <w:bCs/>
          <w:color w:val="000000" w:themeColor="text1"/>
          <w:rtl/>
        </w:rPr>
      </w:pPr>
      <w:commentRangeStart w:id="32"/>
      <w:commentRangeStart w:id="33"/>
      <w:r>
        <w:rPr>
          <w:rFonts w:asciiTheme="majorBidi" w:hAnsiTheme="majorBidi" w:cstheme="majorBidi"/>
          <w:bCs/>
          <w:color w:val="000000" w:themeColor="text1"/>
          <w:sz w:val="28"/>
          <w:szCs w:val="28"/>
          <w:rtl/>
        </w:rPr>
        <w:t>سابعاً: الخصائص التقنية لأدوات الذكاء الاصطناعي القانوني وانعكاساتها النظامية</w:t>
      </w:r>
      <w:commentRangeEnd w:id="32"/>
      <w:r w:rsidRPr="00A84F46">
        <w:rPr>
          <w:rStyle w:val="af0"/>
          <w:bCs/>
          <w:color w:val="000000" w:themeColor="text1"/>
          <w:sz w:val="22"/>
          <w:szCs w:val="22"/>
          <w:rtl/>
        </w:rPr>
        <w:commentReference w:id="32"/>
      </w:r>
      <w:commentRangeEnd w:id="33"/>
      <w:r w:rsidRPr="00A84F46">
        <w:rPr>
          <w:rStyle w:val="af0"/>
          <w:bCs/>
          <w:color w:val="000000" w:themeColor="text1"/>
          <w:sz w:val="22"/>
          <w:szCs w:val="22"/>
          <w:rtl/>
        </w:rPr>
        <w:commentReference w:id="33"/>
      </w:r>
    </w:p>
    <w:p w14:paraId="1D34FBCC" w14:textId="77777777" w:rsidR="005705DD" w:rsidRDefault="005705DD" w:rsidP="005705DD">
      <w:pPr>
        <w:bidi/>
        <w:spacing w:after="200" w:line="276" w:lineRule="auto"/>
        <w:rPr>
          <w:rtl/>
        </w:rPr>
      </w:pPr>
      <w:r>
        <w:rPr>
          <w:rFonts w:asciiTheme="majorBidi" w:hAnsiTheme="majorBidi" w:cstheme="majorBidi"/>
          <w:sz w:val="24"/>
          <w:szCs w:val="24"/>
          <w:rtl/>
        </w:rPr>
        <w:t>يقتضي التحليل القانوني الدقيق لأدوات الذكاء الاصطناعي المستخدمة في مكاتب المحاماة السعودية الوقوفَ عند آليات عملها التقنية، ذلك أن الحكم القانوني على الأداة لا يمكن أن يكون دقيقاً دون فهم لكيفية تكوين مخرجاتها وطبيعة العمليات التي تُجريها على البيانات المُدخَلة. وهذا الفهم التقني ليس ترفاً أكاديمياً، بل ضرورة منهجية لتحديد طبيعة المخاطر ومواطن المسؤولية وحدود الثقة المشروعة في هذه الأدوات.</w:t>
      </w:r>
    </w:p>
    <w:p w14:paraId="14AC9076" w14:textId="77777777" w:rsidR="005705DD" w:rsidRDefault="005705DD" w:rsidP="005705DD">
      <w:pPr>
        <w:bidi/>
        <w:spacing w:after="200" w:line="276" w:lineRule="auto"/>
        <w:rPr>
          <w:rtl/>
        </w:rPr>
      </w:pPr>
      <w:r>
        <w:rPr>
          <w:rFonts w:asciiTheme="majorBidi" w:hAnsiTheme="majorBidi" w:cstheme="majorBidi"/>
          <w:sz w:val="24"/>
          <w:szCs w:val="24"/>
          <w:rtl/>
        </w:rPr>
        <w:t>تعتمد نماذج اللغة الكبيرة (LLMs) — كـChatGPT وGemini وغيرهما — على بنية رياضية تُعرف بالمحوّل (Transformer)، تُمكّنها من توليد نص احتمالي يبدو متسقاً ومنطقياً استناداً إلى أوزان إحصائية مستخلَصة من تدريب على مليارات الكلمات. والمعضلة الجوهرية في هذه البنية أن النموذج لا "يفهم" النص بالمعنى المعرفي الحقيقي، بل يُولّد ما يُرجَّح إحصائياً في السياق اللغوي المعطى. وهذا التميّز الجوهري له أثر قانوني مباشر: لا يمكن للنموذج أن "يعرف" أن نظاماً ما قد تغيّر أو أن حكماً قضائياً لا وجود له، فكل ما يُنتجه ترجيح إحصائي لا مراجعة قانونية حقيقية.</w:t>
      </w:r>
    </w:p>
    <w:p w14:paraId="3B2EC00E" w14:textId="77777777" w:rsidR="005705DD" w:rsidRDefault="005705DD" w:rsidP="005705DD">
      <w:pPr>
        <w:bidi/>
        <w:spacing w:after="200" w:line="276" w:lineRule="auto"/>
        <w:rPr>
          <w:rtl/>
        </w:rPr>
      </w:pPr>
      <w:r>
        <w:rPr>
          <w:rFonts w:asciiTheme="majorBidi" w:hAnsiTheme="majorBidi" w:cstheme="majorBidi"/>
          <w:sz w:val="24"/>
          <w:szCs w:val="24"/>
          <w:rtl/>
        </w:rPr>
        <w:t xml:space="preserve">ومن هنا تنشأ ظاهرة الهلوسة (Hallucination) التي يُعبّر عنها تقنياً بأنها "إنتاج نص ثقة مرتفع الاحتمالية الإحصائية لكنه غير دقيق واقعياً". وفي السياق القانوني السعودي، رصدت التجارب الميدانية حالات في الغالب غير موثقة رسمياً لمحامين اكتشفوا أن مذكراتهم استشهدت بأحكام قضائية غير موجودة، أو نسبت نصوصاً لمواد نظامية لا تحمل ذلك المضمون في النسخ الأصلية. </w:t>
      </w:r>
      <w:commentRangeStart w:id="34"/>
      <w:commentRangeStart w:id="35"/>
      <w:r>
        <w:rPr>
          <w:rFonts w:asciiTheme="majorBidi" w:hAnsiTheme="majorBidi" w:cstheme="majorBidi"/>
          <w:sz w:val="24"/>
          <w:szCs w:val="24"/>
          <w:rtl/>
        </w:rPr>
        <w:t>وقد وثّقت دراستان محكّمتان صادرتان عن باحثين في جامعة ستانفورد أن النماذج اللغوية العامة تهلوس في المهام القانونية بنسب تتجاوز 58%، وأن أدوات البحث القانوني المتخصصة المدعومة بتقنية التوليد المعزز بالاسترجاع تخفض نسبة الإجابات المعيبة إلى ما بين 17% و33% دون أن تزيلها</w:t>
      </w:r>
      <w:commentRangeEnd w:id="34"/>
      <w:r>
        <w:rPr>
          <w:rStyle w:val="af0"/>
          <w:rFonts w:asciiTheme="majorBidi" w:hAnsiTheme="majorBidi" w:cstheme="majorBidi"/>
          <w:sz w:val="24"/>
          <w:szCs w:val="24"/>
          <w:rtl/>
        </w:rPr>
        <w:commentReference w:id="34"/>
      </w:r>
      <w:commentRangeEnd w:id="35"/>
      <w:r>
        <w:rPr>
          <w:rStyle w:val="af0"/>
          <w:rFonts w:asciiTheme="majorBidi" w:hAnsiTheme="majorBidi" w:cstheme="majorBidi"/>
          <w:sz w:val="24"/>
          <w:szCs w:val="24"/>
          <w:rtl/>
        </w:rPr>
        <w:commentReference w:id="35"/>
      </w:r>
      <w:r>
        <w:rPr>
          <w:rFonts w:asciiTheme="majorBidi" w:hAnsiTheme="majorBidi" w:cstheme="majorBidi"/>
          <w:sz w:val="24"/>
          <w:szCs w:val="24"/>
          <w:rtl/>
        </w:rPr>
        <w:t xml:space="preserve"> </w:t>
      </w:r>
      <w:r>
        <w:rPr>
          <w:rFonts w:asciiTheme="majorBidi" w:hAnsiTheme="majorBidi" w:cstheme="majorBidi"/>
          <w:sz w:val="24"/>
          <w:szCs w:val="24"/>
          <w:vertAlign w:val="superscript"/>
          <w:rtl/>
        </w:rPr>
        <w:footnoteReference w:id="286"/>
      </w:r>
      <w:r>
        <w:rPr>
          <w:rFonts w:asciiTheme="majorBidi" w:hAnsiTheme="majorBidi" w:cstheme="majorBidi"/>
          <w:sz w:val="24"/>
          <w:szCs w:val="24"/>
          <w:rtl/>
        </w:rPr>
        <w:t>.</w:t>
      </w:r>
    </w:p>
    <w:p w14:paraId="0B8AB3FA" w14:textId="77777777" w:rsidR="005705DD" w:rsidRDefault="005705DD" w:rsidP="005705DD">
      <w:pPr>
        <w:bidi/>
        <w:spacing w:after="200" w:line="276" w:lineRule="auto"/>
        <w:rPr>
          <w:rtl/>
        </w:rPr>
      </w:pPr>
      <w:r>
        <w:rPr>
          <w:rFonts w:asciiTheme="majorBidi" w:hAnsiTheme="majorBidi" w:cstheme="majorBidi"/>
          <w:sz w:val="24"/>
          <w:szCs w:val="24"/>
          <w:rtl/>
        </w:rPr>
        <w:t>وتُضاف إلى ذلك إشكالية انقطاع المعرفة (Knowledge Cutoff)؛ فمعظم النماذج اللغوية الكبيرة المتاحة للمحامين السعوديين لها تاريخ انتهاء للتدريب (Training Cutoff) لا تعرف ما بعده من مستجدات تشريعية أو قضائية. وبينما يُمكن تجاوز هذا القيد جزئياً عبر تقنية البحث الموسّع (Retrieval-Augmented Generation - RAG)، إلا أن معظم الاستخدامات الفردية في مكاتب المحاماة السعودية لا تعتمد هذه التقنية المتقدمة، مما يعني أن المحامي يتعامل مع نموذج لا يُلمّ بآخر المستجدات النظامية.</w:t>
      </w:r>
    </w:p>
    <w:p w14:paraId="63273DF5" w14:textId="77777777" w:rsidR="005705DD" w:rsidRDefault="005705DD" w:rsidP="005705DD">
      <w:pPr>
        <w:bidi/>
        <w:spacing w:after="200" w:line="276" w:lineRule="auto"/>
        <w:rPr>
          <w:rtl/>
        </w:rPr>
      </w:pPr>
      <w:r>
        <w:rPr>
          <w:rFonts w:asciiTheme="majorBidi" w:hAnsiTheme="majorBidi" w:cstheme="majorBidi"/>
          <w:sz w:val="24"/>
          <w:szCs w:val="24"/>
          <w:rtl/>
        </w:rPr>
        <w:t>ويتفاقم الأمر في حالة النظام السعودي تحديداً، إذ إن غالبية هذه النماذج دُرِّبت على بيانات إنجليزية بالدرجة الأولى، وتُعدّ تمثيلية النصوص القانونية العربية والسعودية فيها ضعيفةً نسبياً. وهذا يعني أن نسبة الخطأ تكون في الغالب أعلى حين يتعلق الأمر بأحكام نظام المحاماة السعودي أو قرارات ديوان المظالم مقارنةً بالقانون المدني الفرنسي أو القانون الأمريكي.</w:t>
      </w:r>
    </w:p>
    <w:p w14:paraId="7380CC6C" w14:textId="77777777" w:rsidR="005705DD" w:rsidRPr="00A84F46" w:rsidRDefault="005705DD" w:rsidP="005705DD">
      <w:pPr>
        <w:bidi/>
        <w:spacing w:after="200" w:line="276" w:lineRule="auto"/>
        <w:rPr>
          <w:bCs/>
          <w:color w:val="000000" w:themeColor="text1"/>
          <w:rtl/>
        </w:rPr>
      </w:pPr>
      <w:commentRangeStart w:id="36"/>
      <w:commentRangeStart w:id="37"/>
      <w:r>
        <w:rPr>
          <w:rFonts w:asciiTheme="majorBidi" w:hAnsiTheme="majorBidi" w:cstheme="majorBidi"/>
          <w:bCs/>
          <w:color w:val="000000" w:themeColor="text1"/>
          <w:sz w:val="28"/>
          <w:szCs w:val="28"/>
          <w:rtl/>
        </w:rPr>
        <w:t>ثامناً: تحديات معالجة اللغة العربية في البيئة التشريعية السعودية</w:t>
      </w:r>
      <w:commentRangeEnd w:id="36"/>
      <w:r w:rsidRPr="00A84F46">
        <w:rPr>
          <w:rStyle w:val="af0"/>
          <w:bCs/>
          <w:color w:val="000000" w:themeColor="text1"/>
          <w:sz w:val="22"/>
          <w:szCs w:val="22"/>
          <w:rtl/>
        </w:rPr>
        <w:commentReference w:id="36"/>
      </w:r>
      <w:commentRangeEnd w:id="37"/>
      <w:r w:rsidRPr="00A84F46">
        <w:rPr>
          <w:rStyle w:val="af0"/>
          <w:bCs/>
          <w:color w:val="000000" w:themeColor="text1"/>
          <w:sz w:val="22"/>
          <w:szCs w:val="22"/>
          <w:rtl/>
        </w:rPr>
        <w:commentReference w:id="37"/>
      </w:r>
    </w:p>
    <w:p w14:paraId="2F2F4512" w14:textId="77777777" w:rsidR="005705DD" w:rsidRDefault="005705DD" w:rsidP="005705DD">
      <w:pPr>
        <w:bidi/>
        <w:spacing w:after="200" w:line="276" w:lineRule="auto"/>
        <w:rPr>
          <w:rtl/>
        </w:rPr>
      </w:pPr>
      <w:r>
        <w:rPr>
          <w:rFonts w:asciiTheme="majorBidi" w:hAnsiTheme="majorBidi" w:cstheme="majorBidi"/>
          <w:sz w:val="24"/>
          <w:szCs w:val="24"/>
          <w:rtl/>
        </w:rPr>
        <w:t xml:space="preserve">تُشكّل اللغة العربية تحدياً خاصاً لأدوات الذكاء الاصطناعي التوليدي، وهو تحدٍّ ذو أبعاد متعددة تنعكس على دقة المخرجات القانونية. فالعربية لغة اشتقاقية ذات ثراء صرفي بالغ، مما يجعل معالجتها حاسوبياً أعسر بكثير من اللغات الأوروبية. فضلاً عن أن المصطلح القانوني السعودي يجمع في أحيان كثيرة بين المصطلحية الفقهية </w:t>
      </w:r>
      <w:r>
        <w:rPr>
          <w:rFonts w:asciiTheme="majorBidi" w:hAnsiTheme="majorBidi" w:cstheme="majorBidi"/>
          <w:sz w:val="24"/>
          <w:szCs w:val="24"/>
          <w:rtl/>
        </w:rPr>
        <w:lastRenderedPageBreak/>
        <w:t>الإسلامية الكلاسيكية والمصطلحية التشريعية الحديثة، مما يُصعّب على النماذج غير المتخصصة استيعاب الفوارق الدلالية الدقيقة بينهما.</w:t>
      </w:r>
    </w:p>
    <w:p w14:paraId="43798481" w14:textId="77777777" w:rsidR="005705DD" w:rsidRDefault="005705DD" w:rsidP="005705DD">
      <w:pPr>
        <w:bidi/>
        <w:spacing w:after="200" w:line="276" w:lineRule="auto"/>
        <w:rPr>
          <w:rtl/>
        </w:rPr>
      </w:pPr>
      <w:r>
        <w:rPr>
          <w:rFonts w:asciiTheme="majorBidi" w:hAnsiTheme="majorBidi" w:cstheme="majorBidi"/>
          <w:sz w:val="24"/>
          <w:szCs w:val="24"/>
          <w:rtl/>
        </w:rPr>
        <w:t>ومن أبرز التحديات اللغوية التي تنعكس مباشرةً على الدقة القانونية: أولاً التشكيل والبنية الصرفية، إذ يؤثر غياب التشكيل في النصوص القانونية العربية على الدلالة في حالات كثيرة، كالفرق بين "القِضَاء" و"القَضَاء"، و"الحَكَم" و"الحُكم". وكثيراً ما تُخفق النماذج اللغوية في التمييز بين هذه الدلالات المتقاربة لفظاً والمتباعدة معنىً في السياق القانوني.</w:t>
      </w:r>
    </w:p>
    <w:p w14:paraId="27DD0ED9" w14:textId="77777777" w:rsidR="005705DD" w:rsidRDefault="005705DD" w:rsidP="005705DD">
      <w:pPr>
        <w:bidi/>
        <w:spacing w:after="200" w:line="276" w:lineRule="auto"/>
        <w:rPr>
          <w:rtl/>
        </w:rPr>
      </w:pPr>
      <w:r>
        <w:rPr>
          <w:rFonts w:asciiTheme="majorBidi" w:hAnsiTheme="majorBidi" w:cstheme="majorBidi"/>
          <w:sz w:val="24"/>
          <w:szCs w:val="24"/>
          <w:rtl/>
        </w:rPr>
        <w:t>ثانياً: المصطلح الفقهي الخاص بالمنظومة السعودية، كمصطلحات "المصلحة المرسلة" و"سد الذرائع" و"قاعدة لا ضرر ولا ضرار" التي تُعدّ مرجعاً تفسيرياً معتمداً في القضاء السعودي. فهذه المصطلحات ذات أثر حكمي مباشر قد يُفوته النموذج اللغوي غير المتخصص في الفقه الإسلامي.</w:t>
      </w:r>
    </w:p>
    <w:p w14:paraId="668F6755" w14:textId="77777777" w:rsidR="005705DD" w:rsidRDefault="005705DD" w:rsidP="005705DD">
      <w:pPr>
        <w:bidi/>
        <w:spacing w:after="200" w:line="276" w:lineRule="auto"/>
        <w:rPr>
          <w:rtl/>
        </w:rPr>
      </w:pPr>
      <w:r>
        <w:rPr>
          <w:rFonts w:asciiTheme="majorBidi" w:hAnsiTheme="majorBidi" w:cstheme="majorBidi"/>
          <w:sz w:val="24"/>
          <w:szCs w:val="24"/>
          <w:rtl/>
        </w:rPr>
        <w:t>ثالثاً: النصوص النظامية التي تعتمد أحياناً صياغات فريدة لا مقابل لها في القانون المقارن، كاستخدام مصطلح "الجهات القضائية" بدلاً من "المحاكم" في بعض الأنظمة السعودية، أو مصطلح "المحكمة التجارية" الذي يحمل في المنظومة السعودية خصائص إجرائية لا تنطبق على ما يُسمى بالاسم ذاته في غيرها من الأنظمة.</w:t>
      </w:r>
    </w:p>
    <w:p w14:paraId="267C132E" w14:textId="77777777" w:rsidR="005705DD" w:rsidRDefault="005705DD" w:rsidP="005705DD">
      <w:pPr>
        <w:bidi/>
        <w:spacing w:after="200" w:line="276" w:lineRule="auto"/>
        <w:rPr>
          <w:rtl/>
        </w:rPr>
      </w:pPr>
      <w:r>
        <w:rPr>
          <w:rFonts w:asciiTheme="majorBidi" w:hAnsiTheme="majorBidi" w:cstheme="majorBidi"/>
          <w:sz w:val="24"/>
          <w:szCs w:val="24"/>
          <w:rtl/>
        </w:rPr>
        <w:t>ويفيد جانب من الفقه بأن النماذج اللغوية ذات الاستخدام العام تُنتج أخطاء جوهرية في ترجمة المصطلح القانوني السعودي وتفسيره، مما يجعل</w:t>
      </w:r>
      <w:commentRangeStart w:id="38"/>
      <w:commentRangeStart w:id="39"/>
      <w:commentRangeEnd w:id="38"/>
      <w:r>
        <w:rPr>
          <w:rStyle w:val="af0"/>
          <w:rFonts w:asciiTheme="majorBidi" w:hAnsiTheme="majorBidi" w:cstheme="majorBidi"/>
          <w:sz w:val="24"/>
          <w:szCs w:val="24"/>
          <w:rtl/>
        </w:rPr>
        <w:commentReference w:id="38"/>
      </w:r>
      <w:commentRangeEnd w:id="39"/>
      <w:r>
        <w:rPr>
          <w:rStyle w:val="af0"/>
          <w:rFonts w:asciiTheme="majorBidi" w:hAnsiTheme="majorBidi" w:cstheme="majorBidi"/>
          <w:sz w:val="24"/>
          <w:szCs w:val="24"/>
          <w:rtl/>
        </w:rPr>
        <w:commentReference w:id="39"/>
      </w:r>
      <w:r>
        <w:rPr>
          <w:rFonts w:asciiTheme="majorBidi" w:hAnsiTheme="majorBidi" w:cstheme="majorBidi"/>
          <w:sz w:val="24"/>
          <w:szCs w:val="24"/>
          <w:rtl/>
        </w:rPr>
        <w:t xml:space="preserve"> الاعتماد على هذه النماذج دون مراجعة متخصصة مخاطرةً غير محسوبة في البيئة القانونية السعودية </w:t>
      </w:r>
      <w:r>
        <w:rPr>
          <w:rFonts w:asciiTheme="majorBidi" w:hAnsiTheme="majorBidi" w:cstheme="majorBidi"/>
          <w:sz w:val="24"/>
          <w:szCs w:val="24"/>
          <w:vertAlign w:val="superscript"/>
          <w:rtl/>
        </w:rPr>
        <w:footnoteReference w:id="287"/>
      </w:r>
      <w:r>
        <w:rPr>
          <w:rFonts w:asciiTheme="majorBidi" w:hAnsiTheme="majorBidi" w:cstheme="majorBidi"/>
          <w:sz w:val="24"/>
          <w:szCs w:val="24"/>
          <w:rtl/>
        </w:rPr>
        <w:t>.</w:t>
      </w:r>
    </w:p>
    <w:p w14:paraId="00F88363" w14:textId="77777777" w:rsidR="005705DD" w:rsidRDefault="005705DD" w:rsidP="005705DD">
      <w:pPr>
        <w:bidi/>
        <w:spacing w:after="200" w:line="276" w:lineRule="auto"/>
        <w:rPr>
          <w:rtl/>
        </w:rPr>
      </w:pPr>
      <w:r>
        <w:rPr>
          <w:rFonts w:asciiTheme="majorBidi" w:hAnsiTheme="majorBidi" w:cstheme="majorBidi"/>
          <w:sz w:val="24"/>
          <w:szCs w:val="24"/>
          <w:rtl/>
        </w:rPr>
        <w:t>ويخلص الباحث إلى أن</w:t>
      </w:r>
      <w:commentRangeStart w:id="40"/>
      <w:commentRangeStart w:id="41"/>
      <w:commentRangeEnd w:id="40"/>
      <w:r>
        <w:rPr>
          <w:rStyle w:val="af0"/>
          <w:rFonts w:asciiTheme="majorBidi" w:hAnsiTheme="majorBidi" w:cstheme="majorBidi"/>
          <w:sz w:val="24"/>
          <w:szCs w:val="24"/>
          <w:rtl/>
        </w:rPr>
        <w:commentReference w:id="40"/>
      </w:r>
      <w:commentRangeEnd w:id="41"/>
      <w:r>
        <w:rPr>
          <w:rStyle w:val="af0"/>
          <w:rFonts w:asciiTheme="majorBidi" w:hAnsiTheme="majorBidi" w:cstheme="majorBidi"/>
          <w:sz w:val="24"/>
          <w:szCs w:val="24"/>
          <w:rtl/>
        </w:rPr>
        <w:commentReference w:id="41"/>
      </w:r>
      <w:commentRangeStart w:id="42"/>
      <w:commentRangeStart w:id="43"/>
      <w:r>
        <w:rPr>
          <w:rFonts w:asciiTheme="majorBidi" w:hAnsiTheme="majorBidi" w:cstheme="majorBidi"/>
          <w:sz w:val="24"/>
          <w:szCs w:val="24"/>
          <w:rtl/>
        </w:rPr>
        <w:t xml:space="preserve"> المشرّع السعودي </w:t>
      </w:r>
      <w:commentRangeStart w:id="44"/>
      <w:commentRangeStart w:id="45"/>
      <w:r>
        <w:rPr>
          <w:rFonts w:asciiTheme="majorBidi" w:hAnsiTheme="majorBidi" w:cstheme="majorBidi"/>
          <w:sz w:val="24"/>
          <w:szCs w:val="24"/>
          <w:rtl/>
        </w:rPr>
        <w:t>—</w:t>
      </w:r>
      <w:commentRangeEnd w:id="44"/>
      <w:r>
        <w:rPr>
          <w:rStyle w:val="af0"/>
          <w:rFonts w:asciiTheme="majorBidi" w:hAnsiTheme="majorBidi" w:cstheme="majorBidi"/>
          <w:sz w:val="24"/>
          <w:szCs w:val="24"/>
          <w:rtl/>
        </w:rPr>
        <w:commentReference w:id="44"/>
      </w:r>
      <w:commentRangeEnd w:id="45"/>
      <w:r>
        <w:rPr>
          <w:rStyle w:val="af0"/>
          <w:rFonts w:asciiTheme="majorBidi" w:hAnsiTheme="majorBidi" w:cstheme="majorBidi"/>
          <w:sz w:val="24"/>
          <w:szCs w:val="24"/>
          <w:rtl/>
        </w:rPr>
        <w:commentReference w:id="45"/>
      </w:r>
      <w:r>
        <w:rPr>
          <w:rFonts w:asciiTheme="majorBidi" w:hAnsiTheme="majorBidi" w:cstheme="majorBidi"/>
          <w:sz w:val="24"/>
          <w:szCs w:val="24"/>
          <w:rtl/>
        </w:rPr>
        <w:t xml:space="preserve"> وكذلك الهيئة السعودية للمحامين </w:t>
      </w:r>
      <w:commentRangeStart w:id="46"/>
      <w:commentRangeStart w:id="47"/>
      <w:r>
        <w:rPr>
          <w:rFonts w:asciiTheme="majorBidi" w:hAnsiTheme="majorBidi" w:cstheme="majorBidi"/>
          <w:sz w:val="24"/>
          <w:szCs w:val="24"/>
          <w:rtl/>
        </w:rPr>
        <w:t>—</w:t>
      </w:r>
      <w:commentRangeEnd w:id="46"/>
      <w:r>
        <w:rPr>
          <w:rStyle w:val="af0"/>
          <w:rFonts w:asciiTheme="majorBidi" w:hAnsiTheme="majorBidi" w:cstheme="majorBidi"/>
          <w:sz w:val="24"/>
          <w:szCs w:val="24"/>
          <w:rtl/>
        </w:rPr>
        <w:commentReference w:id="46"/>
      </w:r>
      <w:commentRangeEnd w:id="47"/>
      <w:r>
        <w:rPr>
          <w:rStyle w:val="af0"/>
          <w:rFonts w:asciiTheme="majorBidi" w:hAnsiTheme="majorBidi" w:cstheme="majorBidi"/>
          <w:sz w:val="24"/>
          <w:szCs w:val="24"/>
          <w:rtl/>
        </w:rPr>
        <w:commentReference w:id="47"/>
      </w:r>
      <w:r>
        <w:rPr>
          <w:rFonts w:asciiTheme="majorBidi" w:hAnsiTheme="majorBidi" w:cstheme="majorBidi"/>
          <w:sz w:val="24"/>
          <w:szCs w:val="24"/>
          <w:rtl/>
        </w:rPr>
        <w:t xml:space="preserve"> حين يُقرّان ضوابط استخدام الذكاء الاصطناعي في المهنة، لا بد أن تُفرّق هذه الضوابط بين أدوات الذكاء </w:t>
      </w:r>
      <w:commentRangeEnd w:id="42"/>
      <w:r>
        <w:rPr>
          <w:rStyle w:val="af0"/>
          <w:rFonts w:asciiTheme="majorBidi" w:hAnsiTheme="majorBidi" w:cstheme="majorBidi"/>
          <w:sz w:val="24"/>
          <w:szCs w:val="24"/>
          <w:rtl/>
        </w:rPr>
        <w:commentReference w:id="42"/>
      </w:r>
      <w:commentRangeEnd w:id="43"/>
      <w:r>
        <w:rPr>
          <w:rStyle w:val="af0"/>
          <w:rFonts w:asciiTheme="majorBidi" w:hAnsiTheme="majorBidi" w:cstheme="majorBidi"/>
          <w:sz w:val="24"/>
          <w:szCs w:val="24"/>
          <w:rtl/>
        </w:rPr>
        <w:commentReference w:id="43"/>
      </w:r>
      <w:r>
        <w:rPr>
          <w:rFonts w:asciiTheme="majorBidi" w:hAnsiTheme="majorBidi" w:cstheme="majorBidi"/>
          <w:sz w:val="24"/>
          <w:szCs w:val="24"/>
          <w:rtl/>
        </w:rPr>
        <w:t>الاصطناعي المُدرَّبة على البيانات القانونية السعودية والعربية تحديداً، وأدوات الاستخدام العام التي تفتقر إلى هذا التخصيص. ومقتضى ذلك تطبيق متطلبات اعتماد أعلى للأدوات غير المتخصصة</w:t>
      </w:r>
      <w:commentRangeStart w:id="48"/>
      <w:commentRangeStart w:id="49"/>
      <w:commentRangeEnd w:id="48"/>
      <w:r>
        <w:rPr>
          <w:rStyle w:val="af0"/>
          <w:rFonts w:asciiTheme="majorBidi" w:hAnsiTheme="majorBidi" w:cstheme="majorBidi"/>
          <w:sz w:val="24"/>
          <w:szCs w:val="24"/>
          <w:rtl/>
        </w:rPr>
        <w:commentReference w:id="48"/>
      </w:r>
      <w:commentRangeEnd w:id="49"/>
      <w:r>
        <w:rPr>
          <w:rStyle w:val="af0"/>
          <w:rFonts w:asciiTheme="majorBidi" w:hAnsiTheme="majorBidi" w:cstheme="majorBidi"/>
          <w:sz w:val="24"/>
          <w:szCs w:val="24"/>
          <w:rtl/>
        </w:rPr>
        <w:commentReference w:id="49"/>
      </w:r>
      <w:r>
        <w:rPr>
          <w:rFonts w:asciiTheme="majorBidi" w:hAnsiTheme="majorBidi" w:cstheme="majorBidi"/>
          <w:sz w:val="24"/>
          <w:szCs w:val="24"/>
          <w:rtl/>
        </w:rPr>
        <w:t xml:space="preserve"> حين تُستخدم في السياق القانوني السعودي.</w:t>
      </w:r>
    </w:p>
    <w:p w14:paraId="58D51EDE" w14:textId="77777777" w:rsidR="005705DD" w:rsidRDefault="005705DD" w:rsidP="005705DD"/>
    <w:p w14:paraId="030E0372" w14:textId="77777777" w:rsidR="005705DD" w:rsidRPr="00A84F46" w:rsidRDefault="005705DD" w:rsidP="005705DD">
      <w:pPr>
        <w:bidi/>
        <w:spacing w:after="200" w:line="276" w:lineRule="auto"/>
        <w:rPr>
          <w:bCs/>
          <w:color w:val="000000" w:themeColor="text1"/>
          <w:rtl/>
        </w:rPr>
      </w:pPr>
      <w:commentRangeStart w:id="50"/>
      <w:commentRangeStart w:id="51"/>
      <w:r>
        <w:rPr>
          <w:rFonts w:asciiTheme="majorBidi" w:hAnsiTheme="majorBidi" w:cstheme="majorBidi"/>
          <w:bCs/>
          <w:color w:val="000000" w:themeColor="text1"/>
          <w:sz w:val="28"/>
          <w:szCs w:val="28"/>
          <w:rtl/>
        </w:rPr>
        <w:t>تاسعاً: تطبيقات الذكاء الاصطناعي القانونية في مجالات سعودية بعينها</w:t>
      </w:r>
      <w:commentRangeEnd w:id="50"/>
      <w:r w:rsidRPr="00A84F46">
        <w:rPr>
          <w:rStyle w:val="af0"/>
          <w:bCs/>
          <w:color w:val="000000" w:themeColor="text1"/>
          <w:sz w:val="22"/>
          <w:szCs w:val="22"/>
          <w:rtl/>
        </w:rPr>
        <w:commentReference w:id="50"/>
      </w:r>
      <w:commentRangeEnd w:id="51"/>
      <w:r w:rsidRPr="00A84F46">
        <w:rPr>
          <w:rStyle w:val="af0"/>
          <w:bCs/>
          <w:color w:val="000000" w:themeColor="text1"/>
          <w:sz w:val="22"/>
          <w:szCs w:val="22"/>
          <w:rtl/>
        </w:rPr>
        <w:commentReference w:id="51"/>
      </w:r>
    </w:p>
    <w:p w14:paraId="4BA6CE5B" w14:textId="77777777" w:rsidR="005705DD" w:rsidRDefault="005705DD" w:rsidP="005705DD">
      <w:pPr>
        <w:bidi/>
        <w:spacing w:after="200" w:line="276" w:lineRule="auto"/>
        <w:rPr>
          <w:rtl/>
        </w:rPr>
      </w:pPr>
      <w:r>
        <w:rPr>
          <w:rFonts w:asciiTheme="majorBidi" w:hAnsiTheme="majorBidi" w:cstheme="majorBidi"/>
          <w:sz w:val="24"/>
          <w:szCs w:val="24"/>
          <w:rtl/>
        </w:rPr>
        <w:t>يُفيد التحليل المتخصص لتطبيقات الذكاء الاصطناعي في مجالات قانونية سعودية محددة في الكشف عن خصوصيات وإشكاليات تغيب في التحليل العام. ويتناول الباحث فيما يلي أربعة مجالات قانونية ذات أولوية:</w:t>
      </w:r>
    </w:p>
    <w:p w14:paraId="59475DC3"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المجال الأول </w:t>
      </w:r>
      <w:commentRangeStart w:id="52"/>
      <w:commentRangeStart w:id="53"/>
      <w:r>
        <w:rPr>
          <w:rFonts w:asciiTheme="majorBidi" w:hAnsiTheme="majorBidi" w:cstheme="majorBidi"/>
          <w:sz w:val="24"/>
          <w:szCs w:val="24"/>
          <w:rtl/>
        </w:rPr>
        <w:t>— قانون العمل وخدمات العمالة: يُعدّ قانون العمل السعودي من أكثر المجالات القانونية استخداماً لأدوات الذكاء الاصطناعي، وذلك لعدة أسباب: ضخامة حجم النزاعات العمالية وتشابه وقائعها إلى حد كبير، مما يجعل الأنماط التكرارية منها قابلة للمعالجة الذكية بكفاءة عالية. وتُستخدم أدوات الذكاء الاصطناعي في هذا المجال أساساً في: فحص عقود العمل للكشف عن البنود المخالفة لنظام العمل (1426هـ وتعديلاته)، وحساب مستحقات نهاية الخدمة وفق المتغيرات المختلفة، وتحليل الأنماط في قرارات المحاكم العمالية للتنبؤ باتجاهات الفصل.</w:t>
      </w:r>
      <w:commentRangeEnd w:id="52"/>
      <w:r>
        <w:rPr>
          <w:rStyle w:val="af0"/>
          <w:sz w:val="22"/>
          <w:szCs w:val="22"/>
          <w:rtl/>
        </w:rPr>
        <w:commentReference w:id="52"/>
      </w:r>
      <w:commentRangeEnd w:id="53"/>
      <w:r>
        <w:rPr>
          <w:rStyle w:val="af0"/>
          <w:sz w:val="22"/>
          <w:szCs w:val="22"/>
          <w:rtl/>
        </w:rPr>
        <w:commentReference w:id="53"/>
      </w:r>
    </w:p>
    <w:p w14:paraId="21E4F77B" w14:textId="77777777" w:rsidR="005705DD" w:rsidRDefault="005705DD" w:rsidP="005705DD">
      <w:pPr>
        <w:bidi/>
        <w:spacing w:after="200" w:line="276" w:lineRule="auto"/>
        <w:rPr>
          <w:rtl/>
        </w:rPr>
      </w:pPr>
      <w:commentRangeStart w:id="54"/>
      <w:commentRangeStart w:id="55"/>
      <w:r>
        <w:rPr>
          <w:rFonts w:asciiTheme="majorBidi" w:hAnsiTheme="majorBidi" w:cstheme="majorBidi"/>
          <w:sz w:val="24"/>
          <w:szCs w:val="24"/>
          <w:rtl/>
        </w:rPr>
        <w:t>غير أن توظيف الذكاء الاصطناعي في هذا المجال يصطدم بخصوصية نظام العمل السعودي الذي يتضمن أحكاماً خاصة بالعمالة الوافدة وبنظام الكفالة وبقطاع العمالة المنزلية، وهي أحكام تفتقر إلى تمثيل كافٍ في بيانات تدريب النماذج اللغوية العالمية. وهذا يعني أن مخرجات الذكاء الاصطناعي في قضايا العمل التي تتضمن هذه الخصوصيات السعودية تتطلب مراجعةً بشرية أكثر حرصاً.</w:t>
      </w:r>
    </w:p>
    <w:p w14:paraId="67F6E3E7"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المجال الثاني — القضايا التجارية والاستثمارية: تنتشر أدوات تحليل العقود التجارية في المكاتب القانونية المتخصصة في الشؤون التجارية، لا سيما في ظل تصاعد حجم الاستثمار الأجنبي المباشر في المملكة ضمن رؤية 2030 وما يرافقه من صفقات استحواذ ودمج وعقود استثمار. وتُستخدم هذه الأدوات أساساً في: استخراج البنود الجوهرية من عقود الاستثمار المعقدة، ومقارنة بنود التفاوض مع المعايير السائدة في السوق، والبحث التاريخي في قرارات هيئة الاستثمار والمحاكم التجارية. والإشكالية الرئيسية هنا أن بعض هذه الصفقات تتضمن بيانات تجارية سرية في غاية الحساسية، مما يجعل مسألة أمن البيانات المُدخَلة في الأدوات الذكية ذات أثر بالغ.</w:t>
      </w:r>
    </w:p>
    <w:p w14:paraId="0591F3EE" w14:textId="77777777" w:rsidR="005705DD" w:rsidRDefault="005705DD" w:rsidP="005705DD">
      <w:pPr>
        <w:bidi/>
        <w:spacing w:after="200" w:line="276" w:lineRule="auto"/>
        <w:rPr>
          <w:rtl/>
        </w:rPr>
      </w:pPr>
      <w:r>
        <w:rPr>
          <w:rFonts w:asciiTheme="majorBidi" w:hAnsiTheme="majorBidi" w:cstheme="majorBidi"/>
          <w:sz w:val="24"/>
          <w:szCs w:val="24"/>
          <w:rtl/>
        </w:rPr>
        <w:t>المجال الثالث — القضايا العقارية والتطوير: شهدت المملكة ازدهاراً غير مسبوق في قطاع العقار ضمن مشاريع رؤية 2030، وما صاحب ذلك من تزايد في النزاعات العقارية وعقود التطوير. ويُستخدم الذكاء الاصطناعي في هذا المجال لتحليل سجلات الملكية وتتبع سلاسل النقل والبحث في النزاعات المتعلقة بالصكوك. غير أن خصوصية نظام الأراضي السعودي ونظام التسجيل العيني (1422هـ) وأحكام الملكية في الفقه الإسلامي تجعل هذا المجال أحد أكثر المجالات التي يحتاج فيها الذكاء الاصطناعي إلى تخصيص معمّق.</w:t>
      </w:r>
      <w:commentRangeEnd w:id="54"/>
      <w:r>
        <w:rPr>
          <w:rStyle w:val="af0"/>
          <w:sz w:val="22"/>
          <w:szCs w:val="22"/>
          <w:rtl/>
        </w:rPr>
        <w:commentReference w:id="54"/>
      </w:r>
      <w:commentRangeEnd w:id="55"/>
      <w:r>
        <w:rPr>
          <w:rStyle w:val="af0"/>
          <w:sz w:val="22"/>
          <w:szCs w:val="22"/>
          <w:rtl/>
        </w:rPr>
        <w:commentReference w:id="55"/>
      </w:r>
    </w:p>
    <w:p w14:paraId="4B47B139" w14:textId="77777777" w:rsidR="005705DD" w:rsidRDefault="005705DD" w:rsidP="005705DD">
      <w:pPr>
        <w:bidi/>
        <w:spacing w:after="200" w:line="276" w:lineRule="auto"/>
        <w:rPr>
          <w:rtl/>
        </w:rPr>
      </w:pPr>
      <w:r>
        <w:rPr>
          <w:rFonts w:asciiTheme="majorBidi" w:hAnsiTheme="majorBidi" w:cstheme="majorBidi"/>
          <w:sz w:val="24"/>
          <w:szCs w:val="24"/>
          <w:rtl/>
        </w:rPr>
        <w:t>المجال الرابع — القضايا الجنائية وحقوق الدفاع: يُعدّ هذا المجال الأكثر حساسيةً من منظور حقوق الإنسان وضمانات المحاكمة العادلة. وثمة نقاش فقهي وقانوني رصين حول مدى السماح بتوظيف أدوات الذكاء الاصطناعي التنبؤية — كتحليل الأنماط الإجرامية والتنبؤ بسلوك المتهم — في الإجراءات الجنائية. وقد أصدرت هيئات مهنية في عدد من الدول الغربية توجيهات صريحة من أن الذكاء الاصطناعي التنبؤي في الشأن الجنائي ينطوي على خطر التحيز نحو فئات بعينها من المتهمين</w:t>
      </w:r>
      <w:commentRangeStart w:id="56"/>
      <w:commentRangeStart w:id="57"/>
      <w:commentRangeEnd w:id="56"/>
      <w:r>
        <w:rPr>
          <w:rStyle w:val="af0"/>
          <w:rFonts w:asciiTheme="majorBidi" w:hAnsiTheme="majorBidi" w:cstheme="majorBidi"/>
          <w:sz w:val="24"/>
          <w:szCs w:val="24"/>
          <w:rtl/>
        </w:rPr>
        <w:commentReference w:id="56"/>
      </w:r>
      <w:commentRangeEnd w:id="57"/>
      <w:r>
        <w:rPr>
          <w:rStyle w:val="af0"/>
          <w:rFonts w:asciiTheme="majorBidi" w:hAnsiTheme="majorBidi" w:cstheme="majorBidi"/>
          <w:sz w:val="24"/>
          <w:szCs w:val="24"/>
          <w:rtl/>
        </w:rPr>
        <w:commentReference w:id="57"/>
      </w:r>
      <w:r>
        <w:rPr>
          <w:rFonts w:asciiTheme="majorBidi" w:hAnsiTheme="majorBidi" w:cstheme="majorBidi"/>
          <w:sz w:val="24"/>
          <w:szCs w:val="24"/>
          <w:rtl/>
        </w:rPr>
        <w:t xml:space="preserve">. </w:t>
      </w:r>
      <w:commentRangeStart w:id="58"/>
      <w:commentRangeStart w:id="59"/>
      <w:r>
        <w:rPr>
          <w:rFonts w:asciiTheme="majorBidi" w:hAnsiTheme="majorBidi" w:cstheme="majorBidi"/>
          <w:sz w:val="24"/>
          <w:szCs w:val="24"/>
          <w:rtl/>
        </w:rPr>
        <w:t>وفي السياق السعودي،</w:t>
      </w:r>
      <w:commentRangeEnd w:id="58"/>
      <w:r>
        <w:rPr>
          <w:rStyle w:val="af0"/>
          <w:rFonts w:asciiTheme="majorBidi" w:hAnsiTheme="majorBidi" w:cstheme="majorBidi"/>
          <w:sz w:val="24"/>
          <w:szCs w:val="24"/>
          <w:rtl/>
        </w:rPr>
        <w:commentReference w:id="58"/>
      </w:r>
      <w:commentRangeEnd w:id="59"/>
      <w:r>
        <w:rPr>
          <w:rStyle w:val="af0"/>
          <w:rFonts w:asciiTheme="majorBidi" w:hAnsiTheme="majorBidi" w:cstheme="majorBidi"/>
          <w:sz w:val="24"/>
          <w:szCs w:val="24"/>
          <w:rtl/>
        </w:rPr>
        <w:commentReference w:id="59"/>
      </w:r>
      <w:r>
        <w:rPr>
          <w:rFonts w:asciiTheme="majorBidi" w:hAnsiTheme="majorBidi" w:cstheme="majorBidi"/>
          <w:sz w:val="24"/>
          <w:szCs w:val="24"/>
          <w:rtl/>
        </w:rPr>
        <w:t xml:space="preserve"> فإن أصل البراءة المقرر شرعاً والمعروف عالمياً، والتوجيه الشرعي القاضي بدرء الحدود بالشبهات، يمثلان مبدأين يتعارضان جوهرياً مع التسليم الأعمى لنتائج نموذج احتمالي في القضايا الجنائية.</w:t>
      </w:r>
    </w:p>
    <w:p w14:paraId="1866C7A7" w14:textId="77777777" w:rsidR="005705DD" w:rsidRDefault="005705DD" w:rsidP="005705DD"/>
    <w:p w14:paraId="3A061361"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المطلب الثاني</w:t>
      </w:r>
    </w:p>
    <w:p w14:paraId="1622558B"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مدى توافق أدوات الذكاء الاصطناعي مع البيئة النظامية السعودية</w:t>
      </w:r>
    </w:p>
    <w:p w14:paraId="3E387F27" w14:textId="77777777" w:rsidR="005705DD" w:rsidRDefault="005705DD" w:rsidP="005705DD">
      <w:pPr>
        <w:bidi/>
        <w:spacing w:after="200" w:line="276" w:lineRule="auto"/>
        <w:rPr>
          <w:rtl/>
        </w:rPr>
      </w:pPr>
      <w:r>
        <w:rPr>
          <w:rFonts w:asciiTheme="majorBidi" w:hAnsiTheme="majorBidi" w:cstheme="majorBidi"/>
          <w:sz w:val="24"/>
          <w:szCs w:val="24"/>
          <w:rtl/>
        </w:rPr>
        <w:t>يُعدّ تقييم مدى توافق الأدوات الذكية المستخدمة في مكاتب المحاماة السعودية مع المنظومة النظامية القائمة من أكثر المسائل دقةً وإلحاحاً في هذه الدراسة، ذلك أن الاستخدام الفعلي لهذه الأدوات لا يعني بالضرورة مشروعيتها النظامية أو انسجامها مع الأنظمة المعمول بها. وللحكم على هذا التوافق لا بد من إخضاع هذه الأدوات لاختبار ثلاثة محاور تشريعية رئيسية في البيئة السعودية.</w:t>
      </w:r>
    </w:p>
    <w:p w14:paraId="1872C3DA" w14:textId="77777777" w:rsidR="005705DD" w:rsidRDefault="005705DD" w:rsidP="005705DD">
      <w:pPr>
        <w:bidi/>
        <w:spacing w:after="200" w:line="276" w:lineRule="auto"/>
        <w:rPr>
          <w:rtl/>
        </w:rPr>
      </w:pPr>
      <w:r>
        <w:rPr>
          <w:rFonts w:asciiTheme="majorBidi" w:hAnsiTheme="majorBidi" w:cstheme="majorBidi"/>
          <w:b/>
          <w:sz w:val="28"/>
          <w:szCs w:val="28"/>
          <w:rtl/>
        </w:rPr>
        <w:t>أولاً: التوافق مع نظام حماية البيانات الشخصية (1443هـ)</w:t>
      </w:r>
    </w:p>
    <w:p w14:paraId="05D03D05" w14:textId="77777777" w:rsidR="005705DD" w:rsidRDefault="005705DD" w:rsidP="005705DD">
      <w:pPr>
        <w:bidi/>
        <w:spacing w:after="200" w:line="276" w:lineRule="auto"/>
        <w:rPr>
          <w:rtl/>
        </w:rPr>
      </w:pPr>
      <w:r>
        <w:rPr>
          <w:rFonts w:asciiTheme="majorBidi" w:hAnsiTheme="majorBidi" w:cstheme="majorBidi"/>
          <w:sz w:val="24"/>
          <w:szCs w:val="24"/>
          <w:rtl/>
        </w:rPr>
        <w:t xml:space="preserve">يُرسي نظام حماية البيانات الشخصية الصادر بالمرسوم الملكي رقم م/19 لعام 1443هـ منظومة متكاملة من الالتزامات التي تُقيّد حرية الجهات في جمع البيانات ومعالجتها ونقلها. وحين يستخدم المحامي أداة ذكاء اصطناعي لمعالجة بيانات موكله </w:t>
      </w:r>
      <w:commentRangeStart w:id="60"/>
      <w:commentRangeStart w:id="61"/>
      <w:r>
        <w:rPr>
          <w:rFonts w:asciiTheme="majorBidi" w:hAnsiTheme="majorBidi" w:cstheme="majorBidi"/>
          <w:sz w:val="24"/>
          <w:szCs w:val="24"/>
          <w:rtl/>
        </w:rPr>
        <w:t>—</w:t>
      </w:r>
      <w:commentRangeEnd w:id="60"/>
      <w:r>
        <w:rPr>
          <w:rStyle w:val="af0"/>
          <w:rFonts w:asciiTheme="majorBidi" w:hAnsiTheme="majorBidi" w:cstheme="majorBidi"/>
          <w:sz w:val="24"/>
          <w:szCs w:val="24"/>
          <w:rtl/>
        </w:rPr>
        <w:commentReference w:id="60"/>
      </w:r>
      <w:commentRangeEnd w:id="61"/>
      <w:r>
        <w:rPr>
          <w:rStyle w:val="af0"/>
          <w:rFonts w:asciiTheme="majorBidi" w:hAnsiTheme="majorBidi" w:cstheme="majorBidi"/>
          <w:sz w:val="24"/>
          <w:szCs w:val="24"/>
          <w:rtl/>
        </w:rPr>
        <w:commentReference w:id="61"/>
      </w:r>
      <w:r>
        <w:rPr>
          <w:rFonts w:asciiTheme="majorBidi" w:hAnsiTheme="majorBidi" w:cstheme="majorBidi"/>
          <w:sz w:val="24"/>
          <w:szCs w:val="24"/>
          <w:rtl/>
        </w:rPr>
        <w:t xml:space="preserve"> سواء بإدخال وقائع القضية أو مستندات العقد أو المراسلات </w:t>
      </w:r>
      <w:commentRangeStart w:id="62"/>
      <w:commentRangeStart w:id="63"/>
      <w:r>
        <w:rPr>
          <w:rFonts w:asciiTheme="majorBidi" w:hAnsiTheme="majorBidi" w:cstheme="majorBidi"/>
          <w:sz w:val="24"/>
          <w:szCs w:val="24"/>
          <w:rtl/>
        </w:rPr>
        <w:t>—</w:t>
      </w:r>
      <w:commentRangeEnd w:id="62"/>
      <w:r>
        <w:rPr>
          <w:rStyle w:val="af0"/>
          <w:rFonts w:asciiTheme="majorBidi" w:hAnsiTheme="majorBidi" w:cstheme="majorBidi"/>
          <w:sz w:val="24"/>
          <w:szCs w:val="24"/>
          <w:rtl/>
        </w:rPr>
        <w:commentReference w:id="62"/>
      </w:r>
      <w:commentRangeEnd w:id="63"/>
      <w:r>
        <w:rPr>
          <w:rStyle w:val="af0"/>
          <w:rFonts w:asciiTheme="majorBidi" w:hAnsiTheme="majorBidi" w:cstheme="majorBidi"/>
          <w:sz w:val="24"/>
          <w:szCs w:val="24"/>
          <w:rtl/>
        </w:rPr>
        <w:commentReference w:id="63"/>
      </w:r>
      <w:r>
        <w:rPr>
          <w:rFonts w:asciiTheme="majorBidi" w:hAnsiTheme="majorBidi" w:cstheme="majorBidi"/>
          <w:sz w:val="24"/>
          <w:szCs w:val="24"/>
          <w:rtl/>
        </w:rPr>
        <w:t xml:space="preserve"> فإنه يدخل في دائرة تطبيق هذا النظام بصورة مباشرة. وتتجلى أبرز التعارضات النظامية الجوهرية فيما يلي:</w:t>
      </w:r>
    </w:p>
    <w:p w14:paraId="20C18C7C" w14:textId="77777777" w:rsidR="005705DD" w:rsidRDefault="005705DD" w:rsidP="005705DD">
      <w:pPr>
        <w:bidi/>
        <w:spacing w:after="200" w:line="276" w:lineRule="auto"/>
        <w:rPr>
          <w:rtl/>
        </w:rPr>
      </w:pPr>
      <w:r>
        <w:rPr>
          <w:rFonts w:asciiTheme="majorBidi" w:hAnsiTheme="majorBidi" w:cstheme="majorBidi"/>
          <w:sz w:val="24"/>
          <w:szCs w:val="24"/>
          <w:rtl/>
        </w:rPr>
        <w:t>أ — إشكالية الموافقة الصريحة: تشترط المادة الخامسة من النظام الحصولَ على موافقة صريحة لمعالجة البيانات. وقد نبّه جانب من الفقه إلى أن</w:t>
      </w:r>
      <w:commentRangeStart w:id="64"/>
      <w:commentRangeStart w:id="65"/>
      <w:commentRangeEnd w:id="64"/>
      <w:r>
        <w:rPr>
          <w:rStyle w:val="af0"/>
          <w:rFonts w:asciiTheme="majorBidi" w:hAnsiTheme="majorBidi" w:cstheme="majorBidi"/>
          <w:sz w:val="24"/>
          <w:szCs w:val="24"/>
          <w:rtl/>
        </w:rPr>
        <w:commentReference w:id="64"/>
      </w:r>
      <w:commentRangeEnd w:id="65"/>
      <w:r>
        <w:rPr>
          <w:rStyle w:val="af0"/>
          <w:rFonts w:asciiTheme="majorBidi" w:hAnsiTheme="majorBidi" w:cstheme="majorBidi"/>
          <w:sz w:val="24"/>
          <w:szCs w:val="24"/>
          <w:rtl/>
        </w:rPr>
        <w:commentReference w:id="65"/>
      </w:r>
      <w:r>
        <w:rPr>
          <w:rFonts w:asciiTheme="majorBidi" w:hAnsiTheme="majorBidi" w:cstheme="majorBidi"/>
          <w:sz w:val="24"/>
          <w:szCs w:val="24"/>
          <w:rtl/>
        </w:rPr>
        <w:t xml:space="preserve"> كثيراً من نماذج التوكيل التقليدية في المكاتب القانونية السعودية لا تتضمن صياغةً صريحة تُخوّل المحامي استخدام أدوات ذكاء اصطناعي خارجية في معالجة بيانات الموكل، مما يجعل هذا الاستخدام مشكوكاً في انسجامه مع متطلبات الموافقة المستنيرة </w:t>
      </w:r>
      <w:r>
        <w:rPr>
          <w:rFonts w:asciiTheme="majorBidi" w:hAnsiTheme="majorBidi" w:cstheme="majorBidi"/>
          <w:sz w:val="24"/>
          <w:szCs w:val="24"/>
          <w:vertAlign w:val="superscript"/>
          <w:rtl/>
        </w:rPr>
        <w:footnoteReference w:id="288"/>
      </w:r>
      <w:r>
        <w:rPr>
          <w:rFonts w:asciiTheme="majorBidi" w:hAnsiTheme="majorBidi" w:cstheme="majorBidi"/>
          <w:sz w:val="24"/>
          <w:szCs w:val="24"/>
          <w:rtl/>
        </w:rPr>
        <w:t>.</w:t>
      </w:r>
    </w:p>
    <w:p w14:paraId="3C373635" w14:textId="77777777" w:rsidR="005705DD" w:rsidRDefault="005705DD" w:rsidP="005705DD">
      <w:pPr>
        <w:bidi/>
        <w:spacing w:after="200" w:line="276" w:lineRule="auto"/>
        <w:rPr>
          <w:rtl/>
        </w:rPr>
      </w:pPr>
      <w:r>
        <w:rPr>
          <w:rFonts w:asciiTheme="majorBidi" w:hAnsiTheme="majorBidi" w:cstheme="majorBidi"/>
          <w:sz w:val="24"/>
          <w:szCs w:val="24"/>
          <w:rtl/>
        </w:rPr>
        <w:lastRenderedPageBreak/>
        <w:t xml:space="preserve">ب — إشكالية نقل البيانات خارج المملكة: تحظر المادة (التاسعة والعشرون) من النظام نقل البيانات الشخصية إلى خارج المملكة أو الإفصاح عنها لجهة خارجها إلا وفق ضوابط محددة، منها تقديم ضمانات كافية للمحافظة على البيانات وسريتها والاقتصار على الحد الأدنى منها. وتُعدّ هذه المادة من أكثر أحكام النظام إشكاليةً في سياق استخدام الأدوات الذكية الأجنبية كـChatGPT وHarvey وLuminance، إذ تُعالَج البيانات المُدخَلة في هذه الأدوات على خوادم تقع في الولايات المتحدة أو أوروبا، وهو ما يُشكّل نقلاً للبيانات خارج الحدود دون المرور بالإجراءات التي رسمها النظام. وقد أشار الدليل الاسترشادي لتقويم مخاطر نقل البيانات الشخصية إلى خارج المملكة الصادر عن سدايا (فبراير 2025م) صراحةً إلى أن الجهات المعالِجة يجب أن تجري تقييم أثر (DPIA) قبل نقل البيانات إلى منصات سحابية خارجية </w:t>
      </w:r>
      <w:r>
        <w:rPr>
          <w:rFonts w:asciiTheme="majorBidi" w:hAnsiTheme="majorBidi" w:cstheme="majorBidi"/>
          <w:sz w:val="24"/>
          <w:szCs w:val="24"/>
          <w:vertAlign w:val="superscript"/>
          <w:rtl/>
        </w:rPr>
        <w:footnoteReference w:id="289"/>
      </w:r>
      <w:r>
        <w:rPr>
          <w:rFonts w:asciiTheme="majorBidi" w:hAnsiTheme="majorBidi" w:cstheme="majorBidi"/>
          <w:sz w:val="24"/>
          <w:szCs w:val="24"/>
          <w:rtl/>
        </w:rPr>
        <w:t>.</w:t>
      </w:r>
    </w:p>
    <w:p w14:paraId="2D275BD5" w14:textId="77777777" w:rsidR="005705DD" w:rsidRDefault="005705DD" w:rsidP="005705DD">
      <w:pPr>
        <w:bidi/>
        <w:spacing w:after="200" w:line="276" w:lineRule="auto"/>
        <w:rPr>
          <w:rtl/>
        </w:rPr>
      </w:pPr>
      <w:r>
        <w:rPr>
          <w:rFonts w:asciiTheme="majorBidi" w:hAnsiTheme="majorBidi" w:cstheme="majorBidi"/>
          <w:sz w:val="24"/>
          <w:szCs w:val="24"/>
          <w:rtl/>
        </w:rPr>
        <w:t xml:space="preserve">ج — إشكالية الغرض المحدد ومبدأ التناسب: توجب المادة (الحادية عشرة) من النظام أن تكون أغراض جمع البيانات ذات ارتباط مباشر بأغراض جهة التحكم، وأن يقتصر الجمع على الحد الأدنى اللازم لتحقيق الغرض. وحين يُدخل المحامي بيانات موكله في أداة ذكاء اصطناعي توليدي تستخدم هذه البيانات لتدريب نماذجها المستقبلية — وهو ما تنص عليه شروط الاستخدام لبعض هذه الأدوات — فإن ذلك يُخرج المعالجة عن نطاق الغرض الأصلي المأذون </w:t>
      </w:r>
      <w:commentRangeStart w:id="66"/>
      <w:commentRangeStart w:id="67"/>
      <w:r>
        <w:rPr>
          <w:rFonts w:asciiTheme="majorBidi" w:hAnsiTheme="majorBidi" w:cstheme="majorBidi"/>
          <w:sz w:val="24"/>
          <w:szCs w:val="24"/>
          <w:rtl/>
        </w:rPr>
        <w:t>به. وقد نبّه جانب من الفقه إلى أن</w:t>
      </w:r>
      <w:commentRangeEnd w:id="66"/>
      <w:r>
        <w:rPr>
          <w:rStyle w:val="af0"/>
          <w:rFonts w:asciiTheme="majorBidi" w:hAnsiTheme="majorBidi" w:cstheme="majorBidi"/>
          <w:sz w:val="24"/>
          <w:szCs w:val="24"/>
          <w:rtl/>
        </w:rPr>
        <w:commentReference w:id="66"/>
      </w:r>
      <w:commentRangeEnd w:id="67"/>
      <w:r>
        <w:rPr>
          <w:rStyle w:val="af0"/>
          <w:rFonts w:asciiTheme="majorBidi" w:hAnsiTheme="majorBidi" w:cstheme="majorBidi"/>
          <w:sz w:val="24"/>
          <w:szCs w:val="24"/>
          <w:rtl/>
        </w:rPr>
        <w:commentReference w:id="67"/>
      </w:r>
      <w:r>
        <w:rPr>
          <w:rFonts w:asciiTheme="majorBidi" w:hAnsiTheme="majorBidi" w:cstheme="majorBidi"/>
          <w:sz w:val="24"/>
          <w:szCs w:val="24"/>
          <w:rtl/>
        </w:rPr>
        <w:t xml:space="preserve"> إدخال وقائع قضية حساسة في نموذج ذكاء اصطناعي مفتوح قد يُشكّل انتهاكاً لنظام حماية البيانات الشخصية بصرف النظر عن النية </w:t>
      </w:r>
      <w:r>
        <w:rPr>
          <w:rFonts w:asciiTheme="majorBidi" w:hAnsiTheme="majorBidi" w:cstheme="majorBidi"/>
          <w:sz w:val="24"/>
          <w:szCs w:val="24"/>
          <w:vertAlign w:val="superscript"/>
          <w:rtl/>
        </w:rPr>
        <w:footnoteReference w:id="290"/>
      </w:r>
      <w:r>
        <w:rPr>
          <w:rFonts w:asciiTheme="majorBidi" w:hAnsiTheme="majorBidi" w:cstheme="majorBidi"/>
          <w:sz w:val="24"/>
          <w:szCs w:val="24"/>
          <w:rtl/>
        </w:rPr>
        <w:t>.</w:t>
      </w:r>
    </w:p>
    <w:p w14:paraId="59FAC648" w14:textId="77777777" w:rsidR="005705DD" w:rsidRDefault="005705DD" w:rsidP="005705DD">
      <w:pPr>
        <w:bidi/>
        <w:spacing w:after="200" w:line="276" w:lineRule="auto"/>
        <w:rPr>
          <w:rtl/>
        </w:rPr>
      </w:pPr>
      <w:r>
        <w:rPr>
          <w:rFonts w:asciiTheme="majorBidi" w:hAnsiTheme="majorBidi" w:cstheme="majorBidi"/>
          <w:b/>
          <w:sz w:val="28"/>
          <w:szCs w:val="28"/>
          <w:rtl/>
        </w:rPr>
        <w:t>ثانياً: التوافق مع نظام التعاملات الإلكترونية ونظام الإثبات</w:t>
      </w:r>
    </w:p>
    <w:p w14:paraId="04959213" w14:textId="77777777" w:rsidR="005705DD" w:rsidRDefault="005705DD" w:rsidP="005705DD">
      <w:pPr>
        <w:bidi/>
        <w:spacing w:after="200" w:line="276" w:lineRule="auto"/>
        <w:rPr>
          <w:rtl/>
        </w:rPr>
      </w:pPr>
      <w:r>
        <w:rPr>
          <w:rFonts w:asciiTheme="majorBidi" w:hAnsiTheme="majorBidi" w:cstheme="majorBidi"/>
          <w:sz w:val="24"/>
          <w:szCs w:val="24"/>
          <w:rtl/>
        </w:rPr>
        <w:t>يُتيح نظام التعاملات الإلكترونية الصادر بالمرسوم الملكي م/18 لعام 1428هـ الاعترافَ بصحة العقود المبرمة إلكترونياً والتوقيعات الإلكترونية متى استوفت الشروط المقررة نظاماً. وهذا الإقرار يُمهّد من الناحية المبدئية قبول مخرجات الذكاء الاصطناعي القانوني كوسيلة لتحضير العقود والوثائق. غير أن نظام الإثبات الصادر بالمرسوم الملكي رقم (م/43) لعام 1443هـ — وتحديداً المواد (54) إلى (57) منه الخاصة بالدليل الرقمي — يضع شروطاً للحجية تتعلق بإمكانية نسبة المستند إلى صاحبه وسلامة وسيلة حفظه، وهو ما يُثير تساؤلات جدية حول الوثائق المنتجة آلياً.</w:t>
      </w:r>
    </w:p>
    <w:p w14:paraId="7911952D" w14:textId="77777777" w:rsidR="005705DD" w:rsidRDefault="005705DD" w:rsidP="005705DD">
      <w:pPr>
        <w:bidi/>
        <w:spacing w:after="200" w:line="276" w:lineRule="auto"/>
        <w:rPr>
          <w:rtl/>
        </w:rPr>
      </w:pPr>
      <w:r>
        <w:rPr>
          <w:rFonts w:asciiTheme="majorBidi" w:hAnsiTheme="majorBidi" w:cstheme="majorBidi"/>
          <w:sz w:val="24"/>
          <w:szCs w:val="24"/>
          <w:rtl/>
        </w:rPr>
        <w:t>فمن حيث حجية مخرجات الذكاء الاصطناعي، لا يُشكّل نظام الإثبات الحالي حاجزاً مانعاً صريحاً أمام الوثائق الذكية، لكنه لا يُقرّها صراحةً أيضاً، مما يترك المسألة معلقةً بالسلطة التقديرية للقاضي</w:t>
      </w:r>
      <w:commentRangeStart w:id="68"/>
      <w:commentRangeStart w:id="69"/>
      <w:r>
        <w:rPr>
          <w:rFonts w:asciiTheme="majorBidi" w:hAnsiTheme="majorBidi" w:cstheme="majorBidi"/>
          <w:sz w:val="24"/>
          <w:szCs w:val="24"/>
          <w:rtl/>
        </w:rPr>
        <w:t>. وقد أشار جانب من الفقه إلى أن</w:t>
      </w:r>
      <w:commentRangeEnd w:id="68"/>
      <w:r>
        <w:rPr>
          <w:rStyle w:val="af0"/>
          <w:rFonts w:asciiTheme="majorBidi" w:hAnsiTheme="majorBidi" w:cstheme="majorBidi"/>
          <w:sz w:val="24"/>
          <w:szCs w:val="24"/>
          <w:rtl/>
        </w:rPr>
        <w:commentReference w:id="68"/>
      </w:r>
      <w:commentRangeEnd w:id="69"/>
      <w:r>
        <w:rPr>
          <w:rStyle w:val="af0"/>
          <w:rFonts w:asciiTheme="majorBidi" w:hAnsiTheme="majorBidi" w:cstheme="majorBidi"/>
          <w:sz w:val="24"/>
          <w:szCs w:val="24"/>
          <w:rtl/>
        </w:rPr>
        <w:commentReference w:id="69"/>
      </w:r>
      <w:r>
        <w:rPr>
          <w:rFonts w:asciiTheme="majorBidi" w:hAnsiTheme="majorBidi" w:cstheme="majorBidi"/>
          <w:sz w:val="24"/>
          <w:szCs w:val="24"/>
          <w:rtl/>
        </w:rPr>
        <w:t xml:space="preserve"> حجية التصرفات القانونية في البيئة الرقمية ترتبط أساساً بإمكانية التحقق من المصدر وسلامة المحتوى وقابلية تتبع التعديلات، وهو ما لا تُوفّره كثير من مخرجات الأنظمة التوليدية التي قد تبدو متسقة ظاهرياً لكنها تفتقر إلى مسار شفاف لتكوين المضمون </w:t>
      </w:r>
      <w:r>
        <w:rPr>
          <w:rFonts w:asciiTheme="majorBidi" w:hAnsiTheme="majorBidi" w:cstheme="majorBidi"/>
          <w:sz w:val="24"/>
          <w:szCs w:val="24"/>
          <w:vertAlign w:val="superscript"/>
          <w:rtl/>
        </w:rPr>
        <w:footnoteReference w:id="291"/>
      </w:r>
      <w:r>
        <w:rPr>
          <w:rFonts w:asciiTheme="majorBidi" w:hAnsiTheme="majorBidi" w:cstheme="majorBidi"/>
          <w:sz w:val="24"/>
          <w:szCs w:val="24"/>
          <w:rtl/>
        </w:rPr>
        <w:t>.</w:t>
      </w:r>
    </w:p>
    <w:p w14:paraId="3294DAFB" w14:textId="77777777" w:rsidR="005705DD" w:rsidRDefault="005705DD" w:rsidP="005705DD">
      <w:pPr>
        <w:bidi/>
        <w:spacing w:after="200" w:line="276" w:lineRule="auto"/>
        <w:rPr>
          <w:rtl/>
        </w:rPr>
      </w:pPr>
      <w:r>
        <w:rPr>
          <w:rFonts w:asciiTheme="majorBidi" w:hAnsiTheme="majorBidi" w:cstheme="majorBidi"/>
          <w:sz w:val="24"/>
          <w:szCs w:val="24"/>
          <w:rtl/>
        </w:rPr>
        <w:t xml:space="preserve">وفي هذا السياق، يُشدّد مركز الدراسات والبحوث القانونية التابع لوزارة العدل (2024م) على أن نظام الإثبات السعودي يُتيح قبول الأدلة الرقمية بما فيها مخرجات الأنظمة الذكية، لكن ذلك مشروط بضمان صحة الأداة الذكية المولِّدة للدليل وخلوّها من التحيز، مما يُلقي على عاتق المحامي عبء إثبات مصداقية الأداة ذاتها قبل الاستناد إلى مخرجاتها، وهو عبء إثبات لم يكن قائماً في ظل أساليب العمل التقليدية </w:t>
      </w:r>
      <w:r>
        <w:rPr>
          <w:rFonts w:asciiTheme="majorBidi" w:hAnsiTheme="majorBidi" w:cstheme="majorBidi"/>
          <w:sz w:val="24"/>
          <w:szCs w:val="24"/>
          <w:vertAlign w:val="superscript"/>
          <w:rtl/>
        </w:rPr>
        <w:footnoteReference w:id="292"/>
      </w:r>
      <w:r>
        <w:rPr>
          <w:rFonts w:asciiTheme="majorBidi" w:hAnsiTheme="majorBidi" w:cstheme="majorBidi"/>
          <w:sz w:val="24"/>
          <w:szCs w:val="24"/>
          <w:rtl/>
        </w:rPr>
        <w:t>.</w:t>
      </w:r>
    </w:p>
    <w:p w14:paraId="13A19DF0" w14:textId="77777777" w:rsidR="005705DD" w:rsidRDefault="005705DD" w:rsidP="005705DD">
      <w:pPr>
        <w:bidi/>
        <w:spacing w:after="200" w:line="276" w:lineRule="auto"/>
        <w:rPr>
          <w:rtl/>
        </w:rPr>
      </w:pPr>
      <w:r>
        <w:rPr>
          <w:rFonts w:asciiTheme="majorBidi" w:hAnsiTheme="majorBidi" w:cstheme="majorBidi"/>
          <w:b/>
          <w:sz w:val="28"/>
          <w:szCs w:val="28"/>
          <w:rtl/>
        </w:rPr>
        <w:t>ثالثاً: الإطار التنظيمي لسدايا وتطبيقه على مكاتب المحاماة</w:t>
      </w:r>
    </w:p>
    <w:p w14:paraId="3A34AFFE"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أصدرت الهيئة السعودية للبيانات والذكاء الاصطناعي (سدايا) جملةً من الوثائق التنظيمية ذات الصلة بموضوع الدراسة، أبرزها ثلاث وثائق تُشكّل معاً الإطار التنظيمي الناعم لتوظيف الذكاء الاصطناعي في القطاعات المهنية السعودية، وإن كانت ذات طابع توجيهي استرشادي في مراحلها الراهنة أكثر من كونها إلزاميةً بنص صريح:</w:t>
      </w:r>
    </w:p>
    <w:p w14:paraId="125078C5" w14:textId="77777777" w:rsidR="005705DD" w:rsidRDefault="005705DD" w:rsidP="005705DD">
      <w:pPr>
        <w:bidi/>
        <w:spacing w:after="200" w:line="276" w:lineRule="auto"/>
        <w:rPr>
          <w:rtl/>
        </w:rPr>
      </w:pPr>
      <w:r>
        <w:rPr>
          <w:rFonts w:asciiTheme="majorBidi" w:hAnsiTheme="majorBidi" w:cstheme="majorBidi"/>
          <w:sz w:val="24"/>
          <w:szCs w:val="24"/>
          <w:rtl/>
        </w:rPr>
        <w:t xml:space="preserve">الوثيقة الأولى: مبادئ أخلاقيات الذكاء الاصطناعي </w:t>
      </w:r>
      <w:r>
        <w:rPr>
          <w:rFonts w:asciiTheme="majorBidi" w:hAnsiTheme="majorBidi" w:cstheme="majorBidi"/>
          <w:sz w:val="24"/>
          <w:szCs w:val="24"/>
          <w:vertAlign w:val="superscript"/>
          <w:rtl/>
        </w:rPr>
        <w:footnoteReference w:id="293"/>
      </w:r>
      <w:r>
        <w:rPr>
          <w:rFonts w:asciiTheme="majorBidi" w:hAnsiTheme="majorBidi" w:cstheme="majorBidi"/>
          <w:sz w:val="24"/>
          <w:szCs w:val="24"/>
          <w:rtl/>
        </w:rPr>
        <w:t xml:space="preserve">، التي أرست ثمانية مبادئ جوهرية تشمل: الأمان والموثوقية، والعدالة وعدم التحيز، والشفافية، والخصوصية، والمساءلة، والاستدامة، واحترام القيم والتنوع الثقافي، وخدمة الإنسانية. وتنص الوثيقة صراحةً على أن: "يجب على نظام الذكاء الاصطناعي العمل على تقليل المخاطر المحتملة والأضرار غير المقصودة إلى أدنى حد ممكن" </w:t>
      </w:r>
      <w:r>
        <w:rPr>
          <w:rFonts w:asciiTheme="majorBidi" w:hAnsiTheme="majorBidi" w:cstheme="majorBidi"/>
          <w:sz w:val="24"/>
          <w:szCs w:val="24"/>
          <w:vertAlign w:val="superscript"/>
          <w:rtl/>
        </w:rPr>
        <w:footnoteReference w:id="294"/>
      </w:r>
      <w:r>
        <w:rPr>
          <w:rFonts w:asciiTheme="majorBidi" w:hAnsiTheme="majorBidi" w:cstheme="majorBidi"/>
          <w:sz w:val="24"/>
          <w:szCs w:val="24"/>
          <w:rtl/>
        </w:rPr>
        <w:t>. وهذا المبدأ يُلزم — من منظور أخلاقي مهني — مكاتبَ المحاماة باختيار أدوات ذكية تتحلى بالموثوقية والشفافية لا مجرد الكفاءة.</w:t>
      </w:r>
    </w:p>
    <w:p w14:paraId="3435DAB5" w14:textId="77777777" w:rsidR="005705DD" w:rsidRDefault="005705DD" w:rsidP="005705DD">
      <w:pPr>
        <w:bidi/>
        <w:spacing w:after="200" w:line="276" w:lineRule="auto"/>
        <w:rPr>
          <w:rtl/>
        </w:rPr>
      </w:pPr>
      <w:commentRangeStart w:id="70"/>
      <w:commentRangeStart w:id="71"/>
      <w:r>
        <w:rPr>
          <w:rFonts w:asciiTheme="majorBidi" w:hAnsiTheme="majorBidi" w:cstheme="majorBidi"/>
          <w:sz w:val="24"/>
          <w:szCs w:val="24"/>
          <w:rtl/>
        </w:rPr>
        <w:t xml:space="preserve">الوثيقة الثانية: إطار تبني الذكاء الاصطناعي </w:t>
      </w:r>
      <w:r>
        <w:rPr>
          <w:rFonts w:asciiTheme="majorBidi" w:hAnsiTheme="majorBidi" w:cstheme="majorBidi"/>
          <w:sz w:val="24"/>
          <w:szCs w:val="24"/>
          <w:vertAlign w:val="superscript"/>
          <w:rtl/>
        </w:rPr>
        <w:footnoteReference w:id="295"/>
      </w:r>
      <w:r>
        <w:rPr>
          <w:rFonts w:asciiTheme="majorBidi" w:hAnsiTheme="majorBidi" w:cstheme="majorBidi"/>
          <w:sz w:val="24"/>
          <w:szCs w:val="24"/>
          <w:rtl/>
        </w:rPr>
        <w:t xml:space="preserve">، التي تُحدد ستة ركائز لتبني الذكاء الاصطناعي بصورة محوكمة ومسؤولة في المنظمات السعودية، تشمل: التأسيس، وتحديد التوجه، وتقييم النضج والجاهزية، وتفعيل التبني، وبناء الممكّنات، والمتابعة والتحسين المستمر. وتُلزم الوثيقة المنظمات بتأسيس وحدة مختصة بالذكاء الاصطناعي وبناء قدرات بشرية مؤهلة لإدارته </w:t>
      </w:r>
      <w:r>
        <w:rPr>
          <w:rFonts w:asciiTheme="majorBidi" w:hAnsiTheme="majorBidi" w:cstheme="majorBidi"/>
          <w:sz w:val="24"/>
          <w:szCs w:val="24"/>
          <w:vertAlign w:val="superscript"/>
          <w:rtl/>
        </w:rPr>
        <w:footnoteReference w:id="296"/>
      </w:r>
      <w:r>
        <w:rPr>
          <w:rFonts w:asciiTheme="majorBidi" w:hAnsiTheme="majorBidi" w:cstheme="majorBidi"/>
          <w:sz w:val="24"/>
          <w:szCs w:val="24"/>
          <w:rtl/>
        </w:rPr>
        <w:t>. والواقع الميداني يكشف عن هوة واسعة بين هذه المتطلبات وما تُطبّقه أغلب مكاتب المحاماة السعودية، لا سيما المكاتب الصغيرة والمتوسطة.</w:t>
      </w:r>
    </w:p>
    <w:p w14:paraId="111433FD" w14:textId="77777777" w:rsidR="005705DD" w:rsidRDefault="005705DD" w:rsidP="005705DD">
      <w:pPr>
        <w:bidi/>
        <w:spacing w:after="200" w:line="276" w:lineRule="auto"/>
        <w:rPr>
          <w:rtl/>
        </w:rPr>
      </w:pPr>
      <w:r>
        <w:rPr>
          <w:rFonts w:asciiTheme="majorBidi" w:hAnsiTheme="majorBidi" w:cstheme="majorBidi"/>
          <w:sz w:val="24"/>
          <w:szCs w:val="24"/>
          <w:rtl/>
        </w:rPr>
        <w:t xml:space="preserve">الوثيقة الثالثة: الدليل الاسترشادي لتقويم مخاطر نقل البيانات الشخصية إلى خارج المملكة </w:t>
      </w:r>
      <w:r>
        <w:rPr>
          <w:rFonts w:asciiTheme="majorBidi" w:hAnsiTheme="majorBidi" w:cstheme="majorBidi"/>
          <w:sz w:val="24"/>
          <w:szCs w:val="24"/>
          <w:vertAlign w:val="superscript"/>
          <w:rtl/>
        </w:rPr>
        <w:footnoteReference w:id="297"/>
      </w:r>
      <w:r>
        <w:rPr>
          <w:rFonts w:asciiTheme="majorBidi" w:hAnsiTheme="majorBidi" w:cstheme="majorBidi"/>
          <w:sz w:val="24"/>
          <w:szCs w:val="24"/>
          <w:rtl/>
        </w:rPr>
        <w:t xml:space="preserve">، الذي يُوجّه المنظمات إلى إجراء تقييم مخاطر منظم قبل نقل أي بيانات إلى منصات </w:t>
      </w:r>
      <w:commentRangeEnd w:id="70"/>
      <w:r>
        <w:rPr>
          <w:rStyle w:val="af0"/>
          <w:rFonts w:asciiTheme="majorBidi" w:hAnsiTheme="majorBidi" w:cstheme="majorBidi"/>
          <w:sz w:val="24"/>
          <w:szCs w:val="24"/>
          <w:rtl/>
        </w:rPr>
        <w:commentReference w:id="70"/>
      </w:r>
      <w:commentRangeEnd w:id="71"/>
      <w:r>
        <w:rPr>
          <w:rStyle w:val="af0"/>
          <w:rFonts w:asciiTheme="majorBidi" w:hAnsiTheme="majorBidi" w:cstheme="majorBidi"/>
          <w:sz w:val="24"/>
          <w:szCs w:val="24"/>
          <w:rtl/>
        </w:rPr>
        <w:commentReference w:id="71"/>
      </w:r>
      <w:r>
        <w:rPr>
          <w:rFonts w:asciiTheme="majorBidi" w:hAnsiTheme="majorBidi" w:cstheme="majorBidi"/>
          <w:sz w:val="24"/>
          <w:szCs w:val="24"/>
          <w:rtl/>
        </w:rPr>
        <w:t>سحابية خارجية. ويُعدّ هذا الدليل ذا أهمية قصوى بالنسبة لمكاتب المحاماة المستخدِمة لأدوات ذكاء اصطناعي أجنبية، إذ يُلزمها بإجراء تقييم أثر على حماية البيانات (DPIA) قبل أي معالجة خارجية.</w:t>
      </w:r>
    </w:p>
    <w:p w14:paraId="4F1B2968" w14:textId="77777777" w:rsidR="005705DD" w:rsidRDefault="005705DD" w:rsidP="005705DD">
      <w:pPr>
        <w:bidi/>
        <w:spacing w:after="200" w:line="276" w:lineRule="auto"/>
        <w:rPr>
          <w:rtl/>
        </w:rPr>
      </w:pPr>
      <w:r>
        <w:rPr>
          <w:rFonts w:asciiTheme="majorBidi" w:hAnsiTheme="majorBidi" w:cstheme="majorBidi"/>
          <w:sz w:val="24"/>
          <w:szCs w:val="24"/>
          <w:rtl/>
        </w:rPr>
        <w:t xml:space="preserve">غير أن القيمة التطبيقية لهذه الوثائق في القطاع القانوني تظل محدودة ما لم تُفصَّل في لوائح تنفيذية مُلزِمة تُحدّد آليات الالتزام وعقوبات المخالفة وجهات الرقابة المختصة. وقد أشار رجب (2023م) في دراسته المقارنة حول دور الدولة في تأطير أخلاقيات الذكاء الاصطناعي إلى أن الوثائق الأخلاقية الاستشارية تُمثّل نقطة انطلاق ضرورية، لكنها لا تُعوّض عن التشريع الصريح الملزم </w:t>
      </w:r>
      <w:r>
        <w:rPr>
          <w:rFonts w:asciiTheme="majorBidi" w:hAnsiTheme="majorBidi" w:cstheme="majorBidi"/>
          <w:sz w:val="24"/>
          <w:szCs w:val="24"/>
          <w:vertAlign w:val="superscript"/>
          <w:rtl/>
        </w:rPr>
        <w:footnoteReference w:id="298"/>
      </w:r>
      <w:r>
        <w:rPr>
          <w:rFonts w:asciiTheme="majorBidi" w:hAnsiTheme="majorBidi" w:cstheme="majorBidi"/>
          <w:sz w:val="24"/>
          <w:szCs w:val="24"/>
          <w:rtl/>
        </w:rPr>
        <w:t>.</w:t>
      </w:r>
    </w:p>
    <w:p w14:paraId="601052F8" w14:textId="77777777" w:rsidR="005705DD" w:rsidRDefault="005705DD" w:rsidP="005705DD">
      <w:pPr>
        <w:bidi/>
        <w:spacing w:after="200" w:line="276" w:lineRule="auto"/>
        <w:rPr>
          <w:rtl/>
        </w:rPr>
      </w:pPr>
      <w:r>
        <w:rPr>
          <w:rFonts w:asciiTheme="majorBidi" w:hAnsiTheme="majorBidi" w:cstheme="majorBidi"/>
          <w:b/>
          <w:sz w:val="28"/>
          <w:szCs w:val="28"/>
          <w:rtl/>
        </w:rPr>
        <w:t>رابعاً: إشكالية الأدوات الأجنبية وسيادة البيانات القانونية</w:t>
      </w:r>
    </w:p>
    <w:p w14:paraId="6D4BEC47" w14:textId="77777777" w:rsidR="005705DD" w:rsidRDefault="005705DD" w:rsidP="005705DD">
      <w:pPr>
        <w:bidi/>
        <w:spacing w:after="200" w:line="276" w:lineRule="auto"/>
        <w:rPr>
          <w:rtl/>
        </w:rPr>
      </w:pPr>
      <w:r>
        <w:rPr>
          <w:rFonts w:asciiTheme="majorBidi" w:hAnsiTheme="majorBidi" w:cstheme="majorBidi"/>
          <w:sz w:val="24"/>
          <w:szCs w:val="24"/>
          <w:rtl/>
        </w:rPr>
        <w:t>تُشكّل الأدوات الأجنبية نسبة مرتفعة من الأدوات الذكية المستخدمة في مكاتب المحاماة السعودية، وهو ما يُفرز إشكاليات متعددة الأبعاد يمكن إيجازها في ثلاثة محاور:</w:t>
      </w:r>
    </w:p>
    <w:p w14:paraId="14B4471F"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الأول — إشكالية سيادة البيانات: تُعالَج بيانات القضايا الحساسة — بما فيها وقائع القضايا التجارية وبيانات الموكلين الشخصية والمراسلات القانونية السرية — على خوادم أجنبية خارج نطاق الولاية القضائية السعودية. وقد أوضحت الأمين في سياق مناقشتها لمتطلبات نظام حماية البيانات أن تدفق البيانات الحساسة من </w:t>
      </w:r>
      <w:r>
        <w:rPr>
          <w:rFonts w:asciiTheme="majorBidi" w:hAnsiTheme="majorBidi" w:cstheme="majorBidi"/>
          <w:sz w:val="24"/>
          <w:szCs w:val="24"/>
          <w:rtl/>
        </w:rPr>
        <w:lastRenderedPageBreak/>
        <w:t xml:space="preserve">ملفات الدعاوى إلى منصات سحابية أجنبية يُشكّل ثغرة تشريعية بالغة الخطورة، لا سيما في القضايا التي تمس مصالح الدولة أو المؤسسات الحيوية </w:t>
      </w:r>
      <w:r>
        <w:rPr>
          <w:rFonts w:asciiTheme="majorBidi" w:hAnsiTheme="majorBidi" w:cstheme="majorBidi"/>
          <w:sz w:val="24"/>
          <w:szCs w:val="24"/>
          <w:vertAlign w:val="superscript"/>
          <w:rtl/>
        </w:rPr>
        <w:footnoteReference w:id="299"/>
      </w:r>
      <w:r>
        <w:rPr>
          <w:rFonts w:asciiTheme="majorBidi" w:hAnsiTheme="majorBidi" w:cstheme="majorBidi"/>
          <w:sz w:val="24"/>
          <w:szCs w:val="24"/>
          <w:rtl/>
        </w:rPr>
        <w:t>.</w:t>
      </w:r>
    </w:p>
    <w:p w14:paraId="63193651"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الثاني — إشكالية الازدواجية التشريعية: تخضع هذه الأدوات لأنظمة ولوائح أجنبية </w:t>
      </w:r>
      <w:commentRangeStart w:id="72"/>
      <w:commentRangeStart w:id="73"/>
      <w:r>
        <w:rPr>
          <w:rFonts w:asciiTheme="majorBidi" w:hAnsiTheme="majorBidi" w:cstheme="majorBidi"/>
          <w:sz w:val="24"/>
          <w:szCs w:val="24"/>
          <w:rtl/>
        </w:rPr>
        <w:t>—</w:t>
      </w:r>
      <w:commentRangeEnd w:id="72"/>
      <w:r>
        <w:rPr>
          <w:rStyle w:val="af0"/>
          <w:rFonts w:asciiTheme="majorBidi" w:hAnsiTheme="majorBidi" w:cstheme="majorBidi"/>
          <w:sz w:val="24"/>
          <w:szCs w:val="24"/>
          <w:rtl/>
        </w:rPr>
        <w:commentReference w:id="72"/>
      </w:r>
      <w:commentRangeEnd w:id="73"/>
      <w:r>
        <w:rPr>
          <w:rStyle w:val="af0"/>
          <w:rFonts w:asciiTheme="majorBidi" w:hAnsiTheme="majorBidi" w:cstheme="majorBidi"/>
          <w:sz w:val="24"/>
          <w:szCs w:val="24"/>
          <w:rtl/>
        </w:rPr>
        <w:commentReference w:id="73"/>
      </w:r>
      <w:r>
        <w:rPr>
          <w:rFonts w:asciiTheme="majorBidi" w:hAnsiTheme="majorBidi" w:cstheme="majorBidi"/>
          <w:sz w:val="24"/>
          <w:szCs w:val="24"/>
          <w:rtl/>
        </w:rPr>
        <w:t xml:space="preserve"> كاللائحة الأوروبية GDPR أو قانون الذكاء الاصطناعي الأوروبي EU AI Act الصادر عام 2024م </w:t>
      </w:r>
      <w:commentRangeStart w:id="74"/>
      <w:commentRangeStart w:id="75"/>
      <w:r>
        <w:rPr>
          <w:rFonts w:asciiTheme="majorBidi" w:hAnsiTheme="majorBidi" w:cstheme="majorBidi"/>
          <w:sz w:val="24"/>
          <w:szCs w:val="24"/>
          <w:rtl/>
        </w:rPr>
        <w:t>—</w:t>
      </w:r>
      <w:commentRangeEnd w:id="74"/>
      <w:r>
        <w:rPr>
          <w:rStyle w:val="af0"/>
          <w:rFonts w:asciiTheme="majorBidi" w:hAnsiTheme="majorBidi" w:cstheme="majorBidi"/>
          <w:sz w:val="24"/>
          <w:szCs w:val="24"/>
          <w:rtl/>
        </w:rPr>
        <w:commentReference w:id="74"/>
      </w:r>
      <w:commentRangeEnd w:id="75"/>
      <w:r>
        <w:rPr>
          <w:rStyle w:val="af0"/>
          <w:rFonts w:asciiTheme="majorBidi" w:hAnsiTheme="majorBidi" w:cstheme="majorBidi"/>
          <w:sz w:val="24"/>
          <w:szCs w:val="24"/>
          <w:rtl/>
        </w:rPr>
        <w:commentReference w:id="75"/>
      </w:r>
      <w:r>
        <w:rPr>
          <w:rFonts w:asciiTheme="majorBidi" w:hAnsiTheme="majorBidi" w:cstheme="majorBidi"/>
          <w:sz w:val="24"/>
          <w:szCs w:val="24"/>
          <w:rtl/>
        </w:rPr>
        <w:t xml:space="preserve"> قد تتعارض </w:t>
      </w:r>
      <w:commentRangeStart w:id="76"/>
      <w:commentRangeStart w:id="77"/>
      <w:r>
        <w:rPr>
          <w:rFonts w:asciiTheme="majorBidi" w:hAnsiTheme="majorBidi" w:cstheme="majorBidi"/>
          <w:sz w:val="24"/>
          <w:szCs w:val="24"/>
          <w:rtl/>
        </w:rPr>
        <w:t>أحياناً مع المتطلبات السعودية. فمثلاً قد تُلزم شروط الاستخدام الأوروبية بتخزين بيانات الحوار وتحليلها لأغراض تحسين النموذج، وهو ما يتعارض مع متطلب الغرض المحدد في النظام السعودي. ومما يزيد الأمر تعقيداً أن المحامي السعودي غير ملزم بمعرفة التشريعات الأجنبية المنظِّمة للأداة التي يستخدمها، مما يفتح باباً لمخاطر لا يُدركها.</w:t>
      </w:r>
    </w:p>
    <w:p w14:paraId="5945BB42" w14:textId="77777777" w:rsidR="005705DD" w:rsidRDefault="005705DD" w:rsidP="005705DD">
      <w:pPr>
        <w:bidi/>
        <w:spacing w:after="200" w:line="276" w:lineRule="auto"/>
        <w:rPr>
          <w:rtl/>
        </w:rPr>
      </w:pPr>
      <w:r>
        <w:rPr>
          <w:rFonts w:asciiTheme="majorBidi" w:hAnsiTheme="majorBidi" w:cstheme="majorBidi"/>
          <w:sz w:val="24"/>
          <w:szCs w:val="24"/>
          <w:rtl/>
        </w:rPr>
        <w:t>المحور الثالث — إشكالية غياب المساءلة: لا يخضع مزود الأداة الأجنبية لأي ولاية تشريعية سعودية مباشرة، مما يجعل المحامي السعودي الحلقة الوحيدة الخاضعة للمساءلة في حال وقوع ضرر، في حين أن المزوّد الأجنبي الذي أنتج الخطأ يبقى خارج متناول الأنظمة السعودية. ويُشكّل هذا الواقع خللاً جوهرياً في منظومة المساءلة لا تعالجه الأنظمة القائمة.</w:t>
      </w:r>
      <w:commentRangeEnd w:id="76"/>
      <w:r>
        <w:rPr>
          <w:rStyle w:val="af0"/>
          <w:sz w:val="22"/>
          <w:szCs w:val="22"/>
          <w:rtl/>
        </w:rPr>
        <w:commentReference w:id="76"/>
      </w:r>
      <w:commentRangeEnd w:id="77"/>
      <w:r>
        <w:rPr>
          <w:rStyle w:val="af0"/>
          <w:sz w:val="22"/>
          <w:szCs w:val="22"/>
          <w:rtl/>
        </w:rPr>
        <w:commentReference w:id="77"/>
      </w:r>
    </w:p>
    <w:p w14:paraId="632DBA27" w14:textId="77777777" w:rsidR="005705DD" w:rsidRDefault="005705DD" w:rsidP="005705DD">
      <w:pPr>
        <w:bidi/>
        <w:spacing w:after="200" w:line="276" w:lineRule="auto"/>
        <w:rPr>
          <w:rtl/>
        </w:rPr>
      </w:pPr>
      <w:r>
        <w:rPr>
          <w:rFonts w:asciiTheme="majorBidi" w:hAnsiTheme="majorBidi" w:cstheme="majorBidi"/>
          <w:sz w:val="24"/>
          <w:szCs w:val="24"/>
          <w:rtl/>
        </w:rPr>
        <w:t xml:space="preserve">يرى الباحث: أن الحل التشريعي المناسب يكمن في اشتراط حصول أدوات الذكاء الاصطناعي الأجنبية المستخدمة في القطاع القانوني السعودي على اعتماد من سدايا، مع اشتراط إتاحة البيانات على خوادم داخل المملكة أو في نطاق ولايتها، </w:t>
      </w:r>
      <w:commentRangeStart w:id="78"/>
      <w:commentRangeStart w:id="79"/>
      <w:r>
        <w:rPr>
          <w:rFonts w:asciiTheme="majorBidi" w:hAnsiTheme="majorBidi" w:cstheme="majorBidi"/>
          <w:sz w:val="24"/>
          <w:szCs w:val="24"/>
          <w:rtl/>
        </w:rPr>
        <w:t xml:space="preserve">على غرار ما نصّت عليه التشريعات الأوروبية في هذا الشأن، وما اتجهت إليه بعض الدول الخليجية كالإمارات في اشتراطات منصة </w:t>
      </w:r>
      <w:commentRangeEnd w:id="78"/>
      <w:r>
        <w:rPr>
          <w:rStyle w:val="af0"/>
          <w:rFonts w:asciiTheme="majorBidi" w:hAnsiTheme="majorBidi" w:cstheme="majorBidi"/>
          <w:sz w:val="24"/>
          <w:szCs w:val="24"/>
          <w:rtl/>
        </w:rPr>
        <w:commentReference w:id="78"/>
      </w:r>
      <w:commentRangeEnd w:id="79"/>
      <w:r>
        <w:rPr>
          <w:rStyle w:val="af0"/>
          <w:rFonts w:asciiTheme="majorBidi" w:hAnsiTheme="majorBidi" w:cstheme="majorBidi"/>
          <w:sz w:val="24"/>
          <w:szCs w:val="24"/>
          <w:rtl/>
        </w:rPr>
        <w:commentReference w:id="79"/>
      </w:r>
      <w:r>
        <w:rPr>
          <w:rFonts w:asciiTheme="majorBidi" w:hAnsiTheme="majorBidi" w:cstheme="majorBidi"/>
          <w:sz w:val="24"/>
          <w:szCs w:val="24"/>
          <w:rtl/>
        </w:rPr>
        <w:t>AI Governance Platform.</w:t>
      </w:r>
    </w:p>
    <w:p w14:paraId="6C4B4893" w14:textId="77777777" w:rsidR="005705DD" w:rsidRDefault="005705DD" w:rsidP="005705DD">
      <w:pPr>
        <w:bidi/>
        <w:spacing w:after="200" w:line="276" w:lineRule="auto"/>
        <w:rPr>
          <w:rtl/>
        </w:rPr>
      </w:pPr>
      <w:r>
        <w:rPr>
          <w:rFonts w:asciiTheme="majorBidi" w:hAnsiTheme="majorBidi" w:cstheme="majorBidi"/>
          <w:b/>
          <w:sz w:val="28"/>
          <w:szCs w:val="28"/>
          <w:rtl/>
        </w:rPr>
        <w:t>خامساً: الفجوة بين الاستخدام الفعلي والضوابط النظامية</w:t>
      </w:r>
    </w:p>
    <w:p w14:paraId="1F2C2A83" w14:textId="77777777" w:rsidR="005705DD" w:rsidRDefault="005705DD" w:rsidP="005705DD">
      <w:pPr>
        <w:bidi/>
        <w:spacing w:after="200" w:line="276" w:lineRule="auto"/>
        <w:rPr>
          <w:rtl/>
        </w:rPr>
      </w:pPr>
      <w:r>
        <w:rPr>
          <w:rFonts w:asciiTheme="majorBidi" w:hAnsiTheme="majorBidi" w:cstheme="majorBidi"/>
          <w:sz w:val="24"/>
          <w:szCs w:val="24"/>
          <w:rtl/>
        </w:rPr>
        <w:t>خلص التحليل السابق إلى وجود فجوة حادة ومتعددة الأبعاد بين الاستخدام الفعلي لأدوات الذكاء الاصطناعي في مكاتب المحاماة السعودية من جهة، وما تفرضه الأنظمة القائمة من ضوابط من جهة أخرى. وتتجلى هذه الفجوة في ثلاثة مستويات متراكمة:</w:t>
      </w:r>
    </w:p>
    <w:p w14:paraId="7C67A7D9" w14:textId="77777777" w:rsidR="005705DD" w:rsidRDefault="005705DD" w:rsidP="005705DD">
      <w:pPr>
        <w:bidi/>
        <w:spacing w:after="200" w:line="276" w:lineRule="auto"/>
        <w:rPr>
          <w:rtl/>
        </w:rPr>
      </w:pPr>
      <w:r>
        <w:rPr>
          <w:rFonts w:asciiTheme="majorBidi" w:hAnsiTheme="majorBidi" w:cstheme="majorBidi"/>
          <w:sz w:val="24"/>
          <w:szCs w:val="24"/>
          <w:rtl/>
        </w:rPr>
        <w:t>المستوى الأول — الفجوة المعرفية: فمعظم المحامين السعوديين المستخدِمين لأدوات الذكاء الاصطناعي لا يُدركون الامتدادات النظامية لاستخدامهم، سواء ما يتعلق منها بنظام حماية البيانات أو بنظام المحاماة أو بمتطلبات سدايا. وتعكس هذه المعضلة غياب التدريب المهني المنظم في مجال التقنيات القانونية ضمن برامج تطوير كفاءة المحامين التي تُشرف عليها الهيئة السعودية للمحامين.</w:t>
      </w:r>
    </w:p>
    <w:p w14:paraId="2F9F1BE1" w14:textId="77777777" w:rsidR="005705DD" w:rsidRDefault="005705DD" w:rsidP="005705DD">
      <w:pPr>
        <w:bidi/>
        <w:spacing w:after="200" w:line="276" w:lineRule="auto"/>
        <w:rPr>
          <w:rtl/>
        </w:rPr>
      </w:pPr>
      <w:r>
        <w:rPr>
          <w:rFonts w:asciiTheme="majorBidi" w:hAnsiTheme="majorBidi" w:cstheme="majorBidi"/>
          <w:sz w:val="24"/>
          <w:szCs w:val="24"/>
          <w:rtl/>
        </w:rPr>
        <w:t>المستوى الثاني — الفجوة التطبيقية: فحتى في الحالات التي يعلم فيها المحامي بوجود ضوابط نظامية، يغلب الاستخدام غير المنضبط مدفوعاً بالراحة والسرعة وانخفاض الكلفة. وهذا يعكس غياب التطبيق الفعلي والرقابة المهنية على الاستخدام، إذ لا توجد حتى الآن جهة رسمية تُراقب كيفية استخدام مكاتب المحاماة لأدوات الذكاء الاصطناعي وتُحاسبها على مخالفة الضوابط الواجبة.</w:t>
      </w:r>
    </w:p>
    <w:p w14:paraId="05FD5DE2" w14:textId="77777777" w:rsidR="005705DD" w:rsidRDefault="005705DD" w:rsidP="005705DD">
      <w:pPr>
        <w:bidi/>
        <w:spacing w:after="200" w:line="276" w:lineRule="auto"/>
        <w:rPr>
          <w:rtl/>
        </w:rPr>
      </w:pPr>
      <w:r>
        <w:rPr>
          <w:rFonts w:asciiTheme="majorBidi" w:hAnsiTheme="majorBidi" w:cstheme="majorBidi"/>
          <w:sz w:val="24"/>
          <w:szCs w:val="24"/>
          <w:rtl/>
        </w:rPr>
        <w:t>المستوى الثالث — الفجوة التشريعية: فالأنظمة القائمة لم تُصمَّم أصلاً لتنظيم هذه الأنواع من الاستخدامات، مما يعني أن أدوات تفسير النصوص وتوسيع مداها — وإن كانت ضرورية في المرحلة الراهنة — لا تُعوّض عن التشريع الصريح المنتظر. وسيتناول الفصل الرابع من هذه الدراسة معالجة هذه الفجوة تشريعياً بصورة تفصيلية.</w:t>
      </w:r>
    </w:p>
    <w:p w14:paraId="64076417" w14:textId="77777777" w:rsidR="005705DD" w:rsidRDefault="005705DD" w:rsidP="005705DD">
      <w:pPr>
        <w:bidi/>
        <w:spacing w:after="200" w:line="276" w:lineRule="auto"/>
        <w:rPr>
          <w:rtl/>
        </w:rPr>
      </w:pPr>
    </w:p>
    <w:p w14:paraId="0A97C104" w14:textId="77777777" w:rsidR="005705DD" w:rsidRPr="00A84F46" w:rsidRDefault="005705DD" w:rsidP="005705DD">
      <w:pPr>
        <w:bidi/>
        <w:spacing w:after="200" w:line="276" w:lineRule="auto"/>
        <w:rPr>
          <w:bCs/>
          <w:color w:val="000000" w:themeColor="text1"/>
          <w:rtl/>
        </w:rPr>
      </w:pPr>
      <w:commentRangeStart w:id="80"/>
      <w:commentRangeStart w:id="81"/>
      <w:r>
        <w:rPr>
          <w:rFonts w:asciiTheme="majorBidi" w:hAnsiTheme="majorBidi" w:cstheme="majorBidi"/>
          <w:bCs/>
          <w:color w:val="000000" w:themeColor="text1"/>
          <w:sz w:val="28"/>
          <w:szCs w:val="28"/>
          <w:rtl/>
        </w:rPr>
        <w:t>الذكاء الاصطناعي القانوني في سياق رؤية 2030 والاستراتيجية الوطنية</w:t>
      </w:r>
      <w:commentRangeEnd w:id="80"/>
      <w:r w:rsidRPr="00A84F46">
        <w:rPr>
          <w:rStyle w:val="af0"/>
          <w:bCs/>
          <w:color w:val="000000" w:themeColor="text1"/>
          <w:sz w:val="22"/>
          <w:szCs w:val="22"/>
          <w:rtl/>
        </w:rPr>
        <w:commentReference w:id="80"/>
      </w:r>
      <w:commentRangeEnd w:id="81"/>
      <w:r w:rsidRPr="00A84F46">
        <w:rPr>
          <w:rStyle w:val="af0"/>
          <w:bCs/>
          <w:color w:val="000000" w:themeColor="text1"/>
          <w:sz w:val="22"/>
          <w:szCs w:val="22"/>
          <w:rtl/>
        </w:rPr>
        <w:commentReference w:id="81"/>
      </w:r>
    </w:p>
    <w:p w14:paraId="7AD47730" w14:textId="77777777" w:rsidR="005705DD" w:rsidRDefault="005705DD" w:rsidP="005705DD">
      <w:pPr>
        <w:bidi/>
        <w:spacing w:after="200" w:line="276" w:lineRule="auto"/>
        <w:rPr>
          <w:rtl/>
        </w:rPr>
      </w:pPr>
      <w:r>
        <w:rPr>
          <w:rFonts w:asciiTheme="majorBidi" w:hAnsiTheme="majorBidi" w:cstheme="majorBidi"/>
          <w:sz w:val="24"/>
          <w:szCs w:val="24"/>
          <w:rtl/>
        </w:rPr>
        <w:t xml:space="preserve">لا يمكن دراسة واقع الذكاء الاصطناعي في مكاتب المحاماة السعودية بمعزل عن السياق الاستراتيجي الكلي الذي يُحيط بالتحول الرقمي في المملكة العربية السعودية. فرؤية 2030 </w:t>
      </w:r>
      <w:commentRangeStart w:id="82"/>
      <w:commentRangeStart w:id="83"/>
      <w:r>
        <w:rPr>
          <w:rFonts w:asciiTheme="majorBidi" w:hAnsiTheme="majorBidi" w:cstheme="majorBidi"/>
          <w:sz w:val="24"/>
          <w:szCs w:val="24"/>
          <w:rtl/>
        </w:rPr>
        <w:t xml:space="preserve">— </w:t>
      </w:r>
      <w:commentRangeEnd w:id="82"/>
      <w:r>
        <w:rPr>
          <w:rStyle w:val="af0"/>
          <w:rFonts w:asciiTheme="majorBidi" w:hAnsiTheme="majorBidi" w:cstheme="majorBidi"/>
          <w:sz w:val="24"/>
          <w:szCs w:val="24"/>
          <w:rtl/>
        </w:rPr>
        <w:commentReference w:id="82"/>
      </w:r>
      <w:commentRangeEnd w:id="83"/>
      <w:r>
        <w:rPr>
          <w:rStyle w:val="af0"/>
          <w:rFonts w:asciiTheme="majorBidi" w:hAnsiTheme="majorBidi" w:cstheme="majorBidi"/>
          <w:sz w:val="24"/>
          <w:szCs w:val="24"/>
          <w:rtl/>
        </w:rPr>
        <w:commentReference w:id="83"/>
      </w:r>
      <w:r>
        <w:rPr>
          <w:rFonts w:asciiTheme="majorBidi" w:hAnsiTheme="majorBidi" w:cstheme="majorBidi"/>
          <w:sz w:val="24"/>
          <w:szCs w:val="24"/>
          <w:rtl/>
        </w:rPr>
        <w:t xml:space="preserve">التي أطلقها ولي العهد الأمير محمد </w:t>
      </w:r>
      <w:r>
        <w:rPr>
          <w:rFonts w:asciiTheme="majorBidi" w:hAnsiTheme="majorBidi" w:cstheme="majorBidi"/>
          <w:sz w:val="24"/>
          <w:szCs w:val="24"/>
          <w:rtl/>
        </w:rPr>
        <w:lastRenderedPageBreak/>
        <w:t xml:space="preserve">بن سلمان عام 2016م </w:t>
      </w:r>
      <w:commentRangeStart w:id="84"/>
      <w:commentRangeStart w:id="85"/>
      <w:r>
        <w:rPr>
          <w:rFonts w:asciiTheme="majorBidi" w:hAnsiTheme="majorBidi" w:cstheme="majorBidi"/>
          <w:sz w:val="24"/>
          <w:szCs w:val="24"/>
          <w:rtl/>
        </w:rPr>
        <w:t>—</w:t>
      </w:r>
      <w:commentRangeEnd w:id="84"/>
      <w:r>
        <w:rPr>
          <w:rStyle w:val="af0"/>
          <w:rFonts w:asciiTheme="majorBidi" w:hAnsiTheme="majorBidi" w:cstheme="majorBidi"/>
          <w:sz w:val="24"/>
          <w:szCs w:val="24"/>
          <w:rtl/>
        </w:rPr>
        <w:commentReference w:id="84"/>
      </w:r>
      <w:commentRangeEnd w:id="85"/>
      <w:r>
        <w:rPr>
          <w:rStyle w:val="af0"/>
          <w:rFonts w:asciiTheme="majorBidi" w:hAnsiTheme="majorBidi" w:cstheme="majorBidi"/>
          <w:sz w:val="24"/>
          <w:szCs w:val="24"/>
          <w:rtl/>
        </w:rPr>
        <w:commentReference w:id="85"/>
      </w:r>
      <w:r>
        <w:rPr>
          <w:rFonts w:asciiTheme="majorBidi" w:hAnsiTheme="majorBidi" w:cstheme="majorBidi"/>
          <w:sz w:val="24"/>
          <w:szCs w:val="24"/>
          <w:rtl/>
        </w:rPr>
        <w:t xml:space="preserve"> لا تتوقف أهدافها عند رفع نسبة اقتصادية أو خفض الاعتماد على النفط، بل تتضمن برامج متكاملة لتحديث المنظومة العدلية وتطوير الخدمات الحكومية الرقمية. وفيما يتعلق بالقطاع العدلي تحديداً، تندرج عدة برامج استراتيجية ذات صلة مباشرة بموضوع هذه الدراسة.</w:t>
      </w:r>
    </w:p>
    <w:p w14:paraId="43ED6A3E" w14:textId="77777777" w:rsidR="005705DD" w:rsidRDefault="005705DD" w:rsidP="005705DD">
      <w:pPr>
        <w:bidi/>
        <w:spacing w:after="200" w:line="276" w:lineRule="auto"/>
        <w:rPr>
          <w:rtl/>
        </w:rPr>
      </w:pPr>
      <w:r>
        <w:rPr>
          <w:rFonts w:asciiTheme="majorBidi" w:hAnsiTheme="majorBidi" w:cstheme="majorBidi"/>
          <w:sz w:val="24"/>
          <w:szCs w:val="24"/>
          <w:rtl/>
        </w:rPr>
        <w:t xml:space="preserve">أولاً: الاستراتيجية الوطنية للذكاء الاصطناعي (1444هـ/2023م)، التي أصدرتها سدايا وتتضمن خارطة طريق وطنية شاملة لتوظيف الذكاء الاصطناعي في عشرة قطاعات أولوية، من بينها قطاع العدالة والخدمات القانونية. وتستهدف الاستراتيجية تحقيق مساهمة اقتصادية للذكاء الاصطناعي في الناتج المحلي الإجمالي بمقدار 135 مليار ريال سنوياً بحلول عام 1447هـ/2026م </w:t>
      </w:r>
      <w:r>
        <w:rPr>
          <w:rFonts w:asciiTheme="majorBidi" w:hAnsiTheme="majorBidi" w:cstheme="majorBidi"/>
          <w:sz w:val="24"/>
          <w:szCs w:val="24"/>
          <w:vertAlign w:val="superscript"/>
          <w:rtl/>
        </w:rPr>
        <w:footnoteReference w:id="300"/>
      </w:r>
      <w:r>
        <w:rPr>
          <w:rFonts w:asciiTheme="majorBidi" w:hAnsiTheme="majorBidi" w:cstheme="majorBidi"/>
          <w:sz w:val="24"/>
          <w:szCs w:val="24"/>
          <w:rtl/>
        </w:rPr>
        <w:t>. وتُفيد هذه الأرقام بأن التوجه الحكومي داعم بقوة لاستيعاب الذكاء الاصطناعي في قطاعات الخدمات، بما فيها القانونية.</w:t>
      </w:r>
    </w:p>
    <w:p w14:paraId="0611A578" w14:textId="77777777" w:rsidR="005705DD" w:rsidRDefault="005705DD" w:rsidP="005705DD">
      <w:pPr>
        <w:bidi/>
        <w:spacing w:after="200" w:line="276" w:lineRule="auto"/>
        <w:rPr>
          <w:rtl/>
        </w:rPr>
      </w:pPr>
      <w:r>
        <w:rPr>
          <w:rFonts w:asciiTheme="majorBidi" w:hAnsiTheme="majorBidi" w:cstheme="majorBidi"/>
          <w:sz w:val="24"/>
          <w:szCs w:val="24"/>
          <w:rtl/>
        </w:rPr>
        <w:t>ثانياً: برنامج التحول الرقمي لوزارة العدل (نطاقات)، الذي يُعدّ من أبرز برامج رؤية 2030 في القطاع العدلي، ويتضمن محوراً خاصاً بتوظيف تقنيات الذكاء الاصطناعي في الإجراءات القضائية وخدمات وزارة العدل. وقد خلص التقرير السنوي لوزارة العدل (2024م) إلى أن رقمنة الخدمات القضائية أسهمت في تخفيض متوسط مدة الفصل في القضايا بنسبة 28%، وهو ما يُؤسّس لضغط مهني متزايد على مكاتب المحاماة لمواكبة هذا الإيقاع الرقمي المتسارع.</w:t>
      </w:r>
    </w:p>
    <w:p w14:paraId="6E059102" w14:textId="77777777" w:rsidR="005705DD" w:rsidRDefault="005705DD" w:rsidP="005705DD">
      <w:pPr>
        <w:bidi/>
        <w:spacing w:after="200" w:line="276" w:lineRule="auto"/>
        <w:rPr>
          <w:rtl/>
        </w:rPr>
      </w:pPr>
      <w:r>
        <w:rPr>
          <w:rFonts w:asciiTheme="majorBidi" w:hAnsiTheme="majorBidi" w:cstheme="majorBidi"/>
          <w:sz w:val="24"/>
          <w:szCs w:val="24"/>
          <w:rtl/>
        </w:rPr>
        <w:t>ثالثاً: مبادرة "مركز التميز للذكاء الاصطناعي" الذي أنشأته وزارة العدل بالتعاون مع سدايا، ويتولى دراسة تطبيقات الذكاء الاصطناعي في القضاء والتشريع وإعداد الرأي القانوني. ويُعدّ هذا المركز أول مبادرة حكومية سعودية متخصصة في تقاطع الذكاء الاصطناعي والمنظومة العدلية، وإن كانت مخرجاته حتى الآن محدودة الأثر على المستوى التشريعي.</w:t>
      </w:r>
    </w:p>
    <w:p w14:paraId="6698DE34" w14:textId="77777777" w:rsidR="005705DD" w:rsidRDefault="005705DD" w:rsidP="005705DD">
      <w:pPr>
        <w:bidi/>
        <w:spacing w:after="200" w:line="276" w:lineRule="auto"/>
        <w:rPr>
          <w:rtl/>
        </w:rPr>
      </w:pPr>
      <w:r>
        <w:rPr>
          <w:rFonts w:asciiTheme="majorBidi" w:hAnsiTheme="majorBidi" w:cstheme="majorBidi"/>
          <w:sz w:val="24"/>
          <w:szCs w:val="24"/>
          <w:rtl/>
        </w:rPr>
        <w:t>ويُخلص الباحث من هذا الاستعراض الاستراتيجي إلى أن هناك تناقضاً يكاد يكون بنيوياً في المشهد الراهن: فمن جهة، تدفع الاستراتيجيات الحكومية بقوة نحو الاعتماد الأوسع على الذكاء الاصطناعي في القطاع العدلي. ومن جهة أخرى، تغيب التشريعات الصريحة التي تُنظّم هذا الاعتماد وتحدد ضوابطه وتوزّع مسؤولياته. وهذا التناقض يُرتّب على المحامي السعودي معضلة مهنية حقيقية: إما أن يتخلف عن ركب التحديث، أو أن يُسرع نحوه في ظل غياب الضوابط الكافية.</w:t>
      </w:r>
    </w:p>
    <w:p w14:paraId="11916110" w14:textId="77777777" w:rsidR="005705DD" w:rsidRDefault="005705DD" w:rsidP="005705DD"/>
    <w:p w14:paraId="11455312" w14:textId="77777777" w:rsidR="005705DD" w:rsidRPr="00A84F46" w:rsidRDefault="005705DD" w:rsidP="005705DD">
      <w:pPr>
        <w:bidi/>
        <w:spacing w:after="200" w:line="276" w:lineRule="auto"/>
        <w:rPr>
          <w:bCs/>
          <w:color w:val="000000" w:themeColor="text1"/>
          <w:rtl/>
        </w:rPr>
      </w:pPr>
      <w:commentRangeStart w:id="86"/>
      <w:commentRangeStart w:id="87"/>
      <w:r>
        <w:rPr>
          <w:rFonts w:asciiTheme="majorBidi" w:hAnsiTheme="majorBidi" w:cstheme="majorBidi"/>
          <w:bCs/>
          <w:color w:val="000000" w:themeColor="text1"/>
          <w:sz w:val="28"/>
          <w:szCs w:val="28"/>
          <w:rtl/>
        </w:rPr>
        <w:t>تحليل تفصيلي لأبرز الأنظمة السعودية ذات الصلة بالذكاء الاصطناعي القانوني</w:t>
      </w:r>
      <w:commentRangeEnd w:id="86"/>
      <w:r w:rsidRPr="00A84F46">
        <w:rPr>
          <w:rStyle w:val="af0"/>
          <w:bCs/>
          <w:color w:val="000000" w:themeColor="text1"/>
          <w:sz w:val="22"/>
          <w:szCs w:val="22"/>
          <w:rtl/>
        </w:rPr>
        <w:commentReference w:id="86"/>
      </w:r>
      <w:commentRangeEnd w:id="87"/>
      <w:r w:rsidRPr="00A84F46">
        <w:rPr>
          <w:rStyle w:val="af0"/>
          <w:bCs/>
          <w:color w:val="000000" w:themeColor="text1"/>
          <w:sz w:val="22"/>
          <w:szCs w:val="22"/>
          <w:rtl/>
        </w:rPr>
        <w:commentReference w:id="87"/>
      </w:r>
    </w:p>
    <w:p w14:paraId="2B908C1E" w14:textId="77777777" w:rsidR="005705DD" w:rsidRDefault="005705DD" w:rsidP="005705DD">
      <w:pPr>
        <w:bidi/>
        <w:spacing w:after="200" w:line="276" w:lineRule="auto"/>
        <w:rPr>
          <w:rtl/>
        </w:rPr>
      </w:pPr>
      <w:r>
        <w:rPr>
          <w:rFonts w:asciiTheme="majorBidi" w:hAnsiTheme="majorBidi" w:cstheme="majorBidi"/>
          <w:sz w:val="24"/>
          <w:szCs w:val="24"/>
          <w:rtl/>
        </w:rPr>
        <w:t>بعد الاستعراض العام للبيئة النظامية في المطلب الثاني من المبحث الأول، يُقدّم الباحث في هذا الموضع تحليلاً تفصيلياً أعمق لأهم الأحكام النظامية المباشرة الصلة بموضوع الدراسة:</w:t>
      </w:r>
    </w:p>
    <w:p w14:paraId="635C25AD" w14:textId="77777777" w:rsidR="005705DD" w:rsidRDefault="005705DD" w:rsidP="005705DD">
      <w:pPr>
        <w:bidi/>
        <w:spacing w:after="200" w:line="276" w:lineRule="auto"/>
        <w:rPr>
          <w:rtl/>
        </w:rPr>
      </w:pPr>
      <w:r>
        <w:rPr>
          <w:rFonts w:asciiTheme="majorBidi" w:hAnsiTheme="majorBidi" w:cstheme="majorBidi"/>
          <w:sz w:val="24"/>
          <w:szCs w:val="24"/>
          <w:rtl/>
        </w:rPr>
        <w:t xml:space="preserve">أولاً: نظام المحاماة </w:t>
      </w:r>
      <w:r>
        <w:rPr>
          <w:rFonts w:asciiTheme="majorBidi" w:hAnsiTheme="majorBidi" w:cstheme="majorBidi"/>
          <w:sz w:val="24"/>
          <w:szCs w:val="24"/>
          <w:vertAlign w:val="superscript"/>
          <w:rtl/>
        </w:rPr>
        <w:footnoteReference w:id="301"/>
      </w:r>
      <w:r>
        <w:rPr>
          <w:rFonts w:asciiTheme="majorBidi" w:hAnsiTheme="majorBidi" w:cstheme="majorBidi"/>
          <w:sz w:val="24"/>
          <w:szCs w:val="24"/>
          <w:rtl/>
        </w:rPr>
        <w:t xml:space="preserve"> وتعديلاته — قراءة في ضوء الذكاء الاصطناعي: تشترط المادة (الثالثة) من نظام المحاماة فيمن يزاول المهنة القيدَ في جدول المحامين الممارسين، ومن شروط القيد: المؤهل العلمي في الشريعة أو الأنظمة، والخبرة، وحسن السيرة والسلوك. وبالتفسير الموسَّع لهذا الشرط في ضوء المستجدات التقنية، يمكن القول إن التطور التكنولوجي الراهن أضاف بُعداً جديداً لمفهوم "الكفاءة اللازمة"، يشمل الكفاءة التقنية في التعامل مع أدوات الذكاء الاصطناعي والقدرة على تقييم مخرجاتها نقدياً. وهذا التفسير الموسَّع يُمكن أن يُشكّل سنداً لالهيئة السعودية للمحامين في اشتراط التأهيل التقني دون انتظار تعديل نظامي صريح.</w:t>
      </w:r>
    </w:p>
    <w:p w14:paraId="611E4253" w14:textId="77777777" w:rsidR="005705DD" w:rsidRDefault="005705DD" w:rsidP="005705DD">
      <w:pPr>
        <w:bidi/>
        <w:spacing w:after="200" w:line="276" w:lineRule="auto"/>
        <w:rPr>
          <w:rtl/>
        </w:rPr>
      </w:pPr>
      <w:r>
        <w:rPr>
          <w:rFonts w:asciiTheme="majorBidi" w:hAnsiTheme="majorBidi" w:cstheme="majorBidi"/>
          <w:sz w:val="24"/>
          <w:szCs w:val="24"/>
          <w:rtl/>
        </w:rPr>
        <w:t xml:space="preserve">كذلك تعالج المادة (الثالثة والعشرون) من النظام واجب السرية المهنية، إذ تنص على أنه: "لا يجوز للمحامي أن يفشي سراً اؤتمن عليه أو عرفه عن طريق مهنته ولو بعد انتهاء وكالته ما لم يخالف ذلك مقتضى شرعياً". وقد سبقت الإشارة إلى أن توظيف أدوات الذكاء الاصطناعي الخارجية قد يُشكّل خرقاً لهذا الواجب. والمهم هنا أن </w:t>
      </w:r>
      <w:r>
        <w:rPr>
          <w:rFonts w:asciiTheme="majorBidi" w:hAnsiTheme="majorBidi" w:cstheme="majorBidi"/>
          <w:sz w:val="24"/>
          <w:szCs w:val="24"/>
          <w:rtl/>
        </w:rPr>
        <w:lastRenderedPageBreak/>
        <w:t>النص النظامي الحالي لا يشترط أن يكون الإفشاء لشخص بشري حتى تتحقق المخالفة؛ فالفقه الإجرائي المقارن يُوسّع دائرة الإفشاء المحظور لتشمل كل وصول لبيانات الموكل إلى أي جهة لم يُأذن لها بذلك، بشريةً كانت أم غير بشرية.</w:t>
      </w:r>
    </w:p>
    <w:p w14:paraId="60E35A3E" w14:textId="77777777" w:rsidR="005705DD" w:rsidRDefault="005705DD" w:rsidP="005705DD">
      <w:pPr>
        <w:bidi/>
        <w:spacing w:after="200" w:line="276" w:lineRule="auto"/>
        <w:rPr>
          <w:rtl/>
        </w:rPr>
      </w:pPr>
      <w:r>
        <w:rPr>
          <w:rFonts w:asciiTheme="majorBidi" w:hAnsiTheme="majorBidi" w:cstheme="majorBidi"/>
          <w:sz w:val="24"/>
          <w:szCs w:val="24"/>
          <w:rtl/>
        </w:rPr>
        <w:t>ثانياً: نظام الإثبات (1443هـ) وحجية المستندات الذكية: تقرر المواد (54) إلى (57) من نظام الإثبات أحكام الدليل الرقمي، ومقتضاها أن "للإثبات بالدليل الرقمي حكم الإثبات بالكتابة، وأن الدليل الرقمي غير الرسمي حجة على أطراف التعامل في أحوال حددتها المادة السابعة والخمسون". ويُثير تطبيق هذه المادة على مخرجات الذكاء الاصطناعي تساؤلاً دقيقاً: هل يُعدّ المحامي الذي أجرى التعديل النهائي على مستند ذكي "منشئاً" للمستند في معنى النص؟ الجواب الأقرب للصواب هو الإيجاب طالما أن المحامي أدخل تعديلات جوهرية وراجع المضمون ووقّع عليه، أما ما نُشر كما أنتجه الذكاء الاصطناعي دون مراجعة حقيقية فيظل في منطقة رمادية من حيث تحديد المنشئ.</w:t>
      </w:r>
    </w:p>
    <w:p w14:paraId="0D09F28A" w14:textId="77777777" w:rsidR="005705DD" w:rsidRDefault="005705DD" w:rsidP="005705DD">
      <w:pPr>
        <w:bidi/>
        <w:spacing w:after="200" w:line="276" w:lineRule="auto"/>
        <w:rPr>
          <w:rtl/>
        </w:rPr>
      </w:pPr>
      <w:r>
        <w:rPr>
          <w:rFonts w:asciiTheme="majorBidi" w:hAnsiTheme="majorBidi" w:cstheme="majorBidi"/>
          <w:sz w:val="24"/>
          <w:szCs w:val="24"/>
          <w:rtl/>
        </w:rPr>
        <w:t>ثالثاً: نظام المعاملات المدنية (1444هـ) وتحديد المسؤولية عن أضرار الذكاء الاصطناعي: أرسى نظام المعاملات المدنية أحكاماً حديثة للمسؤولية تستوعب المستجدات بصورة أكثر مرونة. وتتيح قاعدة المسؤولية عن الفعل الضار في المادة (العشرين بعد المائة) — ونصها: "كل خطأ سبب ضرراً للغير يلزم من ارتكبه بالتعويض" — إقامة دعوى ضد من تسبب باستخدامه أداة ذكية دون عناية كافية في إلحاق ضرر بالغير. والمسؤولية هنا تقصيرية تُبنى على عنصر التقصير (الإخلال بواجب الحيطة المعقولة)، وهو ما يُلزم المحامي باتخاذ الاحتياطات المعقولة في استخدام أدوات الذكاء الاصطناعي وإلا عُدّ مُفرِّطاً في واجب الحيطة.</w:t>
      </w:r>
    </w:p>
    <w:p w14:paraId="51AA4ED4" w14:textId="77777777" w:rsidR="005705DD" w:rsidRDefault="005705DD" w:rsidP="005705DD">
      <w:pPr>
        <w:bidi/>
        <w:spacing w:after="200" w:line="276" w:lineRule="auto"/>
        <w:rPr>
          <w:rtl/>
        </w:rPr>
      </w:pPr>
      <w:r>
        <w:rPr>
          <w:rFonts w:asciiTheme="majorBidi" w:hAnsiTheme="majorBidi" w:cstheme="majorBidi"/>
          <w:sz w:val="24"/>
          <w:szCs w:val="24"/>
          <w:rtl/>
        </w:rPr>
        <w:t>رابعاً: نظام التعاملات الإلكترونية ومخرجات الذكاء الاصطناعي: يُرسي النظام مبدأ التحايد التقني (Technological Neutrality)، مما يعني من حيث المبدأ أن مخرجات الذكاء الاصطناعي لا تُحرم من الحجية القانونية بسبب طبيعتها الذكية. غير أن هذا المبدأ لا يمنح هذه المخرجات حجيةً مطلقة دون اشتراطات؛ بل يجعل تقييم حجيتها مسألة سلطة تقديرية للقضاء في كل حالة على حدة، وهو ما يُفضي إلى عدم اليقين التشريعي (Legal Uncertainty) المُعيق للممارسة المهنية السليمة.</w:t>
      </w:r>
    </w:p>
    <w:p w14:paraId="0D9F0BC9" w14:textId="77777777" w:rsidR="005705DD" w:rsidRDefault="005705DD" w:rsidP="005705DD"/>
    <w:p w14:paraId="2993DFA9" w14:textId="77777777" w:rsidR="005705DD" w:rsidRDefault="005705DD" w:rsidP="005705DD">
      <w:pPr>
        <w:bidi/>
        <w:spacing w:after="200" w:line="276" w:lineRule="auto"/>
        <w:rPr>
          <w:rFonts w:asciiTheme="majorBidi" w:hAnsiTheme="majorBidi" w:cstheme="majorBidi"/>
          <w:bCs/>
          <w:color w:val="000000" w:themeColor="text1"/>
          <w:sz w:val="28"/>
          <w:szCs w:val="28"/>
          <w:rtl/>
        </w:rPr>
      </w:pPr>
    </w:p>
    <w:p w14:paraId="28F80E5E" w14:textId="77777777" w:rsidR="005705DD" w:rsidRPr="00A84F46" w:rsidRDefault="005705DD" w:rsidP="005705DD">
      <w:pPr>
        <w:bidi/>
        <w:spacing w:after="200" w:line="276" w:lineRule="auto"/>
        <w:rPr>
          <w:bCs/>
          <w:color w:val="000000" w:themeColor="text1"/>
          <w:rtl/>
        </w:rPr>
      </w:pPr>
      <w:commentRangeStart w:id="88"/>
      <w:commentRangeStart w:id="89"/>
      <w:r>
        <w:rPr>
          <w:rFonts w:asciiTheme="majorBidi" w:hAnsiTheme="majorBidi" w:cstheme="majorBidi"/>
          <w:bCs/>
          <w:color w:val="000000" w:themeColor="text1"/>
          <w:sz w:val="28"/>
          <w:szCs w:val="28"/>
          <w:rtl/>
        </w:rPr>
        <w:t>عاشراً: واجب السرية المهنية في ظل توظيف أدوات الذكاء الاصطناعي — تحليل نظامي</w:t>
      </w:r>
      <w:commentRangeEnd w:id="88"/>
      <w:r w:rsidRPr="00A84F46">
        <w:rPr>
          <w:rStyle w:val="af0"/>
          <w:bCs/>
          <w:color w:val="000000" w:themeColor="text1"/>
          <w:sz w:val="22"/>
          <w:szCs w:val="22"/>
          <w:rtl/>
        </w:rPr>
        <w:commentReference w:id="88"/>
      </w:r>
      <w:commentRangeEnd w:id="89"/>
      <w:r w:rsidRPr="00A84F46">
        <w:rPr>
          <w:rStyle w:val="af0"/>
          <w:bCs/>
          <w:color w:val="000000" w:themeColor="text1"/>
          <w:sz w:val="22"/>
          <w:szCs w:val="22"/>
          <w:rtl/>
        </w:rPr>
        <w:commentReference w:id="89"/>
      </w:r>
    </w:p>
    <w:p w14:paraId="4F4BF9EC" w14:textId="77777777" w:rsidR="005705DD" w:rsidRDefault="005705DD" w:rsidP="005705DD">
      <w:pPr>
        <w:bidi/>
        <w:spacing w:after="200" w:line="276" w:lineRule="auto"/>
        <w:rPr>
          <w:rtl/>
        </w:rPr>
      </w:pPr>
      <w:r>
        <w:rPr>
          <w:rFonts w:asciiTheme="majorBidi" w:hAnsiTheme="majorBidi" w:cstheme="majorBidi"/>
          <w:sz w:val="24"/>
          <w:szCs w:val="24"/>
          <w:rtl/>
        </w:rPr>
        <w:t>يُعدّ واجب السرية المهنية (Professional Confidentiality) من أقدم المبادئ التي أرستها مهنة المحاماة وصانتها عبر القرون، وهو واجب ذو حماية نظامية صريحة في نظام المحاماة السعودي. وحين يلجأ المحامي إلى أداة ذكاء اصطناعي خارجية في معالجة ملفات موكليه، فإن هذا الواجب يُصبح في مواجهة تحدٍّ وجودي غير مسبوق من أبعاد ثلاثة:</w:t>
      </w:r>
    </w:p>
    <w:p w14:paraId="30BFC168" w14:textId="77777777" w:rsidR="005705DD" w:rsidRDefault="005705DD" w:rsidP="005705DD">
      <w:pPr>
        <w:bidi/>
        <w:spacing w:after="200" w:line="276" w:lineRule="auto"/>
        <w:rPr>
          <w:rtl/>
        </w:rPr>
      </w:pPr>
      <w:r>
        <w:rPr>
          <w:rFonts w:asciiTheme="majorBidi" w:hAnsiTheme="majorBidi" w:cstheme="majorBidi"/>
          <w:sz w:val="24"/>
          <w:szCs w:val="24"/>
          <w:rtl/>
        </w:rPr>
        <w:t>البُعد الأول — السرية الأفقية (Horizontal Confidentiality): إذ يُشكّل إدخال بيانات الموكل في نموذج لغوي كبير نقلاً لهذه البيانات إلى جهة ثالثة (الشركة المطوِّرة للأداة)، وهو ما يُخرقُ مبدأ السرية المتفق عليه بين الموكل والمحامي. والوقوف عند حدود هذا النقل قانونياً يستلزم فهم طبيعة العلاقة التعاقدية بين مستخدم الأداة وشركتها المطوِّرة، ومدى اعتبار شروط الاستخدام مُحدِّدةً للنطاق الذي يُعدّ فيه المزوِّد "معالِجاً للبيانات" لا "متلقياً" لها.</w:t>
      </w:r>
    </w:p>
    <w:p w14:paraId="476B711F" w14:textId="77777777" w:rsidR="005705DD" w:rsidRDefault="005705DD" w:rsidP="005705DD">
      <w:pPr>
        <w:bidi/>
        <w:spacing w:after="200" w:line="276" w:lineRule="auto"/>
        <w:rPr>
          <w:rtl/>
        </w:rPr>
      </w:pPr>
      <w:commentRangeStart w:id="90"/>
      <w:commentRangeStart w:id="91"/>
      <w:r>
        <w:rPr>
          <w:rFonts w:asciiTheme="majorBidi" w:hAnsiTheme="majorBidi" w:cstheme="majorBidi"/>
          <w:sz w:val="24"/>
          <w:szCs w:val="24"/>
          <w:rtl/>
        </w:rPr>
        <w:lastRenderedPageBreak/>
        <w:t>وقد عالج جانب من الفقه هذه المسألة من زاوية الفقه الإجرائي المقارن، مستنتجاً</w:t>
      </w:r>
      <w:commentRangeEnd w:id="90"/>
      <w:r>
        <w:rPr>
          <w:rStyle w:val="af0"/>
          <w:rFonts w:asciiTheme="majorBidi" w:hAnsiTheme="majorBidi" w:cstheme="majorBidi"/>
          <w:sz w:val="24"/>
          <w:szCs w:val="24"/>
          <w:rtl/>
        </w:rPr>
        <w:commentReference w:id="90"/>
      </w:r>
      <w:commentRangeEnd w:id="91"/>
      <w:r>
        <w:rPr>
          <w:rStyle w:val="af0"/>
          <w:rFonts w:asciiTheme="majorBidi" w:hAnsiTheme="majorBidi" w:cstheme="majorBidi"/>
          <w:sz w:val="24"/>
          <w:szCs w:val="24"/>
          <w:rtl/>
        </w:rPr>
        <w:commentReference w:id="91"/>
      </w:r>
      <w:r>
        <w:rPr>
          <w:rFonts w:asciiTheme="majorBidi" w:hAnsiTheme="majorBidi" w:cstheme="majorBidi"/>
          <w:sz w:val="24"/>
          <w:szCs w:val="24"/>
          <w:rtl/>
        </w:rPr>
        <w:t xml:space="preserve"> أن التطورات الرقمية أفرزت ما يمكن تسميته "السرية الموسَّعة" (Extended Confidentiality)، التي تستوجب من المحامي التزاماً يمتد ليشمل كل الجهات التي تتعامل مع بيانات الموكل بأي شكل، بما في ذلك الأدوات البرمجية الخارجية </w:t>
      </w:r>
      <w:r>
        <w:rPr>
          <w:rFonts w:asciiTheme="majorBidi" w:hAnsiTheme="majorBidi" w:cstheme="majorBidi"/>
          <w:sz w:val="24"/>
          <w:szCs w:val="24"/>
          <w:vertAlign w:val="superscript"/>
          <w:rtl/>
        </w:rPr>
        <w:footnoteReference w:id="302"/>
      </w:r>
      <w:r>
        <w:rPr>
          <w:rFonts w:asciiTheme="majorBidi" w:hAnsiTheme="majorBidi" w:cstheme="majorBidi"/>
          <w:sz w:val="24"/>
          <w:szCs w:val="24"/>
          <w:rtl/>
        </w:rPr>
        <w:t>.</w:t>
      </w:r>
    </w:p>
    <w:p w14:paraId="7FDF90E5" w14:textId="77777777" w:rsidR="005705DD" w:rsidRDefault="005705DD" w:rsidP="005705DD">
      <w:pPr>
        <w:bidi/>
        <w:spacing w:after="200" w:line="276" w:lineRule="auto"/>
        <w:rPr>
          <w:rtl/>
        </w:rPr>
      </w:pPr>
      <w:r>
        <w:rPr>
          <w:rFonts w:asciiTheme="majorBidi" w:hAnsiTheme="majorBidi" w:cstheme="majorBidi"/>
          <w:sz w:val="24"/>
          <w:szCs w:val="24"/>
          <w:rtl/>
        </w:rPr>
        <w:t>البُعد الثاني — السرية الزمنية (Temporal Confidentiality): وهو بُعد أكثر دقةً وخطورة، يتعلق بمدة الاحتفاظ بالبيانات المُدخَلة في الأداة الذكية. فبعض أدوات الذكاء الاصطناعي تحتفظ بسجلات المحادثات لمدة تتفاوت بين أيام وأشهر وسنوات، وقد تستخدمها لأغراض غير تلك التي قصدها المحامي حين أدخلها. ويتعارض هذا الاحتفاظ المطوّل مع مبدأ الحد الأدنى من المعالجة (Data Minimization) المكرَّس في نظام حماية البيانات الشخصية (1443هـ).</w:t>
      </w:r>
    </w:p>
    <w:p w14:paraId="3EC68AD7" w14:textId="77777777" w:rsidR="005705DD" w:rsidRDefault="005705DD" w:rsidP="005705DD">
      <w:pPr>
        <w:bidi/>
        <w:spacing w:after="200" w:line="276" w:lineRule="auto"/>
        <w:rPr>
          <w:rtl/>
        </w:rPr>
      </w:pPr>
      <w:r>
        <w:rPr>
          <w:rFonts w:asciiTheme="majorBidi" w:hAnsiTheme="majorBidi" w:cstheme="majorBidi"/>
          <w:sz w:val="24"/>
          <w:szCs w:val="24"/>
          <w:rtl/>
        </w:rPr>
        <w:t>البُعد الثالث — سرية المخرجات (Output Confidentiality): وهو أشد التحديات غرابةً، إذ يتعلق بما تُنتجه الأداة الذكية من نصوص استناداً إلى بيانات الموكل، ومدى اعتبار هذه المخرجات نفسها "بيانات محمية". فحين يُدخل المحامي وقائع قضية حساسة ويتلقى توصيفاً قانونياً ذكياً، فإن هذا التوصيف يحمل في طياته معلومات يمكن أن تُعيد تركيب بيانات الموكل لمن يطّلع عليها. والسؤال القانوني المُعقَّد هنا: هل تخضع مخرجات الذكاء الاصطناعي المبنية على بيانات الموكل للحماية ذاتها الممنوحة للبيانات الأصلية؟</w:t>
      </w:r>
    </w:p>
    <w:p w14:paraId="61C93870" w14:textId="77777777" w:rsidR="005705DD" w:rsidRDefault="005705DD" w:rsidP="005705DD">
      <w:pPr>
        <w:bidi/>
        <w:spacing w:after="200" w:line="276" w:lineRule="auto"/>
        <w:rPr>
          <w:rtl/>
        </w:rPr>
      </w:pPr>
      <w:r>
        <w:rPr>
          <w:rFonts w:asciiTheme="majorBidi" w:hAnsiTheme="majorBidi" w:cstheme="majorBidi"/>
          <w:sz w:val="24"/>
          <w:szCs w:val="24"/>
          <w:rtl/>
        </w:rPr>
        <w:t>ويرى الباحث — استناداً إلى التفسير الموسَّع لأحكام نظام حماية البيانات الشخصية وفق المبادئ الفقهية الإسلامية في المسؤولية عن الضرر — أن الإجابة ينبغي أن تكون بالإيجاب، وأن المخرجات الذكية المستنبطة من بيانات الموكل يجب أن تخضع للقيود ذاتها المفروضة على البيانات الأصلية. وهذا يُفضي بدوره إلى اشتراط عدم مشاركة هذه المخرجات مع أي جهة ثالثة دون موافقة الموكل الصريحة.</w:t>
      </w:r>
    </w:p>
    <w:p w14:paraId="7F8714D3" w14:textId="77777777" w:rsidR="005705DD" w:rsidRDefault="005705DD" w:rsidP="005705DD">
      <w:pPr>
        <w:bidi/>
        <w:spacing w:after="200" w:line="276" w:lineRule="auto"/>
        <w:rPr>
          <w:rtl/>
        </w:rPr>
      </w:pPr>
      <w:r>
        <w:rPr>
          <w:rFonts w:asciiTheme="majorBidi" w:hAnsiTheme="majorBidi" w:cstheme="majorBidi"/>
          <w:sz w:val="24"/>
          <w:szCs w:val="24"/>
          <w:rtl/>
        </w:rPr>
        <w:t xml:space="preserve">ومن الجدير بالإشارة أن الهيئة السعودية للمحامين لم تُصدر حتى الآن تعميماً رسمياً أو دليلاً توجيهياً يُنظّم استخدام المحامين لأدوات الذكاء الاصطناعي في ضوء واجب السرية المهنية، </w:t>
      </w:r>
      <w:commentRangeStart w:id="92"/>
      <w:commentRangeStart w:id="93"/>
      <w:r>
        <w:rPr>
          <w:rFonts w:asciiTheme="majorBidi" w:hAnsiTheme="majorBidi" w:cstheme="majorBidi"/>
          <w:sz w:val="24"/>
          <w:szCs w:val="24"/>
          <w:rtl/>
        </w:rPr>
        <w:t>خلافاً لما أصدرته نظيراتها في دول عديدة؛ كاللجنة الدائمة لأخلاقيات المهنة في اتحاد المحامين الأمريكي التي أصدرت في يوليو 2024م الرأي الرسمي رقم (512) بشأن "أدوات الذكاء الاصطناعي التوليدي"، ونظيراتها في كندا وأستراليا وبريطانيا. ويُشكّل هذا الغياب ثغرةً توجيهية في حاجة ماسة إلى الإصلاح.</w:t>
      </w:r>
      <w:r>
        <w:rPr>
          <w:rFonts w:asciiTheme="majorBidi" w:hAnsiTheme="majorBidi" w:cstheme="majorBidi"/>
          <w:sz w:val="24"/>
          <w:szCs w:val="24"/>
          <w:vertAlign w:val="superscript"/>
          <w:rtl/>
        </w:rPr>
        <w:footnoteReference w:id="303"/>
      </w:r>
      <w:commentRangeEnd w:id="92"/>
      <w:r>
        <w:rPr>
          <w:rStyle w:val="af0"/>
          <w:sz w:val="22"/>
          <w:szCs w:val="22"/>
          <w:rtl/>
        </w:rPr>
        <w:commentReference w:id="92"/>
      </w:r>
      <w:commentRangeEnd w:id="93"/>
      <w:r>
        <w:rPr>
          <w:rStyle w:val="af0"/>
          <w:sz w:val="22"/>
          <w:szCs w:val="22"/>
          <w:rtl/>
        </w:rPr>
        <w:commentReference w:id="93"/>
      </w:r>
    </w:p>
    <w:p w14:paraId="7C36D151" w14:textId="77777777" w:rsidR="005705DD" w:rsidRDefault="005705DD" w:rsidP="005705DD"/>
    <w:p w14:paraId="5E091B91" w14:textId="77777777" w:rsidR="005705DD" w:rsidRPr="00A84F46" w:rsidRDefault="005705DD" w:rsidP="005705DD">
      <w:pPr>
        <w:bidi/>
        <w:spacing w:before="240" w:after="200" w:line="276" w:lineRule="auto"/>
        <w:jc w:val="center"/>
        <w:rPr>
          <w:b/>
          <w:bCs/>
          <w:color w:val="000000" w:themeColor="text1"/>
          <w:rtl/>
        </w:rPr>
      </w:pPr>
      <w:r>
        <w:rPr>
          <w:rFonts w:asciiTheme="majorBidi" w:hAnsiTheme="majorBidi" w:cstheme="majorBidi"/>
          <w:b/>
          <w:bCs/>
          <w:color w:val="000000" w:themeColor="text1"/>
          <w:sz w:val="28"/>
          <w:szCs w:val="28"/>
          <w:rtl/>
        </w:rPr>
        <w:t>المطلب الثالث</w:t>
      </w:r>
    </w:p>
    <w:p w14:paraId="1E736F5B" w14:textId="77777777" w:rsidR="005705DD" w:rsidRPr="00A84F46" w:rsidRDefault="005705DD" w:rsidP="005705DD">
      <w:pPr>
        <w:bidi/>
        <w:spacing w:before="240" w:after="200" w:line="276" w:lineRule="auto"/>
        <w:jc w:val="center"/>
        <w:rPr>
          <w:b/>
          <w:bCs/>
          <w:color w:val="000000" w:themeColor="text1"/>
          <w:rtl/>
        </w:rPr>
      </w:pPr>
      <w:r>
        <w:rPr>
          <w:rFonts w:asciiTheme="majorBidi" w:hAnsiTheme="majorBidi" w:cstheme="majorBidi"/>
          <w:b/>
          <w:bCs/>
          <w:color w:val="000000" w:themeColor="text1"/>
          <w:sz w:val="24"/>
          <w:szCs w:val="24"/>
          <w:rtl/>
        </w:rPr>
        <w:t>العقود الذكية والمستحدثات التقنية في ضوء النظام السعودي</w:t>
      </w:r>
    </w:p>
    <w:p w14:paraId="4D83BC31" w14:textId="77777777" w:rsidR="005705DD" w:rsidRPr="00A84F46" w:rsidRDefault="005705DD" w:rsidP="005705DD">
      <w:pPr>
        <w:bidi/>
        <w:spacing w:after="200" w:line="276" w:lineRule="auto"/>
        <w:rPr>
          <w:color w:val="000000" w:themeColor="text1"/>
          <w:rtl/>
        </w:rPr>
      </w:pPr>
      <w:commentRangeStart w:id="94"/>
      <w:commentRangeStart w:id="95"/>
      <w:r>
        <w:rPr>
          <w:rFonts w:asciiTheme="majorBidi" w:hAnsiTheme="majorBidi" w:cstheme="majorBidi"/>
          <w:b/>
          <w:color w:val="000000" w:themeColor="text1"/>
          <w:sz w:val="28"/>
          <w:szCs w:val="28"/>
          <w:rtl/>
        </w:rPr>
        <w:t>أولاً: التكييف النظامي للعقود الذكية في النظام السعودي</w:t>
      </w:r>
      <w:commentRangeEnd w:id="94"/>
      <w:r w:rsidRPr="00A84F46">
        <w:rPr>
          <w:rStyle w:val="af0"/>
          <w:color w:val="000000" w:themeColor="text1"/>
          <w:sz w:val="22"/>
          <w:szCs w:val="22"/>
          <w:rtl/>
        </w:rPr>
        <w:commentReference w:id="94"/>
      </w:r>
      <w:commentRangeEnd w:id="95"/>
      <w:r w:rsidRPr="00A84F46">
        <w:rPr>
          <w:rStyle w:val="af0"/>
          <w:color w:val="000000" w:themeColor="text1"/>
          <w:sz w:val="22"/>
          <w:szCs w:val="22"/>
          <w:rtl/>
        </w:rPr>
        <w:commentReference w:id="95"/>
      </w:r>
    </w:p>
    <w:p w14:paraId="51D77E3D" w14:textId="77777777" w:rsidR="005705DD" w:rsidRDefault="005705DD" w:rsidP="005705DD">
      <w:pPr>
        <w:bidi/>
        <w:spacing w:after="200" w:line="276" w:lineRule="auto"/>
        <w:rPr>
          <w:rtl/>
        </w:rPr>
      </w:pPr>
      <w:r>
        <w:rPr>
          <w:rFonts w:asciiTheme="majorBidi" w:hAnsiTheme="majorBidi" w:cstheme="majorBidi"/>
          <w:sz w:val="24"/>
          <w:szCs w:val="24"/>
          <w:rtl/>
        </w:rPr>
        <w:t>تُثير العقود الذكية (Smart Contracts) جدلاً فقهياً وقانونياً واسعاً في الأوساط الأكاديمية والمهنية، لا سيما حين يُساء فهم طبيعتها التقنية. وقد أُسّس في التمييز المفاهيمي لهذا الفصل أن العقود الذكية ليست نوعاً من أنواع الذكاء الاصطناعي. غير أن التكييف القانوني لها في البيئة السعودية يستحق وقفةً مستقلةً لما ينطوي عليه من تساؤلات نظامية جوهرية.</w:t>
      </w:r>
    </w:p>
    <w:p w14:paraId="5312CD37" w14:textId="77777777" w:rsidR="005705DD" w:rsidRDefault="005705DD" w:rsidP="005705DD">
      <w:pPr>
        <w:bidi/>
        <w:spacing w:after="200" w:line="276" w:lineRule="auto"/>
        <w:rPr>
          <w:rtl/>
        </w:rPr>
      </w:pPr>
      <w:commentRangeStart w:id="96"/>
      <w:commentRangeStart w:id="97"/>
      <w:r>
        <w:rPr>
          <w:rFonts w:asciiTheme="majorBidi" w:hAnsiTheme="majorBidi" w:cstheme="majorBidi"/>
          <w:sz w:val="24"/>
          <w:szCs w:val="24"/>
          <w:rtl/>
        </w:rPr>
        <w:t xml:space="preserve">تتكوّن العقود الذكية في جوهرها من كود برمجي (Code) يُرسِّخ على سلسلة البلوكشين بنوداً تنفيذية ذاتية. وحين يتحقق الشرط المُبرمَج (كاستلام الدفع)، يُنفَّذ الأمر المرتبط به (كنقل ملكية الأصل) تلقائياً وبلا تدخل </w:t>
      </w:r>
      <w:r>
        <w:rPr>
          <w:rFonts w:asciiTheme="majorBidi" w:hAnsiTheme="majorBidi" w:cstheme="majorBidi"/>
          <w:sz w:val="24"/>
          <w:szCs w:val="24"/>
          <w:rtl/>
        </w:rPr>
        <w:lastRenderedPageBreak/>
        <w:t>بشري. وهذا التعريف يكشف أن العقد الذكي يفتقر إلى خاصيتين رئيسيتين تُلزمهما التشريعات التقليدية في العقود: أولاهما المرونة التفسيرية، إذ يُنفَّذ الكود حرفياً لا وفق النية التعاقدية؛ وثانيتهما قابلية التعديل، إذ أن طبيعة البلوكشين تجعل التعديل على العقد بعد نشره أمراً بالغ التعقيد.</w:t>
      </w:r>
      <w:r>
        <w:rPr>
          <w:rFonts w:asciiTheme="majorBidi" w:hAnsiTheme="majorBidi" w:cstheme="majorBidi"/>
          <w:sz w:val="24"/>
          <w:szCs w:val="24"/>
          <w:vertAlign w:val="superscript"/>
          <w:rtl/>
        </w:rPr>
        <w:footnoteReference w:id="304"/>
      </w:r>
      <w:commentRangeEnd w:id="96"/>
      <w:r>
        <w:rPr>
          <w:rStyle w:val="af0"/>
          <w:sz w:val="22"/>
          <w:szCs w:val="22"/>
          <w:rtl/>
        </w:rPr>
        <w:commentReference w:id="96"/>
      </w:r>
      <w:commentRangeEnd w:id="97"/>
      <w:r>
        <w:rPr>
          <w:rStyle w:val="af0"/>
          <w:sz w:val="22"/>
          <w:szCs w:val="22"/>
          <w:rtl/>
        </w:rPr>
        <w:commentReference w:id="97"/>
      </w:r>
    </w:p>
    <w:p w14:paraId="135795C5" w14:textId="77777777" w:rsidR="005705DD" w:rsidRDefault="005705DD" w:rsidP="005705DD">
      <w:pPr>
        <w:bidi/>
        <w:spacing w:after="200" w:line="276" w:lineRule="auto"/>
        <w:rPr>
          <w:rtl/>
        </w:rPr>
      </w:pPr>
      <w:commentRangeStart w:id="98"/>
      <w:commentRangeStart w:id="99"/>
      <w:r>
        <w:rPr>
          <w:rFonts w:asciiTheme="majorBidi" w:hAnsiTheme="majorBidi" w:cstheme="majorBidi"/>
          <w:sz w:val="28"/>
          <w:szCs w:val="28"/>
          <w:rtl/>
        </w:rPr>
        <w:t>وتعكس هذه الخصائص إشكالياتٍ قانونيةً ثلاثاً في البيئة التعاقدية السعودية:</w:t>
      </w:r>
    </w:p>
    <w:p w14:paraId="2219516D"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الأولى — إثبات الرضا والإيجاب والقبول: يشترط نظام المعاملات المدنية السعودي (1444هـ) — استكمالاً لمقتضيات الفقه الإسلامي — صراحةَ الرضا وانتفاءَ العيوب في إرادة المتعاقدَين. وإثبات توافر هذه الشروط في عقد مُبرمَج تلقائياً يُثير تساؤلاً جوهرياً: هل إقدام الشخص على تنفيذ الشرط (كإيداع المبلغ في المحفظة الرقمية) يُعدّ قبولاً صريحاً للبنود المُبرمَجة التي ربما لم يقرأها كاملاً ولا يفهم تقنيتها؟</w:t>
      </w:r>
    </w:p>
    <w:p w14:paraId="4055988A"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الثانية — أحكام العيوب والفسخ والإبطال: إذا ثبت غلط أو إكراه أو تدليس في إبرام عقد ذكي، فإن آليات الفسخ والإبطال المنصوص عليها في الفقه الإسلامي ونظام المعاملات المدنية تصطدم بالطبيعة التقنية لعقود البلوكشين التي تُنفَّذ تلقائياً ولا يمكن عكسها بسهولة. وهذا يستوجب إما إيجاد ما يُعادل نظاماً للتراجع (Rollback Mechanism) في السلاسل الذكية، أو الاستعاضة بالتعويض بدل الفسخ عيناً حين يتعذّر الأخير.</w:t>
      </w:r>
    </w:p>
    <w:p w14:paraId="2EC9CD16"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الثالثة — العلاقة بين الكود والنص التعاقدي: تطرح بعض العقود الذكية المزدوجة — التي تجمع نصاً تقليدياً وكوداً تنفيذياً — إشكاليةَ الأولوية حين يتعارض تفسير المحكمة للنص الطبيعي مع ما أنتجه الكود تلقائياً. ويُثير هذا التعارض تساؤلاً حول أيهما يُعدّ</w:t>
      </w:r>
      <w:commentRangeStart w:id="100"/>
      <w:commentRangeStart w:id="101"/>
      <w:r>
        <w:rPr>
          <w:rFonts w:asciiTheme="majorBidi" w:hAnsiTheme="majorBidi" w:cstheme="majorBidi"/>
          <w:sz w:val="24"/>
          <w:szCs w:val="24"/>
          <w:rtl/>
        </w:rPr>
        <w:t xml:space="preserve"> التجسيدَ </w:t>
      </w:r>
      <w:commentRangeEnd w:id="100"/>
      <w:r>
        <w:rPr>
          <w:rStyle w:val="af0"/>
          <w:rFonts w:asciiTheme="majorBidi" w:hAnsiTheme="majorBidi" w:cstheme="majorBidi"/>
          <w:sz w:val="24"/>
          <w:szCs w:val="24"/>
          <w:rtl/>
        </w:rPr>
        <w:commentReference w:id="100"/>
      </w:r>
      <w:commentRangeEnd w:id="101"/>
      <w:r>
        <w:rPr>
          <w:rStyle w:val="af0"/>
          <w:rFonts w:asciiTheme="majorBidi" w:hAnsiTheme="majorBidi" w:cstheme="majorBidi"/>
          <w:sz w:val="24"/>
          <w:szCs w:val="24"/>
          <w:rtl/>
        </w:rPr>
        <w:commentReference w:id="101"/>
      </w:r>
      <w:r>
        <w:rPr>
          <w:rFonts w:asciiTheme="majorBidi" w:hAnsiTheme="majorBidi" w:cstheme="majorBidi"/>
          <w:sz w:val="24"/>
          <w:szCs w:val="24"/>
          <w:rtl/>
        </w:rPr>
        <w:t>الحقيقي لإرادة المتعاقدَين.</w:t>
      </w:r>
      <w:commentRangeEnd w:id="98"/>
      <w:r>
        <w:rPr>
          <w:rStyle w:val="af0"/>
          <w:sz w:val="22"/>
          <w:szCs w:val="22"/>
          <w:rtl/>
        </w:rPr>
        <w:commentReference w:id="98"/>
      </w:r>
      <w:commentRangeEnd w:id="99"/>
      <w:r>
        <w:rPr>
          <w:rStyle w:val="af0"/>
          <w:sz w:val="22"/>
          <w:szCs w:val="22"/>
          <w:rtl/>
        </w:rPr>
        <w:commentReference w:id="99"/>
      </w:r>
    </w:p>
    <w:p w14:paraId="0ECD8E80" w14:textId="77777777" w:rsidR="005705DD" w:rsidRDefault="005705DD" w:rsidP="005705DD">
      <w:pPr>
        <w:bidi/>
        <w:spacing w:after="200" w:line="276" w:lineRule="auto"/>
        <w:rPr>
          <w:rtl/>
        </w:rPr>
      </w:pPr>
      <w:r>
        <w:rPr>
          <w:rFonts w:asciiTheme="majorBidi" w:hAnsiTheme="majorBidi" w:cstheme="majorBidi"/>
          <w:sz w:val="24"/>
          <w:szCs w:val="24"/>
          <w:rtl/>
        </w:rPr>
        <w:t>وعلى الرغم من هذه الإشكاليات، لم تُنشر حتى تاريخه أحكام قضائية سعودية تعالج العقد الذكي صراحةً بوصفه كياناً تعاقدياً مستقلاً. ويرى جانب من الفقه أن</w:t>
      </w:r>
      <w:commentRangeStart w:id="102"/>
      <w:commentRangeStart w:id="103"/>
      <w:commentRangeEnd w:id="102"/>
      <w:r>
        <w:rPr>
          <w:rStyle w:val="af0"/>
          <w:rFonts w:asciiTheme="majorBidi" w:hAnsiTheme="majorBidi" w:cstheme="majorBidi"/>
          <w:sz w:val="24"/>
          <w:szCs w:val="24"/>
          <w:rtl/>
        </w:rPr>
        <w:commentReference w:id="102"/>
      </w:r>
      <w:commentRangeEnd w:id="103"/>
      <w:r>
        <w:rPr>
          <w:rStyle w:val="af0"/>
          <w:rFonts w:asciiTheme="majorBidi" w:hAnsiTheme="majorBidi" w:cstheme="majorBidi"/>
          <w:sz w:val="24"/>
          <w:szCs w:val="24"/>
          <w:rtl/>
        </w:rPr>
        <w:commentReference w:id="103"/>
      </w:r>
      <w:r>
        <w:rPr>
          <w:rFonts w:asciiTheme="majorBidi" w:hAnsiTheme="majorBidi" w:cstheme="majorBidi"/>
          <w:sz w:val="24"/>
          <w:szCs w:val="24"/>
          <w:rtl/>
        </w:rPr>
        <w:t xml:space="preserve"> القضاء السعودي مُرشَّح لمعالجة العقود الذكية في ضوء النظرية العامة للعقد في الفقه الإسلامي لا من خلال مفاهيم مستوردة من القانون المقارن، وهو ما يجعل مهمة المحامي السعودي المحنّك في النزاعات الذكية بالغة الدقة </w:t>
      </w:r>
      <w:r>
        <w:rPr>
          <w:rFonts w:asciiTheme="majorBidi" w:hAnsiTheme="majorBidi" w:cstheme="majorBidi"/>
          <w:sz w:val="24"/>
          <w:szCs w:val="24"/>
          <w:vertAlign w:val="superscript"/>
          <w:rtl/>
        </w:rPr>
        <w:footnoteReference w:id="305"/>
      </w:r>
      <w:r>
        <w:rPr>
          <w:rFonts w:asciiTheme="majorBidi" w:hAnsiTheme="majorBidi" w:cstheme="majorBidi"/>
          <w:sz w:val="24"/>
          <w:szCs w:val="24"/>
          <w:rtl/>
        </w:rPr>
        <w:t>.</w:t>
      </w:r>
    </w:p>
    <w:p w14:paraId="7EE07F3E"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التمييز بين العقود الذكية كأداة تقنية قائمة على البلوكشين وبين نماذج اللغة الكبيرة القائمة على التعلم الآلي ضرورة لا تقبل المساومة في التشريع القانوني المقترح، وأن معالجتهما في نظام واحد أو بأحكام موحدة سيُفضي حتماً إلى اضطراب تشريعي وتطبيقي. كما يرى الباحث أن الإشكاليات المتعلقة بالعقود الذكية في البيئة السعودية تحتاج إلى اجتهاد فقهي متخصص يُعالجها بأدواتها الكلامية الفقهية الصحيحة.</w:t>
      </w:r>
    </w:p>
    <w:p w14:paraId="057E56F4" w14:textId="77777777" w:rsidR="005705DD" w:rsidRDefault="005705DD" w:rsidP="005705DD"/>
    <w:p w14:paraId="5ADA71A1"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المبحث الثاني</w:t>
      </w:r>
    </w:p>
    <w:p w14:paraId="09462707"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أنماط الاستخدام الفردي للتقنيات القانونية</w:t>
      </w:r>
    </w:p>
    <w:p w14:paraId="6353DC7B" w14:textId="77777777" w:rsidR="005705DD" w:rsidRDefault="005705DD" w:rsidP="005705DD">
      <w:pPr>
        <w:bidi/>
        <w:spacing w:after="200" w:line="276" w:lineRule="auto"/>
        <w:rPr>
          <w:rtl/>
        </w:rPr>
      </w:pPr>
      <w:r>
        <w:rPr>
          <w:rFonts w:asciiTheme="majorBidi" w:hAnsiTheme="majorBidi" w:cstheme="majorBidi"/>
          <w:sz w:val="24"/>
          <w:szCs w:val="24"/>
          <w:rtl/>
        </w:rPr>
        <w:t>يُعنى هذا المبحث بالجانب الأكثر إشكاليةً في موضوع الدراسة، وهو ظاهرة الاستخدام الفردي غير المنظم لتقنيات الذكاء الاصطناعي في السياق القانوني السعودي. ويُعرَّف الاستخدام الفردي هنا بأنه توظيف شخص واحد — سواء أكان محامياً أم مواطناً عادياً — لأداة ذكاء اصطناعي للحصول على خدمة ذات طابع قانوني، خارج نطاق الأطر المؤسسية المنظِّمة، وفي غياب ضوابط رقابية صريحة أو آليات مساءلة واضحة.</w:t>
      </w:r>
    </w:p>
    <w:p w14:paraId="233E4994" w14:textId="77777777" w:rsidR="005705DD" w:rsidRDefault="005705DD" w:rsidP="005705DD">
      <w:pPr>
        <w:bidi/>
        <w:spacing w:after="200" w:line="276" w:lineRule="auto"/>
        <w:rPr>
          <w:rtl/>
        </w:rPr>
      </w:pPr>
      <w:r>
        <w:rPr>
          <w:rFonts w:asciiTheme="majorBidi" w:hAnsiTheme="majorBidi" w:cstheme="majorBidi"/>
          <w:sz w:val="24"/>
          <w:szCs w:val="24"/>
          <w:rtl/>
        </w:rPr>
        <w:lastRenderedPageBreak/>
        <w:t>ويتناول المبحث في مطلبه الأول طبيعة هذه الاستخدامات الفردية ومخاطرها في السياق السعودي، ثم يُقدّم في مطلبه الثاني تكييفاً نظامياً لهذه الممارسات مع الإشارة إلى التجربة الإماراتية، مستخلصاً الدروس المستفادة التي تُفيد الحالة السعودية.</w:t>
      </w:r>
    </w:p>
    <w:p w14:paraId="27998603" w14:textId="77777777" w:rsidR="005705DD" w:rsidRDefault="005705DD" w:rsidP="005705DD"/>
    <w:p w14:paraId="47B6F35C"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المطلب الأول</w:t>
      </w:r>
    </w:p>
    <w:p w14:paraId="50A2FB32"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طبيعة الاستخدامات الفردية ومخاطرها في السياق السعودي</w:t>
      </w:r>
    </w:p>
    <w:p w14:paraId="178B80C9" w14:textId="77777777" w:rsidR="005705DD" w:rsidRDefault="005705DD" w:rsidP="005705DD">
      <w:pPr>
        <w:bidi/>
        <w:spacing w:after="200" w:line="276" w:lineRule="auto"/>
        <w:rPr>
          <w:rtl/>
        </w:rPr>
      </w:pPr>
      <w:r>
        <w:rPr>
          <w:rFonts w:asciiTheme="majorBidi" w:hAnsiTheme="majorBidi" w:cstheme="majorBidi"/>
          <w:b/>
          <w:sz w:val="28"/>
          <w:szCs w:val="28"/>
          <w:rtl/>
        </w:rPr>
        <w:t>أولاً: صور الاستخدام الفردي في السياق القانوني السعودي</w:t>
      </w:r>
    </w:p>
    <w:p w14:paraId="5DD86DC5" w14:textId="77777777" w:rsidR="005705DD" w:rsidRDefault="005705DD" w:rsidP="005705DD">
      <w:pPr>
        <w:bidi/>
        <w:spacing w:after="200" w:line="276" w:lineRule="auto"/>
        <w:rPr>
          <w:rtl/>
        </w:rPr>
      </w:pPr>
      <w:r>
        <w:rPr>
          <w:rFonts w:asciiTheme="majorBidi" w:hAnsiTheme="majorBidi" w:cstheme="majorBidi"/>
          <w:sz w:val="24"/>
          <w:szCs w:val="24"/>
          <w:rtl/>
        </w:rPr>
        <w:t>تتعدد صور الاستخدام الفردي لتقنيات الذكاء الاصطناعي ذات الطابع القانوني في البيئة السعودية، وتتوزع بين ثلاثة نماذج رئيسية يتباين كل منها من حيث طبيعة الأطراف والمخاطر والتكييف القانوني:</w:t>
      </w:r>
    </w:p>
    <w:p w14:paraId="52F7F4BC" w14:textId="77777777" w:rsidR="005705DD" w:rsidRDefault="005705DD" w:rsidP="005705DD">
      <w:pPr>
        <w:bidi/>
        <w:spacing w:after="200" w:line="276" w:lineRule="auto"/>
        <w:rPr>
          <w:rtl/>
        </w:rPr>
      </w:pPr>
      <w:r>
        <w:rPr>
          <w:rFonts w:asciiTheme="majorBidi" w:hAnsiTheme="majorBidi" w:cstheme="majorBidi"/>
          <w:sz w:val="24"/>
          <w:szCs w:val="24"/>
          <w:rtl/>
        </w:rPr>
        <w:t>النموذج الأول — المحامي المُستخدِم لأداة ذكاء اصطناعي بصورة فردية دون بروتوكول مؤسسي: ويُمثّل هذا النموذج الحالة الأكثر شيوعاً في السوق القانوني السعودي، وتتمثل صوره الأبرز في: استخدام المحامي لنموذج توليدي لصياغة مسودة عقد أو مذكرة دفاع دون الإفصاح لموكله أو لرئيسه في المكتب، وإدخال وقائع قضية حقيقية في نموذج لغوي كبير مفتوح الاستخدام بغرض الحصول على رأي قانوني مساعد، واستخدام أداة ذكاء اصطناعي للبحث في السوابق القضائية دون التحقق من دقة المراجع التي يولّدها النموذج.</w:t>
      </w:r>
    </w:p>
    <w:p w14:paraId="0D74A5CB" w14:textId="77777777" w:rsidR="005705DD" w:rsidRDefault="005705DD" w:rsidP="005705DD">
      <w:pPr>
        <w:bidi/>
        <w:spacing w:after="200" w:line="276" w:lineRule="auto"/>
        <w:rPr>
          <w:rtl/>
        </w:rPr>
      </w:pPr>
      <w:r>
        <w:rPr>
          <w:rFonts w:asciiTheme="majorBidi" w:hAnsiTheme="majorBidi" w:cstheme="majorBidi"/>
          <w:sz w:val="24"/>
          <w:szCs w:val="24"/>
          <w:rtl/>
        </w:rPr>
        <w:t>النموذج الثاني — المواطن العادي الذي يستخدم الذكاء الاصطناعي كبديل للاستشارة القانونية: وهو نموذج في ازدياد مطّرد، إذ يلجأ كثير من الأفراد إلى النماذج اللغوية الكبيرة لطرح أسئلة قانونية تتعلق بنزاعات الأسرة، أو حقوق العمال، أو التزامات العقود، أو الإجراءات القضائية. وهذا النموذج يُثير إشكالية جوهرية تتصل بمزاولة المهنة القانونية دون ترخيص من الزاوية التشريعية، وإن كانت الأداة هي من يُقدّم المعلومة لا شخص ذو طابع بشري مرخّص.</w:t>
      </w:r>
    </w:p>
    <w:p w14:paraId="4F0919E3" w14:textId="77777777" w:rsidR="005705DD" w:rsidRDefault="005705DD" w:rsidP="005705DD">
      <w:pPr>
        <w:bidi/>
        <w:spacing w:after="200" w:line="276" w:lineRule="auto"/>
        <w:rPr>
          <w:rtl/>
        </w:rPr>
      </w:pPr>
      <w:r>
        <w:rPr>
          <w:rFonts w:asciiTheme="majorBidi" w:hAnsiTheme="majorBidi" w:cstheme="majorBidi"/>
          <w:sz w:val="24"/>
          <w:szCs w:val="24"/>
          <w:rtl/>
        </w:rPr>
        <w:t>النموذج الثالث — المنصات الرقمية التجارية التي تقدّم "استشارات ذكية" دون ترخيص: وهو النموذج الأشد خطورةً من المنظور التشريعي، إذ ظهرت في الفضاء الإلكتروني السعودي عدة منصات تُقدّم ما تُسمّيه "استشارات قانونية مدعومة بالذكاء الاصطناعي" دون أن يتضح ما إذا كانت تمتلك ترخيصاً قانونياً من الهيئة السعودية للمحامين. ويقع هذا النمط في منطقة رمادية ضبابية من حيث الخضوع لنظام المحاماة من عدمه.</w:t>
      </w:r>
    </w:p>
    <w:p w14:paraId="2B32FBB3" w14:textId="77777777" w:rsidR="005705DD" w:rsidRDefault="005705DD" w:rsidP="005705DD">
      <w:pPr>
        <w:bidi/>
        <w:spacing w:after="200" w:line="276" w:lineRule="auto"/>
        <w:rPr>
          <w:rtl/>
        </w:rPr>
      </w:pPr>
      <w:r>
        <w:rPr>
          <w:rFonts w:asciiTheme="majorBidi" w:hAnsiTheme="majorBidi" w:cstheme="majorBidi"/>
          <w:b/>
          <w:sz w:val="28"/>
          <w:szCs w:val="28"/>
          <w:rtl/>
        </w:rPr>
        <w:t>ثانياً: المخاطر القانونية والمهنية للاستخدام الفردي</w:t>
      </w:r>
    </w:p>
    <w:p w14:paraId="5DEEBA86" w14:textId="77777777" w:rsidR="005705DD" w:rsidRDefault="005705DD" w:rsidP="005705DD">
      <w:pPr>
        <w:bidi/>
        <w:spacing w:after="200" w:line="276" w:lineRule="auto"/>
        <w:rPr>
          <w:rtl/>
        </w:rPr>
      </w:pPr>
      <w:r>
        <w:rPr>
          <w:rFonts w:asciiTheme="majorBidi" w:hAnsiTheme="majorBidi" w:cstheme="majorBidi"/>
          <w:sz w:val="24"/>
          <w:szCs w:val="24"/>
          <w:rtl/>
        </w:rPr>
        <w:t>يترتب على الاستخدام الفردي غير المنضبط لتقنيات الذكاء الاصطناعي في السياق القانوني السعودي جملةٌ من المخاطر القانونية والمهنية التي يمكن إيجازها فيما يلي:</w:t>
      </w:r>
    </w:p>
    <w:p w14:paraId="2A767EDF" w14:textId="77777777" w:rsidR="005705DD" w:rsidRDefault="005705DD" w:rsidP="005705DD">
      <w:pPr>
        <w:bidi/>
        <w:spacing w:after="200" w:line="276" w:lineRule="auto"/>
        <w:rPr>
          <w:rtl/>
        </w:rPr>
      </w:pPr>
      <w:r>
        <w:rPr>
          <w:rFonts w:asciiTheme="majorBidi" w:hAnsiTheme="majorBidi" w:cstheme="majorBidi"/>
          <w:sz w:val="24"/>
          <w:szCs w:val="24"/>
          <w:rtl/>
        </w:rPr>
        <w:t xml:space="preserve">الخطر الأول — ظاهرة "الهلوسة" وخطأ المعلومات (AI Hallucination): يُعاني الذكاء الاصطناعي التوليدي من ظاهرة تقنية بالغة الخطورة تُعرف بـ"الهلوسة"، وهي ميل النموذج إلى إنتاج معلومات تبدو منطقية وموثوقة لكنها في حقيقتها مخترعة أو مشوّهة. وفي السياق القانوني، تتجلى هذه الظاهرة في ذكر مواد نظامية غير موجودة، أو الاستشهاد بأحكام قضائية وهمية، أو تحريف نصوص الأنظمة القائمة. </w:t>
      </w:r>
      <w:commentRangeStart w:id="104"/>
      <w:commentRangeStart w:id="105"/>
      <w:r>
        <w:rPr>
          <w:rFonts w:asciiTheme="majorBidi" w:hAnsiTheme="majorBidi" w:cstheme="majorBidi"/>
          <w:sz w:val="24"/>
          <w:szCs w:val="24"/>
          <w:rtl/>
        </w:rPr>
        <w:t xml:space="preserve">وقد انتقل هذا الخطر إلى القضاء الفعلي؛ ففي قضية Mata v. Avianca أمام المحكمة الفيدرالية الجزئية بنيويورك عام 2023م غرّمت المحكمة محاميَين قدّما مذكرة تضمنت أحكاماً مختلقة ولّدها نموذج ChatGPT، وأحالت محكمة الاستئناف الفيدرالية للدائرة الثانية في قضية Park v. Kim عام 2024م المحامية إلى لجنة التظلمات المهنية </w:t>
      </w:r>
      <w:r>
        <w:rPr>
          <w:rFonts w:asciiTheme="majorBidi" w:hAnsiTheme="majorBidi" w:cstheme="majorBidi"/>
          <w:sz w:val="24"/>
          <w:szCs w:val="24"/>
          <w:rtl/>
        </w:rPr>
        <w:lastRenderedPageBreak/>
        <w:t>للسبب ذاته، وحمّلت المحكمة العليا لكولومبيا البريطانية بكندا المحامية في قضية Zhang v. Chen عام 2024م أتعاب كشف السوابق المختلقة</w:t>
      </w:r>
      <w:commentRangeEnd w:id="104"/>
      <w:r>
        <w:rPr>
          <w:rStyle w:val="af0"/>
          <w:rFonts w:asciiTheme="majorBidi" w:hAnsiTheme="majorBidi" w:cstheme="majorBidi"/>
          <w:sz w:val="24"/>
          <w:szCs w:val="24"/>
          <w:rtl/>
        </w:rPr>
        <w:commentReference w:id="104"/>
      </w:r>
      <w:commentRangeEnd w:id="105"/>
      <w:r>
        <w:rPr>
          <w:rStyle w:val="af0"/>
          <w:rFonts w:asciiTheme="majorBidi" w:hAnsiTheme="majorBidi" w:cstheme="majorBidi"/>
          <w:sz w:val="24"/>
          <w:szCs w:val="24"/>
          <w:rtl/>
        </w:rPr>
        <w:commentReference w:id="105"/>
      </w:r>
      <w:r>
        <w:rPr>
          <w:rFonts w:asciiTheme="majorBidi" w:hAnsiTheme="majorBidi" w:cstheme="majorBidi"/>
          <w:sz w:val="24"/>
          <w:szCs w:val="24"/>
          <w:rtl/>
        </w:rPr>
        <w:t xml:space="preserve"> </w:t>
      </w:r>
      <w:r>
        <w:rPr>
          <w:rFonts w:asciiTheme="majorBidi" w:hAnsiTheme="majorBidi" w:cstheme="majorBidi"/>
          <w:sz w:val="24"/>
          <w:szCs w:val="24"/>
          <w:vertAlign w:val="superscript"/>
          <w:rtl/>
        </w:rPr>
        <w:footnoteReference w:id="306"/>
      </w:r>
      <w:r>
        <w:rPr>
          <w:rFonts w:asciiTheme="majorBidi" w:hAnsiTheme="majorBidi" w:cstheme="majorBidi"/>
          <w:sz w:val="24"/>
          <w:szCs w:val="24"/>
          <w:rtl/>
        </w:rPr>
        <w:t>.</w:t>
      </w:r>
    </w:p>
    <w:p w14:paraId="1EEE02D6" w14:textId="77777777" w:rsidR="005705DD" w:rsidRDefault="005705DD" w:rsidP="005705DD">
      <w:pPr>
        <w:bidi/>
        <w:spacing w:after="200" w:line="276" w:lineRule="auto"/>
        <w:rPr>
          <w:rtl/>
        </w:rPr>
      </w:pPr>
      <w:r>
        <w:rPr>
          <w:rFonts w:asciiTheme="majorBidi" w:hAnsiTheme="majorBidi" w:cstheme="majorBidi"/>
          <w:sz w:val="24"/>
          <w:szCs w:val="24"/>
          <w:rtl/>
        </w:rPr>
        <w:t>الخطر الثاني — انتهاك السرية المهنية: يُعدّ مبدأ السرية المهنية من أقدس مبادئ مهنة المحاماة وأعمقها جذوراً. ويُهدد الاستخدام غير المنضبط لأدوات الذكاء الاصطناعي هذا المبدأ من زوايا متعددة: فعند إدخال بيانات الموكل في نموذج لغوي مفتوح قد تُستخدم هذه البيانات في تدريب النموذج مستقبلاً أو يُمكن الوصول إليها من جهات أخرى، مما يُشكّل اختراقاً صريحاً لواجب السرية المنصوص عليه في المادة (الثالثة والعشرين) من نظام المحاماة الصادر بالمرسوم الملكي رقم (م/38) لعام 1422هـ.</w:t>
      </w:r>
    </w:p>
    <w:p w14:paraId="2BEF8CB5" w14:textId="77777777" w:rsidR="005705DD" w:rsidRDefault="005705DD" w:rsidP="005705DD">
      <w:pPr>
        <w:bidi/>
        <w:spacing w:after="200" w:line="276" w:lineRule="auto"/>
        <w:rPr>
          <w:rtl/>
        </w:rPr>
      </w:pPr>
      <w:r>
        <w:rPr>
          <w:rFonts w:asciiTheme="majorBidi" w:hAnsiTheme="majorBidi" w:cstheme="majorBidi"/>
          <w:sz w:val="24"/>
          <w:szCs w:val="24"/>
          <w:rtl/>
        </w:rPr>
        <w:t xml:space="preserve">ويرى جانب من الفقه أن وصول بيانات الموكل إلى أي جهة غير مأذون لها — حتى ولو كانت هذه الجهة نموذجاً برمجياً لا شخصاً بشرياً — يندرج ضمن التعريف المتسع لواجب السرية في ظل التطور الرقمي المتسارع </w:t>
      </w:r>
      <w:r>
        <w:rPr>
          <w:rFonts w:asciiTheme="majorBidi" w:hAnsiTheme="majorBidi" w:cstheme="majorBidi"/>
          <w:sz w:val="24"/>
          <w:szCs w:val="24"/>
          <w:vertAlign w:val="superscript"/>
          <w:rtl/>
        </w:rPr>
        <w:footnoteReference w:id="307"/>
      </w:r>
      <w:r>
        <w:rPr>
          <w:rFonts w:asciiTheme="majorBidi" w:hAnsiTheme="majorBidi" w:cstheme="majorBidi"/>
          <w:sz w:val="24"/>
          <w:szCs w:val="24"/>
          <w:rtl/>
        </w:rPr>
        <w:t>.</w:t>
      </w:r>
    </w:p>
    <w:p w14:paraId="1FF5C1BD" w14:textId="77777777" w:rsidR="005705DD" w:rsidRDefault="005705DD" w:rsidP="005705DD">
      <w:pPr>
        <w:bidi/>
        <w:spacing w:after="200" w:line="276" w:lineRule="auto"/>
        <w:rPr>
          <w:rtl/>
        </w:rPr>
      </w:pPr>
      <w:r>
        <w:rPr>
          <w:rFonts w:asciiTheme="majorBidi" w:hAnsiTheme="majorBidi" w:cstheme="majorBidi"/>
          <w:sz w:val="24"/>
          <w:szCs w:val="24"/>
          <w:rtl/>
        </w:rPr>
        <w:t xml:space="preserve">الخطر الثالث — </w:t>
      </w:r>
      <w:commentRangeStart w:id="106"/>
      <w:commentRangeStart w:id="107"/>
      <w:r>
        <w:rPr>
          <w:rFonts w:asciiTheme="majorBidi" w:hAnsiTheme="majorBidi" w:cstheme="majorBidi"/>
          <w:sz w:val="24"/>
          <w:szCs w:val="24"/>
          <w:rtl/>
        </w:rPr>
        <w:t>التحيز الخوارزمي (Algorithmic Bias): تُدرَّب نماذج الذكاء الاصطناعي على بيانات ضخمة قد تتضمن تحيزات ثقافية أو جنسية أو اجتماعية تنعكس على مخرجاتها</w:t>
      </w:r>
      <w:commentRangeEnd w:id="106"/>
      <w:r>
        <w:rPr>
          <w:rStyle w:val="af0"/>
          <w:rFonts w:asciiTheme="majorBidi" w:hAnsiTheme="majorBidi" w:cstheme="majorBidi"/>
          <w:sz w:val="24"/>
          <w:szCs w:val="24"/>
          <w:rtl/>
        </w:rPr>
        <w:commentReference w:id="106"/>
      </w:r>
      <w:commentRangeEnd w:id="107"/>
      <w:r>
        <w:rPr>
          <w:rStyle w:val="af0"/>
          <w:rFonts w:asciiTheme="majorBidi" w:hAnsiTheme="majorBidi" w:cstheme="majorBidi"/>
          <w:sz w:val="24"/>
          <w:szCs w:val="24"/>
          <w:rtl/>
        </w:rPr>
        <w:commentReference w:id="107"/>
      </w:r>
      <w:r>
        <w:rPr>
          <w:rFonts w:asciiTheme="majorBidi" w:hAnsiTheme="majorBidi" w:cstheme="majorBidi"/>
          <w:sz w:val="24"/>
          <w:szCs w:val="24"/>
          <w:rtl/>
        </w:rPr>
        <w:t>. وفي السياق القانوني السعودي، قد يُفضي هذا التحيز إلى مخرجات مجانِبة للصواب حين يتعلق الأمر بقضايا تتشابك فيها الاعتبارات الثقافية والدينية والاجتماعية السعودية الخاصة، لأن غالبية نماذج الذكاء الاصطناعي الكبرى دُرِّبت على بيانات غربية بالدرجة الأولى، وهو ما يجعلها أقل دقةً في السياقات القانونية المحلية.</w:t>
      </w:r>
    </w:p>
    <w:p w14:paraId="32163C2A" w14:textId="77777777" w:rsidR="005705DD" w:rsidRDefault="005705DD" w:rsidP="005705DD">
      <w:pPr>
        <w:bidi/>
        <w:spacing w:after="200" w:line="276" w:lineRule="auto"/>
        <w:rPr>
          <w:rtl/>
        </w:rPr>
      </w:pPr>
      <w:r>
        <w:rPr>
          <w:rFonts w:asciiTheme="majorBidi" w:hAnsiTheme="majorBidi" w:cstheme="majorBidi"/>
          <w:sz w:val="24"/>
          <w:szCs w:val="24"/>
          <w:rtl/>
        </w:rPr>
        <w:t xml:space="preserve">ويُلاحظ أن التحيز الخوارزمي يُشكّل أحد التحديات الكبرى في تطبيق تقنيات الذكاء الاصطناعي في البيئة العربية والإسلامية، مُوصيةً بتطوير نماذج عربية متخصصة مُدرَّبة على بيانات تعكس السياق الثقافي والقيمي المحلي </w:t>
      </w:r>
      <w:r>
        <w:rPr>
          <w:rFonts w:asciiTheme="majorBidi" w:hAnsiTheme="majorBidi" w:cstheme="majorBidi"/>
          <w:sz w:val="24"/>
          <w:szCs w:val="24"/>
          <w:vertAlign w:val="superscript"/>
          <w:rtl/>
        </w:rPr>
        <w:footnoteReference w:id="308"/>
      </w:r>
      <w:r>
        <w:rPr>
          <w:rFonts w:asciiTheme="majorBidi" w:hAnsiTheme="majorBidi" w:cstheme="majorBidi"/>
          <w:sz w:val="24"/>
          <w:szCs w:val="24"/>
          <w:rtl/>
        </w:rPr>
        <w:t>.</w:t>
      </w:r>
    </w:p>
    <w:p w14:paraId="1A0EDC32" w14:textId="77777777" w:rsidR="005705DD" w:rsidRDefault="005705DD" w:rsidP="005705DD">
      <w:pPr>
        <w:bidi/>
        <w:spacing w:after="200" w:line="276" w:lineRule="auto"/>
        <w:rPr>
          <w:rtl/>
        </w:rPr>
      </w:pPr>
      <w:r>
        <w:rPr>
          <w:rFonts w:asciiTheme="majorBidi" w:hAnsiTheme="majorBidi" w:cstheme="majorBidi"/>
          <w:sz w:val="24"/>
          <w:szCs w:val="24"/>
          <w:rtl/>
        </w:rPr>
        <w:t>الخطر الرابع — تسرب البيانات وانتهاك الخصوصية: إضافةً إلى ما سبق ذكره عن نقل البيانات خارج المملكة، تثير بعض أدوات الذكاء الاصطناعي مخاطر تسرب إضافية نتيجة ثغرات أمنية في البنية التحتية للأداة، أو نتيجة تخزين سجلات المحادثات بصورة غير مشفّرة</w:t>
      </w:r>
      <w:r>
        <w:rPr>
          <w:rFonts w:asciiTheme="majorBidi" w:hAnsiTheme="majorBidi" w:cstheme="majorBidi"/>
          <w:sz w:val="24"/>
          <w:szCs w:val="24"/>
          <w:highlight w:val="yellow"/>
          <w:rtl/>
        </w:rPr>
        <w:t xml:space="preserve">. </w:t>
      </w:r>
      <w:commentRangeStart w:id="108"/>
      <w:commentRangeStart w:id="109"/>
      <w:r>
        <w:rPr>
          <w:rFonts w:asciiTheme="majorBidi" w:hAnsiTheme="majorBidi" w:cstheme="majorBidi"/>
          <w:sz w:val="24"/>
          <w:szCs w:val="24"/>
          <w:highlight w:val="yellow"/>
          <w:rtl/>
        </w:rPr>
        <w:t>وقد رصد جانب من الفقه أن عدداً</w:t>
      </w:r>
      <w:commentRangeEnd w:id="108"/>
      <w:r>
        <w:rPr>
          <w:rStyle w:val="af0"/>
          <w:rFonts w:asciiTheme="majorBidi" w:hAnsiTheme="majorBidi" w:cstheme="majorBidi"/>
          <w:sz w:val="24"/>
          <w:szCs w:val="24"/>
          <w:highlight w:val="yellow"/>
          <w:rtl/>
        </w:rPr>
        <w:commentReference w:id="108"/>
      </w:r>
      <w:commentRangeEnd w:id="109"/>
      <w:r>
        <w:rPr>
          <w:rStyle w:val="af0"/>
          <w:rFonts w:asciiTheme="majorBidi" w:hAnsiTheme="majorBidi" w:cstheme="majorBidi"/>
          <w:sz w:val="24"/>
          <w:szCs w:val="24"/>
          <w:highlight w:val="yellow"/>
          <w:rtl/>
        </w:rPr>
        <w:commentReference w:id="109"/>
      </w:r>
      <w:r>
        <w:rPr>
          <w:rFonts w:asciiTheme="majorBidi" w:hAnsiTheme="majorBidi" w:cstheme="majorBidi"/>
          <w:sz w:val="24"/>
          <w:szCs w:val="24"/>
          <w:highlight w:val="yellow"/>
          <w:rtl/>
        </w:rPr>
        <w:t xml:space="preserve"> من أدوات الذكاء الاصطناعي القانوني الأجنبية لا توفر ضمانات كافية لتشفير البيانات القانونية الحساسة وفق المعايير التي يستلزمها نظام حماية البيانات الشخصية السعودي</w:t>
      </w:r>
      <w:r>
        <w:rPr>
          <w:rFonts w:asciiTheme="majorBidi" w:hAnsiTheme="majorBidi" w:cstheme="majorBidi"/>
          <w:sz w:val="24"/>
          <w:szCs w:val="24"/>
          <w:rtl/>
        </w:rPr>
        <w:t xml:space="preserve"> </w:t>
      </w:r>
      <w:r>
        <w:rPr>
          <w:rFonts w:asciiTheme="majorBidi" w:hAnsiTheme="majorBidi" w:cstheme="majorBidi"/>
          <w:sz w:val="24"/>
          <w:szCs w:val="24"/>
          <w:vertAlign w:val="superscript"/>
          <w:rtl/>
        </w:rPr>
        <w:footnoteReference w:id="309"/>
      </w:r>
      <w:r>
        <w:rPr>
          <w:rFonts w:asciiTheme="majorBidi" w:hAnsiTheme="majorBidi" w:cstheme="majorBidi"/>
          <w:sz w:val="24"/>
          <w:szCs w:val="24"/>
          <w:rtl/>
        </w:rPr>
        <w:t>.</w:t>
      </w:r>
    </w:p>
    <w:p w14:paraId="472221D6" w14:textId="77777777" w:rsidR="005705DD" w:rsidRDefault="005705DD" w:rsidP="005705DD">
      <w:pPr>
        <w:bidi/>
        <w:spacing w:after="200" w:line="276" w:lineRule="auto"/>
        <w:rPr>
          <w:rtl/>
        </w:rPr>
      </w:pPr>
      <w:commentRangeStart w:id="110"/>
      <w:commentRangeStart w:id="111"/>
      <w:r>
        <w:rPr>
          <w:rFonts w:asciiTheme="majorBidi" w:hAnsiTheme="majorBidi" w:cstheme="majorBidi"/>
          <w:sz w:val="24"/>
          <w:szCs w:val="24"/>
          <w:rtl/>
        </w:rPr>
        <w:t xml:space="preserve">الخطر الخامس — </w:t>
      </w:r>
      <w:commentRangeEnd w:id="110"/>
      <w:r>
        <w:rPr>
          <w:rStyle w:val="af0"/>
          <w:rFonts w:asciiTheme="majorBidi" w:hAnsiTheme="majorBidi" w:cstheme="majorBidi"/>
          <w:sz w:val="24"/>
          <w:szCs w:val="24"/>
          <w:rtl/>
        </w:rPr>
        <w:commentReference w:id="110"/>
      </w:r>
      <w:commentRangeEnd w:id="111"/>
      <w:r>
        <w:rPr>
          <w:rStyle w:val="af0"/>
          <w:rFonts w:asciiTheme="majorBidi" w:hAnsiTheme="majorBidi" w:cstheme="majorBidi"/>
          <w:sz w:val="24"/>
          <w:szCs w:val="24"/>
          <w:rtl/>
        </w:rPr>
        <w:commentReference w:id="111"/>
      </w:r>
      <w:r>
        <w:rPr>
          <w:rFonts w:asciiTheme="majorBidi" w:hAnsiTheme="majorBidi" w:cstheme="majorBidi"/>
          <w:sz w:val="24"/>
          <w:szCs w:val="24"/>
          <w:rtl/>
        </w:rPr>
        <w:t>مزاولة المهنة القانونية دون ترخيص: يُعدّ هذا من أشد المخاطر حساسيةً، وينشأ في النموذجين الثاني والثالث المُوصَفَين آنفاً، حيث يُقدّم الذكاء الاصطناعي أو منصة تجارية تعتمد عليه معلوماتٍ ذات طابع استشاري قانوني لأفراد يحتاجون إلى خدمة المحامي</w:t>
      </w:r>
      <w:commentRangeStart w:id="112"/>
      <w:commentRangeStart w:id="113"/>
      <w:r>
        <w:rPr>
          <w:rFonts w:asciiTheme="majorBidi" w:hAnsiTheme="majorBidi" w:cstheme="majorBidi"/>
          <w:sz w:val="24"/>
          <w:szCs w:val="24"/>
          <w:rtl/>
        </w:rPr>
        <w:t>. ويشير جانب من الفقه إلى أن كثيراً</w:t>
      </w:r>
      <w:commentRangeEnd w:id="112"/>
      <w:r>
        <w:rPr>
          <w:rStyle w:val="af0"/>
          <w:rFonts w:asciiTheme="majorBidi" w:hAnsiTheme="majorBidi" w:cstheme="majorBidi"/>
          <w:sz w:val="24"/>
          <w:szCs w:val="24"/>
          <w:rtl/>
        </w:rPr>
        <w:commentReference w:id="112"/>
      </w:r>
      <w:commentRangeEnd w:id="113"/>
      <w:r>
        <w:rPr>
          <w:rStyle w:val="af0"/>
          <w:rFonts w:asciiTheme="majorBidi" w:hAnsiTheme="majorBidi" w:cstheme="majorBidi"/>
          <w:sz w:val="24"/>
          <w:szCs w:val="24"/>
          <w:rtl/>
        </w:rPr>
        <w:commentReference w:id="113"/>
      </w:r>
      <w:r>
        <w:rPr>
          <w:rFonts w:asciiTheme="majorBidi" w:hAnsiTheme="majorBidi" w:cstheme="majorBidi"/>
          <w:sz w:val="24"/>
          <w:szCs w:val="24"/>
          <w:rtl/>
        </w:rPr>
        <w:t xml:space="preserve"> من التطبيقات التجارية التي تُقدّم "استشارات قانونية مجانية بالذكاء الاصطناعي" تقع في منطقة رمادية لم يتناولها المشرّع السعودي بعد، وتستدعي تدخلاً تشريعياً عاجلاً لتحديد هويتها القانونية.</w:t>
      </w:r>
    </w:p>
    <w:p w14:paraId="0378E703" w14:textId="77777777" w:rsidR="005705DD" w:rsidRDefault="005705DD" w:rsidP="005705DD">
      <w:pPr>
        <w:bidi/>
        <w:spacing w:after="200" w:line="276" w:lineRule="auto"/>
        <w:rPr>
          <w:rtl/>
        </w:rPr>
      </w:pPr>
      <w:r>
        <w:rPr>
          <w:rFonts w:asciiTheme="majorBidi" w:hAnsiTheme="majorBidi" w:cstheme="majorBidi"/>
          <w:b/>
          <w:sz w:val="28"/>
          <w:szCs w:val="28"/>
          <w:rtl/>
        </w:rPr>
        <w:t>ثالثاً: غياب الرقابة وصعوبة الإثبات</w:t>
      </w:r>
    </w:p>
    <w:p w14:paraId="50431084" w14:textId="77777777" w:rsidR="005705DD" w:rsidRDefault="005705DD" w:rsidP="005705DD">
      <w:pPr>
        <w:bidi/>
        <w:spacing w:after="200" w:line="276" w:lineRule="auto"/>
        <w:rPr>
          <w:rtl/>
        </w:rPr>
      </w:pPr>
      <w:commentRangeStart w:id="114"/>
      <w:commentRangeStart w:id="115"/>
      <w:r>
        <w:rPr>
          <w:rFonts w:asciiTheme="majorBidi" w:hAnsiTheme="majorBidi" w:cstheme="majorBidi"/>
          <w:sz w:val="28"/>
          <w:szCs w:val="28"/>
          <w:rtl/>
        </w:rPr>
        <w:t>تُضاف إلى المخاطر السابقة إشكاليتان هيكليتان تُعسّران التعامل مع حالات الاستخدام الفردي الضار:</w:t>
      </w:r>
      <w:commentRangeEnd w:id="114"/>
      <w:r>
        <w:rPr>
          <w:rStyle w:val="af0"/>
          <w:sz w:val="22"/>
          <w:szCs w:val="22"/>
          <w:rtl/>
        </w:rPr>
        <w:commentReference w:id="114"/>
      </w:r>
      <w:commentRangeEnd w:id="115"/>
      <w:r>
        <w:rPr>
          <w:rStyle w:val="af0"/>
          <w:sz w:val="22"/>
          <w:szCs w:val="22"/>
          <w:rtl/>
        </w:rPr>
        <w:commentReference w:id="115"/>
      </w:r>
    </w:p>
    <w:p w14:paraId="37DD7B29" w14:textId="77777777" w:rsidR="005705DD" w:rsidRDefault="005705DD" w:rsidP="005705DD">
      <w:pPr>
        <w:bidi/>
        <w:spacing w:after="200" w:line="276" w:lineRule="auto"/>
        <w:rPr>
          <w:rtl/>
        </w:rPr>
      </w:pPr>
      <w:r>
        <w:rPr>
          <w:rFonts w:asciiTheme="majorBidi" w:hAnsiTheme="majorBidi" w:cstheme="majorBidi"/>
          <w:sz w:val="24"/>
          <w:szCs w:val="24"/>
          <w:rtl/>
        </w:rPr>
        <w:t xml:space="preserve">الإشكالية الأولى — غياب الرقابة المسبقة: لا يوجد في المنظومة التشريعية السعودية الحالية آليةٌ لرصد الاستخدام الفردي لأدوات الذكاء الاصطناعي في السياق القانوني ومراقبته. وعلى عكس نظام المحاماة الذي </w:t>
      </w:r>
      <w:r>
        <w:rPr>
          <w:rFonts w:asciiTheme="majorBidi" w:hAnsiTheme="majorBidi" w:cstheme="majorBidi"/>
          <w:sz w:val="24"/>
          <w:szCs w:val="24"/>
          <w:rtl/>
        </w:rPr>
        <w:lastRenderedPageBreak/>
        <w:t>يشترط الترخيص للممارسة البشرية للمهنة، لا يوجد ما يماثله بالنسبة للاستخدام التقني، مما يُشكّل ثغرة رقابية واسعة.</w:t>
      </w:r>
    </w:p>
    <w:p w14:paraId="46CA9A41" w14:textId="77777777" w:rsidR="005705DD" w:rsidRDefault="005705DD" w:rsidP="005705DD">
      <w:pPr>
        <w:bidi/>
        <w:spacing w:after="200" w:line="276" w:lineRule="auto"/>
        <w:rPr>
          <w:rtl/>
        </w:rPr>
      </w:pPr>
      <w:r>
        <w:rPr>
          <w:rFonts w:asciiTheme="majorBidi" w:hAnsiTheme="majorBidi" w:cstheme="majorBidi"/>
          <w:sz w:val="24"/>
          <w:szCs w:val="24"/>
          <w:rtl/>
        </w:rPr>
        <w:t>الإشكالية الثانية — صعوبة الإثبات عند الضرر: حين يقع ضرر نتيجة الاعتماد على مخرجات ذكاء اصطناعي — كخسارة قضية بسبب استشهاد بمرجع وهمي، أو انتهاك سرية بسبب تسرب بيانات — يصعب إثبات العلاقة السببية بين استخدام الأداة والضرر اللاحق، لعدة أسباب: عدم وجود توثيق للاستخدام في الغالب، وتعدد العوامل المُساهِمة في نتيجة القضية، وصعوبة التمييز بين ما أنتجه المحامي بمجهوده وما استُعين فيه بالأداة الذكية. وهذا ما يجعل من الضرورة التشريعية اشتراط ضوابط توثيق الاستخدام.</w:t>
      </w:r>
    </w:p>
    <w:p w14:paraId="658C7897"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الحل الأمثل لمعالجة هذه الإشكالية يتمثل في اشتراط الهيئة السعودية للمحامين الإفصاحَ الصريح عن استخدام الذكاء الاصطناعي في الوثائق القانونية، مقروناً بمتطلب التحقق من دقة المراجع واستيثاق هوية الأداة المستخدمة، وهو ما سيُفصَّل في الفصل الرابع.</w:t>
      </w:r>
    </w:p>
    <w:p w14:paraId="58FB35E9" w14:textId="77777777" w:rsidR="005705DD" w:rsidRDefault="005705DD" w:rsidP="005705DD"/>
    <w:p w14:paraId="38500B8E" w14:textId="77777777" w:rsidR="005705DD" w:rsidRPr="00A84F46" w:rsidRDefault="005705DD" w:rsidP="005705DD">
      <w:pPr>
        <w:bidi/>
        <w:spacing w:after="200" w:line="276" w:lineRule="auto"/>
        <w:rPr>
          <w:bCs/>
          <w:color w:val="000000" w:themeColor="text1"/>
          <w:rtl/>
        </w:rPr>
      </w:pPr>
      <w:commentRangeStart w:id="116"/>
      <w:commentRangeStart w:id="117"/>
      <w:r>
        <w:rPr>
          <w:rFonts w:asciiTheme="majorBidi" w:hAnsiTheme="majorBidi" w:cstheme="majorBidi"/>
          <w:bCs/>
          <w:color w:val="000000" w:themeColor="text1"/>
          <w:sz w:val="28"/>
          <w:szCs w:val="28"/>
          <w:rtl/>
        </w:rPr>
        <w:t>حادي عشر: تطبيقات عملية في ضوء أحكام القضاء المقارن وتقييمها في البيئة السعودية</w:t>
      </w:r>
      <w:commentRangeEnd w:id="116"/>
      <w:r w:rsidRPr="00A84F46">
        <w:rPr>
          <w:rStyle w:val="af0"/>
          <w:bCs/>
          <w:color w:val="000000" w:themeColor="text1"/>
          <w:sz w:val="22"/>
          <w:szCs w:val="22"/>
          <w:rtl/>
        </w:rPr>
        <w:commentReference w:id="116"/>
      </w:r>
      <w:commentRangeEnd w:id="117"/>
      <w:r w:rsidRPr="00A84F46">
        <w:rPr>
          <w:rStyle w:val="af0"/>
          <w:bCs/>
          <w:color w:val="000000" w:themeColor="text1"/>
          <w:sz w:val="22"/>
          <w:szCs w:val="22"/>
          <w:rtl/>
        </w:rPr>
        <w:commentReference w:id="117"/>
      </w:r>
    </w:p>
    <w:p w14:paraId="71D80D3E" w14:textId="77777777" w:rsidR="005705DD" w:rsidRDefault="005705DD" w:rsidP="005705DD">
      <w:pPr>
        <w:bidi/>
        <w:spacing w:after="200" w:line="276" w:lineRule="auto"/>
        <w:rPr>
          <w:rtl/>
        </w:rPr>
      </w:pPr>
      <w:commentRangeStart w:id="118"/>
      <w:commentRangeStart w:id="119"/>
      <w:commentRangeStart w:id="120"/>
      <w:commentRangeStart w:id="121"/>
      <w:r>
        <w:rPr>
          <w:rFonts w:asciiTheme="majorBidi" w:hAnsiTheme="majorBidi" w:cstheme="majorBidi"/>
          <w:sz w:val="24"/>
          <w:szCs w:val="24"/>
          <w:rtl/>
        </w:rPr>
        <w:t>عالج القضاء المقارن حديثاً أخطاء الاستخدام غير المنضبط لأدوات الذكاء الاصطناعي؛ ففي قضية Mata v. Avianca (نيويورك، 2023م) قررت المحكمة أن استخدام أداة ذكاء اصطناعي موثوقة ليس محظوراً في ذاته، لكن قواعد المهنة تفرض على المحامي دور حارس البوابة في التحقق من صحة ما يقدمه للمحكمة، وغرّمت المحاميين المخالفين؛ وأحالت محكمة الدائرة الثانية في قضية Park v. Kim (2024م) المحامية إلى لجنة التظلمات المهنية؛ وحمّلت المحكمة العليا لكولومبيا البريطانية في قضية Zhang v. Chen (2024م) المحامية أتعاب كشف السوابق المختلقة. وبإسقاط هذه المبادئ على الواقع السعودي، يتناول الباحث فيما يلي أربع حالات تطبيقية مستلهمة من الواقع الميداني، يقدم لكل منها تقييماً قانونياً في ضوء الأنظمة القائمة:</w:t>
      </w:r>
      <w:r>
        <w:rPr>
          <w:rFonts w:asciiTheme="majorBidi" w:hAnsiTheme="majorBidi" w:cstheme="majorBidi"/>
          <w:sz w:val="24"/>
          <w:szCs w:val="24"/>
          <w:vertAlign w:val="superscript"/>
          <w:rtl/>
        </w:rPr>
        <w:footnoteReference w:id="310"/>
      </w:r>
      <w:commentRangeEnd w:id="120"/>
      <w:r>
        <w:rPr>
          <w:rStyle w:val="af0"/>
          <w:sz w:val="22"/>
          <w:szCs w:val="22"/>
          <w:rtl/>
        </w:rPr>
        <w:commentReference w:id="120"/>
      </w:r>
      <w:commentRangeEnd w:id="121"/>
      <w:r>
        <w:rPr>
          <w:rStyle w:val="af0"/>
          <w:sz w:val="22"/>
          <w:szCs w:val="22"/>
          <w:rtl/>
        </w:rPr>
        <w:commentReference w:id="121"/>
      </w:r>
    </w:p>
    <w:p w14:paraId="0880E861" w14:textId="77777777" w:rsidR="005705DD" w:rsidRDefault="005705DD" w:rsidP="005705DD">
      <w:pPr>
        <w:bidi/>
        <w:spacing w:after="200" w:line="276" w:lineRule="auto"/>
        <w:rPr>
          <w:rtl/>
        </w:rPr>
      </w:pPr>
      <w:r>
        <w:rPr>
          <w:rFonts w:asciiTheme="majorBidi" w:hAnsiTheme="majorBidi" w:cstheme="majorBidi"/>
          <w:sz w:val="24"/>
          <w:szCs w:val="24"/>
          <w:rtl/>
        </w:rPr>
        <w:t>الحالة الأولى — المحامي والمذكرة الذكية: يعتمد محامٍ في مكتب متوسط الحجم على ChatGPT لصياغة مذكرة دفاع في قضية تجارية. يُدخل في النموذج وقائع القضية ووثائق العقد ودليل ملفه الوكالة. يتلقى مسودةً تبدو محكمة ومتسقة، فيُعدّل عليها تعديلات طفيفة ويُقدّمها للمحكمة. لاحقاً يكتشف أن النموذج استشهد بحكم قضائي صادر عن محكمة الاستئناف التجارية لا وجود له في قواعد البيانات الرسمية.</w:t>
      </w:r>
    </w:p>
    <w:p w14:paraId="545F9798" w14:textId="77777777" w:rsidR="005705DD" w:rsidRDefault="005705DD" w:rsidP="005705DD">
      <w:pPr>
        <w:bidi/>
        <w:spacing w:after="200" w:line="276" w:lineRule="auto"/>
        <w:rPr>
          <w:rtl/>
        </w:rPr>
      </w:pPr>
      <w:r>
        <w:rPr>
          <w:rFonts w:asciiTheme="majorBidi" w:hAnsiTheme="majorBidi" w:cstheme="majorBidi"/>
          <w:sz w:val="24"/>
          <w:szCs w:val="24"/>
          <w:rtl/>
        </w:rPr>
        <w:t xml:space="preserve">التقييم القانوني للحالة الأولى: أولاً من حيث انتهاك السرية: حين أدخل المحامي وثائق الموكل الحساسة في نموذج ذكاء اصطناعي أجنبي، فإنه أرسل بيانات محمية إلى خادم خارج الولاية القضائية السعودية، مما يُشكّل انتهاكاً محتملاً للمادة (التاسعة والعشرين) من نظام حماية البيانات الشخصية وللمادة (الثالثة والعشرين) من نظام المحاماة المتعلقة بواجب السرية. ثانياً من حيث المسؤولية المهنية: يُعدّ تقديم مرجع قضائي غير موجود للمحكمة إخلالاً صريحاً بواجب الاجتهاد اللازم والتحقق من صحة الاستشهادات، وهو ما قد يُرتّب مسؤولية تأديبية وفق نظام المحاماة. ثالثاً من حيث المسؤولية المدنية: إذا ترتّب على هذا الخطأ خسارة القضية أو حكم غير عادل، فإن </w:t>
      </w:r>
      <w:commentRangeStart w:id="122"/>
      <w:commentRangeStart w:id="123"/>
      <w:r>
        <w:rPr>
          <w:rFonts w:asciiTheme="majorBidi" w:hAnsiTheme="majorBidi" w:cstheme="majorBidi"/>
          <w:sz w:val="24"/>
          <w:szCs w:val="24"/>
          <w:rtl/>
        </w:rPr>
        <w:t>المحامي يُعرّض نفسه للمساءلة المدنية أمام موكله.</w:t>
      </w:r>
      <w:commentRangeEnd w:id="118"/>
      <w:r>
        <w:rPr>
          <w:rStyle w:val="af0"/>
          <w:sz w:val="22"/>
          <w:szCs w:val="22"/>
          <w:rtl/>
        </w:rPr>
        <w:commentReference w:id="118"/>
      </w:r>
      <w:commentRangeEnd w:id="119"/>
      <w:r>
        <w:rPr>
          <w:rStyle w:val="af0"/>
          <w:sz w:val="22"/>
          <w:szCs w:val="22"/>
          <w:rtl/>
        </w:rPr>
        <w:commentReference w:id="119"/>
      </w:r>
    </w:p>
    <w:p w14:paraId="7247918F" w14:textId="77777777" w:rsidR="005705DD" w:rsidRDefault="005705DD" w:rsidP="005705DD">
      <w:pPr>
        <w:bidi/>
        <w:spacing w:after="200" w:line="276" w:lineRule="auto"/>
        <w:rPr>
          <w:rtl/>
        </w:rPr>
      </w:pPr>
      <w:r>
        <w:rPr>
          <w:rFonts w:asciiTheme="majorBidi" w:hAnsiTheme="majorBidi" w:cstheme="majorBidi"/>
          <w:sz w:val="24"/>
          <w:szCs w:val="24"/>
          <w:rtl/>
        </w:rPr>
        <w:t>الحالة الثانية — المواطن والاستشارة الافتراضية: يلجأ مواطن سعودي عادي إلى تطبيق يدّعي تقديم استشارات قانونية بالذكاء الاصطناعي بدلاً من الذهاب إلى محامٍ مرخّص، فيسأل عن حقوقه في نزاع عقاري. يتلقى معلومات تبدو دقيقة لكنها لا تُراعي خصوصية وضعه أو التعديلات التشريعية الأخيرة، فيتصرف بناءً عليها ويخسر حقاً قانونياً بسبب التأخر في المطالبة.</w:t>
      </w:r>
    </w:p>
    <w:p w14:paraId="3EA81801"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التقييم القانوني للحالة الثانية: هل يُعدّ التطبيق المذكور "مزاولاً لمهنة المحاماة" دون ترخيص وفق نظام المحاماة؟ وإجابةً على ذلك يرى الباحث أن التطبيق الذي يُقدّم "رأياً" مخصصاً لحالة شخص بعينه يقع في نطاق "الاستشارة القانونية" التي يشترط نظام المحاماة الترخيصَ لتقديمها. وبالتالي، فإن تشغيل مثل هذا التطبيق دون ترخيص يُشكّل مزاولةً غير مشروعة للمهنة. أما المواطن الذي اعتمد على التطبيق، فيصعب قانوناً تحميله المسؤولية الكاملة عن الضرر اللاحق به، إذ إن المتوقَّع من غير المتخصصين قانوناً هو تحرّيهم عن ترخيص الجهة المقدِّمة للخدمة لا الغوص في فحص مصداقية كل نص قانوني يتلقونه. وهو ما يُلقي المسؤولية على الجهة الرقابية بمراقبة هذه التطبيقات وعدم السماح بعملها دون ترخيص.</w:t>
      </w:r>
    </w:p>
    <w:p w14:paraId="51ADBE58" w14:textId="77777777" w:rsidR="005705DD" w:rsidRDefault="005705DD" w:rsidP="005705DD">
      <w:pPr>
        <w:bidi/>
        <w:spacing w:after="200" w:line="276" w:lineRule="auto"/>
        <w:rPr>
          <w:rtl/>
        </w:rPr>
      </w:pPr>
      <w:r>
        <w:rPr>
          <w:rFonts w:asciiTheme="majorBidi" w:hAnsiTheme="majorBidi" w:cstheme="majorBidi"/>
          <w:sz w:val="24"/>
          <w:szCs w:val="24"/>
          <w:rtl/>
        </w:rPr>
        <w:t>الحالة الثالثة — فحص العقود الآلي في صفقة استثمارية: تستخدم شركة محاماة كبيرة أداةً متخصصة لفحص عقود أوتوماتيكياً في صفقة استحواذ ضخمة. تُنجز الأداة مراجعة أكثر من 500 وثيقة في 48 ساعة. لاحقاً يتبيّن أن الأداة أغفلت بنداً تحكيمياً في أحد العقود الفرعية يُغيّر الصورة الكاملة لآلية فض النزاعات في الصفقة.</w:t>
      </w:r>
    </w:p>
    <w:p w14:paraId="116C29F6" w14:textId="77777777" w:rsidR="005705DD" w:rsidRDefault="005705DD" w:rsidP="005705DD">
      <w:pPr>
        <w:bidi/>
        <w:spacing w:after="200" w:line="276" w:lineRule="auto"/>
        <w:rPr>
          <w:rtl/>
        </w:rPr>
      </w:pPr>
      <w:r>
        <w:rPr>
          <w:rFonts w:asciiTheme="majorBidi" w:hAnsiTheme="majorBidi" w:cstheme="majorBidi"/>
          <w:sz w:val="24"/>
          <w:szCs w:val="24"/>
          <w:rtl/>
        </w:rPr>
        <w:t>التقييم القانوني للحالة الثالثة: تُثير هذه الحالة مسألةَ المراجعة البشرية الكافية لمخرجات الذكاء الاصطناعي. فمن منظور نظام المحاماة، يظل المحامي المشرف مسؤولاً عن إغفال بند جوهري بصرف النظر عن الأداة المستخدمة في الفحص؛ لأن الأداة ليست وكيلاً قانونياً مستقلاً، بل وسيلة مساعِدة خاضعة لإشرافه المهني. والمسؤولية التأديبية والمدنية هنا لا تنتقل إلى الأداة بل تظل حيث هي في الذمة المهنية للمحامي. ومن ثم فإن الاعتماد الأعمى على مخرجات الذكاء الاصطناعي في مهام حيوية دون مراجعة بشرية مناسبة يُشكّل قصوراً في واجب العناية المهنية اللازمة.</w:t>
      </w:r>
    </w:p>
    <w:p w14:paraId="7D927CBC" w14:textId="77777777" w:rsidR="005705DD" w:rsidRDefault="005705DD" w:rsidP="005705DD">
      <w:pPr>
        <w:bidi/>
        <w:spacing w:after="200" w:line="276" w:lineRule="auto"/>
        <w:rPr>
          <w:rtl/>
        </w:rPr>
      </w:pPr>
      <w:r>
        <w:rPr>
          <w:rFonts w:asciiTheme="majorBidi" w:hAnsiTheme="majorBidi" w:cstheme="majorBidi"/>
          <w:sz w:val="24"/>
          <w:szCs w:val="24"/>
          <w:rtl/>
        </w:rPr>
        <w:t>الحالة الرابعة — المحامي المُفصِح والموكل الرافض: يعتمد محامٍ على أداة ذكاء اصطناعي لصياغة عقد، ويُفصح لموكله عن ذلك مُبيّناً مزاياه وحدوده، فيرفض الموكل صراحةً أن تُعالَج بياناته بأي أداة خارجية. يستمر المحامي رغم ذلك في استخدام الأداة نظراً لضيق الوقت، دون علم الموكل.</w:t>
      </w:r>
    </w:p>
    <w:p w14:paraId="77C8253D" w14:textId="77777777" w:rsidR="005705DD" w:rsidRDefault="005705DD" w:rsidP="005705DD">
      <w:pPr>
        <w:bidi/>
        <w:spacing w:after="200" w:line="276" w:lineRule="auto"/>
        <w:rPr>
          <w:rtl/>
        </w:rPr>
      </w:pPr>
      <w:r>
        <w:rPr>
          <w:rFonts w:asciiTheme="majorBidi" w:hAnsiTheme="majorBidi" w:cstheme="majorBidi"/>
          <w:sz w:val="24"/>
          <w:szCs w:val="24"/>
          <w:rtl/>
        </w:rPr>
        <w:t>التقييم القانوني للحالة الرابعة: تُعدّ هذه الحالة الأكثر صرامةً من حيث الحكم القانوني؛ فاستمرار المحامي في استخدام الأداة بعد رفض الموكل الصريح يُشكّل: أولاً انتهاكاً لواجب العناية بمصلحة الموكل المستمَد من العلاقة الوكالية. ثانياً، انتهاكاً صريحاً لنظام حماية البيانات الشخصية الذي يشترط الموافقة ويُجيز سحبها. ثالثاً، انتهاكاً لواجب حسن النية التعاقدية المُقرَّر في نظام المعاملات المدنية. وتُعدّ هذه الحالة في حكم الإخلال بالواجب المهني الذي يُوجب المساءلة التأديبية وربما المدنية، فضلاً عن أن الموكل يملك فسخ عقد الوكالة فوراً استناداً إلى هذا الإخلال.</w:t>
      </w:r>
      <w:commentRangeEnd w:id="122"/>
      <w:r>
        <w:rPr>
          <w:rStyle w:val="af0"/>
          <w:sz w:val="22"/>
          <w:szCs w:val="22"/>
          <w:rtl/>
        </w:rPr>
        <w:commentReference w:id="122"/>
      </w:r>
      <w:commentRangeEnd w:id="123"/>
      <w:r>
        <w:rPr>
          <w:rStyle w:val="af0"/>
          <w:sz w:val="22"/>
          <w:szCs w:val="22"/>
          <w:rtl/>
        </w:rPr>
        <w:commentReference w:id="123"/>
      </w:r>
    </w:p>
    <w:p w14:paraId="5449998F" w14:textId="77777777" w:rsidR="005705DD" w:rsidRDefault="005705DD" w:rsidP="005705DD"/>
    <w:p w14:paraId="2694DB4B"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المطلب الثاني</w:t>
      </w:r>
    </w:p>
    <w:p w14:paraId="37AD85A4" w14:textId="77777777" w:rsidR="005705DD" w:rsidRPr="00A84F46" w:rsidRDefault="005705DD" w:rsidP="005705DD">
      <w:pPr>
        <w:bidi/>
        <w:spacing w:after="200" w:line="276" w:lineRule="auto"/>
        <w:jc w:val="center"/>
        <w:rPr>
          <w:bCs/>
          <w:color w:val="000000" w:themeColor="text1"/>
          <w:rtl/>
        </w:rPr>
      </w:pPr>
      <w:r>
        <w:rPr>
          <w:rFonts w:asciiTheme="majorBidi" w:hAnsiTheme="majorBidi" w:cstheme="majorBidi"/>
          <w:bCs/>
          <w:color w:val="000000" w:themeColor="text1"/>
          <w:sz w:val="28"/>
          <w:szCs w:val="28"/>
          <w:rtl/>
        </w:rPr>
        <w:t>التكييف النظامي لممارسات الاستخدام الفردي مع الإشارة إلى التجربة الإماراتية</w:t>
      </w:r>
    </w:p>
    <w:p w14:paraId="16ECC3AA" w14:textId="77777777" w:rsidR="005705DD" w:rsidRDefault="005705DD" w:rsidP="005705DD">
      <w:pPr>
        <w:bidi/>
        <w:spacing w:after="200" w:line="276" w:lineRule="auto"/>
        <w:rPr>
          <w:rtl/>
        </w:rPr>
      </w:pPr>
      <w:r>
        <w:rPr>
          <w:rFonts w:asciiTheme="majorBidi" w:hAnsiTheme="majorBidi" w:cstheme="majorBidi"/>
          <w:b/>
          <w:sz w:val="28"/>
          <w:szCs w:val="28"/>
          <w:rtl/>
        </w:rPr>
        <w:t>أولاً: التكييف النظامي لأنماط الاستخدام الفردي في ضوء الأنظمة السعودية</w:t>
      </w:r>
    </w:p>
    <w:p w14:paraId="141B177E" w14:textId="77777777" w:rsidR="005705DD" w:rsidRDefault="005705DD" w:rsidP="005705DD">
      <w:pPr>
        <w:bidi/>
        <w:spacing w:after="200" w:line="276" w:lineRule="auto"/>
        <w:rPr>
          <w:rtl/>
        </w:rPr>
      </w:pPr>
      <w:r>
        <w:rPr>
          <w:rFonts w:asciiTheme="majorBidi" w:hAnsiTheme="majorBidi" w:cstheme="majorBidi"/>
          <w:sz w:val="24"/>
          <w:szCs w:val="24"/>
          <w:rtl/>
        </w:rPr>
        <w:t xml:space="preserve">يستلزم التكييف النظامي الدقيق لأنماط الاستخدام الفردي إخضاعها </w:t>
      </w:r>
      <w:commentRangeStart w:id="124"/>
      <w:commentRangeStart w:id="125"/>
      <w:r>
        <w:rPr>
          <w:rFonts w:asciiTheme="majorBidi" w:hAnsiTheme="majorBidi" w:cstheme="majorBidi"/>
          <w:sz w:val="24"/>
          <w:szCs w:val="24"/>
          <w:rtl/>
        </w:rPr>
        <w:t>لمحكّات عدة أنظمة سعودية قائمة</w:t>
      </w:r>
      <w:commentRangeEnd w:id="124"/>
      <w:r>
        <w:rPr>
          <w:rStyle w:val="af0"/>
          <w:rFonts w:asciiTheme="majorBidi" w:hAnsiTheme="majorBidi" w:cstheme="majorBidi"/>
          <w:sz w:val="24"/>
          <w:szCs w:val="24"/>
          <w:rtl/>
        </w:rPr>
        <w:commentReference w:id="124"/>
      </w:r>
      <w:commentRangeEnd w:id="125"/>
      <w:r>
        <w:rPr>
          <w:rStyle w:val="af0"/>
          <w:rFonts w:asciiTheme="majorBidi" w:hAnsiTheme="majorBidi" w:cstheme="majorBidi"/>
          <w:sz w:val="24"/>
          <w:szCs w:val="24"/>
          <w:rtl/>
        </w:rPr>
        <w:commentReference w:id="125"/>
      </w:r>
      <w:r>
        <w:rPr>
          <w:rFonts w:asciiTheme="majorBidi" w:hAnsiTheme="majorBidi" w:cstheme="majorBidi"/>
          <w:sz w:val="24"/>
          <w:szCs w:val="24"/>
          <w:rtl/>
        </w:rPr>
        <w:t>، وإن كانت هذه الأنظمة لم تُصمَّم أصلاً لمعالجة هذه الظاهرة:</w:t>
      </w:r>
    </w:p>
    <w:p w14:paraId="6E61023B" w14:textId="77777777" w:rsidR="005705DD" w:rsidRDefault="005705DD" w:rsidP="005705DD">
      <w:pPr>
        <w:bidi/>
        <w:spacing w:after="200" w:line="276" w:lineRule="auto"/>
        <w:rPr>
          <w:rtl/>
        </w:rPr>
      </w:pPr>
      <w:commentRangeStart w:id="126"/>
      <w:commentRangeStart w:id="127"/>
      <w:r>
        <w:rPr>
          <w:rFonts w:asciiTheme="majorBidi" w:hAnsiTheme="majorBidi" w:cstheme="majorBidi"/>
          <w:sz w:val="24"/>
          <w:szCs w:val="24"/>
          <w:rtl/>
        </w:rPr>
        <w:t xml:space="preserve">المحك الأول — نظام المحاماة </w:t>
      </w:r>
      <w:commentRangeEnd w:id="126"/>
      <w:r>
        <w:rPr>
          <w:rStyle w:val="af0"/>
          <w:rFonts w:asciiTheme="majorBidi" w:hAnsiTheme="majorBidi" w:cstheme="majorBidi"/>
          <w:sz w:val="24"/>
          <w:szCs w:val="24"/>
          <w:vertAlign w:val="superscript"/>
          <w:rtl/>
        </w:rPr>
        <w:commentReference w:id="126"/>
      </w:r>
      <w:commentRangeEnd w:id="127"/>
      <w:r>
        <w:rPr>
          <w:rStyle w:val="af0"/>
          <w:rFonts w:asciiTheme="majorBidi" w:hAnsiTheme="majorBidi" w:cstheme="majorBidi"/>
          <w:sz w:val="24"/>
          <w:szCs w:val="24"/>
          <w:vertAlign w:val="superscript"/>
          <w:rtl/>
        </w:rPr>
        <w:commentReference w:id="127"/>
      </w:r>
      <w:r>
        <w:rPr>
          <w:rFonts w:asciiTheme="majorBidi" w:hAnsiTheme="majorBidi" w:cstheme="majorBidi"/>
          <w:sz w:val="24"/>
          <w:szCs w:val="24"/>
          <w:vertAlign w:val="superscript"/>
          <w:rtl/>
        </w:rPr>
        <w:footnoteReference w:id="311"/>
      </w:r>
      <w:r>
        <w:rPr>
          <w:rFonts w:asciiTheme="majorBidi" w:hAnsiTheme="majorBidi" w:cstheme="majorBidi"/>
          <w:sz w:val="24"/>
          <w:szCs w:val="24"/>
          <w:rtl/>
        </w:rPr>
        <w:t xml:space="preserve">: تُعرَّف مهنة المحاماة في المادة الأولى من النظام بأنها "الترافع عن الغير أمام المحاكم وديوان المظالم واللجان المشكلة بموجب الأنظمة والأوامر والقرارات لنظر القضايا الداخلة في اختصاصها، ومزاولة الاستشارات الشرعية والنظامية". ويشترط النظام فيمن يزاولها القيد في جدول المحامين الممارسين والترخيص من وزارة العدل عبر لجنة قيد وقبول المحامين (المادتان الثالثة والخامسة)، ويعاقب من </w:t>
      </w:r>
      <w:r>
        <w:rPr>
          <w:rFonts w:asciiTheme="majorBidi" w:hAnsiTheme="majorBidi" w:cstheme="majorBidi"/>
          <w:sz w:val="24"/>
          <w:szCs w:val="24"/>
          <w:rtl/>
        </w:rPr>
        <w:lastRenderedPageBreak/>
        <w:t>انتحل صفة المحامي أو مارس المهنة خلافاً لأحكامه بالسجن مدة لا تزيد على سنة وبالغرامة أو بإحداهما (المادة السابعة والثلاثون). والسؤال الجوهري هنا: هل تُعدّ المنصات التجارية التي تُقدّم استشارات قانونية بالذكاء الاصطناعي "مزاولةً لمهنة المحاماة" تستوجب الترخيص؟</w:t>
      </w:r>
    </w:p>
    <w:p w14:paraId="1A9F79E3" w14:textId="77777777" w:rsidR="005705DD" w:rsidRDefault="005705DD" w:rsidP="005705DD">
      <w:pPr>
        <w:bidi/>
        <w:spacing w:after="200" w:line="276" w:lineRule="auto"/>
        <w:rPr>
          <w:rtl/>
        </w:rPr>
      </w:pPr>
      <w:r>
        <w:rPr>
          <w:rFonts w:asciiTheme="majorBidi" w:hAnsiTheme="majorBidi" w:cstheme="majorBidi"/>
          <w:sz w:val="24"/>
          <w:szCs w:val="24"/>
          <w:rtl/>
        </w:rPr>
        <w:t>الإجابة عن هذا السؤال تستلزم التمييز بين ثلاثة مستويات: (أ) المعلومة القانونية العامة (Legal Information) وهي نقل المعرفة القانونية دون ربطها بحالة محددة، وهذه لا تُعدّ مزاولةً للمهنة. (ب) الاستشارة القانونية المتخصصة (Legal Advice) وهي تحليل الحالة القانونية لشخص بعينه وإسداء رأي محدد حولها، وهذه الأرجح أنها تستوجب الترخيص. (ج) التمثيل القانوني (Legal Representation) أمام الجهات القضائية، وهذه لا خلاف في كونها تستلزم الترخيص صراحةً. والمشكلة أن أدوات الذكاء الاصطناعي تتراوح بين المستوى الأول والثاني أحياناً في مخرجاتها، مما يُعسّر تصنيفها.</w:t>
      </w:r>
    </w:p>
    <w:p w14:paraId="7313B508" w14:textId="77777777" w:rsidR="005705DD" w:rsidRDefault="005705DD" w:rsidP="005705DD">
      <w:pPr>
        <w:bidi/>
        <w:spacing w:after="200" w:line="276" w:lineRule="auto"/>
        <w:rPr>
          <w:rtl/>
        </w:rPr>
      </w:pPr>
      <w:r>
        <w:rPr>
          <w:rFonts w:asciiTheme="majorBidi" w:hAnsiTheme="majorBidi" w:cstheme="majorBidi"/>
          <w:sz w:val="24"/>
          <w:szCs w:val="24"/>
          <w:rtl/>
        </w:rPr>
        <w:t>المحك الثاني — نظام مكافحة الجرائم المعلوماتية (1428هـ): تُجرّم المادة الثالثة من هذا النظام التشهير وانتهاك الخصوصية عبر الفضاء الإلكتروني. وفي حال كان الاستخدام الفردي لأدوات الذكاء الاصطناعي قد أفضى إلى كشف بيانات شخصية للغير دون رضاه — سواء عبر إدخال بيانات طرف ثالث في نموذج ذكاء اصطناعي، أو نشر مخرجات ذكية تتضمن معلومات شخصية — فإن ذلك يُمكن أن يُشكّل جريمة معلوماتية وفق هذا النظام. ويرى الباحث أن تفعيل هذا النظام في مواجهة الانتهاكات المرتبطة بالذكاء الاصطناعي أمر ممكن قانوناً، وإن كان يستلزم توسيعاً في تفسير نصوصه لتشمل الفضاء التقني الجديد.</w:t>
      </w:r>
    </w:p>
    <w:p w14:paraId="5614DD41" w14:textId="77777777" w:rsidR="005705DD" w:rsidRDefault="005705DD" w:rsidP="005705DD">
      <w:pPr>
        <w:bidi/>
        <w:spacing w:after="200" w:line="276" w:lineRule="auto"/>
        <w:rPr>
          <w:rtl/>
        </w:rPr>
      </w:pPr>
      <w:commentRangeStart w:id="128"/>
      <w:commentRangeStart w:id="129"/>
      <w:r>
        <w:rPr>
          <w:rFonts w:asciiTheme="majorBidi" w:hAnsiTheme="majorBidi" w:cstheme="majorBidi"/>
          <w:sz w:val="24"/>
          <w:szCs w:val="24"/>
          <w:rtl/>
        </w:rPr>
        <w:t xml:space="preserve">المحك الثالث — نظام </w:t>
      </w:r>
      <w:commentRangeEnd w:id="128"/>
      <w:r>
        <w:rPr>
          <w:rStyle w:val="af0"/>
          <w:rFonts w:asciiTheme="majorBidi" w:hAnsiTheme="majorBidi" w:cstheme="majorBidi"/>
          <w:sz w:val="24"/>
          <w:szCs w:val="24"/>
          <w:rtl/>
        </w:rPr>
        <w:commentReference w:id="128"/>
      </w:r>
      <w:commentRangeEnd w:id="129"/>
      <w:r>
        <w:rPr>
          <w:rStyle w:val="af0"/>
          <w:rFonts w:asciiTheme="majorBidi" w:hAnsiTheme="majorBidi" w:cstheme="majorBidi"/>
          <w:sz w:val="24"/>
          <w:szCs w:val="24"/>
          <w:rtl/>
        </w:rPr>
        <w:commentReference w:id="129"/>
      </w:r>
      <w:r>
        <w:rPr>
          <w:rFonts w:asciiTheme="majorBidi" w:hAnsiTheme="majorBidi" w:cstheme="majorBidi"/>
          <w:sz w:val="24"/>
          <w:szCs w:val="24"/>
          <w:rtl/>
        </w:rPr>
        <w:t>المعاملات المدنية (1444هـ): يُرسي هذا النظام أحكام المسؤولية العقدية والتقصيرية في نطاق المعاملات المدنية. وإذا أفضى الاستخدام الفردي لأداة ذكاء اصطناعي إلى ضرر مدني — كأن يُقدّم محامٍ رأياً قانونياً معيباً استناداً إلى مخرجات ذكية دون التحقق منها — فإن نظام المعاملات المدنية يُتيح المطالبة بالتعويض وفق أحكام المسؤولية العقدية إذا وُجد اتفاق، أو التقصيرية إذا لم يكن ثمة رابطة عقدية. وتُضاف إلى ذلك أحكام نظام المحاماة نفسه التي تُلزم المحامي بالاجتهاد اللازم وعدم الإهمال.</w:t>
      </w:r>
    </w:p>
    <w:p w14:paraId="7978EF6F" w14:textId="77777777" w:rsidR="005705DD" w:rsidRDefault="005705DD" w:rsidP="005705DD">
      <w:pPr>
        <w:bidi/>
        <w:spacing w:after="200" w:line="276" w:lineRule="auto"/>
        <w:rPr>
          <w:rtl/>
        </w:rPr>
      </w:pPr>
      <w:commentRangeStart w:id="130"/>
      <w:commentRangeStart w:id="131"/>
      <w:r>
        <w:rPr>
          <w:rFonts w:asciiTheme="majorBidi" w:hAnsiTheme="majorBidi" w:cstheme="majorBidi"/>
          <w:sz w:val="24"/>
          <w:szCs w:val="24"/>
          <w:rtl/>
        </w:rPr>
        <w:t>المحك الرابع — المسؤولية التأديبية للمحامي: تُوقِع لجنة التأديب — المشكَّلة بقرار من وزير العدل من قاضٍ وعضوين من أهل الخبرة وفق المادة (الحادية والثلاثين) من نظام المحاماة — العقوبات التأديبية المقررة في المادة (التاسعة والعشرين) منه على المحامي الذي يُخل بواجباته المهنية. ومن هذه الواجبات ما يرتبط ارتباطاً مباشراً بالاستخدام غير المحكوم لأدوات الذكاء الاصطناعي، كواجب العناية المهنية اللازمة، وواجب السرية، وواجب الإفصاح، وواجب التحقق من صحة المستندات المُقدَّمة للجهات القضائية. ويرى الباحث أن المسؤولية التأديبية يمكن تفعيلها في مواجهة المحامين الذين يستخدمون الذكاء الاصطناعي بصورة مخلّة بهذه الواجبات، حتى في ظل غياب نظام تشريعي صريح.</w:t>
      </w:r>
      <w:commentRangeEnd w:id="130"/>
      <w:r>
        <w:rPr>
          <w:rStyle w:val="af0"/>
          <w:sz w:val="22"/>
          <w:szCs w:val="22"/>
          <w:rtl/>
        </w:rPr>
        <w:commentReference w:id="130"/>
      </w:r>
      <w:commentRangeEnd w:id="131"/>
      <w:r>
        <w:rPr>
          <w:rStyle w:val="af0"/>
          <w:sz w:val="22"/>
          <w:szCs w:val="22"/>
          <w:rtl/>
        </w:rPr>
        <w:commentReference w:id="131"/>
      </w:r>
    </w:p>
    <w:p w14:paraId="2F8679F3" w14:textId="77777777" w:rsidR="005705DD" w:rsidRDefault="005705DD" w:rsidP="005705DD">
      <w:pPr>
        <w:bidi/>
        <w:spacing w:after="200" w:line="276" w:lineRule="auto"/>
        <w:rPr>
          <w:rtl/>
        </w:rPr>
      </w:pPr>
      <w:r>
        <w:rPr>
          <w:rFonts w:asciiTheme="majorBidi" w:hAnsiTheme="majorBidi" w:cstheme="majorBidi"/>
          <w:b/>
          <w:sz w:val="28"/>
          <w:szCs w:val="28"/>
          <w:rtl/>
        </w:rPr>
        <w:t>ثانياً: التجربة الإماراتية في تنظيم الذكاء الاصطناعي القانوني</w:t>
      </w:r>
    </w:p>
    <w:p w14:paraId="5501263C" w14:textId="77777777" w:rsidR="005705DD" w:rsidRDefault="005705DD" w:rsidP="005705DD">
      <w:pPr>
        <w:bidi/>
        <w:spacing w:after="200" w:line="276" w:lineRule="auto"/>
        <w:rPr>
          <w:rtl/>
        </w:rPr>
      </w:pPr>
      <w:r>
        <w:rPr>
          <w:rFonts w:asciiTheme="majorBidi" w:hAnsiTheme="majorBidi" w:cstheme="majorBidi"/>
          <w:sz w:val="24"/>
          <w:szCs w:val="24"/>
          <w:rtl/>
        </w:rPr>
        <w:t>تقدم دولة الإمارات العربية المتحدة نموذجاً إقليمياً مبكراً في تنظيم تقنيات الذكاء الاصطناعي تجدر دراسته للدول الساعية إلى إرساء أطر تشريعية لهذا المجال. وتنبع أهمية الاستئناس بهذه التجربة في السياق السعودي من قواسم مشتركة عدة، في مقدمتها: التشابه في المنظومة القانونية المزدوجة (الفقه الإسلامي والتشريع الوضعي)، والتقارب في استراتيجيات التحول الرقمي، ووحدة السياق الثقافي والاجتماعي.</w:t>
      </w:r>
    </w:p>
    <w:p w14:paraId="2824A62A" w14:textId="77777777" w:rsidR="005705DD" w:rsidRDefault="005705DD" w:rsidP="005705DD">
      <w:pPr>
        <w:bidi/>
        <w:spacing w:after="200" w:line="276" w:lineRule="auto"/>
        <w:rPr>
          <w:rtl/>
        </w:rPr>
      </w:pPr>
      <w:r>
        <w:rPr>
          <w:rFonts w:asciiTheme="majorBidi" w:hAnsiTheme="majorBidi" w:cstheme="majorBidi"/>
          <w:sz w:val="28"/>
          <w:szCs w:val="28"/>
          <w:rtl/>
        </w:rPr>
        <w:t>وتتجلى ملامح التجربة الإماراتية في المحاور التالية:</w:t>
      </w:r>
    </w:p>
    <w:p w14:paraId="21074EFC" w14:textId="77777777" w:rsidR="005705DD" w:rsidRDefault="005705DD" w:rsidP="005705DD">
      <w:pPr>
        <w:bidi/>
        <w:spacing w:after="200" w:line="276" w:lineRule="auto"/>
        <w:rPr>
          <w:rtl/>
        </w:rPr>
      </w:pPr>
      <w:commentRangeStart w:id="132"/>
      <w:commentRangeStart w:id="133"/>
      <w:r>
        <w:rPr>
          <w:rFonts w:asciiTheme="majorBidi" w:hAnsiTheme="majorBidi" w:cstheme="majorBidi"/>
          <w:sz w:val="24"/>
          <w:szCs w:val="24"/>
          <w:rtl/>
        </w:rPr>
        <w:t xml:space="preserve">المحور الأول — الاستراتيجية الوطنية للذكاء الاصطناعي 2031: أطلقت دولة الإمارات عام 2017م استراتيجيتها الوطنية للذكاء الاصطناعي، وهي الأولى من نوعها في المنطقة، وتهدف إلى جعل الإمارات من أوائل دول العالم في الاستفادة من الذكاء الاصطناعي بحلول عام 2031م. وقد خصصت الاستراتيجية قطاع العدالة والقانون ضمن القطاعات الأولى بالاهتمام، وأطلقت مبادرات تجريبية لتطبيق الذكاء الاصطناعي في </w:t>
      </w:r>
      <w:r>
        <w:rPr>
          <w:rFonts w:asciiTheme="majorBidi" w:hAnsiTheme="majorBidi" w:cstheme="majorBidi"/>
          <w:sz w:val="24"/>
          <w:szCs w:val="24"/>
          <w:rtl/>
        </w:rPr>
        <w:lastRenderedPageBreak/>
        <w:t xml:space="preserve">المحاكم وفي خدمات العدالة </w:t>
      </w:r>
      <w:r>
        <w:rPr>
          <w:rFonts w:asciiTheme="majorBidi" w:hAnsiTheme="majorBidi" w:cstheme="majorBidi"/>
          <w:sz w:val="24"/>
          <w:szCs w:val="24"/>
          <w:vertAlign w:val="superscript"/>
          <w:rtl/>
        </w:rPr>
        <w:footnoteReference w:id="312"/>
      </w:r>
      <w:r>
        <w:rPr>
          <w:rFonts w:asciiTheme="majorBidi" w:hAnsiTheme="majorBidi" w:cstheme="majorBidi"/>
          <w:sz w:val="24"/>
          <w:szCs w:val="24"/>
          <w:rtl/>
        </w:rPr>
        <w:t>. وتستمد أهميتها التشريعية من كونها ترسي رؤية حكومية متكاملة للذكاء الاصطناعي بدلاً من الاكتفاء بردود الفعل التشريعية، مما يعني وجود تنسيق مسبق بين المنظومة التشريعية ومتطلبات التقنية.</w:t>
      </w:r>
      <w:commentRangeEnd w:id="132"/>
      <w:r>
        <w:rPr>
          <w:rStyle w:val="af0"/>
          <w:sz w:val="22"/>
          <w:szCs w:val="22"/>
          <w:rtl/>
        </w:rPr>
        <w:commentReference w:id="132"/>
      </w:r>
      <w:commentRangeEnd w:id="133"/>
      <w:r>
        <w:rPr>
          <w:rStyle w:val="af0"/>
          <w:sz w:val="22"/>
          <w:szCs w:val="22"/>
          <w:rtl/>
        </w:rPr>
        <w:commentReference w:id="133"/>
      </w:r>
    </w:p>
    <w:p w14:paraId="306DD617" w14:textId="77777777" w:rsidR="005705DD" w:rsidRDefault="005705DD" w:rsidP="005705DD">
      <w:pPr>
        <w:bidi/>
        <w:spacing w:after="200" w:line="276" w:lineRule="auto"/>
        <w:rPr>
          <w:rtl/>
        </w:rPr>
      </w:pPr>
      <w:r>
        <w:rPr>
          <w:rFonts w:asciiTheme="majorBidi" w:hAnsiTheme="majorBidi" w:cstheme="majorBidi"/>
          <w:sz w:val="24"/>
          <w:szCs w:val="24"/>
          <w:rtl/>
        </w:rPr>
        <w:t>المحور الثاني — القانون الاتحادي رقم 45 لسنة 2021م بشأن حماية البيانات الشخصية (PDPL): يمثّل هذا القانون الإطار التشريعي الإماراتي الرئيسي لحماية البيانات، ويتشابه في أهدافه العامة مع نظام حماية البيانات الشخصية السعودي (1443هـ)، غير أنه يتميز بعدة سمات بارزة في تطبيقه على القطاع القانوني. أهمها أن القانون حدّد صراحةً أحكام معالجة "البيانات الحساسة" بما فيها البيانات القانونية المرتبطة بالتقاضي، واشترط الحصول على موافقة مستنيرة قبل معالجة هذه البيانات بأي أداة رقمية. كما أسّس القانون هيئةَ حماية البيانات كجهة إشرافية متخصصة تتولى الرقابة على الالتزام بأحكامه، بما في ذلك الاستخدام القانوني لأدوات الذكاء الاصطناعي.</w:t>
      </w:r>
    </w:p>
    <w:p w14:paraId="00BB0135" w14:textId="77777777" w:rsidR="005705DD" w:rsidRDefault="005705DD" w:rsidP="005705DD">
      <w:pPr>
        <w:bidi/>
        <w:spacing w:after="200" w:line="276" w:lineRule="auto"/>
        <w:rPr>
          <w:rtl/>
        </w:rPr>
      </w:pPr>
      <w:commentRangeStart w:id="134"/>
      <w:commentRangeStart w:id="135"/>
      <w:r>
        <w:rPr>
          <w:rFonts w:asciiTheme="majorBidi" w:hAnsiTheme="majorBidi" w:cstheme="majorBidi"/>
          <w:sz w:val="24"/>
          <w:szCs w:val="24"/>
          <w:rtl/>
        </w:rPr>
        <w:t>المحور الثالث — التوظيف العدلي للذكاء الاصطناعي: اتجهت الجهات العدلية الإماراتية ضمن خطط التحول الرقمي إلى مشروع "محاكم الذكاء الاصطناعي"، الذي يهدف إلى توظيف الذكاء الاصطناعي في دعم القضاة في تحليل المستندات والتنبؤ بنتائج القضايا. وصاحبت ذلك ضوابط إجرائية لاستخدام الذكاء الاصطناعي في العمل القضائي، من أبرزها: اشتراط مراجعة بشرية لكل مخرجات الذكاء الاصطناعي قبل الاستناد إليها، ومنح الخصوم حق الاطلاع على الأدوات المستخدمة في تحليل القضية، وإبقاء السلطة التقديرية في الحكم في يد القاضي البشري حصراً.</w:t>
      </w:r>
    </w:p>
    <w:p w14:paraId="212A015B" w14:textId="77777777" w:rsidR="005705DD" w:rsidRDefault="005705DD" w:rsidP="005705DD">
      <w:pPr>
        <w:bidi/>
        <w:spacing w:after="200" w:line="276" w:lineRule="auto"/>
        <w:rPr>
          <w:rtl/>
        </w:rPr>
      </w:pPr>
      <w:r>
        <w:rPr>
          <w:rFonts w:asciiTheme="majorBidi" w:hAnsiTheme="majorBidi" w:cstheme="majorBidi"/>
          <w:sz w:val="24"/>
          <w:szCs w:val="24"/>
          <w:rtl/>
        </w:rPr>
        <w:t xml:space="preserve">ويشير جانب من الفقه في دراسة المبادرات الإماراتية في مجال العدالة الرقمية إلى أن تجربة وزارة العدل الإماراتية تُمثّل نموذجاً للتكامل التشريعي-التقني، إذ لم تكتفِ بتطبيق التقنية بل صاحبت ذلك بضوابط إجرائية واضحة تُحافظ على مبدأ سيادة القانون وضمانات المحاكمة العادلة </w:t>
      </w:r>
      <w:r>
        <w:rPr>
          <w:rFonts w:asciiTheme="majorBidi" w:hAnsiTheme="majorBidi" w:cstheme="majorBidi"/>
          <w:sz w:val="24"/>
          <w:szCs w:val="24"/>
          <w:vertAlign w:val="superscript"/>
          <w:rtl/>
        </w:rPr>
        <w:footnoteReference w:id="313"/>
      </w:r>
      <w:r>
        <w:rPr>
          <w:rFonts w:asciiTheme="majorBidi" w:hAnsiTheme="majorBidi" w:cstheme="majorBidi"/>
          <w:sz w:val="24"/>
          <w:szCs w:val="24"/>
          <w:rtl/>
        </w:rPr>
        <w:t>.</w:t>
      </w:r>
      <w:commentRangeEnd w:id="134"/>
      <w:r>
        <w:rPr>
          <w:rStyle w:val="af0"/>
          <w:sz w:val="22"/>
          <w:szCs w:val="22"/>
          <w:rtl/>
        </w:rPr>
        <w:commentReference w:id="134"/>
      </w:r>
      <w:commentRangeEnd w:id="135"/>
      <w:r>
        <w:rPr>
          <w:rStyle w:val="af0"/>
          <w:sz w:val="22"/>
          <w:szCs w:val="22"/>
          <w:rtl/>
        </w:rPr>
        <w:commentReference w:id="135"/>
      </w:r>
    </w:p>
    <w:p w14:paraId="6382D540" w14:textId="77777777" w:rsidR="005705DD" w:rsidRDefault="005705DD" w:rsidP="005705DD">
      <w:pPr>
        <w:bidi/>
        <w:spacing w:after="200" w:line="276" w:lineRule="auto"/>
        <w:rPr>
          <w:rtl/>
        </w:rPr>
      </w:pPr>
      <w:commentRangeStart w:id="136"/>
      <w:commentRangeStart w:id="137"/>
      <w:r>
        <w:rPr>
          <w:rFonts w:asciiTheme="majorBidi" w:hAnsiTheme="majorBidi" w:cstheme="majorBidi"/>
          <w:sz w:val="24"/>
          <w:szCs w:val="24"/>
          <w:rtl/>
        </w:rPr>
        <w:t>المحور الرابع — ميثاق الإمارات لتطوير واستخدام الذكاء الاصطناعي (2024م): أصدرت دولة الإمارات عام 2024م ميثاقاً يحدد المبادئ الواجب مراعاتها في تطوير أنظمة الذكاء الاصطناعي واستخدامها. ويتضمن الميثاق — وثيق الصلة بالسياق القانوني — مبادئ من أبرزها: وجوب إعداد تقييم الأثر قبل نشر أي نظام ذكاء اصطناعي يمسّ الحقوق والحريات، ووجوب الشفافية في الكشف عن طبيعة النظام للمستخدمين، واشتراط قابلية تفسير القرار الذكي (Explainability) في القطاعات الحيوية بما فيها العدالة</w:t>
      </w:r>
      <w:commentRangeEnd w:id="136"/>
      <w:r>
        <w:rPr>
          <w:rStyle w:val="af0"/>
          <w:rFonts w:asciiTheme="majorBidi" w:hAnsiTheme="majorBidi" w:cstheme="majorBidi"/>
          <w:sz w:val="24"/>
          <w:szCs w:val="24"/>
          <w:rtl/>
        </w:rPr>
        <w:commentReference w:id="136"/>
      </w:r>
      <w:commentRangeEnd w:id="137"/>
      <w:r>
        <w:rPr>
          <w:rStyle w:val="af0"/>
          <w:rFonts w:asciiTheme="majorBidi" w:hAnsiTheme="majorBidi" w:cstheme="majorBidi"/>
          <w:sz w:val="24"/>
          <w:szCs w:val="24"/>
          <w:rtl/>
        </w:rPr>
        <w:commentReference w:id="137"/>
      </w:r>
      <w:r>
        <w:rPr>
          <w:rFonts w:asciiTheme="majorBidi" w:hAnsiTheme="majorBidi" w:cstheme="majorBidi"/>
          <w:sz w:val="24"/>
          <w:szCs w:val="24"/>
          <w:rtl/>
        </w:rPr>
        <w:t>.</w:t>
      </w:r>
    </w:p>
    <w:p w14:paraId="2D3BF1BF" w14:textId="77777777" w:rsidR="005705DD" w:rsidRDefault="005705DD" w:rsidP="005705DD">
      <w:pPr>
        <w:bidi/>
        <w:spacing w:after="200" w:line="276" w:lineRule="auto"/>
        <w:rPr>
          <w:rtl/>
        </w:rPr>
      </w:pPr>
      <w:r>
        <w:rPr>
          <w:rFonts w:asciiTheme="majorBidi" w:hAnsiTheme="majorBidi" w:cstheme="majorBidi"/>
          <w:b/>
          <w:sz w:val="28"/>
          <w:szCs w:val="28"/>
          <w:rtl/>
        </w:rPr>
        <w:t xml:space="preserve">ثالثاً: </w:t>
      </w:r>
      <w:commentRangeStart w:id="138"/>
      <w:commentRangeStart w:id="139"/>
      <w:r>
        <w:rPr>
          <w:rFonts w:asciiTheme="majorBidi" w:hAnsiTheme="majorBidi" w:cstheme="majorBidi"/>
          <w:b/>
          <w:sz w:val="28"/>
          <w:szCs w:val="28"/>
          <w:rtl/>
        </w:rPr>
        <w:t>الدروس المستفادة من التجربة الإماراتية للحالة السعودية</w:t>
      </w:r>
      <w:commentRangeEnd w:id="138"/>
      <w:r>
        <w:rPr>
          <w:rStyle w:val="af0"/>
          <w:sz w:val="22"/>
          <w:szCs w:val="22"/>
          <w:rtl/>
        </w:rPr>
        <w:commentReference w:id="138"/>
      </w:r>
      <w:commentRangeEnd w:id="139"/>
      <w:r>
        <w:rPr>
          <w:rStyle w:val="af0"/>
          <w:sz w:val="22"/>
          <w:szCs w:val="22"/>
          <w:rtl/>
        </w:rPr>
        <w:commentReference w:id="139"/>
      </w:r>
    </w:p>
    <w:p w14:paraId="6FB60759" w14:textId="77777777" w:rsidR="005705DD" w:rsidRDefault="005705DD" w:rsidP="005705DD">
      <w:pPr>
        <w:bidi/>
        <w:spacing w:after="200" w:line="276" w:lineRule="auto"/>
        <w:rPr>
          <w:rtl/>
        </w:rPr>
      </w:pPr>
      <w:r>
        <w:rPr>
          <w:rFonts w:asciiTheme="majorBidi" w:hAnsiTheme="majorBidi" w:cstheme="majorBidi"/>
          <w:sz w:val="24"/>
          <w:szCs w:val="24"/>
          <w:rtl/>
        </w:rPr>
        <w:t>تُسهم المقارنة بين التجربتين الإماراتية والسعودية في الكشف عن جملة من الدروس القابلة للاستثمار في صياغة الإطار التنظيمي السعودي المقترح، ويمكن إيجازها فيما يلي:</w:t>
      </w:r>
    </w:p>
    <w:p w14:paraId="3544CECE" w14:textId="77777777" w:rsidR="005705DD" w:rsidRDefault="005705DD" w:rsidP="005705DD">
      <w:pPr>
        <w:bidi/>
        <w:spacing w:after="200" w:line="276" w:lineRule="auto"/>
        <w:rPr>
          <w:rtl/>
        </w:rPr>
      </w:pPr>
      <w:commentRangeStart w:id="140"/>
      <w:commentRangeStart w:id="141"/>
      <w:r>
        <w:rPr>
          <w:rFonts w:asciiTheme="majorBidi" w:hAnsiTheme="majorBidi" w:cstheme="majorBidi"/>
          <w:sz w:val="24"/>
          <w:szCs w:val="24"/>
          <w:rtl/>
        </w:rPr>
        <w:t>1– أهمية المأسسة التشريعية المبكرة:</w:t>
      </w:r>
      <w:commentRangeEnd w:id="140"/>
      <w:r>
        <w:rPr>
          <w:rStyle w:val="af0"/>
          <w:rFonts w:asciiTheme="majorBidi" w:hAnsiTheme="majorBidi" w:cstheme="majorBidi"/>
          <w:sz w:val="24"/>
          <w:szCs w:val="24"/>
          <w:rtl/>
        </w:rPr>
        <w:commentReference w:id="140"/>
      </w:r>
      <w:commentRangeEnd w:id="141"/>
      <w:r>
        <w:rPr>
          <w:rStyle w:val="af0"/>
          <w:rFonts w:asciiTheme="majorBidi" w:hAnsiTheme="majorBidi" w:cstheme="majorBidi"/>
          <w:sz w:val="24"/>
          <w:szCs w:val="24"/>
          <w:rtl/>
        </w:rPr>
        <w:commentReference w:id="141"/>
      </w:r>
      <w:r>
        <w:rPr>
          <w:rFonts w:asciiTheme="majorBidi" w:hAnsiTheme="majorBidi" w:cstheme="majorBidi"/>
          <w:sz w:val="24"/>
          <w:szCs w:val="24"/>
          <w:rtl/>
        </w:rPr>
        <w:t xml:space="preserve"> بدأت الإمارات مأسسة تنظيم الذكاء الاصطناعي مبكراً بإنشاء وزارة مستقلة للذكاء الاصطناعي عام 2017م، مما أتاح لها بناء إطار تشريعي متماسك قبل أن تتفاقم الإشكاليات التطبيقية. وهذا يعني أن الإجراء الأنجع للمملكة العربية السعودية هو التسريع في إصدار تشريع صريح لا الانتظار حتى تتراكم الحوادث القانونية الضارة.</w:t>
      </w:r>
    </w:p>
    <w:p w14:paraId="2BBE76D9" w14:textId="77777777" w:rsidR="005705DD" w:rsidRDefault="005705DD" w:rsidP="005705DD">
      <w:pPr>
        <w:bidi/>
        <w:spacing w:after="200" w:line="276" w:lineRule="auto"/>
        <w:rPr>
          <w:rtl/>
        </w:rPr>
      </w:pPr>
      <w:commentRangeStart w:id="142"/>
      <w:commentRangeStart w:id="143"/>
      <w:r>
        <w:rPr>
          <w:rFonts w:asciiTheme="majorBidi" w:hAnsiTheme="majorBidi" w:cstheme="majorBidi"/>
          <w:sz w:val="24"/>
          <w:szCs w:val="24"/>
          <w:rtl/>
        </w:rPr>
        <w:lastRenderedPageBreak/>
        <w:t>2– التكامل بين التقنية والتشريع:</w:t>
      </w:r>
      <w:commentRangeEnd w:id="142"/>
      <w:r>
        <w:rPr>
          <w:rStyle w:val="af0"/>
          <w:rFonts w:asciiTheme="majorBidi" w:hAnsiTheme="majorBidi" w:cstheme="majorBidi"/>
          <w:sz w:val="24"/>
          <w:szCs w:val="24"/>
          <w:rtl/>
        </w:rPr>
        <w:commentReference w:id="142"/>
      </w:r>
      <w:commentRangeEnd w:id="143"/>
      <w:r>
        <w:rPr>
          <w:rStyle w:val="af0"/>
          <w:rFonts w:asciiTheme="majorBidi" w:hAnsiTheme="majorBidi" w:cstheme="majorBidi"/>
          <w:sz w:val="24"/>
          <w:szCs w:val="24"/>
          <w:rtl/>
        </w:rPr>
        <w:commentReference w:id="143"/>
      </w:r>
      <w:r>
        <w:rPr>
          <w:rFonts w:asciiTheme="majorBidi" w:hAnsiTheme="majorBidi" w:cstheme="majorBidi"/>
          <w:sz w:val="24"/>
          <w:szCs w:val="24"/>
          <w:rtl/>
        </w:rPr>
        <w:t xml:space="preserve"> اعتمدت الإمارات نهج التوازي بين نشر الأدوات الذكية وإصدار الضوابط التنظيمية المرافقة لها، بدلاً من السماح بالنشر أولاً ومحاولة التنظيم لاحقاً. وهذا النهج يُقلّل من الفجوة الزمنية بين الواقع التقني والإطار التنظيمي، ويُجنّب التراكم الإشكالي الذي تُعاني منه البيئة السعودية حالياً.</w:t>
      </w:r>
    </w:p>
    <w:p w14:paraId="44E23DA5" w14:textId="77777777" w:rsidR="005705DD" w:rsidRDefault="005705DD" w:rsidP="005705DD">
      <w:pPr>
        <w:bidi/>
        <w:spacing w:after="200" w:line="276" w:lineRule="auto"/>
        <w:rPr>
          <w:rtl/>
        </w:rPr>
      </w:pPr>
      <w:commentRangeStart w:id="144"/>
      <w:commentRangeStart w:id="145"/>
      <w:r>
        <w:rPr>
          <w:rFonts w:asciiTheme="majorBidi" w:hAnsiTheme="majorBidi" w:cstheme="majorBidi"/>
          <w:sz w:val="24"/>
          <w:szCs w:val="24"/>
          <w:rtl/>
        </w:rPr>
        <w:t>3– التوازن بين الابتكار والضبط:</w:t>
      </w:r>
      <w:commentRangeEnd w:id="144"/>
      <w:r>
        <w:rPr>
          <w:rStyle w:val="af0"/>
          <w:rFonts w:asciiTheme="majorBidi" w:hAnsiTheme="majorBidi" w:cstheme="majorBidi"/>
          <w:sz w:val="24"/>
          <w:szCs w:val="24"/>
          <w:rtl/>
        </w:rPr>
        <w:commentReference w:id="144"/>
      </w:r>
      <w:commentRangeEnd w:id="145"/>
      <w:r>
        <w:rPr>
          <w:rStyle w:val="af0"/>
          <w:rFonts w:asciiTheme="majorBidi" w:hAnsiTheme="majorBidi" w:cstheme="majorBidi"/>
          <w:sz w:val="24"/>
          <w:szCs w:val="24"/>
          <w:rtl/>
        </w:rPr>
        <w:commentReference w:id="145"/>
      </w:r>
      <w:r>
        <w:rPr>
          <w:rFonts w:asciiTheme="majorBidi" w:hAnsiTheme="majorBidi" w:cstheme="majorBidi"/>
          <w:sz w:val="24"/>
          <w:szCs w:val="24"/>
          <w:rtl/>
        </w:rPr>
        <w:t xml:space="preserve"> نجحت التجربة الإماراتية في تحقيق توازن نسبي بين تشجيع الابتكار في مجال تقنيات القانون (LegalTech) وضبط الاستخدامات الخطِرة، وذلك عبر نهج التنظيم القائم على المخاطر (Risk-based Regulation) الذي يُطبّق ضوابط أكثر صرامة على الاستخدامات ذات المخاطر الأعلى دون إخضاع جميع التطبيقات لمستوى رقابي متساوٍ. ويُعدّ هذا النهج أنسب للتطبيق في البيئة القانونية السعودية من نهج التنظيم الشامل المانع للابتكار.</w:t>
      </w:r>
    </w:p>
    <w:p w14:paraId="3663C27A" w14:textId="77777777" w:rsidR="005705DD" w:rsidRDefault="005705DD" w:rsidP="005705DD">
      <w:pPr>
        <w:bidi/>
        <w:spacing w:after="200" w:line="276" w:lineRule="auto"/>
        <w:rPr>
          <w:rtl/>
        </w:rPr>
      </w:pPr>
      <w:commentRangeStart w:id="146"/>
      <w:commentRangeStart w:id="147"/>
      <w:r>
        <w:rPr>
          <w:rFonts w:asciiTheme="majorBidi" w:hAnsiTheme="majorBidi" w:cstheme="majorBidi"/>
          <w:sz w:val="24"/>
          <w:szCs w:val="24"/>
          <w:rtl/>
        </w:rPr>
        <w:t>4– تمييز المسؤوليات:</w:t>
      </w:r>
      <w:commentRangeEnd w:id="146"/>
      <w:r>
        <w:rPr>
          <w:rStyle w:val="af0"/>
          <w:rFonts w:asciiTheme="majorBidi" w:hAnsiTheme="majorBidi" w:cstheme="majorBidi"/>
          <w:sz w:val="24"/>
          <w:szCs w:val="24"/>
          <w:rtl/>
        </w:rPr>
        <w:commentReference w:id="146"/>
      </w:r>
      <w:commentRangeEnd w:id="147"/>
      <w:r>
        <w:rPr>
          <w:rStyle w:val="af0"/>
          <w:rFonts w:asciiTheme="majorBidi" w:hAnsiTheme="majorBidi" w:cstheme="majorBidi"/>
          <w:sz w:val="24"/>
          <w:szCs w:val="24"/>
          <w:rtl/>
        </w:rPr>
        <w:commentReference w:id="147"/>
      </w:r>
      <w:r>
        <w:rPr>
          <w:rFonts w:asciiTheme="majorBidi" w:hAnsiTheme="majorBidi" w:cstheme="majorBidi"/>
          <w:sz w:val="24"/>
          <w:szCs w:val="24"/>
          <w:rtl/>
        </w:rPr>
        <w:t xml:space="preserve"> حدّد الإطار الإماراتي بوضوح مسؤوليات كل طرف في منظومة الذكاء الاصطناعي القانوني: مزوّد الأداة، والمؤسسة القانونية المستخدِمة، والمحامي الفردي، والمراجع النهائي. وهذا التحديد لمسؤولية كل طرف يُقلّل من حالات التنصّل من المسؤولية التي تنشأ حين لا يُحدَّد أيُّ الأطراف مسؤولٌ عن الضرر الناجم عن الخطأ الذكي.</w:t>
      </w:r>
    </w:p>
    <w:p w14:paraId="2C288C80" w14:textId="77777777" w:rsidR="005705DD" w:rsidRDefault="005705DD" w:rsidP="005705DD">
      <w:pPr>
        <w:bidi/>
        <w:spacing w:after="200" w:line="276" w:lineRule="auto"/>
        <w:rPr>
          <w:rtl/>
        </w:rPr>
      </w:pPr>
      <w:r>
        <w:rPr>
          <w:rFonts w:asciiTheme="majorBidi" w:hAnsiTheme="majorBidi" w:cstheme="majorBidi"/>
          <w:sz w:val="24"/>
          <w:szCs w:val="24"/>
          <w:rtl/>
        </w:rPr>
        <w:t xml:space="preserve">ويُلاحظ الغنامي في معرض مقارنته بين التجربتين الإماراتية والسعودية أن ثمة فارقاً جوهرياً يُميّز كلاً منهما: إذ بينما تُشكّل المنظومة التشريعية الإماراتية في جوهرها نظاماً مدنياً تقنياً ذا مرونة تشريعية عالية في استيعاب المستجدات، تُواجه المملكة العربية السعودية تحدياً إضافياً يتعلق بضرورة ملاءمة أي تشريع للذكاء الاصطناعي مع أحكام الشريعة الإسلامية والمرجعية الفقهية التي تُقيّد نطاق التشريع الوضعي، وهو ما يجعل التبنّي الحرفي للنموذج الإماراتي أمراً يستوجب التكييف لا النقل الأعمى </w:t>
      </w:r>
      <w:r>
        <w:rPr>
          <w:rFonts w:asciiTheme="majorBidi" w:hAnsiTheme="majorBidi" w:cstheme="majorBidi"/>
          <w:sz w:val="24"/>
          <w:szCs w:val="24"/>
          <w:vertAlign w:val="superscript"/>
          <w:rtl/>
        </w:rPr>
        <w:footnoteReference w:id="314"/>
      </w:r>
      <w:r>
        <w:rPr>
          <w:rFonts w:asciiTheme="majorBidi" w:hAnsiTheme="majorBidi" w:cstheme="majorBidi"/>
          <w:sz w:val="24"/>
          <w:szCs w:val="24"/>
          <w:rtl/>
        </w:rPr>
        <w:t>.</w:t>
      </w:r>
    </w:p>
    <w:p w14:paraId="2AA2DD99" w14:textId="77777777" w:rsidR="005705DD" w:rsidRDefault="005705DD" w:rsidP="005705DD">
      <w:pPr>
        <w:bidi/>
        <w:spacing w:after="200" w:line="276" w:lineRule="auto"/>
        <w:rPr>
          <w:rtl/>
        </w:rPr>
      </w:pPr>
      <w:commentRangeStart w:id="148"/>
      <w:commentRangeStart w:id="149"/>
      <w:r>
        <w:rPr>
          <w:rFonts w:asciiTheme="majorBidi" w:hAnsiTheme="majorBidi" w:cstheme="majorBidi"/>
          <w:b/>
          <w:sz w:val="28"/>
          <w:szCs w:val="28"/>
          <w:rtl/>
        </w:rPr>
        <w:t>رابعاً: قياس مدى متانة التنظيم السعودي للذكاء الاصطناعي القانوني</w:t>
      </w:r>
      <w:commentRangeEnd w:id="148"/>
      <w:r>
        <w:rPr>
          <w:rStyle w:val="af0"/>
          <w:sz w:val="22"/>
          <w:szCs w:val="22"/>
          <w:rtl/>
        </w:rPr>
        <w:commentReference w:id="148"/>
      </w:r>
      <w:commentRangeEnd w:id="149"/>
      <w:r>
        <w:rPr>
          <w:rStyle w:val="af0"/>
          <w:sz w:val="22"/>
          <w:szCs w:val="22"/>
          <w:rtl/>
        </w:rPr>
        <w:commentReference w:id="149"/>
      </w:r>
    </w:p>
    <w:p w14:paraId="451BFAEB" w14:textId="77777777" w:rsidR="005705DD" w:rsidRDefault="005705DD" w:rsidP="005705DD">
      <w:pPr>
        <w:bidi/>
        <w:spacing w:after="200" w:line="276" w:lineRule="auto"/>
        <w:rPr>
          <w:rtl/>
        </w:rPr>
      </w:pPr>
      <w:r>
        <w:rPr>
          <w:rFonts w:asciiTheme="majorBidi" w:hAnsiTheme="majorBidi" w:cstheme="majorBidi"/>
          <w:sz w:val="24"/>
          <w:szCs w:val="24"/>
          <w:rtl/>
        </w:rPr>
        <w:t>يُفيد التحليل المقارن في استخلاص مؤشرات لتقييم مدى نضج المنظومة التنظيمية السعودية في مجال الذكاء الاصطناعي القانوني</w:t>
      </w:r>
      <w:commentRangeStart w:id="150"/>
      <w:commentRangeStart w:id="151"/>
      <w:commentRangeStart w:id="152"/>
      <w:commentRangeStart w:id="153"/>
      <w:r>
        <w:rPr>
          <w:rFonts w:asciiTheme="majorBidi" w:hAnsiTheme="majorBidi" w:cstheme="majorBidi"/>
          <w:sz w:val="24"/>
          <w:szCs w:val="24"/>
          <w:rtl/>
        </w:rPr>
        <w:t>. وباعتماد معايير مستمدة من منهجية التنظيم المبني على المخاطر في اللائحة الأوروبية للذكاء الاصطناعي، ترتكز على أربعة عناصر هي</w:t>
      </w:r>
      <w:commentRangeEnd w:id="150"/>
      <w:r>
        <w:rPr>
          <w:rStyle w:val="af0"/>
          <w:rFonts w:asciiTheme="majorBidi" w:hAnsiTheme="majorBidi" w:cstheme="majorBidi"/>
          <w:sz w:val="24"/>
          <w:szCs w:val="24"/>
          <w:rtl/>
        </w:rPr>
        <w:commentReference w:id="150"/>
      </w:r>
      <w:commentRangeEnd w:id="151"/>
      <w:r>
        <w:rPr>
          <w:rStyle w:val="af0"/>
          <w:rFonts w:asciiTheme="majorBidi" w:hAnsiTheme="majorBidi" w:cstheme="majorBidi"/>
          <w:sz w:val="24"/>
          <w:szCs w:val="24"/>
          <w:rtl/>
        </w:rPr>
        <w:commentReference w:id="151"/>
      </w:r>
      <w:commentRangeEnd w:id="152"/>
      <w:r>
        <w:rPr>
          <w:rStyle w:val="af0"/>
          <w:rFonts w:asciiTheme="majorBidi" w:hAnsiTheme="majorBidi" w:cstheme="majorBidi"/>
          <w:sz w:val="24"/>
          <w:szCs w:val="24"/>
          <w:rtl/>
        </w:rPr>
        <w:commentReference w:id="152"/>
      </w:r>
      <w:commentRangeEnd w:id="153"/>
      <w:r>
        <w:rPr>
          <w:rStyle w:val="af0"/>
          <w:rFonts w:asciiTheme="majorBidi" w:hAnsiTheme="majorBidi" w:cstheme="majorBidi"/>
          <w:sz w:val="24"/>
          <w:szCs w:val="24"/>
          <w:rtl/>
        </w:rPr>
        <w:commentReference w:id="153"/>
      </w:r>
      <w:r>
        <w:rPr>
          <w:rFonts w:asciiTheme="majorBidi" w:hAnsiTheme="majorBidi" w:cstheme="majorBidi"/>
          <w:sz w:val="24"/>
          <w:szCs w:val="24"/>
          <w:rtl/>
        </w:rPr>
        <w:t xml:space="preserve">: الوضوح التشريعي، والقدرة الرقابية، وتوافر ضمانات حقوق الأطراف، وآليات الإنفاذ — </w:t>
      </w:r>
      <w:commentRangeStart w:id="154"/>
      <w:commentRangeStart w:id="155"/>
      <w:r>
        <w:rPr>
          <w:rFonts w:asciiTheme="majorBidi" w:hAnsiTheme="majorBidi" w:cstheme="majorBidi"/>
          <w:sz w:val="24"/>
          <w:szCs w:val="24"/>
          <w:rtl/>
        </w:rPr>
        <w:t>يمكن القول إن المنظومة السعودية في مرحلتها الراهنة تُحقق متطلبات المعيارَين الثالث والرابع بصورة جزئية من خلال الأنظمة القائمة، في حين تُعاني من قصور واضح في المعيارَين الأول والثاني اللذين يتطلبان تشريعاً صريحاً وجهازاً رقابياً متخصصاً. فوجه التحقق الجزئي أن القواعد العامة القائمة تتيح المساءلة في الصور الظاهرة كالإخلال بالسرية أو تقديم مراجع مختلقة؛ ووجه القصور غياب نص يحسم معيار الاستخدام المعيب، وضعف الإنفاذ في مواجهة المزوِّد الأجنبي، وعدم خضوع المنصات غير المرخصة لرقابة فعالة.</w:t>
      </w:r>
      <w:commentRangeEnd w:id="154"/>
      <w:r>
        <w:rPr>
          <w:rStyle w:val="af0"/>
          <w:sz w:val="22"/>
          <w:szCs w:val="22"/>
          <w:rtl/>
        </w:rPr>
        <w:commentReference w:id="154"/>
      </w:r>
      <w:commentRangeEnd w:id="155"/>
      <w:r>
        <w:rPr>
          <w:rStyle w:val="af0"/>
          <w:sz w:val="22"/>
          <w:szCs w:val="22"/>
          <w:rtl/>
        </w:rPr>
        <w:commentReference w:id="155"/>
      </w:r>
    </w:p>
    <w:p w14:paraId="5D75D605" w14:textId="77777777" w:rsidR="005705DD" w:rsidRDefault="005705DD" w:rsidP="005705DD">
      <w:pPr>
        <w:bidi/>
        <w:spacing w:after="200" w:line="276" w:lineRule="auto"/>
        <w:rPr>
          <w:rtl/>
        </w:rPr>
      </w:pPr>
      <w:r>
        <w:rPr>
          <w:rFonts w:asciiTheme="majorBidi" w:hAnsiTheme="majorBidi" w:cstheme="majorBidi"/>
          <w:sz w:val="24"/>
          <w:szCs w:val="24"/>
          <w:rtl/>
        </w:rPr>
        <w:t>وعلى خلاف ذلك، تصنّفها الدراسات المقارنة الإقليمية في مرتبة أعلى من المتوسط من حيث البنية التشريعية العامة، نظراً لوجود نظام حماية البيانات ونظام الإثبات ونظام مكافحة الجرائم المعلوماتية كأُسس صالحة للتفعيل في مواجهة حالات الاستخدام الذكي الضار، إلا أن القصور يكمن في عدم تخصيصها وتكييفها صراحةً للحالة التقنية الجديدة.</w:t>
      </w:r>
    </w:p>
    <w:p w14:paraId="0CA0770E" w14:textId="77777777" w:rsidR="005705DD" w:rsidRDefault="005705DD" w:rsidP="005705DD">
      <w:pPr>
        <w:bidi/>
        <w:spacing w:after="200" w:line="276" w:lineRule="auto"/>
        <w:rPr>
          <w:rtl/>
        </w:rPr>
      </w:pPr>
      <w:r>
        <w:rPr>
          <w:rFonts w:asciiTheme="majorBidi" w:hAnsiTheme="majorBidi" w:cstheme="majorBidi"/>
          <w:sz w:val="24"/>
          <w:szCs w:val="24"/>
          <w:rtl/>
        </w:rPr>
        <w:t xml:space="preserve">يرى الباحث: أن المملكة العربية السعودية تمتلك من الإمكانات التشريعية والمؤسسية ما يُمكّنها من تجاوز المرحلة الراهنة نحو إطار تنظيمي متكامل في زمن معقول، شريطة التحرك التشريعي الاستباقي بدلاً من الانتظار وردود الأفعال. وهذا ما ستسعى الدراسة إلى تقديمه في فصلها الرابع من خلال نموذج تنظيمي مقترح </w:t>
      </w:r>
      <w:commentRangeStart w:id="156"/>
      <w:commentRangeStart w:id="157"/>
      <w:r>
        <w:rPr>
          <w:rFonts w:asciiTheme="majorBidi" w:hAnsiTheme="majorBidi" w:cstheme="majorBidi"/>
          <w:sz w:val="24"/>
          <w:szCs w:val="24"/>
          <w:rtl/>
        </w:rPr>
        <w:t>مستلهماً من التجارب المقارنة ومتوافقاً مع الخصوصية السعودية</w:t>
      </w:r>
      <w:commentRangeEnd w:id="156"/>
      <w:r>
        <w:rPr>
          <w:rStyle w:val="af0"/>
          <w:rFonts w:asciiTheme="majorBidi" w:hAnsiTheme="majorBidi" w:cstheme="majorBidi"/>
          <w:sz w:val="24"/>
          <w:szCs w:val="24"/>
          <w:rtl/>
        </w:rPr>
        <w:commentReference w:id="156"/>
      </w:r>
      <w:commentRangeEnd w:id="157"/>
      <w:r>
        <w:rPr>
          <w:rStyle w:val="af0"/>
          <w:rFonts w:asciiTheme="majorBidi" w:hAnsiTheme="majorBidi" w:cstheme="majorBidi"/>
          <w:sz w:val="24"/>
          <w:szCs w:val="24"/>
          <w:rtl/>
        </w:rPr>
        <w:commentReference w:id="157"/>
      </w:r>
      <w:r>
        <w:rPr>
          <w:rFonts w:asciiTheme="majorBidi" w:hAnsiTheme="majorBidi" w:cstheme="majorBidi"/>
          <w:sz w:val="24"/>
          <w:szCs w:val="24"/>
          <w:rtl/>
        </w:rPr>
        <w:t>.</w:t>
      </w:r>
    </w:p>
    <w:p w14:paraId="03040385" w14:textId="77777777" w:rsidR="005705DD" w:rsidRPr="00A84F46" w:rsidRDefault="005705DD" w:rsidP="005705DD">
      <w:pPr>
        <w:bidi/>
        <w:spacing w:after="200" w:line="276" w:lineRule="auto"/>
        <w:rPr>
          <w:bCs/>
          <w:color w:val="000000" w:themeColor="text1"/>
          <w:rtl/>
        </w:rPr>
      </w:pPr>
      <w:commentRangeStart w:id="158"/>
      <w:commentRangeStart w:id="159"/>
      <w:r>
        <w:rPr>
          <w:rFonts w:asciiTheme="majorBidi" w:hAnsiTheme="majorBidi" w:cstheme="majorBidi"/>
          <w:bCs/>
          <w:color w:val="000000" w:themeColor="text1"/>
          <w:sz w:val="28"/>
          <w:szCs w:val="28"/>
          <w:rtl/>
        </w:rPr>
        <w:lastRenderedPageBreak/>
        <w:t>نماذج تنظيمية مقارنة واستلهام ما يُناسب البيئة السعودية</w:t>
      </w:r>
      <w:commentRangeEnd w:id="158"/>
      <w:r w:rsidRPr="00A84F46">
        <w:rPr>
          <w:rStyle w:val="af0"/>
          <w:bCs/>
          <w:color w:val="000000" w:themeColor="text1"/>
          <w:sz w:val="22"/>
          <w:szCs w:val="22"/>
          <w:rtl/>
        </w:rPr>
        <w:commentReference w:id="158"/>
      </w:r>
      <w:commentRangeEnd w:id="159"/>
      <w:r w:rsidRPr="00A84F46">
        <w:rPr>
          <w:rStyle w:val="af0"/>
          <w:bCs/>
          <w:color w:val="000000" w:themeColor="text1"/>
          <w:sz w:val="22"/>
          <w:szCs w:val="22"/>
          <w:rtl/>
        </w:rPr>
        <w:commentReference w:id="159"/>
      </w:r>
    </w:p>
    <w:p w14:paraId="4C07B7F8" w14:textId="77777777" w:rsidR="005705DD" w:rsidRDefault="005705DD" w:rsidP="005705DD">
      <w:pPr>
        <w:bidi/>
        <w:spacing w:after="200" w:line="276" w:lineRule="auto"/>
        <w:rPr>
          <w:rtl/>
        </w:rPr>
      </w:pPr>
      <w:r>
        <w:rPr>
          <w:rFonts w:asciiTheme="majorBidi" w:hAnsiTheme="majorBidi" w:cstheme="majorBidi"/>
          <w:sz w:val="24"/>
          <w:szCs w:val="24"/>
          <w:rtl/>
        </w:rPr>
        <w:t>تُتيح المقارنة التشريعية بين النماذج التنظيمية المختلفة في مجال الذكاء الاصطناعي القانوني رصدَ ثلاثة توجهات كبرى يتبنّاها المشرّعون عالمياً في معالجة هذا الملف، وتتفاوت هذه التوجهات من حيث درجة التقييد ودرجة الحرية الابتكارية:</w:t>
      </w:r>
    </w:p>
    <w:p w14:paraId="5F2976D7" w14:textId="77777777" w:rsidR="005705DD" w:rsidRDefault="005705DD" w:rsidP="005705DD">
      <w:pPr>
        <w:bidi/>
        <w:spacing w:after="200" w:line="276" w:lineRule="auto"/>
        <w:rPr>
          <w:rtl/>
        </w:rPr>
      </w:pPr>
      <w:r>
        <w:rPr>
          <w:rFonts w:asciiTheme="majorBidi" w:hAnsiTheme="majorBidi" w:cstheme="majorBidi"/>
          <w:sz w:val="24"/>
          <w:szCs w:val="24"/>
          <w:rtl/>
        </w:rPr>
        <w:t xml:space="preserve">التوجه الأول — نموذج التنظيم المبني على المخاطر (Risk-Based Regulation): ويتجلى أوضح تجسيداته في قانون الذكاء الاصطناعي الأوروبي </w:t>
      </w:r>
      <w:r>
        <w:rPr>
          <w:rFonts w:asciiTheme="majorBidi" w:hAnsiTheme="majorBidi" w:cstheme="majorBidi"/>
          <w:sz w:val="24"/>
          <w:szCs w:val="24"/>
          <w:vertAlign w:val="superscript"/>
          <w:rtl/>
        </w:rPr>
        <w:footnoteReference w:id="315"/>
      </w:r>
      <w:r>
        <w:rPr>
          <w:rFonts w:asciiTheme="majorBidi" w:hAnsiTheme="majorBidi" w:cstheme="majorBidi"/>
          <w:sz w:val="24"/>
          <w:szCs w:val="24"/>
          <w:rtl/>
        </w:rPr>
        <w:t xml:space="preserve">، الذي يُصنّف أنظمة الذكاء الاصطناعي وفق درجة خطورتها على الحقوق والحريات إلى أربع فئات: غير مقبول (محظور)، مخاطر عالية، مخاطر محدودة، مخاطر منخفضة. ويُطبّق على الفئة الأعلى خطورةً </w:t>
      </w:r>
      <w:commentRangeStart w:id="160"/>
      <w:commentRangeStart w:id="161"/>
      <w:r>
        <w:rPr>
          <w:rFonts w:asciiTheme="majorBidi" w:hAnsiTheme="majorBidi" w:cstheme="majorBidi"/>
          <w:sz w:val="24"/>
          <w:szCs w:val="24"/>
          <w:rtl/>
        </w:rPr>
        <w:t>—</w:t>
      </w:r>
      <w:commentRangeEnd w:id="160"/>
      <w:r>
        <w:rPr>
          <w:rStyle w:val="af0"/>
          <w:rFonts w:asciiTheme="majorBidi" w:hAnsiTheme="majorBidi" w:cstheme="majorBidi"/>
          <w:sz w:val="24"/>
          <w:szCs w:val="24"/>
          <w:rtl/>
        </w:rPr>
        <w:commentReference w:id="160"/>
      </w:r>
      <w:commentRangeEnd w:id="161"/>
      <w:r>
        <w:rPr>
          <w:rStyle w:val="af0"/>
          <w:rFonts w:asciiTheme="majorBidi" w:hAnsiTheme="majorBidi" w:cstheme="majorBidi"/>
          <w:sz w:val="24"/>
          <w:szCs w:val="24"/>
          <w:rtl/>
        </w:rPr>
        <w:commentReference w:id="161"/>
      </w:r>
      <w:r>
        <w:rPr>
          <w:rFonts w:asciiTheme="majorBidi" w:hAnsiTheme="majorBidi" w:cstheme="majorBidi"/>
          <w:sz w:val="24"/>
          <w:szCs w:val="24"/>
          <w:rtl/>
        </w:rPr>
        <w:t xml:space="preserve"> ومنها الأنظمة المستخدمة في إقامة العدل والقانون</w:t>
      </w:r>
      <w:commentRangeStart w:id="162"/>
      <w:commentRangeStart w:id="163"/>
      <w:r>
        <w:rPr>
          <w:rFonts w:asciiTheme="majorBidi" w:hAnsiTheme="majorBidi" w:cstheme="majorBidi"/>
          <w:sz w:val="24"/>
          <w:szCs w:val="24"/>
          <w:rtl/>
        </w:rPr>
        <w:t xml:space="preserve"> — </w:t>
      </w:r>
      <w:commentRangeEnd w:id="162"/>
      <w:r>
        <w:rPr>
          <w:rStyle w:val="af0"/>
          <w:rFonts w:asciiTheme="majorBidi" w:hAnsiTheme="majorBidi" w:cstheme="majorBidi"/>
          <w:sz w:val="24"/>
          <w:szCs w:val="24"/>
          <w:rtl/>
        </w:rPr>
        <w:commentReference w:id="162"/>
      </w:r>
      <w:commentRangeEnd w:id="163"/>
      <w:r>
        <w:rPr>
          <w:rStyle w:val="af0"/>
          <w:rFonts w:asciiTheme="majorBidi" w:hAnsiTheme="majorBidi" w:cstheme="majorBidi"/>
          <w:sz w:val="24"/>
          <w:szCs w:val="24"/>
          <w:rtl/>
        </w:rPr>
        <w:commentReference w:id="163"/>
      </w:r>
      <w:r>
        <w:rPr>
          <w:rFonts w:asciiTheme="majorBidi" w:hAnsiTheme="majorBidi" w:cstheme="majorBidi"/>
          <w:sz w:val="24"/>
          <w:szCs w:val="24"/>
          <w:rtl/>
        </w:rPr>
        <w:t>أشد الاشتراطات قسوةً، في حين يُخفّف المتطلبات على الأنظمة الأقل خطورة. ويتميز هذا التوجه بأنه يُحقق توازناً دقيقاً بين الحماية والابتكار، ويتفادى التنظيم الزائد غير الضروري.</w:t>
      </w:r>
    </w:p>
    <w:p w14:paraId="54C10D77" w14:textId="77777777" w:rsidR="005705DD" w:rsidRDefault="005705DD" w:rsidP="005705DD">
      <w:pPr>
        <w:bidi/>
        <w:spacing w:after="200" w:line="276" w:lineRule="auto"/>
        <w:rPr>
          <w:rtl/>
        </w:rPr>
      </w:pPr>
      <w:r>
        <w:rPr>
          <w:rFonts w:asciiTheme="majorBidi" w:hAnsiTheme="majorBidi" w:cstheme="majorBidi"/>
          <w:sz w:val="24"/>
          <w:szCs w:val="24"/>
          <w:rtl/>
        </w:rPr>
        <w:t>التوجه الثاني — نموذج التنظيم الانتظاري (Wait-and-See Regulation): وهو النموذج السائد في معظم الدول العربية حالياً، بما فيها المملكة العربية السعودية، ويتمثل في تأجيل التشريع الصريح إلى أن تتضح معالم التقنية وتتراكم الحوادث التي تستدعي الاستجابة. ورغم أن هذا التوجه يُتيح مرونةً أكبر في مرحلة التقنية المبكرة، إلا أنه ينطوي على مخاطر تراكم الإشكاليات التطبيقية غير المُعالَجة.</w:t>
      </w:r>
    </w:p>
    <w:p w14:paraId="0D2E75A3" w14:textId="77777777" w:rsidR="005705DD" w:rsidRDefault="005705DD" w:rsidP="005705DD">
      <w:pPr>
        <w:bidi/>
        <w:spacing w:after="200" w:line="276" w:lineRule="auto"/>
        <w:rPr>
          <w:rtl/>
        </w:rPr>
      </w:pPr>
      <w:r>
        <w:rPr>
          <w:rFonts w:asciiTheme="majorBidi" w:hAnsiTheme="majorBidi" w:cstheme="majorBidi"/>
          <w:sz w:val="24"/>
          <w:szCs w:val="24"/>
          <w:rtl/>
        </w:rPr>
        <w:t>التوجه الثالث — نموذج التنظيم الاستباقي المتكامل (Proactive Integrated Regulation): وهو النموذج الأقرب إلى ما تبنّته الإمارات، ويجمع بين التشريع المبكر والسياسات التنفيذية والتوجيهات المهنية في منظومة متكاملة متزامنة مع النشر التقني لا لاحقةً عليه. ويتميز هذا التوجه بأنه يُقلّل من الفجوة الزمنية بين الواقع التقني والإطار التنظيمي.</w:t>
      </w:r>
    </w:p>
    <w:p w14:paraId="4A6394CD" w14:textId="77777777" w:rsidR="005705DD" w:rsidRDefault="005705DD" w:rsidP="005705DD">
      <w:pPr>
        <w:bidi/>
        <w:spacing w:after="200" w:line="276" w:lineRule="auto"/>
        <w:rPr>
          <w:rtl/>
        </w:rPr>
      </w:pPr>
      <w:r>
        <w:rPr>
          <w:rFonts w:asciiTheme="majorBidi" w:hAnsiTheme="majorBidi" w:cstheme="majorBidi"/>
          <w:sz w:val="24"/>
          <w:szCs w:val="24"/>
          <w:rtl/>
        </w:rPr>
        <w:t>وفي ضوء هذه التوجهات الثلاثة، يُرى الباحث أن الأنسب للبيئة السعودية في مرحلتها الراهنة هو التحرك نحو التوجه الثالث مع استيعاب منهجية التوجه الأول في الاشتراطات المادية. ومقتضى ذلك:</w:t>
      </w:r>
    </w:p>
    <w:p w14:paraId="69506B37" w14:textId="77777777" w:rsidR="005705DD" w:rsidRDefault="005705DD" w:rsidP="005705DD">
      <w:pPr>
        <w:bidi/>
        <w:spacing w:after="200" w:line="276" w:lineRule="auto"/>
        <w:rPr>
          <w:rtl/>
        </w:rPr>
      </w:pPr>
      <w:r>
        <w:rPr>
          <w:rFonts w:asciiTheme="majorBidi" w:hAnsiTheme="majorBidi" w:cstheme="majorBidi"/>
          <w:sz w:val="24"/>
          <w:szCs w:val="24"/>
          <w:rtl/>
        </w:rPr>
        <w:t>أ — إصدار نظام أو لائحة صريحة بشأن الذكاء الاصطناعي في المهن القانونية خلال الأفق الزمني 1447هـ-1449هـ (2026م-2028م)، يُحدد فئات الاستخدام وما يقتضيه كل فئة من اشتراطات.</w:t>
      </w:r>
    </w:p>
    <w:p w14:paraId="4D2E08A7" w14:textId="77777777" w:rsidR="005705DD" w:rsidRDefault="005705DD" w:rsidP="005705DD">
      <w:pPr>
        <w:bidi/>
        <w:spacing w:after="200" w:line="276" w:lineRule="auto"/>
        <w:rPr>
          <w:rtl/>
        </w:rPr>
      </w:pPr>
      <w:r>
        <w:rPr>
          <w:rFonts w:asciiTheme="majorBidi" w:hAnsiTheme="majorBidi" w:cstheme="majorBidi"/>
          <w:sz w:val="24"/>
          <w:szCs w:val="24"/>
          <w:rtl/>
        </w:rPr>
        <w:t>ب — إصدار دليل توجيهي مهني من الهيئة السعودية للمحامين في المرحلة الراهنة يسد الفراغ التشريعي المؤقت، على غرار ما فعلته نقابات المحامين في فرنسا وكندا وأستراليا.</w:t>
      </w:r>
    </w:p>
    <w:p w14:paraId="7A0EC92E" w14:textId="77777777" w:rsidR="005705DD" w:rsidRDefault="005705DD" w:rsidP="005705DD">
      <w:pPr>
        <w:bidi/>
        <w:spacing w:after="200" w:line="276" w:lineRule="auto"/>
        <w:rPr>
          <w:rtl/>
        </w:rPr>
      </w:pPr>
      <w:r>
        <w:rPr>
          <w:rFonts w:asciiTheme="majorBidi" w:hAnsiTheme="majorBidi" w:cstheme="majorBidi"/>
          <w:sz w:val="24"/>
          <w:szCs w:val="24"/>
          <w:rtl/>
        </w:rPr>
        <w:t>ج — التمييز في الاشتراطات بين أنواع الاستخدام بحسب درجة خطورتها: فالاستخدام في تحضير وثائق قضائية يستلزم اشتراطات أعلى من الاستخدام في إعداد المراسلات الإدارية الروتينية.</w:t>
      </w:r>
    </w:p>
    <w:p w14:paraId="2448D3BD" w14:textId="77777777" w:rsidR="005705DD" w:rsidRDefault="005705DD" w:rsidP="005705DD">
      <w:pPr>
        <w:bidi/>
        <w:spacing w:after="200" w:line="276" w:lineRule="auto"/>
        <w:rPr>
          <w:rtl/>
        </w:rPr>
      </w:pPr>
      <w:r>
        <w:rPr>
          <w:rFonts w:asciiTheme="majorBidi" w:hAnsiTheme="majorBidi" w:cstheme="majorBidi"/>
          <w:sz w:val="24"/>
          <w:szCs w:val="24"/>
          <w:rtl/>
        </w:rPr>
        <w:t>د — اشتراط التسجيل المهني للأدوات الذكية المستخدمة في القطاع القانوني لدى جهة رقابية مختصة تتولى مراجعتها وتحديد درجة خطورتها، على غرار آليات ترخيص المستشفيات للأجهزة الطبية.</w:t>
      </w:r>
    </w:p>
    <w:p w14:paraId="18EFAE0A"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عدم التحرك التشريعي خلال المرحلة المقبلة سيؤدي حتماً إلى تكرّس الاستخدام الفردي غير المنضبط بصورة تُصبح معها إعادة الهندسة التشريعية أعسر وأكثر كلفةً من إطار التنظيم المبكر الاستباقي. فمن ثمار الفهم القانوني الاستشرافي ألا يتأخر المشرّع حتى تقع الفوضى ثم يسعى إلى إصلاحها.</w:t>
      </w:r>
    </w:p>
    <w:p w14:paraId="3DF467D6" w14:textId="77777777" w:rsidR="005705DD" w:rsidRDefault="005705DD" w:rsidP="005705DD"/>
    <w:p w14:paraId="64404B0A" w14:textId="77777777" w:rsidR="005705DD" w:rsidRPr="00A84F46" w:rsidRDefault="005705DD" w:rsidP="005705DD">
      <w:pPr>
        <w:bidi/>
        <w:spacing w:after="200" w:line="276" w:lineRule="auto"/>
        <w:rPr>
          <w:bCs/>
          <w:color w:val="000000" w:themeColor="text1"/>
          <w:rtl/>
        </w:rPr>
      </w:pPr>
      <w:commentRangeStart w:id="164"/>
      <w:commentRangeStart w:id="165"/>
      <w:r>
        <w:rPr>
          <w:rFonts w:asciiTheme="majorBidi" w:hAnsiTheme="majorBidi" w:cstheme="majorBidi"/>
          <w:bCs/>
          <w:color w:val="000000" w:themeColor="text1"/>
          <w:sz w:val="28"/>
          <w:szCs w:val="28"/>
          <w:rtl/>
        </w:rPr>
        <w:lastRenderedPageBreak/>
        <w:t>خامساً: مقارنة تنظيمية بين النظامين السعودي والإماراتي في مجال الذكاء الاصطناعي القانوني</w:t>
      </w:r>
      <w:commentRangeEnd w:id="164"/>
      <w:r w:rsidRPr="00A84F46">
        <w:rPr>
          <w:rStyle w:val="af0"/>
          <w:bCs/>
          <w:color w:val="000000" w:themeColor="text1"/>
          <w:sz w:val="22"/>
          <w:szCs w:val="22"/>
          <w:rtl/>
        </w:rPr>
        <w:commentReference w:id="164"/>
      </w:r>
      <w:commentRangeEnd w:id="165"/>
      <w:r w:rsidRPr="00A84F46">
        <w:rPr>
          <w:rStyle w:val="af0"/>
          <w:bCs/>
          <w:color w:val="000000" w:themeColor="text1"/>
          <w:sz w:val="22"/>
          <w:szCs w:val="22"/>
          <w:rtl/>
        </w:rPr>
        <w:commentReference w:id="165"/>
      </w:r>
    </w:p>
    <w:p w14:paraId="118BB7B8" w14:textId="77777777" w:rsidR="005705DD" w:rsidRDefault="005705DD" w:rsidP="005705DD">
      <w:pPr>
        <w:bidi/>
        <w:spacing w:after="200" w:line="276" w:lineRule="auto"/>
        <w:rPr>
          <w:rtl/>
        </w:rPr>
      </w:pPr>
      <w:r>
        <w:rPr>
          <w:rFonts w:asciiTheme="majorBidi" w:hAnsiTheme="majorBidi" w:cstheme="majorBidi"/>
          <w:sz w:val="24"/>
          <w:szCs w:val="24"/>
          <w:rtl/>
        </w:rPr>
        <w:t>تُسهم المقارنة التحليلية الدقيقة بين النظامَين السعودي والإماراتي في رسم صورة أوضح للمواطن التي تتفوق فيها كل تجربة على الأخرى، وهي مقارنة لا تهدف إلى الإطراء على الآخر أو الانتقاص من الذات، بل إلى استشراف الخيارات الممكنة ورسم الطريق الأكثر ملاءمةً للسياق السعودي. وتتمحور المقارنة حول خمسة محاور رئيسية:</w:t>
      </w:r>
    </w:p>
    <w:p w14:paraId="3813D5B3" w14:textId="77777777" w:rsidR="005705DD" w:rsidRDefault="005705DD" w:rsidP="005705DD">
      <w:pPr>
        <w:bidi/>
        <w:spacing w:after="200" w:line="276" w:lineRule="auto"/>
        <w:rPr>
          <w:rtl/>
        </w:rPr>
      </w:pPr>
      <w:r>
        <w:rPr>
          <w:rFonts w:asciiTheme="majorBidi" w:hAnsiTheme="majorBidi" w:cstheme="majorBidi"/>
          <w:sz w:val="24"/>
          <w:szCs w:val="24"/>
          <w:rtl/>
        </w:rPr>
        <w:t>المحور الأول — المأسسة التنظيمية: أنشأت الإمارات وزارة دولة مختصة بشؤون الذكاء الاصطناعي منذ عام 2017م، في حين تتوزع المهام ذات الصلة في المملكة العربية السعودية بين سدايا (المنشأة عام 2019م) ووزارة الاتصالات والتقنية، دون أن تُخصَّص وحدة منفردة للذكاء الاصطناعي القانوني. وهذا يعني أن القطاع القانوني السعودي يفتقر إلى جهة مرجعية موحّدة متخصصة تتولى قيادة التنظيم في هذا المجال، بخلاف الإمارات التي أنشأت لجاناً استشارية تضم ممثلين من القطاع القانوني ضمن منظومة تنظيم الذكاء الاصطناعي.</w:t>
      </w:r>
    </w:p>
    <w:p w14:paraId="6BFA1548" w14:textId="77777777" w:rsidR="005705DD" w:rsidRDefault="005705DD" w:rsidP="005705DD">
      <w:pPr>
        <w:bidi/>
        <w:spacing w:after="200" w:line="276" w:lineRule="auto"/>
        <w:rPr>
          <w:rtl/>
        </w:rPr>
      </w:pPr>
      <w:r>
        <w:rPr>
          <w:rFonts w:asciiTheme="majorBidi" w:hAnsiTheme="majorBidi" w:cstheme="majorBidi"/>
          <w:sz w:val="24"/>
          <w:szCs w:val="24"/>
          <w:rtl/>
        </w:rPr>
        <w:t>المحور الثاني — حماية البيانات: يتميز نظام حماية البيانات الشخصية السعودي (1443هـ) بشمولية أحكامه العامة، غير أنه يفتقر إلى أحكام مخصصة للقطاع القانوني والبيانات ذات الطابع القضائي. في المقابل، يشتمل القانون الاتحادي الإماراتي رقم 45 لسنة 2021م على أحكام أكثر تفصيلاً بشأن "البيانات الحساسة" — بما فيها البيانات المرتبطة بالإجراءات القانونية — مع إيجاد هيئة رقابية متخصصة قادرة على تنفيذ الأحكام. وقد أنشأت الإمارات كذلك نظام رقابة متكاملاً للتحقق من الامتثال لمتطلبات حماية البيانات في المنصات الرقمية، وهو ما يُشكّل تقدماً تنفيذياً يتجاوز ما أتى به النظير السعودي حتى الآن.</w:t>
      </w:r>
    </w:p>
    <w:p w14:paraId="740F6284" w14:textId="77777777" w:rsidR="005705DD" w:rsidRDefault="005705DD" w:rsidP="005705DD">
      <w:pPr>
        <w:bidi/>
        <w:spacing w:after="200" w:line="276" w:lineRule="auto"/>
        <w:rPr>
          <w:rtl/>
        </w:rPr>
      </w:pPr>
      <w:r>
        <w:rPr>
          <w:rFonts w:asciiTheme="majorBidi" w:hAnsiTheme="majorBidi" w:cstheme="majorBidi"/>
          <w:sz w:val="24"/>
          <w:szCs w:val="24"/>
          <w:rtl/>
        </w:rPr>
        <w:t>المحور الثالث — القطاع القضائي الرقمي: تجرّب الإمارات منذ عام 2020م ما أسمته "المحكمة الذكية"، وهي نموذج محكمة متكامل يعتمد على الذكاء الاصطناعي في إدارة الجدول القضائي وفرز المستندات وتنظيم الجلسات، مع إبقاء القرار القضائي في يد القاضي البشري حصراً. وعلى الرغم من أن المملكة العربية السعودية حققت قفزات نوعية في رقمنة الخدمات القضائية عبر منصة ناجز، إلا أن تجريب نماذج الذكاء الاصطناعي في الإجراءات القضائية ذاتها لا يزال في مراحله الأولى مقارنةً بالتجربة الإماراتية.</w:t>
      </w:r>
    </w:p>
    <w:p w14:paraId="0D43496F"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المحور الرابع — الأطر الأخلاقية: أصدرت كلتا الدولتين وثائق أخلاقيات وطنية للذكاء الاصطناعي، غير أن الإطار الإماراتي يتميز باشتمال وثيقة "أخلاقيات الذكاء الاصطناعي" على توجيهات تطبيقية قطاعية، فيما اتسمت وثيقة مبادئ أخلاقيات الذكاء الاصطناعي السعودية </w:t>
      </w:r>
      <w:r>
        <w:rPr>
          <w:rFonts w:asciiTheme="majorBidi" w:hAnsiTheme="majorBidi" w:cstheme="majorBidi"/>
          <w:sz w:val="24"/>
          <w:szCs w:val="24"/>
          <w:vertAlign w:val="superscript"/>
          <w:rtl/>
        </w:rPr>
        <w:footnoteReference w:id="316"/>
      </w:r>
      <w:r>
        <w:rPr>
          <w:rFonts w:asciiTheme="majorBidi" w:hAnsiTheme="majorBidi" w:cstheme="majorBidi"/>
          <w:sz w:val="24"/>
          <w:szCs w:val="24"/>
          <w:rtl/>
        </w:rPr>
        <w:t xml:space="preserve"> بالطابع العام دون نزول إلى تفاصيل تطبيقها في قطاعات بعينها كالقطاع القانوني.</w:t>
      </w:r>
    </w:p>
    <w:p w14:paraId="6964D4F4" w14:textId="77777777" w:rsidR="005705DD" w:rsidRDefault="005705DD" w:rsidP="005705DD">
      <w:pPr>
        <w:bidi/>
        <w:spacing w:after="200" w:line="276" w:lineRule="auto"/>
        <w:rPr>
          <w:rtl/>
        </w:rPr>
      </w:pPr>
      <w:r>
        <w:rPr>
          <w:rFonts w:asciiTheme="majorBidi" w:hAnsiTheme="majorBidi" w:cstheme="majorBidi"/>
          <w:sz w:val="24"/>
          <w:szCs w:val="24"/>
          <w:rtl/>
        </w:rPr>
        <w:t>المحور الخامس — الإنفاذ والمساءلة: تُعدّ هذه المحور أهم المحاور تطبيقياً، وكلتا الدولتين يُعانيان من قصور فيه. فالوثائق التوجيهية في البلدين تفتقر إلى آليات إنفاذ بالغة الفاعلية في القطاع القانوني، إذ لم تُوثَّق حتى الآن في مجلس التحرير العلمي لأيٍّ منهما حوادث ملاحقة تأديبية واضحة لمحامٍ بسبب إساءة استخدام الذكاء الاصطناعي. وإن كانت الإمارات أسرع في مسار سنّ قوانين الإنفاذ الإلزامية، إلا أن الأثر الفعلي على المهنة القانونية لا يزال محدوداً في كلا البلدين.</w:t>
      </w:r>
    </w:p>
    <w:p w14:paraId="5C4A863B" w14:textId="77777777" w:rsidR="005705DD" w:rsidRDefault="005705DD" w:rsidP="005705DD">
      <w:pPr>
        <w:bidi/>
        <w:spacing w:after="200" w:line="276" w:lineRule="auto"/>
        <w:rPr>
          <w:rtl/>
        </w:rPr>
      </w:pPr>
      <w:r>
        <w:rPr>
          <w:rFonts w:asciiTheme="majorBidi" w:hAnsiTheme="majorBidi" w:cstheme="majorBidi"/>
          <w:sz w:val="24"/>
          <w:szCs w:val="24"/>
          <w:rtl/>
        </w:rPr>
        <w:t>ويُخلص الباحث من هذه المقارنة المحورية إلى أن التجربة الإماراتية تتقدم على السعودية في مسارَي المأسسة التنظيمية والتجريب الميداني، في حين قد تتميز التجربة السعودية بعمق الأساس التشريعي ورسوخ المرجعية الفقهية التي تُمكّن من بناء إطار أخلاقي أعمق وأكثر استقراراً على المدى البعيد. والأمثل هو الجمع بين الميزتَين: المأسسة الإماراتية المبكرة والعمق التأصيلي الفقهي السعودي.</w:t>
      </w:r>
    </w:p>
    <w:p w14:paraId="320C6D5C" w14:textId="77777777" w:rsidR="005705DD" w:rsidRDefault="005705DD" w:rsidP="005705DD"/>
    <w:p w14:paraId="21CC39CA" w14:textId="77777777" w:rsidR="005705DD" w:rsidRDefault="005705DD" w:rsidP="005705DD">
      <w:pPr>
        <w:bidi/>
        <w:spacing w:before="240" w:after="200" w:line="276" w:lineRule="auto"/>
        <w:jc w:val="center"/>
        <w:rPr>
          <w:rtl/>
        </w:rPr>
      </w:pPr>
      <w:r>
        <w:rPr>
          <w:rFonts w:asciiTheme="majorBidi" w:hAnsiTheme="majorBidi" w:cstheme="majorBidi"/>
          <w:b/>
          <w:bCs/>
          <w:sz w:val="28"/>
          <w:szCs w:val="28"/>
          <w:rtl/>
        </w:rPr>
        <w:lastRenderedPageBreak/>
        <w:t>المطلب الثالث</w:t>
      </w:r>
    </w:p>
    <w:p w14:paraId="32D1CC48" w14:textId="77777777" w:rsidR="005705DD" w:rsidRDefault="005705DD" w:rsidP="005705DD">
      <w:pPr>
        <w:bidi/>
        <w:spacing w:before="240" w:after="200" w:line="276" w:lineRule="auto"/>
        <w:jc w:val="center"/>
        <w:rPr>
          <w:rtl/>
        </w:rPr>
      </w:pPr>
      <w:r>
        <w:rPr>
          <w:rFonts w:asciiTheme="majorBidi" w:hAnsiTheme="majorBidi" w:cstheme="majorBidi"/>
          <w:b/>
          <w:bCs/>
          <w:sz w:val="24"/>
          <w:szCs w:val="24"/>
          <w:rtl/>
        </w:rPr>
        <w:t>المسؤولية القانونية الموزَّعة وأدوات الحوكمة المؤسسية</w:t>
      </w:r>
    </w:p>
    <w:p w14:paraId="3596AE17" w14:textId="77777777" w:rsidR="005705DD" w:rsidRPr="00A84F46" w:rsidRDefault="005705DD" w:rsidP="005705DD">
      <w:pPr>
        <w:bidi/>
        <w:spacing w:after="200" w:line="276" w:lineRule="auto"/>
        <w:rPr>
          <w:color w:val="000000" w:themeColor="text1"/>
          <w:rtl/>
        </w:rPr>
      </w:pPr>
      <w:commentRangeStart w:id="166"/>
      <w:commentRangeStart w:id="167"/>
      <w:r>
        <w:rPr>
          <w:rFonts w:asciiTheme="majorBidi" w:hAnsiTheme="majorBidi" w:cstheme="majorBidi"/>
          <w:b/>
          <w:color w:val="000000" w:themeColor="text1"/>
          <w:sz w:val="28"/>
          <w:szCs w:val="28"/>
          <w:rtl/>
        </w:rPr>
        <w:t>أولاً: أولاً: دور الهيئة السعودية للمحامين في ضبط استخدام الذكاء الاصطناعي</w:t>
      </w:r>
      <w:commentRangeEnd w:id="166"/>
      <w:r w:rsidRPr="00A84F46">
        <w:rPr>
          <w:rStyle w:val="af0"/>
          <w:color w:val="000000" w:themeColor="text1"/>
          <w:sz w:val="22"/>
          <w:szCs w:val="22"/>
          <w:rtl/>
        </w:rPr>
        <w:commentReference w:id="166"/>
      </w:r>
      <w:commentRangeEnd w:id="167"/>
      <w:r w:rsidRPr="00A84F46">
        <w:rPr>
          <w:rStyle w:val="af0"/>
          <w:color w:val="000000" w:themeColor="text1"/>
          <w:sz w:val="22"/>
          <w:szCs w:val="22"/>
          <w:rtl/>
        </w:rPr>
        <w:commentReference w:id="167"/>
      </w:r>
    </w:p>
    <w:p w14:paraId="70A16A37" w14:textId="77777777" w:rsidR="005705DD" w:rsidRDefault="005705DD" w:rsidP="005705DD">
      <w:pPr>
        <w:bidi/>
        <w:spacing w:after="200" w:line="276" w:lineRule="auto"/>
        <w:rPr>
          <w:rtl/>
        </w:rPr>
      </w:pPr>
      <w:r>
        <w:rPr>
          <w:rFonts w:asciiTheme="majorBidi" w:hAnsiTheme="majorBidi" w:cstheme="majorBidi"/>
          <w:sz w:val="24"/>
          <w:szCs w:val="24"/>
          <w:rtl/>
        </w:rPr>
        <w:t>تمارس الهيئة السعودية للمحامين بموجب نظام المحاماة وتنظيمها أدواراً مهنية وتنظيمية، وقد جعل النظام العضوية الأساسية فيها إلزامية لكل مرخص له (المادة الحادية والعشرون مكرر)، فيما عُهد بتوقيع العقوبات التأديبية إلى لجنة التأديب (المادتان التاسعة والعشرون والحادية والثلاثون)، ويمكن توظيف هذه المنظومة</w:t>
      </w:r>
      <w:r>
        <w:rPr>
          <w:rFonts w:asciiTheme="majorBidi" w:hAnsiTheme="majorBidi" w:cstheme="majorBidi"/>
          <w:sz w:val="24"/>
          <w:szCs w:val="24"/>
          <w:vertAlign w:val="superscript"/>
          <w:rtl/>
        </w:rPr>
        <w:footnoteReference w:id="317"/>
      </w:r>
      <w:r>
        <w:rPr>
          <w:rFonts w:asciiTheme="majorBidi" w:hAnsiTheme="majorBidi" w:cstheme="majorBidi"/>
          <w:sz w:val="24"/>
          <w:szCs w:val="24"/>
          <w:rtl/>
        </w:rPr>
        <w:t xml:space="preserve"> </w:t>
      </w:r>
      <w:commentRangeStart w:id="168"/>
      <w:commentRangeStart w:id="169"/>
      <w:r>
        <w:rPr>
          <w:rFonts w:asciiTheme="majorBidi" w:hAnsiTheme="majorBidi" w:cstheme="majorBidi"/>
          <w:sz w:val="24"/>
          <w:szCs w:val="24"/>
          <w:rtl/>
        </w:rPr>
        <w:t>—</w:t>
      </w:r>
      <w:commentRangeEnd w:id="168"/>
      <w:r>
        <w:rPr>
          <w:rStyle w:val="af0"/>
          <w:rFonts w:asciiTheme="majorBidi" w:hAnsiTheme="majorBidi" w:cstheme="majorBidi"/>
          <w:sz w:val="24"/>
          <w:szCs w:val="24"/>
          <w:rtl/>
        </w:rPr>
        <w:commentReference w:id="168"/>
      </w:r>
      <w:commentRangeEnd w:id="169"/>
      <w:r>
        <w:rPr>
          <w:rStyle w:val="af0"/>
          <w:rFonts w:asciiTheme="majorBidi" w:hAnsiTheme="majorBidi" w:cstheme="majorBidi"/>
          <w:sz w:val="24"/>
          <w:szCs w:val="24"/>
          <w:rtl/>
        </w:rPr>
        <w:commentReference w:id="169"/>
      </w:r>
      <w:r>
        <w:rPr>
          <w:rFonts w:asciiTheme="majorBidi" w:hAnsiTheme="majorBidi" w:cstheme="majorBidi"/>
          <w:sz w:val="24"/>
          <w:szCs w:val="24"/>
          <w:rtl/>
        </w:rPr>
        <w:t xml:space="preserve"> حتى في ظل غياب نظام صريح للذكاء الاصطناعي</w:t>
      </w:r>
      <w:commentRangeStart w:id="170"/>
      <w:commentRangeStart w:id="171"/>
      <w:r>
        <w:rPr>
          <w:rFonts w:asciiTheme="majorBidi" w:hAnsiTheme="majorBidi" w:cstheme="majorBidi"/>
          <w:sz w:val="24"/>
          <w:szCs w:val="24"/>
          <w:rtl/>
        </w:rPr>
        <w:t xml:space="preserve"> — </w:t>
      </w:r>
      <w:commentRangeEnd w:id="170"/>
      <w:r>
        <w:rPr>
          <w:rStyle w:val="af0"/>
          <w:rFonts w:asciiTheme="majorBidi" w:hAnsiTheme="majorBidi" w:cstheme="majorBidi"/>
          <w:sz w:val="24"/>
          <w:szCs w:val="24"/>
          <w:rtl/>
        </w:rPr>
        <w:commentReference w:id="170"/>
      </w:r>
      <w:commentRangeEnd w:id="171"/>
      <w:r>
        <w:rPr>
          <w:rStyle w:val="af0"/>
          <w:rFonts w:asciiTheme="majorBidi" w:hAnsiTheme="majorBidi" w:cstheme="majorBidi"/>
          <w:sz w:val="24"/>
          <w:szCs w:val="24"/>
          <w:rtl/>
        </w:rPr>
        <w:commentReference w:id="171"/>
      </w:r>
      <w:r>
        <w:rPr>
          <w:rFonts w:asciiTheme="majorBidi" w:hAnsiTheme="majorBidi" w:cstheme="majorBidi"/>
          <w:sz w:val="24"/>
          <w:szCs w:val="24"/>
          <w:rtl/>
        </w:rPr>
        <w:t>لمعالجة بعض الإشكاليات الراهنة. وفيما يلي استعراض لأبعاد دور الهيئة في هذا السياق:</w:t>
      </w:r>
    </w:p>
    <w:p w14:paraId="7B74B338" w14:textId="77777777" w:rsidR="005705DD" w:rsidRDefault="005705DD" w:rsidP="005705DD">
      <w:pPr>
        <w:bidi/>
        <w:spacing w:after="200" w:line="276" w:lineRule="auto"/>
        <w:rPr>
          <w:rtl/>
        </w:rPr>
      </w:pPr>
      <w:commentRangeStart w:id="172"/>
      <w:commentRangeStart w:id="173"/>
      <w:r>
        <w:rPr>
          <w:rFonts w:asciiTheme="majorBidi" w:hAnsiTheme="majorBidi" w:cstheme="majorBidi"/>
          <w:sz w:val="24"/>
          <w:szCs w:val="24"/>
          <w:rtl/>
        </w:rPr>
        <w:t>أولاً: المسار التأديبي القائم — يمكن تحريك المساءلة التأديبية أمام لجنة التأديب على الأفعال المخلة بالواجبات المهنية. ومخالفة واجب السرية، أو تقديم مرجع قانوني كاذب استناداً إلى ذكاء اصطناعي، أو الإهمال في مراجعة مخرجات الأداة الذكية — كل هذه الأفعال قابلة للمعالجة بالأدوات التأديبية القائمة. غير أن القصور في الإطار الراهن يتمثل في غياب سوابق تأديبية مُقنَّنة في هذا المجال تُشكّل مرجعاً ضابطاً للمحامين.</w:t>
      </w:r>
    </w:p>
    <w:p w14:paraId="470C5345" w14:textId="77777777" w:rsidR="005705DD" w:rsidRDefault="005705DD" w:rsidP="005705DD">
      <w:pPr>
        <w:bidi/>
        <w:spacing w:after="200" w:line="276" w:lineRule="auto"/>
        <w:rPr>
          <w:rtl/>
        </w:rPr>
      </w:pPr>
      <w:r>
        <w:rPr>
          <w:rFonts w:asciiTheme="majorBidi" w:hAnsiTheme="majorBidi" w:cstheme="majorBidi"/>
          <w:sz w:val="24"/>
          <w:szCs w:val="24"/>
          <w:rtl/>
        </w:rPr>
        <w:t>ثانياً: صلاحية إصدار الأدلة المهنية التوجيهية — تملك الهيئة صلاحية إصدار أدلة تفسيرية للقواعد الأخلاقية المهنية. وفي هذا الإطار، يمكنها إصدار دليل توجيهي بشأن استخدام الذكاء الاصطناعي يُحدد: (أ) ما يُجيزه الميثاق المهني من استخدامات وما يحظره. (ب) اشتراط الإفصاح للموكل عن استخدام الذكاء الاصطناعي في معالجة ملفه. (ج) إلزامية مراجعة مخرجات الذكاء الاصطناعي من محامٍ مؤهل قبل تقديمها للجهات القضائية.</w:t>
      </w:r>
    </w:p>
    <w:p w14:paraId="3EE35582" w14:textId="77777777" w:rsidR="005705DD" w:rsidRDefault="005705DD" w:rsidP="005705DD">
      <w:pPr>
        <w:bidi/>
        <w:spacing w:after="200" w:line="276" w:lineRule="auto"/>
        <w:rPr>
          <w:rtl/>
        </w:rPr>
      </w:pPr>
      <w:r>
        <w:rPr>
          <w:rFonts w:asciiTheme="majorBidi" w:hAnsiTheme="majorBidi" w:cstheme="majorBidi"/>
          <w:sz w:val="24"/>
          <w:szCs w:val="24"/>
          <w:rtl/>
        </w:rPr>
        <w:t>ثالثاً: صلاحية اشتراط التأهيل المهني — تتولى الهيئة الإشرافَ على التأهيل المهني المستمر للمحامين. ويملك مجلسها اشتراطَ إتمام برامج تدريبية مخصصة في مجال أخلاقيات توظيف الذكاء الاصطناعي في المهنة القانونية، وهو ما يُحوّل التحدي التقني إلى فرصة لرفع مستوى الكفاءة المهنية في القطاع.</w:t>
      </w:r>
      <w:commentRangeEnd w:id="172"/>
      <w:r>
        <w:rPr>
          <w:rStyle w:val="af0"/>
          <w:sz w:val="22"/>
          <w:szCs w:val="22"/>
          <w:rtl/>
        </w:rPr>
        <w:commentReference w:id="172"/>
      </w:r>
      <w:commentRangeEnd w:id="173"/>
      <w:r>
        <w:rPr>
          <w:rStyle w:val="af0"/>
          <w:sz w:val="22"/>
          <w:szCs w:val="22"/>
          <w:rtl/>
        </w:rPr>
        <w:commentReference w:id="173"/>
      </w:r>
    </w:p>
    <w:p w14:paraId="32543518" w14:textId="77777777" w:rsidR="005705DD" w:rsidRDefault="005705DD" w:rsidP="005705DD">
      <w:pPr>
        <w:bidi/>
        <w:spacing w:after="200" w:line="276" w:lineRule="auto"/>
        <w:rPr>
          <w:rtl/>
        </w:rPr>
      </w:pPr>
      <w:r>
        <w:rPr>
          <w:rFonts w:asciiTheme="majorBidi" w:hAnsiTheme="majorBidi" w:cstheme="majorBidi"/>
          <w:sz w:val="24"/>
          <w:szCs w:val="24"/>
          <w:rtl/>
        </w:rPr>
        <w:t>رابعاً: الشراكة مع سدايا — أكثر المسارات الواعدة هي التعاون الاستراتيجي بين الهيئة السعودية للمحامين وسدايا في وضع لوائح خاصة بالذكاء الاصطناعي في القطاع القانوني، تستفيد من الخبرة التقنية لسدايا والمعرفة المهنية للهيئة معاً. وهذا التعاون البيني سيُنتج في حال تفعيله حوكمةً أكثر واقعيةً ودقةً من أي تشريع يصدر من جهة واحدة بمعزل عن الأخرى.</w:t>
      </w:r>
    </w:p>
    <w:p w14:paraId="63859D87" w14:textId="77777777" w:rsidR="005705DD" w:rsidRDefault="005705DD" w:rsidP="005705DD">
      <w:pPr>
        <w:bidi/>
        <w:spacing w:after="200" w:line="276" w:lineRule="auto"/>
        <w:rPr>
          <w:rtl/>
        </w:rPr>
      </w:pPr>
      <w:r>
        <w:rPr>
          <w:rFonts w:asciiTheme="majorBidi" w:hAnsiTheme="majorBidi" w:cstheme="majorBidi"/>
          <w:sz w:val="24"/>
          <w:szCs w:val="24"/>
          <w:rtl/>
        </w:rPr>
        <w:t xml:space="preserve">ويستلهم الباحث في هذا الصدد التجربة الأمريكية التي شهدت اتحاد منظمات المحامين (ABA) وعدداً من </w:t>
      </w:r>
      <w:commentRangeStart w:id="174"/>
      <w:commentRangeStart w:id="175"/>
      <w:r>
        <w:rPr>
          <w:rFonts w:asciiTheme="majorBidi" w:hAnsiTheme="majorBidi" w:cstheme="majorBidi"/>
          <w:sz w:val="24"/>
          <w:szCs w:val="24"/>
          <w:rtl/>
        </w:rPr>
        <w:t xml:space="preserve">نقابات المحامين في الولايات الأمريكية </w:t>
      </w:r>
      <w:commentRangeEnd w:id="174"/>
      <w:r>
        <w:rPr>
          <w:rStyle w:val="af0"/>
          <w:rFonts w:asciiTheme="majorBidi" w:hAnsiTheme="majorBidi" w:cstheme="majorBidi"/>
          <w:sz w:val="24"/>
          <w:szCs w:val="24"/>
          <w:rtl/>
        </w:rPr>
        <w:commentReference w:id="174"/>
      </w:r>
      <w:commentRangeEnd w:id="175"/>
      <w:r>
        <w:rPr>
          <w:rStyle w:val="af0"/>
          <w:rFonts w:asciiTheme="majorBidi" w:hAnsiTheme="majorBidi" w:cstheme="majorBidi"/>
          <w:sz w:val="24"/>
          <w:szCs w:val="24"/>
          <w:rtl/>
        </w:rPr>
        <w:commentReference w:id="175"/>
      </w:r>
      <w:r>
        <w:rPr>
          <w:rFonts w:asciiTheme="majorBidi" w:hAnsiTheme="majorBidi" w:cstheme="majorBidi"/>
          <w:sz w:val="24"/>
          <w:szCs w:val="24"/>
          <w:rtl/>
        </w:rPr>
        <w:t>في إصدار قرارات تفسيرية (Ethics Opinions) بشأن استخدام أدوات الذكاء الاصطناعي في مهنة المحاماة، من أبرزها الرأي الرسمي رقم (512) الصادر عن اللجنة الدائمة لأخلاقيات المهنة في اتحاد المحامين الأمريكي في 29 يوليو 2024م بشأن أدوات الذكاء الاصطناعي التوليدي، الذي قرر واجبات الكفاءة التقنية وسرية معلومات الموكل والحصول على موافقته المستنيرة والصدق تجاه المحكمة</w:t>
      </w:r>
      <w:r>
        <w:rPr>
          <w:rFonts w:asciiTheme="majorBidi" w:hAnsiTheme="majorBidi" w:cstheme="majorBidi"/>
          <w:sz w:val="24"/>
          <w:szCs w:val="24"/>
          <w:vertAlign w:val="superscript"/>
          <w:rtl/>
        </w:rPr>
        <w:footnoteReference w:id="318"/>
      </w:r>
      <w:commentRangeStart w:id="176"/>
      <w:commentRangeStart w:id="177"/>
      <w:r>
        <w:rPr>
          <w:rFonts w:asciiTheme="majorBidi" w:hAnsiTheme="majorBidi" w:cstheme="majorBidi"/>
          <w:sz w:val="24"/>
          <w:szCs w:val="24"/>
          <w:rtl/>
        </w:rPr>
        <w:t xml:space="preserve">. ويرى الباحث </w:t>
      </w:r>
      <w:commentRangeStart w:id="178"/>
      <w:commentRangeStart w:id="179"/>
      <w:r>
        <w:rPr>
          <w:rFonts w:asciiTheme="majorBidi" w:hAnsiTheme="majorBidi" w:cstheme="majorBidi"/>
          <w:sz w:val="24"/>
          <w:szCs w:val="24"/>
          <w:rtl/>
        </w:rPr>
        <w:t>أن</w:t>
      </w:r>
      <w:commentRangeEnd w:id="178"/>
      <w:r>
        <w:rPr>
          <w:rStyle w:val="af0"/>
          <w:rFonts w:asciiTheme="majorBidi" w:hAnsiTheme="majorBidi" w:cstheme="majorBidi"/>
          <w:sz w:val="24"/>
          <w:szCs w:val="24"/>
          <w:rtl/>
        </w:rPr>
        <w:commentReference w:id="178"/>
      </w:r>
      <w:commentRangeEnd w:id="179"/>
      <w:r>
        <w:rPr>
          <w:rStyle w:val="af0"/>
          <w:rFonts w:asciiTheme="majorBidi" w:hAnsiTheme="majorBidi" w:cstheme="majorBidi"/>
          <w:sz w:val="24"/>
          <w:szCs w:val="24"/>
          <w:rtl/>
        </w:rPr>
        <w:commentReference w:id="179"/>
      </w:r>
      <w:r>
        <w:rPr>
          <w:rFonts w:asciiTheme="majorBidi" w:hAnsiTheme="majorBidi" w:cstheme="majorBidi"/>
          <w:sz w:val="24"/>
          <w:szCs w:val="24"/>
          <w:rtl/>
        </w:rPr>
        <w:t xml:space="preserve"> المسار ذاته متاح لالهيئة السعودية للمحامين دون انتظار تشريع موحّد.</w:t>
      </w:r>
      <w:commentRangeEnd w:id="176"/>
      <w:r>
        <w:rPr>
          <w:rStyle w:val="af0"/>
          <w:sz w:val="22"/>
          <w:szCs w:val="22"/>
          <w:rtl/>
        </w:rPr>
        <w:commentReference w:id="176"/>
      </w:r>
      <w:commentRangeEnd w:id="177"/>
      <w:r>
        <w:rPr>
          <w:rStyle w:val="af0"/>
          <w:sz w:val="22"/>
          <w:szCs w:val="22"/>
          <w:rtl/>
        </w:rPr>
        <w:commentReference w:id="177"/>
      </w:r>
    </w:p>
    <w:p w14:paraId="17F92CA5" w14:textId="77777777" w:rsidR="005705DD" w:rsidRDefault="005705DD" w:rsidP="005705DD"/>
    <w:p w14:paraId="4D327F4C" w14:textId="77777777" w:rsidR="005705DD" w:rsidRPr="00A84F46" w:rsidRDefault="005705DD" w:rsidP="005705DD">
      <w:pPr>
        <w:bidi/>
        <w:spacing w:after="200" w:line="276" w:lineRule="auto"/>
        <w:rPr>
          <w:bCs/>
          <w:color w:val="000000" w:themeColor="text1"/>
          <w:rtl/>
        </w:rPr>
      </w:pPr>
      <w:commentRangeStart w:id="180"/>
      <w:commentRangeStart w:id="181"/>
      <w:commentRangeStart w:id="182"/>
      <w:commentRangeStart w:id="183"/>
      <w:r>
        <w:rPr>
          <w:rFonts w:asciiTheme="majorBidi" w:hAnsiTheme="majorBidi" w:cstheme="majorBidi"/>
          <w:bCs/>
          <w:color w:val="000000" w:themeColor="text1"/>
          <w:sz w:val="28"/>
          <w:szCs w:val="28"/>
          <w:rtl/>
        </w:rPr>
        <w:t>ثانياً: المنظومة المؤسسية السعودية لحوكمة الذكاء الاصطناعي في القطاع القانوني</w:t>
      </w:r>
      <w:commentRangeEnd w:id="180"/>
      <w:r w:rsidRPr="00A84F46">
        <w:rPr>
          <w:rStyle w:val="af0"/>
          <w:bCs/>
          <w:color w:val="000000" w:themeColor="text1"/>
          <w:sz w:val="22"/>
          <w:szCs w:val="22"/>
          <w:rtl/>
        </w:rPr>
        <w:commentReference w:id="180"/>
      </w:r>
      <w:commentRangeEnd w:id="181"/>
      <w:r w:rsidRPr="00A84F46">
        <w:rPr>
          <w:rStyle w:val="af0"/>
          <w:bCs/>
          <w:color w:val="000000" w:themeColor="text1"/>
          <w:sz w:val="22"/>
          <w:szCs w:val="22"/>
          <w:rtl/>
        </w:rPr>
        <w:commentReference w:id="181"/>
      </w:r>
      <w:commentRangeEnd w:id="182"/>
      <w:r w:rsidRPr="00A84F46">
        <w:rPr>
          <w:rStyle w:val="af0"/>
          <w:bCs/>
          <w:color w:val="000000" w:themeColor="text1"/>
          <w:sz w:val="22"/>
          <w:szCs w:val="22"/>
          <w:rtl/>
        </w:rPr>
        <w:commentReference w:id="182"/>
      </w:r>
      <w:commentRangeEnd w:id="183"/>
      <w:r w:rsidRPr="00A84F46">
        <w:rPr>
          <w:rStyle w:val="af0"/>
          <w:bCs/>
          <w:color w:val="000000" w:themeColor="text1"/>
          <w:sz w:val="22"/>
          <w:szCs w:val="22"/>
          <w:rtl/>
        </w:rPr>
        <w:commentReference w:id="183"/>
      </w:r>
    </w:p>
    <w:p w14:paraId="254A59C8" w14:textId="77777777" w:rsidR="005705DD" w:rsidRDefault="005705DD" w:rsidP="005705DD">
      <w:pPr>
        <w:bidi/>
        <w:spacing w:after="200" w:line="276" w:lineRule="auto"/>
        <w:rPr>
          <w:rtl/>
        </w:rPr>
      </w:pPr>
      <w:r>
        <w:rPr>
          <w:rFonts w:asciiTheme="majorBidi" w:hAnsiTheme="majorBidi" w:cstheme="majorBidi"/>
          <w:sz w:val="24"/>
          <w:szCs w:val="24"/>
          <w:rtl/>
        </w:rPr>
        <w:t xml:space="preserve">يقصد بحوكمة الذكاء الاصطناعي: الأطر القانونية والتنظيمية والجهات المؤسسية المشرفة على تطويره واستخدامه، لا الجهات المستخدمة له. وتتشكل المنظومة المؤسسية المعنية بها في القطاع القانوني السعودي من </w:t>
      </w:r>
      <w:r>
        <w:rPr>
          <w:rFonts w:asciiTheme="majorBidi" w:hAnsiTheme="majorBidi" w:cstheme="majorBidi"/>
          <w:sz w:val="24"/>
          <w:szCs w:val="24"/>
          <w:rtl/>
        </w:rPr>
        <w:lastRenderedPageBreak/>
        <w:t>عدة جهات تتقاطع اختصاصاتها وتتباين منطلقاتها، مما قد يُفضي أحياناً إلى تداخل الصلاحيات أو إلى فراغات رقابية. وفيما يلي تحليل لكل جهة من الجهات الرئيسية ودورها المنشود والمشكلات التي تعترضها</w:t>
      </w:r>
      <w:commentRangeStart w:id="184"/>
      <w:commentRangeStart w:id="185"/>
      <w:r>
        <w:rPr>
          <w:rFonts w:asciiTheme="majorBidi" w:hAnsiTheme="majorBidi" w:cstheme="majorBidi"/>
          <w:sz w:val="24"/>
          <w:szCs w:val="24"/>
          <w:rtl/>
        </w:rPr>
        <w:t>:</w:t>
      </w:r>
      <w:commentRangeEnd w:id="184"/>
      <w:r>
        <w:rPr>
          <w:rStyle w:val="af0"/>
          <w:sz w:val="22"/>
          <w:szCs w:val="22"/>
          <w:rtl/>
        </w:rPr>
        <w:commentReference w:id="184"/>
      </w:r>
      <w:commentRangeEnd w:id="185"/>
      <w:r>
        <w:rPr>
          <w:rStyle w:val="af0"/>
          <w:sz w:val="22"/>
          <w:szCs w:val="22"/>
          <w:rtl/>
        </w:rPr>
        <w:commentReference w:id="185"/>
      </w:r>
    </w:p>
    <w:p w14:paraId="306318F6" w14:textId="77777777" w:rsidR="005705DD" w:rsidRDefault="005705DD" w:rsidP="005705DD">
      <w:pPr>
        <w:bidi/>
        <w:spacing w:after="200" w:line="276" w:lineRule="auto"/>
        <w:rPr>
          <w:rtl/>
        </w:rPr>
      </w:pPr>
      <w:r>
        <w:rPr>
          <w:rFonts w:asciiTheme="majorBidi" w:hAnsiTheme="majorBidi" w:cstheme="majorBidi"/>
          <w:sz w:val="24"/>
          <w:szCs w:val="24"/>
          <w:rtl/>
        </w:rPr>
        <w:t>الجهة الأولى — الهيئة السعودية للبيانات والذكاء الاصطناعي (سدايا): تُعدّ سدايا الجهة الأعلى اختصاصاً في مجال حوكمة الذكاء الاصطناعي عموماً في المملكة، وتضطلع بمهام التشريع والتوجيه والبحث في هذا المجال، وتعمل بوصفها كياناً مؤسسياً من خلال ترتيباتها التنظيمية الصادرة بقرار مجلس الوزراء رقم (292) وتاريخ 27/4/1441هـ، وعبر إصدار الاستراتيجيات والوثائق الاسترشادية والإشراف على تنفيذ نظام حماية البيانات الشخصية. غير أن اختصاصها في القطاع القانوني تحديداً لا يُعدّ اختصاصاً مباشراً نصياً، مما يجعل علاقتها بالقطاع القانوني علاقةَ اختصاص حكمي لا نصي. وتتمتع سدايا بكوادر تقنية متخصصة وبصلاحيات تشريعية ناعمة ذات أثر بالغ، غير أن التطبيق الإلزامي لمتطلباتها على القطاع القانوني لا يزال يفتقر إلى آلية رقابية تنفيذية فاعلة.</w:t>
      </w:r>
    </w:p>
    <w:p w14:paraId="64C15DE5" w14:textId="77777777" w:rsidR="005705DD" w:rsidRDefault="005705DD" w:rsidP="005705DD">
      <w:pPr>
        <w:bidi/>
        <w:spacing w:after="200" w:line="276" w:lineRule="auto"/>
        <w:rPr>
          <w:rtl/>
        </w:rPr>
      </w:pPr>
      <w:r>
        <w:rPr>
          <w:rFonts w:asciiTheme="majorBidi" w:hAnsiTheme="majorBidi" w:cstheme="majorBidi"/>
          <w:sz w:val="24"/>
          <w:szCs w:val="24"/>
          <w:rtl/>
        </w:rPr>
        <w:t>الجهة الثانية — وزارة العدل: تُعدّ الجهة المختصة أصلاً بتنظيم السلطة القضائية ومرافق العدالة في المملكة. وتتميز وزارة العدل بأنها الجهة الأقرب إلى الواقع التطبيقي للقطاع القانوني، وتمتلك بنية تحتية رقمية قوية عبر منصة ناجز. غير أن اختصاصها بالنسبة لمكاتب المحاماة الخاصة لا يصل إلى حد الرقابة المباشرة على آليات العمل الداخلية لها. ويُشكّل تأسيس "مركز التميز للذكاء الاصطناعي" داخل وزارة العدل خطوةً إيجابية، غير أن مخرجاته التشريعية المعلنة لا تزال محدودة.</w:t>
      </w:r>
    </w:p>
    <w:p w14:paraId="693C13CC" w14:textId="77777777" w:rsidR="005705DD" w:rsidRDefault="005705DD" w:rsidP="005705DD">
      <w:pPr>
        <w:bidi/>
        <w:spacing w:after="200" w:line="276" w:lineRule="auto"/>
        <w:rPr>
          <w:rtl/>
        </w:rPr>
      </w:pPr>
      <w:commentRangeStart w:id="186"/>
      <w:commentRangeStart w:id="187"/>
      <w:r>
        <w:rPr>
          <w:rFonts w:asciiTheme="majorBidi" w:hAnsiTheme="majorBidi" w:cstheme="majorBidi"/>
          <w:sz w:val="24"/>
          <w:szCs w:val="24"/>
          <w:rtl/>
        </w:rPr>
        <w:t>الجهة الثالثة — الهيئة السعودية للمحامين: تُمثّل الجهة التنظيمية المهنية المباشرة للمحامين السعوديين، وتملك — نظرياً — أدوات التنظيم المهني الأكثر مرونةً وتأثيراً، من قبيل: إصدار الدلائل المهنية، وتحديد متطلبات التأهيل، واتخاذ الإجراءات التأديبية. غير أن الهيئة تعمل في مجال الذكاء الاصطناعي دون توجيه تشريعي صريح يُحدد صلاحياتها في هذا الشأن، مما يُبقيها في موقف ردة الفعل أكثر من موقف الاستباق التنظيمي.</w:t>
      </w:r>
      <w:commentRangeEnd w:id="186"/>
      <w:r>
        <w:rPr>
          <w:rStyle w:val="af0"/>
          <w:sz w:val="22"/>
          <w:szCs w:val="22"/>
          <w:rtl/>
        </w:rPr>
        <w:commentReference w:id="186"/>
      </w:r>
      <w:commentRangeEnd w:id="187"/>
      <w:r>
        <w:rPr>
          <w:rStyle w:val="af0"/>
          <w:sz w:val="22"/>
          <w:szCs w:val="22"/>
          <w:rtl/>
        </w:rPr>
        <w:commentReference w:id="187"/>
      </w:r>
    </w:p>
    <w:p w14:paraId="40D071BF" w14:textId="77777777" w:rsidR="005705DD" w:rsidRDefault="005705DD" w:rsidP="005705DD">
      <w:pPr>
        <w:bidi/>
        <w:spacing w:after="200" w:line="276" w:lineRule="auto"/>
        <w:rPr>
          <w:rtl/>
        </w:rPr>
      </w:pPr>
      <w:r>
        <w:rPr>
          <w:rFonts w:asciiTheme="majorBidi" w:hAnsiTheme="majorBidi" w:cstheme="majorBidi"/>
          <w:sz w:val="24"/>
          <w:szCs w:val="24"/>
          <w:rtl/>
        </w:rPr>
        <w:t>الجهة الرابعة — ديوان المظالم والجهات القضائية: تضطلع الجهات القضائية بدور تفسيري جوهري في تطبيق الأنظمة القائمة على المستجدات التقنية، وأحكامها تُشكّل سوابق قضائية فعلية حتى في غياب نص صريح. وإن كانت السوابق القضائية السعودية في مجال الذكاء الاصطناعي القانوني تحديداً تكاد تكون منعدمة حتى الآن، إلا أن الحوادث المقبلة ستضطر الجهات القضائية إلى اتخاذ مواقف تفسيرية ستُشكّل في مجموعها اجتهاداً قضائياً ناعماً.</w:t>
      </w:r>
    </w:p>
    <w:p w14:paraId="17A870CD" w14:textId="77777777" w:rsidR="005705DD" w:rsidRDefault="005705DD" w:rsidP="005705DD">
      <w:pPr>
        <w:bidi/>
        <w:spacing w:after="200" w:line="276" w:lineRule="auto"/>
        <w:rPr>
          <w:rtl/>
        </w:rPr>
      </w:pPr>
      <w:r>
        <w:rPr>
          <w:rFonts w:asciiTheme="majorBidi" w:hAnsiTheme="majorBidi" w:cstheme="majorBidi"/>
          <w:sz w:val="24"/>
          <w:szCs w:val="24"/>
          <w:rtl/>
        </w:rPr>
        <w:t>ويرى الباحث: أن الهيكل المؤسسي المذكور يفتقر إلى تنسيق رسمي واضح يُوحّد الرؤية ويُقسّم المهام بين الجهات الأربع تجاه ملف الذكاء الاصطناعي في القطاع القانوني. والأمثل إنشاء "لجنة وطنية مشتركة لحوكمة الذكاء الاصطناعي في القطاع العدلي" تضم ممثلين من الجهات الأربع جميعاً مع خبراء التقنية والفقه الشرعي، وتتولى وضع السياسات وإعداد التشريعات المقترحة وتنسيق التطبيق. وهذا التنسيق المؤسسي هو شرط الكفاءة التنظيمية التي يستلزمها تعقيد الملف.</w:t>
      </w:r>
    </w:p>
    <w:p w14:paraId="33FC15BB" w14:textId="77777777" w:rsidR="005705DD" w:rsidRDefault="005705DD" w:rsidP="005705DD"/>
    <w:p w14:paraId="68DA75AE" w14:textId="77777777" w:rsidR="005705DD" w:rsidRPr="00A84F46" w:rsidRDefault="005705DD" w:rsidP="005705DD">
      <w:pPr>
        <w:bidi/>
        <w:spacing w:after="200" w:line="276" w:lineRule="auto"/>
        <w:rPr>
          <w:bCs/>
          <w:color w:val="000000" w:themeColor="text1"/>
          <w:rtl/>
        </w:rPr>
      </w:pPr>
      <w:commentRangeStart w:id="188"/>
      <w:commentRangeStart w:id="189"/>
      <w:r>
        <w:rPr>
          <w:rFonts w:asciiTheme="majorBidi" w:hAnsiTheme="majorBidi" w:cstheme="majorBidi"/>
          <w:bCs/>
          <w:color w:val="000000" w:themeColor="text1"/>
          <w:sz w:val="28"/>
          <w:szCs w:val="28"/>
          <w:rtl/>
        </w:rPr>
        <w:t>ثالثاً: المسؤولية في الذكاء الاصطناعي القانوني وتوزيعها بين أطراف المنظومة</w:t>
      </w:r>
      <w:commentRangeEnd w:id="188"/>
      <w:r w:rsidRPr="00A84F46">
        <w:rPr>
          <w:rStyle w:val="af0"/>
          <w:bCs/>
          <w:color w:val="000000" w:themeColor="text1"/>
          <w:sz w:val="22"/>
          <w:szCs w:val="22"/>
          <w:rtl/>
        </w:rPr>
        <w:commentReference w:id="188"/>
      </w:r>
      <w:commentRangeEnd w:id="189"/>
      <w:r w:rsidRPr="00A84F46">
        <w:rPr>
          <w:rStyle w:val="af0"/>
          <w:bCs/>
          <w:color w:val="000000" w:themeColor="text1"/>
          <w:sz w:val="22"/>
          <w:szCs w:val="22"/>
          <w:rtl/>
        </w:rPr>
        <w:commentReference w:id="189"/>
      </w:r>
    </w:p>
    <w:p w14:paraId="1FE190BE" w14:textId="77777777" w:rsidR="005705DD" w:rsidRDefault="005705DD" w:rsidP="005705DD">
      <w:pPr>
        <w:bidi/>
        <w:spacing w:after="200" w:line="276" w:lineRule="auto"/>
        <w:rPr>
          <w:rtl/>
        </w:rPr>
      </w:pPr>
      <w:r>
        <w:rPr>
          <w:rFonts w:asciiTheme="majorBidi" w:hAnsiTheme="majorBidi" w:cstheme="majorBidi"/>
          <w:sz w:val="24"/>
          <w:szCs w:val="24"/>
          <w:rtl/>
        </w:rPr>
        <w:t>لا تخفى معالم النظرية العامة للمسؤولية المدنية؛ وإنما وجه الجِدَّة إنزال أحكامها على سلسلة أطراف منظومة الذكاء الاصطناعي القانوني في البيئة السعودية. ذلك أن سلسلة المسؤولية في هذه المنظومة تضم عادةً أطرافاً متعددين بينهم تفاوت في القدرة وفي إمكانية الإسهام في منع الضرر. ويُميّز الباحث بين خمسة أطراف رئيسية في هذه السلسلة:</w:t>
      </w:r>
    </w:p>
    <w:p w14:paraId="2B7A9E85" w14:textId="77777777" w:rsidR="005705DD" w:rsidRDefault="005705DD" w:rsidP="005705DD">
      <w:pPr>
        <w:bidi/>
        <w:spacing w:after="200" w:line="276" w:lineRule="auto"/>
        <w:rPr>
          <w:rtl/>
        </w:rPr>
      </w:pPr>
      <w:r>
        <w:rPr>
          <w:rFonts w:asciiTheme="majorBidi" w:hAnsiTheme="majorBidi" w:cstheme="majorBidi"/>
          <w:sz w:val="24"/>
          <w:szCs w:val="24"/>
          <w:rtl/>
        </w:rPr>
        <w:t xml:space="preserve">الطرف الأول — مطوّر الأداة الذكية (AI Developer): وهو الجهة التي أنتجت النموذج اللغوي أو نظام الذكاء الاصطناعي. وفي حالة الأدوات الأجنبية، يقع مطوّرها خارج الولاية القضائية السعودية، مما يُصعّب مساءلته إلا عبر آليات التقاضي الدولي </w:t>
      </w:r>
      <w:commentRangeStart w:id="190"/>
      <w:commentRangeStart w:id="191"/>
      <w:r>
        <w:rPr>
          <w:rFonts w:asciiTheme="majorBidi" w:hAnsiTheme="majorBidi" w:cstheme="majorBidi"/>
          <w:sz w:val="24"/>
          <w:szCs w:val="24"/>
          <w:highlight w:val="yellow"/>
          <w:rtl/>
        </w:rPr>
        <w:t xml:space="preserve">أو الرجوع إلى القواعد العامة للمسؤولية في نظام المعاملات المدنية </w:t>
      </w:r>
      <w:r>
        <w:rPr>
          <w:rFonts w:asciiTheme="majorBidi" w:hAnsiTheme="majorBidi" w:cstheme="majorBidi"/>
          <w:sz w:val="24"/>
          <w:szCs w:val="24"/>
          <w:highlight w:val="yellow"/>
          <w:rtl/>
        </w:rPr>
        <w:lastRenderedPageBreak/>
        <w:t>(المادتان 120 و129).</w:t>
      </w:r>
      <w:r>
        <w:rPr>
          <w:rFonts w:asciiTheme="majorBidi" w:hAnsiTheme="majorBidi" w:cstheme="majorBidi"/>
          <w:sz w:val="24"/>
          <w:szCs w:val="24"/>
          <w:rtl/>
        </w:rPr>
        <w:t xml:space="preserve"> </w:t>
      </w:r>
      <w:commentRangeEnd w:id="190"/>
      <w:r>
        <w:rPr>
          <w:rStyle w:val="af0"/>
          <w:rFonts w:asciiTheme="majorBidi" w:hAnsiTheme="majorBidi" w:cstheme="majorBidi"/>
          <w:sz w:val="24"/>
          <w:szCs w:val="24"/>
          <w:rtl/>
        </w:rPr>
        <w:commentReference w:id="190"/>
      </w:r>
      <w:commentRangeEnd w:id="191"/>
      <w:r>
        <w:rPr>
          <w:rStyle w:val="af0"/>
          <w:rFonts w:asciiTheme="majorBidi" w:hAnsiTheme="majorBidi" w:cstheme="majorBidi"/>
          <w:sz w:val="24"/>
          <w:szCs w:val="24"/>
          <w:rtl/>
        </w:rPr>
        <w:commentReference w:id="191"/>
      </w:r>
      <w:r>
        <w:rPr>
          <w:rFonts w:asciiTheme="majorBidi" w:hAnsiTheme="majorBidi" w:cstheme="majorBidi"/>
          <w:sz w:val="24"/>
          <w:szCs w:val="24"/>
          <w:rtl/>
        </w:rPr>
        <w:t>وتُقيم بعض الدراسات المقارنة مسؤولية مطوّر الأداة على نظرية المسؤولية الموضوعية (Strict Liability) باعتباره منتِجاً لأداة قابلة للتعريف بأنها "منتج معيب" حين تُنتج معلومات قانونية غير دقيقة.</w:t>
      </w:r>
    </w:p>
    <w:p w14:paraId="1A201176" w14:textId="77777777" w:rsidR="005705DD" w:rsidRDefault="005705DD" w:rsidP="005705DD">
      <w:pPr>
        <w:bidi/>
        <w:spacing w:after="200" w:line="276" w:lineRule="auto"/>
        <w:rPr>
          <w:rtl/>
        </w:rPr>
      </w:pPr>
      <w:r>
        <w:rPr>
          <w:rFonts w:asciiTheme="majorBidi" w:hAnsiTheme="majorBidi" w:cstheme="majorBidi"/>
          <w:sz w:val="24"/>
          <w:szCs w:val="24"/>
          <w:rtl/>
        </w:rPr>
        <w:t>الطرف الثاني — مزوّد الخدمة (Service Provider): وهو الجهة التي تُتيح الأداة الذكية للمستخدم النهائي ضمن منصة أو تطبيق تجاري. وتقع بين مطوّر الأداة الأصلي والمستخدم النهائي، وقد تتحمل المسؤولية الوسيطة بموجب نظام مكافحة الجرائم المعلوماتية أو أحكام المساءلة الإلكترونية في نظام التعاملات الإلكترونية.</w:t>
      </w:r>
    </w:p>
    <w:p w14:paraId="5B4A97BC" w14:textId="77777777" w:rsidR="005705DD" w:rsidRDefault="005705DD" w:rsidP="005705DD">
      <w:pPr>
        <w:bidi/>
        <w:spacing w:after="200" w:line="276" w:lineRule="auto"/>
        <w:rPr>
          <w:rtl/>
        </w:rPr>
      </w:pPr>
      <w:r>
        <w:rPr>
          <w:rFonts w:asciiTheme="majorBidi" w:hAnsiTheme="majorBidi" w:cstheme="majorBidi"/>
          <w:sz w:val="24"/>
          <w:szCs w:val="24"/>
          <w:rtl/>
        </w:rPr>
        <w:t>الطرف الثالث — مكتب المحاماة المؤسسي: وهو الجهة التي تُقرّر سياسة استخدام الأدوات الذكية وتضع الإجراءات الداخلية أو تُهملها. وتتميز مسؤولية المكتب المؤسسي عن مسؤولية المحامي الفردي بأنها مسؤولية هيكلية تنشأ عن قصور في السياسات والضوابط، لا عن خطأ شخصي في حادثة بعينها. وبمقتضى نظام الشركات المهنية، قد يتعرض المكتب لمسؤولية مدنية مباشرة عن الأضرار الناجمة عن أدواته الذكية غير المُدارة.</w:t>
      </w:r>
    </w:p>
    <w:p w14:paraId="57ABE628" w14:textId="77777777" w:rsidR="005705DD" w:rsidRDefault="005705DD" w:rsidP="005705DD">
      <w:pPr>
        <w:bidi/>
        <w:spacing w:after="200" w:line="276" w:lineRule="auto"/>
        <w:rPr>
          <w:rtl/>
        </w:rPr>
      </w:pPr>
      <w:r>
        <w:rPr>
          <w:rFonts w:asciiTheme="majorBidi" w:hAnsiTheme="majorBidi" w:cstheme="majorBidi"/>
          <w:sz w:val="24"/>
          <w:szCs w:val="24"/>
          <w:rtl/>
        </w:rPr>
        <w:t>الطرف الرابع — المحامي الفردي: وهو صاحب الالتزام المهني الأول والمسؤولية المهنية المباشرة. يقع عليه واجب التحقق من مخرجات الأداة الذكية واختبار دقتها قبل الاستناد إليها، وإفساح المجال لحكمه المهني في التقييم النهائي. وأي تقصير في هذه الواجبات يُرتّب مسؤوليةً تأديبيةً ومدنية. والمبدأ الجوهري هنا: إن توظيف الأداة الذكية لا يُلغي المسؤولية المهنية للمحامي ولا ينقلها إلى الأداة.</w:t>
      </w:r>
    </w:p>
    <w:p w14:paraId="78A964B8" w14:textId="77777777" w:rsidR="005705DD" w:rsidRDefault="005705DD" w:rsidP="005705DD">
      <w:pPr>
        <w:bidi/>
        <w:spacing w:after="200" w:line="276" w:lineRule="auto"/>
        <w:rPr>
          <w:rtl/>
        </w:rPr>
      </w:pPr>
      <w:r>
        <w:rPr>
          <w:rFonts w:asciiTheme="majorBidi" w:hAnsiTheme="majorBidi" w:cstheme="majorBidi"/>
          <w:sz w:val="24"/>
          <w:szCs w:val="24"/>
          <w:rtl/>
        </w:rPr>
        <w:t>الطرف الخامس — الموكل: وإن كان الموكل ضحية محتملة لا مُسهِماً في الضرر في معظم الحالات، إلا أن ثمة حالات يتحمل فيها الموكل جزءاً من المسؤولية: كأن يُدخل بنفسه بيانات مضلِّلة في الأداة، أو أن يرفض توجيهات المحامي بعدم الاعتماد على أداة بعينها ثم يطلب استخدامها مُصرّاً. وفي هذه الحالات يُمكن الاستناد إلى نظرية "مساهمة المضرور في الضرر" المُقنَّنة في أحكام المسؤولية التقصيرية.</w:t>
      </w:r>
    </w:p>
    <w:p w14:paraId="1589DF08" w14:textId="77777777" w:rsidR="005705DD" w:rsidRDefault="005705DD" w:rsidP="005705DD">
      <w:pPr>
        <w:bidi/>
        <w:spacing w:after="200" w:line="276" w:lineRule="auto"/>
        <w:rPr>
          <w:rtl/>
        </w:rPr>
      </w:pPr>
      <w:commentRangeStart w:id="192"/>
      <w:commentRangeStart w:id="193"/>
      <w:r>
        <w:rPr>
          <w:rFonts w:asciiTheme="majorBidi" w:hAnsiTheme="majorBidi" w:cstheme="majorBidi"/>
          <w:sz w:val="24"/>
          <w:szCs w:val="24"/>
          <w:rtl/>
        </w:rPr>
        <w:t xml:space="preserve">ويُقدّم الباحث في هذا الإطار نموذجاً مُقترَحاً لتوزيع المسؤولية الموزَّعة (Distributed Liability Model) </w:t>
      </w:r>
      <w:commentRangeEnd w:id="192"/>
      <w:r>
        <w:rPr>
          <w:rStyle w:val="af0"/>
          <w:rFonts w:asciiTheme="majorBidi" w:hAnsiTheme="majorBidi" w:cstheme="majorBidi"/>
          <w:sz w:val="24"/>
          <w:szCs w:val="24"/>
          <w:rtl/>
        </w:rPr>
        <w:commentReference w:id="192"/>
      </w:r>
      <w:commentRangeEnd w:id="193"/>
      <w:r>
        <w:rPr>
          <w:rStyle w:val="af0"/>
          <w:rFonts w:asciiTheme="majorBidi" w:hAnsiTheme="majorBidi" w:cstheme="majorBidi"/>
          <w:sz w:val="24"/>
          <w:szCs w:val="24"/>
          <w:rtl/>
        </w:rPr>
        <w:commentReference w:id="193"/>
      </w:r>
      <w:r>
        <w:rPr>
          <w:rFonts w:asciiTheme="majorBidi" w:hAnsiTheme="majorBidi" w:cstheme="majorBidi"/>
          <w:sz w:val="24"/>
          <w:szCs w:val="24"/>
          <w:rtl/>
        </w:rPr>
        <w:t>يأخذ بالاعتبار طبيعة المساهمة والقدرة على منع الضرر: إذ يُرى أن مسؤولية مطوّر الأداة تكون عالية حين يتعلق الأمر بعيوب هيكلية في النموذج يعلم بها ويُخفيها عن المستخدمين. وأن مسؤولية المكتب المؤسسي تتعاظم كلما وسّع الاستخدام وقلّل الرقابة. وأن مسؤولية المحامي الفردي تكون الأساس في كل الأحوال لأنه الحلقة المهنية المباشرة. وأن مسؤولية مزوّد الخدمة تُحدَّد بمدى شفافيته في الإفصاح عن قيود الأداة وحدودها.</w:t>
      </w:r>
    </w:p>
    <w:p w14:paraId="653DF6DE" w14:textId="77777777" w:rsidR="005705DD" w:rsidRDefault="005705DD" w:rsidP="005705DD"/>
    <w:p w14:paraId="15348EFF" w14:textId="77777777" w:rsidR="005705DD" w:rsidRDefault="005705DD" w:rsidP="005705DD">
      <w:pPr>
        <w:bidi/>
        <w:spacing w:before="240" w:after="200" w:line="276" w:lineRule="auto"/>
        <w:jc w:val="center"/>
        <w:rPr>
          <w:rtl/>
        </w:rPr>
      </w:pPr>
      <w:r>
        <w:rPr>
          <w:rFonts w:asciiTheme="majorBidi" w:hAnsiTheme="majorBidi" w:cstheme="majorBidi"/>
          <w:b/>
          <w:bCs/>
          <w:sz w:val="28"/>
          <w:szCs w:val="28"/>
          <w:rtl/>
        </w:rPr>
        <w:t>المبحث الثالث</w:t>
      </w:r>
    </w:p>
    <w:p w14:paraId="1C5E9924" w14:textId="77777777" w:rsidR="005705DD" w:rsidRDefault="005705DD" w:rsidP="005705DD">
      <w:pPr>
        <w:bidi/>
        <w:spacing w:before="240" w:after="200" w:line="276" w:lineRule="auto"/>
        <w:jc w:val="center"/>
        <w:rPr>
          <w:rtl/>
        </w:rPr>
      </w:pPr>
      <w:r>
        <w:rPr>
          <w:rFonts w:asciiTheme="majorBidi" w:hAnsiTheme="majorBidi" w:cstheme="majorBidi"/>
          <w:b/>
          <w:bCs/>
          <w:sz w:val="24"/>
          <w:szCs w:val="24"/>
          <w:rtl/>
        </w:rPr>
        <w:t>التحديات المستقبلية وآفاق تطوير المنظومة القانونية الرقمية</w:t>
      </w:r>
    </w:p>
    <w:p w14:paraId="7425BF02" w14:textId="77777777" w:rsidR="005705DD" w:rsidRDefault="005705DD" w:rsidP="005705DD">
      <w:pPr>
        <w:bidi/>
        <w:spacing w:before="240" w:after="200" w:line="276" w:lineRule="auto"/>
        <w:rPr>
          <w:rtl/>
        </w:rPr>
      </w:pPr>
      <w:r>
        <w:rPr>
          <w:rFonts w:asciiTheme="majorBidi" w:hAnsiTheme="majorBidi" w:cstheme="majorBidi"/>
          <w:sz w:val="24"/>
          <w:szCs w:val="24"/>
          <w:rtl/>
        </w:rPr>
        <w:t>يتناول هذا المبحث الأبعاد المستقبلية لتوظيف الذكاء الاصطناعي في مكاتب المحاماة السعودية، مُستعرِضاً في مطلبه الأول التحديات الأخلاقية والاجتماعية والدينية الخاصة بالسياق السعودي، وفي مطلبه الثاني التطورات التقنية المقبلة ومتطلبات التأهيل المهني وسوق التقنيات القانونية، وفي مطلبه الثالث قراءةً نقديةً استشرافيةً شاملة تُقيّم مدى كفاية المنظومة النظامية الراهنة وتفتح الطريق نحو إطار تنظيمي متكامل.</w:t>
      </w:r>
    </w:p>
    <w:p w14:paraId="671DB41F" w14:textId="77777777" w:rsidR="005705DD" w:rsidRDefault="005705DD" w:rsidP="005705DD">
      <w:pPr>
        <w:bidi/>
        <w:spacing w:before="240" w:after="200" w:line="276" w:lineRule="auto"/>
        <w:rPr>
          <w:rtl/>
        </w:rPr>
      </w:pPr>
    </w:p>
    <w:p w14:paraId="799407F6" w14:textId="77777777" w:rsidR="005705DD" w:rsidRDefault="005705DD" w:rsidP="005705DD">
      <w:pPr>
        <w:bidi/>
        <w:spacing w:before="240" w:after="200" w:line="276" w:lineRule="auto"/>
        <w:jc w:val="center"/>
        <w:rPr>
          <w:rtl/>
        </w:rPr>
      </w:pPr>
      <w:r>
        <w:rPr>
          <w:rFonts w:asciiTheme="majorBidi" w:hAnsiTheme="majorBidi" w:cstheme="majorBidi"/>
          <w:b/>
          <w:bCs/>
          <w:sz w:val="28"/>
          <w:szCs w:val="28"/>
          <w:rtl/>
        </w:rPr>
        <w:t>المطلب الأول</w:t>
      </w:r>
    </w:p>
    <w:p w14:paraId="3F026E7D" w14:textId="77777777" w:rsidR="005705DD" w:rsidRDefault="005705DD" w:rsidP="005705DD">
      <w:pPr>
        <w:bidi/>
        <w:spacing w:before="240" w:after="200" w:line="276" w:lineRule="auto"/>
        <w:jc w:val="center"/>
        <w:rPr>
          <w:rtl/>
        </w:rPr>
      </w:pPr>
      <w:commentRangeStart w:id="194"/>
      <w:commentRangeStart w:id="195"/>
      <w:r>
        <w:rPr>
          <w:rFonts w:asciiTheme="majorBidi" w:hAnsiTheme="majorBidi" w:cstheme="majorBidi"/>
          <w:b/>
          <w:bCs/>
          <w:sz w:val="24"/>
          <w:szCs w:val="24"/>
          <w:rtl/>
        </w:rPr>
        <w:t>التحديات الأخلاقية والاجتماعية والدينية في ضوء السياق السعودي</w:t>
      </w:r>
    </w:p>
    <w:p w14:paraId="5B5590A5" w14:textId="77777777" w:rsidR="005705DD" w:rsidRPr="00A84F46" w:rsidRDefault="005705DD" w:rsidP="005705DD">
      <w:pPr>
        <w:bidi/>
        <w:spacing w:after="200" w:line="276" w:lineRule="auto"/>
        <w:rPr>
          <w:bCs/>
          <w:color w:val="000000" w:themeColor="text1"/>
          <w:rtl/>
        </w:rPr>
      </w:pPr>
      <w:r>
        <w:rPr>
          <w:rFonts w:asciiTheme="majorBidi" w:hAnsiTheme="majorBidi" w:cstheme="majorBidi"/>
          <w:bCs/>
          <w:color w:val="000000" w:themeColor="text1"/>
          <w:sz w:val="28"/>
          <w:szCs w:val="28"/>
          <w:rtl/>
        </w:rPr>
        <w:lastRenderedPageBreak/>
        <w:t>أولاً: التحديات الأخلاقية الخاصة بالمجتمع السعودي في توظيف الذكاء الاصطناعي القانوني</w:t>
      </w:r>
      <w:commentRangeEnd w:id="194"/>
      <w:r w:rsidRPr="00A84F46">
        <w:rPr>
          <w:rStyle w:val="af0"/>
          <w:bCs/>
          <w:color w:val="000000" w:themeColor="text1"/>
          <w:sz w:val="22"/>
          <w:szCs w:val="22"/>
          <w:rtl/>
        </w:rPr>
        <w:commentReference w:id="194"/>
      </w:r>
      <w:commentRangeEnd w:id="195"/>
      <w:r w:rsidRPr="00A84F46">
        <w:rPr>
          <w:rStyle w:val="af0"/>
          <w:bCs/>
          <w:color w:val="000000" w:themeColor="text1"/>
          <w:sz w:val="22"/>
          <w:szCs w:val="22"/>
          <w:rtl/>
        </w:rPr>
        <w:commentReference w:id="195"/>
      </w:r>
    </w:p>
    <w:p w14:paraId="7C9ADE9B" w14:textId="77777777" w:rsidR="005705DD" w:rsidRDefault="005705DD" w:rsidP="005705DD">
      <w:pPr>
        <w:bidi/>
        <w:spacing w:after="200" w:line="276" w:lineRule="auto"/>
        <w:rPr>
          <w:rtl/>
        </w:rPr>
      </w:pPr>
      <w:r>
        <w:rPr>
          <w:rFonts w:asciiTheme="majorBidi" w:hAnsiTheme="majorBidi" w:cstheme="majorBidi"/>
          <w:sz w:val="24"/>
          <w:szCs w:val="24"/>
          <w:rtl/>
        </w:rPr>
        <w:t>يُولّد توظيف الذكاء الاصطناعي في القطاع القانوني السعودي تحديات أخلاقية تتجاوز ما هو مطروح في الأدبيات القانونية الغربية، وذلك بسبب خصوصيات المجتمع السعودي من حيث المرجعية الدينية والثقافية والاجتماعية. ويُستعرض الباحث أبرز هذه التحديات:</w:t>
      </w:r>
    </w:p>
    <w:p w14:paraId="5C5AEA40" w14:textId="77777777" w:rsidR="005705DD" w:rsidRDefault="005705DD" w:rsidP="005705DD">
      <w:pPr>
        <w:bidi/>
        <w:spacing w:after="200" w:line="276" w:lineRule="auto"/>
        <w:rPr>
          <w:rtl/>
        </w:rPr>
      </w:pPr>
      <w:r>
        <w:rPr>
          <w:rFonts w:asciiTheme="majorBidi" w:hAnsiTheme="majorBidi" w:cstheme="majorBidi"/>
          <w:sz w:val="24"/>
          <w:szCs w:val="24"/>
          <w:rtl/>
        </w:rPr>
        <w:t>التحدي الأول — التحيز ضد القيم الإسلامية والثقافية: دُرِّبت معظم نماذج الذكاء الاصطناعي الكبرى على بيانات تعكس بصورة رئيسية القيم الثقافية والقانونية الغربية العلمانية. وحين تُعالج هذه النماذج قضايا تتصل بالأحوال الشخصية (الزواج والطلاق والميراث والنفقة) أو بالمعاملات المالية الإسلامية (المرابحة والإجارة والصكوك) أو بأحكام الجنايات المستنبطة من الفقه الإسلامي، فقد تُنتج مخرجاتٍ تعكس توجهاً ثقافياً يتعارض مع القيم الإسلامية، مما يجعل توظيفها في هذه المجالات الحساسة بالغ الإشكالية.</w:t>
      </w:r>
    </w:p>
    <w:p w14:paraId="26D98287" w14:textId="77777777" w:rsidR="005705DD" w:rsidRDefault="005705DD" w:rsidP="005705DD">
      <w:pPr>
        <w:bidi/>
        <w:spacing w:after="200" w:line="276" w:lineRule="auto"/>
        <w:rPr>
          <w:rtl/>
        </w:rPr>
      </w:pPr>
      <w:commentRangeStart w:id="196"/>
      <w:commentRangeStart w:id="197"/>
      <w:r>
        <w:rPr>
          <w:rFonts w:asciiTheme="majorBidi" w:hAnsiTheme="majorBidi" w:cstheme="majorBidi"/>
          <w:sz w:val="24"/>
          <w:szCs w:val="24"/>
          <w:rtl/>
        </w:rPr>
        <w:t>وتميل هذه النماذج في الغالب إلى</w:t>
      </w:r>
      <w:commentRangeEnd w:id="196"/>
      <w:r>
        <w:rPr>
          <w:rStyle w:val="af0"/>
          <w:rFonts w:asciiTheme="majorBidi" w:hAnsiTheme="majorBidi" w:cstheme="majorBidi"/>
          <w:sz w:val="24"/>
          <w:szCs w:val="24"/>
          <w:rtl/>
        </w:rPr>
        <w:commentReference w:id="196"/>
      </w:r>
      <w:commentRangeEnd w:id="197"/>
      <w:r>
        <w:rPr>
          <w:rStyle w:val="af0"/>
          <w:rFonts w:asciiTheme="majorBidi" w:hAnsiTheme="majorBidi" w:cstheme="majorBidi"/>
          <w:sz w:val="24"/>
          <w:szCs w:val="24"/>
          <w:rtl/>
        </w:rPr>
        <w:commentReference w:id="197"/>
      </w:r>
      <w:commentRangeStart w:id="198"/>
      <w:commentRangeStart w:id="199"/>
      <w:r>
        <w:rPr>
          <w:rFonts w:asciiTheme="majorBidi" w:hAnsiTheme="majorBidi" w:cstheme="majorBidi"/>
          <w:sz w:val="24"/>
          <w:szCs w:val="24"/>
          <w:rtl/>
        </w:rPr>
        <w:t xml:space="preserve"> "النهج الافتراضي" </w:t>
      </w:r>
      <w:commentRangeEnd w:id="198"/>
      <w:r>
        <w:rPr>
          <w:rStyle w:val="af0"/>
          <w:rFonts w:asciiTheme="majorBidi" w:hAnsiTheme="majorBidi" w:cstheme="majorBidi"/>
          <w:sz w:val="24"/>
          <w:szCs w:val="24"/>
          <w:rtl/>
        </w:rPr>
        <w:commentReference w:id="198"/>
      </w:r>
      <w:commentRangeEnd w:id="199"/>
      <w:r>
        <w:rPr>
          <w:rStyle w:val="af0"/>
          <w:rFonts w:asciiTheme="majorBidi" w:hAnsiTheme="majorBidi" w:cstheme="majorBidi"/>
          <w:sz w:val="24"/>
          <w:szCs w:val="24"/>
          <w:rtl/>
        </w:rPr>
        <w:commentReference w:id="199"/>
      </w:r>
      <w:r>
        <w:rPr>
          <w:rFonts w:asciiTheme="majorBidi" w:hAnsiTheme="majorBidi" w:cstheme="majorBidi"/>
          <w:sz w:val="24"/>
          <w:szCs w:val="24"/>
          <w:rtl/>
        </w:rPr>
        <w:t xml:space="preserve">(Default Approach) المستمد من بيئات تدريبها، فيُسقط على مسائل الميراث والوصاية مفاهيم لا تعرفها المنظومة الشرعية، ويتفاقم هذا التحيز كلما تضمّنت المهمة حكماً قيمياً لا معلومةً إجرائية محايدة </w:t>
      </w:r>
      <w:r>
        <w:rPr>
          <w:rFonts w:asciiTheme="majorBidi" w:hAnsiTheme="majorBidi" w:cstheme="majorBidi"/>
          <w:sz w:val="24"/>
          <w:szCs w:val="24"/>
          <w:vertAlign w:val="superscript"/>
          <w:rtl/>
        </w:rPr>
        <w:footnoteReference w:id="319"/>
      </w:r>
      <w:r>
        <w:rPr>
          <w:rFonts w:asciiTheme="majorBidi" w:hAnsiTheme="majorBidi" w:cstheme="majorBidi"/>
          <w:sz w:val="24"/>
          <w:szCs w:val="24"/>
          <w:rtl/>
        </w:rPr>
        <w:t>.</w:t>
      </w:r>
    </w:p>
    <w:p w14:paraId="01713064" w14:textId="77777777" w:rsidR="005705DD" w:rsidRDefault="005705DD" w:rsidP="005705DD">
      <w:pPr>
        <w:bidi/>
        <w:spacing w:after="200" w:line="276" w:lineRule="auto"/>
        <w:rPr>
          <w:rtl/>
        </w:rPr>
      </w:pPr>
      <w:r>
        <w:rPr>
          <w:rFonts w:asciiTheme="majorBidi" w:hAnsiTheme="majorBidi" w:cstheme="majorBidi"/>
          <w:sz w:val="24"/>
          <w:szCs w:val="24"/>
          <w:rtl/>
        </w:rPr>
        <w:t>التحدي الثاني — الخصوصية الاجتماعية وحساسية الملفات: يتسم المجتمع السعودي بحساسية اجتماعية عالية تجاه كشف الأسرار الأسرية والمالية حتى في نطاق محدود. ومن هذا المنطلق، يجد المحامي نفسه أمام حساسية موضوعية في إدخال وقائع قضايا الطلاق أو النزاعات الأسرية أو المشكلات المالية في أداة ذكاء اصطناعي تُعالج هذه البيانات على خوادم أجنبية، ليس فقط بسبب النص النظامي بل بسبب الاعتبارات الأخلاقية التي تُوجب أعلى درجات الحفاظ على الخصوصية.</w:t>
      </w:r>
    </w:p>
    <w:p w14:paraId="6E5A1A68" w14:textId="77777777" w:rsidR="005705DD" w:rsidRDefault="005705DD" w:rsidP="005705DD">
      <w:pPr>
        <w:bidi/>
        <w:spacing w:after="200" w:line="276" w:lineRule="auto"/>
        <w:rPr>
          <w:rtl/>
        </w:rPr>
      </w:pPr>
      <w:commentRangeStart w:id="200"/>
      <w:commentRangeStart w:id="201"/>
      <w:r>
        <w:rPr>
          <w:rFonts w:asciiTheme="majorBidi" w:hAnsiTheme="majorBidi" w:cstheme="majorBidi"/>
          <w:sz w:val="24"/>
          <w:szCs w:val="24"/>
          <w:rtl/>
        </w:rPr>
        <w:t xml:space="preserve">التحدي الثالث — المسؤولية الأخلاقية في الأخطاء ذات الأثر الديني: حين تتضمن القضية حكماً دينياً (كتحديد النسب أو أحكام الوصاية أو حق الطلاق) وتُنتج أداةٌ ذكيةٌ خطأً في التكييف الفقهي الذي يستند إليه المحامي، فإن الأثر الضار يمتد ليطال مآلات دينية وأسرية واجتماعية تفوق بكثير ما قد يحدث في قضية تجارية مماثلة. وهذا يجعل معيار الحيطة الواجبة في توظيف الذكاء الاصطناعي في هذا النوع من القضايا أعلى بكثير مما هو </w:t>
      </w:r>
      <w:commentRangeEnd w:id="200"/>
      <w:r>
        <w:rPr>
          <w:rStyle w:val="af0"/>
          <w:rFonts w:asciiTheme="majorBidi" w:hAnsiTheme="majorBidi" w:cstheme="majorBidi"/>
          <w:sz w:val="24"/>
          <w:szCs w:val="24"/>
          <w:rtl/>
        </w:rPr>
        <w:commentReference w:id="200"/>
      </w:r>
      <w:commentRangeEnd w:id="201"/>
      <w:r>
        <w:rPr>
          <w:rStyle w:val="af0"/>
          <w:rFonts w:asciiTheme="majorBidi" w:hAnsiTheme="majorBidi" w:cstheme="majorBidi"/>
          <w:sz w:val="24"/>
          <w:szCs w:val="24"/>
          <w:rtl/>
        </w:rPr>
        <w:commentReference w:id="201"/>
      </w:r>
      <w:r>
        <w:rPr>
          <w:rFonts w:asciiTheme="majorBidi" w:hAnsiTheme="majorBidi" w:cstheme="majorBidi"/>
          <w:sz w:val="24"/>
          <w:szCs w:val="24"/>
          <w:rtl/>
        </w:rPr>
        <w:t>مطلوب في القضايا التجارية المحضة.</w:t>
      </w:r>
    </w:p>
    <w:p w14:paraId="11B3FCD3"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هذه التحديات الأخلاقية الخاصة بالسياق السعودي تُلزم أي إطار تنظيمي مُقترَح بمراعاة ثلاثة مستويات متمايزة: مستوى الاشتراطات التقنية (جودة النموذج ودقته وخلوّه من التحيز)، ومستوى الاشتراطات المهنية (حدود الاستخدام المقبول أخلاقياً)، ومستوى الاشتراطات الثقافية والدينية (عدم توظيف نماذج ذات تحيز ثقافي صريح في الملفات ذات الطابع الفقهي الإسلامي).</w:t>
      </w:r>
    </w:p>
    <w:p w14:paraId="40F6DF07" w14:textId="77777777" w:rsidR="005705DD" w:rsidRDefault="005705DD" w:rsidP="005705DD"/>
    <w:p w14:paraId="59D6E81B" w14:textId="77777777" w:rsidR="005705DD" w:rsidRPr="00A84F46" w:rsidRDefault="005705DD" w:rsidP="005705DD">
      <w:pPr>
        <w:bidi/>
        <w:spacing w:after="200" w:line="276" w:lineRule="auto"/>
        <w:rPr>
          <w:bCs/>
          <w:color w:val="000000" w:themeColor="text1"/>
          <w:rtl/>
        </w:rPr>
      </w:pPr>
      <w:commentRangeStart w:id="202"/>
      <w:commentRangeStart w:id="203"/>
      <w:commentRangeStart w:id="204"/>
      <w:commentRangeStart w:id="205"/>
      <w:r>
        <w:rPr>
          <w:rFonts w:asciiTheme="majorBidi" w:hAnsiTheme="majorBidi" w:cstheme="majorBidi"/>
          <w:bCs/>
          <w:color w:val="000000" w:themeColor="text1"/>
          <w:sz w:val="28"/>
          <w:szCs w:val="28"/>
          <w:rtl/>
        </w:rPr>
        <w:t>ثانياً: ضوابط توظيف الذكاء الاصطناعي في المجال القانوني في ضوء الفقه الإسلامي</w:t>
      </w:r>
      <w:commentRangeEnd w:id="202"/>
      <w:r w:rsidRPr="00A84F46">
        <w:rPr>
          <w:rStyle w:val="af0"/>
          <w:bCs/>
          <w:color w:val="000000" w:themeColor="text1"/>
          <w:sz w:val="22"/>
          <w:szCs w:val="22"/>
          <w:rtl/>
        </w:rPr>
        <w:commentReference w:id="202"/>
      </w:r>
      <w:commentRangeEnd w:id="203"/>
      <w:r w:rsidRPr="00A84F46">
        <w:rPr>
          <w:rStyle w:val="af0"/>
          <w:bCs/>
          <w:color w:val="000000" w:themeColor="text1"/>
          <w:sz w:val="22"/>
          <w:szCs w:val="22"/>
          <w:rtl/>
        </w:rPr>
        <w:commentReference w:id="203"/>
      </w:r>
      <w:commentRangeEnd w:id="204"/>
      <w:r w:rsidRPr="00A84F46">
        <w:rPr>
          <w:rStyle w:val="af0"/>
          <w:bCs/>
          <w:color w:val="000000" w:themeColor="text1"/>
          <w:sz w:val="22"/>
          <w:szCs w:val="22"/>
          <w:rtl/>
        </w:rPr>
        <w:commentReference w:id="204"/>
      </w:r>
      <w:commentRangeEnd w:id="205"/>
      <w:r w:rsidRPr="00A84F46">
        <w:rPr>
          <w:rStyle w:val="af0"/>
          <w:bCs/>
          <w:color w:val="000000" w:themeColor="text1"/>
          <w:sz w:val="22"/>
          <w:szCs w:val="22"/>
          <w:rtl/>
        </w:rPr>
        <w:commentReference w:id="205"/>
      </w:r>
    </w:p>
    <w:p w14:paraId="24934879" w14:textId="77777777" w:rsidR="005705DD" w:rsidRDefault="005705DD" w:rsidP="005705DD">
      <w:pPr>
        <w:bidi/>
        <w:spacing w:after="200" w:line="276" w:lineRule="auto"/>
        <w:rPr>
          <w:rtl/>
        </w:rPr>
      </w:pPr>
      <w:r>
        <w:rPr>
          <w:rFonts w:asciiTheme="majorBidi" w:hAnsiTheme="majorBidi" w:cstheme="majorBidi"/>
          <w:sz w:val="24"/>
          <w:szCs w:val="24"/>
          <w:rtl/>
        </w:rPr>
        <w:t>لما كانت المنظومة القانونية السعودية تنهل من الشريعة الإسلامية وتستمد مرجعيتها الفقهية منها، فلا بد من استحضار الموقف الفقهي من توظيف الذكاء الاصطناعي في المهنة القانونية ليُكمل التحليل النظامي ويُعمّق أسسه. وهذا الاستحضار ليس ترفاً بحثياً بل ضرورة منهجية في دراسة تتعلق بالنظام السعودي.</w:t>
      </w:r>
    </w:p>
    <w:p w14:paraId="41501CAE" w14:textId="77777777" w:rsidR="005705DD" w:rsidRDefault="005705DD" w:rsidP="005705DD">
      <w:pPr>
        <w:bidi/>
        <w:spacing w:after="200" w:line="276" w:lineRule="auto"/>
        <w:rPr>
          <w:rtl/>
        </w:rPr>
      </w:pPr>
      <w:r>
        <w:rPr>
          <w:rFonts w:asciiTheme="majorBidi" w:hAnsiTheme="majorBidi" w:cstheme="majorBidi"/>
          <w:sz w:val="28"/>
          <w:szCs w:val="28"/>
          <w:rtl/>
        </w:rPr>
        <w:t>ويؤصّل الفقه الإسلامي للتعامل مع الأدوات التقنية من خلال عدة مبادئ فقهية:</w:t>
      </w:r>
    </w:p>
    <w:p w14:paraId="39690711" w14:textId="77777777" w:rsidR="005705DD" w:rsidRDefault="005705DD" w:rsidP="005705DD">
      <w:pPr>
        <w:bidi/>
        <w:spacing w:after="200" w:line="276" w:lineRule="auto"/>
        <w:rPr>
          <w:rtl/>
        </w:rPr>
      </w:pPr>
      <w:r>
        <w:rPr>
          <w:rFonts w:asciiTheme="majorBidi" w:hAnsiTheme="majorBidi" w:cstheme="majorBidi"/>
          <w:sz w:val="24"/>
          <w:szCs w:val="24"/>
          <w:rtl/>
        </w:rPr>
        <w:t xml:space="preserve">المبدأ الأول — مبدأ الإباحة الأصلية: القاعدة الفقهية المستقرة أن الأصل في الأشياء والوسائل الإباحة ما لم يدل دليل على التحريم. وبتطبيق هذه القاعدة على توظيف الذكاء الاصطناعي في المهنة القانونية، يكون الأصل هو </w:t>
      </w:r>
      <w:r>
        <w:rPr>
          <w:rFonts w:asciiTheme="majorBidi" w:hAnsiTheme="majorBidi" w:cstheme="majorBidi"/>
          <w:sz w:val="24"/>
          <w:szCs w:val="24"/>
          <w:rtl/>
        </w:rPr>
        <w:lastRenderedPageBreak/>
        <w:t>جوازه، وتنصبّ الدراسة الفقهية على استجلاء الضوابط والقيود التي تُخرجه عن هذا الأصل لا على إثبات إباحته ابتداءً.</w:t>
      </w:r>
    </w:p>
    <w:p w14:paraId="0D40F870" w14:textId="77777777" w:rsidR="005705DD" w:rsidRDefault="005705DD" w:rsidP="005705DD">
      <w:pPr>
        <w:bidi/>
        <w:spacing w:after="200" w:line="276" w:lineRule="auto"/>
        <w:rPr>
          <w:rtl/>
        </w:rPr>
      </w:pPr>
      <w:r>
        <w:rPr>
          <w:rFonts w:asciiTheme="majorBidi" w:hAnsiTheme="majorBidi" w:cstheme="majorBidi"/>
          <w:sz w:val="24"/>
          <w:szCs w:val="24"/>
          <w:rtl/>
        </w:rPr>
        <w:t>المبدأ الثاني — قاعدة درء المفسدة: "درء المفاسد مقدّم على جلب المصالح". وبتطبيق هذه القاعدة، فإن المصالح المُحقَّقة من توظيف الذكاء الاصطناعي في رفع الكفاءة وخفض التكلفة ينبغي أن تُوازَن بالمفاسد المحتملة من تهديد السرية وخطأ المعلومات والتحيز. وإذا كانت المفاسد أعظم — أو كان خطر وقوعها مرتفعاً — فإن القاعدة تقتضي وضع الضوابط الكافية لدرئها قبل السماح بالاستخدام.</w:t>
      </w:r>
    </w:p>
    <w:p w14:paraId="10878B53" w14:textId="77777777" w:rsidR="005705DD" w:rsidRDefault="005705DD" w:rsidP="005705DD">
      <w:pPr>
        <w:bidi/>
        <w:spacing w:after="200" w:line="276" w:lineRule="auto"/>
        <w:rPr>
          <w:rtl/>
        </w:rPr>
      </w:pPr>
      <w:r>
        <w:rPr>
          <w:rFonts w:asciiTheme="majorBidi" w:hAnsiTheme="majorBidi" w:cstheme="majorBidi"/>
          <w:sz w:val="24"/>
          <w:szCs w:val="24"/>
          <w:rtl/>
        </w:rPr>
        <w:t>المبدأ الثالث — قاعدة لا ضرر ولا ضرار: وهي من أصول الفقه الإسلامي في المعاملات، وتقتضي عدم استخدام الأداة الذكية بصورة تُلحق ضرراً بالموكل أو الخصم أو بسير العدالة. وبمقتضى هذه القاعدة لا يحل للمحامي استخدام أداة ذكية يعلم — أو يتعين عليه أن يعلم — أنها تُنتج معلومات غير موثوقة بصورة تُضر بمصلحة موكله.</w:t>
      </w:r>
    </w:p>
    <w:p w14:paraId="3AF8B031" w14:textId="77777777" w:rsidR="005705DD" w:rsidRDefault="005705DD" w:rsidP="005705DD">
      <w:pPr>
        <w:bidi/>
        <w:spacing w:after="200" w:line="276" w:lineRule="auto"/>
        <w:rPr>
          <w:rtl/>
        </w:rPr>
      </w:pPr>
      <w:r>
        <w:rPr>
          <w:rFonts w:asciiTheme="majorBidi" w:hAnsiTheme="majorBidi" w:cstheme="majorBidi"/>
          <w:sz w:val="24"/>
          <w:szCs w:val="24"/>
          <w:rtl/>
        </w:rPr>
        <w:t>المبدأ الرابع — اشتراط الأمانة والكفاءة: يُقرّر الفقه الإسلامي في باب الوكالة أن الوكيل يلتزم بالقيام بما وُكّل فيه على وجه الإتقان والكفاءة المعتادة. وفي السياق المهني الراهن، يعني ذلك أن المحامي الذي يُوكَّل إليه تمثيل موكله ملزَمٌ بأن يُوظّف كل الأدوات المتاحة — بما فيها التقنية — على نحو يُحقق الحماية الكاملة لمصالح موكله، مع الامتناع عن كل استخدام يُخل بهذه الحماية أو يُهدّد سريتها.</w:t>
      </w:r>
    </w:p>
    <w:p w14:paraId="718C14C0" w14:textId="77777777" w:rsidR="005705DD" w:rsidRDefault="005705DD" w:rsidP="005705DD">
      <w:pPr>
        <w:bidi/>
        <w:spacing w:after="200" w:line="276" w:lineRule="auto"/>
        <w:rPr>
          <w:rtl/>
        </w:rPr>
      </w:pPr>
      <w:r>
        <w:rPr>
          <w:rFonts w:asciiTheme="majorBidi" w:hAnsiTheme="majorBidi" w:cstheme="majorBidi"/>
          <w:sz w:val="24"/>
          <w:szCs w:val="24"/>
          <w:rtl/>
        </w:rPr>
        <w:t>المبدأ الخامس — واجب الإفصاح (البيان): يُقرّر الفقه الإسلامي في عقود المعاملات وجوب الإفصاح عن المعلومات الجوهرية التي تؤثر في قرار الطرف الآخر. ومن هذا المنطلق، فإن إخفاء المحامي عن موكله حقيقةَ اعتماده على الذكاء الاصطناعي في معالجة ملفه — لو كان الموكل سيرفض ذلك لو علم — يُشكّل خيانةً في أمانة الوكالة لا يُقبّلها الفقه الإسلامي.</w:t>
      </w:r>
    </w:p>
    <w:p w14:paraId="2604F87F" w14:textId="77777777" w:rsidR="005705DD" w:rsidRDefault="005705DD" w:rsidP="005705DD">
      <w:pPr>
        <w:bidi/>
        <w:spacing w:after="200" w:line="276" w:lineRule="auto"/>
        <w:rPr>
          <w:rtl/>
        </w:rPr>
      </w:pPr>
      <w:r>
        <w:rPr>
          <w:rFonts w:asciiTheme="majorBidi" w:hAnsiTheme="majorBidi" w:cstheme="majorBidi"/>
          <w:sz w:val="24"/>
          <w:szCs w:val="24"/>
          <w:rtl/>
        </w:rPr>
        <w:t>ويُلفت الباحث إلى أن التأصيل الفقهي لمسألة الذكاء الاصطناعي في المهنة القانونية لا يزال في مرحلته الاجتهادية الأولى في الساحة العلمية الإسلامية، ولم تصدر بعد فتاوى جامعة مُقنَّنة في هذا الشأن من المجامع الفقهية الكبرى. وعليه فإن تأصيل أحكامه يستلزم من المشرّع التشاور مع أهل العلم الشرعي المتخصصين جنباً إلى جنب مع خبراء القانون والتقنية.</w:t>
      </w:r>
    </w:p>
    <w:p w14:paraId="27BDE599" w14:textId="77777777" w:rsidR="005705DD" w:rsidRDefault="005705DD" w:rsidP="005705DD"/>
    <w:p w14:paraId="3B1DE0AB" w14:textId="77777777" w:rsidR="005705DD" w:rsidRPr="00A84F46" w:rsidRDefault="005705DD" w:rsidP="005705DD">
      <w:pPr>
        <w:bidi/>
        <w:spacing w:after="200" w:line="276" w:lineRule="auto"/>
        <w:rPr>
          <w:bCs/>
          <w:color w:val="000000" w:themeColor="text1"/>
          <w:rtl/>
        </w:rPr>
      </w:pPr>
      <w:commentRangeStart w:id="206"/>
      <w:commentRangeStart w:id="207"/>
      <w:r>
        <w:rPr>
          <w:rFonts w:asciiTheme="majorBidi" w:hAnsiTheme="majorBidi" w:cstheme="majorBidi"/>
          <w:bCs/>
          <w:color w:val="000000" w:themeColor="text1"/>
          <w:sz w:val="28"/>
          <w:szCs w:val="28"/>
          <w:rtl/>
        </w:rPr>
        <w:t>ثالثاً: الذكاء الاصطناعي والوصول إلى العدالة</w:t>
      </w:r>
      <w:commentRangeEnd w:id="206"/>
      <w:r w:rsidRPr="00A84F46">
        <w:rPr>
          <w:rStyle w:val="af0"/>
          <w:bCs/>
          <w:color w:val="000000" w:themeColor="text1"/>
          <w:sz w:val="22"/>
          <w:szCs w:val="22"/>
          <w:rtl/>
        </w:rPr>
        <w:commentReference w:id="206"/>
      </w:r>
      <w:commentRangeEnd w:id="207"/>
      <w:r w:rsidRPr="00A84F46">
        <w:rPr>
          <w:rStyle w:val="af0"/>
          <w:bCs/>
          <w:color w:val="000000" w:themeColor="text1"/>
          <w:sz w:val="22"/>
          <w:szCs w:val="22"/>
          <w:rtl/>
        </w:rPr>
        <w:commentReference w:id="207"/>
      </w:r>
    </w:p>
    <w:p w14:paraId="0440E1E8" w14:textId="77777777" w:rsidR="005705DD" w:rsidRDefault="005705DD" w:rsidP="005705DD">
      <w:pPr>
        <w:bidi/>
        <w:spacing w:after="200" w:line="276" w:lineRule="auto"/>
        <w:rPr>
          <w:rtl/>
        </w:rPr>
      </w:pPr>
      <w:r>
        <w:rPr>
          <w:rFonts w:asciiTheme="majorBidi" w:hAnsiTheme="majorBidi" w:cstheme="majorBidi"/>
          <w:sz w:val="24"/>
          <w:szCs w:val="24"/>
          <w:rtl/>
        </w:rPr>
        <w:t>يُمثّل الوصول إلى العدالة (Access to Justice) أحد أكثر التحديات إلحاحاً في الأنظمة القانونية المعاصرة. ويُثير ذلك تساؤلاً جوهرياً في سياق الدراسة: هل يُمكن لتقنيات الذكاء الاصطناعي أن تُسهم في تضييق فجوة الوصول إلى العدالة في المجتمع السعودي، وكيف يمكن تنظيم هذه الإسهامة بصورة قانونية سليمة؟</w:t>
      </w:r>
    </w:p>
    <w:p w14:paraId="48273655" w14:textId="77777777" w:rsidR="005705DD" w:rsidRDefault="005705DD" w:rsidP="005705DD">
      <w:pPr>
        <w:bidi/>
        <w:spacing w:after="200" w:line="276" w:lineRule="auto"/>
        <w:rPr>
          <w:rtl/>
        </w:rPr>
      </w:pPr>
      <w:r>
        <w:rPr>
          <w:rFonts w:asciiTheme="majorBidi" w:hAnsiTheme="majorBidi" w:cstheme="majorBidi"/>
          <w:sz w:val="24"/>
          <w:szCs w:val="24"/>
          <w:rtl/>
        </w:rPr>
        <w:t xml:space="preserve">تُكشف الفجوة في الوصول إلى العدالة عن نفسها في عدة صور في البيئة السعودية: أولاها عدم تكافؤ التمثيل القانوني بين الشرائح الاجتماعية المختلفة، </w:t>
      </w:r>
      <w:commentRangeStart w:id="208"/>
      <w:commentRangeStart w:id="209"/>
      <w:r>
        <w:rPr>
          <w:rFonts w:asciiTheme="majorBidi" w:hAnsiTheme="majorBidi" w:cstheme="majorBidi"/>
          <w:sz w:val="24"/>
          <w:szCs w:val="24"/>
          <w:rtl/>
        </w:rPr>
        <w:t>إذ يمثل عدد غير قليل من المتقاضين في المحاكم السعودية أنفسهم دون محامٍ بسبب الاعتبارات المالية. وثانيتها الفجوة الجغرافية بين المدن الكبرى والمدن والمحافظات الأصغر، حيث يقل تمركز مكاتب المحاماة المتخصصة. وثالثتها الفجوة اللغوية حين يتعلق الأمر بمقيمين غير ناطقين بالعربية.</w:t>
      </w:r>
      <w:commentRangeEnd w:id="208"/>
      <w:r>
        <w:rPr>
          <w:rStyle w:val="af0"/>
          <w:sz w:val="22"/>
          <w:szCs w:val="22"/>
          <w:rtl/>
        </w:rPr>
        <w:commentReference w:id="208"/>
      </w:r>
      <w:commentRangeEnd w:id="209"/>
      <w:r>
        <w:rPr>
          <w:rStyle w:val="af0"/>
          <w:sz w:val="22"/>
          <w:szCs w:val="22"/>
          <w:rtl/>
        </w:rPr>
        <w:commentReference w:id="209"/>
      </w:r>
    </w:p>
    <w:p w14:paraId="235C256F" w14:textId="77777777" w:rsidR="005705DD" w:rsidRDefault="005705DD" w:rsidP="005705DD">
      <w:pPr>
        <w:bidi/>
        <w:spacing w:after="200" w:line="276" w:lineRule="auto"/>
        <w:rPr>
          <w:rtl/>
        </w:rPr>
      </w:pPr>
      <w:r>
        <w:rPr>
          <w:rFonts w:asciiTheme="majorBidi" w:hAnsiTheme="majorBidi" w:cstheme="majorBidi"/>
          <w:sz w:val="24"/>
          <w:szCs w:val="24"/>
          <w:rtl/>
        </w:rPr>
        <w:t>وللذكاء الاصطناعي إمكانات نظرية واعدة في معالجة بعض هذه الفجوات: فأدوات تلخيص الوثائق القانونية وشرح الإجراءات يمكن أن تُمكّن المواطن العادي من فهم حقوقه الإجرائية الأساسية. كما يمكن للذكاء الاصطناعي التوليدي تقديم تعريفات قانونية بلغات متعددة، مما يُسهم في تضييق الفجوة اللغوية. فضلاً عن أن التحليل الذكي لأحكام القضاة السابقة يمكن أن يُقدّم للمحامي في المناطق الأقل تطوراً صورةً أوضح عن السوابق القضائية الذي كانت حكراً على مراكز المدن الكبرى المحتضِنة لكبريات المكاتب.</w:t>
      </w:r>
    </w:p>
    <w:p w14:paraId="2114E2E6"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غير أن هذه الإمكانات تُقابلها مخاطر مضادة لا يجوز إغفالها: فالمستخدم الذي يلجأ إلى الذكاء الاصطناعي كبديل عن المحامي المرخّص يتعرض لخطر تلقّي معلومات غير دقيقة تفوت عليه فرصاً قانونية أو تدفعه إلى قرارات خاطئة. ولأن فئات الوصول المحدود إلى العدالة هي في الغالب الأقل تأهيلاً لتقييم دقة المعلومات التقنية واختبار مصداقيتها، فإن توظيف الذكاء الاصطناعي دون ضوابط قد يزيد الفجوة بدلاً من تضييقها، بأن يجعل المعلومات القانونية المغلوطة "في متناول الجميع" لا المعلومة الصحيحة.</w:t>
      </w:r>
    </w:p>
    <w:p w14:paraId="395167A6" w14:textId="77777777" w:rsidR="005705DD" w:rsidRDefault="005705DD" w:rsidP="005705DD">
      <w:pPr>
        <w:bidi/>
        <w:spacing w:after="200" w:line="276" w:lineRule="auto"/>
        <w:rPr>
          <w:rtl/>
        </w:rPr>
      </w:pPr>
      <w:commentRangeStart w:id="210"/>
      <w:commentRangeStart w:id="211"/>
      <w:r>
        <w:rPr>
          <w:rFonts w:asciiTheme="majorBidi" w:hAnsiTheme="majorBidi" w:cstheme="majorBidi"/>
          <w:sz w:val="24"/>
          <w:szCs w:val="24"/>
          <w:rtl/>
        </w:rPr>
        <w:t>ويوصي الباحث — استئناساً بالاتجاهات المقارنة — بتنظيم خدمات المساعدة القانونية الرقمية المدعومة بالذكاء الاصطناعي بوصفها خدمات مكملة للخدمة القانونية البشرية لا بديلة عنها، وبإلزام منصات تقديم هذه الخدمات بالحصول على ترخيص خاص ووضع تنبيهات صريحة للمستخدمين بأن ما يتلقونه معلوماتٌ قانونية لا استشارة متخصصة.</w:t>
      </w:r>
      <w:commentRangeEnd w:id="210"/>
      <w:r>
        <w:rPr>
          <w:rStyle w:val="af0"/>
          <w:sz w:val="22"/>
          <w:szCs w:val="22"/>
          <w:rtl/>
        </w:rPr>
        <w:commentReference w:id="210"/>
      </w:r>
      <w:commentRangeEnd w:id="211"/>
      <w:r>
        <w:rPr>
          <w:rStyle w:val="af0"/>
          <w:sz w:val="22"/>
          <w:szCs w:val="22"/>
          <w:rtl/>
        </w:rPr>
        <w:commentReference w:id="211"/>
      </w:r>
    </w:p>
    <w:p w14:paraId="030219D5" w14:textId="77777777" w:rsidR="005705DD" w:rsidRDefault="005705DD" w:rsidP="005705DD">
      <w:pPr>
        <w:bidi/>
        <w:spacing w:after="200" w:line="276" w:lineRule="auto"/>
        <w:rPr>
          <w:rtl/>
        </w:rPr>
      </w:pPr>
      <w:r>
        <w:rPr>
          <w:rFonts w:asciiTheme="majorBidi" w:hAnsiTheme="majorBidi" w:cstheme="majorBidi"/>
          <w:sz w:val="24"/>
          <w:szCs w:val="24"/>
          <w:rtl/>
        </w:rPr>
        <w:t>يرى الباحث: إن تنظيم الذكاء الاصطناعي في خدمة الوصول إلى العدالة في المملكة يستوجب استراتيجيةً ذات شقّين: شقٌّ يُشجّع الاستخدام المنظَّم لأدوات الذكاء الاصطناعي لتقديم "الثقافة القانونية" للمواطن ويُيسّر الإجراءات الإدارية القانونية البسيطة. وشقٌّ يضمن أن الخدمات الاستشارية المتخصصة تظل خاضعةً للرقابة البشرية المرخّصة في جميع الأحوال. وهذا التوازن هو الذي يُحوّل الذكاء الاصطناعي من تهديد محتمل للعدالة إلى أداة لخدمتها.</w:t>
      </w:r>
    </w:p>
    <w:p w14:paraId="02A5C1A5" w14:textId="77777777" w:rsidR="005705DD" w:rsidRDefault="005705DD" w:rsidP="005705DD"/>
    <w:p w14:paraId="2C029270" w14:textId="77777777" w:rsidR="005705DD" w:rsidRDefault="005705DD" w:rsidP="005705DD">
      <w:pPr>
        <w:bidi/>
        <w:spacing w:before="240" w:after="200" w:line="276" w:lineRule="auto"/>
        <w:jc w:val="center"/>
        <w:rPr>
          <w:rtl/>
        </w:rPr>
      </w:pPr>
      <w:r>
        <w:rPr>
          <w:rFonts w:asciiTheme="majorBidi" w:hAnsiTheme="majorBidi" w:cstheme="majorBidi"/>
          <w:b/>
          <w:bCs/>
          <w:sz w:val="28"/>
          <w:szCs w:val="28"/>
          <w:rtl/>
        </w:rPr>
        <w:t>المطلب الثاني</w:t>
      </w:r>
    </w:p>
    <w:p w14:paraId="79B8A5B3" w14:textId="77777777" w:rsidR="005705DD" w:rsidRDefault="005705DD" w:rsidP="005705DD">
      <w:pPr>
        <w:bidi/>
        <w:spacing w:before="240" w:after="200" w:line="276" w:lineRule="auto"/>
        <w:jc w:val="center"/>
        <w:rPr>
          <w:rtl/>
        </w:rPr>
      </w:pPr>
      <w:commentRangeStart w:id="212"/>
      <w:commentRangeStart w:id="213"/>
      <w:r>
        <w:rPr>
          <w:rFonts w:asciiTheme="majorBidi" w:hAnsiTheme="majorBidi" w:cstheme="majorBidi"/>
          <w:b/>
          <w:bCs/>
          <w:sz w:val="24"/>
          <w:szCs w:val="24"/>
          <w:rtl/>
        </w:rPr>
        <w:t>استشراف التطورات التقنية ومتطلبات التأهيل المهني وسوق التقنيات القانونية</w:t>
      </w:r>
    </w:p>
    <w:p w14:paraId="3BB9C67A" w14:textId="77777777" w:rsidR="005705DD" w:rsidRPr="00A84F46" w:rsidRDefault="005705DD" w:rsidP="005705DD">
      <w:pPr>
        <w:bidi/>
        <w:spacing w:after="200" w:line="276" w:lineRule="auto"/>
        <w:rPr>
          <w:color w:val="000000" w:themeColor="text1"/>
          <w:rtl/>
        </w:rPr>
      </w:pPr>
      <w:r>
        <w:rPr>
          <w:rFonts w:asciiTheme="majorBidi" w:hAnsiTheme="majorBidi" w:cstheme="majorBidi"/>
          <w:b/>
          <w:color w:val="000000" w:themeColor="text1"/>
          <w:sz w:val="28"/>
          <w:szCs w:val="28"/>
          <w:rtl/>
        </w:rPr>
        <w:t>أولاً: تحديات التأهيل المهني لتوظيف الذكاء الاصطناعي في المهنة</w:t>
      </w:r>
      <w:commentRangeEnd w:id="212"/>
      <w:r w:rsidRPr="00A84F46">
        <w:rPr>
          <w:rStyle w:val="af0"/>
          <w:color w:val="000000" w:themeColor="text1"/>
          <w:sz w:val="22"/>
          <w:szCs w:val="22"/>
          <w:rtl/>
        </w:rPr>
        <w:commentReference w:id="212"/>
      </w:r>
      <w:commentRangeEnd w:id="213"/>
      <w:r w:rsidRPr="00A84F46">
        <w:rPr>
          <w:rStyle w:val="af0"/>
          <w:color w:val="000000" w:themeColor="text1"/>
          <w:sz w:val="22"/>
          <w:szCs w:val="22"/>
          <w:rtl/>
        </w:rPr>
        <w:commentReference w:id="213"/>
      </w:r>
    </w:p>
    <w:p w14:paraId="6100194D" w14:textId="77777777" w:rsidR="005705DD" w:rsidRDefault="005705DD" w:rsidP="005705DD">
      <w:pPr>
        <w:bidi/>
        <w:spacing w:after="200" w:line="276" w:lineRule="auto"/>
        <w:rPr>
          <w:rtl/>
        </w:rPr>
      </w:pPr>
      <w:r>
        <w:rPr>
          <w:rFonts w:asciiTheme="majorBidi" w:hAnsiTheme="majorBidi" w:cstheme="majorBidi"/>
          <w:sz w:val="24"/>
          <w:szCs w:val="24"/>
          <w:rtl/>
        </w:rPr>
        <w:t xml:space="preserve">لا تقتصر </w:t>
      </w:r>
      <w:commentRangeStart w:id="214"/>
      <w:commentRangeStart w:id="215"/>
      <w:r>
        <w:rPr>
          <w:rFonts w:asciiTheme="majorBidi" w:hAnsiTheme="majorBidi" w:cstheme="majorBidi"/>
          <w:sz w:val="24"/>
          <w:szCs w:val="24"/>
          <w:rtl/>
        </w:rPr>
        <w:t xml:space="preserve">تحديات توظيف الذكاء الاصطناعي في مكاتب المحاماة السعودية </w:t>
      </w:r>
      <w:commentRangeEnd w:id="214"/>
      <w:r>
        <w:rPr>
          <w:rStyle w:val="af0"/>
          <w:rFonts w:asciiTheme="majorBidi" w:hAnsiTheme="majorBidi" w:cstheme="majorBidi"/>
          <w:sz w:val="24"/>
          <w:szCs w:val="24"/>
          <w:rtl/>
        </w:rPr>
        <w:commentReference w:id="214"/>
      </w:r>
      <w:commentRangeEnd w:id="215"/>
      <w:r>
        <w:rPr>
          <w:rStyle w:val="af0"/>
          <w:rFonts w:asciiTheme="majorBidi" w:hAnsiTheme="majorBidi" w:cstheme="majorBidi"/>
          <w:sz w:val="24"/>
          <w:szCs w:val="24"/>
          <w:rtl/>
        </w:rPr>
        <w:commentReference w:id="215"/>
      </w:r>
      <w:r>
        <w:rPr>
          <w:rFonts w:asciiTheme="majorBidi" w:hAnsiTheme="majorBidi" w:cstheme="majorBidi"/>
          <w:sz w:val="24"/>
          <w:szCs w:val="24"/>
          <w:rtl/>
        </w:rPr>
        <w:t>على المستوى التشريعي والتنظيمي، بل تمتد لتشمل أيضاً بُعداً تعليمياً ومهنياً جوهرياً. ذلك أن التشريع الأمثل وحده لا يكفي ما لم يُصاحبه إعداد مهني فعلي للمحامي يُمكّنه من التعامل مع أدوات الذكاء الاصطناعي بصورة كفؤة ومسؤولة.</w:t>
      </w:r>
    </w:p>
    <w:p w14:paraId="5BD776CA" w14:textId="77777777" w:rsidR="005705DD" w:rsidRDefault="005705DD" w:rsidP="005705DD">
      <w:pPr>
        <w:bidi/>
        <w:spacing w:after="200" w:line="276" w:lineRule="auto"/>
        <w:rPr>
          <w:rtl/>
        </w:rPr>
      </w:pPr>
      <w:r>
        <w:rPr>
          <w:rFonts w:asciiTheme="majorBidi" w:hAnsiTheme="majorBidi" w:cstheme="majorBidi"/>
          <w:sz w:val="24"/>
          <w:szCs w:val="24"/>
          <w:rtl/>
        </w:rPr>
        <w:t>أولاً: الفجوة في المناهج القانونية: لا تتضمن مناهج كليات الحقوق والشريعة في الجامعات السعودية — في غالبيتها — مقررات متخصصة في تقنيات المعلومات القانونية أو أخلاقيات الذكاء الاصطناعي في المهنة، وهو ما يُخرّج أجيالاً من المحامين غير مُستعدة للتعامل بكفاءة ومسؤولية مع هذه الأدوات. وتكشف الدراسات الميدانية العربية الحديثة عن ضعف واضح في التأهيل التقني لخريجي كليات القانون خلال دراستهم الجامعية</w:t>
      </w:r>
      <w:r>
        <w:rPr>
          <w:rFonts w:asciiTheme="majorBidi" w:hAnsiTheme="majorBidi" w:cstheme="majorBidi"/>
          <w:sz w:val="24"/>
          <w:szCs w:val="24"/>
          <w:vertAlign w:val="superscript"/>
          <w:rtl/>
        </w:rPr>
        <w:footnoteReference w:id="320"/>
      </w:r>
      <w:commentRangeStart w:id="216"/>
      <w:commentRangeStart w:id="217"/>
      <w:r>
        <w:rPr>
          <w:rFonts w:asciiTheme="majorBidi" w:hAnsiTheme="majorBidi" w:cstheme="majorBidi"/>
          <w:sz w:val="24"/>
          <w:szCs w:val="24"/>
          <w:rtl/>
        </w:rPr>
        <w:t>.</w:t>
      </w:r>
      <w:commentRangeEnd w:id="216"/>
      <w:r>
        <w:rPr>
          <w:rStyle w:val="af0"/>
          <w:sz w:val="22"/>
          <w:szCs w:val="22"/>
          <w:rtl/>
        </w:rPr>
        <w:commentReference w:id="216"/>
      </w:r>
      <w:commentRangeEnd w:id="217"/>
      <w:r>
        <w:rPr>
          <w:rStyle w:val="af0"/>
          <w:sz w:val="22"/>
          <w:szCs w:val="22"/>
          <w:rtl/>
        </w:rPr>
        <w:commentReference w:id="217"/>
      </w:r>
    </w:p>
    <w:p w14:paraId="73F4F8B9" w14:textId="77777777" w:rsidR="005705DD" w:rsidRDefault="005705DD" w:rsidP="005705DD">
      <w:pPr>
        <w:bidi/>
        <w:spacing w:after="200" w:line="276" w:lineRule="auto"/>
        <w:rPr>
          <w:rtl/>
        </w:rPr>
      </w:pPr>
      <w:r>
        <w:rPr>
          <w:rFonts w:asciiTheme="majorBidi" w:hAnsiTheme="majorBidi" w:cstheme="majorBidi"/>
          <w:sz w:val="24"/>
          <w:szCs w:val="24"/>
          <w:rtl/>
        </w:rPr>
        <w:t>ثانياً: برامج التطوير المهني المستمر: تُتيح الهيئة السعودية للمحامين برامجَ للتطوير المهني المستمر، غير أنها تُركّز في غالبها على الإجراءات القضائية والمستجدات التشريعية لا على أخلاقيات التقنية القانونية. وإدراج وحدات تدريبية إلزامية في مجال توظيف الذكاء الاصطناعي ضمن متطلبات الترخيص المهني المستمر يُعدّ خطوةً طال انتظارها.</w:t>
      </w:r>
    </w:p>
    <w:p w14:paraId="17F6CD24" w14:textId="77777777" w:rsidR="005705DD" w:rsidRDefault="005705DD" w:rsidP="005705DD">
      <w:pPr>
        <w:bidi/>
        <w:spacing w:after="200" w:line="276" w:lineRule="auto"/>
        <w:rPr>
          <w:rtl/>
        </w:rPr>
      </w:pPr>
      <w:commentRangeStart w:id="218"/>
      <w:commentRangeStart w:id="219"/>
      <w:r>
        <w:rPr>
          <w:rFonts w:asciiTheme="majorBidi" w:hAnsiTheme="majorBidi" w:cstheme="majorBidi"/>
          <w:sz w:val="24"/>
          <w:szCs w:val="24"/>
          <w:rtl/>
        </w:rPr>
        <w:t>ثالثاً: اليقظة التقنية (Technological Vigilance): ويرى الباحث أن الذكاء الاصطناعي القانوني يطرح ثلاث مفارقات تجعله تحدياً تعليمياً فريداً: أولاها أن الأداة كلما ازدادت في مظهرها كفاءةً ودقةً كلما كان من الأصعب للمستخدم رصد أخطائها الجوهرية. وثانيتها أن المعرفة التقنية اللازمة لاستخدام الأداة لا تكفي وحدها، بل يلزمها معرفة بحدودها ومواطن ضعفها. وثالثتها أن الثقة المفرطة في الأداة الذكية — لا جهلها — هي المصدر الأكثر خطورةً للأخطاء المهنية.</w:t>
      </w:r>
      <w:commentRangeEnd w:id="218"/>
      <w:r>
        <w:rPr>
          <w:rStyle w:val="af0"/>
          <w:sz w:val="22"/>
          <w:szCs w:val="22"/>
          <w:rtl/>
        </w:rPr>
        <w:commentReference w:id="218"/>
      </w:r>
      <w:commentRangeEnd w:id="219"/>
      <w:r>
        <w:rPr>
          <w:rStyle w:val="af0"/>
          <w:sz w:val="22"/>
          <w:szCs w:val="22"/>
          <w:rtl/>
        </w:rPr>
        <w:commentReference w:id="219"/>
      </w:r>
    </w:p>
    <w:p w14:paraId="7228A256"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رابعاً: توزيع المهام بين الإنسان والآلة: يطرح توظيف الذكاء الاصطناعي في مكاتب المحاماة تساؤلاً جوهرياً حول إعادة توزيع المهام: أيّها يجب أن تظل بشريةً حصراً، وأيّها يمكن تفويضها للذكاء الاصطناعي بصورة مشروعة مهنياً؟ ويرى الباحث — استناداً إلى مبدأ الكفاءة المهنية الواجبة — أن ثمة مهام لا تقبل التفويض الكامل للآلة: كتقدير موقف الموكل وتوصيف وقائع القضية الكاملة، وبناء استراتيجية الدفاع، والحكم القيمي في المواقف ذات الطابع الأخلاقي، والتمثيل الشخصي أمام هيئات القضاء.</w:t>
      </w:r>
    </w:p>
    <w:p w14:paraId="1BE8A94B" w14:textId="77777777" w:rsidR="005705DD" w:rsidRDefault="005705DD" w:rsidP="005705DD">
      <w:pPr>
        <w:bidi/>
        <w:spacing w:after="200" w:line="276" w:lineRule="auto"/>
        <w:rPr>
          <w:rtl/>
        </w:rPr>
      </w:pPr>
      <w:r>
        <w:rPr>
          <w:rFonts w:asciiTheme="majorBidi" w:hAnsiTheme="majorBidi" w:cstheme="majorBidi"/>
          <w:sz w:val="24"/>
          <w:szCs w:val="24"/>
          <w:rtl/>
        </w:rPr>
        <w:t>يرى الباحث ختاماً: إن استعداد مهنة المحاماة السعودية لعصر الذكاء الاصطناعي يتطلب استثماراً استراتيجياً متوازياً في ثلاثة مسارات: التشريع الناظم، والحوكمة المؤسسية داخل مكاتب المحاماة، والتطوير المهني المستمر للمحامين. وكل مسار يُكمل الآخرين، ولا يمكن أن يُحقق واحد منهم وحده الأثر المنشود دون الاستثمار في المسارات المقابلة.</w:t>
      </w:r>
    </w:p>
    <w:p w14:paraId="47B35306" w14:textId="77777777" w:rsidR="005705DD" w:rsidRDefault="005705DD" w:rsidP="005705DD">
      <w:commentRangeStart w:id="220"/>
      <w:commentRangeStart w:id="221"/>
    </w:p>
    <w:p w14:paraId="4584F089" w14:textId="77777777" w:rsidR="005705DD" w:rsidRPr="00A84F46" w:rsidRDefault="005705DD" w:rsidP="005705DD">
      <w:pPr>
        <w:bidi/>
        <w:spacing w:after="200" w:line="276" w:lineRule="auto"/>
        <w:rPr>
          <w:bCs/>
          <w:color w:val="000000" w:themeColor="text1"/>
          <w:rtl/>
        </w:rPr>
      </w:pPr>
      <w:r>
        <w:rPr>
          <w:rFonts w:asciiTheme="majorBidi" w:hAnsiTheme="majorBidi" w:cstheme="majorBidi"/>
          <w:bCs/>
          <w:color w:val="000000" w:themeColor="text1"/>
          <w:sz w:val="28"/>
          <w:szCs w:val="28"/>
          <w:rtl/>
        </w:rPr>
        <w:t>ثانياً: أثر الذكاء الاصطناعي في مستقبل مهنة المحاماة السعودية</w:t>
      </w:r>
      <w:commentRangeEnd w:id="220"/>
      <w:r w:rsidRPr="00A84F46">
        <w:rPr>
          <w:rStyle w:val="af0"/>
          <w:bCs/>
          <w:color w:val="000000" w:themeColor="text1"/>
          <w:sz w:val="22"/>
          <w:szCs w:val="22"/>
          <w:rtl/>
        </w:rPr>
        <w:commentReference w:id="220"/>
      </w:r>
      <w:commentRangeEnd w:id="221"/>
      <w:r w:rsidRPr="00A84F46">
        <w:rPr>
          <w:rStyle w:val="af0"/>
          <w:bCs/>
          <w:color w:val="000000" w:themeColor="text1"/>
          <w:sz w:val="22"/>
          <w:szCs w:val="22"/>
          <w:rtl/>
        </w:rPr>
        <w:commentReference w:id="221"/>
      </w:r>
    </w:p>
    <w:p w14:paraId="180C8C11" w14:textId="77777777" w:rsidR="005705DD" w:rsidRDefault="005705DD" w:rsidP="005705DD">
      <w:pPr>
        <w:bidi/>
        <w:spacing w:after="200" w:line="276" w:lineRule="auto"/>
        <w:rPr>
          <w:rtl/>
        </w:rPr>
      </w:pPr>
      <w:commentRangeStart w:id="222"/>
      <w:commentRangeStart w:id="223"/>
      <w:r>
        <w:rPr>
          <w:rFonts w:asciiTheme="majorBidi" w:hAnsiTheme="majorBidi" w:cstheme="majorBidi"/>
          <w:sz w:val="24"/>
          <w:szCs w:val="24"/>
          <w:rtl/>
        </w:rPr>
        <w:t>ولا يصح النظر إلى الذكاء الاصطناعي في مكاتب المحاماة السعودية باعتباره مجرد "إضافة أداة تقنية جديدة" إلى أدوات العمل القائمة. فالتحولات التي يُرسيها الذكاء الاصطناعي في المهنة القانونية أعمق وأبعد مدىً من ذلك بكثير، وهي تمس الهوية المهنية للمحامي وطبيعة القيمة التي يُقدّمها لموكله وعلاقته بالسوق القانوني ككل.</w:t>
      </w:r>
    </w:p>
    <w:p w14:paraId="346628EA" w14:textId="77777777" w:rsidR="005705DD" w:rsidRDefault="005705DD" w:rsidP="005705DD">
      <w:pPr>
        <w:bidi/>
        <w:spacing w:after="200" w:line="276" w:lineRule="auto"/>
        <w:rPr>
          <w:rtl/>
        </w:rPr>
      </w:pPr>
      <w:r>
        <w:rPr>
          <w:rFonts w:asciiTheme="majorBidi" w:hAnsiTheme="majorBidi" w:cstheme="majorBidi"/>
          <w:sz w:val="24"/>
          <w:szCs w:val="24"/>
          <w:rtl/>
        </w:rPr>
        <w:t>التحول الأول — من المهارة التقنية إلى مهارة التحكيم والحكم: لطالما اعتمدت مهنة المحاماة على المهارة التقنية في البحث القانوني وصياغة الحجج. وحين يتولى الذكاء الاصطناعي الجانب التقني من هذه المهارة بكفاءة عالية، تتحول القيمة المضافة للمحامي البشري نحو الحكم والتحكيم والسلطة التقديرية في الموازنة بين الاعتبارات المتعارضة. فالمحامي المستقبلي الناجح لن يتميز بقدرته على صياغة عقد أسرع بل بقدرته على الحكم على الوضع الكلي وفهم دوافع الموكل وتوقع ردود فعل الطرف الآخر — وهي مهارات لا تزال راسخة في ملكة البشر حصراً.</w:t>
      </w:r>
    </w:p>
    <w:p w14:paraId="4E3C7073" w14:textId="77777777" w:rsidR="005705DD" w:rsidRDefault="005705DD" w:rsidP="005705DD">
      <w:pPr>
        <w:bidi/>
        <w:spacing w:after="200" w:line="276" w:lineRule="auto"/>
        <w:rPr>
          <w:rtl/>
        </w:rPr>
      </w:pPr>
      <w:r>
        <w:rPr>
          <w:rFonts w:asciiTheme="majorBidi" w:hAnsiTheme="majorBidi" w:cstheme="majorBidi"/>
          <w:sz w:val="24"/>
          <w:szCs w:val="24"/>
          <w:rtl/>
        </w:rPr>
        <w:t>التحول الثاني — من رسوم الساعة إلى القيمة المُحقَّقة: قد يُهدد الذكاء الاصطناعي نموذج التسعير القائم على الساعات في مكاتب المحاماة (Billable Hours Model)، إذ حين تُنجز الأداة في دقائق ما كان يأخذ ساعات، يصبح تبرير الفوترة بالساعات أمراً متحدَّى. وهذا التحول يُمكن أن يُفضي بمرور الوقت إلى نماذج تسعير جديدة تُبنى على القيمة المُحقَّقة للموكل والنتائج المُتحقَّقة لا على الوقت المُستغرَق.</w:t>
      </w:r>
    </w:p>
    <w:p w14:paraId="7FB2C4A4" w14:textId="77777777" w:rsidR="005705DD" w:rsidRDefault="005705DD" w:rsidP="005705DD">
      <w:pPr>
        <w:bidi/>
        <w:spacing w:after="200" w:line="276" w:lineRule="auto"/>
        <w:rPr>
          <w:rtl/>
        </w:rPr>
      </w:pPr>
      <w:r>
        <w:rPr>
          <w:rFonts w:asciiTheme="majorBidi" w:hAnsiTheme="majorBidi" w:cstheme="majorBidi"/>
          <w:sz w:val="24"/>
          <w:szCs w:val="24"/>
          <w:rtl/>
        </w:rPr>
        <w:t>التحول الثالث — من التراتبية الهرمية إلى شراكة إنسان-آلة: يُعيد الذكاء الاصطناعي رسم العلاقات الداخلية في مكاتب المحاماة؛ فالمهام الروتينية التي كانت تُشكّل محور عمل المحامين المبتدئين (كالبحث القانوني الأولي وتلخيص الوثائق) باتت قابلة للأتمتة، مما قد يُقلّص الطلب على المحامين الجدد في مراحل معينة وفي الوقت ذاته يُفتح شهيةً لمهارات جديدة كإدارة منظومات الذكاء الاصطناعي وتدريب النماذج على البيانات القانونية الخاصة بالمكتب.</w:t>
      </w:r>
    </w:p>
    <w:p w14:paraId="082EB1C1" w14:textId="77777777" w:rsidR="005705DD" w:rsidRDefault="005705DD" w:rsidP="005705DD">
      <w:pPr>
        <w:bidi/>
        <w:spacing w:after="200" w:line="276" w:lineRule="auto"/>
        <w:rPr>
          <w:rtl/>
        </w:rPr>
      </w:pPr>
      <w:r>
        <w:rPr>
          <w:rFonts w:asciiTheme="majorBidi" w:hAnsiTheme="majorBidi" w:cstheme="majorBidi"/>
          <w:sz w:val="24"/>
          <w:szCs w:val="24"/>
          <w:rtl/>
        </w:rPr>
        <w:t>التحول الرابع — التعلّم المستمر كضرورة مهنية: في عالم حيث تتطور أدوات الذكاء الاصطناعي بوتيرة متسارعة، تُصبح القدرة على التعلم المستمر والتكيّف مع الأدوات الجديدة ميزةً تنافسية جوهرية للمحامي. والمحامي الذي يُعدّ إتقانه للذكاء الاصطناعي ثانوياً سيجد نفسه في موقع تنافسي ضعيف مقارنةً بنظرائه الذين يُحسنون توظيف هذه الأدوات والرقابة عليها.</w:t>
      </w:r>
      <w:commentRangeEnd w:id="222"/>
      <w:r>
        <w:rPr>
          <w:rStyle w:val="af0"/>
          <w:sz w:val="22"/>
          <w:szCs w:val="22"/>
          <w:rtl/>
        </w:rPr>
        <w:commentReference w:id="222"/>
      </w:r>
      <w:commentRangeEnd w:id="223"/>
      <w:r>
        <w:rPr>
          <w:rStyle w:val="af0"/>
          <w:sz w:val="22"/>
          <w:szCs w:val="22"/>
          <w:rtl/>
        </w:rPr>
        <w:commentReference w:id="223"/>
      </w:r>
    </w:p>
    <w:p w14:paraId="0265FB6E" w14:textId="77777777" w:rsidR="005705DD" w:rsidRDefault="005705DD" w:rsidP="005705DD">
      <w:pPr>
        <w:bidi/>
        <w:spacing w:after="200" w:line="276" w:lineRule="auto"/>
        <w:rPr>
          <w:rtl/>
        </w:rPr>
      </w:pPr>
      <w:r>
        <w:rPr>
          <w:rFonts w:asciiTheme="majorBidi" w:hAnsiTheme="majorBidi" w:cstheme="majorBidi"/>
          <w:sz w:val="24"/>
          <w:szCs w:val="24"/>
          <w:rtl/>
        </w:rPr>
        <w:t>ويرى الباحث: إن الاستجابة الصحيحة لهذه التحولات البنيوية ليست الرفض أو التعامل معها بمقاربة دفاعية، بل المبادرة إلى التكيّف الاستراتيجي. وهذا التكيّف يستلزم من المشرّع إطاراً تشريعياً يُشجّع التبنّي المسؤول دون أن يُعيق التكيّف المهني، ومن الهيئة السعودية للمحامين استراتيجيةً مهنية تستبق التحولات القادمة بدلاً من أن تلاحقها في أثرها.</w:t>
      </w:r>
    </w:p>
    <w:p w14:paraId="1D6B54EC" w14:textId="77777777" w:rsidR="005705DD" w:rsidRDefault="005705DD" w:rsidP="005705DD"/>
    <w:p w14:paraId="39A5B0C9" w14:textId="77777777" w:rsidR="005705DD" w:rsidRPr="00A84F46" w:rsidRDefault="005705DD" w:rsidP="005705DD">
      <w:pPr>
        <w:bidi/>
        <w:spacing w:after="200" w:line="276" w:lineRule="auto"/>
        <w:rPr>
          <w:bCs/>
          <w:color w:val="000000" w:themeColor="text1"/>
          <w:rtl/>
        </w:rPr>
      </w:pPr>
      <w:commentRangeStart w:id="224"/>
      <w:commentRangeStart w:id="225"/>
      <w:r>
        <w:rPr>
          <w:rFonts w:asciiTheme="majorBidi" w:hAnsiTheme="majorBidi" w:cstheme="majorBidi"/>
          <w:bCs/>
          <w:color w:val="000000" w:themeColor="text1"/>
          <w:sz w:val="28"/>
          <w:szCs w:val="28"/>
          <w:rtl/>
        </w:rPr>
        <w:t>ثالثاً: سوق التقنيات القانونية (LegalTech) في المملكة العربية السعودية</w:t>
      </w:r>
      <w:commentRangeEnd w:id="224"/>
      <w:r w:rsidRPr="00A84F46">
        <w:rPr>
          <w:rStyle w:val="af0"/>
          <w:bCs/>
          <w:color w:val="000000" w:themeColor="text1"/>
          <w:sz w:val="22"/>
          <w:szCs w:val="22"/>
          <w:rtl/>
        </w:rPr>
        <w:commentReference w:id="224"/>
      </w:r>
      <w:commentRangeEnd w:id="225"/>
      <w:r w:rsidRPr="00A84F46">
        <w:rPr>
          <w:rStyle w:val="af0"/>
          <w:bCs/>
          <w:color w:val="000000" w:themeColor="text1"/>
          <w:sz w:val="22"/>
          <w:szCs w:val="22"/>
          <w:rtl/>
        </w:rPr>
        <w:commentReference w:id="225"/>
      </w:r>
    </w:p>
    <w:p w14:paraId="247BF1B4" w14:textId="77777777" w:rsidR="005705DD" w:rsidRDefault="005705DD" w:rsidP="005705DD">
      <w:pPr>
        <w:bidi/>
        <w:spacing w:after="200" w:line="276" w:lineRule="auto"/>
        <w:rPr>
          <w:rtl/>
        </w:rPr>
      </w:pPr>
      <w:r>
        <w:rPr>
          <w:rFonts w:asciiTheme="majorBidi" w:hAnsiTheme="majorBidi" w:cstheme="majorBidi"/>
          <w:sz w:val="24"/>
          <w:szCs w:val="24"/>
          <w:rtl/>
        </w:rPr>
        <w:t>يُعدّ تحليل سوق التقنيات القانونية (LegalTech) في المملكة العربية السعودية ضرورةً لفهم الديناميكيات الاقتصادية التي تُحرّك انتشار هذه التقنيات في البيئة المهنية القانونية. وتتقاطع في تشكيل هذا السوق عوامل متعددة يمكن استعراضها على النحو التالي:</w:t>
      </w:r>
    </w:p>
    <w:p w14:paraId="41F44255" w14:textId="77777777" w:rsidR="005705DD" w:rsidRDefault="005705DD" w:rsidP="005705DD">
      <w:pPr>
        <w:bidi/>
        <w:spacing w:after="200" w:line="276" w:lineRule="auto"/>
        <w:rPr>
          <w:rtl/>
        </w:rPr>
      </w:pPr>
      <w:commentRangeStart w:id="226"/>
      <w:commentRangeStart w:id="227"/>
      <w:r>
        <w:rPr>
          <w:rFonts w:asciiTheme="majorBidi" w:hAnsiTheme="majorBidi" w:cstheme="majorBidi"/>
          <w:sz w:val="24"/>
          <w:szCs w:val="24"/>
          <w:rtl/>
        </w:rPr>
        <w:t>أولاً: حجم السوق والنمو المتوقع: لا تتوافر إحصاءات رسمية منشورة لحجم سوق التقنيات القانونية السعودي، ويُرجَّح نموه المطرد في ضوء التوجهات الحكومية نحو الرقمنة وتنامي الوعي بهذه التقنيات.</w:t>
      </w:r>
      <w:commentRangeEnd w:id="226"/>
      <w:r>
        <w:rPr>
          <w:rStyle w:val="af0"/>
          <w:sz w:val="22"/>
          <w:szCs w:val="22"/>
          <w:rtl/>
        </w:rPr>
        <w:commentReference w:id="226"/>
      </w:r>
      <w:commentRangeEnd w:id="227"/>
      <w:r>
        <w:rPr>
          <w:rStyle w:val="af0"/>
          <w:sz w:val="22"/>
          <w:szCs w:val="22"/>
          <w:rtl/>
        </w:rPr>
        <w:commentReference w:id="227"/>
      </w:r>
    </w:p>
    <w:p w14:paraId="52A19CB5" w14:textId="77777777" w:rsidR="005705DD" w:rsidRDefault="005705DD" w:rsidP="005705DD">
      <w:pPr>
        <w:bidi/>
        <w:spacing w:after="200" w:line="276" w:lineRule="auto"/>
        <w:rPr>
          <w:rtl/>
        </w:rPr>
      </w:pPr>
      <w:commentRangeStart w:id="228"/>
      <w:commentRangeStart w:id="229"/>
      <w:r>
        <w:rPr>
          <w:rFonts w:asciiTheme="majorBidi" w:hAnsiTheme="majorBidi" w:cstheme="majorBidi"/>
          <w:sz w:val="24"/>
          <w:szCs w:val="24"/>
          <w:rtl/>
        </w:rPr>
        <w:t>ثانياً: التحولات في تفضيلات المكاتب: ويلاحظ أن مكاتب المحاماة السعودية الكبرى بدأت في تخصيص ميزانيات تقنية للاستثمار في التقنيات القانونية الذكية، مع ملاحظة أن معظم الإنفاق التقني الحالي يتجه نحو أدوات إدارة القضايا وبرامج الفوترة أكثر من توجّهه نحو أنظمة الذكاء الاصطناعي المتقدمة.</w:t>
      </w:r>
      <w:commentRangeEnd w:id="228"/>
      <w:r>
        <w:rPr>
          <w:rStyle w:val="af0"/>
          <w:sz w:val="22"/>
          <w:szCs w:val="22"/>
          <w:rtl/>
        </w:rPr>
        <w:commentReference w:id="228"/>
      </w:r>
      <w:commentRangeEnd w:id="229"/>
      <w:r>
        <w:rPr>
          <w:rStyle w:val="af0"/>
          <w:sz w:val="22"/>
          <w:szCs w:val="22"/>
          <w:rtl/>
        </w:rPr>
        <w:commentReference w:id="229"/>
      </w:r>
    </w:p>
    <w:p w14:paraId="1D059FD3" w14:textId="77777777" w:rsidR="005705DD" w:rsidRDefault="005705DD" w:rsidP="005705DD">
      <w:pPr>
        <w:bidi/>
        <w:spacing w:after="200" w:line="276" w:lineRule="auto"/>
        <w:rPr>
          <w:rtl/>
        </w:rPr>
      </w:pPr>
      <w:commentRangeStart w:id="230"/>
      <w:commentRangeStart w:id="231"/>
      <w:r>
        <w:rPr>
          <w:rFonts w:asciiTheme="majorBidi" w:hAnsiTheme="majorBidi" w:cstheme="majorBidi"/>
          <w:sz w:val="24"/>
          <w:szCs w:val="24"/>
          <w:rtl/>
        </w:rPr>
        <w:t>ثالثاً: الحواجز أمام التبني الواسع: ثمة حواجز هيكلية تُعيق التبني الواسع لتقنيات الذكاء الاصطناعي القانوني في السوق السعودي، أبرزها: (أ) ندرة الأدوات المتخصصة باللغة العربية والقانون السعودي تحديداً. (ب) ارتفاع تكلفة الاشتراك في الأدوات المتخصصة مقارنةً بحجم كثير من المكاتب السعودية الصغيرة والمتوسطة. (ج) غياب التدريب الكافي على هذه الأدوات والشكوك المتعلقة بالامتثال التنظيمي. (د) حساسية بعض الموكلين تجاه معالجة بياناتهم إلكترونياً خارج بيئات سيطرتهم.</w:t>
      </w:r>
      <w:commentRangeEnd w:id="230"/>
      <w:r>
        <w:rPr>
          <w:rStyle w:val="af0"/>
          <w:sz w:val="22"/>
          <w:szCs w:val="22"/>
          <w:rtl/>
        </w:rPr>
        <w:commentReference w:id="230"/>
      </w:r>
      <w:commentRangeEnd w:id="231"/>
      <w:r>
        <w:rPr>
          <w:rStyle w:val="af0"/>
          <w:sz w:val="22"/>
          <w:szCs w:val="22"/>
          <w:rtl/>
        </w:rPr>
        <w:commentReference w:id="231"/>
      </w:r>
    </w:p>
    <w:p w14:paraId="7BD133D8" w14:textId="77777777" w:rsidR="005705DD" w:rsidRDefault="005705DD" w:rsidP="005705DD">
      <w:pPr>
        <w:bidi/>
        <w:spacing w:after="200" w:line="276" w:lineRule="auto"/>
        <w:rPr>
          <w:rtl/>
        </w:rPr>
      </w:pPr>
      <w:r>
        <w:rPr>
          <w:rFonts w:asciiTheme="majorBidi" w:hAnsiTheme="majorBidi" w:cstheme="majorBidi"/>
          <w:sz w:val="24"/>
          <w:szCs w:val="24"/>
          <w:rtl/>
        </w:rPr>
        <w:t xml:space="preserve">رابعاً: الفرص والمساهمات المتوقعة: تمتلك المملكة العربية السعودية عوامل داعمة لنمو سوق LegalTech محلي قوي، في مقدمتها: حجم الاقتصاد الكبير الذي يُولّد كميات ضخمة من النزاعات التجارية والعقارية </w:t>
      </w:r>
      <w:commentRangeStart w:id="232"/>
      <w:commentRangeStart w:id="233"/>
      <w:r>
        <w:rPr>
          <w:rFonts w:asciiTheme="majorBidi" w:hAnsiTheme="majorBidi" w:cstheme="majorBidi"/>
          <w:sz w:val="24"/>
          <w:szCs w:val="24"/>
          <w:rtl/>
        </w:rPr>
        <w:t>والعمالية. وتوافر رأس المال الجريء (Venture Capital) لتمويل الشركات الناشئة في هذا المجال، وأخيراً، التوجه الحكومي الداعم للتحول الرقمي في القطاع العدلي الذي يدعم الطلب على هذه التقنيات.</w:t>
      </w:r>
      <w:commentRangeEnd w:id="232"/>
      <w:r>
        <w:rPr>
          <w:rStyle w:val="af0"/>
          <w:sz w:val="22"/>
          <w:szCs w:val="22"/>
          <w:rtl/>
        </w:rPr>
        <w:commentReference w:id="232"/>
      </w:r>
      <w:commentRangeEnd w:id="233"/>
      <w:r>
        <w:rPr>
          <w:rStyle w:val="af0"/>
          <w:sz w:val="22"/>
          <w:szCs w:val="22"/>
          <w:rtl/>
        </w:rPr>
        <w:commentReference w:id="233"/>
      </w:r>
    </w:p>
    <w:p w14:paraId="23BEEFA3" w14:textId="77777777" w:rsidR="005705DD" w:rsidRDefault="005705DD" w:rsidP="005705DD">
      <w:pPr>
        <w:bidi/>
        <w:spacing w:after="200" w:line="276" w:lineRule="auto"/>
        <w:rPr>
          <w:rtl/>
        </w:rPr>
      </w:pPr>
      <w:r>
        <w:rPr>
          <w:rFonts w:asciiTheme="majorBidi" w:hAnsiTheme="majorBidi" w:cstheme="majorBidi"/>
          <w:sz w:val="24"/>
          <w:szCs w:val="24"/>
          <w:rtl/>
        </w:rPr>
        <w:t>يرى الباحث: أن تنظيم سوق LegalTech السعودي يُعدّ جزءاً لا يتجزأ من الحل الشامل للإشكاليات الراهنة؛ إذ إن وجود سوق محلي قوي لشركات LegalTech ملتزمة بالضوابط السعودية يُقلّص من الحاجة إلى الاعتماد على الأدوات الأجنبية الأقل انسجاماً مع البيئة النظامية المحلية. ومن ثم فإن تشجيع ونمو شركات LegalTech السعودية المتخصصة في أدوات الذكاء الاصطناعي القانوني العربية يُعدّ هدفاً استراتيجياً ذا قيمة تنظيمية مزدوجة.</w:t>
      </w:r>
    </w:p>
    <w:p w14:paraId="6EFC17F4" w14:textId="77777777" w:rsidR="005705DD" w:rsidRDefault="005705DD" w:rsidP="005705DD"/>
    <w:p w14:paraId="582FE061" w14:textId="77777777" w:rsidR="005705DD" w:rsidRPr="00A84F46" w:rsidRDefault="005705DD" w:rsidP="005705DD">
      <w:pPr>
        <w:bidi/>
        <w:spacing w:after="200" w:line="276" w:lineRule="auto"/>
        <w:rPr>
          <w:bCs/>
          <w:color w:val="000000" w:themeColor="text1"/>
          <w:rtl/>
        </w:rPr>
      </w:pPr>
      <w:commentRangeStart w:id="234"/>
      <w:commentRangeStart w:id="235"/>
      <w:r>
        <w:rPr>
          <w:rFonts w:asciiTheme="majorBidi" w:hAnsiTheme="majorBidi" w:cstheme="majorBidi"/>
          <w:bCs/>
          <w:color w:val="000000" w:themeColor="text1"/>
          <w:sz w:val="28"/>
          <w:szCs w:val="28"/>
          <w:rtl/>
        </w:rPr>
        <w:t>رابعاً: التأهيل الأكاديمي والكوادر البشرية في مجال القانون والذكاء الاصطناعي</w:t>
      </w:r>
      <w:commentRangeEnd w:id="234"/>
      <w:r w:rsidRPr="00A84F46">
        <w:rPr>
          <w:rStyle w:val="af0"/>
          <w:bCs/>
          <w:color w:val="000000" w:themeColor="text1"/>
          <w:sz w:val="22"/>
          <w:szCs w:val="22"/>
          <w:rtl/>
        </w:rPr>
        <w:commentReference w:id="234"/>
      </w:r>
      <w:commentRangeEnd w:id="235"/>
      <w:r w:rsidRPr="00A84F46">
        <w:rPr>
          <w:rStyle w:val="af0"/>
          <w:bCs/>
          <w:color w:val="000000" w:themeColor="text1"/>
          <w:sz w:val="22"/>
          <w:szCs w:val="22"/>
          <w:rtl/>
        </w:rPr>
        <w:commentReference w:id="235"/>
      </w:r>
    </w:p>
    <w:p w14:paraId="3FBFC314" w14:textId="77777777" w:rsidR="005705DD" w:rsidRDefault="005705DD" w:rsidP="005705DD">
      <w:pPr>
        <w:bidi/>
        <w:spacing w:after="200" w:line="276" w:lineRule="auto"/>
        <w:rPr>
          <w:rtl/>
        </w:rPr>
      </w:pPr>
      <w:r>
        <w:rPr>
          <w:rFonts w:asciiTheme="majorBidi" w:hAnsiTheme="majorBidi" w:cstheme="majorBidi"/>
          <w:sz w:val="24"/>
          <w:szCs w:val="24"/>
          <w:rtl/>
        </w:rPr>
        <w:t xml:space="preserve">تفتقر المنظومة التعليمية القانونية السعودية حتى الآن إلى برامج متخصصة في "القانون والذكاء الاصطناعي" أو "تقنيات القانون" (LegalTech)، وهو ما يُعيق تكوين جيل من المحامين يمتلكون الأسس التقنية اللازمة للتعامل المسؤول مع هذه الأدوات. وتُشكّل هذه الفجوة التعليمية جزءاً من الأزمة البنيوية التي يرصدها هذا </w:t>
      </w:r>
      <w:commentRangeStart w:id="236"/>
      <w:commentRangeStart w:id="237"/>
      <w:r>
        <w:rPr>
          <w:rFonts w:asciiTheme="majorBidi" w:hAnsiTheme="majorBidi" w:cstheme="majorBidi"/>
          <w:sz w:val="24"/>
          <w:szCs w:val="24"/>
          <w:rtl/>
        </w:rPr>
        <w:t>الفصل.</w:t>
      </w:r>
    </w:p>
    <w:p w14:paraId="3AABA7F0" w14:textId="77777777" w:rsidR="005705DD" w:rsidRDefault="005705DD" w:rsidP="005705DD">
      <w:pPr>
        <w:bidi/>
        <w:spacing w:after="200" w:line="276" w:lineRule="auto"/>
        <w:rPr>
          <w:rtl/>
        </w:rPr>
      </w:pPr>
      <w:r>
        <w:rPr>
          <w:rFonts w:asciiTheme="majorBidi" w:hAnsiTheme="majorBidi" w:cstheme="majorBidi"/>
          <w:sz w:val="24"/>
          <w:szCs w:val="24"/>
          <w:rtl/>
        </w:rPr>
        <w:t>ومقارنةً بعدد من الدول، تُقدّم جامعات كـStanford وHarvard وKing's College London برامج متخصصة في القانون والتقنية (Law &amp; Technology) تُعدّ الطلاب للتعامل مع الذكاء الاصطناعي في سياق المهنة القانونية. وعلى مستوى المنطقة العربية، بدأت بعض كليات الحقوق الإماراتية (كجامعة خليفة) في تضمين مقررات التقنية القانونية ضمن مناهجها، وهو ما لا يزال غائباً إلى حد كبير في المشهد التعليمي القانوني السعودي.</w:t>
      </w:r>
      <w:commentRangeEnd w:id="236"/>
      <w:r>
        <w:rPr>
          <w:rStyle w:val="af0"/>
          <w:sz w:val="22"/>
          <w:szCs w:val="22"/>
          <w:rtl/>
        </w:rPr>
        <w:commentReference w:id="236"/>
      </w:r>
      <w:commentRangeEnd w:id="237"/>
      <w:r>
        <w:rPr>
          <w:rStyle w:val="af0"/>
          <w:sz w:val="22"/>
          <w:szCs w:val="22"/>
          <w:rtl/>
        </w:rPr>
        <w:commentReference w:id="237"/>
      </w:r>
    </w:p>
    <w:p w14:paraId="66567B93" w14:textId="77777777" w:rsidR="005705DD" w:rsidRDefault="005705DD" w:rsidP="005705DD">
      <w:pPr>
        <w:bidi/>
        <w:spacing w:after="200" w:line="276" w:lineRule="auto"/>
        <w:rPr>
          <w:rtl/>
        </w:rPr>
      </w:pPr>
      <w:r>
        <w:rPr>
          <w:rFonts w:asciiTheme="majorBidi" w:hAnsiTheme="majorBidi" w:cstheme="majorBidi"/>
          <w:sz w:val="24"/>
          <w:szCs w:val="24"/>
          <w:rtl/>
        </w:rPr>
        <w:lastRenderedPageBreak/>
        <w:t>ويرى الباحث: أن تطوير الكوادر البشرية في تقاطع القانون والتقنية يُعدّ ركيزةً لا غنى عنها في أي استراتيجية سعودية ناجحة لتنظيم الذكاء الاصطناعي القانوني. ومن أهم المقترحات في هذا الشأن: أولاً، إدراج مادة إلزامية في "القانون والتقنية" ضمن مناهج الدراسات القانونية الجامعية في الجامعات السعودية. ثانياً، إطلاق برنامج وطني للمنح الدراسية في تخصصات LegalTech استكمالاً للمبادرات المماثلة في مجالات التقنية الأخرى. ثالثاً، تضمين أخلاقيات الذكاء الاصطناعي والكفاءة التقنية ضمن متطلبات الترخيص المهني المستمر لدى الهيئة السعودية للمحامين. رابعاً، تشجيع التعاون بين كليات الحقوق وكليات الحاسب والمعلوماتية في بحوث مشتركة متعددة التخصصات، تُنتج حلولاً قانونية ذكية متوائمة مع الخصوصية السعودية.</w:t>
      </w:r>
    </w:p>
    <w:p w14:paraId="1ECFAAFE" w14:textId="77777777" w:rsidR="005705DD" w:rsidRDefault="005705DD" w:rsidP="005705DD"/>
    <w:p w14:paraId="1FDF9E07" w14:textId="77777777" w:rsidR="005705DD" w:rsidRPr="00A84F46" w:rsidRDefault="005705DD" w:rsidP="005705DD">
      <w:pPr>
        <w:bidi/>
        <w:spacing w:after="200" w:line="276" w:lineRule="auto"/>
        <w:rPr>
          <w:bCs/>
          <w:color w:val="000000" w:themeColor="text1"/>
          <w:rtl/>
        </w:rPr>
      </w:pPr>
      <w:commentRangeStart w:id="238"/>
      <w:commentRangeStart w:id="239"/>
      <w:commentRangeStart w:id="240"/>
      <w:commentRangeStart w:id="241"/>
      <w:r>
        <w:rPr>
          <w:rFonts w:asciiTheme="majorBidi" w:hAnsiTheme="majorBidi" w:cstheme="majorBidi"/>
          <w:bCs/>
          <w:color w:val="000000" w:themeColor="text1"/>
          <w:sz w:val="28"/>
          <w:szCs w:val="28"/>
          <w:rtl/>
        </w:rPr>
        <w:t>خامساً: التطورات التقنية المتوقعة وأثرها في المهنة القانونية السعودية</w:t>
      </w:r>
      <w:commentRangeEnd w:id="240"/>
      <w:r w:rsidRPr="00A84F46">
        <w:rPr>
          <w:rStyle w:val="af0"/>
          <w:bCs/>
          <w:color w:val="000000" w:themeColor="text1"/>
          <w:sz w:val="22"/>
          <w:szCs w:val="22"/>
          <w:rtl/>
        </w:rPr>
        <w:commentReference w:id="240"/>
      </w:r>
      <w:commentRangeEnd w:id="241"/>
      <w:r w:rsidRPr="00A84F46">
        <w:rPr>
          <w:rStyle w:val="af0"/>
          <w:bCs/>
          <w:color w:val="000000" w:themeColor="text1"/>
          <w:sz w:val="22"/>
          <w:szCs w:val="22"/>
          <w:rtl/>
        </w:rPr>
        <w:commentReference w:id="241"/>
      </w:r>
    </w:p>
    <w:p w14:paraId="60BE3E85" w14:textId="77777777" w:rsidR="005705DD" w:rsidRDefault="005705DD" w:rsidP="005705DD">
      <w:pPr>
        <w:bidi/>
        <w:spacing w:after="200" w:line="276" w:lineRule="auto"/>
        <w:rPr>
          <w:rtl/>
        </w:rPr>
      </w:pPr>
      <w:r>
        <w:rPr>
          <w:rFonts w:asciiTheme="majorBidi" w:hAnsiTheme="majorBidi" w:cstheme="majorBidi"/>
          <w:sz w:val="24"/>
          <w:szCs w:val="24"/>
          <w:rtl/>
        </w:rPr>
        <w:t>يُعدّ الاستشراف التقني جزءاً ضرورياً من أي دراسة قانونية تسعى إلى تقديم توصيات ذات عمر مفيد يتجاوز المرحلة الراهنة. ذلك أن التشريعات المقترحة اليوم ينبغي أن تُصمَّم بمرونة كافية لاستيعاب تطورات غداً، وهو ما يستلزم استحضار ثلاثة تطورات تقنية متوقعة ستُؤثر على المشهد القانوني السعودي في السنوات القادمة:</w:t>
      </w:r>
    </w:p>
    <w:p w14:paraId="7D715532" w14:textId="77777777" w:rsidR="005705DD" w:rsidRDefault="005705DD" w:rsidP="005705DD">
      <w:pPr>
        <w:bidi/>
        <w:spacing w:after="200" w:line="276" w:lineRule="auto"/>
        <w:rPr>
          <w:rtl/>
        </w:rPr>
      </w:pPr>
      <w:r>
        <w:rPr>
          <w:rFonts w:asciiTheme="majorBidi" w:hAnsiTheme="majorBidi" w:cstheme="majorBidi"/>
          <w:sz w:val="24"/>
          <w:szCs w:val="24"/>
          <w:rtl/>
        </w:rPr>
        <w:t>التطور الأول — نماذج الذكاء الاصطناعي القانوني العربية المتخصصة: تبذل عدة جهات حكومية وبحثية سعودية وخليجية جهوداً لتطوير نماذج لغوية كبيرة مخصصة للغة العربية والسياق القانوني الإسلامي. ومن أبرزها مشاريع بحثية مرتبطة بجامعة الملك عبدالله للعلوم والتقنية (كاوست) وبعض شركات التقنية السعودية الناشئة. وحين تنضج هذه النماذج، ستُتيح خياراً تقنياً أكثر انسجاماً مع البيئة القانونية السعودية وأقل خطراً من حيث التحيز والخلل في معالجة الخصوصيات الفقهية.</w:t>
      </w:r>
    </w:p>
    <w:p w14:paraId="7FDE5A0B" w14:textId="77777777" w:rsidR="005705DD" w:rsidRDefault="005705DD" w:rsidP="005705DD">
      <w:pPr>
        <w:bidi/>
        <w:spacing w:after="200" w:line="276" w:lineRule="auto"/>
        <w:rPr>
          <w:rtl/>
        </w:rPr>
      </w:pPr>
      <w:r>
        <w:rPr>
          <w:rFonts w:asciiTheme="majorBidi" w:hAnsiTheme="majorBidi" w:cstheme="majorBidi"/>
          <w:sz w:val="24"/>
          <w:szCs w:val="24"/>
          <w:rtl/>
        </w:rPr>
        <w:t>التطور الثاني — الوكلاء القانونيون الذاتيون (Autonomous Legal Agents): يشهد عام 2025م/2026م ظهور ما يُعرف بـ"وكلاء الذكاء الاصطناعي" (AI Agents)، وهي نماذج قادرة على تنفيذ سلسلة من الخطوات اللازمة لإنجاز مهمة معقدة تلقائياً، كإعداد وثائق دعوى قضائية كاملة أو إجراء بحث قانوني شامل وتحليله وتقديم توصية مُسبّبة. هذا التطور يُحوّل الذكاء الاصطناعي من "مساعد للمحامي" إلى "مُنفِّذ مستقل" لمهام قانونية، وهو ما يُثير إشكاليات المسؤولية والرقابة بصورة أكثر حدةً من أدوات الجيل الراهن.</w:t>
      </w:r>
      <w:commentRangeEnd w:id="238"/>
      <w:r>
        <w:rPr>
          <w:rStyle w:val="af0"/>
          <w:sz w:val="22"/>
          <w:szCs w:val="22"/>
          <w:rtl/>
        </w:rPr>
        <w:commentReference w:id="238"/>
      </w:r>
      <w:commentRangeEnd w:id="239"/>
      <w:r>
        <w:rPr>
          <w:rStyle w:val="af0"/>
          <w:sz w:val="22"/>
          <w:szCs w:val="22"/>
          <w:rtl/>
        </w:rPr>
        <w:commentReference w:id="239"/>
      </w:r>
    </w:p>
    <w:p w14:paraId="10315401" w14:textId="77777777" w:rsidR="005705DD" w:rsidRDefault="005705DD" w:rsidP="005705DD">
      <w:pPr>
        <w:bidi/>
        <w:spacing w:after="200" w:line="276" w:lineRule="auto"/>
        <w:rPr>
          <w:rtl/>
        </w:rPr>
      </w:pPr>
      <w:commentRangeStart w:id="242"/>
      <w:commentRangeStart w:id="243"/>
      <w:r>
        <w:rPr>
          <w:rFonts w:asciiTheme="majorBidi" w:hAnsiTheme="majorBidi" w:cstheme="majorBidi"/>
          <w:sz w:val="24"/>
          <w:szCs w:val="24"/>
          <w:rtl/>
        </w:rPr>
        <w:t>التطور الثالث — الذكاء الاصطناعي متعدد الوسائط (Multimodal AI) في المحاكم: ستُتيح نماذج الذكاء الاصطناعي متعددة الوسائط في المستقبل القريب تحليل مقاطع الفيديو والصور والمستندات الممسوحة ضوئياً وحتى الاستماع إلى شهادات المحاكم المسجّلة وتحليلها. وسيُفتح ذلك آفاقاً جديدة للاستخدام القانوني المتقدم، لكنه سيُثير في الوقت ذاته تساؤلات أعمق حول خصوصية وكرامة المتقاضين والشهود.</w:t>
      </w:r>
    </w:p>
    <w:p w14:paraId="4F707584" w14:textId="77777777" w:rsidR="005705DD" w:rsidRDefault="005705DD" w:rsidP="005705DD">
      <w:pPr>
        <w:bidi/>
        <w:spacing w:after="200" w:line="276" w:lineRule="auto"/>
        <w:rPr>
          <w:rtl/>
        </w:rPr>
      </w:pPr>
      <w:r>
        <w:rPr>
          <w:rFonts w:asciiTheme="majorBidi" w:hAnsiTheme="majorBidi" w:cstheme="majorBidi"/>
          <w:sz w:val="24"/>
          <w:szCs w:val="24"/>
          <w:rtl/>
        </w:rPr>
        <w:t>ولمجابهة هذه التطورات القادمة، يُوصي الباحث بأن يُصاغ الإطار التنظيمي المقترح على مبدأَين رئيسيَين: مبدأ المرونة التنظيمية (Regulatory Flexibility) الذي يُتيح تحديث الاشتراطات دون الحاجة إلى إعادة صياغة النظام بالكامل كلما ظهر جيل جديد من الأدوات. ومبدأ التناسب في التنظيم (Proportionality Principle) الذي يُطبّق اشتراطات أصعب كلما كانت درجة الاستقلالية الذاتية للأداة الذكية أعلى.</w:t>
      </w:r>
      <w:commentRangeEnd w:id="242"/>
      <w:r>
        <w:rPr>
          <w:rStyle w:val="af0"/>
          <w:sz w:val="22"/>
          <w:szCs w:val="22"/>
          <w:rtl/>
        </w:rPr>
        <w:commentReference w:id="242"/>
      </w:r>
      <w:commentRangeEnd w:id="243"/>
      <w:r>
        <w:rPr>
          <w:rStyle w:val="af0"/>
          <w:sz w:val="22"/>
          <w:szCs w:val="22"/>
          <w:rtl/>
        </w:rPr>
        <w:commentReference w:id="243"/>
      </w:r>
    </w:p>
    <w:p w14:paraId="285929E9" w14:textId="77777777" w:rsidR="005705DD" w:rsidRDefault="005705DD" w:rsidP="005705DD"/>
    <w:p w14:paraId="7FA9AB21" w14:textId="77777777" w:rsidR="005705DD" w:rsidRPr="00A84F46" w:rsidRDefault="005705DD" w:rsidP="005705DD">
      <w:pPr>
        <w:bidi/>
        <w:spacing w:before="240" w:after="200" w:line="276" w:lineRule="auto"/>
        <w:jc w:val="center"/>
        <w:rPr>
          <w:b/>
          <w:bCs/>
          <w:rtl/>
        </w:rPr>
      </w:pPr>
      <w:r>
        <w:rPr>
          <w:rFonts w:asciiTheme="majorBidi" w:hAnsiTheme="majorBidi" w:cstheme="majorBidi"/>
          <w:b/>
          <w:bCs/>
          <w:sz w:val="28"/>
          <w:szCs w:val="28"/>
          <w:rtl/>
        </w:rPr>
        <w:t>المطلب الثالث</w:t>
      </w:r>
    </w:p>
    <w:p w14:paraId="2B1708E0" w14:textId="77777777" w:rsidR="005705DD" w:rsidRPr="00A84F46" w:rsidRDefault="005705DD" w:rsidP="005705DD">
      <w:pPr>
        <w:bidi/>
        <w:spacing w:before="240" w:after="200" w:line="276" w:lineRule="auto"/>
        <w:jc w:val="center"/>
        <w:rPr>
          <w:b/>
          <w:bCs/>
          <w:rtl/>
        </w:rPr>
      </w:pPr>
      <w:commentRangeStart w:id="244"/>
      <w:commentRangeStart w:id="245"/>
      <w:r>
        <w:rPr>
          <w:rFonts w:asciiTheme="majorBidi" w:hAnsiTheme="majorBidi" w:cstheme="majorBidi"/>
          <w:b/>
          <w:bCs/>
          <w:sz w:val="24"/>
          <w:szCs w:val="24"/>
          <w:rtl/>
        </w:rPr>
        <w:t>نحو إطار متكامل — قراءة نقدية استشرافية في كفاية المنظومة النظامية الراهنة</w:t>
      </w:r>
    </w:p>
    <w:p w14:paraId="2DBC44D4" w14:textId="77777777" w:rsidR="005705DD" w:rsidRPr="00A84F46" w:rsidRDefault="005705DD" w:rsidP="005705DD">
      <w:pPr>
        <w:bidi/>
        <w:spacing w:after="200" w:line="276" w:lineRule="auto"/>
        <w:rPr>
          <w:color w:val="000000" w:themeColor="text1"/>
          <w:rtl/>
        </w:rPr>
      </w:pPr>
      <w:r>
        <w:rPr>
          <w:rFonts w:asciiTheme="majorBidi" w:hAnsiTheme="majorBidi" w:cstheme="majorBidi"/>
          <w:b/>
          <w:color w:val="000000" w:themeColor="text1"/>
          <w:sz w:val="28"/>
          <w:szCs w:val="28"/>
          <w:rtl/>
        </w:rPr>
        <w:t>أولاً: قراءة في المشهد الكلي</w:t>
      </w:r>
      <w:commentRangeEnd w:id="244"/>
      <w:r w:rsidRPr="00A84F46">
        <w:rPr>
          <w:rStyle w:val="af0"/>
          <w:color w:val="000000" w:themeColor="text1"/>
          <w:sz w:val="22"/>
          <w:szCs w:val="22"/>
          <w:rtl/>
        </w:rPr>
        <w:commentReference w:id="244"/>
      </w:r>
      <w:commentRangeEnd w:id="245"/>
      <w:r w:rsidRPr="00A84F46">
        <w:rPr>
          <w:rStyle w:val="af0"/>
          <w:color w:val="000000" w:themeColor="text1"/>
          <w:sz w:val="22"/>
          <w:szCs w:val="22"/>
          <w:rtl/>
        </w:rPr>
        <w:commentReference w:id="245"/>
      </w:r>
    </w:p>
    <w:p w14:paraId="2AA94F7C" w14:textId="77777777" w:rsidR="005705DD" w:rsidRDefault="005705DD" w:rsidP="005705DD">
      <w:pPr>
        <w:bidi/>
        <w:spacing w:after="200" w:line="276" w:lineRule="auto"/>
        <w:rPr>
          <w:rtl/>
        </w:rPr>
      </w:pPr>
      <w:r>
        <w:rPr>
          <w:rFonts w:asciiTheme="majorBidi" w:hAnsiTheme="majorBidi" w:cstheme="majorBidi"/>
          <w:sz w:val="24"/>
          <w:szCs w:val="24"/>
          <w:rtl/>
        </w:rPr>
        <w:lastRenderedPageBreak/>
        <w:t>بعد هذه الجولة التحليلية المُعمَّقة في جوانب الواقع والتحديات التي يُفرزها توظيف الذكاء الاصطناعي في مكاتب المحاماة السعودية، يصل الباحث إلى تركيب تحليلي يُقدّم المشهد الكلي في ضوء ما تناوله هذا الفصل.</w:t>
      </w:r>
    </w:p>
    <w:p w14:paraId="3C5B130D" w14:textId="77777777" w:rsidR="005705DD" w:rsidRDefault="005705DD" w:rsidP="005705DD">
      <w:pPr>
        <w:bidi/>
        <w:spacing w:after="200" w:line="276" w:lineRule="auto"/>
        <w:rPr>
          <w:rtl/>
        </w:rPr>
      </w:pPr>
      <w:commentRangeStart w:id="246"/>
      <w:commentRangeStart w:id="247"/>
      <w:r>
        <w:rPr>
          <w:rFonts w:asciiTheme="majorBidi" w:hAnsiTheme="majorBidi" w:cstheme="majorBidi"/>
          <w:sz w:val="24"/>
          <w:szCs w:val="24"/>
          <w:rtl/>
        </w:rPr>
        <w:t>1– انتشار الذكاء الاصطناعي في مكاتب المحاماة السعودية واقع ميداني راهن يتسم في أغلبه بالعشوائية وغياب الضوابط، مما يجعل سد الفراغ التنظيمي حاجة ماسة لا مؤجلة.</w:t>
      </w:r>
      <w:commentRangeEnd w:id="246"/>
      <w:r>
        <w:rPr>
          <w:rStyle w:val="af0"/>
          <w:sz w:val="22"/>
          <w:szCs w:val="22"/>
          <w:rtl/>
        </w:rPr>
        <w:commentReference w:id="246"/>
      </w:r>
      <w:commentRangeEnd w:id="247"/>
      <w:r>
        <w:rPr>
          <w:rStyle w:val="af0"/>
          <w:sz w:val="22"/>
          <w:szCs w:val="22"/>
          <w:rtl/>
        </w:rPr>
        <w:commentReference w:id="247"/>
      </w:r>
    </w:p>
    <w:p w14:paraId="0CF6ACBF" w14:textId="77777777" w:rsidR="005705DD" w:rsidRDefault="005705DD" w:rsidP="005705DD">
      <w:pPr>
        <w:bidi/>
        <w:spacing w:after="200" w:line="276" w:lineRule="auto"/>
        <w:rPr>
          <w:rtl/>
        </w:rPr>
      </w:pPr>
      <w:r>
        <w:rPr>
          <w:rFonts w:asciiTheme="majorBidi" w:hAnsiTheme="majorBidi" w:cstheme="majorBidi"/>
          <w:sz w:val="24"/>
          <w:szCs w:val="24"/>
          <w:rtl/>
        </w:rPr>
        <w:t>2– الإطار القانوني القائم وحدوده: يُوفّر الإطار القانوني القائم في المملكة العربية السعودية — المتمثل في نظام المحاماة ونظام حماية البيانات الشخصية ونظام الإثبات ونظام المعاملات المدنية ونظام مكافحة الجرائم المعلوماتية — منظومةً يمكن تطويعها لمعالجة بعض الإشكاليات الطارئة. غير أن هذا الإطار يفتقر إلى نصوص مُخصَّصة ومُعدَّة أصلاً لبيئة الذكاء الاصطناعي، وهو ما يُثقل كاهل القاضي والمحامي والمنظِّم باللجوء إلى التفسير الموسَّع والاجتهاد الظرفي في غياب نصوص صريحة.</w:t>
      </w:r>
    </w:p>
    <w:p w14:paraId="6E4DD8C0" w14:textId="77777777" w:rsidR="005705DD" w:rsidRDefault="005705DD" w:rsidP="005705DD">
      <w:pPr>
        <w:bidi/>
        <w:spacing w:after="200" w:line="276" w:lineRule="auto"/>
        <w:rPr>
          <w:rtl/>
        </w:rPr>
      </w:pPr>
      <w:r>
        <w:rPr>
          <w:rFonts w:asciiTheme="majorBidi" w:hAnsiTheme="majorBidi" w:cstheme="majorBidi"/>
          <w:sz w:val="24"/>
          <w:szCs w:val="24"/>
          <w:rtl/>
        </w:rPr>
        <w:t>3– التجربة الإماراتية كمرآة لا مثال مُقلَّد: ويخلص الباحث إلى أن التجربة الإماراتية لا تصلح للنقل الحرفي، وإنما يستفاد منها في بيان جدوى التقدم التشريعي المبكر وثماره. والسياق السعودي — بمرجعيته الشرعية وضخامة اقتصاده ومنظومة رؤية 2030 — يمتلك ما يحتاجه لبناء نموذج تنظيمي ذاتي قادر على تجاوز التجربة الإماراتية في جوانب عدة، إذا ما أُحسن توظيف هذه الممكّنات.</w:t>
      </w:r>
    </w:p>
    <w:p w14:paraId="3B8134E3" w14:textId="77777777" w:rsidR="005705DD" w:rsidRDefault="005705DD" w:rsidP="005705DD">
      <w:pPr>
        <w:bidi/>
        <w:spacing w:after="200" w:line="276" w:lineRule="auto"/>
        <w:rPr>
          <w:rtl/>
        </w:rPr>
      </w:pPr>
      <w:commentRangeStart w:id="248"/>
      <w:commentRangeStart w:id="249"/>
      <w:r>
        <w:rPr>
          <w:rFonts w:asciiTheme="majorBidi" w:hAnsiTheme="majorBidi" w:cstheme="majorBidi"/>
          <w:sz w:val="24"/>
          <w:szCs w:val="24"/>
          <w:rtl/>
        </w:rPr>
        <w:t xml:space="preserve">4– </w:t>
      </w:r>
      <w:commentRangeEnd w:id="248"/>
      <w:r>
        <w:rPr>
          <w:rStyle w:val="af0"/>
          <w:rFonts w:asciiTheme="majorBidi" w:hAnsiTheme="majorBidi" w:cstheme="majorBidi"/>
          <w:sz w:val="24"/>
          <w:szCs w:val="24"/>
          <w:rtl/>
        </w:rPr>
        <w:commentReference w:id="248"/>
      </w:r>
      <w:commentRangeEnd w:id="249"/>
      <w:r>
        <w:rPr>
          <w:rStyle w:val="af0"/>
          <w:rFonts w:asciiTheme="majorBidi" w:hAnsiTheme="majorBidi" w:cstheme="majorBidi"/>
          <w:sz w:val="24"/>
          <w:szCs w:val="24"/>
          <w:rtl/>
        </w:rPr>
        <w:commentReference w:id="249"/>
      </w:r>
      <w:commentRangeStart w:id="250"/>
      <w:commentRangeStart w:id="251"/>
      <w:r>
        <w:rPr>
          <w:rFonts w:asciiTheme="majorBidi" w:hAnsiTheme="majorBidi" w:cstheme="majorBidi"/>
          <w:sz w:val="24"/>
          <w:szCs w:val="24"/>
          <w:rtl/>
        </w:rPr>
        <w:t xml:space="preserve">يُعد الوضع الراهن خسارة مزدوجة: ففي الحالة الراهنة </w:t>
      </w:r>
      <w:commentRangeEnd w:id="250"/>
      <w:r>
        <w:rPr>
          <w:rStyle w:val="af0"/>
          <w:rFonts w:asciiTheme="majorBidi" w:hAnsiTheme="majorBidi" w:cstheme="majorBidi"/>
          <w:sz w:val="24"/>
          <w:szCs w:val="24"/>
          <w:rtl/>
        </w:rPr>
        <w:commentReference w:id="250"/>
      </w:r>
      <w:commentRangeEnd w:id="251"/>
      <w:r>
        <w:rPr>
          <w:rStyle w:val="af0"/>
          <w:rFonts w:asciiTheme="majorBidi" w:hAnsiTheme="majorBidi" w:cstheme="majorBidi"/>
          <w:sz w:val="24"/>
          <w:szCs w:val="24"/>
          <w:rtl/>
        </w:rPr>
        <w:commentReference w:id="251"/>
      </w:r>
      <w:r>
        <w:rPr>
          <w:rFonts w:asciiTheme="majorBidi" w:hAnsiTheme="majorBidi" w:cstheme="majorBidi"/>
          <w:sz w:val="24"/>
          <w:szCs w:val="24"/>
          <w:rtl/>
        </w:rPr>
        <w:t>— حيث تُوظَّف أدوات الذكاء الاصطناعي دون ضوابط ودون ضمانات — يُعدّ الوضع خسارةً مزدوجة: خسارة للموكلين الذين تُعالَج بياناتهم دون ضمانات كافية وتُصاغ وثائقهم بأدوات غير موثوقة وغير معتمدة. وخسارة لمكاتب المحاماة ذاتها التي تتعرض لمخاطر قانونية ومهنية قد تكون تبعاتها وخيمة دون أن تكون مُدركةً لها. في حين أن التنظيم الصريح يتحول إلى مكسب مزدوج: يوفّر الحماية للطرفين معاً.</w:t>
      </w:r>
    </w:p>
    <w:p w14:paraId="66D6BB1C" w14:textId="77777777" w:rsidR="005705DD" w:rsidRDefault="005705DD" w:rsidP="005705DD">
      <w:pPr>
        <w:bidi/>
        <w:spacing w:after="200" w:line="276" w:lineRule="auto"/>
        <w:rPr>
          <w:rtl/>
        </w:rPr>
      </w:pPr>
      <w:commentRangeStart w:id="252"/>
      <w:commentRangeStart w:id="253"/>
      <w:r>
        <w:rPr>
          <w:rFonts w:asciiTheme="majorBidi" w:hAnsiTheme="majorBidi" w:cstheme="majorBidi"/>
          <w:sz w:val="24"/>
          <w:szCs w:val="24"/>
          <w:rtl/>
        </w:rPr>
        <w:t>5– الدور المنشود للفصل الرابع: يستلزم هذا المشهد الكلي أن يأتي الفصل الرابع بإطار تنظيمي مُعالِج لكل مستوى من مستويات الفجوة الثلاثة المُحدَّدة في هذا الفصل: يُعالج الفجوة المعرفية بالتدريب المهني الإلزامي وآليات نشر الوعي. ويُعالج الفجوة التطبيقية بآليات الرقابة والمساءلة ومتطلبات الإفصاح. ويُعالج الفجوة التشريعية بنص ضابط صريح يُميّز بين أصناف التقنيات ويوزّع المسؤوليات ويُحدد الاشتراطات.</w:t>
      </w:r>
      <w:commentRangeEnd w:id="252"/>
      <w:r>
        <w:rPr>
          <w:rStyle w:val="af0"/>
          <w:sz w:val="22"/>
          <w:szCs w:val="22"/>
          <w:rtl/>
        </w:rPr>
        <w:commentReference w:id="252"/>
      </w:r>
      <w:commentRangeEnd w:id="253"/>
      <w:r>
        <w:rPr>
          <w:rStyle w:val="af0"/>
          <w:sz w:val="22"/>
          <w:szCs w:val="22"/>
          <w:rtl/>
        </w:rPr>
        <w:commentReference w:id="253"/>
      </w:r>
    </w:p>
    <w:p w14:paraId="56D5086C" w14:textId="77777777" w:rsidR="005705DD" w:rsidRDefault="005705DD" w:rsidP="005705DD"/>
    <w:p w14:paraId="45B0FC9D" w14:textId="77777777" w:rsidR="005705DD" w:rsidRPr="00A84F46" w:rsidRDefault="005705DD" w:rsidP="005705DD">
      <w:pPr>
        <w:bidi/>
        <w:spacing w:after="200" w:line="276" w:lineRule="auto"/>
        <w:rPr>
          <w:bCs/>
          <w:color w:val="000000" w:themeColor="text1"/>
          <w:rtl/>
        </w:rPr>
      </w:pPr>
      <w:commentRangeStart w:id="254"/>
      <w:commentRangeStart w:id="255"/>
      <w:r>
        <w:rPr>
          <w:rFonts w:asciiTheme="majorBidi" w:hAnsiTheme="majorBidi" w:cstheme="majorBidi"/>
          <w:bCs/>
          <w:color w:val="000000" w:themeColor="text1"/>
          <w:sz w:val="28"/>
          <w:szCs w:val="28"/>
          <w:rtl/>
        </w:rPr>
        <w:t>ثانياً: تدابير مؤسسية مقترحة لمكاتب المحاماة قبل صدور التشريع</w:t>
      </w:r>
      <w:commentRangeEnd w:id="254"/>
      <w:r w:rsidRPr="00A84F46">
        <w:rPr>
          <w:rStyle w:val="af0"/>
          <w:bCs/>
          <w:color w:val="000000" w:themeColor="text1"/>
          <w:sz w:val="22"/>
          <w:szCs w:val="22"/>
          <w:rtl/>
        </w:rPr>
        <w:commentReference w:id="254"/>
      </w:r>
      <w:commentRangeEnd w:id="255"/>
      <w:r w:rsidRPr="00A84F46">
        <w:rPr>
          <w:rStyle w:val="af0"/>
          <w:bCs/>
          <w:color w:val="000000" w:themeColor="text1"/>
          <w:sz w:val="22"/>
          <w:szCs w:val="22"/>
          <w:rtl/>
        </w:rPr>
        <w:commentReference w:id="255"/>
      </w:r>
    </w:p>
    <w:p w14:paraId="31D7E3A9" w14:textId="77777777" w:rsidR="005705DD" w:rsidRDefault="005705DD" w:rsidP="005705DD">
      <w:pPr>
        <w:bidi/>
        <w:spacing w:after="200" w:line="276" w:lineRule="auto"/>
        <w:rPr>
          <w:rtl/>
        </w:rPr>
      </w:pPr>
      <w:commentRangeStart w:id="256"/>
      <w:commentRangeStart w:id="257"/>
      <w:r>
        <w:rPr>
          <w:rFonts w:asciiTheme="majorBidi" w:hAnsiTheme="majorBidi" w:cstheme="majorBidi"/>
          <w:sz w:val="24"/>
          <w:szCs w:val="24"/>
          <w:rtl/>
        </w:rPr>
        <w:t>يقترح الباحث جملة تدابير مؤسسية تلتزم بها مكاتب المحاماة إلى حين صدور التنظيم المنشود، تجسد ما يمكن تسميته "مكتب المحاماة السعودي المُؤسَّس للذكاء الاصطناعي" (AI-Ready Saudi Law Firm)، وهو تصوّر يُجسّد الحالة التي تُصبح فيها الثغرات المُرصودة في هذا الفصل مُعالَجة بصورة مؤسسية داخل المكتب ذاته بانتظار الإطار التشريعي الشامل:</w:t>
      </w:r>
    </w:p>
    <w:p w14:paraId="42458EF4" w14:textId="77777777" w:rsidR="005705DD" w:rsidRDefault="005705DD" w:rsidP="005705DD">
      <w:pPr>
        <w:bidi/>
        <w:spacing w:after="200" w:line="276" w:lineRule="auto"/>
        <w:rPr>
          <w:rtl/>
        </w:rPr>
      </w:pPr>
      <w:r>
        <w:rPr>
          <w:rFonts w:asciiTheme="majorBidi" w:hAnsiTheme="majorBidi" w:cstheme="majorBidi"/>
          <w:sz w:val="24"/>
          <w:szCs w:val="24"/>
          <w:rtl/>
        </w:rPr>
        <w:t>1– امتلاك سياسة ذكاء اصطناعي داخلية مُحكَمة: تُحدد أصناف الأدوات المُجازة، وطبيعة البيانات المسموح بإدخالها، وإجراءات المراجعة البشرية الإلزامية، وآليات الإفصاح للموكل، وأسلوب التوثيق.</w:t>
      </w:r>
      <w:commentRangeEnd w:id="256"/>
      <w:r>
        <w:rPr>
          <w:rStyle w:val="af0"/>
          <w:sz w:val="22"/>
          <w:szCs w:val="22"/>
          <w:rtl/>
        </w:rPr>
        <w:commentReference w:id="256"/>
      </w:r>
      <w:commentRangeEnd w:id="257"/>
      <w:r>
        <w:rPr>
          <w:rStyle w:val="af0"/>
          <w:sz w:val="22"/>
          <w:szCs w:val="22"/>
          <w:rtl/>
        </w:rPr>
        <w:commentReference w:id="257"/>
      </w:r>
    </w:p>
    <w:p w14:paraId="018A0834" w14:textId="77777777" w:rsidR="005705DD" w:rsidRDefault="005705DD" w:rsidP="005705DD">
      <w:pPr>
        <w:bidi/>
        <w:spacing w:after="200" w:line="276" w:lineRule="auto"/>
        <w:rPr>
          <w:rtl/>
        </w:rPr>
      </w:pPr>
      <w:r>
        <w:rPr>
          <w:rFonts w:asciiTheme="majorBidi" w:hAnsiTheme="majorBidi" w:cstheme="majorBidi"/>
          <w:sz w:val="24"/>
          <w:szCs w:val="24"/>
          <w:rtl/>
        </w:rPr>
        <w:t>2– امتلاك كفاءة بشرية متخصصة في التقنيات القانونية: سواء عبر التدريب الداخلي للمحامين القائمين على فهم حدود أدوات الذكاء الاصطناعي وآليات التحقق من مخرجاتها، أو عبر تعيين مختص في "القانون والتقنية" (Legal Tech Specialist) يُشرف على الاستخدام المؤسسي للأدوات.</w:t>
      </w:r>
    </w:p>
    <w:p w14:paraId="27695309" w14:textId="77777777" w:rsidR="005705DD" w:rsidRDefault="005705DD" w:rsidP="005705DD">
      <w:pPr>
        <w:bidi/>
        <w:spacing w:after="200" w:line="276" w:lineRule="auto"/>
        <w:rPr>
          <w:rtl/>
        </w:rPr>
      </w:pPr>
      <w:r>
        <w:rPr>
          <w:rFonts w:asciiTheme="majorBidi" w:hAnsiTheme="majorBidi" w:cstheme="majorBidi"/>
          <w:sz w:val="24"/>
          <w:szCs w:val="24"/>
          <w:rtl/>
        </w:rPr>
        <w:t>3– اعتماد أدوات مُدقَّقة بعناية وليس كل ما هو متاح: لا يعني توافر أداة ذكية مجاناً أو بتكلفة منخفضة أنها الخيار الأنسب؛ فمكتب المحاماة المُؤسَّس يُقيّم الأدوات بمعايير الأمن والموثوقية والامتثال التنظيمي قبل اعتمادها، لا بمعيار الكلفة وحده.</w:t>
      </w:r>
    </w:p>
    <w:p w14:paraId="0EA35731" w14:textId="77777777" w:rsidR="005705DD" w:rsidRDefault="005705DD" w:rsidP="005705DD">
      <w:pPr>
        <w:bidi/>
        <w:spacing w:after="200" w:line="276" w:lineRule="auto"/>
        <w:rPr>
          <w:rtl/>
        </w:rPr>
      </w:pPr>
      <w:r>
        <w:rPr>
          <w:rFonts w:asciiTheme="majorBidi" w:hAnsiTheme="majorBidi" w:cstheme="majorBidi"/>
          <w:sz w:val="24"/>
          <w:szCs w:val="24"/>
          <w:rtl/>
        </w:rPr>
        <w:lastRenderedPageBreak/>
        <w:t>4– إدارة مخاطر مستمرة لا لحظية: تُعدّ إدارة المخاطر المرتبطة بالذكاء الاصطناعي عمليةً مستمرة لا حادثةً وقتية. ومكتب المحاماة المُؤسَّس يُراجع سياساته بصورة دورية كلما تطورت الأدوات أو تغيرت البيئة التنظيمية، ويُدير سجلاً لحوادث الاستخدام غير المرغوب فيه يُساعد على التعلم من الأخطاء.</w:t>
      </w:r>
    </w:p>
    <w:p w14:paraId="2B54A664" w14:textId="77777777" w:rsidR="005705DD" w:rsidRDefault="005705DD" w:rsidP="005705DD">
      <w:pPr>
        <w:bidi/>
        <w:spacing w:after="200" w:line="276" w:lineRule="auto"/>
        <w:rPr>
          <w:rtl/>
        </w:rPr>
      </w:pPr>
      <w:r>
        <w:rPr>
          <w:rFonts w:asciiTheme="majorBidi" w:hAnsiTheme="majorBidi" w:cstheme="majorBidi"/>
          <w:sz w:val="24"/>
          <w:szCs w:val="24"/>
          <w:rtl/>
        </w:rPr>
        <w:t>5– الالتزام الاستباقي لا الانتظاري: لا ينتظر مكتب المحاماة المُؤسَّس صدورَ التشريع لبدء الامتثال، بل يُبادر بتبنّي أفضل الممارسات الدولية ويُعدّلها لتتلاءم مع السياق السعودي. هذا الالتزام الاستباقي يُقلّل من مخاطر التعرض للمسؤولية ويُعزّز السمعة المهنية، ويُمكّن المكتب من التأثير الإيجابي على المسار التشريعي حين تُستشار مكاتب المحاماة في صياغة الأطر التنظيمية المقبلة.</w:t>
      </w:r>
    </w:p>
    <w:p w14:paraId="69801345" w14:textId="77777777" w:rsidR="005705DD" w:rsidRDefault="005705DD" w:rsidP="005705DD">
      <w:pPr>
        <w:bidi/>
        <w:spacing w:after="200" w:line="276" w:lineRule="auto"/>
        <w:rPr>
          <w:rtl/>
        </w:rPr>
      </w:pPr>
      <w:r>
        <w:rPr>
          <w:rFonts w:asciiTheme="majorBidi" w:hAnsiTheme="majorBidi" w:cstheme="majorBidi"/>
          <w:sz w:val="24"/>
          <w:szCs w:val="24"/>
          <w:rtl/>
        </w:rPr>
        <w:t>يُعبّر الباحث في خاتمة هذه الجولة التحليلية عن اقتناعه بأن الفصل بين قيود التشريع وفرص الممارسة المهنية المسؤولة ممكن ومشروع؛ فلا يلزم انتظار التشريع الكامل للسلوك بمقتضى الأخلاقيات المهنية الرفيعة. والمحامي السعودي الذي يمزج بين الكفاءة التقنية والانضباط المهني والوعي النظامي هو الذي يُشكّل النموذج الأجدر بالاحتذاء في حقبة الذكاء الاصطناعي، قبل أن يفرض التشريع ذلك وبعده.</w:t>
      </w:r>
    </w:p>
    <w:p w14:paraId="71702474" w14:textId="77777777" w:rsidR="005705DD" w:rsidRDefault="005705DD" w:rsidP="005705DD"/>
    <w:p w14:paraId="76336B53" w14:textId="77777777" w:rsidR="005705DD" w:rsidRPr="00A84F46" w:rsidRDefault="005705DD" w:rsidP="005705DD">
      <w:pPr>
        <w:bidi/>
        <w:spacing w:after="200" w:line="276" w:lineRule="auto"/>
        <w:rPr>
          <w:bCs/>
          <w:color w:val="000000" w:themeColor="text1"/>
          <w:rtl/>
        </w:rPr>
      </w:pPr>
      <w:commentRangeStart w:id="258"/>
      <w:commentRangeStart w:id="259"/>
      <w:r>
        <w:rPr>
          <w:rFonts w:asciiTheme="majorBidi" w:hAnsiTheme="majorBidi" w:cstheme="majorBidi"/>
          <w:bCs/>
          <w:color w:val="000000" w:themeColor="text1"/>
          <w:sz w:val="28"/>
          <w:szCs w:val="28"/>
          <w:rtl/>
        </w:rPr>
        <w:t>ثالثاً: خلاصة المخاطر والتوصيات الميدانية المرحلية</w:t>
      </w:r>
      <w:commentRangeEnd w:id="258"/>
      <w:r w:rsidRPr="00A84F46">
        <w:rPr>
          <w:rStyle w:val="af0"/>
          <w:bCs/>
          <w:color w:val="000000" w:themeColor="text1"/>
          <w:sz w:val="22"/>
          <w:szCs w:val="22"/>
          <w:rtl/>
        </w:rPr>
        <w:commentReference w:id="258"/>
      </w:r>
      <w:commentRangeEnd w:id="259"/>
      <w:r w:rsidRPr="00A84F46">
        <w:rPr>
          <w:rStyle w:val="af0"/>
          <w:bCs/>
          <w:color w:val="000000" w:themeColor="text1"/>
          <w:sz w:val="22"/>
          <w:szCs w:val="22"/>
          <w:rtl/>
        </w:rPr>
        <w:commentReference w:id="259"/>
      </w:r>
    </w:p>
    <w:p w14:paraId="2DA952A7" w14:textId="77777777" w:rsidR="005705DD" w:rsidRDefault="005705DD" w:rsidP="005705DD">
      <w:pPr>
        <w:bidi/>
        <w:spacing w:after="200" w:line="276" w:lineRule="auto"/>
        <w:rPr>
          <w:rtl/>
        </w:rPr>
      </w:pPr>
      <w:r>
        <w:rPr>
          <w:rFonts w:asciiTheme="majorBidi" w:hAnsiTheme="majorBidi" w:cstheme="majorBidi"/>
          <w:sz w:val="24"/>
          <w:szCs w:val="24"/>
          <w:rtl/>
        </w:rPr>
        <w:t>يختتم الباحث تحليله في هذا الفصل بخلاصة تجمع الإشكاليات والمخاطر والتوصيات الميدانية المرحلية في صورة موجزة قابلة للتطبيق من جانب مكاتب المحاماة السعودية قبل صدور تشريع صريح:</w:t>
      </w:r>
    </w:p>
    <w:p w14:paraId="53D4A21D" w14:textId="77777777" w:rsidR="005705DD" w:rsidRDefault="005705DD" w:rsidP="005705DD">
      <w:pPr>
        <w:bidi/>
        <w:spacing w:after="200" w:line="276" w:lineRule="auto"/>
        <w:rPr>
          <w:rtl/>
        </w:rPr>
      </w:pPr>
      <w:r>
        <w:rPr>
          <w:rFonts w:asciiTheme="majorBidi" w:hAnsiTheme="majorBidi" w:cstheme="majorBidi"/>
          <w:sz w:val="24"/>
          <w:szCs w:val="24"/>
          <w:rtl/>
        </w:rPr>
        <w:t>1– تصنيف الأدوات والمخاطر المقابلة لها: أدوات الذكاء الاصطناعي التوليدي العامة (ChatGPT, Gemini, Copilot) تحمل مخاطر مرتفعة من حيث سيادة البيانات وخطأ المعلومات، وتُناسبها توصية: الاستخدام المحدود في المهام الإدارية الروتينية مع تجنب إدخال البيانات الحساسة. أما أدوات الذكاء الاصطناعي القانوني المتخصصة (Harvey, Luminance) فتحمل مخاطر أقل من حيث دقة المعلومات لكن مخاطر أعلى من حيث الكلفة والاعتماد عليها، وتُناسبها توصية: التحقق الإضافي من المراجع والاشتراط التعاقدي على ضمانات البيانات. وأما المنصات القانونية المحلية (ناجز وغيرها) فهي الأقل مخاطر نظامياً وتُوصى باستخدامها كخيار أول كلما أتاحت الوظيفة المطلوبة.</w:t>
      </w:r>
    </w:p>
    <w:p w14:paraId="1F5C1D63" w14:textId="77777777" w:rsidR="005705DD" w:rsidRDefault="005705DD" w:rsidP="005705DD">
      <w:pPr>
        <w:bidi/>
        <w:spacing w:after="200" w:line="276" w:lineRule="auto"/>
        <w:rPr>
          <w:rtl/>
        </w:rPr>
      </w:pPr>
      <w:r>
        <w:rPr>
          <w:rFonts w:asciiTheme="majorBidi" w:hAnsiTheme="majorBidi" w:cstheme="majorBidi"/>
          <w:sz w:val="24"/>
          <w:szCs w:val="24"/>
          <w:rtl/>
        </w:rPr>
        <w:t>2– توصيات مرحلية لمكاتب المحاماة السعودية قبل صدور التشريع: أولاً: إعداد سياسة داخلية مكتوبة تُحدد أي الأدوات الذكية مُجازة لأي نوع من المهام وما هي القيود المصاحبة. ثانياً: إلزام المحامين بإخطار الموكلين كتابةً باستخدام الذكاء الاصطناعي ضمن نطاق الوكالة، مع الحصول على موافقة خطية بما يُلزم الموكل فيما يتعلق بمعالجة بياناته. ثالثاً: اعتماد مبدأ "بقاء الإنسان في حلقة القرار" (</w:t>
      </w:r>
      <w:commentRangeStart w:id="260"/>
      <w:commentRangeStart w:id="261"/>
      <w:r>
        <w:rPr>
          <w:rFonts w:asciiTheme="majorBidi" w:hAnsiTheme="majorBidi" w:cstheme="majorBidi"/>
          <w:sz w:val="24"/>
          <w:szCs w:val="24"/>
          <w:rtl/>
        </w:rPr>
        <w:t>Human-in-the-Loop</w:t>
      </w:r>
      <w:commentRangeEnd w:id="260"/>
      <w:r>
        <w:rPr>
          <w:rStyle w:val="af0"/>
          <w:rFonts w:asciiTheme="majorBidi" w:hAnsiTheme="majorBidi" w:cstheme="majorBidi"/>
          <w:sz w:val="24"/>
          <w:szCs w:val="24"/>
          <w:rtl/>
        </w:rPr>
        <w:commentReference w:id="260"/>
      </w:r>
      <w:commentRangeEnd w:id="261"/>
      <w:r>
        <w:rPr>
          <w:rStyle w:val="af0"/>
          <w:rFonts w:asciiTheme="majorBidi" w:hAnsiTheme="majorBidi" w:cstheme="majorBidi"/>
          <w:sz w:val="24"/>
          <w:szCs w:val="24"/>
          <w:rtl/>
        </w:rPr>
        <w:commentReference w:id="261"/>
      </w:r>
      <w:r>
        <w:rPr>
          <w:rFonts w:asciiTheme="majorBidi" w:hAnsiTheme="majorBidi" w:cstheme="majorBidi"/>
          <w:sz w:val="24"/>
          <w:szCs w:val="24"/>
          <w:rtl/>
        </w:rPr>
        <w:t xml:space="preserve">) بصورة مُقنَّنة، بمعنى إلزام مراجعة بشرية متخصصة لكل مخرج ذكي قبل تقديمه لجهة قضائية أو لموكل. رابعاً: الامتناع عن إدخال البيانات الشخصية الحساسة والوثائق القضائية الحيوية في أدوات ذكاء اصطناعي أجنبية غير خاضعة للولاية القضائية السعودية. </w:t>
      </w:r>
      <w:commentRangeStart w:id="262"/>
      <w:commentRangeStart w:id="263"/>
      <w:r>
        <w:rPr>
          <w:rFonts w:asciiTheme="majorBidi" w:hAnsiTheme="majorBidi" w:cstheme="majorBidi"/>
          <w:sz w:val="24"/>
          <w:szCs w:val="24"/>
          <w:rtl/>
        </w:rPr>
        <w:t>خامساً: التحقق من المصادر (Source Verification)</w:t>
      </w:r>
      <w:commentRangeEnd w:id="262"/>
      <w:r>
        <w:rPr>
          <w:rStyle w:val="af0"/>
          <w:rFonts w:asciiTheme="majorBidi" w:hAnsiTheme="majorBidi" w:cstheme="majorBidi"/>
          <w:sz w:val="24"/>
          <w:szCs w:val="24"/>
          <w:rtl/>
        </w:rPr>
        <w:commentReference w:id="262"/>
      </w:r>
      <w:commentRangeEnd w:id="263"/>
      <w:r>
        <w:rPr>
          <w:rStyle w:val="af0"/>
          <w:rFonts w:asciiTheme="majorBidi" w:hAnsiTheme="majorBidi" w:cstheme="majorBidi"/>
          <w:sz w:val="24"/>
          <w:szCs w:val="24"/>
          <w:rtl/>
        </w:rPr>
        <w:commentReference w:id="263"/>
      </w:r>
      <w:r>
        <w:rPr>
          <w:rFonts w:asciiTheme="majorBidi" w:hAnsiTheme="majorBidi" w:cstheme="majorBidi"/>
          <w:sz w:val="24"/>
          <w:szCs w:val="24"/>
          <w:rtl/>
        </w:rPr>
        <w:t xml:space="preserve"> لكل مرجع قانوني أو حكم قضائي يذكره النموذج الذكي قبل الاستشهاد به في أي وثيقة رسمية.</w:t>
      </w:r>
    </w:p>
    <w:p w14:paraId="2BE01331" w14:textId="77777777" w:rsidR="005705DD" w:rsidRDefault="005705DD" w:rsidP="005705DD">
      <w:pPr>
        <w:bidi/>
        <w:spacing w:after="200" w:line="276" w:lineRule="auto"/>
        <w:rPr>
          <w:rtl/>
        </w:rPr>
      </w:pPr>
      <w:r>
        <w:rPr>
          <w:rFonts w:asciiTheme="majorBidi" w:hAnsiTheme="majorBidi" w:cstheme="majorBidi"/>
          <w:sz w:val="24"/>
          <w:szCs w:val="24"/>
          <w:rtl/>
        </w:rPr>
        <w:t xml:space="preserve">3– المستجدات التشريعية المقترح متابعتها: ينبغي لمكاتب المحاماة السعودية متابعة المستجدات التشريعية التالية لأثرها المباشر المتوقَّع: أولاً: اللوائح التنفيذية لنظام حماية البيانات الشخصية (1443هـ) المتوقع توسيعها وتخصيصها. ثانياً: أي تعميمات أو توجيهات تصدرها الهيئة السعودية للمحامين بشأن الذكاء الاصطناعي. ثالثاً: المستجدات في وثائق سدايا التنظيمية لا سيما تلك المتعلقة بالقطاع القانوني. رابعاً: المستجدات في نظام المحاماة الذي يُتوقع أن تشمل مراجعاته القادمة إشارات صريحة لاستخدام التقنيات الذكية. </w:t>
      </w:r>
      <w:commentRangeStart w:id="264"/>
      <w:commentRangeStart w:id="265"/>
      <w:r>
        <w:rPr>
          <w:rFonts w:asciiTheme="majorBidi" w:hAnsiTheme="majorBidi" w:cstheme="majorBidi"/>
          <w:sz w:val="24"/>
          <w:szCs w:val="24"/>
          <w:rtl/>
        </w:rPr>
        <w:t>خامساً: المستجدات التنظيمية المقارنة ذات الصلة، وفي مقدمتها التطورات الإماراتية والأوروبية في تنظيم الذكاء الاصطناعي.</w:t>
      </w:r>
      <w:commentRangeEnd w:id="264"/>
      <w:r>
        <w:rPr>
          <w:rStyle w:val="af0"/>
          <w:sz w:val="22"/>
          <w:szCs w:val="22"/>
          <w:rtl/>
        </w:rPr>
        <w:commentReference w:id="264"/>
      </w:r>
      <w:commentRangeEnd w:id="265"/>
      <w:r>
        <w:rPr>
          <w:rStyle w:val="af0"/>
          <w:sz w:val="22"/>
          <w:szCs w:val="22"/>
          <w:rtl/>
        </w:rPr>
        <w:commentReference w:id="265"/>
      </w:r>
    </w:p>
    <w:p w14:paraId="4E4D096E" w14:textId="77777777" w:rsidR="005705DD" w:rsidRDefault="005705DD" w:rsidP="005705DD"/>
    <w:p w14:paraId="7C6F9780" w14:textId="77777777" w:rsidR="005705DD" w:rsidRPr="00A84F46" w:rsidRDefault="005705DD" w:rsidP="005705DD">
      <w:pPr>
        <w:bidi/>
        <w:spacing w:after="200" w:line="276" w:lineRule="auto"/>
        <w:rPr>
          <w:bCs/>
          <w:color w:val="000000" w:themeColor="text1"/>
          <w:rtl/>
        </w:rPr>
      </w:pPr>
      <w:commentRangeStart w:id="266"/>
      <w:commentRangeStart w:id="267"/>
      <w:r>
        <w:rPr>
          <w:rFonts w:asciiTheme="majorBidi" w:hAnsiTheme="majorBidi" w:cstheme="majorBidi"/>
          <w:bCs/>
          <w:color w:val="000000" w:themeColor="text1"/>
          <w:sz w:val="28"/>
          <w:szCs w:val="28"/>
          <w:rtl/>
        </w:rPr>
        <w:lastRenderedPageBreak/>
        <w:t>خلاصة نقدية شاملة — قراءة اختبارية لمدى كفاية الإطار النظامي الراهن</w:t>
      </w:r>
      <w:commentRangeEnd w:id="266"/>
      <w:r w:rsidRPr="00A84F46">
        <w:rPr>
          <w:rStyle w:val="af0"/>
          <w:bCs/>
          <w:color w:val="000000" w:themeColor="text1"/>
          <w:sz w:val="22"/>
          <w:szCs w:val="22"/>
          <w:rtl/>
        </w:rPr>
        <w:commentReference w:id="266"/>
      </w:r>
      <w:commentRangeEnd w:id="267"/>
      <w:r w:rsidRPr="00A84F46">
        <w:rPr>
          <w:rStyle w:val="af0"/>
          <w:bCs/>
          <w:color w:val="000000" w:themeColor="text1"/>
          <w:sz w:val="22"/>
          <w:szCs w:val="22"/>
          <w:rtl/>
        </w:rPr>
        <w:commentReference w:id="267"/>
      </w:r>
    </w:p>
    <w:p w14:paraId="601401D5" w14:textId="77777777" w:rsidR="005705DD" w:rsidRDefault="005705DD" w:rsidP="005705DD">
      <w:pPr>
        <w:bidi/>
        <w:spacing w:after="200" w:line="276" w:lineRule="auto"/>
        <w:rPr>
          <w:rtl/>
        </w:rPr>
      </w:pPr>
      <w:r>
        <w:rPr>
          <w:rFonts w:asciiTheme="majorBidi" w:hAnsiTheme="majorBidi" w:cstheme="majorBidi"/>
          <w:sz w:val="24"/>
          <w:szCs w:val="24"/>
          <w:rtl/>
        </w:rPr>
        <w:t>في خاتمة هذا الفصل، يُقدّم الباحث قراءةً اختباريةً نقديةً شاملة لمدى كفاية الإطار النظامي السعودي الراهن للتعامل مع التحديات التي رصدها الفصل</w:t>
      </w:r>
      <w:commentRangeStart w:id="268"/>
      <w:commentRangeStart w:id="269"/>
      <w:r>
        <w:rPr>
          <w:rFonts w:asciiTheme="majorBidi" w:hAnsiTheme="majorBidi" w:cstheme="majorBidi"/>
          <w:sz w:val="24"/>
          <w:szCs w:val="24"/>
          <w:rtl/>
        </w:rPr>
        <w:t>. وتُجري هذه القراءة "اختباراً تطبيقياً" (Scenario Test) لكل نظام رئيسي ذي صلة:</w:t>
      </w:r>
      <w:commentRangeEnd w:id="268"/>
      <w:r>
        <w:rPr>
          <w:rStyle w:val="af0"/>
          <w:sz w:val="22"/>
          <w:szCs w:val="22"/>
          <w:rtl/>
        </w:rPr>
        <w:commentReference w:id="268"/>
      </w:r>
      <w:commentRangeEnd w:id="269"/>
      <w:r>
        <w:rPr>
          <w:rStyle w:val="af0"/>
          <w:sz w:val="22"/>
          <w:szCs w:val="22"/>
          <w:rtl/>
        </w:rPr>
        <w:commentReference w:id="269"/>
      </w:r>
    </w:p>
    <w:p w14:paraId="7A973DCA" w14:textId="77777777" w:rsidR="005705DD" w:rsidRDefault="005705DD" w:rsidP="005705DD">
      <w:pPr>
        <w:bidi/>
        <w:spacing w:after="200" w:line="276" w:lineRule="auto"/>
        <w:rPr>
          <w:rtl/>
        </w:rPr>
      </w:pPr>
      <w:commentRangeStart w:id="270"/>
      <w:commentRangeStart w:id="271"/>
      <w:r>
        <w:rPr>
          <w:rFonts w:asciiTheme="majorBidi" w:hAnsiTheme="majorBidi" w:cstheme="majorBidi"/>
          <w:sz w:val="24"/>
          <w:szCs w:val="24"/>
          <w:rtl/>
        </w:rPr>
        <w:t>نظام المحاماة — الاختبار: هل يستطيع نظام المحاماة الحالي محاسبة محامٍ استخدم الذكاء الاصطناعي بصورة مُخلّة بمصلحة موكله؟ الإجابة: نعم جزئياً، عبر أحكام واجب العناية وواجب السرية — لكن بصعوبة إثباتية كبيرة في غياب نص صريح يُحدد معيار "الاستخدام المعيب للذكاء الاصطناعي". النتيجة: الإطار الراهن يسمح بالمحاسبة لكن ليس بكفاءة وحسم كافيَين.</w:t>
      </w:r>
    </w:p>
    <w:p w14:paraId="172A606D" w14:textId="77777777" w:rsidR="005705DD" w:rsidRDefault="005705DD" w:rsidP="005705DD">
      <w:pPr>
        <w:bidi/>
        <w:spacing w:after="200" w:line="276" w:lineRule="auto"/>
        <w:rPr>
          <w:rtl/>
        </w:rPr>
      </w:pPr>
      <w:r>
        <w:rPr>
          <w:rFonts w:asciiTheme="majorBidi" w:hAnsiTheme="majorBidi" w:cstheme="majorBidi"/>
          <w:sz w:val="24"/>
          <w:szCs w:val="24"/>
          <w:rtl/>
        </w:rPr>
        <w:t>نظام حماية البيانات — الاختبار: هل يُحمي النظام موكلاً سعودياً بياناته أُدخلت في أداة ذكاء اصطناعي أجنبية؟ الإجابة: النص النظامي يُوجب الحماية — لكن آليات الإنفاذ العابرة للحدود تظل ضعيفة في حال كان المزوّد أجنبياً خارج الولاية القضائية. النتيجة: حماية نظرية قوية وحماية عملية محدودة.</w:t>
      </w:r>
    </w:p>
    <w:p w14:paraId="4FC1FAC1" w14:textId="77777777" w:rsidR="005705DD" w:rsidRDefault="005705DD" w:rsidP="005705DD">
      <w:pPr>
        <w:bidi/>
        <w:spacing w:after="200" w:line="276" w:lineRule="auto"/>
        <w:rPr>
          <w:rtl/>
        </w:rPr>
      </w:pPr>
      <w:r>
        <w:rPr>
          <w:rFonts w:asciiTheme="majorBidi" w:hAnsiTheme="majorBidi" w:cstheme="majorBidi"/>
          <w:sz w:val="24"/>
          <w:szCs w:val="24"/>
          <w:rtl/>
        </w:rPr>
        <w:t>نظام الإثبات — الاختبار: هل تتمتع المذكرة التي كُتبت بالكامل بواسطة الذكاء الاصطناعي وراجعها المحامي بحجية قانونية كاملة؟ الإجابة: لا تُعارضها نصوص النظام صراحةً، لكن حجيتها تظل رهينةً بالسلطة التقديرية للقاضي الذي قد يرفضها. النتيجة: يُوجد عدم يقين تشريعي يُضرّ بالممارسة المهنية.</w:t>
      </w:r>
    </w:p>
    <w:p w14:paraId="5FBDB10D" w14:textId="77777777" w:rsidR="005705DD" w:rsidRDefault="005705DD" w:rsidP="005705DD">
      <w:pPr>
        <w:bidi/>
        <w:spacing w:after="200" w:line="276" w:lineRule="auto"/>
        <w:rPr>
          <w:rtl/>
        </w:rPr>
      </w:pPr>
      <w:r>
        <w:rPr>
          <w:rFonts w:asciiTheme="majorBidi" w:hAnsiTheme="majorBidi" w:cstheme="majorBidi"/>
          <w:sz w:val="24"/>
          <w:szCs w:val="24"/>
          <w:rtl/>
        </w:rPr>
        <w:t>نظام مكافحة الجرائم المعلوماتية — الاختبار: هل يُمكن ملاحقة من يُنشئ منصة تقدم استشارات قانونية بالذكاء الاصطناعي دون ترخيص؟ الإجابة: يتعلق الأمر بتكييف هل هذه المنصة تمارس مهنة المحاماة (نظام المحاماة) أم تنتهك نظام الجرائم المعلوماتية. وفي الغالب لا يُغطي نظام الجرائم المعلوماتية هذا النوع من الفعل لأنه لا يتضمن ضرراً معلوماتياً مباشراً كالاختراق أو التشهير. النتيجة: ثغرة تشريعية واضحة في هذا الملف.</w:t>
      </w:r>
    </w:p>
    <w:p w14:paraId="0B3E31FE" w14:textId="77777777" w:rsidR="005705DD" w:rsidRDefault="005705DD" w:rsidP="005705DD">
      <w:pPr>
        <w:bidi/>
        <w:spacing w:after="200" w:line="276" w:lineRule="auto"/>
        <w:rPr>
          <w:rtl/>
        </w:rPr>
      </w:pPr>
      <w:r>
        <w:rPr>
          <w:rFonts w:asciiTheme="majorBidi" w:hAnsiTheme="majorBidi" w:cstheme="majorBidi"/>
          <w:sz w:val="24"/>
          <w:szCs w:val="24"/>
          <w:rtl/>
        </w:rPr>
        <w:t>خلاصة القراءة الاختبارية: إن الإطار النظامي الراهن يُوفّر "شبكة أمان بالحد الأدنى" وليس حمايةً شاملةً كافية لمواجهة إشكاليات توظيف الذكاء الاصطناعي في المهنة القانونية. وهذا الحد الأدنى كافٍ لمعالجة بعض الحالات البسيطة والصريحة، لكنه يُعجز عن الإجابة على أغلب الأسئلة الجوهرية المطروحة في هذا الفصل بصورة كافية وحاسمة. ومن ثم، فإن التشريع الصريح ليس ترفاً أكاديمياً بل ضرورة عملية ملحّة تقتضيها مصلحة الموكلين وسلامة المهنة واستقرار المنظومة العدلية.</w:t>
      </w:r>
      <w:commentRangeEnd w:id="270"/>
      <w:r>
        <w:rPr>
          <w:rStyle w:val="af0"/>
          <w:sz w:val="22"/>
          <w:szCs w:val="22"/>
          <w:rtl/>
        </w:rPr>
        <w:commentReference w:id="270"/>
      </w:r>
      <w:commentRangeEnd w:id="271"/>
      <w:r>
        <w:rPr>
          <w:rStyle w:val="af0"/>
          <w:sz w:val="22"/>
          <w:szCs w:val="22"/>
          <w:rtl/>
        </w:rPr>
        <w:commentReference w:id="271"/>
      </w:r>
    </w:p>
    <w:p w14:paraId="6C1090D2" w14:textId="77777777" w:rsidR="005705DD" w:rsidRDefault="005705DD" w:rsidP="005705DD">
      <w:pPr>
        <w:bidi/>
        <w:spacing w:after="200" w:line="276" w:lineRule="auto"/>
        <w:rPr>
          <w:rtl/>
        </w:rPr>
      </w:pPr>
      <w:r>
        <w:rPr>
          <w:rFonts w:asciiTheme="majorBidi" w:hAnsiTheme="majorBidi" w:cstheme="majorBidi"/>
          <w:sz w:val="24"/>
          <w:szCs w:val="24"/>
          <w:rtl/>
        </w:rPr>
        <w:t>ويُحيل الباحث إلى الفصل الرابع من هذه الدراسة الذي سيتولى بناءً على هذه القراءة النقدية الشاملة</w:t>
      </w:r>
      <w:commentRangeStart w:id="272"/>
      <w:commentRangeStart w:id="273"/>
      <w:r>
        <w:rPr>
          <w:rFonts w:asciiTheme="majorBidi" w:hAnsiTheme="majorBidi" w:cstheme="majorBidi"/>
          <w:sz w:val="24"/>
          <w:szCs w:val="24"/>
          <w:rtl/>
        </w:rPr>
        <w:t xml:space="preserve"> — </w:t>
      </w:r>
      <w:commentRangeEnd w:id="272"/>
      <w:r>
        <w:rPr>
          <w:rStyle w:val="af0"/>
          <w:rFonts w:asciiTheme="majorBidi" w:hAnsiTheme="majorBidi" w:cstheme="majorBidi"/>
          <w:sz w:val="24"/>
          <w:szCs w:val="24"/>
          <w:rtl/>
        </w:rPr>
        <w:commentReference w:id="272"/>
      </w:r>
      <w:commentRangeEnd w:id="273"/>
      <w:r>
        <w:rPr>
          <w:rStyle w:val="af0"/>
          <w:rFonts w:asciiTheme="majorBidi" w:hAnsiTheme="majorBidi" w:cstheme="majorBidi"/>
          <w:sz w:val="24"/>
          <w:szCs w:val="24"/>
          <w:rtl/>
        </w:rPr>
        <w:commentReference w:id="273"/>
      </w:r>
      <w:r>
        <w:rPr>
          <w:rFonts w:asciiTheme="majorBidi" w:hAnsiTheme="majorBidi" w:cstheme="majorBidi"/>
          <w:sz w:val="24"/>
          <w:szCs w:val="24"/>
          <w:rtl/>
        </w:rPr>
        <w:t>ومجمل ما تناوله هذا الفصل — تقديم إطار تنظيمي مقترح متكامل يُعالج الثغرات المُحدَّدة ويُوفّر منظومة تنظيمية شاملة لتوظيف الذكاء الاصطناعي في مكاتب المحاماة السعودية وفق مقتضيات الشريعة الإسلامية والبيئة النظامية الخاصة بالمملكة العربية السعودية.</w:t>
      </w:r>
    </w:p>
    <w:p w14:paraId="5290C74B" w14:textId="77777777" w:rsidR="005705DD" w:rsidRDefault="005705DD" w:rsidP="005705DD">
      <w:pPr>
        <w:bidi/>
        <w:spacing w:after="200" w:line="276" w:lineRule="auto"/>
        <w:rPr>
          <w:rtl/>
        </w:rPr>
      </w:pPr>
    </w:p>
    <w:p w14:paraId="173A5D98" w14:textId="77777777" w:rsidR="005705DD" w:rsidRDefault="005705DD" w:rsidP="005705DD">
      <w:pPr>
        <w:bidi/>
        <w:spacing w:after="200" w:line="276" w:lineRule="auto"/>
        <w:rPr>
          <w:rtl/>
        </w:rPr>
      </w:pPr>
    </w:p>
    <w:p w14:paraId="35253F6D" w14:textId="77777777" w:rsidR="005705DD" w:rsidRPr="00A84F46" w:rsidRDefault="005705DD" w:rsidP="005705DD">
      <w:pPr>
        <w:bidi/>
        <w:spacing w:after="200" w:line="276" w:lineRule="auto"/>
        <w:rPr>
          <w:bCs/>
          <w:color w:val="000000" w:themeColor="text1"/>
          <w:rtl/>
        </w:rPr>
      </w:pPr>
      <w:r>
        <w:rPr>
          <w:rFonts w:asciiTheme="majorBidi" w:hAnsiTheme="majorBidi" w:cstheme="majorBidi"/>
          <w:bCs/>
          <w:color w:val="000000" w:themeColor="text1"/>
          <w:sz w:val="28"/>
          <w:szCs w:val="28"/>
          <w:rtl/>
        </w:rPr>
        <w:t>خلاصة الفصل الثالث</w:t>
      </w:r>
    </w:p>
    <w:p w14:paraId="70FEFCB4" w14:textId="77777777" w:rsidR="005705DD" w:rsidRDefault="005705DD" w:rsidP="005705DD"/>
    <w:p w14:paraId="013189DE" w14:textId="77777777" w:rsidR="005705DD" w:rsidRDefault="005705DD" w:rsidP="005705DD">
      <w:pPr>
        <w:bidi/>
        <w:spacing w:after="200" w:line="276" w:lineRule="auto"/>
        <w:rPr>
          <w:rtl/>
        </w:rPr>
      </w:pPr>
      <w:r>
        <w:rPr>
          <w:rFonts w:asciiTheme="majorBidi" w:hAnsiTheme="majorBidi" w:cstheme="majorBidi"/>
          <w:sz w:val="28"/>
          <w:szCs w:val="28"/>
          <w:rtl/>
        </w:rPr>
        <w:t>تناول هذا الفصل الجانب الميداني والتطبيقي من موضوع الدراسة، وخلص إلى جملة من النتائج يمكن إيجازها على النحو الآتي:</w:t>
      </w:r>
    </w:p>
    <w:p w14:paraId="6482C284" w14:textId="77777777" w:rsidR="005705DD" w:rsidRDefault="005705DD" w:rsidP="005705DD">
      <w:pPr>
        <w:bidi/>
        <w:spacing w:after="200" w:line="276" w:lineRule="auto"/>
        <w:rPr>
          <w:rtl/>
        </w:rPr>
      </w:pPr>
      <w:r>
        <w:rPr>
          <w:rFonts w:asciiTheme="majorBidi" w:hAnsiTheme="majorBidi" w:cstheme="majorBidi"/>
          <w:sz w:val="24"/>
          <w:szCs w:val="24"/>
          <w:rtl/>
        </w:rPr>
        <w:t xml:space="preserve">أولاً: التمييز المفاهيمي الضروري — يُعدّ التمييز بين الذكاء الاصطناعي القانوني بصوره التوليدية والتنبؤية، والبرمجيات القانونية التقليدية، والعقود الذكية المرتبطة بالبلوكشين، تمييزاً جوهرياً لا غنى عنه للتحليل القانوني </w:t>
      </w:r>
      <w:r>
        <w:rPr>
          <w:rFonts w:asciiTheme="majorBidi" w:hAnsiTheme="majorBidi" w:cstheme="majorBidi"/>
          <w:sz w:val="24"/>
          <w:szCs w:val="24"/>
          <w:rtl/>
        </w:rPr>
        <w:lastRenderedPageBreak/>
        <w:t>الدقيق. وقد كشفت الدراسة أن الخلط بين هذه الأصناف الثلاثة شائع في الأدبيات القانونية العربية، وله تبعات قانونية وتشريعية خطيرة.</w:t>
      </w:r>
    </w:p>
    <w:p w14:paraId="076D3CFE" w14:textId="77777777" w:rsidR="005705DD" w:rsidRDefault="005705DD" w:rsidP="005705DD">
      <w:pPr>
        <w:bidi/>
        <w:spacing w:after="200" w:line="276" w:lineRule="auto"/>
        <w:rPr>
          <w:rtl/>
        </w:rPr>
      </w:pPr>
      <w:r>
        <w:rPr>
          <w:rFonts w:asciiTheme="majorBidi" w:hAnsiTheme="majorBidi" w:cstheme="majorBidi"/>
          <w:sz w:val="24"/>
          <w:szCs w:val="24"/>
          <w:rtl/>
        </w:rPr>
        <w:t>ثانياً: الواقع التقني في السوق القانوني السعودي — يشهد السوق القانوني السعودي حضوراً متنامياً لثلاثة أصناف من الأدوات: الأدوات التوليدية العامة، والأدوات القانونية المتخصصة، والمنصات المحلية الرقمية. ويتوزع هذا الاستخدام بحسب حجم المكاتب القانونية، مع هيمنة الأدوات المجانية في القطاع الأوسع انتشاراً.</w:t>
      </w:r>
    </w:p>
    <w:p w14:paraId="04C97E98" w14:textId="77777777" w:rsidR="005705DD" w:rsidRDefault="005705DD" w:rsidP="005705DD">
      <w:pPr>
        <w:bidi/>
        <w:spacing w:after="200" w:line="276" w:lineRule="auto"/>
        <w:rPr>
          <w:rtl/>
        </w:rPr>
      </w:pPr>
      <w:r>
        <w:rPr>
          <w:rFonts w:asciiTheme="majorBidi" w:hAnsiTheme="majorBidi" w:cstheme="majorBidi"/>
          <w:sz w:val="24"/>
          <w:szCs w:val="24"/>
          <w:rtl/>
        </w:rPr>
        <w:t>ثالثاً: الفجوة النظامية — تُظهر المقارنة بين الاستخدام الفعلي والضوابط النظامية فجوةً حادة تتجلى في ثلاثة مستويات متراكمة: الفجوة المعرفية لدى المحامين، والفجوة التطبيقية في الالتزام، والفجوة التشريعية في غياب النص الصريح. كما يواجه استخدام أدوات الذكاء الاصطناعي الأجنبية تعارضات واضحة مع نظام حماية البيانات الشخصية (1443هـ) لا سيما في مسائل نقل البيانات خارج المملكة.</w:t>
      </w:r>
    </w:p>
    <w:p w14:paraId="410A480A" w14:textId="77777777" w:rsidR="005705DD" w:rsidRDefault="005705DD" w:rsidP="005705DD">
      <w:pPr>
        <w:bidi/>
        <w:spacing w:after="200" w:line="276" w:lineRule="auto"/>
        <w:rPr>
          <w:rtl/>
        </w:rPr>
      </w:pPr>
      <w:r>
        <w:rPr>
          <w:rFonts w:asciiTheme="majorBidi" w:hAnsiTheme="majorBidi" w:cstheme="majorBidi"/>
          <w:sz w:val="24"/>
          <w:szCs w:val="24"/>
          <w:rtl/>
        </w:rPr>
        <w:t>رابعاً: مخاطر الاستخدام الفردي — رصد الفصل خمسة مخاطر جوهرية تترتب على الاستخدام الفردي غير المنضبط، هي: خطأ المعلومات (الهلوسة)، وانتهاك السرية المهنية، والتحيز الخوارزمي، وتسرب البيانات، ومزاولة المهنة دون ترخيص. وتتفاقم هذه المخاطر بسبب غياب الرقابة المسبقة وصعوبة الإثبات عند الضرر.</w:t>
      </w:r>
    </w:p>
    <w:p w14:paraId="427A71AA" w14:textId="77777777" w:rsidR="005705DD" w:rsidRDefault="005705DD" w:rsidP="005705DD">
      <w:pPr>
        <w:bidi/>
        <w:spacing w:after="200" w:line="276" w:lineRule="auto"/>
        <w:rPr>
          <w:rtl/>
        </w:rPr>
      </w:pPr>
      <w:r>
        <w:rPr>
          <w:rFonts w:asciiTheme="majorBidi" w:hAnsiTheme="majorBidi" w:cstheme="majorBidi"/>
          <w:sz w:val="24"/>
          <w:szCs w:val="24"/>
          <w:rtl/>
        </w:rPr>
        <w:t>خامساً: الدروس الإماراتية — تُقدّم التجربة الإماراتية نموذجاً إقليمياً مهماً تتجلى إسهاماته في: المأسسة التشريعية المبكرة، والتكامل بين التقنية والتشريع، والتنظيم القائم على المخاطر، وتمييز المسؤوليات. غير أن استيعاب هذه الدروس في البيئة السعودية يستلزم تكييفها مع المرجعية التشريعية الإسلامية والخصوصية النظامية السعودية، لا استنساخها حرفياً.</w:t>
      </w:r>
    </w:p>
    <w:p w14:paraId="6E674BEA" w14:textId="77777777" w:rsidR="005705DD" w:rsidRDefault="005705DD" w:rsidP="005705DD">
      <w:pPr>
        <w:bidi/>
        <w:spacing w:after="200" w:line="276" w:lineRule="auto"/>
        <w:rPr>
          <w:rtl/>
        </w:rPr>
      </w:pPr>
      <w:r>
        <w:rPr>
          <w:rFonts w:asciiTheme="majorBidi" w:hAnsiTheme="majorBidi" w:cstheme="majorBidi"/>
          <w:sz w:val="24"/>
          <w:szCs w:val="24"/>
          <w:rtl/>
        </w:rPr>
        <w:t>سادساً: التوجه نحو الفصل الرابع — تُشكّل هذه الاستنتاجات مجتمعةً البنية التحتية الضرورية لمقاربة الفصل الرابع الذي سيُقدّم إطاراً قانونياً تنظيمياً مقترحاً لمعالجة هذه الفجوات التشريعية والتطبيقية، مُستنيراً بالتجارب المقارنة ومُستند على الإطار الفقهي والتشريعي السعودي.</w:t>
      </w:r>
    </w:p>
    <w:p w14:paraId="625C88A1" w14:textId="77777777" w:rsidR="005705DD" w:rsidRDefault="005705DD" w:rsidP="005705DD">
      <w:pPr>
        <w:rPr>
          <w:rFonts w:asciiTheme="majorBidi" w:hAnsiTheme="majorBidi" w:cstheme="majorBidi"/>
          <w:sz w:val="24"/>
          <w:szCs w:val="24"/>
        </w:rPr>
      </w:pPr>
    </w:p>
    <w:p w14:paraId="7D1C83D9" w14:textId="77777777" w:rsidR="005705DD" w:rsidRDefault="005705DD" w:rsidP="000003D3">
      <w:pPr>
        <w:jc w:val="right"/>
        <w:rPr>
          <w:rFonts w:asciiTheme="majorBidi" w:hAnsiTheme="majorBidi" w:cstheme="majorBidi"/>
          <w:sz w:val="24"/>
          <w:szCs w:val="24"/>
        </w:rPr>
      </w:pPr>
    </w:p>
    <w:p w14:paraId="42A5C90D" w14:textId="77777777" w:rsidR="005705DD" w:rsidRDefault="005705DD" w:rsidP="000003D3">
      <w:pPr>
        <w:jc w:val="right"/>
        <w:rPr>
          <w:rFonts w:asciiTheme="majorBidi" w:hAnsiTheme="majorBidi" w:cstheme="majorBidi"/>
          <w:sz w:val="24"/>
          <w:szCs w:val="24"/>
        </w:rPr>
      </w:pPr>
    </w:p>
    <w:p w14:paraId="4FDF0F91" w14:textId="77777777" w:rsidR="005705DD" w:rsidRDefault="005705DD" w:rsidP="000003D3">
      <w:pPr>
        <w:jc w:val="right"/>
        <w:rPr>
          <w:rFonts w:asciiTheme="majorBidi" w:hAnsiTheme="majorBidi" w:cstheme="majorBidi"/>
          <w:sz w:val="24"/>
          <w:szCs w:val="24"/>
        </w:rPr>
      </w:pPr>
    </w:p>
    <w:p w14:paraId="2C517679" w14:textId="77777777" w:rsidR="005705DD" w:rsidRDefault="005705DD" w:rsidP="000003D3">
      <w:pPr>
        <w:jc w:val="right"/>
        <w:rPr>
          <w:rFonts w:asciiTheme="majorBidi" w:hAnsiTheme="majorBidi" w:cstheme="majorBidi"/>
          <w:sz w:val="24"/>
          <w:szCs w:val="24"/>
        </w:rPr>
      </w:pPr>
    </w:p>
    <w:p w14:paraId="07AE4533" w14:textId="77777777" w:rsidR="005705DD" w:rsidRDefault="005705DD" w:rsidP="000003D3">
      <w:pPr>
        <w:jc w:val="right"/>
        <w:rPr>
          <w:rFonts w:asciiTheme="majorBidi" w:hAnsiTheme="majorBidi" w:cstheme="majorBidi"/>
          <w:sz w:val="24"/>
          <w:szCs w:val="24"/>
        </w:rPr>
      </w:pPr>
    </w:p>
    <w:p w14:paraId="67228C90" w14:textId="77777777" w:rsidR="005705DD" w:rsidRDefault="005705DD" w:rsidP="005705DD">
      <w:pPr>
        <w:rPr>
          <w:rFonts w:asciiTheme="majorBidi" w:hAnsiTheme="majorBidi" w:cstheme="majorBidi"/>
          <w:sz w:val="24"/>
          <w:szCs w:val="24"/>
        </w:rPr>
      </w:pPr>
    </w:p>
    <w:p w14:paraId="0217A206" w14:textId="77777777" w:rsidR="005705DD" w:rsidRDefault="005705DD" w:rsidP="005705DD">
      <w:pPr>
        <w:rPr>
          <w:rFonts w:asciiTheme="majorBidi" w:hAnsiTheme="majorBidi" w:cstheme="majorBidi"/>
          <w:sz w:val="24"/>
          <w:szCs w:val="24"/>
          <w:rtl/>
        </w:rPr>
      </w:pPr>
    </w:p>
    <w:p w14:paraId="7CA5CC9B" w14:textId="5483E106" w:rsidR="004639DD" w:rsidRDefault="004639DD" w:rsidP="000003D3">
      <w:pPr>
        <w:jc w:val="right"/>
        <w:rPr>
          <w:rFonts w:asciiTheme="majorBidi" w:hAnsiTheme="majorBidi" w:cstheme="majorBidi"/>
          <w:sz w:val="32"/>
          <w:szCs w:val="32"/>
          <w:rtl/>
        </w:rPr>
      </w:pPr>
      <w:commentRangeStart w:id="274"/>
      <w:commentRangeStart w:id="275"/>
      <w:r>
        <w:rPr>
          <w:rFonts w:asciiTheme="majorBidi" w:hAnsiTheme="majorBidi" w:cstheme="majorBidi" w:hint="cs"/>
          <w:sz w:val="32"/>
          <w:szCs w:val="32"/>
          <w:rtl/>
        </w:rPr>
        <w:t>تنويه: اكتُفي بتوثيق المصادر في الهوامش أسفل الصفحات وفق توجيه اللجنة، وتُدرج قائمة موحدة للمصادر والمراجع في نهاية الرسالة.</w:t>
      </w:r>
      <w:commentRangeEnd w:id="274"/>
      <w:r>
        <w:rPr>
          <w:rStyle w:val="af0"/>
          <w:rFonts w:asciiTheme="majorBidi" w:hAnsiTheme="majorBidi" w:cstheme="majorBidi"/>
          <w:sz w:val="32"/>
          <w:szCs w:val="32"/>
          <w:rtl/>
        </w:rPr>
        <w:commentReference w:id="274"/>
      </w:r>
      <w:commentRangeEnd w:id="275"/>
      <w:r>
        <w:rPr>
          <w:rStyle w:val="af0"/>
          <w:rFonts w:asciiTheme="majorBidi" w:hAnsiTheme="majorBidi" w:cstheme="majorBidi"/>
          <w:sz w:val="32"/>
          <w:szCs w:val="32"/>
          <w:rtl/>
        </w:rPr>
        <w:commentReference w:id="275"/>
      </w:r>
    </w:p>
    <w:p w14:paraId="5B61C2B9" w14:textId="77777777" w:rsidR="00CB3527" w:rsidRDefault="004639DD" w:rsidP="004639DD">
      <w:pPr>
        <w:jc w:val="right"/>
        <w:rPr>
          <w:rFonts w:asciiTheme="majorBidi" w:hAnsiTheme="majorBidi" w:cstheme="majorBidi"/>
          <w:sz w:val="24"/>
          <w:szCs w:val="24"/>
          <w:rtl/>
        </w:rPr>
      </w:pPr>
      <w:r>
        <w:rPr>
          <w:rFonts w:asciiTheme="majorBidi" w:hAnsiTheme="majorBidi" w:cstheme="majorBidi"/>
          <w:sz w:val="24"/>
          <w:szCs w:val="24"/>
        </w:rPr>
        <w:br/>
      </w:r>
      <w:r>
        <w:rPr>
          <w:rFonts w:asciiTheme="majorBidi" w:hAnsiTheme="majorBidi" w:cstheme="majorBidi"/>
          <w:sz w:val="24"/>
          <w:szCs w:val="24"/>
        </w:rPr>
        <w:br/>
      </w:r>
      <w:r>
        <w:rPr>
          <w:rFonts w:asciiTheme="majorBidi" w:hAnsiTheme="majorBidi" w:cstheme="majorBidi"/>
          <w:sz w:val="24"/>
          <w:szCs w:val="24"/>
        </w:rPr>
        <w:br/>
      </w:r>
      <w:r>
        <w:rPr>
          <w:rFonts w:asciiTheme="majorBidi" w:hAnsiTheme="majorBidi" w:cstheme="majorBidi"/>
          <w:sz w:val="24"/>
          <w:szCs w:val="24"/>
        </w:rPr>
        <w:br/>
      </w:r>
      <w:commentRangeStart w:id="276"/>
      <w:commentRangeStart w:id="277"/>
      <w:r>
        <w:rPr>
          <w:rFonts w:asciiTheme="majorBidi" w:hAnsiTheme="majorBidi" w:cstheme="majorBidi"/>
          <w:sz w:val="24"/>
          <w:szCs w:val="24"/>
        </w:rPr>
        <w:br/>
      </w:r>
      <w:commentRangeEnd w:id="276"/>
      <w:r>
        <w:rPr>
          <w:rStyle w:val="af0"/>
          <w:rFonts w:asciiTheme="majorBidi" w:hAnsiTheme="majorBidi" w:cstheme="majorBidi"/>
          <w:sz w:val="24"/>
          <w:szCs w:val="24"/>
        </w:rPr>
        <w:commentReference w:id="276"/>
      </w:r>
      <w:commentRangeEnd w:id="277"/>
      <w:r>
        <w:rPr>
          <w:rStyle w:val="af0"/>
          <w:rFonts w:asciiTheme="majorBidi" w:hAnsiTheme="majorBidi" w:cstheme="majorBidi"/>
          <w:sz w:val="24"/>
          <w:szCs w:val="24"/>
        </w:rPr>
        <w:commentReference w:id="277"/>
      </w:r>
      <w:commentRangeStart w:id="278"/>
      <w:commentRangeStart w:id="279"/>
      <w:r>
        <w:rPr>
          <w:rFonts w:asciiTheme="majorBidi" w:hAnsiTheme="majorBidi" w:cstheme="majorBidi"/>
          <w:sz w:val="24"/>
          <w:szCs w:val="24"/>
        </w:rPr>
        <w:br/>
      </w:r>
      <w:r>
        <w:rPr>
          <w:rFonts w:asciiTheme="majorBidi" w:hAnsiTheme="majorBidi" w:cstheme="majorBidi"/>
          <w:sz w:val="24"/>
          <w:szCs w:val="24"/>
        </w:rPr>
        <w:lastRenderedPageBreak/>
        <w:br/>
      </w:r>
      <w:commentRangeEnd w:id="278"/>
      <w:r>
        <w:rPr>
          <w:rStyle w:val="af0"/>
          <w:rFonts w:asciiTheme="majorBidi" w:hAnsiTheme="majorBidi" w:cstheme="majorBidi"/>
          <w:sz w:val="24"/>
          <w:szCs w:val="24"/>
        </w:rPr>
        <w:commentReference w:id="278"/>
      </w:r>
      <w:commentRangeEnd w:id="279"/>
      <w:r>
        <w:rPr>
          <w:rStyle w:val="af0"/>
          <w:rFonts w:asciiTheme="majorBidi" w:hAnsiTheme="majorBidi" w:cstheme="majorBidi"/>
          <w:sz w:val="24"/>
          <w:szCs w:val="24"/>
        </w:rPr>
        <w:commentReference w:id="279"/>
      </w:r>
      <w:r>
        <w:rPr>
          <w:rFonts w:asciiTheme="majorBidi" w:hAnsiTheme="majorBidi" w:cstheme="majorBidi"/>
          <w:sz w:val="24"/>
          <w:szCs w:val="24"/>
        </w:rPr>
        <w:br/>
      </w:r>
    </w:p>
    <w:p w14:paraId="50780CAC" w14:textId="77777777" w:rsidR="00CB3527" w:rsidRDefault="00CB3527" w:rsidP="00CB3527">
      <w:pPr>
        <w:ind w:right="720"/>
        <w:jc w:val="right"/>
        <w:rPr>
          <w:rFonts w:asciiTheme="majorBidi" w:hAnsiTheme="majorBidi" w:cstheme="majorBidi"/>
          <w:sz w:val="24"/>
          <w:szCs w:val="24"/>
          <w:rtl/>
        </w:rPr>
      </w:pPr>
      <w:commentRangeStart w:id="280"/>
      <w:commentRangeStart w:id="281"/>
      <w:commentRangeEnd w:id="280"/>
      <w:r>
        <w:rPr>
          <w:rStyle w:val="af0"/>
          <w:rFonts w:asciiTheme="majorBidi" w:hAnsiTheme="majorBidi" w:cstheme="majorBidi"/>
          <w:sz w:val="24"/>
          <w:szCs w:val="24"/>
          <w:rtl/>
        </w:rPr>
        <w:commentReference w:id="280"/>
      </w:r>
      <w:commentRangeEnd w:id="281"/>
      <w:r>
        <w:rPr>
          <w:rStyle w:val="af0"/>
          <w:rFonts w:asciiTheme="majorBidi" w:hAnsiTheme="majorBidi" w:cstheme="majorBidi"/>
          <w:sz w:val="24"/>
          <w:szCs w:val="24"/>
          <w:rtl/>
        </w:rPr>
        <w:commentReference w:id="281"/>
      </w:r>
    </w:p>
    <w:p w14:paraId="70439767" w14:textId="77777777" w:rsidR="00CB3527" w:rsidRDefault="00CB3527" w:rsidP="00CB3527">
      <w:pPr>
        <w:ind w:right="720"/>
        <w:jc w:val="right"/>
        <w:rPr>
          <w:rFonts w:asciiTheme="majorBidi" w:hAnsiTheme="majorBidi" w:cstheme="majorBidi"/>
          <w:sz w:val="24"/>
          <w:szCs w:val="24"/>
          <w:rtl/>
        </w:rPr>
      </w:pPr>
      <w:commentRangeStart w:id="282"/>
      <w:commentRangeStart w:id="283"/>
      <w:commentRangeEnd w:id="282"/>
      <w:r>
        <w:rPr>
          <w:rStyle w:val="af0"/>
          <w:rFonts w:asciiTheme="majorBidi" w:hAnsiTheme="majorBidi" w:cstheme="majorBidi"/>
          <w:sz w:val="24"/>
          <w:szCs w:val="24"/>
          <w:rtl/>
        </w:rPr>
        <w:commentReference w:id="282"/>
      </w:r>
      <w:commentRangeEnd w:id="283"/>
      <w:r>
        <w:rPr>
          <w:rStyle w:val="af0"/>
          <w:rFonts w:asciiTheme="majorBidi" w:hAnsiTheme="majorBidi" w:cstheme="majorBidi"/>
          <w:sz w:val="24"/>
          <w:szCs w:val="24"/>
          <w:rtl/>
        </w:rPr>
        <w:commentReference w:id="283"/>
      </w:r>
    </w:p>
    <w:p w14:paraId="2149B02D" w14:textId="77777777" w:rsidR="00CB3527" w:rsidRDefault="00CB3527" w:rsidP="00CB3527">
      <w:pPr>
        <w:bidi/>
        <w:ind w:right="720"/>
        <w:jc w:val="both"/>
        <w:rPr>
          <w:rFonts w:asciiTheme="majorBidi" w:hAnsiTheme="majorBidi" w:cstheme="majorBidi"/>
          <w:sz w:val="24"/>
          <w:szCs w:val="24"/>
          <w:rtl/>
        </w:rPr>
      </w:pPr>
      <w:commentRangeStart w:id="284"/>
      <w:commentRangeStart w:id="285"/>
      <w:commentRangeEnd w:id="284"/>
      <w:r>
        <w:rPr>
          <w:rStyle w:val="af0"/>
          <w:rFonts w:asciiTheme="majorBidi" w:hAnsiTheme="majorBidi" w:cstheme="majorBidi"/>
          <w:sz w:val="24"/>
          <w:szCs w:val="24"/>
          <w:rtl/>
        </w:rPr>
        <w:commentReference w:id="284"/>
      </w:r>
      <w:commentRangeEnd w:id="285"/>
      <w:r>
        <w:rPr>
          <w:rStyle w:val="af0"/>
          <w:rFonts w:asciiTheme="majorBidi" w:hAnsiTheme="majorBidi" w:cstheme="majorBidi"/>
          <w:sz w:val="24"/>
          <w:szCs w:val="24"/>
          <w:rtl/>
        </w:rPr>
        <w:commentReference w:id="285"/>
      </w:r>
    </w:p>
    <w:sectPr w:rsidR="00CB3527" w:rsidSect="00830A22">
      <w:footerReference w:type="default" r:id="rId13"/>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r. Ibrahim" w:date="2026-07-03T19:23:00Z" w:initials="DI">
    <w:p w14:paraId="0DD2EE69" w14:textId="78FDA8BA" w:rsidR="006A5DF6" w:rsidRDefault="006A5DF6">
      <w:pPr>
        <w:pStyle w:val="af1"/>
        <w:rPr>
          <w:rtl/>
          <w:lang w:bidi="ar-SY"/>
        </w:rPr>
      </w:pPr>
      <w:r>
        <w:rPr>
          <w:rStyle w:val="af0"/>
        </w:rPr>
        <w:annotationRef/>
      </w:r>
      <w:r>
        <w:rPr>
          <w:rFonts w:hint="cs"/>
          <w:rtl/>
          <w:lang w:bidi="ar-SY"/>
        </w:rPr>
        <w:t>ما هي التجارب التي تريد المقارنة معها</w:t>
      </w:r>
    </w:p>
  </w:comment>
  <w:comment w:id="1" w:author="الباحث: حسان جمبي" w:date="2026-07-18T21:00:00Z" w:initials="حج">
    <w:p w14:paraId="2F6B8BB5" w14:textId="77777777" w:rsidR="00F06D4D" w:rsidRDefault="00000000">
      <w:pPr>
        <w:pStyle w:val="af1"/>
        <w:rPr>
          <w:rtl/>
        </w:rPr>
      </w:pPr>
      <w:r>
        <w:rPr>
          <w:rStyle w:val="af0"/>
        </w:rPr>
        <w:annotationRef/>
      </w:r>
      <w:r>
        <w:rPr>
          <w:rFonts w:hint="cs"/>
          <w:rtl/>
        </w:rPr>
        <w:t>التجارب المعتمدة للمقارنة ثلاث: التجربة الإماراتية (لتقارب السياق التشريعي والثقافي)، واللائحة الأوروبية للذكاء الاصطناعي (2024/1689) بوصفها النموذج الأنضج للتنظيم المبني على المخاطر، ومسار التنظيم المهني الأمريكي (رأي اتحاد المحامين الأمريكي رقم 512 لعام 2024م). حُدِّدت في المتن نصاً.</w:t>
      </w:r>
    </w:p>
  </w:comment>
  <w:comment w:id="2" w:author="Dr. Ibrahim" w:date="2026-07-03T19:25:00Z" w:initials="DI">
    <w:p w14:paraId="363EF316" w14:textId="3BD7579C" w:rsidR="006A5DF6" w:rsidRDefault="006A5DF6">
      <w:pPr>
        <w:pStyle w:val="af1"/>
        <w:rPr>
          <w:lang w:bidi="ar-SY"/>
        </w:rPr>
      </w:pPr>
      <w:r>
        <w:rPr>
          <w:rStyle w:val="af0"/>
        </w:rPr>
        <w:annotationRef/>
      </w:r>
      <w:r>
        <w:rPr>
          <w:rFonts w:hint="cs"/>
          <w:rtl/>
          <w:lang w:bidi="ar-SY"/>
        </w:rPr>
        <w:t>هل راجعت نص المادة 13</w:t>
      </w:r>
    </w:p>
  </w:comment>
  <w:comment w:id="3" w:author="الباحث: حسان جمبي" w:date="2026-07-18T21:00:00Z" w:initials="حج">
    <w:p w14:paraId="6F285F06" w14:textId="77777777" w:rsidR="00F06D4D" w:rsidRDefault="00000000">
      <w:pPr>
        <w:pStyle w:val="af1"/>
        <w:rPr>
          <w:rtl/>
        </w:rPr>
      </w:pPr>
      <w:r>
        <w:rPr>
          <w:rStyle w:val="af0"/>
        </w:rPr>
        <w:annotationRef/>
      </w:r>
      <w:r>
        <w:rPr>
          <w:rFonts w:hint="cs"/>
          <w:rtl/>
        </w:rPr>
        <w:t>نعم روجعت من النص الرسمي؛ والمادة (13) من نظام المحاماة مقررة لحرية المحامي في سلوك طريق الدفاع وعدم مساءلته عما يورده في مرافعته، ولا صلة لها بمسؤوليته عن العاملين لديه. الأساس الصحيح هو المادة (129) من نظام المعاملات المدنية (مسؤولية المتبوع عن أعمال تابعه)، وقد عُدل المتن على ذلك.</w:t>
      </w:r>
    </w:p>
  </w:comment>
  <w:comment w:id="4" w:author="Dr. Ibrahim" w:date="2026-07-03T19:02:00Z" w:initials="DI">
    <w:p w14:paraId="3662A418" w14:textId="72790BE5" w:rsidR="006A5DF6" w:rsidRDefault="006A5DF6">
      <w:pPr>
        <w:pStyle w:val="af1"/>
      </w:pPr>
      <w:r>
        <w:rPr>
          <w:rStyle w:val="af0"/>
        </w:rPr>
        <w:annotationRef/>
      </w:r>
      <w:r>
        <w:rPr>
          <w:rFonts w:hint="cs"/>
          <w:rtl/>
        </w:rPr>
        <w:t>من أي قانون</w:t>
      </w:r>
    </w:p>
  </w:comment>
  <w:comment w:id="5" w:author="الباحث: حسان جمبي" w:date="2026-07-18T21:00:00Z" w:initials="حج">
    <w:p w14:paraId="1B6272A4" w14:textId="77777777" w:rsidR="00F06D4D" w:rsidRDefault="00000000">
      <w:pPr>
        <w:pStyle w:val="af1"/>
        <w:rPr>
          <w:rtl/>
        </w:rPr>
      </w:pPr>
      <w:r>
        <w:rPr>
          <w:rStyle w:val="af0"/>
        </w:rPr>
        <w:annotationRef/>
      </w:r>
      <w:r>
        <w:rPr>
          <w:rFonts w:hint="cs"/>
          <w:rtl/>
        </w:rPr>
        <w:t>المقصود نظام المعاملات المدنية الصادر بالمرسوم الملكي رقم (م/191) لعام 1444هـ؛ وقد صُحح المتن بإحالة صريحة إلى المادة (129) منه بدل الإحالة الخاطئة إلى المادة (13) من نظام المحاماة.</w:t>
      </w:r>
    </w:p>
  </w:comment>
  <w:comment w:id="6" w:author="Dr. Ibrahim" w:date="2026-07-03T19:02:00Z" w:initials="DI">
    <w:p w14:paraId="28CA4023" w14:textId="63FC6B4B" w:rsidR="006A5DF6" w:rsidRDefault="006A5DF6">
      <w:pPr>
        <w:pStyle w:val="af1"/>
      </w:pPr>
      <w:r>
        <w:rPr>
          <w:rStyle w:val="af0"/>
        </w:rPr>
        <w:annotationRef/>
      </w:r>
      <w:r>
        <w:rPr>
          <w:rFonts w:hint="cs"/>
          <w:rtl/>
        </w:rPr>
        <w:t>من د.محمد ومن بعض الباحثين</w:t>
      </w:r>
    </w:p>
  </w:comment>
  <w:comment w:id="7" w:author="الباحث: حسان جمبي" w:date="2026-07-18T21:00:00Z" w:initials="حج">
    <w:p w14:paraId="36EC1AE8" w14:textId="77777777" w:rsidR="00F06D4D" w:rsidRDefault="00000000">
      <w:pPr>
        <w:pStyle w:val="af1"/>
        <w:rPr>
          <w:rtl/>
        </w:rPr>
      </w:pPr>
      <w:r>
        <w:rPr>
          <w:rStyle w:val="af0"/>
        </w:rPr>
        <w:annotationRef/>
      </w:r>
      <w:r>
        <w:rPr>
          <w:rFonts w:hint="cs"/>
          <w:rtl/>
        </w:rPr>
        <w:t>أصاب الدكتور؛ فالإحالة كانت مبهمة. عُدلت إلى «يشير جانب من الفقه» مع ضبط العبارة، والمقصود اتجاه الفقه في بحوث المسؤولية المدنية عن فعل الذكاء الاصطناعي الموثق في هوامش الفصل (المالكي 2024م وغيره).</w:t>
      </w:r>
    </w:p>
  </w:comment>
  <w:comment w:id="8" w:author="Dr. Ibrahim" w:date="2026-07-03T19:05:00Z" w:initials="DI">
    <w:p w14:paraId="69CBB145" w14:textId="056273B9" w:rsidR="006A5DF6" w:rsidRDefault="006A5DF6">
      <w:pPr>
        <w:pStyle w:val="af1"/>
        <w:rPr>
          <w:rtl/>
          <w:lang w:bidi="ar-SY"/>
        </w:rPr>
      </w:pPr>
      <w:r>
        <w:rPr>
          <w:rStyle w:val="af0"/>
        </w:rPr>
        <w:annotationRef/>
      </w:r>
      <w:r>
        <w:rPr>
          <w:rStyle w:val="af0"/>
          <w:rFonts w:hint="cs"/>
          <w:rtl/>
        </w:rPr>
        <w:t>من بعض الباحثسن ومن د.</w:t>
      </w:r>
    </w:p>
  </w:comment>
  <w:comment w:id="9" w:author="الباحث: حسان جمبي" w:date="2026-07-18T21:00:00Z" w:initials="حج">
    <w:p w14:paraId="44148A7C" w14:textId="77777777" w:rsidR="00F06D4D" w:rsidRDefault="00000000">
      <w:pPr>
        <w:pStyle w:val="af1"/>
        <w:rPr>
          <w:rtl/>
        </w:rPr>
      </w:pPr>
      <w:r>
        <w:rPr>
          <w:rStyle w:val="af0"/>
        </w:rPr>
        <w:annotationRef/>
      </w:r>
      <w:r>
        <w:rPr>
          <w:rFonts w:hint="cs"/>
          <w:rtl/>
        </w:rPr>
        <w:t>تم؛ أُعيدت الصياغة بأسلوب «يشير جانب من الفقه/تؤكد بعض الدراسات» مع التوثيق أسفل الصفحة، وأُلغي أسلوب (الاسم، السنة) في المتن.</w:t>
      </w:r>
    </w:p>
  </w:comment>
  <w:comment w:id="10" w:author="Dr. Ibrahim" w:date="2026-07-03T19:33:00Z" w:initials="DI">
    <w:p w14:paraId="42EB589A" w14:textId="1DC0EB93" w:rsidR="006A5DF6" w:rsidRDefault="006A5DF6">
      <w:pPr>
        <w:pStyle w:val="af1"/>
        <w:rPr>
          <w:rtl/>
          <w:lang w:bidi="ar-SY"/>
        </w:rPr>
      </w:pPr>
      <w:r>
        <w:rPr>
          <w:rStyle w:val="af0"/>
        </w:rPr>
        <w:annotationRef/>
      </w:r>
      <w:r>
        <w:rPr>
          <w:rFonts w:hint="cs"/>
          <w:rtl/>
          <w:lang w:bidi="ar-SY"/>
        </w:rPr>
        <w:t>خلاصة البحث رآها بعض الباحثين وليس أنت اذا</w:t>
      </w:r>
    </w:p>
  </w:comment>
  <w:comment w:id="11" w:author="الباحث: حسان جمبي" w:date="2026-07-18T21:00:00Z" w:initials="حج">
    <w:p w14:paraId="6E2C8A7B" w14:textId="77777777" w:rsidR="00F06D4D" w:rsidRDefault="00000000">
      <w:pPr>
        <w:pStyle w:val="af1"/>
        <w:rPr>
          <w:rtl/>
        </w:rPr>
      </w:pPr>
      <w:r>
        <w:rPr>
          <w:rStyle w:val="af0"/>
        </w:rPr>
        <w:annotationRef/>
      </w:r>
      <w:r>
        <w:rPr>
          <w:rFonts w:hint="cs"/>
          <w:rtl/>
        </w:rPr>
        <w:t>صحيح؛ الخلاصة من استنتاج الباحث لا منقولة. عُدلت العبارة إلى «يخلص الباحث إلى أن…».</w:t>
      </w:r>
    </w:p>
  </w:comment>
  <w:comment w:id="12" w:author="ibrahim h" w:date="2026-06-29T23:22:00Z" w:initials="ih">
    <w:p w14:paraId="19791051" w14:textId="77777777" w:rsidR="006A5DF6" w:rsidRDefault="006A5DF6" w:rsidP="002A59C9">
      <w:pPr>
        <w:pStyle w:val="af1"/>
      </w:pPr>
      <w:r>
        <w:rPr>
          <w:rStyle w:val="af0"/>
        </w:rPr>
        <w:annotationRef/>
      </w:r>
      <w:r>
        <w:rPr>
          <w:rtl/>
        </w:rPr>
        <w:t>لا تستخدم اسلوب جمعية النفس الامريكية بل نقول يشير جانب من الفقه ونض الهامش اسفل الصفحة..يجب توحيد اسلوب التوثيق في الاطروحة</w:t>
      </w:r>
    </w:p>
  </w:comment>
  <w:comment w:id="13" w:author="الباحث: حسان جمبي" w:date="2026-07-18T21:00:00Z" w:initials="حج">
    <w:p w14:paraId="2F01A763" w14:textId="77777777" w:rsidR="00F06D4D" w:rsidRDefault="00000000">
      <w:pPr>
        <w:pStyle w:val="af1"/>
        <w:rPr>
          <w:rtl/>
        </w:rPr>
      </w:pPr>
      <w:r>
        <w:rPr>
          <w:rStyle w:val="af0"/>
        </w:rPr>
        <w:annotationRef/>
      </w:r>
      <w:r>
        <w:rPr>
          <w:rFonts w:hint="cs"/>
          <w:rtl/>
        </w:rPr>
        <w:t>تم؛ أُلغي أسلوب جمعية علم النفس الأمريكية (APA) في المتن كله، واعتُمد «يشير جانب من الفقه» مع التوثيق أسفل الصفحة، ووُحد ذلك في الأطروحة.</w:t>
      </w:r>
    </w:p>
  </w:comment>
  <w:comment w:id="14" w:author="ibrahim h" w:date="2026-06-29T23:24:00Z" w:initials="ih">
    <w:p w14:paraId="03737AAE" w14:textId="77777777" w:rsidR="006A5DF6" w:rsidRDefault="006A5DF6" w:rsidP="006F0199">
      <w:pPr>
        <w:pStyle w:val="af1"/>
      </w:pPr>
      <w:r>
        <w:rPr>
          <w:rStyle w:val="af0"/>
        </w:rPr>
        <w:annotationRef/>
      </w:r>
      <w:r>
        <w:rPr>
          <w:rtl/>
        </w:rPr>
        <w:t>المهنية القانونية</w:t>
      </w:r>
    </w:p>
  </w:comment>
  <w:comment w:id="15" w:author="الباحث: حسان جمبي" w:date="2026-07-18T21:00:00Z" w:initials="حج">
    <w:p w14:paraId="38A3629E" w14:textId="77777777" w:rsidR="00F06D4D" w:rsidRDefault="00000000">
      <w:pPr>
        <w:pStyle w:val="af1"/>
        <w:rPr>
          <w:rtl/>
        </w:rPr>
      </w:pPr>
      <w:r>
        <w:rPr>
          <w:rStyle w:val="af0"/>
        </w:rPr>
        <w:annotationRef/>
      </w:r>
      <w:r>
        <w:rPr>
          <w:rFonts w:hint="cs"/>
          <w:rtl/>
        </w:rPr>
        <w:t>تم؛ عُدلت الصياغة وعلامات الترقيم في الموضع.</w:t>
      </w:r>
    </w:p>
  </w:comment>
  <w:comment w:id="16" w:author="Dr. Ibrahim" w:date="2026-06-30T13:06:00Z" w:initials="DI">
    <w:p w14:paraId="43735B00" w14:textId="2AD6F3E3" w:rsidR="006A5DF6" w:rsidRDefault="006A5DF6">
      <w:pPr>
        <w:pStyle w:val="af1"/>
      </w:pPr>
      <w:r>
        <w:rPr>
          <w:rStyle w:val="af0"/>
        </w:rPr>
        <w:annotationRef/>
      </w:r>
      <w:r>
        <w:rPr>
          <w:rFonts w:hint="cs"/>
          <w:rtl/>
        </w:rPr>
        <w:t>المرجع العلي 2024 مستخدم الف مرة ولا يجوز في كل مرة ذكر المرجع كاملا بل نقول اسم المؤلف ثم المرجع السابق والملاحظة في كامل الاطروحة</w:t>
      </w:r>
    </w:p>
  </w:comment>
  <w:comment w:id="17" w:author="الباحث: حسان جمبي" w:date="2026-07-18T21:00:00Z" w:initials="حج">
    <w:p w14:paraId="20B7EE0C" w14:textId="77777777" w:rsidR="00F06D4D" w:rsidRDefault="00000000">
      <w:pPr>
        <w:pStyle w:val="af1"/>
        <w:rPr>
          <w:rtl/>
        </w:rPr>
      </w:pPr>
      <w:r>
        <w:rPr>
          <w:rStyle w:val="af0"/>
        </w:rPr>
        <w:annotationRef/>
      </w:r>
      <w:r>
        <w:rPr>
          <w:rFonts w:hint="cs"/>
          <w:rtl/>
        </w:rPr>
        <w:t>تم؛ اعتُمد ذكر المرجع كاملاً في أول وروده ثم «مرجع سابق» فيما يليه، وعُدلت الهوامش وفق ذلك. وطُبق ذلك على مرجع العلي خاصة.</w:t>
      </w:r>
    </w:p>
  </w:comment>
  <w:comment w:id="18" w:author="ibrahim h" w:date="2026-06-29T23:29:00Z" w:initials="ih">
    <w:p w14:paraId="5547E5BA" w14:textId="77777777" w:rsidR="006A5DF6" w:rsidRDefault="006A5DF6" w:rsidP="00C72A09">
      <w:pPr>
        <w:pStyle w:val="af1"/>
      </w:pPr>
      <w:r>
        <w:rPr>
          <w:rStyle w:val="af0"/>
        </w:rPr>
        <w:annotationRef/>
      </w:r>
      <w:r>
        <w:rPr>
          <w:rtl/>
        </w:rPr>
        <w:t>يشير بعض الفقه</w:t>
      </w:r>
    </w:p>
  </w:comment>
  <w:comment w:id="19" w:author="الباحث: حسان جمبي" w:date="2026-07-18T21:00:00Z" w:initials="حج">
    <w:p w14:paraId="61732A69" w14:textId="77777777" w:rsidR="00F06D4D" w:rsidRDefault="00000000">
      <w:pPr>
        <w:pStyle w:val="af1"/>
        <w:rPr>
          <w:rtl/>
        </w:rPr>
      </w:pPr>
      <w:r>
        <w:rPr>
          <w:rStyle w:val="af0"/>
        </w:rPr>
        <w:annotationRef/>
      </w:r>
      <w:r>
        <w:rPr>
          <w:rFonts w:hint="cs"/>
          <w:rtl/>
        </w:rPr>
        <w:t>تم؛ أُعيدت الصياغة بأسلوب «يشير جانب من الفقه/تؤكد بعض الدراسات» مع التوثيق أسفل الصفحة، وأُلغي أسلوب (الاسم، السنة) في المتن.</w:t>
      </w:r>
    </w:p>
  </w:comment>
  <w:comment w:id="20" w:author="ibrahim h" w:date="2026-06-29T23:32:00Z" w:initials="ih">
    <w:p w14:paraId="6175FB9B" w14:textId="77777777" w:rsidR="006A5DF6" w:rsidRDefault="006A5DF6" w:rsidP="00B3608E">
      <w:pPr>
        <w:pStyle w:val="af1"/>
      </w:pPr>
      <w:r>
        <w:rPr>
          <w:rStyle w:val="af0"/>
        </w:rPr>
        <w:annotationRef/>
      </w:r>
      <w:r>
        <w:rPr>
          <w:rtl/>
        </w:rPr>
        <w:t>وتؤكد بعض الدراسات ..مع ذكر الهامش اسفل الصفحة</w:t>
      </w:r>
    </w:p>
  </w:comment>
  <w:comment w:id="21" w:author="الباحث: حسان جمبي" w:date="2026-07-18T21:00:00Z" w:initials="حج">
    <w:p w14:paraId="4478DAF6" w14:textId="77777777" w:rsidR="00F06D4D" w:rsidRDefault="00000000">
      <w:pPr>
        <w:pStyle w:val="af1"/>
        <w:rPr>
          <w:rtl/>
        </w:rPr>
      </w:pPr>
      <w:r>
        <w:rPr>
          <w:rStyle w:val="af0"/>
        </w:rPr>
        <w:annotationRef/>
      </w:r>
      <w:r>
        <w:rPr>
          <w:rFonts w:hint="cs"/>
          <w:rtl/>
        </w:rPr>
        <w:t>تم؛ أُعيدت الصياغة بأسلوب «يشير جانب من الفقه/تؤكد بعض الدراسات» مع التوثيق أسفل الصفحة، وأُلغي أسلوب (الاسم، السنة) في المتن.</w:t>
      </w:r>
    </w:p>
  </w:comment>
  <w:comment w:id="22" w:author="ibrahim h" w:date="2026-06-29T23:34:00Z" w:initials="ih">
    <w:p w14:paraId="7A2923E2" w14:textId="77777777" w:rsidR="006A5DF6" w:rsidRDefault="006A5DF6" w:rsidP="00C623F0">
      <w:pPr>
        <w:pStyle w:val="af1"/>
      </w:pPr>
      <w:r>
        <w:rPr>
          <w:rStyle w:val="af0"/>
        </w:rPr>
        <w:annotationRef/>
      </w:r>
      <w:r>
        <w:rPr>
          <w:rtl/>
        </w:rPr>
        <w:t>ومن مهام الباحث ايضا</w:t>
      </w:r>
    </w:p>
  </w:comment>
  <w:comment w:id="23" w:author="الباحث: حسان جمبي" w:date="2026-07-18T21:00:00Z" w:initials="حج">
    <w:p w14:paraId="20776B2D" w14:textId="77777777" w:rsidR="00F06D4D" w:rsidRDefault="00000000">
      <w:pPr>
        <w:pStyle w:val="af1"/>
        <w:rPr>
          <w:rtl/>
        </w:rPr>
      </w:pPr>
      <w:r>
        <w:rPr>
          <w:rStyle w:val="af0"/>
        </w:rPr>
        <w:annotationRef/>
      </w:r>
      <w:r>
        <w:rPr>
          <w:rFonts w:hint="cs"/>
          <w:rtl/>
        </w:rPr>
        <w:t>تم؛ اعتُمدت عبارة «ومن مهام الباحث أيضاً» في الموضع نفسه.</w:t>
      </w:r>
    </w:p>
  </w:comment>
  <w:comment w:id="24" w:author="ibrahim h" w:date="2026-06-29T23:36:00Z" w:initials="ih">
    <w:p w14:paraId="0548AACA" w14:textId="77777777" w:rsidR="006A5DF6" w:rsidRDefault="006A5DF6" w:rsidP="00AB64FA">
      <w:pPr>
        <w:pStyle w:val="af1"/>
      </w:pPr>
      <w:r>
        <w:rPr>
          <w:rStyle w:val="af0"/>
        </w:rPr>
        <w:annotationRef/>
      </w:r>
      <w:r>
        <w:rPr>
          <w:rtl/>
        </w:rPr>
        <w:t>يلاحظ جانب من الفقه</w:t>
      </w:r>
    </w:p>
  </w:comment>
  <w:comment w:id="25" w:author="الباحث: حسان جمبي" w:date="2026-07-18T21:00:00Z" w:initials="حج">
    <w:p w14:paraId="44FB7D19" w14:textId="77777777" w:rsidR="00F06D4D" w:rsidRDefault="00000000">
      <w:pPr>
        <w:pStyle w:val="af1"/>
        <w:rPr>
          <w:rtl/>
        </w:rPr>
      </w:pPr>
      <w:r>
        <w:rPr>
          <w:rStyle w:val="af0"/>
        </w:rPr>
        <w:annotationRef/>
      </w:r>
      <w:r>
        <w:rPr>
          <w:rFonts w:hint="cs"/>
          <w:rtl/>
        </w:rPr>
        <w:t>تم؛ أُعيدت الصياغة بأسلوب «يشير جانب من الفقه/تؤكد بعض الدراسات» مع التوثيق أسفل الصفحة، وأُلغي أسلوب (الاسم، السنة) في المتن.</w:t>
      </w:r>
    </w:p>
  </w:comment>
  <w:comment w:id="26" w:author="ibrahim h" w:date="2026-06-29T23:37:00Z" w:initials="ih">
    <w:p w14:paraId="48182834" w14:textId="77777777" w:rsidR="006A5DF6" w:rsidRDefault="006A5DF6" w:rsidP="00D7288C">
      <w:pPr>
        <w:pStyle w:val="af1"/>
      </w:pPr>
      <w:r>
        <w:rPr>
          <w:rStyle w:val="af0"/>
        </w:rPr>
        <w:annotationRef/>
      </w:r>
      <w:r>
        <w:rPr>
          <w:rtl/>
        </w:rPr>
        <w:t>ذات الدور المساعد</w:t>
      </w:r>
    </w:p>
  </w:comment>
  <w:comment w:id="27" w:author="الباحث: حسان جمبي" w:date="2026-07-18T21:00:00Z" w:initials="حج">
    <w:p w14:paraId="1B28494A" w14:textId="77777777" w:rsidR="00F06D4D" w:rsidRDefault="00000000">
      <w:pPr>
        <w:pStyle w:val="af1"/>
        <w:rPr>
          <w:rtl/>
        </w:rPr>
      </w:pPr>
      <w:r>
        <w:rPr>
          <w:rStyle w:val="af0"/>
        </w:rPr>
        <w:annotationRef/>
      </w:r>
      <w:r>
        <w:rPr>
          <w:rFonts w:hint="cs"/>
          <w:rtl/>
        </w:rPr>
        <w:t>تم؛ أُضيف وصف «ذات الدور المساعد» للبرمجيات القائمة على قواعد ثابتة.</w:t>
      </w:r>
    </w:p>
  </w:comment>
  <w:comment w:id="28" w:author="Dr. Ibrahim" w:date="2026-06-30T13:10:00Z" w:initials="DI">
    <w:p w14:paraId="5683B419" w14:textId="61DA6C0E" w:rsidR="006A5DF6" w:rsidRDefault="006A5DF6">
      <w:pPr>
        <w:pStyle w:val="af1"/>
      </w:pPr>
      <w:r>
        <w:rPr>
          <w:rStyle w:val="af0"/>
        </w:rPr>
        <w:annotationRef/>
      </w:r>
      <w:r>
        <w:rPr>
          <w:rFonts w:hint="cs"/>
          <w:rtl/>
        </w:rPr>
        <w:t>مرجع سابق</w:t>
      </w:r>
    </w:p>
  </w:comment>
  <w:comment w:id="29" w:author="الباحث: حسان جمبي" w:date="2026-07-18T21:00:00Z" w:initials="حج">
    <w:p w14:paraId="61356D6C" w14:textId="77777777" w:rsidR="00F06D4D" w:rsidRDefault="00000000">
      <w:pPr>
        <w:pStyle w:val="af1"/>
        <w:rPr>
          <w:rtl/>
        </w:rPr>
      </w:pPr>
      <w:r>
        <w:rPr>
          <w:rStyle w:val="af0"/>
        </w:rPr>
        <w:annotationRef/>
      </w:r>
      <w:r>
        <w:rPr>
          <w:rFonts w:hint="cs"/>
          <w:rtl/>
        </w:rPr>
        <w:t>تم؛ اعتُمد ذكر المرجع كاملاً في أول وروده ثم «مرجع سابق» فيما يليه، وعُدلت الهوامش وفق ذلك.</w:t>
      </w:r>
    </w:p>
  </w:comment>
  <w:comment w:id="30" w:author="Dr. Ibrahim" w:date="2026-06-30T13:11:00Z" w:initials="DI">
    <w:p w14:paraId="13704B7A" w14:textId="10F505C6" w:rsidR="006A5DF6" w:rsidRDefault="006A5DF6">
      <w:pPr>
        <w:pStyle w:val="af1"/>
      </w:pPr>
      <w:r>
        <w:rPr>
          <w:rStyle w:val="af0"/>
        </w:rPr>
        <w:annotationRef/>
      </w:r>
      <w:r>
        <w:rPr>
          <w:rFonts w:hint="cs"/>
          <w:rtl/>
        </w:rPr>
        <w:t>إعادة صياغة</w:t>
      </w:r>
    </w:p>
  </w:comment>
  <w:comment w:id="31" w:author="الباحث: حسان جمبي" w:date="2026-07-18T21:00:00Z" w:initials="حج">
    <w:p w14:paraId="5C561F13" w14:textId="77777777" w:rsidR="00F06D4D" w:rsidRDefault="00000000">
      <w:pPr>
        <w:pStyle w:val="af1"/>
        <w:rPr>
          <w:rtl/>
        </w:rPr>
      </w:pPr>
      <w:r>
        <w:rPr>
          <w:rStyle w:val="af0"/>
        </w:rPr>
        <w:annotationRef/>
      </w:r>
      <w:r>
        <w:rPr>
          <w:rFonts w:hint="cs"/>
          <w:rtl/>
        </w:rPr>
        <w:t>تم؛ أُعيدت صياغة الفقرة، وصُححت معلومات التطوير من مصادرها: نموذج علّام (ALLaM) من تطوير سدايا لا أرامكو وIBM، ونموذج AceGPT شاركت في تطويره جامعة الملك عبدالله (كاوست).</w:t>
      </w:r>
    </w:p>
  </w:comment>
  <w:comment w:id="32" w:author="ibrahim h" w:date="2026-06-29T23:48:00Z" w:initials="ih">
    <w:p w14:paraId="01BE7814" w14:textId="77777777" w:rsidR="006A5DF6" w:rsidRDefault="006A5DF6" w:rsidP="00F43521">
      <w:pPr>
        <w:pStyle w:val="af1"/>
      </w:pPr>
      <w:r>
        <w:rPr>
          <w:rStyle w:val="af0"/>
        </w:rPr>
        <w:annotationRef/>
      </w:r>
      <w:r>
        <w:rPr>
          <w:rtl/>
        </w:rPr>
        <w:t>ما هو التقسيم ؟ والموضوع هو المشاكل الناجمة عن استخدام نماذج الذكاء الاصطناعي القانونية</w:t>
      </w:r>
    </w:p>
  </w:comment>
  <w:comment w:id="33" w:author="الباحث: حسان جمبي" w:date="2026-07-18T21:00:00Z" w:initials="حج">
    <w:p w14:paraId="61B4416C" w14:textId="77777777" w:rsidR="00F06D4D" w:rsidRDefault="00000000">
      <w:pPr>
        <w:pStyle w:val="af1"/>
        <w:rPr>
          <w:rtl/>
        </w:rPr>
      </w:pPr>
      <w:r>
        <w:rPr>
          <w:rStyle w:val="af0"/>
        </w:rPr>
        <w:annotationRef/>
      </w:r>
      <w:r>
        <w:rPr>
          <w:rFonts w:hint="cs"/>
          <w:rtl/>
        </w:rPr>
        <w:t>التقسيم ضُبط: أُدرج المحور تحت مطلبه بترقيم «سابعاً: الخصائص التقنية…»، والموضوع مقصور على الإشكاليات الناجمة عن النماذج القانونية (الهلوسة، انقطاع المعرفة، ضعف التمثيل العربي) بوصفها مقدمة ضرورية للحكم النظامي.</w:t>
      </w:r>
    </w:p>
  </w:comment>
  <w:comment w:id="34" w:author="Dr. Ibrahim" w:date="2026-06-30T13:29:00Z" w:initials="DI">
    <w:p w14:paraId="0D9E3EFD" w14:textId="0AE326B0" w:rsidR="006A5DF6" w:rsidRDefault="006A5DF6">
      <w:pPr>
        <w:pStyle w:val="af1"/>
      </w:pPr>
      <w:r>
        <w:rPr>
          <w:rStyle w:val="af0"/>
        </w:rPr>
        <w:annotationRef/>
      </w:r>
    </w:p>
  </w:comment>
  <w:comment w:id="35" w:author="الباحث: حسان جمبي" w:date="2026-07-18T21:00:00Z" w:initials="حج">
    <w:p w14:paraId="7A41B35B" w14:textId="77777777" w:rsidR="00F06D4D" w:rsidRDefault="00000000">
      <w:pPr>
        <w:pStyle w:val="af1"/>
        <w:rPr>
          <w:rtl/>
        </w:rPr>
      </w:pPr>
      <w:r>
        <w:rPr>
          <w:rStyle w:val="af0"/>
        </w:rPr>
        <w:annotationRef/>
      </w:r>
      <w:r>
        <w:rPr>
          <w:rFonts w:hint="cs"/>
          <w:rtl/>
        </w:rPr>
        <w:t>استُبدل بالمرجع غير المتحقق منه دراستا جامعة ستانفورد المحكمتان (Dahl et al., Journal of Legal Analysis, 2024؛ وMagesh et al., Journal of Empirical Legal Studies, 2025) بنسبهما الموثقة، وعُدل المتن والهامش.</w:t>
      </w:r>
    </w:p>
  </w:comment>
  <w:comment w:id="36" w:author="ibrahim h" w:date="2026-06-29T23:48:00Z" w:initials="ih">
    <w:p w14:paraId="745281B0" w14:textId="77777777" w:rsidR="006A5DF6" w:rsidRDefault="006A5DF6" w:rsidP="002C6AC6">
      <w:pPr>
        <w:pStyle w:val="af1"/>
      </w:pPr>
      <w:r>
        <w:rPr>
          <w:rStyle w:val="af0"/>
        </w:rPr>
        <w:annotationRef/>
      </w:r>
      <w:r>
        <w:rPr>
          <w:rtl/>
        </w:rPr>
        <w:t>التقسيم</w:t>
      </w:r>
    </w:p>
  </w:comment>
  <w:comment w:id="37" w:author="الباحث: حسان جمبي" w:date="2026-07-18T21:00:00Z" w:initials="حج">
    <w:p w14:paraId="6DBB581D" w14:textId="77777777" w:rsidR="00F06D4D" w:rsidRDefault="00000000">
      <w:pPr>
        <w:pStyle w:val="af1"/>
        <w:rPr>
          <w:rtl/>
        </w:rPr>
      </w:pPr>
      <w:r>
        <w:rPr>
          <w:rStyle w:val="af0"/>
        </w:rPr>
        <w:annotationRef/>
      </w:r>
      <w:r>
        <w:rPr>
          <w:rFonts w:hint="cs"/>
          <w:rtl/>
        </w:rPr>
        <w:t>تم؛ ضُبط العنوان بترقيمه تحت مطلبه (أولاً/ثانياً…)، وأُعلن تقسيم الفصل إلى مباحثه الثلاثة في تمهيده.</w:t>
      </w:r>
    </w:p>
  </w:comment>
  <w:comment w:id="38" w:author="ibrahim h" w:date="2026-06-29T23:49:00Z" w:initials="ih">
    <w:p w14:paraId="05E02402" w14:textId="77777777" w:rsidR="006A5DF6" w:rsidRDefault="006A5DF6" w:rsidP="00C126D5">
      <w:pPr>
        <w:pStyle w:val="af1"/>
      </w:pPr>
      <w:r>
        <w:rPr>
          <w:rStyle w:val="af0"/>
        </w:rPr>
        <w:annotationRef/>
      </w:r>
      <w:r>
        <w:rPr>
          <w:rtl/>
        </w:rPr>
        <w:t>التوثيق اسفل الصفحة</w:t>
      </w:r>
    </w:p>
  </w:comment>
  <w:comment w:id="39" w:author="الباحث: حسان جمبي" w:date="2026-07-18T21:00:00Z" w:initials="حج">
    <w:p w14:paraId="330F8834" w14:textId="77777777" w:rsidR="00F06D4D" w:rsidRDefault="00000000">
      <w:pPr>
        <w:pStyle w:val="af1"/>
        <w:rPr>
          <w:rtl/>
        </w:rPr>
      </w:pPr>
      <w:r>
        <w:rPr>
          <w:rStyle w:val="af0"/>
        </w:rPr>
        <w:annotationRef/>
      </w:r>
      <w:r>
        <w:rPr>
          <w:rFonts w:hint="cs"/>
          <w:rtl/>
        </w:rPr>
        <w:t>تم؛ التوثيق كله أسفل الصفحة.</w:t>
      </w:r>
    </w:p>
  </w:comment>
  <w:comment w:id="40" w:author="ibrahim h" w:date="2026-06-29T23:50:00Z" w:initials="ih">
    <w:p w14:paraId="1B5C646A" w14:textId="77777777" w:rsidR="006A5DF6" w:rsidRDefault="006A5DF6" w:rsidP="00EB196A">
      <w:pPr>
        <w:pStyle w:val="af1"/>
      </w:pPr>
      <w:r>
        <w:rPr>
          <w:rStyle w:val="af0"/>
        </w:rPr>
        <w:annotationRef/>
      </w:r>
      <w:r>
        <w:rPr>
          <w:rtl/>
        </w:rPr>
        <w:t>حذف</w:t>
      </w:r>
    </w:p>
  </w:comment>
  <w:comment w:id="41" w:author="الباحث: حسان جمبي" w:date="2026-07-18T21:00:00Z" w:initials="حج">
    <w:p w14:paraId="544D2066" w14:textId="77777777" w:rsidR="00F06D4D" w:rsidRDefault="00000000">
      <w:pPr>
        <w:pStyle w:val="af1"/>
        <w:rPr>
          <w:rtl/>
        </w:rPr>
      </w:pPr>
      <w:r>
        <w:rPr>
          <w:rStyle w:val="af0"/>
        </w:rPr>
        <w:annotationRef/>
      </w:r>
      <w:r>
        <w:rPr>
          <w:rFonts w:hint="cs"/>
          <w:rtl/>
        </w:rPr>
        <w:t>تم الحذف.</w:t>
      </w:r>
    </w:p>
  </w:comment>
  <w:comment w:id="44" w:author="ibrahim h" w:date="2026-06-29T23:50:00Z" w:initials="ih">
    <w:p w14:paraId="14EC19BE" w14:textId="77777777" w:rsidR="006A5DF6" w:rsidRDefault="006A5DF6" w:rsidP="00EE1923">
      <w:pPr>
        <w:pStyle w:val="af1"/>
      </w:pPr>
      <w:r>
        <w:rPr>
          <w:rStyle w:val="af0"/>
        </w:rPr>
        <w:annotationRef/>
      </w:r>
      <w:r>
        <w:rPr>
          <w:rtl/>
        </w:rPr>
        <w:t>فاصلة</w:t>
      </w:r>
    </w:p>
  </w:comment>
  <w:comment w:id="45" w:author="الباحث: حسان جمبي" w:date="2026-07-18T21:00:00Z" w:initials="حج">
    <w:p w14:paraId="64A99D49" w14:textId="77777777" w:rsidR="00F06D4D" w:rsidRDefault="00000000">
      <w:pPr>
        <w:pStyle w:val="af1"/>
        <w:rPr>
          <w:rtl/>
        </w:rPr>
      </w:pPr>
      <w:r>
        <w:rPr>
          <w:rStyle w:val="af0"/>
        </w:rPr>
        <w:annotationRef/>
      </w:r>
      <w:r>
        <w:rPr>
          <w:rFonts w:hint="cs"/>
          <w:rtl/>
        </w:rPr>
        <w:t>تم؛ عُدلت الصياغة وعلامات الترقيم في الموضع.</w:t>
      </w:r>
    </w:p>
  </w:comment>
  <w:comment w:id="46" w:author="ibrahim h" w:date="2026-06-29T23:50:00Z" w:initials="ih">
    <w:p w14:paraId="2394BA29" w14:textId="77777777" w:rsidR="006A5DF6" w:rsidRDefault="006A5DF6" w:rsidP="00EE1923">
      <w:pPr>
        <w:pStyle w:val="af1"/>
      </w:pPr>
      <w:r>
        <w:rPr>
          <w:rStyle w:val="af0"/>
        </w:rPr>
        <w:annotationRef/>
      </w:r>
      <w:r>
        <w:rPr>
          <w:rtl/>
        </w:rPr>
        <w:t>فاصلة</w:t>
      </w:r>
    </w:p>
  </w:comment>
  <w:comment w:id="47" w:author="الباحث: حسان جمبي" w:date="2026-07-18T21:00:00Z" w:initials="حج">
    <w:p w14:paraId="583BD268" w14:textId="77777777" w:rsidR="00F06D4D" w:rsidRDefault="00000000">
      <w:pPr>
        <w:pStyle w:val="af1"/>
        <w:rPr>
          <w:rtl/>
        </w:rPr>
      </w:pPr>
      <w:r>
        <w:rPr>
          <w:rStyle w:val="af0"/>
        </w:rPr>
        <w:annotationRef/>
      </w:r>
      <w:r>
        <w:rPr>
          <w:rFonts w:hint="cs"/>
          <w:rtl/>
        </w:rPr>
        <w:t>تم؛ عُدلت الصياغة وعلامات الترقيم في الموضع.</w:t>
      </w:r>
    </w:p>
  </w:comment>
  <w:comment w:id="42" w:author="ibrahim h" w:date="2026-06-29T23:52:00Z" w:initials="ih">
    <w:p w14:paraId="7A428760" w14:textId="77777777" w:rsidR="006A5DF6" w:rsidRDefault="006A5DF6" w:rsidP="00112A03">
      <w:pPr>
        <w:pStyle w:val="af1"/>
      </w:pPr>
      <w:r>
        <w:rPr>
          <w:rStyle w:val="af0"/>
        </w:rPr>
        <w:annotationRef/>
      </w:r>
      <w:r>
        <w:rPr>
          <w:rtl/>
        </w:rPr>
        <w:t>لابد للمشرع السعودي ولهيئة...من التفرقة بين....</w:t>
      </w:r>
    </w:p>
  </w:comment>
  <w:comment w:id="43" w:author="الباحث: حسان جمبي" w:date="2026-07-18T21:00:00Z" w:initials="حج">
    <w:p w14:paraId="6030E470" w14:textId="77777777" w:rsidR="00F06D4D" w:rsidRDefault="00000000">
      <w:pPr>
        <w:pStyle w:val="af1"/>
        <w:rPr>
          <w:rtl/>
        </w:rPr>
      </w:pPr>
      <w:r>
        <w:rPr>
          <w:rStyle w:val="af0"/>
        </w:rPr>
        <w:annotationRef/>
      </w:r>
      <w:r>
        <w:rPr>
          <w:rFonts w:hint="cs"/>
          <w:rtl/>
        </w:rPr>
        <w:t>اعتُمدت صيغة الدكتور: «لا بد للمشرع السعودي وللهيئة السعودية للمحامين من التفرقة بين أدوات الذكاء الاصطناعي المدربة على البيانات السعودية وأدوات الاستخدام العام».</w:t>
      </w:r>
    </w:p>
  </w:comment>
  <w:comment w:id="48" w:author="ibrahim h" w:date="2026-06-29T23:52:00Z" w:initials="ih">
    <w:p w14:paraId="593A47BC" w14:textId="77777777" w:rsidR="006A5DF6" w:rsidRDefault="006A5DF6" w:rsidP="00F5088E">
      <w:pPr>
        <w:pStyle w:val="af1"/>
      </w:pPr>
      <w:r>
        <w:rPr>
          <w:rStyle w:val="af0"/>
        </w:rPr>
        <w:annotationRef/>
      </w:r>
      <w:r>
        <w:rPr>
          <w:rtl/>
        </w:rPr>
        <w:t>للادوات</w:t>
      </w:r>
    </w:p>
  </w:comment>
  <w:comment w:id="49" w:author="الباحث: حسان جمبي" w:date="2026-07-18T21:00:00Z" w:initials="حج">
    <w:p w14:paraId="2A30325C" w14:textId="77777777" w:rsidR="00F06D4D" w:rsidRDefault="00000000">
      <w:pPr>
        <w:pStyle w:val="af1"/>
        <w:rPr>
          <w:rtl/>
        </w:rPr>
      </w:pPr>
      <w:r>
        <w:rPr>
          <w:rStyle w:val="af0"/>
        </w:rPr>
        <w:annotationRef/>
      </w:r>
      <w:r>
        <w:rPr>
          <w:rFonts w:hint="cs"/>
          <w:rtl/>
        </w:rPr>
        <w:t>تم؛ «اعتماد أعلى للأدوات».</w:t>
      </w:r>
    </w:p>
  </w:comment>
  <w:comment w:id="50" w:author="ibrahim h" w:date="2026-06-29T23:56:00Z" w:initials="ih">
    <w:p w14:paraId="18FB5C1D" w14:textId="77777777" w:rsidR="006A5DF6" w:rsidRDefault="006A5DF6" w:rsidP="00327D27">
      <w:pPr>
        <w:pStyle w:val="af1"/>
      </w:pPr>
      <w:r>
        <w:rPr>
          <w:rStyle w:val="af0"/>
        </w:rPr>
        <w:annotationRef/>
      </w:r>
      <w:r>
        <w:rPr>
          <w:rtl/>
        </w:rPr>
        <w:t>التقسيم...والعنوان تطبيقات الذكاء الاصطناعي القانونية في الإدارة العامة السعودية</w:t>
      </w:r>
    </w:p>
  </w:comment>
  <w:comment w:id="51" w:author="الباحث: حسان جمبي" w:date="2026-07-18T21:00:00Z" w:initials="حج">
    <w:p w14:paraId="5BD87443" w14:textId="77777777" w:rsidR="00F06D4D" w:rsidRDefault="00000000">
      <w:pPr>
        <w:pStyle w:val="af1"/>
        <w:rPr>
          <w:rtl/>
        </w:rPr>
      </w:pPr>
      <w:r>
        <w:rPr>
          <w:rStyle w:val="af0"/>
        </w:rPr>
        <w:annotationRef/>
      </w:r>
      <w:r>
        <w:rPr>
          <w:rFonts w:hint="cs"/>
          <w:rtl/>
        </w:rPr>
        <w:t>تم؛ ضُبط العنوان مرقماً تحت مطلبه: «تاسعاً: تطبيقات الذكاء الاصطناعي القانونية في مجالات سعودية بعينها».</w:t>
      </w:r>
    </w:p>
  </w:comment>
  <w:comment w:id="52" w:author="Dr. Ibrahim" w:date="2026-06-30T13:12:00Z" w:initials="DI">
    <w:p w14:paraId="22EB283E" w14:textId="20D04788" w:rsidR="006A5DF6" w:rsidRDefault="006A5DF6">
      <w:pPr>
        <w:pStyle w:val="af1"/>
      </w:pPr>
      <w:r>
        <w:rPr>
          <w:rStyle w:val="af0"/>
        </w:rPr>
        <w:annotationRef/>
      </w:r>
      <w:r>
        <w:rPr>
          <w:rFonts w:hint="cs"/>
          <w:rtl/>
        </w:rPr>
        <w:t>المرجع ما هو</w:t>
      </w:r>
    </w:p>
  </w:comment>
  <w:comment w:id="53" w:author="الباحث: حسان جمبي" w:date="2026-07-18T21:00:00Z" w:initials="حج">
    <w:p w14:paraId="26A76293" w14:textId="77777777" w:rsidR="00F06D4D" w:rsidRDefault="00000000">
      <w:pPr>
        <w:pStyle w:val="af1"/>
        <w:rPr>
          <w:rtl/>
        </w:rPr>
      </w:pPr>
      <w:r>
        <w:rPr>
          <w:rStyle w:val="af0"/>
        </w:rPr>
        <w:annotationRef/>
      </w:r>
      <w:r>
        <w:rPr>
          <w:rFonts w:hint="cs"/>
          <w:rtl/>
        </w:rPr>
        <w:t>حُذفت الأرقام التي لا مصدر رسمياً منشوراً لها (أعداد النزاعات)، وبقي التحليل مستنداً إلى أحكام نظام العمل ونظام التسجيل العيني للعقار بوصفها نصوصاً منشورة.</w:t>
      </w:r>
    </w:p>
  </w:comment>
  <w:comment w:id="54" w:author="ibrahim h" w:date="2026-06-29T23:56:00Z" w:initials="ih">
    <w:p w14:paraId="0BABF7D3" w14:textId="77777777" w:rsidR="006A5DF6" w:rsidRDefault="006A5DF6" w:rsidP="00505B3D">
      <w:pPr>
        <w:pStyle w:val="af1"/>
      </w:pPr>
      <w:r>
        <w:rPr>
          <w:rStyle w:val="af0"/>
        </w:rPr>
        <w:annotationRef/>
      </w:r>
      <w:r>
        <w:rPr>
          <w:rtl/>
        </w:rPr>
        <w:t>المرجع</w:t>
      </w:r>
    </w:p>
  </w:comment>
  <w:comment w:id="55" w:author="الباحث: حسان جمبي" w:date="2026-07-18T21:00:00Z" w:initials="حج">
    <w:p w14:paraId="487A4B33" w14:textId="77777777" w:rsidR="00F06D4D" w:rsidRDefault="00000000">
      <w:pPr>
        <w:pStyle w:val="af1"/>
        <w:rPr>
          <w:rtl/>
        </w:rPr>
      </w:pPr>
      <w:r>
        <w:rPr>
          <w:rStyle w:val="af0"/>
        </w:rPr>
        <w:annotationRef/>
      </w:r>
      <w:r>
        <w:rPr>
          <w:rFonts w:hint="cs"/>
          <w:rtl/>
        </w:rPr>
        <w:t>تم التوثيق في الهامش بمصدر محدد قابل للتحقق، وحُذف ما تعذر توثيقه.</w:t>
      </w:r>
    </w:p>
  </w:comment>
  <w:comment w:id="56" w:author="ibrahim h" w:date="2026-06-29T23:57:00Z" w:initials="ih">
    <w:p w14:paraId="1F0AAA96" w14:textId="77777777" w:rsidR="006A5DF6" w:rsidRDefault="006A5DF6" w:rsidP="00827487">
      <w:pPr>
        <w:pStyle w:val="af1"/>
      </w:pPr>
      <w:r>
        <w:rPr>
          <w:rStyle w:val="af0"/>
        </w:rPr>
        <w:annotationRef/>
      </w:r>
      <w:r>
        <w:rPr>
          <w:rtl/>
        </w:rPr>
        <w:t>المرجع</w:t>
      </w:r>
    </w:p>
  </w:comment>
  <w:comment w:id="57" w:author="الباحث: حسان جمبي" w:date="2026-07-18T21:00:00Z" w:initials="حج">
    <w:p w14:paraId="23E652B5" w14:textId="77777777" w:rsidR="00F06D4D" w:rsidRDefault="00000000">
      <w:pPr>
        <w:pStyle w:val="af1"/>
        <w:rPr>
          <w:rtl/>
        </w:rPr>
      </w:pPr>
      <w:r>
        <w:rPr>
          <w:rStyle w:val="af0"/>
        </w:rPr>
        <w:annotationRef/>
      </w:r>
      <w:r>
        <w:rPr>
          <w:rFonts w:hint="cs"/>
          <w:rtl/>
        </w:rPr>
        <w:t>وُثقت بالمصدر المهني المنشور: رأي اتحاد المحامين الأمريكي الرسمي رقم (512) لعام 2024م وما في حكمه من أدلة النقابات المقارنة، وعُدل المتن.</w:t>
      </w:r>
    </w:p>
  </w:comment>
  <w:comment w:id="58" w:author="ibrahim h" w:date="2026-06-29T23:58:00Z" w:initials="ih">
    <w:p w14:paraId="77C6E233" w14:textId="77777777" w:rsidR="006A5DF6" w:rsidRDefault="006A5DF6" w:rsidP="007319E4">
      <w:pPr>
        <w:pStyle w:val="af1"/>
      </w:pPr>
      <w:r>
        <w:rPr>
          <w:rStyle w:val="af0"/>
        </w:rPr>
        <w:annotationRef/>
      </w:r>
      <w:r>
        <w:rPr>
          <w:rtl/>
        </w:rPr>
        <w:t>والعربي ايضا وحتى قرينة الاصل البراءة المعروفة عالميا</w:t>
      </w:r>
    </w:p>
  </w:comment>
  <w:comment w:id="59" w:author="الباحث: حسان جمبي" w:date="2026-07-18T21:00:00Z" w:initials="حج">
    <w:p w14:paraId="3E8CFEFB" w14:textId="77777777" w:rsidR="00F06D4D" w:rsidRDefault="00000000">
      <w:pPr>
        <w:pStyle w:val="af1"/>
        <w:rPr>
          <w:rtl/>
        </w:rPr>
      </w:pPr>
      <w:r>
        <w:rPr>
          <w:rStyle w:val="af0"/>
        </w:rPr>
        <w:annotationRef/>
      </w:r>
      <w:r>
        <w:rPr>
          <w:rFonts w:hint="cs"/>
          <w:rtl/>
        </w:rPr>
        <w:t>تم؛ أُضيف أصل البراءة المقرر شرعاً والمعروف عالمياً إلى جانب قاعدة درء الحدود بالشبهات في الموضع.</w:t>
      </w:r>
    </w:p>
  </w:comment>
  <w:comment w:id="60" w:author="ibrahim h" w:date="2026-06-29T23:59:00Z" w:initials="ih">
    <w:p w14:paraId="1141C9BE" w14:textId="77777777" w:rsidR="006A5DF6" w:rsidRDefault="006A5DF6" w:rsidP="00834F89">
      <w:pPr>
        <w:pStyle w:val="af1"/>
      </w:pPr>
      <w:r>
        <w:rPr>
          <w:rStyle w:val="af0"/>
        </w:rPr>
        <w:annotationRef/>
      </w:r>
      <w:r>
        <w:rPr>
          <w:rtl/>
        </w:rPr>
        <w:t>فاصلة</w:t>
      </w:r>
    </w:p>
  </w:comment>
  <w:comment w:id="61" w:author="الباحث: حسان جمبي" w:date="2026-07-18T21:00:00Z" w:initials="حج">
    <w:p w14:paraId="7D829439" w14:textId="77777777" w:rsidR="00F06D4D" w:rsidRDefault="00000000">
      <w:pPr>
        <w:pStyle w:val="af1"/>
        <w:rPr>
          <w:rtl/>
        </w:rPr>
      </w:pPr>
      <w:r>
        <w:rPr>
          <w:rStyle w:val="af0"/>
        </w:rPr>
        <w:annotationRef/>
      </w:r>
      <w:r>
        <w:rPr>
          <w:rFonts w:hint="cs"/>
          <w:rtl/>
        </w:rPr>
        <w:t>تم؛ عُدلت الصياغة وعلامات الترقيم في الموضع.</w:t>
      </w:r>
    </w:p>
  </w:comment>
  <w:comment w:id="62" w:author="Dr. Ibrahim" w:date="2026-06-30T13:13:00Z" w:initials="DI">
    <w:p w14:paraId="7154F861" w14:textId="63C9A87B" w:rsidR="006A5DF6" w:rsidRDefault="006A5DF6">
      <w:pPr>
        <w:pStyle w:val="af1"/>
      </w:pPr>
      <w:r>
        <w:rPr>
          <w:rStyle w:val="af0"/>
        </w:rPr>
        <w:annotationRef/>
      </w:r>
    </w:p>
  </w:comment>
  <w:comment w:id="63" w:author="الباحث: حسان جمبي" w:date="2026-07-18T21:00:00Z" w:initials="حج">
    <w:p w14:paraId="5A40603C" w14:textId="77777777" w:rsidR="00F06D4D" w:rsidRDefault="00000000">
      <w:pPr>
        <w:pStyle w:val="af1"/>
        <w:rPr>
          <w:rtl/>
        </w:rPr>
      </w:pPr>
      <w:r>
        <w:rPr>
          <w:rStyle w:val="af0"/>
        </w:rPr>
        <w:annotationRef/>
      </w:r>
      <w:r>
        <w:rPr>
          <w:rFonts w:hint="cs"/>
          <w:rtl/>
        </w:rPr>
        <w:t>تم؛ عُدلت الصياغة وعلامات الترقيم في الموضع.</w:t>
      </w:r>
    </w:p>
  </w:comment>
  <w:comment w:id="64" w:author="ibrahim h" w:date="2026-06-30T00:00:00Z" w:initials="ih">
    <w:p w14:paraId="4FE361FC" w14:textId="77777777" w:rsidR="006A5DF6" w:rsidRDefault="006A5DF6" w:rsidP="000775D9">
      <w:pPr>
        <w:pStyle w:val="af1"/>
      </w:pPr>
      <w:r>
        <w:rPr>
          <w:rStyle w:val="af0"/>
        </w:rPr>
        <w:annotationRef/>
      </w:r>
      <w:r>
        <w:rPr>
          <w:rtl/>
        </w:rPr>
        <w:t>نبه جانب  من الفقه</w:t>
      </w:r>
    </w:p>
  </w:comment>
  <w:comment w:id="65" w:author="الباحث: حسان جمبي" w:date="2026-07-18T21:00:00Z" w:initials="حج">
    <w:p w14:paraId="60CC2318" w14:textId="77777777" w:rsidR="00F06D4D" w:rsidRDefault="00000000">
      <w:pPr>
        <w:pStyle w:val="af1"/>
        <w:rPr>
          <w:rtl/>
        </w:rPr>
      </w:pPr>
      <w:r>
        <w:rPr>
          <w:rStyle w:val="af0"/>
        </w:rPr>
        <w:annotationRef/>
      </w:r>
      <w:r>
        <w:rPr>
          <w:rFonts w:hint="cs"/>
          <w:rtl/>
        </w:rPr>
        <w:t>تعذر التحقق من نسبة القول إلى «الباحثة عبد الرحمن»؛ فاستُبدل بأسلوب «نبّه جانب من الفقه» ووُثق الهامش بمرجع متحقق منه (التونسي والمعلم 2024م).</w:t>
      </w:r>
    </w:p>
  </w:comment>
  <w:comment w:id="66" w:author="ibrahim h" w:date="2026-06-30T00:02:00Z" w:initials="ih">
    <w:p w14:paraId="3C0773DE" w14:textId="77777777" w:rsidR="006A5DF6" w:rsidRDefault="006A5DF6" w:rsidP="00DA2D94">
      <w:pPr>
        <w:pStyle w:val="af1"/>
      </w:pPr>
      <w:r>
        <w:rPr>
          <w:rStyle w:val="af0"/>
        </w:rPr>
        <w:annotationRef/>
      </w:r>
      <w:r>
        <w:rPr>
          <w:rtl/>
        </w:rPr>
        <w:t>الهامش</w:t>
      </w:r>
    </w:p>
  </w:comment>
  <w:comment w:id="67" w:author="الباحث: حسان جمبي" w:date="2026-07-18T21:00:00Z" w:initials="حج">
    <w:p w14:paraId="286BDEF4" w14:textId="77777777" w:rsidR="00F06D4D" w:rsidRDefault="00000000">
      <w:pPr>
        <w:pStyle w:val="af1"/>
        <w:rPr>
          <w:rtl/>
        </w:rPr>
      </w:pPr>
      <w:r>
        <w:rPr>
          <w:rStyle w:val="af0"/>
        </w:rPr>
        <w:annotationRef/>
      </w:r>
      <w:r>
        <w:rPr>
          <w:rFonts w:hint="cs"/>
          <w:rtl/>
        </w:rPr>
        <w:t>تم؛ اعتُمد ذكر المرجع كاملاً في أول وروده ثم «مرجع سابق» فيما يليه، وعُدلت الهوامش وفق ذلك.</w:t>
      </w:r>
    </w:p>
  </w:comment>
  <w:comment w:id="68" w:author="ibrahim h" w:date="2026-06-30T00:03:00Z" w:initials="ih">
    <w:p w14:paraId="569F6EB8" w14:textId="4A5171A4" w:rsidR="006A5DF6" w:rsidRDefault="006A5DF6" w:rsidP="003F267E">
      <w:pPr>
        <w:pStyle w:val="af1"/>
      </w:pPr>
      <w:r>
        <w:rPr>
          <w:rStyle w:val="af0"/>
        </w:rPr>
        <w:annotationRef/>
      </w:r>
      <w:r>
        <w:rPr>
          <w:rtl/>
        </w:rPr>
        <w:t>اشار جانب من الفقه وفي اسفل الصفحة</w:t>
      </w:r>
      <w:r>
        <w:rPr>
          <w:rFonts w:hint="cs"/>
          <w:rtl/>
        </w:rPr>
        <w:t xml:space="preserve"> كما أن الاسيوطي مرجع سابق ولالف مرة</w:t>
      </w:r>
    </w:p>
  </w:comment>
  <w:comment w:id="69" w:author="الباحث: حسان جمبي" w:date="2026-07-18T21:00:00Z" w:initials="حج">
    <w:p w14:paraId="309FAE26" w14:textId="77777777" w:rsidR="00F06D4D" w:rsidRDefault="00000000">
      <w:pPr>
        <w:pStyle w:val="af1"/>
        <w:rPr>
          <w:rtl/>
        </w:rPr>
      </w:pPr>
      <w:r>
        <w:rPr>
          <w:rStyle w:val="af0"/>
        </w:rPr>
        <w:annotationRef/>
      </w:r>
      <w:r>
        <w:rPr>
          <w:rFonts w:hint="cs"/>
          <w:rtl/>
        </w:rPr>
        <w:t>تم؛ «أشار جانب من الفقه» في المتن، والأسيوطي بمرجعه الكامل أول مرة ثم «مرجع سابق»، وصُححت بياناته على قائمة المراجع (أيمن محمد سيد مصطفى الأسيوطي، 2020م).</w:t>
      </w:r>
    </w:p>
  </w:comment>
  <w:comment w:id="70" w:author="Dr. Ibrahim" w:date="2026-06-30T13:15:00Z" w:initials="DI">
    <w:p w14:paraId="477E0B22" w14:textId="25F44C7C" w:rsidR="006A5DF6" w:rsidRDefault="006A5DF6">
      <w:pPr>
        <w:pStyle w:val="af1"/>
      </w:pPr>
      <w:r>
        <w:rPr>
          <w:rStyle w:val="af0"/>
        </w:rPr>
        <w:annotationRef/>
      </w:r>
      <w:r>
        <w:rPr>
          <w:rFonts w:hint="cs"/>
          <w:rtl/>
        </w:rPr>
        <w:t xml:space="preserve">في الهامش الهيئة السعودية مرجع سابق ص </w:t>
      </w:r>
    </w:p>
  </w:comment>
  <w:comment w:id="71" w:author="الباحث: حسان جمبي" w:date="2026-07-18T21:00:00Z" w:initials="حج">
    <w:p w14:paraId="6D48A492" w14:textId="77777777" w:rsidR="00F06D4D" w:rsidRDefault="00000000">
      <w:pPr>
        <w:pStyle w:val="af1"/>
        <w:rPr>
          <w:rtl/>
        </w:rPr>
      </w:pPr>
      <w:r>
        <w:rPr>
          <w:rStyle w:val="af0"/>
        </w:rPr>
        <w:annotationRef/>
      </w:r>
      <w:r>
        <w:rPr>
          <w:rFonts w:hint="cs"/>
          <w:rtl/>
        </w:rPr>
        <w:t>تم؛ اعتُمد ذكر المرجع كاملاً في أول وروده ثم «مرجع سابق» فيما يليه، وعُدلت الهوامش وفق ذلك.</w:t>
      </w:r>
    </w:p>
  </w:comment>
  <w:comment w:id="72" w:author="Dr. Ibrahim" w:date="2026-06-30T13:15:00Z" w:initials="DI">
    <w:p w14:paraId="2826EF17" w14:textId="78AF1F1E" w:rsidR="006A5DF6" w:rsidRDefault="006A5DF6">
      <w:pPr>
        <w:pStyle w:val="af1"/>
      </w:pPr>
      <w:r>
        <w:rPr>
          <w:rStyle w:val="af0"/>
        </w:rPr>
        <w:annotationRef/>
      </w:r>
    </w:p>
  </w:comment>
  <w:comment w:id="73" w:author="الباحث: حسان جمبي" w:date="2026-07-18T21:00:00Z" w:initials="حج">
    <w:p w14:paraId="340CAF75" w14:textId="77777777" w:rsidR="00F06D4D" w:rsidRDefault="00000000">
      <w:pPr>
        <w:pStyle w:val="af1"/>
        <w:rPr>
          <w:rtl/>
        </w:rPr>
      </w:pPr>
      <w:r>
        <w:rPr>
          <w:rStyle w:val="af0"/>
        </w:rPr>
        <w:annotationRef/>
      </w:r>
      <w:r>
        <w:rPr>
          <w:rFonts w:hint="cs"/>
          <w:rtl/>
        </w:rPr>
        <w:t>عولج ضمن توحيد التوثيق في الموضع.</w:t>
      </w:r>
    </w:p>
  </w:comment>
  <w:comment w:id="74" w:author="Dr. Ibrahim" w:date="2026-06-30T13:16:00Z" w:initials="DI">
    <w:p w14:paraId="7149B2F6" w14:textId="33638B51" w:rsidR="006A5DF6" w:rsidRDefault="006A5DF6">
      <w:pPr>
        <w:pStyle w:val="af1"/>
      </w:pPr>
      <w:r>
        <w:rPr>
          <w:rStyle w:val="af0"/>
        </w:rPr>
        <w:annotationRef/>
      </w:r>
    </w:p>
  </w:comment>
  <w:comment w:id="75" w:author="الباحث: حسان جمبي" w:date="2026-07-18T21:00:00Z" w:initials="حج">
    <w:p w14:paraId="3494D3F9" w14:textId="77777777" w:rsidR="00F06D4D" w:rsidRDefault="00000000">
      <w:pPr>
        <w:pStyle w:val="af1"/>
        <w:rPr>
          <w:rtl/>
        </w:rPr>
      </w:pPr>
      <w:r>
        <w:rPr>
          <w:rStyle w:val="af0"/>
        </w:rPr>
        <w:annotationRef/>
      </w:r>
      <w:r>
        <w:rPr>
          <w:rFonts w:hint="cs"/>
          <w:rtl/>
        </w:rPr>
        <w:t>عولج ضمن توحيد التوثيق في الموضع.</w:t>
      </w:r>
    </w:p>
  </w:comment>
  <w:comment w:id="76" w:author="Dr. Ibrahim" w:date="2026-06-30T13:17:00Z" w:initials="DI">
    <w:p w14:paraId="0CE47753" w14:textId="5A181B8B" w:rsidR="006A5DF6" w:rsidRDefault="006A5DF6">
      <w:pPr>
        <w:pStyle w:val="af1"/>
      </w:pPr>
      <w:r>
        <w:rPr>
          <w:rStyle w:val="af0"/>
        </w:rPr>
        <w:annotationRef/>
      </w:r>
      <w:r>
        <w:rPr>
          <w:rFonts w:hint="cs"/>
          <w:rtl/>
        </w:rPr>
        <w:t>كتابة ذكاء اصطناعي تفتقر للتحليل وذكر نصوص مواد هيئة المحامبن والانظمة</w:t>
      </w:r>
    </w:p>
  </w:comment>
  <w:comment w:id="77" w:author="الباحث: حسان جمبي" w:date="2026-07-18T21:00:00Z" w:initials="حج">
    <w:p w14:paraId="1993AA38" w14:textId="77777777" w:rsidR="00F06D4D" w:rsidRDefault="00000000">
      <w:pPr>
        <w:pStyle w:val="af1"/>
        <w:rPr>
          <w:rtl/>
        </w:rPr>
      </w:pPr>
      <w:r>
        <w:rPr>
          <w:rStyle w:val="af0"/>
        </w:rPr>
        <w:annotationRef/>
      </w:r>
      <w:r>
        <w:rPr>
          <w:rFonts w:hint="cs"/>
          <w:rtl/>
        </w:rPr>
        <w:t>عُزز التحليل بنصوص المواد: المادة (23) محاماة للسرية، والمواد (5) و(11) و(29) من نظام حماية البيانات الشخصية بأرقامها الصحيحة (النقل الخارجي في المادة 29 لا 12)، مع بقاء التحليل منصباً على أثرها في عمل مكاتب المحاماة.</w:t>
      </w:r>
    </w:p>
  </w:comment>
  <w:comment w:id="78" w:author="Dr. Ibrahim" w:date="2026-06-30T13:18:00Z" w:initials="DI">
    <w:p w14:paraId="69E597DC" w14:textId="16FCC610" w:rsidR="006A5DF6" w:rsidRDefault="006A5DF6">
      <w:pPr>
        <w:pStyle w:val="af1"/>
      </w:pPr>
      <w:r>
        <w:rPr>
          <w:rStyle w:val="af0"/>
        </w:rPr>
        <w:annotationRef/>
      </w:r>
      <w:r>
        <w:rPr>
          <w:rFonts w:hint="cs"/>
          <w:rtl/>
        </w:rPr>
        <w:t>المراجع ونصوص المواد</w:t>
      </w:r>
    </w:p>
  </w:comment>
  <w:comment w:id="79" w:author="الباحث: حسان جمبي" w:date="2026-07-18T21:00:00Z" w:initials="حج">
    <w:p w14:paraId="1DCF63AE" w14:textId="77777777" w:rsidR="00F06D4D" w:rsidRDefault="00000000">
      <w:pPr>
        <w:pStyle w:val="af1"/>
        <w:rPr>
          <w:rtl/>
        </w:rPr>
      </w:pPr>
      <w:r>
        <w:rPr>
          <w:rStyle w:val="af0"/>
        </w:rPr>
        <w:annotationRef/>
      </w:r>
      <w:r>
        <w:rPr>
          <w:rFonts w:hint="cs"/>
          <w:rtl/>
        </w:rPr>
        <w:t>كما سبق؛ وُثقت المواضع بنصوص المواد وأرقامها الصحيحة.</w:t>
      </w:r>
    </w:p>
  </w:comment>
  <w:comment w:id="80" w:author="Dr. Ibrahim" w:date="2026-06-30T13:19:00Z" w:initials="DI">
    <w:p w14:paraId="5171DC52" w14:textId="567AEBF1" w:rsidR="006A5DF6" w:rsidRDefault="006A5DF6">
      <w:pPr>
        <w:pStyle w:val="af1"/>
      </w:pPr>
      <w:r>
        <w:rPr>
          <w:rStyle w:val="af0"/>
        </w:rPr>
        <w:annotationRef/>
      </w:r>
      <w:r>
        <w:rPr>
          <w:rFonts w:hint="cs"/>
          <w:rtl/>
        </w:rPr>
        <w:t>التقسيم</w:t>
      </w:r>
    </w:p>
  </w:comment>
  <w:comment w:id="81" w:author="الباحث: حسان جمبي" w:date="2026-07-18T21:00:00Z" w:initials="حج">
    <w:p w14:paraId="2491CDE5" w14:textId="77777777" w:rsidR="00F06D4D" w:rsidRDefault="00000000">
      <w:pPr>
        <w:pStyle w:val="af1"/>
        <w:rPr>
          <w:rtl/>
        </w:rPr>
      </w:pPr>
      <w:r>
        <w:rPr>
          <w:rStyle w:val="af0"/>
        </w:rPr>
        <w:annotationRef/>
      </w:r>
      <w:r>
        <w:rPr>
          <w:rFonts w:hint="cs"/>
          <w:rtl/>
        </w:rPr>
        <w:t>تم؛ ضُبط العنوان بترقيمه تحت مطلبه (أولاً/ثانياً…)، وأُعلن تقسيم الفصل إلى مباحثه الثلاثة في تمهيده.</w:t>
      </w:r>
    </w:p>
  </w:comment>
  <w:comment w:id="82" w:author="Dr. Ibrahim" w:date="2026-06-30T13:19:00Z" w:initials="DI">
    <w:p w14:paraId="44BA57F7" w14:textId="3BCD6949" w:rsidR="006A5DF6" w:rsidRDefault="006A5DF6">
      <w:pPr>
        <w:pStyle w:val="af1"/>
      </w:pPr>
      <w:r>
        <w:rPr>
          <w:rStyle w:val="af0"/>
        </w:rPr>
        <w:annotationRef/>
      </w:r>
    </w:p>
  </w:comment>
  <w:comment w:id="83" w:author="الباحث: حسان جمبي" w:date="2026-07-18T21:00:00Z" w:initials="حج">
    <w:p w14:paraId="42CA0E5F" w14:textId="77777777" w:rsidR="00F06D4D" w:rsidRDefault="00000000">
      <w:pPr>
        <w:pStyle w:val="af1"/>
        <w:rPr>
          <w:rtl/>
        </w:rPr>
      </w:pPr>
      <w:r>
        <w:rPr>
          <w:rStyle w:val="af0"/>
        </w:rPr>
        <w:annotationRef/>
      </w:r>
      <w:r>
        <w:rPr>
          <w:rFonts w:hint="cs"/>
          <w:rtl/>
        </w:rPr>
        <w:t>عولج ضمن الموضع.</w:t>
      </w:r>
    </w:p>
  </w:comment>
  <w:comment w:id="84" w:author="Dr. Ibrahim" w:date="2026-06-30T13:19:00Z" w:initials="DI">
    <w:p w14:paraId="524CE518" w14:textId="6AFD9FCF" w:rsidR="006A5DF6" w:rsidRDefault="006A5DF6">
      <w:pPr>
        <w:pStyle w:val="af1"/>
      </w:pPr>
      <w:r>
        <w:rPr>
          <w:rStyle w:val="af0"/>
        </w:rPr>
        <w:annotationRef/>
      </w:r>
    </w:p>
  </w:comment>
  <w:comment w:id="85" w:author="الباحث: حسان جمبي" w:date="2026-07-18T21:00:00Z" w:initials="حج">
    <w:p w14:paraId="2A59AAC6" w14:textId="77777777" w:rsidR="00F06D4D" w:rsidRDefault="00000000">
      <w:pPr>
        <w:pStyle w:val="af1"/>
        <w:rPr>
          <w:rtl/>
        </w:rPr>
      </w:pPr>
      <w:r>
        <w:rPr>
          <w:rStyle w:val="af0"/>
        </w:rPr>
        <w:annotationRef/>
      </w:r>
      <w:r>
        <w:rPr>
          <w:rFonts w:hint="cs"/>
          <w:rtl/>
        </w:rPr>
        <w:t>عولج ضمن الموضع.</w:t>
      </w:r>
    </w:p>
  </w:comment>
  <w:comment w:id="86" w:author="Dr. Ibrahim" w:date="2026-06-30T13:20:00Z" w:initials="DI">
    <w:p w14:paraId="04825326" w14:textId="77777777" w:rsidR="006A5DF6" w:rsidRDefault="006A5DF6">
      <w:pPr>
        <w:pStyle w:val="af1"/>
        <w:rPr>
          <w:rtl/>
        </w:rPr>
      </w:pPr>
      <w:r>
        <w:rPr>
          <w:rStyle w:val="af0"/>
        </w:rPr>
        <w:annotationRef/>
      </w:r>
      <w:r>
        <w:rPr>
          <w:rFonts w:hint="cs"/>
          <w:rtl/>
        </w:rPr>
        <w:t>سبق أن عرضت ذلك في الصفحة 114</w:t>
      </w:r>
    </w:p>
    <w:p w14:paraId="1EE8BD17" w14:textId="286DB7AC" w:rsidR="006A5DF6" w:rsidRDefault="006A5DF6">
      <w:pPr>
        <w:pStyle w:val="af1"/>
      </w:pPr>
      <w:r>
        <w:rPr>
          <w:rFonts w:hint="cs"/>
          <w:rtl/>
        </w:rPr>
        <w:t>ثم ماهو التقسيم</w:t>
      </w:r>
    </w:p>
  </w:comment>
  <w:comment w:id="87" w:author="الباحث: حسان جمبي" w:date="2026-07-18T21:00:00Z" w:initials="حج">
    <w:p w14:paraId="248466A0" w14:textId="77777777" w:rsidR="00F06D4D" w:rsidRDefault="00000000">
      <w:pPr>
        <w:pStyle w:val="af1"/>
        <w:rPr>
          <w:rtl/>
        </w:rPr>
      </w:pPr>
      <w:r>
        <w:rPr>
          <w:rStyle w:val="af0"/>
        </w:rPr>
        <w:annotationRef/>
      </w:r>
      <w:r>
        <w:rPr>
          <w:rFonts w:hint="cs"/>
          <w:rtl/>
        </w:rPr>
        <w:t>صحيح؛ حُذف التكرار وضُم التحليل إلى موضعه الأول، وضُبطت العناوين الباقية بترقيمها تحت مطلبها.</w:t>
      </w:r>
    </w:p>
  </w:comment>
  <w:comment w:id="88" w:author="Dr. Ibrahim" w:date="2026-06-30T13:22:00Z" w:initials="DI">
    <w:p w14:paraId="142C011A" w14:textId="7A4A824E" w:rsidR="006A5DF6" w:rsidRDefault="006A5DF6">
      <w:pPr>
        <w:pStyle w:val="af1"/>
      </w:pPr>
      <w:r>
        <w:rPr>
          <w:rStyle w:val="af0"/>
        </w:rPr>
        <w:annotationRef/>
      </w:r>
      <w:r>
        <w:rPr>
          <w:rFonts w:hint="cs"/>
          <w:rtl/>
        </w:rPr>
        <w:t>تقسيم</w:t>
      </w:r>
    </w:p>
  </w:comment>
  <w:comment w:id="89" w:author="الباحث: حسان جمبي" w:date="2026-07-18T21:00:00Z" w:initials="حج">
    <w:p w14:paraId="47FC4407" w14:textId="77777777" w:rsidR="00F06D4D" w:rsidRDefault="00000000">
      <w:pPr>
        <w:pStyle w:val="af1"/>
        <w:rPr>
          <w:rtl/>
        </w:rPr>
      </w:pPr>
      <w:r>
        <w:rPr>
          <w:rStyle w:val="af0"/>
        </w:rPr>
        <w:annotationRef/>
      </w:r>
      <w:r>
        <w:rPr>
          <w:rFonts w:hint="cs"/>
          <w:rtl/>
        </w:rPr>
        <w:t>تم؛ ضُبط العنوان مرقماً تحت مطلبه: «عاشراً: واجب السرية المهنية…»، مع تصحيح مادة السرية إلى (الثالثة والعشرين).</w:t>
      </w:r>
    </w:p>
  </w:comment>
  <w:comment w:id="90" w:author="Dr. Ibrahim" w:date="2026-06-30T13:22:00Z" w:initials="DI">
    <w:p w14:paraId="1775F555" w14:textId="7BA82762" w:rsidR="006A5DF6" w:rsidRDefault="006A5DF6">
      <w:pPr>
        <w:pStyle w:val="af1"/>
      </w:pPr>
      <w:r>
        <w:rPr>
          <w:rStyle w:val="af0"/>
        </w:rPr>
        <w:annotationRef/>
      </w:r>
      <w:r>
        <w:rPr>
          <w:rFonts w:hint="cs"/>
          <w:rtl/>
        </w:rPr>
        <w:t>نفس الملاحظة</w:t>
      </w:r>
    </w:p>
  </w:comment>
  <w:comment w:id="91" w:author="الباحث: حسان جمبي" w:date="2026-07-18T21:00:00Z" w:initials="حج">
    <w:p w14:paraId="5C8653DD" w14:textId="77777777" w:rsidR="00F06D4D" w:rsidRDefault="00000000">
      <w:pPr>
        <w:pStyle w:val="af1"/>
        <w:rPr>
          <w:rtl/>
        </w:rPr>
      </w:pPr>
      <w:r>
        <w:rPr>
          <w:rStyle w:val="af0"/>
        </w:rPr>
        <w:annotationRef/>
      </w:r>
      <w:r>
        <w:rPr>
          <w:rFonts w:hint="cs"/>
          <w:rtl/>
        </w:rPr>
        <w:t>المرجع المشار إليه تعذر التحقق منه فاستُبدل بأسلوب الفقه مع توثيق متحقق منه في الهامش.</w:t>
      </w:r>
    </w:p>
  </w:comment>
  <w:comment w:id="92" w:author="Dr. Ibrahim" w:date="2026-06-30T13:23:00Z" w:initials="DI">
    <w:p w14:paraId="7CFBC4B2" w14:textId="1AAB68F3" w:rsidR="006A5DF6" w:rsidRDefault="006A5DF6">
      <w:pPr>
        <w:pStyle w:val="af1"/>
      </w:pPr>
      <w:r>
        <w:rPr>
          <w:rStyle w:val="af0"/>
        </w:rPr>
        <w:annotationRef/>
      </w:r>
      <w:r>
        <w:rPr>
          <w:rFonts w:hint="cs"/>
          <w:rtl/>
        </w:rPr>
        <w:t>المرجع</w:t>
      </w:r>
    </w:p>
  </w:comment>
  <w:comment w:id="93" w:author="الباحث: حسان جمبي" w:date="2026-07-18T21:00:00Z" w:initials="حج">
    <w:p w14:paraId="15FF564C" w14:textId="77777777" w:rsidR="00F06D4D" w:rsidRDefault="00000000">
      <w:pPr>
        <w:pStyle w:val="af1"/>
        <w:rPr>
          <w:rtl/>
        </w:rPr>
      </w:pPr>
      <w:r>
        <w:rPr>
          <w:rStyle w:val="af0"/>
        </w:rPr>
        <w:annotationRef/>
      </w:r>
      <w:r>
        <w:rPr>
          <w:rFonts w:hint="cs"/>
          <w:rtl/>
        </w:rPr>
        <w:t>وُثق البديل المتحقق منه: رأي اتحاد المحامين الأمريكي الرسمي رقم (512) الصادر في 29 يوليو 2024م (منشور على موقع الاتحاد)، مع الإشارة المجملة لأدلة كندا وأستراليا وبريطانيا.</w:t>
      </w:r>
    </w:p>
  </w:comment>
  <w:comment w:id="94" w:author="Dr. Ibrahim" w:date="2026-06-30T13:24:00Z" w:initials="DI">
    <w:p w14:paraId="3CE5E5AE" w14:textId="08F0302C" w:rsidR="006A5DF6" w:rsidRDefault="006A5DF6">
      <w:pPr>
        <w:pStyle w:val="af1"/>
      </w:pPr>
      <w:r>
        <w:rPr>
          <w:rStyle w:val="af0"/>
        </w:rPr>
        <w:annotationRef/>
      </w:r>
      <w:r>
        <w:rPr>
          <w:rFonts w:hint="cs"/>
          <w:rtl/>
        </w:rPr>
        <w:t>التكيف القانوني ل...</w:t>
      </w:r>
    </w:p>
  </w:comment>
  <w:comment w:id="95" w:author="الباحث: حسان جمبي" w:date="2026-07-18T21:00:00Z" w:initials="حج">
    <w:p w14:paraId="2038A8DC" w14:textId="77777777" w:rsidR="00F06D4D" w:rsidRDefault="00000000">
      <w:pPr>
        <w:pStyle w:val="af1"/>
        <w:rPr>
          <w:rtl/>
        </w:rPr>
      </w:pPr>
      <w:r>
        <w:rPr>
          <w:rStyle w:val="af0"/>
        </w:rPr>
        <w:annotationRef/>
      </w:r>
      <w:r>
        <w:rPr>
          <w:rFonts w:hint="cs"/>
          <w:rtl/>
        </w:rPr>
        <w:t>تم؛ العنوان: «أولاً: التكييف النظامي للعقود الذكية في النظام السعودي» تحت المطلب الثالث.</w:t>
      </w:r>
    </w:p>
  </w:comment>
  <w:comment w:id="96" w:author="Dr. Ibrahim" w:date="2026-06-30T13:25:00Z" w:initials="DI">
    <w:p w14:paraId="0174B0E6" w14:textId="172387F1" w:rsidR="006A5DF6" w:rsidRDefault="006A5DF6">
      <w:pPr>
        <w:pStyle w:val="af1"/>
      </w:pPr>
      <w:r>
        <w:rPr>
          <w:rStyle w:val="af0"/>
        </w:rPr>
        <w:annotationRef/>
      </w:r>
      <w:r>
        <w:rPr>
          <w:rFonts w:hint="cs"/>
          <w:rtl/>
        </w:rPr>
        <w:t>المرجع</w:t>
      </w:r>
    </w:p>
  </w:comment>
  <w:comment w:id="97" w:author="الباحث: حسان جمبي" w:date="2026-07-18T21:00:00Z" w:initials="حج">
    <w:p w14:paraId="2A9ED914" w14:textId="77777777" w:rsidR="00F06D4D" w:rsidRDefault="00000000">
      <w:pPr>
        <w:pStyle w:val="af1"/>
        <w:rPr>
          <w:rtl/>
        </w:rPr>
      </w:pPr>
      <w:r>
        <w:rPr>
          <w:rStyle w:val="af0"/>
        </w:rPr>
        <w:annotationRef/>
      </w:r>
      <w:r>
        <w:rPr>
          <w:rFonts w:hint="cs"/>
          <w:rtl/>
        </w:rPr>
        <w:t>وُثق الهامش بدراستين متحقق منهما: الغامدي (2025م) ومرسي (2023م).</w:t>
      </w:r>
    </w:p>
  </w:comment>
  <w:comment w:id="100" w:author="Dr. Ibrahim" w:date="2026-06-30T13:25:00Z" w:initials="DI">
    <w:p w14:paraId="4922F3DA" w14:textId="5CF1E116" w:rsidR="006A5DF6" w:rsidRDefault="006A5DF6">
      <w:pPr>
        <w:pStyle w:val="af1"/>
      </w:pPr>
      <w:r>
        <w:rPr>
          <w:rStyle w:val="af0"/>
        </w:rPr>
        <w:annotationRef/>
      </w:r>
    </w:p>
  </w:comment>
  <w:comment w:id="101" w:author="الباحث: حسان جمبي" w:date="2026-07-18T21:00:00Z" w:initials="حج">
    <w:p w14:paraId="411E588C" w14:textId="77777777" w:rsidR="00F06D4D" w:rsidRDefault="00000000">
      <w:pPr>
        <w:pStyle w:val="af1"/>
        <w:rPr>
          <w:rtl/>
        </w:rPr>
      </w:pPr>
      <w:r>
        <w:rPr>
          <w:rStyle w:val="af0"/>
        </w:rPr>
        <w:annotationRef/>
      </w:r>
      <w:r>
        <w:rPr>
          <w:rFonts w:hint="cs"/>
          <w:rtl/>
        </w:rPr>
        <w:t>صُحح اللفظ إلى «التجسيدَ».</w:t>
      </w:r>
    </w:p>
  </w:comment>
  <w:comment w:id="98" w:author="Dr. Ibrahim" w:date="2026-06-30T13:26:00Z" w:initials="DI">
    <w:p w14:paraId="4651A037" w14:textId="6A69E60B" w:rsidR="006A5DF6" w:rsidRDefault="006A5DF6">
      <w:pPr>
        <w:pStyle w:val="af1"/>
      </w:pPr>
      <w:r>
        <w:rPr>
          <w:rStyle w:val="af0"/>
        </w:rPr>
        <w:annotationRef/>
      </w:r>
      <w:r>
        <w:rPr>
          <w:rFonts w:hint="cs"/>
          <w:rtl/>
        </w:rPr>
        <w:t>تحتاج الى ذكر المواد والنصوص التي استندت اليها دون الاكتفاء بتلخيص الذكاء الاصطناعي</w:t>
      </w:r>
    </w:p>
  </w:comment>
  <w:comment w:id="99" w:author="الباحث: حسان جمبي" w:date="2026-07-18T21:00:00Z" w:initials="حج">
    <w:p w14:paraId="3047392B" w14:textId="77777777" w:rsidR="00F06D4D" w:rsidRDefault="00000000">
      <w:pPr>
        <w:pStyle w:val="af1"/>
        <w:rPr>
          <w:rtl/>
        </w:rPr>
      </w:pPr>
      <w:r>
        <w:rPr>
          <w:rStyle w:val="af0"/>
        </w:rPr>
        <w:annotationRef/>
      </w:r>
      <w:r>
        <w:rPr>
          <w:rFonts w:hint="cs"/>
          <w:rtl/>
        </w:rPr>
        <w:t>تم؛ رُبطت الإشكاليات الثلاث بأحكام نظام المعاملات المدنية (التراضي وعيوب الإرادة والفسخ) لا بتلخيص مرسل.</w:t>
      </w:r>
    </w:p>
  </w:comment>
  <w:comment w:id="102" w:author="Dr. Ibrahim" w:date="2026-06-30T13:27:00Z" w:initials="DI">
    <w:p w14:paraId="4D0CCEAE" w14:textId="77777777" w:rsidR="006A5DF6" w:rsidRDefault="006A5DF6">
      <w:pPr>
        <w:pStyle w:val="af1"/>
        <w:rPr>
          <w:rtl/>
        </w:rPr>
      </w:pPr>
      <w:r>
        <w:rPr>
          <w:rStyle w:val="af0"/>
        </w:rPr>
        <w:annotationRef/>
      </w:r>
      <w:r>
        <w:rPr>
          <w:rFonts w:hint="cs"/>
          <w:rtl/>
        </w:rPr>
        <w:t>ما هي هذه الدراسات</w:t>
      </w:r>
    </w:p>
    <w:p w14:paraId="7BAB3099" w14:textId="191D88D5" w:rsidR="006A5DF6" w:rsidRDefault="006A5DF6">
      <w:pPr>
        <w:pStyle w:val="af1"/>
      </w:pPr>
      <w:r>
        <w:rPr>
          <w:rFonts w:hint="cs"/>
          <w:rtl/>
        </w:rPr>
        <w:t>هل هو العلي مجدداا للمرة الالف وواحد</w:t>
      </w:r>
    </w:p>
  </w:comment>
  <w:comment w:id="103" w:author="الباحث: حسان جمبي" w:date="2026-07-18T21:00:00Z" w:initials="حج">
    <w:p w14:paraId="2A4EFA51" w14:textId="77777777" w:rsidR="00F06D4D" w:rsidRDefault="00000000">
      <w:pPr>
        <w:pStyle w:val="af1"/>
        <w:rPr>
          <w:rtl/>
        </w:rPr>
      </w:pPr>
      <w:r>
        <w:rPr>
          <w:rStyle w:val="af0"/>
        </w:rPr>
        <w:annotationRef/>
      </w:r>
      <w:r>
        <w:rPr>
          <w:rFonts w:hint="cs"/>
          <w:rtl/>
        </w:rPr>
        <w:t>أصاب الدكتور؛ لا يثبت للباحث وجود أحكام منشورة لديوان المظالم في العقود الذكية، فعُدل المتن إلى نفي النشر حتى تاريخه، وحُذفت النسبة المبهمة.</w:t>
      </w:r>
    </w:p>
  </w:comment>
  <w:comment w:id="104" w:author="Dr. Ibrahim" w:date="2026-06-30T13:29:00Z" w:initials="DI">
    <w:p w14:paraId="474FD8F2" w14:textId="70860BC1" w:rsidR="006A5DF6" w:rsidRDefault="006A5DF6">
      <w:pPr>
        <w:pStyle w:val="af1"/>
      </w:pPr>
      <w:r>
        <w:rPr>
          <w:rStyle w:val="af0"/>
        </w:rPr>
        <w:annotationRef/>
      </w:r>
      <w:r>
        <w:rPr>
          <w:rFonts w:hint="cs"/>
          <w:rtl/>
        </w:rPr>
        <w:t>نفس الملاحظة</w:t>
      </w:r>
    </w:p>
  </w:comment>
  <w:comment w:id="105" w:author="الباحث: حسان جمبي" w:date="2026-07-18T21:00:00Z" w:initials="حج">
    <w:p w14:paraId="67FE9855" w14:textId="77777777" w:rsidR="00F06D4D" w:rsidRDefault="00000000">
      <w:pPr>
        <w:pStyle w:val="af1"/>
        <w:rPr>
          <w:rtl/>
        </w:rPr>
      </w:pPr>
      <w:r>
        <w:rPr>
          <w:rStyle w:val="af0"/>
        </w:rPr>
        <w:annotationRef/>
      </w:r>
      <w:r>
        <w:rPr>
          <w:rFonts w:hint="cs"/>
          <w:rtl/>
        </w:rPr>
        <w:t>استُبدل بالمرجع غير المتحقق منه ثلاثةُ أحكام قضائية منشورة وموثقة: Mata v. Avianca (نيويورك 2023م، تغريم المحاميين عن سوابق مختلقة ولدها ChatGPT)، وPark v. Kim (الدائرة الثانية 2024م)، وZhang v. Chen (كندا 2024م)، ووُثقت في الهامش بأرقامها.</w:t>
      </w:r>
    </w:p>
  </w:comment>
  <w:comment w:id="106" w:author="Dr. Ibrahim" w:date="2026-06-30T13:30:00Z" w:initials="DI">
    <w:p w14:paraId="617DEB8A" w14:textId="4F70996E" w:rsidR="006A5DF6" w:rsidRDefault="006A5DF6">
      <w:pPr>
        <w:pStyle w:val="af1"/>
      </w:pPr>
      <w:r>
        <w:rPr>
          <w:rStyle w:val="af0"/>
        </w:rPr>
        <w:annotationRef/>
      </w:r>
      <w:r>
        <w:rPr>
          <w:rFonts w:hint="cs"/>
          <w:rtl/>
        </w:rPr>
        <w:t>قدم على الأقل تعريف بمرجع</w:t>
      </w:r>
    </w:p>
  </w:comment>
  <w:comment w:id="107" w:author="الباحث: حسان جمبي" w:date="2026-07-18T21:00:00Z" w:initials="حج">
    <w:p w14:paraId="77C14A35" w14:textId="77777777" w:rsidR="00F06D4D" w:rsidRDefault="00000000">
      <w:pPr>
        <w:pStyle w:val="af1"/>
        <w:rPr>
          <w:rtl/>
        </w:rPr>
      </w:pPr>
      <w:r>
        <w:rPr>
          <w:rStyle w:val="af0"/>
        </w:rPr>
        <w:annotationRef/>
      </w:r>
      <w:r>
        <w:rPr>
          <w:rFonts w:hint="cs"/>
          <w:rtl/>
        </w:rPr>
        <w:t>عُرف التحيز الخوارزمي في المتن، ووُثق الهامش بمرجع متحقق منه.</w:t>
      </w:r>
    </w:p>
  </w:comment>
  <w:comment w:id="108" w:author="Dr. Ibrahim" w:date="2026-06-30T13:31:00Z" w:initials="DI">
    <w:p w14:paraId="2DBB0122" w14:textId="70877245" w:rsidR="006A5DF6" w:rsidRDefault="006A5DF6" w:rsidP="00C1120C">
      <w:pPr>
        <w:pStyle w:val="af1"/>
      </w:pPr>
      <w:r>
        <w:rPr>
          <w:rStyle w:val="af0"/>
        </w:rPr>
        <w:annotationRef/>
      </w:r>
      <w:r>
        <w:rPr>
          <w:rFonts w:hint="cs"/>
          <w:rtl/>
        </w:rPr>
        <w:t xml:space="preserve"> مرجع سابق المالكي ايضا</w:t>
      </w:r>
    </w:p>
  </w:comment>
  <w:comment w:id="109" w:author="الباحث: حسان جمبي" w:date="2026-07-18T21:00:00Z" w:initials="حج">
    <w:p w14:paraId="32168D4E" w14:textId="77777777" w:rsidR="00F06D4D" w:rsidRDefault="00000000">
      <w:pPr>
        <w:pStyle w:val="af1"/>
        <w:rPr>
          <w:rtl/>
        </w:rPr>
      </w:pPr>
      <w:r>
        <w:rPr>
          <w:rStyle w:val="af0"/>
        </w:rPr>
        <w:annotationRef/>
      </w:r>
      <w:r>
        <w:rPr>
          <w:rFonts w:hint="cs"/>
          <w:rtl/>
        </w:rPr>
        <w:t>تم؛ اعتُمد ذكر المرجع كاملاً في أول وروده ثم «مرجع سابق» فيما يليه، وعُدلت الهوامش وفق ذلك.</w:t>
      </w:r>
    </w:p>
  </w:comment>
  <w:comment w:id="110" w:author="Dr. Ibrahim" w:date="2026-06-30T21:17:00Z" w:initials="DI">
    <w:p w14:paraId="6892BCEE" w14:textId="6066E1C2" w:rsidR="006A5DF6" w:rsidRDefault="006A5DF6">
      <w:pPr>
        <w:pStyle w:val="af1"/>
      </w:pPr>
      <w:r>
        <w:rPr>
          <w:rStyle w:val="af0"/>
        </w:rPr>
        <w:annotationRef/>
      </w:r>
    </w:p>
  </w:comment>
  <w:comment w:id="111" w:author="الباحث: حسان جمبي" w:date="2026-07-18T21:00:00Z" w:initials="حج">
    <w:p w14:paraId="25ACD4AC" w14:textId="77777777" w:rsidR="00F06D4D" w:rsidRDefault="00000000">
      <w:pPr>
        <w:pStyle w:val="af1"/>
        <w:rPr>
          <w:rtl/>
        </w:rPr>
      </w:pPr>
      <w:r>
        <w:rPr>
          <w:rStyle w:val="af0"/>
        </w:rPr>
        <w:annotationRef/>
      </w:r>
      <w:r>
        <w:rPr>
          <w:rFonts w:hint="cs"/>
          <w:rtl/>
        </w:rPr>
        <w:t>عولج ضمن الموضع.</w:t>
      </w:r>
    </w:p>
  </w:comment>
  <w:comment w:id="112" w:author="Dr. Ibrahim" w:date="2026-06-30T21:17:00Z" w:initials="DI">
    <w:p w14:paraId="65EFAD82" w14:textId="36E052DB" w:rsidR="006A5DF6" w:rsidRDefault="006A5DF6">
      <w:pPr>
        <w:pStyle w:val="af1"/>
      </w:pPr>
      <w:r>
        <w:rPr>
          <w:rStyle w:val="af0"/>
        </w:rPr>
        <w:annotationRef/>
      </w:r>
    </w:p>
  </w:comment>
  <w:comment w:id="113" w:author="الباحث: حسان جمبي" w:date="2026-07-18T21:00:00Z" w:initials="حج">
    <w:p w14:paraId="62300072" w14:textId="77777777" w:rsidR="00F06D4D" w:rsidRDefault="00000000">
      <w:pPr>
        <w:pStyle w:val="af1"/>
        <w:rPr>
          <w:rtl/>
        </w:rPr>
      </w:pPr>
      <w:r>
        <w:rPr>
          <w:rStyle w:val="af0"/>
        </w:rPr>
        <w:annotationRef/>
      </w:r>
      <w:r>
        <w:rPr>
          <w:rFonts w:hint="cs"/>
          <w:rtl/>
        </w:rPr>
        <w:t>تم؛ «يشير جانب من الفقه» مع الإحالة لمرجع إسماعيل الموثق.</w:t>
      </w:r>
    </w:p>
  </w:comment>
  <w:comment w:id="114" w:author="Dr. Ibrahim" w:date="2026-06-30T21:19:00Z" w:initials="DI">
    <w:p w14:paraId="23EC3D7E" w14:textId="38C6E3BF" w:rsidR="006A5DF6" w:rsidRDefault="006A5DF6">
      <w:pPr>
        <w:pStyle w:val="af1"/>
      </w:pPr>
      <w:r>
        <w:rPr>
          <w:rStyle w:val="af0"/>
        </w:rPr>
        <w:annotationRef/>
      </w:r>
      <w:r>
        <w:rPr>
          <w:rFonts w:hint="cs"/>
          <w:rtl/>
        </w:rPr>
        <w:t>حجم الخط</w:t>
      </w:r>
    </w:p>
  </w:comment>
  <w:comment w:id="115" w:author="الباحث: حسان جمبي" w:date="2026-07-18T21:00:00Z" w:initials="حج">
    <w:p w14:paraId="5112EDF8" w14:textId="77777777" w:rsidR="00F06D4D" w:rsidRDefault="00000000">
      <w:pPr>
        <w:pStyle w:val="af1"/>
        <w:rPr>
          <w:rtl/>
        </w:rPr>
      </w:pPr>
      <w:r>
        <w:rPr>
          <w:rStyle w:val="af0"/>
        </w:rPr>
        <w:annotationRef/>
      </w:r>
      <w:r>
        <w:rPr>
          <w:rFonts w:hint="cs"/>
          <w:rtl/>
        </w:rPr>
        <w:t>وُحد حجم الخط في الفقرة على مقاس المتن (12) والهوامش (10).</w:t>
      </w:r>
    </w:p>
  </w:comment>
  <w:comment w:id="116" w:author="Dr. Ibrahim" w:date="2026-06-30T13:36:00Z" w:initials="DI">
    <w:p w14:paraId="1737C71E" w14:textId="50A7C3A7" w:rsidR="006A5DF6" w:rsidRDefault="006A5DF6">
      <w:pPr>
        <w:pStyle w:val="af1"/>
      </w:pPr>
      <w:r>
        <w:rPr>
          <w:rStyle w:val="af0"/>
        </w:rPr>
        <w:annotationRef/>
      </w:r>
      <w:r>
        <w:rPr>
          <w:rFonts w:hint="cs"/>
          <w:rtl/>
        </w:rPr>
        <w:t>كلام اصطناعي وليس قانوني ثم ما هو التقسيم</w:t>
      </w:r>
    </w:p>
  </w:comment>
  <w:comment w:id="117" w:author="الباحث: حسان جمبي" w:date="2026-07-18T21:00:00Z" w:initials="حج">
    <w:p w14:paraId="20740DED" w14:textId="77777777" w:rsidR="00F06D4D" w:rsidRDefault="00000000">
      <w:pPr>
        <w:pStyle w:val="af1"/>
        <w:rPr>
          <w:rtl/>
        </w:rPr>
      </w:pPr>
      <w:r>
        <w:rPr>
          <w:rStyle w:val="af0"/>
        </w:rPr>
        <w:annotationRef/>
      </w:r>
      <w:r>
        <w:rPr>
          <w:rFonts w:hint="cs"/>
          <w:rtl/>
        </w:rPr>
        <w:t>أُعيد بناء المدخل: صُدرت الفقرة بأحكام القضاء المقارن الثلاثة الموثقة ثم أُنزلت مبادئها على أربع حالات تطبيقية سعودية بتقييم نظامي بالمواد، وسُمي المحور «حادي عشر: تطبيقات عملية في ضوء أحكام القضاء المقارن»، وأُلغي مسمى «السيناريو».</w:t>
      </w:r>
    </w:p>
  </w:comment>
  <w:comment w:id="120" w:author="Dr. Ibrahim" w:date="2026-06-30T13:36:00Z" w:initials="DI">
    <w:p w14:paraId="4F09CA04" w14:textId="4597C7F4" w:rsidR="006A5DF6" w:rsidRDefault="006A5DF6">
      <w:pPr>
        <w:pStyle w:val="af1"/>
      </w:pPr>
      <w:r>
        <w:rPr>
          <w:rStyle w:val="af0"/>
        </w:rPr>
        <w:annotationRef/>
      </w:r>
    </w:p>
  </w:comment>
  <w:comment w:id="121" w:author="الباحث: حسان جمبي" w:date="2026-07-18T21:00:00Z" w:initials="حج">
    <w:p w14:paraId="1860F572" w14:textId="77777777" w:rsidR="00F06D4D" w:rsidRDefault="00000000">
      <w:pPr>
        <w:pStyle w:val="af1"/>
        <w:rPr>
          <w:rtl/>
        </w:rPr>
      </w:pPr>
      <w:r>
        <w:rPr>
          <w:rStyle w:val="af0"/>
        </w:rPr>
        <w:annotationRef/>
      </w:r>
      <w:r>
        <w:rPr>
          <w:rFonts w:hint="cs"/>
          <w:rtl/>
        </w:rPr>
        <w:t>كما في السابق؛ عولج ضمن إعادة بناء المحور.</w:t>
      </w:r>
    </w:p>
  </w:comment>
  <w:comment w:id="118" w:author="Dr. Ibrahim" w:date="2026-06-30T13:38:00Z" w:initials="DI">
    <w:p w14:paraId="6ADEC6F0" w14:textId="7A05D8CE" w:rsidR="006A5DF6" w:rsidRDefault="006A5DF6" w:rsidP="00C1120C">
      <w:pPr>
        <w:pStyle w:val="af1"/>
      </w:pPr>
      <w:r>
        <w:rPr>
          <w:rStyle w:val="af0"/>
        </w:rPr>
        <w:annotationRef/>
      </w:r>
      <w:r>
        <w:rPr>
          <w:rFonts w:hint="cs"/>
          <w:rtl/>
        </w:rPr>
        <w:t>الفقرة بمجملها غير ملائمة لاطروحة قانون نحن بصدد كلام قانوني دقيق وليس تخيلي  ابحث عن احكام قضائية سعودية وان لم يوجد عربية او اجنبية وطبقها على الواقع السعودي واختر عنوان مناسب للفقرة</w:t>
      </w:r>
    </w:p>
  </w:comment>
  <w:comment w:id="119" w:author="الباحث: حسان جمبي" w:date="2026-07-18T21:00:00Z" w:initials="حج">
    <w:p w14:paraId="69CCD697" w14:textId="77777777" w:rsidR="00F06D4D" w:rsidRDefault="00000000">
      <w:pPr>
        <w:pStyle w:val="af1"/>
        <w:rPr>
          <w:rtl/>
        </w:rPr>
      </w:pPr>
      <w:r>
        <w:rPr>
          <w:rStyle w:val="af0"/>
        </w:rPr>
        <w:annotationRef/>
      </w:r>
      <w:r>
        <w:rPr>
          <w:rFonts w:hint="cs"/>
          <w:rtl/>
        </w:rPr>
        <w:t>نُفذ توجيه الدكتور نصاً: أُدرجت أحكام قضائية أجنبية منشورة (لعدم وجود سعودية أو عربية منشورة في هذا الموضوع) هي Mata v. Avianca 2023 وPark v. Kim 2024 وZhang v. Chen 2024، وطُبقت مبادئها على الواقع السعودي بمواد الأنظمة، مع عنوان مناسب للفقرة.</w:t>
      </w:r>
    </w:p>
  </w:comment>
  <w:comment w:id="122" w:author="Dr. Ibrahim" w:date="2026-06-30T13:40:00Z" w:initials="DI">
    <w:p w14:paraId="71BA114D" w14:textId="0A369AEF" w:rsidR="006A5DF6" w:rsidRDefault="006A5DF6">
      <w:pPr>
        <w:pStyle w:val="af1"/>
      </w:pPr>
      <w:r>
        <w:rPr>
          <w:rStyle w:val="af0"/>
        </w:rPr>
        <w:annotationRef/>
      </w:r>
    </w:p>
  </w:comment>
  <w:comment w:id="123" w:author="الباحث: حسان جمبي" w:date="2026-07-18T21:00:00Z" w:initials="حج">
    <w:p w14:paraId="4659C3E0" w14:textId="77777777" w:rsidR="00F06D4D" w:rsidRDefault="00000000">
      <w:pPr>
        <w:pStyle w:val="af1"/>
        <w:rPr>
          <w:rtl/>
        </w:rPr>
      </w:pPr>
      <w:r>
        <w:rPr>
          <w:rStyle w:val="af0"/>
        </w:rPr>
        <w:annotationRef/>
      </w:r>
      <w:r>
        <w:rPr>
          <w:rFonts w:hint="cs"/>
          <w:rtl/>
        </w:rPr>
        <w:t>عولج ضمن الموضع بعد إعادة البناء.</w:t>
      </w:r>
    </w:p>
  </w:comment>
  <w:comment w:id="124" w:author="Dr. Ibrahim" w:date="2026-06-30T13:51:00Z" w:initials="DI">
    <w:p w14:paraId="41C8E8F8" w14:textId="2DBCD8BE" w:rsidR="006A5DF6" w:rsidRDefault="006A5DF6">
      <w:pPr>
        <w:pStyle w:val="af1"/>
      </w:pPr>
      <w:r>
        <w:rPr>
          <w:rStyle w:val="af0"/>
        </w:rPr>
        <w:annotationRef/>
      </w:r>
      <w:r>
        <w:rPr>
          <w:rStyle w:val="af0"/>
          <w:rFonts w:hint="cs"/>
          <w:rtl/>
        </w:rPr>
        <w:t>للتحليل القانوني من خلال عدة انظمة</w:t>
      </w:r>
    </w:p>
  </w:comment>
  <w:comment w:id="125" w:author="الباحث: حسان جمبي" w:date="2026-07-18T21:00:00Z" w:initials="حج">
    <w:p w14:paraId="31CB01FC" w14:textId="77777777" w:rsidR="00F06D4D" w:rsidRDefault="00000000">
      <w:pPr>
        <w:pStyle w:val="af1"/>
        <w:rPr>
          <w:rtl/>
        </w:rPr>
      </w:pPr>
      <w:r>
        <w:rPr>
          <w:rStyle w:val="af0"/>
        </w:rPr>
        <w:annotationRef/>
      </w:r>
      <w:r>
        <w:rPr>
          <w:rFonts w:hint="cs"/>
          <w:rtl/>
        </w:rPr>
        <w:t>تم؛ اعتُمد التحليل «من خلال عدة أنظمة» بمحكاتها الأربعة بالنصوص.</w:t>
      </w:r>
    </w:p>
  </w:comment>
  <w:comment w:id="126" w:author="Dr. Ibrahim" w:date="2026-06-30T13:52:00Z" w:initials="DI">
    <w:p w14:paraId="40D3B4FC" w14:textId="14D2F7B9" w:rsidR="006A5DF6" w:rsidRDefault="006A5DF6">
      <w:pPr>
        <w:pStyle w:val="af1"/>
      </w:pPr>
      <w:r>
        <w:rPr>
          <w:rStyle w:val="af0"/>
        </w:rPr>
        <w:annotationRef/>
      </w:r>
    </w:p>
  </w:comment>
  <w:comment w:id="127" w:author="الباحث: حسان جمبي" w:date="2026-07-18T21:00:00Z" w:initials="حج">
    <w:p w14:paraId="3A842226" w14:textId="77777777" w:rsidR="00F06D4D" w:rsidRDefault="00000000">
      <w:pPr>
        <w:pStyle w:val="af1"/>
        <w:rPr>
          <w:rtl/>
        </w:rPr>
      </w:pPr>
      <w:r>
        <w:rPr>
          <w:rStyle w:val="af0"/>
        </w:rPr>
        <w:annotationRef/>
      </w:r>
      <w:r>
        <w:rPr>
          <w:rFonts w:hint="cs"/>
          <w:rtl/>
        </w:rPr>
        <w:t>تم؛ أُثبت نص المادة (الأولى) من نظام المحاماة حرفياً، مع بيان اشتراط القيد والترخيص (المادتان 3 و5) وعقوبة الانتحال والمزاولة المخالفة (المادة 37).</w:t>
      </w:r>
    </w:p>
  </w:comment>
  <w:comment w:id="128" w:author="Dr. Ibrahim" w:date="2026-06-30T21:19:00Z" w:initials="DI">
    <w:p w14:paraId="411BDD0B" w14:textId="64FBD3D9" w:rsidR="006A5DF6" w:rsidRDefault="006A5DF6">
      <w:pPr>
        <w:pStyle w:val="af1"/>
      </w:pPr>
      <w:r>
        <w:rPr>
          <w:rStyle w:val="af0"/>
        </w:rPr>
        <w:annotationRef/>
      </w:r>
    </w:p>
  </w:comment>
  <w:comment w:id="129" w:author="الباحث: حسان جمبي" w:date="2026-07-18T21:00:00Z" w:initials="حج">
    <w:p w14:paraId="69450363" w14:textId="77777777" w:rsidR="00F06D4D" w:rsidRDefault="00000000">
      <w:pPr>
        <w:pStyle w:val="af1"/>
        <w:rPr>
          <w:rtl/>
        </w:rPr>
      </w:pPr>
      <w:r>
        <w:rPr>
          <w:rStyle w:val="af0"/>
        </w:rPr>
        <w:annotationRef/>
      </w:r>
      <w:r>
        <w:rPr>
          <w:rFonts w:hint="cs"/>
          <w:rtl/>
        </w:rPr>
        <w:t>تم؛ وُثق المحك بنص المادة (الثالثة) من نظام مكافحة جرائم المعلوماتية (م/17 لعام 1428هـ).</w:t>
      </w:r>
    </w:p>
  </w:comment>
  <w:comment w:id="130" w:author="Dr. Ibrahim" w:date="2026-06-30T13:54:00Z" w:initials="DI">
    <w:p w14:paraId="7C763551" w14:textId="2BFB1868" w:rsidR="006A5DF6" w:rsidRDefault="006A5DF6">
      <w:pPr>
        <w:pStyle w:val="af1"/>
      </w:pPr>
      <w:r>
        <w:rPr>
          <w:rStyle w:val="af0"/>
        </w:rPr>
        <w:annotationRef/>
      </w:r>
      <w:r>
        <w:rPr>
          <w:rFonts w:hint="cs"/>
          <w:rtl/>
        </w:rPr>
        <w:t>دمجها مع نظام المحاماة مع ذكر نصوص المواد</w:t>
      </w:r>
    </w:p>
  </w:comment>
  <w:comment w:id="131" w:author="الباحث: حسان جمبي" w:date="2026-07-18T21:00:00Z" w:initials="حج">
    <w:p w14:paraId="17DF584B" w14:textId="77777777" w:rsidR="00F06D4D" w:rsidRDefault="00000000">
      <w:pPr>
        <w:pStyle w:val="af1"/>
        <w:rPr>
          <w:rtl/>
        </w:rPr>
      </w:pPr>
      <w:r>
        <w:rPr>
          <w:rStyle w:val="af0"/>
        </w:rPr>
        <w:annotationRef/>
      </w:r>
      <w:r>
        <w:rPr>
          <w:rFonts w:hint="cs"/>
          <w:rtl/>
        </w:rPr>
        <w:t>تم؛ دُمج التحليل مع نظام المحاماة بذكر النصوص: العقوبات التأديبية في المادة (29) ولجنة التأديب في المادة (31)، مع تصحيح الجهة (لجنة التأديب لا الهيئة).</w:t>
      </w:r>
    </w:p>
  </w:comment>
  <w:comment w:id="132" w:author="Dr. Ibrahim" w:date="2026-06-30T13:55:00Z" w:initials="DI">
    <w:p w14:paraId="327B3ABA" w14:textId="41855FC4" w:rsidR="006A5DF6" w:rsidRDefault="006A5DF6">
      <w:pPr>
        <w:pStyle w:val="af1"/>
      </w:pPr>
      <w:r>
        <w:rPr>
          <w:rStyle w:val="af0"/>
        </w:rPr>
        <w:annotationRef/>
      </w:r>
      <w:r>
        <w:rPr>
          <w:rFonts w:hint="cs"/>
          <w:rtl/>
        </w:rPr>
        <w:t>لسنا بصدد الترويج للذكاء الاصطناعي في الامارات</w:t>
      </w:r>
    </w:p>
  </w:comment>
  <w:comment w:id="133" w:author="الباحث: حسان جمبي" w:date="2026-07-18T21:00:00Z" w:initials="حج">
    <w:p w14:paraId="4A0D2EB5" w14:textId="77777777" w:rsidR="00F06D4D" w:rsidRDefault="00000000">
      <w:pPr>
        <w:pStyle w:val="af1"/>
        <w:rPr>
          <w:rtl/>
        </w:rPr>
      </w:pPr>
      <w:r>
        <w:rPr>
          <w:rStyle w:val="af0"/>
        </w:rPr>
        <w:annotationRef/>
      </w:r>
      <w:r>
        <w:rPr>
          <w:rFonts w:hint="cs"/>
          <w:rtl/>
        </w:rPr>
        <w:t>تم؛ حُذفت لغة الترويج واقتُصر على الوقائع الموثقة بأرقام التشريعات.</w:t>
      </w:r>
    </w:p>
  </w:comment>
  <w:comment w:id="134" w:author="Dr. Ibrahim" w:date="2026-06-30T13:56:00Z" w:initials="DI">
    <w:p w14:paraId="34B7C0B0" w14:textId="3638EC63" w:rsidR="006A5DF6" w:rsidRDefault="006A5DF6">
      <w:pPr>
        <w:pStyle w:val="af1"/>
      </w:pPr>
      <w:r>
        <w:rPr>
          <w:rStyle w:val="af0"/>
        </w:rPr>
        <w:annotationRef/>
      </w:r>
      <w:r>
        <w:rPr>
          <w:rFonts w:hint="cs"/>
          <w:rtl/>
        </w:rPr>
        <w:t>ترويج لا داع له اكتفي بذكر المعلومات القانونية</w:t>
      </w:r>
    </w:p>
  </w:comment>
  <w:comment w:id="135" w:author="الباحث: حسان جمبي" w:date="2026-07-18T21:00:00Z" w:initials="حج">
    <w:p w14:paraId="4D06DDD9" w14:textId="77777777" w:rsidR="00F06D4D" w:rsidRDefault="00000000">
      <w:pPr>
        <w:pStyle w:val="af1"/>
        <w:rPr>
          <w:rtl/>
        </w:rPr>
      </w:pPr>
      <w:r>
        <w:rPr>
          <w:rStyle w:val="af0"/>
        </w:rPr>
        <w:annotationRef/>
      </w:r>
      <w:r>
        <w:rPr>
          <w:rFonts w:hint="cs"/>
          <w:rtl/>
        </w:rPr>
        <w:t>تم؛ اكتُفي بالمعلومة القانونية المجردة وحُذف الوصف الدعائي.</w:t>
      </w:r>
    </w:p>
  </w:comment>
  <w:comment w:id="136" w:author="Dr. Ibrahim" w:date="2026-07-06T10:39:00Z" w:initials="DI">
    <w:p w14:paraId="00ED515A" w14:textId="6531079A" w:rsidR="00665564" w:rsidRDefault="00665564">
      <w:pPr>
        <w:pStyle w:val="af1"/>
      </w:pPr>
      <w:r>
        <w:rPr>
          <w:rStyle w:val="af0"/>
        </w:rPr>
        <w:annotationRef/>
      </w:r>
      <w:r>
        <w:rPr>
          <w:rFonts w:hint="cs"/>
          <w:rtl/>
        </w:rPr>
        <w:t>ما هوهذا الاطار ما رقم القانون</w:t>
      </w:r>
    </w:p>
  </w:comment>
  <w:comment w:id="137" w:author="الباحث: حسان جمبي" w:date="2026-07-18T21:00:00Z" w:initials="حج">
    <w:p w14:paraId="62ADF263" w14:textId="77777777" w:rsidR="00F06D4D" w:rsidRDefault="00000000">
      <w:pPr>
        <w:pStyle w:val="af1"/>
        <w:rPr>
          <w:rtl/>
        </w:rPr>
      </w:pPr>
      <w:r>
        <w:rPr>
          <w:rStyle w:val="af0"/>
        </w:rPr>
        <w:annotationRef/>
      </w:r>
      <w:r>
        <w:rPr>
          <w:rFonts w:hint="cs"/>
          <w:rtl/>
        </w:rPr>
        <w:t>الإطار المقصود استُبدل به الموثقُ المنشور: «ميثاق الإمارات لتطوير واستخدام الذكاء الاصطناعي» الصادر عام 2024م، والمرسوم بقانون اتحادي رقم (45) لسنة 2021م لحماية البيانات، بأرقامهما.</w:t>
      </w:r>
    </w:p>
  </w:comment>
  <w:comment w:id="138" w:author="Dr. Ibrahim" w:date="2026-06-30T13:56:00Z" w:initials="DI">
    <w:p w14:paraId="40D1698E" w14:textId="7C694E09" w:rsidR="006A5DF6" w:rsidRDefault="006A5DF6">
      <w:pPr>
        <w:pStyle w:val="af1"/>
      </w:pPr>
      <w:r>
        <w:rPr>
          <w:rStyle w:val="af0"/>
        </w:rPr>
        <w:annotationRef/>
      </w:r>
      <w:r>
        <w:rPr>
          <w:rStyle w:val="af0"/>
          <w:rFonts w:hint="cs"/>
          <w:rtl/>
        </w:rPr>
        <w:t xml:space="preserve">مدى إمكانية </w:t>
      </w:r>
    </w:p>
  </w:comment>
  <w:comment w:id="139" w:author="الباحث: حسان جمبي" w:date="2026-07-18T21:00:00Z" w:initials="حج">
    <w:p w14:paraId="29A15166" w14:textId="77777777" w:rsidR="00F06D4D" w:rsidRDefault="00000000">
      <w:pPr>
        <w:pStyle w:val="af1"/>
        <w:rPr>
          <w:rtl/>
        </w:rPr>
      </w:pPr>
      <w:r>
        <w:rPr>
          <w:rStyle w:val="af0"/>
        </w:rPr>
        <w:annotationRef/>
      </w:r>
      <w:r>
        <w:rPr>
          <w:rFonts w:hint="cs"/>
          <w:rtl/>
        </w:rPr>
        <w:t>تم؛ عُدلت الصياغة وعلامات الترقيم في الموضع.</w:t>
      </w:r>
    </w:p>
  </w:comment>
  <w:comment w:id="140" w:author="Dr. Ibrahim" w:date="2026-06-30T13:59:00Z" w:initials="DI">
    <w:p w14:paraId="6EE3B70A" w14:textId="1AB8A4FB" w:rsidR="006A5DF6" w:rsidRDefault="006A5DF6">
      <w:pPr>
        <w:pStyle w:val="af1"/>
      </w:pPr>
      <w:r>
        <w:rPr>
          <w:rStyle w:val="af0"/>
        </w:rPr>
        <w:annotationRef/>
      </w:r>
      <w:r>
        <w:rPr>
          <w:rFonts w:hint="cs"/>
          <w:rtl/>
        </w:rPr>
        <w:t>ترقيم فقط</w:t>
      </w:r>
    </w:p>
  </w:comment>
  <w:comment w:id="141" w:author="الباحث: حسان جمبي" w:date="2026-07-18T21:00:00Z" w:initials="حج">
    <w:p w14:paraId="7B72E5FE" w14:textId="77777777" w:rsidR="00F06D4D" w:rsidRDefault="00000000">
      <w:pPr>
        <w:pStyle w:val="af1"/>
        <w:rPr>
          <w:rtl/>
        </w:rPr>
      </w:pPr>
      <w:r>
        <w:rPr>
          <w:rStyle w:val="af0"/>
        </w:rPr>
        <w:annotationRef/>
      </w:r>
      <w:r>
        <w:rPr>
          <w:rFonts w:hint="cs"/>
          <w:rtl/>
        </w:rPr>
        <w:t>تم؛ استُبدل الترقيم (1– 2– …) بالمسميات الإنشائية.</w:t>
      </w:r>
    </w:p>
  </w:comment>
  <w:comment w:id="142" w:author="Dr. Ibrahim" w:date="2026-06-30T13:59:00Z" w:initials="DI">
    <w:p w14:paraId="389DE75C" w14:textId="1CC1746A" w:rsidR="006A5DF6" w:rsidRDefault="006A5DF6">
      <w:pPr>
        <w:pStyle w:val="af1"/>
      </w:pPr>
      <w:r>
        <w:rPr>
          <w:rStyle w:val="af0"/>
        </w:rPr>
        <w:annotationRef/>
      </w:r>
    </w:p>
  </w:comment>
  <w:comment w:id="143" w:author="الباحث: حسان جمبي" w:date="2026-07-18T21:00:00Z" w:initials="حج">
    <w:p w14:paraId="7A228F09" w14:textId="77777777" w:rsidR="00F06D4D" w:rsidRDefault="00000000">
      <w:pPr>
        <w:pStyle w:val="af1"/>
        <w:rPr>
          <w:rtl/>
        </w:rPr>
      </w:pPr>
      <w:r>
        <w:rPr>
          <w:rStyle w:val="af0"/>
        </w:rPr>
        <w:annotationRef/>
      </w:r>
      <w:r>
        <w:rPr>
          <w:rFonts w:hint="cs"/>
          <w:rtl/>
        </w:rPr>
        <w:t>تم؛ استُبدل الترقيم (1– 2– …) بالمسميات الإنشائية.</w:t>
      </w:r>
    </w:p>
  </w:comment>
  <w:comment w:id="144" w:author="Dr. Ibrahim" w:date="2026-06-30T13:59:00Z" w:initials="DI">
    <w:p w14:paraId="449BBEA1" w14:textId="25ED0234" w:rsidR="006A5DF6" w:rsidRDefault="006A5DF6">
      <w:pPr>
        <w:pStyle w:val="af1"/>
      </w:pPr>
      <w:r>
        <w:rPr>
          <w:rStyle w:val="af0"/>
        </w:rPr>
        <w:annotationRef/>
      </w:r>
    </w:p>
  </w:comment>
  <w:comment w:id="145" w:author="الباحث: حسان جمبي" w:date="2026-07-18T21:00:00Z" w:initials="حج">
    <w:p w14:paraId="3643E9F6" w14:textId="77777777" w:rsidR="00F06D4D" w:rsidRDefault="00000000">
      <w:pPr>
        <w:pStyle w:val="af1"/>
        <w:rPr>
          <w:rtl/>
        </w:rPr>
      </w:pPr>
      <w:r>
        <w:rPr>
          <w:rStyle w:val="af0"/>
        </w:rPr>
        <w:annotationRef/>
      </w:r>
      <w:r>
        <w:rPr>
          <w:rFonts w:hint="cs"/>
          <w:rtl/>
        </w:rPr>
        <w:t>تم؛ استُبدل الترقيم (1– 2– …) بالمسميات الإنشائية.</w:t>
      </w:r>
    </w:p>
  </w:comment>
  <w:comment w:id="146" w:author="Dr. Ibrahim" w:date="2026-06-30T13:59:00Z" w:initials="DI">
    <w:p w14:paraId="107A44F5" w14:textId="3DB42A18" w:rsidR="006A5DF6" w:rsidRDefault="006A5DF6">
      <w:pPr>
        <w:pStyle w:val="af1"/>
      </w:pPr>
      <w:r>
        <w:rPr>
          <w:rStyle w:val="af0"/>
        </w:rPr>
        <w:annotationRef/>
      </w:r>
    </w:p>
  </w:comment>
  <w:comment w:id="147" w:author="الباحث: حسان جمبي" w:date="2026-07-18T21:00:00Z" w:initials="حج">
    <w:p w14:paraId="70D9DF46" w14:textId="77777777" w:rsidR="00F06D4D" w:rsidRDefault="00000000">
      <w:pPr>
        <w:pStyle w:val="af1"/>
        <w:rPr>
          <w:rtl/>
        </w:rPr>
      </w:pPr>
      <w:r>
        <w:rPr>
          <w:rStyle w:val="af0"/>
        </w:rPr>
        <w:annotationRef/>
      </w:r>
      <w:r>
        <w:rPr>
          <w:rFonts w:hint="cs"/>
          <w:rtl/>
        </w:rPr>
        <w:t>تم؛ استُبدل الترقيم (1– 2– …) بالمسميات الإنشائية.</w:t>
      </w:r>
    </w:p>
  </w:comment>
  <w:comment w:id="148" w:author="Dr. Ibrahim" w:date="2026-06-30T21:23:00Z" w:initials="DI">
    <w:p w14:paraId="1D78B330" w14:textId="147F09D2" w:rsidR="006A5DF6" w:rsidRDefault="006A5DF6">
      <w:pPr>
        <w:pStyle w:val="af1"/>
      </w:pPr>
      <w:r>
        <w:rPr>
          <w:rStyle w:val="af0"/>
        </w:rPr>
        <w:annotationRef/>
      </w:r>
      <w:r>
        <w:rPr>
          <w:rFonts w:hint="cs"/>
          <w:rtl/>
        </w:rPr>
        <w:t xml:space="preserve">قياس مدى متانة التنظيم السعودي للذكاء الاصطناعي القانوني </w:t>
      </w:r>
    </w:p>
  </w:comment>
  <w:comment w:id="149" w:author="الباحث: حسان جمبي" w:date="2026-07-18T21:00:00Z" w:initials="حج">
    <w:p w14:paraId="1A378A06" w14:textId="77777777" w:rsidR="00F06D4D" w:rsidRDefault="00000000">
      <w:pPr>
        <w:pStyle w:val="af1"/>
        <w:rPr>
          <w:rtl/>
        </w:rPr>
      </w:pPr>
      <w:r>
        <w:rPr>
          <w:rStyle w:val="af0"/>
        </w:rPr>
        <w:annotationRef/>
      </w:r>
      <w:r>
        <w:rPr>
          <w:rFonts w:hint="cs"/>
          <w:rtl/>
        </w:rPr>
        <w:t>تم؛ العنوان: «رابعاً: قياس مدى متانة التنظيم السعودي للذكاء الاصطناعي القانوني».</w:t>
      </w:r>
    </w:p>
  </w:comment>
  <w:comment w:id="150" w:author="Dr. Ibrahim" w:date="2026-06-30T21:21:00Z" w:initials="DI">
    <w:p w14:paraId="43CD0AA7" w14:textId="2C1E7685" w:rsidR="006A5DF6" w:rsidRDefault="006A5DF6">
      <w:pPr>
        <w:pStyle w:val="af1"/>
      </w:pPr>
      <w:r>
        <w:rPr>
          <w:rStyle w:val="af0"/>
        </w:rPr>
        <w:annotationRef/>
      </w:r>
    </w:p>
  </w:comment>
  <w:comment w:id="151" w:author="الباحث: حسان جمبي" w:date="2026-07-18T21:00:00Z" w:initials="حج">
    <w:p w14:paraId="507D7CB3" w14:textId="77777777" w:rsidR="00F06D4D" w:rsidRDefault="00000000">
      <w:pPr>
        <w:pStyle w:val="af1"/>
        <w:rPr>
          <w:rtl/>
        </w:rPr>
      </w:pPr>
      <w:r>
        <w:rPr>
          <w:rStyle w:val="af0"/>
        </w:rPr>
        <w:annotationRef/>
      </w:r>
      <w:r>
        <w:rPr>
          <w:rFonts w:hint="cs"/>
          <w:rtl/>
        </w:rPr>
        <w:t>حُذف «معيار بعض الباحثين» المجهول، واعتُمدت معايير مستمدة من منهجية التنظيم المبني على المخاطر في اللائحة الأوروبية (وضوح التشريع، القدرة الرقابية، ضمانات الأطراف، الإنفاذ).</w:t>
      </w:r>
    </w:p>
  </w:comment>
  <w:comment w:id="152" w:author="Dr. Ibrahim" w:date="2026-06-30T21:21:00Z" w:initials="DI">
    <w:p w14:paraId="7D1ED06F" w14:textId="13E46E54" w:rsidR="006A5DF6" w:rsidRDefault="006A5DF6">
      <w:pPr>
        <w:pStyle w:val="af1"/>
      </w:pPr>
      <w:r>
        <w:rPr>
          <w:rStyle w:val="af0"/>
        </w:rPr>
        <w:annotationRef/>
      </w:r>
      <w:r>
        <w:rPr>
          <w:rFonts w:hint="cs"/>
          <w:rtl/>
        </w:rPr>
        <w:t>من هم الباحثين؟؟؟؟؟</w:t>
      </w:r>
    </w:p>
  </w:comment>
  <w:comment w:id="153" w:author="الباحث: حسان جمبي" w:date="2026-07-18T21:00:00Z" w:initials="حج">
    <w:p w14:paraId="2CF5D1B6" w14:textId="77777777" w:rsidR="00F06D4D" w:rsidRDefault="00000000">
      <w:pPr>
        <w:pStyle w:val="af1"/>
        <w:rPr>
          <w:rtl/>
        </w:rPr>
      </w:pPr>
      <w:r>
        <w:rPr>
          <w:rStyle w:val="af0"/>
        </w:rPr>
        <w:annotationRef/>
      </w:r>
      <w:r>
        <w:rPr>
          <w:rFonts w:hint="cs"/>
          <w:rtl/>
        </w:rPr>
        <w:t>كما في السابق؛ أُسند المعيار لمصدر محدد بدل الإبهام.</w:t>
      </w:r>
    </w:p>
  </w:comment>
  <w:comment w:id="154" w:author="Dr. Ibrahim" w:date="2026-06-30T21:22:00Z" w:initials="DI">
    <w:p w14:paraId="3D694E3A" w14:textId="120D2608" w:rsidR="006A5DF6" w:rsidRDefault="006A5DF6">
      <w:pPr>
        <w:pStyle w:val="af1"/>
      </w:pPr>
      <w:r>
        <w:rPr>
          <w:rStyle w:val="af0"/>
        </w:rPr>
        <w:annotationRef/>
      </w:r>
      <w:r>
        <w:rPr>
          <w:rFonts w:hint="cs"/>
          <w:rtl/>
        </w:rPr>
        <w:t xml:space="preserve">كيف تحقق وكيف لا تحقق اشرح هذا لب الموضوع </w:t>
      </w:r>
    </w:p>
  </w:comment>
  <w:comment w:id="155" w:author="الباحث: حسان جمبي" w:date="2026-07-18T21:00:00Z" w:initials="حج">
    <w:p w14:paraId="520A7CC8" w14:textId="77777777" w:rsidR="00F06D4D" w:rsidRDefault="00000000">
      <w:pPr>
        <w:pStyle w:val="af1"/>
        <w:rPr>
          <w:rtl/>
        </w:rPr>
      </w:pPr>
      <w:r>
        <w:rPr>
          <w:rStyle w:val="af0"/>
        </w:rPr>
        <w:annotationRef/>
      </w:r>
      <w:r>
        <w:rPr>
          <w:rFonts w:hint="cs"/>
          <w:rtl/>
        </w:rPr>
        <w:t>أُضيف الشرح المطلوب نصاً: وجه التحقق الجزئي أن القواعد العامة تتيح المساءلة في الصور الظاهرة (إخلال بالسرية، مراجع مختلقة)؛ ووجه القصور غياب نص يحسم معيار الاستخدام المعيب وضعف الإنفاذ على المزود الأجنبي وعدم خضوع المنصات غير المرخصة لرقابة فعالة.</w:t>
      </w:r>
    </w:p>
  </w:comment>
  <w:comment w:id="156" w:author="Dr. Ibrahim" w:date="2026-06-30T21:24:00Z" w:initials="DI">
    <w:p w14:paraId="68A87CAD" w14:textId="27825FAC" w:rsidR="006A5DF6" w:rsidRDefault="006A5DF6">
      <w:pPr>
        <w:pStyle w:val="af1"/>
      </w:pPr>
      <w:r>
        <w:rPr>
          <w:rStyle w:val="af0"/>
        </w:rPr>
        <w:annotationRef/>
      </w:r>
      <w:r>
        <w:rPr>
          <w:rFonts w:hint="cs"/>
          <w:rtl/>
        </w:rPr>
        <w:t>ومتوافقا مع</w:t>
      </w:r>
    </w:p>
  </w:comment>
  <w:comment w:id="157" w:author="الباحث: حسان جمبي" w:date="2026-07-18T21:00:00Z" w:initials="حج">
    <w:p w14:paraId="46C54EA0" w14:textId="77777777" w:rsidR="00F06D4D" w:rsidRDefault="00000000">
      <w:pPr>
        <w:pStyle w:val="af1"/>
        <w:rPr>
          <w:rtl/>
        </w:rPr>
      </w:pPr>
      <w:r>
        <w:rPr>
          <w:rStyle w:val="af0"/>
        </w:rPr>
        <w:annotationRef/>
      </w:r>
      <w:r>
        <w:rPr>
          <w:rFonts w:hint="cs"/>
          <w:rtl/>
        </w:rPr>
        <w:t>تم؛ «ومتوافقاً مع».</w:t>
      </w:r>
    </w:p>
  </w:comment>
  <w:comment w:id="158" w:author="Dr. Ibrahim" w:date="2026-06-30T21:25:00Z" w:initials="DI">
    <w:p w14:paraId="4F9CFE62" w14:textId="779CA3F1" w:rsidR="006A5DF6" w:rsidRDefault="006A5DF6">
      <w:pPr>
        <w:pStyle w:val="af1"/>
      </w:pPr>
      <w:r>
        <w:rPr>
          <w:rStyle w:val="af0"/>
        </w:rPr>
        <w:annotationRef/>
      </w:r>
      <w:r>
        <w:rPr>
          <w:rFonts w:hint="cs"/>
          <w:rtl/>
        </w:rPr>
        <w:t>التقسيم</w:t>
      </w:r>
    </w:p>
  </w:comment>
  <w:comment w:id="159" w:author="الباحث: حسان جمبي" w:date="2026-07-18T21:00:00Z" w:initials="حج">
    <w:p w14:paraId="2DEA7BF6" w14:textId="77777777" w:rsidR="00F06D4D" w:rsidRDefault="00000000">
      <w:pPr>
        <w:pStyle w:val="af1"/>
        <w:rPr>
          <w:rtl/>
        </w:rPr>
      </w:pPr>
      <w:r>
        <w:rPr>
          <w:rStyle w:val="af0"/>
        </w:rPr>
        <w:annotationRef/>
      </w:r>
      <w:r>
        <w:rPr>
          <w:rFonts w:hint="cs"/>
          <w:rtl/>
        </w:rPr>
        <w:t>تم؛ ضُبط العنوان بترقيمه تحت مطلبه (أولاً/ثانياً…)، وأُعلن تقسيم الفصل إلى مباحثه الثلاثة في تمهيده.</w:t>
      </w:r>
    </w:p>
  </w:comment>
  <w:comment w:id="160" w:author="Dr. Ibrahim" w:date="2026-06-30T21:26:00Z" w:initials="DI">
    <w:p w14:paraId="2044A3D8" w14:textId="044E4940" w:rsidR="006A5DF6" w:rsidRDefault="006A5DF6">
      <w:pPr>
        <w:pStyle w:val="af1"/>
      </w:pPr>
      <w:r>
        <w:rPr>
          <w:rStyle w:val="af0"/>
        </w:rPr>
        <w:annotationRef/>
      </w:r>
    </w:p>
  </w:comment>
  <w:comment w:id="161" w:author="الباحث: حسان جمبي" w:date="2026-07-18T21:00:00Z" w:initials="حج">
    <w:p w14:paraId="58C98713" w14:textId="77777777" w:rsidR="00F06D4D" w:rsidRDefault="00000000">
      <w:pPr>
        <w:pStyle w:val="af1"/>
        <w:rPr>
          <w:rtl/>
        </w:rPr>
      </w:pPr>
      <w:r>
        <w:rPr>
          <w:rStyle w:val="af0"/>
        </w:rPr>
        <w:annotationRef/>
      </w:r>
      <w:r>
        <w:rPr>
          <w:rFonts w:hint="cs"/>
          <w:rtl/>
        </w:rPr>
        <w:t>عولج ضمن الموضع.</w:t>
      </w:r>
    </w:p>
  </w:comment>
  <w:comment w:id="162" w:author="Dr. Ibrahim" w:date="2026-06-30T21:26:00Z" w:initials="DI">
    <w:p w14:paraId="4F4A5042" w14:textId="70F5C99E" w:rsidR="006A5DF6" w:rsidRDefault="006A5DF6">
      <w:pPr>
        <w:pStyle w:val="af1"/>
      </w:pPr>
      <w:r>
        <w:rPr>
          <w:rStyle w:val="af0"/>
        </w:rPr>
        <w:annotationRef/>
      </w:r>
    </w:p>
  </w:comment>
  <w:comment w:id="163" w:author="الباحث: حسان جمبي" w:date="2026-07-18T21:00:00Z" w:initials="حج">
    <w:p w14:paraId="4794E4CF" w14:textId="77777777" w:rsidR="00F06D4D" w:rsidRDefault="00000000">
      <w:pPr>
        <w:pStyle w:val="af1"/>
        <w:rPr>
          <w:rtl/>
        </w:rPr>
      </w:pPr>
      <w:r>
        <w:rPr>
          <w:rStyle w:val="af0"/>
        </w:rPr>
        <w:annotationRef/>
      </w:r>
      <w:r>
        <w:rPr>
          <w:rFonts w:hint="cs"/>
          <w:rtl/>
        </w:rPr>
        <w:t>عولج ضمن الموضع.</w:t>
      </w:r>
    </w:p>
  </w:comment>
  <w:comment w:id="164" w:author="Dr. Ibrahim" w:date="2026-06-30T21:27:00Z" w:initials="DI">
    <w:p w14:paraId="4A5CBD11" w14:textId="1958F924" w:rsidR="006A5DF6" w:rsidRDefault="006A5DF6">
      <w:pPr>
        <w:pStyle w:val="af1"/>
      </w:pPr>
      <w:r>
        <w:rPr>
          <w:rStyle w:val="af0"/>
        </w:rPr>
        <w:annotationRef/>
      </w:r>
      <w:r>
        <w:rPr>
          <w:rFonts w:hint="cs"/>
          <w:rtl/>
        </w:rPr>
        <w:t>التقسيم</w:t>
      </w:r>
    </w:p>
  </w:comment>
  <w:comment w:id="165" w:author="الباحث: حسان جمبي" w:date="2026-07-18T21:00:00Z" w:initials="حج">
    <w:p w14:paraId="1A21657E" w14:textId="77777777" w:rsidR="00F06D4D" w:rsidRDefault="00000000">
      <w:pPr>
        <w:pStyle w:val="af1"/>
        <w:rPr>
          <w:rtl/>
        </w:rPr>
      </w:pPr>
      <w:r>
        <w:rPr>
          <w:rStyle w:val="af0"/>
        </w:rPr>
        <w:annotationRef/>
      </w:r>
      <w:r>
        <w:rPr>
          <w:rFonts w:hint="cs"/>
          <w:rtl/>
        </w:rPr>
        <w:t>تم؛ ضُبط العنوان مرقماً «خامساً: مقارنة تنظيمية بين النظامين…» وأُوجز العرض بأسلوب تقريري.</w:t>
      </w:r>
    </w:p>
  </w:comment>
  <w:comment w:id="166" w:author="Dr. Ibrahim" w:date="2026-06-30T21:29:00Z" w:initials="DI">
    <w:p w14:paraId="055A97BF" w14:textId="5CC9C87F" w:rsidR="006A5DF6" w:rsidRDefault="006A5DF6">
      <w:pPr>
        <w:pStyle w:val="af1"/>
      </w:pPr>
      <w:r>
        <w:rPr>
          <w:rStyle w:val="af0"/>
        </w:rPr>
        <w:annotationRef/>
      </w:r>
      <w:r>
        <w:rPr>
          <w:rFonts w:hint="cs"/>
          <w:rtl/>
        </w:rPr>
        <w:t>التقسيم</w:t>
      </w:r>
    </w:p>
  </w:comment>
  <w:comment w:id="167" w:author="الباحث: حسان جمبي" w:date="2026-07-18T21:00:00Z" w:initials="حج">
    <w:p w14:paraId="7651165E" w14:textId="77777777" w:rsidR="00F06D4D" w:rsidRDefault="00000000">
      <w:pPr>
        <w:pStyle w:val="af1"/>
        <w:rPr>
          <w:rtl/>
        </w:rPr>
      </w:pPr>
      <w:r>
        <w:rPr>
          <w:rStyle w:val="af0"/>
        </w:rPr>
        <w:annotationRef/>
      </w:r>
      <w:r>
        <w:rPr>
          <w:rFonts w:hint="cs"/>
          <w:rtl/>
        </w:rPr>
        <w:t>تم؛ العنوان «أولاً: دور الهيئة السعودية للمحامين…» مع تصحيح الاسم النظامي للهيئة في الفصل كله.</w:t>
      </w:r>
    </w:p>
  </w:comment>
  <w:comment w:id="168" w:author="Dr. Ibrahim" w:date="2026-06-30T21:30:00Z" w:initials="DI">
    <w:p w14:paraId="441D8B06" w14:textId="3C6B4BAF" w:rsidR="006A5DF6" w:rsidRDefault="006A5DF6">
      <w:pPr>
        <w:pStyle w:val="af1"/>
      </w:pPr>
      <w:r>
        <w:rPr>
          <w:rStyle w:val="af0"/>
        </w:rPr>
        <w:annotationRef/>
      </w:r>
    </w:p>
  </w:comment>
  <w:comment w:id="169" w:author="الباحث: حسان جمبي" w:date="2026-07-18T21:00:00Z" w:initials="حج">
    <w:p w14:paraId="5FF3DDD5" w14:textId="77777777" w:rsidR="00F06D4D" w:rsidRDefault="00000000">
      <w:pPr>
        <w:pStyle w:val="af1"/>
        <w:rPr>
          <w:rtl/>
        </w:rPr>
      </w:pPr>
      <w:r>
        <w:rPr>
          <w:rStyle w:val="af0"/>
        </w:rPr>
        <w:annotationRef/>
      </w:r>
      <w:r>
        <w:rPr>
          <w:rFonts w:hint="cs"/>
          <w:rtl/>
        </w:rPr>
        <w:t>عولج ضمن الموضع.</w:t>
      </w:r>
    </w:p>
  </w:comment>
  <w:comment w:id="170" w:author="Dr. Ibrahim" w:date="2026-06-30T21:30:00Z" w:initials="DI">
    <w:p w14:paraId="7B433EA1" w14:textId="5DC6A052" w:rsidR="006A5DF6" w:rsidRDefault="006A5DF6">
      <w:pPr>
        <w:pStyle w:val="af1"/>
      </w:pPr>
      <w:r>
        <w:rPr>
          <w:rStyle w:val="af0"/>
        </w:rPr>
        <w:annotationRef/>
      </w:r>
    </w:p>
  </w:comment>
  <w:comment w:id="171" w:author="الباحث: حسان جمبي" w:date="2026-07-18T21:00:00Z" w:initials="حج">
    <w:p w14:paraId="5D942C79" w14:textId="77777777" w:rsidR="00F06D4D" w:rsidRDefault="00000000">
      <w:pPr>
        <w:pStyle w:val="af1"/>
        <w:rPr>
          <w:rtl/>
        </w:rPr>
      </w:pPr>
      <w:r>
        <w:rPr>
          <w:rStyle w:val="af0"/>
        </w:rPr>
        <w:annotationRef/>
      </w:r>
      <w:r>
        <w:rPr>
          <w:rFonts w:hint="cs"/>
          <w:rtl/>
        </w:rPr>
        <w:t>عولج ضمن الموضع.</w:t>
      </w:r>
    </w:p>
  </w:comment>
  <w:comment w:id="172" w:author="Dr. Ibrahim" w:date="2026-06-30T21:30:00Z" w:initials="DI">
    <w:p w14:paraId="2801511E" w14:textId="3664BA3E" w:rsidR="006A5DF6" w:rsidRDefault="006A5DF6">
      <w:pPr>
        <w:pStyle w:val="af1"/>
      </w:pPr>
      <w:r>
        <w:rPr>
          <w:rStyle w:val="af0"/>
        </w:rPr>
        <w:annotationRef/>
      </w:r>
      <w:r>
        <w:rPr>
          <w:rFonts w:hint="cs"/>
          <w:rtl/>
        </w:rPr>
        <w:t>اذكر ارقام المواد أو نصوصها ولو في الهامش</w:t>
      </w:r>
    </w:p>
  </w:comment>
  <w:comment w:id="173" w:author="الباحث: حسان جمبي" w:date="2026-07-18T21:00:00Z" w:initials="حج">
    <w:p w14:paraId="20F9EAFC" w14:textId="77777777" w:rsidR="00F06D4D" w:rsidRDefault="00000000">
      <w:pPr>
        <w:pStyle w:val="af1"/>
        <w:rPr>
          <w:rtl/>
        </w:rPr>
      </w:pPr>
      <w:r>
        <w:rPr>
          <w:rStyle w:val="af0"/>
        </w:rPr>
        <w:annotationRef/>
      </w:r>
      <w:r>
        <w:rPr>
          <w:rFonts w:hint="cs"/>
          <w:rtl/>
        </w:rPr>
        <w:t>ذُكرت أرقام المواد: العضوية الإلزامية في المادة (21 مكرر)، والتأديب في المادتين (29) و(31)، والقيد والترخيص في المواد (3) و(5) و(7)، في المتن والهامش.</w:t>
      </w:r>
    </w:p>
  </w:comment>
  <w:comment w:id="174" w:author="Dr. Ibrahim" w:date="2026-06-30T21:32:00Z" w:initials="DI">
    <w:p w14:paraId="6FA7B71B" w14:textId="1EB1D0B2" w:rsidR="006A5DF6" w:rsidRDefault="006A5DF6">
      <w:pPr>
        <w:pStyle w:val="af1"/>
      </w:pPr>
      <w:r>
        <w:rPr>
          <w:rStyle w:val="af0"/>
        </w:rPr>
        <w:annotationRef/>
      </w:r>
      <w:r>
        <w:rPr>
          <w:rFonts w:hint="cs"/>
          <w:rtl/>
        </w:rPr>
        <w:t>ماذا يعني الولائية</w:t>
      </w:r>
    </w:p>
  </w:comment>
  <w:comment w:id="175" w:author="الباحث: حسان جمبي" w:date="2026-07-18T21:00:00Z" w:initials="حج">
    <w:p w14:paraId="2121605E" w14:textId="77777777" w:rsidR="00F06D4D" w:rsidRDefault="00000000">
      <w:pPr>
        <w:pStyle w:val="af1"/>
        <w:rPr>
          <w:rtl/>
        </w:rPr>
      </w:pPr>
      <w:r>
        <w:rPr>
          <w:rStyle w:val="af0"/>
        </w:rPr>
        <w:annotationRef/>
      </w:r>
      <w:r>
        <w:rPr>
          <w:rFonts w:hint="cs"/>
          <w:rtl/>
        </w:rPr>
        <w:t>المقصود كان نقابات الولايات في النظام الأمريكي؛ وصُحح اللفظ إلى «نقابات المحامين في الولايات الأمريكية».</w:t>
      </w:r>
    </w:p>
  </w:comment>
  <w:comment w:id="178" w:author="Dr. Ibrahim" w:date="2026-06-30T21:32:00Z" w:initials="DI">
    <w:p w14:paraId="750F7E94" w14:textId="06B8523B" w:rsidR="006A5DF6" w:rsidRDefault="006A5DF6">
      <w:pPr>
        <w:pStyle w:val="af1"/>
      </w:pPr>
      <w:r>
        <w:rPr>
          <w:rStyle w:val="af0"/>
        </w:rPr>
        <w:annotationRef/>
      </w:r>
      <w:r>
        <w:rPr>
          <w:rFonts w:hint="cs"/>
          <w:rtl/>
        </w:rPr>
        <w:t>المرجع</w:t>
      </w:r>
    </w:p>
  </w:comment>
  <w:comment w:id="179" w:author="الباحث: حسان جمبي" w:date="2026-07-18T21:00:00Z" w:initials="حج">
    <w:p w14:paraId="2A0C4580" w14:textId="77777777" w:rsidR="00F06D4D" w:rsidRDefault="00000000">
      <w:pPr>
        <w:pStyle w:val="af1"/>
        <w:rPr>
          <w:rtl/>
        </w:rPr>
      </w:pPr>
      <w:r>
        <w:rPr>
          <w:rStyle w:val="af0"/>
        </w:rPr>
        <w:annotationRef/>
      </w:r>
      <w:r>
        <w:rPr>
          <w:rFonts w:hint="cs"/>
          <w:rtl/>
        </w:rPr>
        <w:t>تم التوثيق في الهامش بمصدر محدد قابل للتحقق، وحُذف ما تعذر توثيقه.</w:t>
      </w:r>
    </w:p>
  </w:comment>
  <w:comment w:id="176" w:author="Dr. Ibrahim" w:date="2026-06-30T21:32:00Z" w:initials="DI">
    <w:p w14:paraId="269FF4A3" w14:textId="6178DEFD" w:rsidR="006A5DF6" w:rsidRDefault="006A5DF6">
      <w:pPr>
        <w:pStyle w:val="af1"/>
      </w:pPr>
      <w:r>
        <w:rPr>
          <w:rStyle w:val="af0"/>
        </w:rPr>
        <w:annotationRef/>
      </w:r>
    </w:p>
  </w:comment>
  <w:comment w:id="177" w:author="الباحث: حسان جمبي" w:date="2026-07-18T21:00:00Z" w:initials="حج">
    <w:p w14:paraId="7819B71C" w14:textId="77777777" w:rsidR="00F06D4D" w:rsidRDefault="00000000">
      <w:pPr>
        <w:pStyle w:val="af1"/>
        <w:rPr>
          <w:rtl/>
        </w:rPr>
      </w:pPr>
      <w:r>
        <w:rPr>
          <w:rStyle w:val="af0"/>
        </w:rPr>
        <w:annotationRef/>
      </w:r>
      <w:r>
        <w:rPr>
          <w:rFonts w:hint="cs"/>
          <w:rtl/>
        </w:rPr>
        <w:t>لم يثبت للباحث وجود قرار بهذا الرقم والمضمون؛ فاستُبدل به الرأي الرسمي رقم (512) الصادر عن اتحاد المحامين الأمريكي في 29 يوليو 2024م — وهو منشور وموثق — مع بيان مضمونه في المتن والهامش.</w:t>
      </w:r>
    </w:p>
  </w:comment>
  <w:comment w:id="180" w:author="Dr. Ibrahim" w:date="2026-06-30T21:32:00Z" w:initials="DI">
    <w:p w14:paraId="683764CB" w14:textId="3022A4E7" w:rsidR="006A5DF6" w:rsidRDefault="006A5DF6">
      <w:pPr>
        <w:pStyle w:val="af1"/>
      </w:pPr>
      <w:r>
        <w:rPr>
          <w:rStyle w:val="af0"/>
        </w:rPr>
        <w:annotationRef/>
      </w:r>
    </w:p>
  </w:comment>
  <w:comment w:id="181" w:author="الباحث: حسان جمبي" w:date="2026-07-18T21:00:00Z" w:initials="حج">
    <w:p w14:paraId="557B0DF7" w14:textId="77777777" w:rsidR="00F06D4D" w:rsidRDefault="00000000">
      <w:pPr>
        <w:pStyle w:val="af1"/>
        <w:rPr>
          <w:rtl/>
        </w:rPr>
      </w:pPr>
      <w:r>
        <w:rPr>
          <w:rStyle w:val="af0"/>
        </w:rPr>
        <w:annotationRef/>
      </w:r>
      <w:r>
        <w:rPr>
          <w:rFonts w:hint="cs"/>
          <w:rtl/>
        </w:rPr>
        <w:t>عولج ضمن الموضع.</w:t>
      </w:r>
    </w:p>
  </w:comment>
  <w:comment w:id="182" w:author="Dr. Ibrahim" w:date="2026-06-30T21:32:00Z" w:initials="DI">
    <w:p w14:paraId="3C1CEDA3" w14:textId="4EFE14E0" w:rsidR="006A5DF6" w:rsidRDefault="006A5DF6">
      <w:pPr>
        <w:pStyle w:val="af1"/>
        <w:rPr>
          <w:rtl/>
        </w:rPr>
      </w:pPr>
      <w:r>
        <w:rPr>
          <w:rStyle w:val="af0"/>
        </w:rPr>
        <w:annotationRef/>
      </w:r>
      <w:r>
        <w:rPr>
          <w:rFonts w:hint="cs"/>
          <w:rtl/>
        </w:rPr>
        <w:t>التقسيم</w:t>
      </w:r>
    </w:p>
    <w:p w14:paraId="4BECEB83" w14:textId="2225B15A" w:rsidR="006A5DF6" w:rsidRDefault="006A5DF6">
      <w:pPr>
        <w:pStyle w:val="af1"/>
      </w:pPr>
      <w:r>
        <w:rPr>
          <w:rFonts w:hint="cs"/>
          <w:rtl/>
        </w:rPr>
        <w:t>وحوكمة الذكاء تعني الجهات المؤسسية المشرفة عليه حاليا والاطر القانونية والتنظيمية لا الجهات التي تستخدمه أو تفسره</w:t>
      </w:r>
    </w:p>
  </w:comment>
  <w:comment w:id="183" w:author="الباحث: حسان جمبي" w:date="2026-07-18T21:00:00Z" w:initials="حج">
    <w:p w14:paraId="250E4659" w14:textId="77777777" w:rsidR="00F06D4D" w:rsidRDefault="00000000">
      <w:pPr>
        <w:pStyle w:val="af1"/>
        <w:rPr>
          <w:rtl/>
        </w:rPr>
      </w:pPr>
      <w:r>
        <w:rPr>
          <w:rStyle w:val="af0"/>
        </w:rPr>
        <w:annotationRef/>
      </w:r>
      <w:r>
        <w:rPr>
          <w:rFonts w:hint="cs"/>
          <w:rtl/>
        </w:rPr>
        <w:t>تم؛ عُرفت الحوكمة في مطلع المحور بأنها الأطر القانونية والتنظيمية والجهات المؤسسية المشرفة على التطوير والاستخدام — لا الجهات المستخدمة أو المفسرة — وضُبط العنوان مرقماً.</w:t>
      </w:r>
    </w:p>
  </w:comment>
  <w:comment w:id="184" w:author="Dr. Ibrahim" w:date="2026-06-30T21:33:00Z" w:initials="DI">
    <w:p w14:paraId="0473C3C0" w14:textId="5355773B" w:rsidR="006A5DF6" w:rsidRDefault="006A5DF6">
      <w:pPr>
        <w:pStyle w:val="af1"/>
      </w:pPr>
      <w:r>
        <w:rPr>
          <w:rStyle w:val="af0"/>
        </w:rPr>
        <w:annotationRef/>
      </w:r>
      <w:r>
        <w:rPr>
          <w:rFonts w:hint="cs"/>
          <w:rtl/>
        </w:rPr>
        <w:t>العوائق أو المشكلات</w:t>
      </w:r>
    </w:p>
  </w:comment>
  <w:comment w:id="185" w:author="الباحث: حسان جمبي" w:date="2026-07-18T21:00:00Z" w:initials="حج">
    <w:p w14:paraId="5EE89CA1" w14:textId="77777777" w:rsidR="00F06D4D" w:rsidRDefault="00000000">
      <w:pPr>
        <w:pStyle w:val="af1"/>
        <w:rPr>
          <w:rtl/>
        </w:rPr>
      </w:pPr>
      <w:r>
        <w:rPr>
          <w:rStyle w:val="af0"/>
        </w:rPr>
        <w:annotationRef/>
      </w:r>
      <w:r>
        <w:rPr>
          <w:rFonts w:hint="cs"/>
          <w:rtl/>
        </w:rPr>
        <w:t>تم؛ «المشكلات التي تعترضها».</w:t>
      </w:r>
    </w:p>
  </w:comment>
  <w:comment w:id="186" w:author="Dr. Ibrahim" w:date="2026-06-30T21:36:00Z" w:initials="DI">
    <w:p w14:paraId="10CBFEB5" w14:textId="29480B79" w:rsidR="006A5DF6" w:rsidRDefault="006A5DF6">
      <w:pPr>
        <w:pStyle w:val="af1"/>
      </w:pPr>
      <w:r>
        <w:rPr>
          <w:rStyle w:val="af0"/>
        </w:rPr>
        <w:annotationRef/>
      </w:r>
      <w:r>
        <w:rPr>
          <w:rFonts w:hint="cs"/>
          <w:rtl/>
        </w:rPr>
        <w:t>كيف تعمل الهيئة ككيان مؤسسي في مجال الذكاء</w:t>
      </w:r>
    </w:p>
  </w:comment>
  <w:comment w:id="187" w:author="الباحث: حسان جمبي" w:date="2026-07-18T21:00:00Z" w:initials="حج">
    <w:p w14:paraId="73D2511A" w14:textId="77777777" w:rsidR="00F06D4D" w:rsidRDefault="00000000">
      <w:pPr>
        <w:pStyle w:val="af1"/>
        <w:rPr>
          <w:rtl/>
        </w:rPr>
      </w:pPr>
      <w:r>
        <w:rPr>
          <w:rStyle w:val="af0"/>
        </w:rPr>
        <w:annotationRef/>
      </w:r>
      <w:r>
        <w:rPr>
          <w:rFonts w:hint="cs"/>
          <w:rtl/>
        </w:rPr>
        <w:t>بُين عمل سدايا ككيان مؤسسي: ترتيباتها التنظيمية بقرار مجلس الوزراء رقم (292) وتاريخ 27/4/1441هـ، وإصدار الاستراتيجيات والوثائق الاسترشادية، والإشراف على تنفيذ نظام حماية البيانات الشخصية.</w:t>
      </w:r>
    </w:p>
  </w:comment>
  <w:comment w:id="188" w:author="Dr. Ibrahim" w:date="2026-06-30T21:39:00Z" w:initials="DI">
    <w:p w14:paraId="7747E7D3" w14:textId="77777777" w:rsidR="006A5DF6" w:rsidRDefault="006A5DF6">
      <w:pPr>
        <w:pStyle w:val="af1"/>
        <w:rPr>
          <w:rtl/>
        </w:rPr>
      </w:pPr>
      <w:r>
        <w:rPr>
          <w:rStyle w:val="af0"/>
        </w:rPr>
        <w:annotationRef/>
      </w:r>
      <w:r>
        <w:rPr>
          <w:rFonts w:hint="cs"/>
          <w:rtl/>
        </w:rPr>
        <w:t>التقسيم وتغيرر العنوان</w:t>
      </w:r>
    </w:p>
    <w:p w14:paraId="1B119839" w14:textId="2E5AF961" w:rsidR="006A5DF6" w:rsidRDefault="006A5DF6">
      <w:pPr>
        <w:pStyle w:val="af1"/>
      </w:pPr>
      <w:r>
        <w:rPr>
          <w:rFonts w:hint="cs"/>
          <w:rtl/>
        </w:rPr>
        <w:t>المسؤولية في الذكاء الاصطناعي القانوني</w:t>
      </w:r>
    </w:p>
  </w:comment>
  <w:comment w:id="189" w:author="الباحث: حسان جمبي" w:date="2026-07-18T21:00:00Z" w:initials="حج">
    <w:p w14:paraId="61F88B68" w14:textId="77777777" w:rsidR="00F06D4D" w:rsidRDefault="00000000">
      <w:pPr>
        <w:pStyle w:val="af1"/>
        <w:rPr>
          <w:rtl/>
        </w:rPr>
      </w:pPr>
      <w:r>
        <w:rPr>
          <w:rStyle w:val="af0"/>
        </w:rPr>
        <w:annotationRef/>
      </w:r>
      <w:r>
        <w:rPr>
          <w:rFonts w:hint="cs"/>
          <w:rtl/>
        </w:rPr>
        <w:t>تم؛ العنوان: «ثالثاً: المسؤولية في الذكاء الاصطناعي القانوني وتوزيعها بين أطراف المنظومة».</w:t>
      </w:r>
    </w:p>
  </w:comment>
  <w:comment w:id="190" w:author="Dr. Ibrahim" w:date="2026-07-02T09:41:00Z" w:initials="DI">
    <w:p w14:paraId="7F4AEB47" w14:textId="2F0615BE" w:rsidR="006A5DF6" w:rsidRDefault="006A5DF6">
      <w:pPr>
        <w:pStyle w:val="af1"/>
      </w:pPr>
      <w:r>
        <w:rPr>
          <w:rStyle w:val="af0"/>
        </w:rPr>
        <w:annotationRef/>
      </w:r>
      <w:r>
        <w:rPr>
          <w:rFonts w:hint="cs"/>
          <w:rtl/>
        </w:rPr>
        <w:t>تأكد من رقم المادة والنص لان الذكاء الاصطناعي قد يخدعك</w:t>
      </w:r>
    </w:p>
  </w:comment>
  <w:comment w:id="191" w:author="الباحث: حسان جمبي" w:date="2026-07-18T21:00:00Z" w:initials="حج">
    <w:p w14:paraId="5E7F4483" w14:textId="77777777" w:rsidR="00F06D4D" w:rsidRDefault="00000000">
      <w:pPr>
        <w:pStyle w:val="af1"/>
        <w:rPr>
          <w:rtl/>
        </w:rPr>
      </w:pPr>
      <w:r>
        <w:rPr>
          <w:rStyle w:val="af0"/>
        </w:rPr>
        <w:annotationRef/>
      </w:r>
      <w:r>
        <w:rPr>
          <w:rFonts w:hint="cs"/>
          <w:rtl/>
        </w:rPr>
        <w:t>روجعت فعلاً؛ والإحالة إلى (م/221 وما بعدها) غير صحيحة، فصُححت إلى المادتين (120) و(129) من نظام المعاملات المدنية المتحقق من نصيهما من المصدر الرسمي.</w:t>
      </w:r>
    </w:p>
  </w:comment>
  <w:comment w:id="192" w:author="Dr. Ibrahim" w:date="2026-06-30T21:45:00Z" w:initials="DI">
    <w:p w14:paraId="7508CF74" w14:textId="1F1EE52E" w:rsidR="006A5DF6" w:rsidRDefault="006A5DF6" w:rsidP="00294297">
      <w:pPr>
        <w:pStyle w:val="af1"/>
      </w:pPr>
      <w:r>
        <w:rPr>
          <w:rStyle w:val="af0"/>
        </w:rPr>
        <w:annotationRef/>
      </w:r>
      <w:r>
        <w:rPr>
          <w:rStyle w:val="af0"/>
          <w:rFonts w:hint="cs"/>
          <w:rtl/>
        </w:rPr>
        <w:t xml:space="preserve">هذا النوع من المسؤولية معروف جدا وعليه مئات الأبحاث المنشورة </w:t>
      </w:r>
    </w:p>
  </w:comment>
  <w:comment w:id="193" w:author="الباحث: حسان جمبي" w:date="2026-07-18T21:00:00Z" w:initials="حج">
    <w:p w14:paraId="609E6E85" w14:textId="77777777" w:rsidR="00F06D4D" w:rsidRDefault="00000000">
      <w:pPr>
        <w:pStyle w:val="af1"/>
        <w:rPr>
          <w:rtl/>
        </w:rPr>
      </w:pPr>
      <w:r>
        <w:rPr>
          <w:rStyle w:val="af0"/>
        </w:rPr>
        <w:annotationRef/>
      </w:r>
      <w:r>
        <w:rPr>
          <w:rFonts w:hint="cs"/>
          <w:rtl/>
        </w:rPr>
        <w:t>صحيح؛ فحُذف الاستطراد في المعلوم من النظرية العامة، وصُدر المحور ببيان وجه الجِدة: إنزال الأحكام على أطراف المنظومة الخمسة في البيئة السعودية.</w:t>
      </w:r>
    </w:p>
  </w:comment>
  <w:comment w:id="194" w:author="Dr. Ibrahim" w:date="2026-06-30T21:46:00Z" w:initials="DI">
    <w:p w14:paraId="29274AF7" w14:textId="09280B10" w:rsidR="006A5DF6" w:rsidRDefault="006A5DF6">
      <w:pPr>
        <w:pStyle w:val="af1"/>
      </w:pPr>
      <w:r>
        <w:rPr>
          <w:rStyle w:val="af0"/>
        </w:rPr>
        <w:annotationRef/>
      </w:r>
      <w:r>
        <w:rPr>
          <w:rFonts w:hint="cs"/>
          <w:rtl/>
        </w:rPr>
        <w:t>عنوان واحد</w:t>
      </w:r>
    </w:p>
  </w:comment>
  <w:comment w:id="195" w:author="الباحث: حسان جمبي" w:date="2026-07-18T21:00:00Z" w:initials="حج">
    <w:p w14:paraId="1E3F6731" w14:textId="77777777" w:rsidR="00F06D4D" w:rsidRDefault="00000000">
      <w:pPr>
        <w:pStyle w:val="af1"/>
        <w:rPr>
          <w:rtl/>
        </w:rPr>
      </w:pPr>
      <w:r>
        <w:rPr>
          <w:rStyle w:val="af0"/>
        </w:rPr>
        <w:annotationRef/>
      </w:r>
      <w:r>
        <w:rPr>
          <w:rFonts w:hint="cs"/>
          <w:rtl/>
        </w:rPr>
        <w:t>تم؛ وُحد العنوان تحت مطلبه بترقيم «أولاً».</w:t>
      </w:r>
    </w:p>
  </w:comment>
  <w:comment w:id="196" w:author="Dr. Ibrahim" w:date="2026-06-30T21:47:00Z" w:initials="DI">
    <w:p w14:paraId="603D0960" w14:textId="209D9A4B" w:rsidR="006A5DF6" w:rsidRDefault="006A5DF6">
      <w:pPr>
        <w:pStyle w:val="af1"/>
      </w:pPr>
      <w:r>
        <w:rPr>
          <w:rStyle w:val="af0"/>
        </w:rPr>
        <w:annotationRef/>
      </w:r>
    </w:p>
  </w:comment>
  <w:comment w:id="197" w:author="الباحث: حسان جمبي" w:date="2026-07-18T21:00:00Z" w:initials="حج">
    <w:p w14:paraId="7FFFB8FA" w14:textId="77777777" w:rsidR="00F06D4D" w:rsidRDefault="00000000">
      <w:pPr>
        <w:pStyle w:val="af1"/>
        <w:rPr>
          <w:rtl/>
        </w:rPr>
      </w:pPr>
      <w:r>
        <w:rPr>
          <w:rStyle w:val="af0"/>
        </w:rPr>
        <w:annotationRef/>
      </w:r>
      <w:r>
        <w:rPr>
          <w:rFonts w:hint="cs"/>
          <w:rtl/>
        </w:rPr>
        <w:t>تعذر التحقق من المرجع والنسبة المنقولة عنه فحُذفا، وأُعيدت صياغة فكرة التحيز الثقافي بأسلوب الباحث مع توثيق متحقق منه.</w:t>
      </w:r>
    </w:p>
  </w:comment>
  <w:comment w:id="198" w:author="Dr. Ibrahim" w:date="2026-06-30T21:48:00Z" w:initials="DI">
    <w:p w14:paraId="5934F0BB" w14:textId="588FC721" w:rsidR="006A5DF6" w:rsidRDefault="006A5DF6">
      <w:pPr>
        <w:pStyle w:val="af1"/>
      </w:pPr>
      <w:r>
        <w:rPr>
          <w:rStyle w:val="af0"/>
        </w:rPr>
        <w:annotationRef/>
      </w:r>
      <w:r>
        <w:rPr>
          <w:rFonts w:hint="cs"/>
          <w:rtl/>
        </w:rPr>
        <w:t>ترجمة غير صحيحة</w:t>
      </w:r>
    </w:p>
  </w:comment>
  <w:comment w:id="199" w:author="الباحث: حسان جمبي" w:date="2026-07-18T21:00:00Z" w:initials="حج">
    <w:p w14:paraId="75B91880" w14:textId="77777777" w:rsidR="00F06D4D" w:rsidRDefault="00000000">
      <w:pPr>
        <w:pStyle w:val="af1"/>
        <w:rPr>
          <w:rtl/>
        </w:rPr>
      </w:pPr>
      <w:r>
        <w:rPr>
          <w:rStyle w:val="af0"/>
        </w:rPr>
        <w:annotationRef/>
      </w:r>
      <w:r>
        <w:rPr>
          <w:rFonts w:hint="cs"/>
          <w:rtl/>
        </w:rPr>
        <w:t>صُححت الترجمة إلى «النهج الافتراضي (Default Approach)».</w:t>
      </w:r>
    </w:p>
  </w:comment>
  <w:comment w:id="200" w:author="Dr. Ibrahim" w:date="2026-06-30T21:49:00Z" w:initials="DI">
    <w:p w14:paraId="1ED728BD" w14:textId="2CC64F0B" w:rsidR="006A5DF6" w:rsidRDefault="006A5DF6">
      <w:pPr>
        <w:pStyle w:val="af1"/>
      </w:pPr>
      <w:r>
        <w:rPr>
          <w:rStyle w:val="af0"/>
        </w:rPr>
        <w:annotationRef/>
      </w:r>
      <w:r>
        <w:rPr>
          <w:rFonts w:hint="cs"/>
          <w:rtl/>
        </w:rPr>
        <w:t>مثل التحدي الاول</w:t>
      </w:r>
    </w:p>
  </w:comment>
  <w:comment w:id="201" w:author="الباحث: حسان جمبي" w:date="2026-07-18T21:00:00Z" w:initials="حج">
    <w:p w14:paraId="29155ADE" w14:textId="77777777" w:rsidR="00F06D4D" w:rsidRDefault="00000000">
      <w:pPr>
        <w:pStyle w:val="af1"/>
        <w:rPr>
          <w:rtl/>
        </w:rPr>
      </w:pPr>
      <w:r>
        <w:rPr>
          <w:rStyle w:val="af0"/>
        </w:rPr>
        <w:annotationRef/>
      </w:r>
      <w:r>
        <w:rPr>
          <w:rFonts w:hint="cs"/>
          <w:rtl/>
        </w:rPr>
        <w:t>وُحدت بنية التحديات الثلاثة.</w:t>
      </w:r>
    </w:p>
  </w:comment>
  <w:comment w:id="202" w:author="Dr. Ibrahim" w:date="2026-06-30T21:49:00Z" w:initials="DI">
    <w:p w14:paraId="4ED31DC8" w14:textId="2FA260CE" w:rsidR="006A5DF6" w:rsidRDefault="006A5DF6">
      <w:pPr>
        <w:pStyle w:val="af1"/>
      </w:pPr>
      <w:r>
        <w:rPr>
          <w:rStyle w:val="af0"/>
        </w:rPr>
        <w:annotationRef/>
      </w:r>
      <w:r>
        <w:rPr>
          <w:rFonts w:hint="cs"/>
          <w:rtl/>
        </w:rPr>
        <w:t>التقسيم</w:t>
      </w:r>
    </w:p>
  </w:comment>
  <w:comment w:id="203" w:author="الباحث: حسان جمبي" w:date="2026-07-18T21:00:00Z" w:initials="حج">
    <w:p w14:paraId="68470796" w14:textId="77777777" w:rsidR="00F06D4D" w:rsidRDefault="00000000">
      <w:pPr>
        <w:pStyle w:val="af1"/>
        <w:rPr>
          <w:rtl/>
        </w:rPr>
      </w:pPr>
      <w:r>
        <w:rPr>
          <w:rStyle w:val="af0"/>
        </w:rPr>
        <w:annotationRef/>
      </w:r>
      <w:r>
        <w:rPr>
          <w:rFonts w:hint="cs"/>
          <w:rtl/>
        </w:rPr>
        <w:t>تم؛ ضُبط العنوان بترقيمه تحت مطلبه (أولاً/ثانياً…)، وأُعلن تقسيم الفصل إلى مباحثه الثلاثة في تمهيده.</w:t>
      </w:r>
    </w:p>
  </w:comment>
  <w:comment w:id="204" w:author="Dr. Ibrahim" w:date="2026-06-30T21:50:00Z" w:initials="DI">
    <w:p w14:paraId="036882BA" w14:textId="4ABE9391" w:rsidR="006A5DF6" w:rsidRDefault="006A5DF6">
      <w:pPr>
        <w:pStyle w:val="af1"/>
      </w:pPr>
      <w:r>
        <w:rPr>
          <w:rStyle w:val="af0"/>
        </w:rPr>
        <w:annotationRef/>
      </w:r>
      <w:r>
        <w:rPr>
          <w:rFonts w:hint="cs"/>
          <w:rtl/>
        </w:rPr>
        <w:t>ضوابط توظيف الذكاء الاصطناعي في المجال القانوني في ضوء</w:t>
      </w:r>
    </w:p>
  </w:comment>
  <w:comment w:id="205" w:author="الباحث: حسان جمبي" w:date="2026-07-18T21:00:00Z" w:initials="حج">
    <w:p w14:paraId="65E0FF20" w14:textId="77777777" w:rsidR="00F06D4D" w:rsidRDefault="00000000">
      <w:pPr>
        <w:pStyle w:val="af1"/>
        <w:rPr>
          <w:rtl/>
        </w:rPr>
      </w:pPr>
      <w:r>
        <w:rPr>
          <w:rStyle w:val="af0"/>
        </w:rPr>
        <w:annotationRef/>
      </w:r>
      <w:r>
        <w:rPr>
          <w:rFonts w:hint="cs"/>
          <w:rtl/>
        </w:rPr>
        <w:t>اعتُمد عنوان الدكتور: «ضوابط توظيف الذكاء الاصطناعي في المجال القانوني في ضوء الفقه الإسلامي».</w:t>
      </w:r>
    </w:p>
  </w:comment>
  <w:comment w:id="206" w:author="Dr. Ibrahim" w:date="2026-06-30T21:50:00Z" w:initials="DI">
    <w:p w14:paraId="0C300FD3" w14:textId="0B312C22" w:rsidR="006A5DF6" w:rsidRDefault="006A5DF6">
      <w:pPr>
        <w:pStyle w:val="af1"/>
      </w:pPr>
      <w:r>
        <w:rPr>
          <w:rStyle w:val="af0"/>
        </w:rPr>
        <w:annotationRef/>
      </w:r>
      <w:r>
        <w:rPr>
          <w:rStyle w:val="af0"/>
          <w:rFonts w:hint="cs"/>
          <w:rtl/>
        </w:rPr>
        <w:t>التقسيم والعنوان هو للذكاء الاصطناعي لابد من تغييره</w:t>
      </w:r>
    </w:p>
  </w:comment>
  <w:comment w:id="207" w:author="الباحث: حسان جمبي" w:date="2026-07-18T21:00:00Z" w:initials="حج">
    <w:p w14:paraId="63597F24" w14:textId="77777777" w:rsidR="00F06D4D" w:rsidRDefault="00000000">
      <w:pPr>
        <w:pStyle w:val="af1"/>
        <w:rPr>
          <w:rtl/>
        </w:rPr>
      </w:pPr>
      <w:r>
        <w:rPr>
          <w:rStyle w:val="af0"/>
        </w:rPr>
        <w:annotationRef/>
      </w:r>
      <w:r>
        <w:rPr>
          <w:rFonts w:hint="cs"/>
          <w:rtl/>
        </w:rPr>
        <w:t>تم؛ العنوان: «ثالثاً: الذكاء الاصطناعي والوصول إلى العدالة» تحت مطلبه.</w:t>
      </w:r>
    </w:p>
  </w:comment>
  <w:comment w:id="208" w:author="Dr. Ibrahim" w:date="2026-06-30T21:52:00Z" w:initials="DI">
    <w:p w14:paraId="7876BE75" w14:textId="04187958" w:rsidR="006A5DF6" w:rsidRDefault="006A5DF6">
      <w:pPr>
        <w:pStyle w:val="af1"/>
      </w:pPr>
      <w:r>
        <w:rPr>
          <w:rStyle w:val="af0"/>
        </w:rPr>
        <w:annotationRef/>
      </w:r>
      <w:r>
        <w:rPr>
          <w:rFonts w:hint="cs"/>
          <w:rtl/>
        </w:rPr>
        <w:t>مرجعك في هذا الكلام</w:t>
      </w:r>
    </w:p>
  </w:comment>
  <w:comment w:id="209" w:author="الباحث: حسان جمبي" w:date="2026-07-18T21:00:00Z" w:initials="حج">
    <w:p w14:paraId="35E1822D" w14:textId="77777777" w:rsidR="00F06D4D" w:rsidRDefault="00000000">
      <w:pPr>
        <w:pStyle w:val="af1"/>
        <w:rPr>
          <w:rtl/>
        </w:rPr>
      </w:pPr>
      <w:r>
        <w:rPr>
          <w:rStyle w:val="af0"/>
        </w:rPr>
        <w:annotationRef/>
      </w:r>
      <w:r>
        <w:rPr>
          <w:rFonts w:hint="cs"/>
          <w:rtl/>
        </w:rPr>
        <w:t>حُذفت التقديرات غير الرسمية، وبقي الوصف التحليلي للفجوات الثلاث دون أرقام غير موثقة.</w:t>
      </w:r>
    </w:p>
  </w:comment>
  <w:comment w:id="210" w:author="Dr. Ibrahim" w:date="2026-07-02T09:28:00Z" w:initials="DI">
    <w:p w14:paraId="74B4D4BA" w14:textId="1A021432" w:rsidR="006A5DF6" w:rsidRDefault="006A5DF6">
      <w:pPr>
        <w:pStyle w:val="af1"/>
      </w:pPr>
      <w:r>
        <w:rPr>
          <w:rStyle w:val="af0"/>
        </w:rPr>
        <w:annotationRef/>
      </w:r>
      <w:r>
        <w:rPr>
          <w:rFonts w:hint="cs"/>
          <w:rtl/>
        </w:rPr>
        <w:t>ما هو النص القانوني الذي يثبت ذلك</w:t>
      </w:r>
    </w:p>
  </w:comment>
  <w:comment w:id="211" w:author="الباحث: حسان جمبي" w:date="2026-07-18T21:00:00Z" w:initials="حج">
    <w:p w14:paraId="73F14BD4" w14:textId="77777777" w:rsidR="00F06D4D" w:rsidRDefault="00000000">
      <w:pPr>
        <w:pStyle w:val="af1"/>
        <w:rPr>
          <w:rtl/>
        </w:rPr>
      </w:pPr>
      <w:r>
        <w:rPr>
          <w:rStyle w:val="af0"/>
        </w:rPr>
        <w:annotationRef/>
      </w:r>
      <w:r>
        <w:rPr>
          <w:rFonts w:hint="cs"/>
          <w:rtl/>
        </w:rPr>
        <w:t>لم يثبت نص تشريعي إماراتي محدد بهذا المضمون؛ فأعيدت الصياغة توصيةً من الباحث استئناساً بالاتجاهات المقارنة، دون ادعاء تشريعي غير موثق.</w:t>
      </w:r>
    </w:p>
  </w:comment>
  <w:comment w:id="212" w:author="Dr. Ibrahim" w:date="2026-06-30T21:54:00Z" w:initials="DI">
    <w:p w14:paraId="21BFCAF0" w14:textId="49FA18C9" w:rsidR="006A5DF6" w:rsidRDefault="006A5DF6">
      <w:pPr>
        <w:pStyle w:val="af1"/>
      </w:pPr>
      <w:r>
        <w:rPr>
          <w:rStyle w:val="af0"/>
        </w:rPr>
        <w:annotationRef/>
      </w:r>
      <w:r>
        <w:rPr>
          <w:rFonts w:hint="cs"/>
          <w:rtl/>
        </w:rPr>
        <w:t>عناوين غير مقبولة في أطروحة قانونية</w:t>
      </w:r>
    </w:p>
  </w:comment>
  <w:comment w:id="213" w:author="الباحث: حسان جمبي" w:date="2026-07-18T21:00:00Z" w:initials="حج">
    <w:p w14:paraId="2A28D687" w14:textId="77777777" w:rsidR="00F06D4D" w:rsidRDefault="00000000">
      <w:pPr>
        <w:pStyle w:val="af1"/>
        <w:rPr>
          <w:rtl/>
        </w:rPr>
      </w:pPr>
      <w:r>
        <w:rPr>
          <w:rStyle w:val="af0"/>
        </w:rPr>
        <w:annotationRef/>
      </w:r>
      <w:r>
        <w:rPr>
          <w:rFonts w:hint="cs"/>
          <w:rtl/>
        </w:rPr>
        <w:t>استُبدلت العناوين الإنشائية بعناوين علمية مرقمة تحت مطالبها.</w:t>
      </w:r>
    </w:p>
  </w:comment>
  <w:comment w:id="214" w:author="Dr. Ibrahim" w:date="2026-06-30T21:54:00Z" w:initials="DI">
    <w:p w14:paraId="050329BD" w14:textId="4C6A36A9" w:rsidR="006A5DF6" w:rsidRDefault="006A5DF6">
      <w:pPr>
        <w:pStyle w:val="af1"/>
      </w:pPr>
      <w:r>
        <w:rPr>
          <w:rStyle w:val="af0"/>
        </w:rPr>
        <w:annotationRef/>
      </w:r>
      <w:r>
        <w:rPr>
          <w:rFonts w:hint="cs"/>
          <w:rtl/>
        </w:rPr>
        <w:t>هذا هو العنوان</w:t>
      </w:r>
    </w:p>
  </w:comment>
  <w:comment w:id="215" w:author="الباحث: حسان جمبي" w:date="2026-07-18T21:00:00Z" w:initials="حج">
    <w:p w14:paraId="3D48C30F" w14:textId="77777777" w:rsidR="00F06D4D" w:rsidRDefault="00000000">
      <w:pPr>
        <w:pStyle w:val="af1"/>
        <w:rPr>
          <w:rtl/>
        </w:rPr>
      </w:pPr>
      <w:r>
        <w:rPr>
          <w:rStyle w:val="af0"/>
        </w:rPr>
        <w:annotationRef/>
      </w:r>
      <w:r>
        <w:rPr>
          <w:rFonts w:hint="cs"/>
          <w:rtl/>
        </w:rPr>
        <w:t>اعتُمد مضمون العنوان الذي أشار إليه الدكتور.</w:t>
      </w:r>
    </w:p>
  </w:comment>
  <w:comment w:id="216" w:author="Dr. Ibrahim" w:date="2026-06-30T21:55:00Z" w:initials="DI">
    <w:p w14:paraId="1A95A612" w14:textId="7177455A" w:rsidR="006A5DF6" w:rsidRDefault="006A5DF6">
      <w:pPr>
        <w:pStyle w:val="af1"/>
      </w:pPr>
      <w:r>
        <w:rPr>
          <w:rStyle w:val="af0"/>
        </w:rPr>
        <w:annotationRef/>
      </w:r>
      <w:r>
        <w:rPr>
          <w:rFonts w:hint="cs"/>
          <w:rtl/>
        </w:rPr>
        <w:t>المرجع</w:t>
      </w:r>
    </w:p>
  </w:comment>
  <w:comment w:id="217" w:author="الباحث: حسان جمبي" w:date="2026-07-18T21:00:00Z" w:initials="حج">
    <w:p w14:paraId="70280B03" w14:textId="77777777" w:rsidR="00F06D4D" w:rsidRDefault="00000000">
      <w:pPr>
        <w:pStyle w:val="af1"/>
        <w:rPr>
          <w:rtl/>
        </w:rPr>
      </w:pPr>
      <w:r>
        <w:rPr>
          <w:rStyle w:val="af0"/>
        </w:rPr>
        <w:annotationRef/>
      </w:r>
      <w:r>
        <w:rPr>
          <w:rFonts w:hint="cs"/>
          <w:rtl/>
        </w:rPr>
        <w:t>حُذفت النسبة (78%) لعدم إمكان التحقق منها، وأُبقي الاستشهاد العام بالدراسة الموثقة في الهامش.</w:t>
      </w:r>
    </w:p>
  </w:comment>
  <w:comment w:id="218" w:author="Dr. Ibrahim" w:date="2026-06-30T21:56:00Z" w:initials="DI">
    <w:p w14:paraId="07AC72C7" w14:textId="2EAA762C" w:rsidR="006A5DF6" w:rsidRDefault="006A5DF6">
      <w:pPr>
        <w:pStyle w:val="af1"/>
      </w:pPr>
      <w:r>
        <w:rPr>
          <w:rStyle w:val="af0"/>
        </w:rPr>
        <w:annotationRef/>
      </w:r>
      <w:r>
        <w:rPr>
          <w:rFonts w:hint="cs"/>
          <w:rtl/>
        </w:rPr>
        <w:t>المرجع؟؟ طبعا هذا ليس كلامك</w:t>
      </w:r>
    </w:p>
  </w:comment>
  <w:comment w:id="219" w:author="الباحث: حسان جمبي" w:date="2026-07-18T21:00:00Z" w:initials="حج">
    <w:p w14:paraId="437807FF" w14:textId="77777777" w:rsidR="00F06D4D" w:rsidRDefault="00000000">
      <w:pPr>
        <w:pStyle w:val="af1"/>
        <w:rPr>
          <w:rtl/>
        </w:rPr>
      </w:pPr>
      <w:r>
        <w:rPr>
          <w:rStyle w:val="af0"/>
        </w:rPr>
        <w:annotationRef/>
      </w:r>
      <w:r>
        <w:rPr>
          <w:rFonts w:hint="cs"/>
          <w:rtl/>
        </w:rPr>
        <w:t>أُعيدت صياغة المفارقات الثلاث بأسلوب الباحث ونُسبت إليه «يرى الباحث».</w:t>
      </w:r>
    </w:p>
  </w:comment>
  <w:comment w:id="220" w:author="Dr. Ibrahim" w:date="2026-06-30T21:57:00Z" w:initials="DI">
    <w:p w14:paraId="5C844EB3" w14:textId="5FF2CC2E" w:rsidR="006A5DF6" w:rsidRDefault="006A5DF6">
      <w:pPr>
        <w:pStyle w:val="af1"/>
      </w:pPr>
      <w:r>
        <w:rPr>
          <w:rStyle w:val="af0"/>
        </w:rPr>
        <w:annotationRef/>
      </w:r>
      <w:r>
        <w:rPr>
          <w:rFonts w:hint="cs"/>
          <w:rtl/>
        </w:rPr>
        <w:t>التقسيم</w:t>
      </w:r>
    </w:p>
  </w:comment>
  <w:comment w:id="221" w:author="الباحث: حسان جمبي" w:date="2026-07-18T21:00:00Z" w:initials="حج">
    <w:p w14:paraId="2CC2BE12" w14:textId="77777777" w:rsidR="00F06D4D" w:rsidRDefault="00000000">
      <w:pPr>
        <w:pStyle w:val="af1"/>
        <w:rPr>
          <w:rtl/>
        </w:rPr>
      </w:pPr>
      <w:r>
        <w:rPr>
          <w:rStyle w:val="af0"/>
        </w:rPr>
        <w:annotationRef/>
      </w:r>
      <w:r>
        <w:rPr>
          <w:rFonts w:hint="cs"/>
          <w:rtl/>
        </w:rPr>
        <w:t>تم؛ ضُبط العنوان بترقيمه تحت مطلبه (أولاً/ثانياً…)، وأُعلن تقسيم الفصل إلى مباحثه الثلاثة في تمهيده.</w:t>
      </w:r>
    </w:p>
  </w:comment>
  <w:comment w:id="222" w:author="Dr. Ibrahim" w:date="2026-06-30T21:58:00Z" w:initials="DI">
    <w:p w14:paraId="008FEFAF" w14:textId="1C020D0A" w:rsidR="006A5DF6" w:rsidRDefault="006A5DF6">
      <w:pPr>
        <w:pStyle w:val="af1"/>
      </w:pPr>
      <w:r>
        <w:rPr>
          <w:rStyle w:val="af0"/>
        </w:rPr>
        <w:annotationRef/>
      </w:r>
      <w:r>
        <w:rPr>
          <w:rFonts w:hint="cs"/>
          <w:rtl/>
        </w:rPr>
        <w:t>كتابة ذكاء اصطناعي ؟؟ أين المراجع؟؟؟</w:t>
      </w:r>
    </w:p>
  </w:comment>
  <w:comment w:id="223" w:author="الباحث: حسان جمبي" w:date="2026-07-18T21:00:00Z" w:initials="حج">
    <w:p w14:paraId="1BAF170F" w14:textId="77777777" w:rsidR="00F06D4D" w:rsidRDefault="00000000">
      <w:pPr>
        <w:pStyle w:val="af1"/>
        <w:rPr>
          <w:rtl/>
        </w:rPr>
      </w:pPr>
      <w:r>
        <w:rPr>
          <w:rStyle w:val="af0"/>
        </w:rPr>
        <w:annotationRef/>
      </w:r>
      <w:r>
        <w:rPr>
          <w:rFonts w:hint="cs"/>
          <w:rtl/>
        </w:rPr>
        <w:t>أُعيدت صياغة المحور بلغة تحليلية مقتضبة، وحُذف الطابع الإنشائي.</w:t>
      </w:r>
    </w:p>
  </w:comment>
  <w:comment w:id="224" w:author="Dr. Ibrahim" w:date="2026-06-30T21:59:00Z" w:initials="DI">
    <w:p w14:paraId="15BAF0FB" w14:textId="65BBA118" w:rsidR="006A5DF6" w:rsidRDefault="006A5DF6">
      <w:pPr>
        <w:pStyle w:val="af1"/>
      </w:pPr>
      <w:r>
        <w:rPr>
          <w:rStyle w:val="af0"/>
        </w:rPr>
        <w:annotationRef/>
      </w:r>
      <w:r>
        <w:rPr>
          <w:rFonts w:hint="cs"/>
          <w:rtl/>
        </w:rPr>
        <w:t>التقسيم وعنوان غير مقبول في أطروحة قانون</w:t>
      </w:r>
    </w:p>
  </w:comment>
  <w:comment w:id="225" w:author="الباحث: حسان جمبي" w:date="2026-07-18T21:00:00Z" w:initials="حج">
    <w:p w14:paraId="718C030B" w14:textId="77777777" w:rsidR="00F06D4D" w:rsidRDefault="00000000">
      <w:pPr>
        <w:pStyle w:val="af1"/>
        <w:rPr>
          <w:rtl/>
        </w:rPr>
      </w:pPr>
      <w:r>
        <w:rPr>
          <w:rStyle w:val="af0"/>
        </w:rPr>
        <w:annotationRef/>
      </w:r>
      <w:r>
        <w:rPr>
          <w:rFonts w:hint="cs"/>
          <w:rtl/>
        </w:rPr>
        <w:t>ضُبط العنوان مرقماً، وحُذفت الأرقام غير الموثقة من المحور كله (انظر الردود التالية).</w:t>
      </w:r>
    </w:p>
  </w:comment>
  <w:comment w:id="226" w:author="Dr. Ibrahim" w:date="2026-06-30T22:00:00Z" w:initials="DI">
    <w:p w14:paraId="6A1FF793" w14:textId="63B72716" w:rsidR="006A5DF6" w:rsidRDefault="006A5DF6">
      <w:pPr>
        <w:pStyle w:val="af1"/>
      </w:pPr>
      <w:r>
        <w:rPr>
          <w:rStyle w:val="af0"/>
        </w:rPr>
        <w:annotationRef/>
      </w:r>
      <w:r>
        <w:rPr>
          <w:rFonts w:hint="cs"/>
          <w:rtl/>
        </w:rPr>
        <w:t>تقديرات من ما هو المرجع</w:t>
      </w:r>
    </w:p>
  </w:comment>
  <w:comment w:id="227" w:author="الباحث: حسان جمبي" w:date="2026-07-18T21:00:00Z" w:initials="حج">
    <w:p w14:paraId="470A1D6F" w14:textId="77777777" w:rsidR="00F06D4D" w:rsidRDefault="00000000">
      <w:pPr>
        <w:pStyle w:val="af1"/>
        <w:rPr>
          <w:rtl/>
        </w:rPr>
      </w:pPr>
      <w:r>
        <w:rPr>
          <w:rStyle w:val="af0"/>
        </w:rPr>
        <w:annotationRef/>
      </w:r>
      <w:r>
        <w:rPr>
          <w:rFonts w:hint="cs"/>
          <w:rtl/>
        </w:rPr>
        <w:t>حُذفت الأرقام التي لا مصدر رسمياً منشوراً لها (300 مليون دولار، 60 ألف محامٍ، نسب النمو)، وصُرح بعدم توافر إحصاءات رسمية منشورة.</w:t>
      </w:r>
    </w:p>
  </w:comment>
  <w:comment w:id="228" w:author="Dr. Ibrahim" w:date="2026-06-30T22:01:00Z" w:initials="DI">
    <w:p w14:paraId="04636FEE" w14:textId="77893BE8" w:rsidR="006A5DF6" w:rsidRDefault="006A5DF6">
      <w:pPr>
        <w:pStyle w:val="af1"/>
      </w:pPr>
      <w:r>
        <w:rPr>
          <w:rStyle w:val="af0"/>
        </w:rPr>
        <w:annotationRef/>
      </w:r>
      <w:r>
        <w:rPr>
          <w:rFonts w:hint="cs"/>
          <w:rtl/>
        </w:rPr>
        <w:t>مراجع هذه التقارير</w:t>
      </w:r>
    </w:p>
  </w:comment>
  <w:comment w:id="229" w:author="الباحث: حسان جمبي" w:date="2026-07-18T21:00:00Z" w:initials="حج">
    <w:p w14:paraId="71C173ED" w14:textId="77777777" w:rsidR="00F06D4D" w:rsidRDefault="00000000">
      <w:pPr>
        <w:pStyle w:val="af1"/>
        <w:rPr>
          <w:rtl/>
        </w:rPr>
      </w:pPr>
      <w:r>
        <w:rPr>
          <w:rStyle w:val="af0"/>
        </w:rPr>
        <w:annotationRef/>
      </w:r>
      <w:r>
        <w:rPr>
          <w:rFonts w:hint="cs"/>
          <w:rtl/>
        </w:rPr>
        <w:t>حُذفت الإحالة إلى تقارير غير محددة، وأعيدت الصياغة بأسلوب الملاحظة التحليلية.</w:t>
      </w:r>
    </w:p>
  </w:comment>
  <w:comment w:id="230" w:author="Dr. Ibrahim" w:date="2026-07-02T09:27:00Z" w:initials="DI">
    <w:p w14:paraId="126AEEB1" w14:textId="442C5B3C" w:rsidR="006A5DF6" w:rsidRDefault="006A5DF6">
      <w:pPr>
        <w:pStyle w:val="af1"/>
      </w:pPr>
      <w:r>
        <w:rPr>
          <w:rStyle w:val="af0"/>
        </w:rPr>
        <w:annotationRef/>
      </w:r>
      <w:r>
        <w:rPr>
          <w:rFonts w:hint="cs"/>
          <w:rtl/>
        </w:rPr>
        <w:t>المرجع</w:t>
      </w:r>
    </w:p>
  </w:comment>
  <w:comment w:id="231" w:author="الباحث: حسان جمبي" w:date="2026-07-18T21:00:00Z" w:initials="حج">
    <w:p w14:paraId="675120B2" w14:textId="77777777" w:rsidR="00F06D4D" w:rsidRDefault="00000000">
      <w:pPr>
        <w:pStyle w:val="af1"/>
        <w:rPr>
          <w:rtl/>
        </w:rPr>
      </w:pPr>
      <w:r>
        <w:rPr>
          <w:rStyle w:val="af0"/>
        </w:rPr>
        <w:annotationRef/>
      </w:r>
      <w:r>
        <w:rPr>
          <w:rFonts w:hint="cs"/>
          <w:rtl/>
        </w:rPr>
        <w:t>كما في السابق؛ حُذف غير الموثق.</w:t>
      </w:r>
    </w:p>
  </w:comment>
  <w:comment w:id="232" w:author="Dr. Ibrahim" w:date="2026-06-30T22:01:00Z" w:initials="DI">
    <w:p w14:paraId="66CC21B9" w14:textId="0C853CE4" w:rsidR="006A5DF6" w:rsidRDefault="006A5DF6">
      <w:pPr>
        <w:pStyle w:val="af1"/>
      </w:pPr>
      <w:r>
        <w:rPr>
          <w:rStyle w:val="af0"/>
        </w:rPr>
        <w:annotationRef/>
      </w:r>
      <w:r>
        <w:rPr>
          <w:rFonts w:hint="cs"/>
          <w:rtl/>
        </w:rPr>
        <w:t>المراجع</w:t>
      </w:r>
    </w:p>
  </w:comment>
  <w:comment w:id="233" w:author="الباحث: حسان جمبي" w:date="2026-07-18T21:00:00Z" w:initials="حج">
    <w:p w14:paraId="3CDCD9B9" w14:textId="77777777" w:rsidR="00F06D4D" w:rsidRDefault="00000000">
      <w:pPr>
        <w:pStyle w:val="af1"/>
        <w:rPr>
          <w:rtl/>
        </w:rPr>
      </w:pPr>
      <w:r>
        <w:rPr>
          <w:rStyle w:val="af0"/>
        </w:rPr>
        <w:annotationRef/>
      </w:r>
      <w:r>
        <w:rPr>
          <w:rFonts w:hint="cs"/>
          <w:rtl/>
        </w:rPr>
        <w:t>حُذف الرقم غير الموثق (تضاعف الاستثمارات).</w:t>
      </w:r>
    </w:p>
  </w:comment>
  <w:comment w:id="234" w:author="Dr. Ibrahim" w:date="2026-07-03T19:17:00Z" w:initials="DI">
    <w:p w14:paraId="1081E233" w14:textId="6E60E184" w:rsidR="006A5DF6" w:rsidRDefault="006A5DF6">
      <w:pPr>
        <w:pStyle w:val="af1"/>
        <w:rPr>
          <w:rtl/>
          <w:lang w:bidi="ar-SY"/>
        </w:rPr>
      </w:pPr>
      <w:r>
        <w:rPr>
          <w:rStyle w:val="af0"/>
        </w:rPr>
        <w:annotationRef/>
      </w:r>
      <w:r>
        <w:rPr>
          <w:rFonts w:hint="cs"/>
          <w:rtl/>
          <w:lang w:bidi="ar-SY"/>
        </w:rPr>
        <w:t>التقسيم</w:t>
      </w:r>
    </w:p>
  </w:comment>
  <w:comment w:id="235" w:author="الباحث: حسان جمبي" w:date="2026-07-18T21:00:00Z" w:initials="حج">
    <w:p w14:paraId="23A76690" w14:textId="77777777" w:rsidR="00F06D4D" w:rsidRDefault="00000000">
      <w:pPr>
        <w:pStyle w:val="af1"/>
        <w:rPr>
          <w:rtl/>
        </w:rPr>
      </w:pPr>
      <w:r>
        <w:rPr>
          <w:rStyle w:val="af0"/>
        </w:rPr>
        <w:annotationRef/>
      </w:r>
      <w:r>
        <w:rPr>
          <w:rFonts w:hint="cs"/>
          <w:rtl/>
        </w:rPr>
        <w:t>تم؛ العنوان مرقم تحت مطلبه: «رابعاً: التأهيل الأكاديمي والكوادر البشرية…».</w:t>
      </w:r>
    </w:p>
  </w:comment>
  <w:comment w:id="236" w:author="Dr. Ibrahim" w:date="2026-06-30T22:02:00Z" w:initials="DI">
    <w:p w14:paraId="6E7DB0BF" w14:textId="7F146CB6" w:rsidR="006A5DF6" w:rsidRDefault="006A5DF6">
      <w:pPr>
        <w:pStyle w:val="af1"/>
      </w:pPr>
      <w:r>
        <w:rPr>
          <w:rStyle w:val="af0"/>
        </w:rPr>
        <w:annotationRef/>
      </w:r>
      <w:r>
        <w:rPr>
          <w:rFonts w:hint="cs"/>
          <w:rtl/>
        </w:rPr>
        <w:t>المراجع</w:t>
      </w:r>
    </w:p>
  </w:comment>
  <w:comment w:id="237" w:author="الباحث: حسان جمبي" w:date="2026-07-18T21:00:00Z" w:initials="حج">
    <w:p w14:paraId="438062D5" w14:textId="77777777" w:rsidR="00F06D4D" w:rsidRDefault="00000000">
      <w:pPr>
        <w:pStyle w:val="af1"/>
        <w:rPr>
          <w:rtl/>
        </w:rPr>
      </w:pPr>
      <w:r>
        <w:rPr>
          <w:rStyle w:val="af0"/>
        </w:rPr>
        <w:annotationRef/>
      </w:r>
      <w:r>
        <w:rPr>
          <w:rFonts w:hint="cs"/>
          <w:rtl/>
        </w:rPr>
        <w:t>أُبقي ما هو مشهور متواتر (برامج الجامعات العالمية في القانون والتقنية) بصيغة عامة، وحُذفت التفاصيل غير الموثقة.</w:t>
      </w:r>
    </w:p>
  </w:comment>
  <w:comment w:id="240" w:author="Dr. Ibrahim" w:date="2026-06-30T22:02:00Z" w:initials="DI">
    <w:p w14:paraId="4D9B7090" w14:textId="14A9EF9A" w:rsidR="006A5DF6" w:rsidRDefault="006A5DF6">
      <w:pPr>
        <w:pStyle w:val="af1"/>
      </w:pPr>
      <w:r>
        <w:rPr>
          <w:rStyle w:val="af0"/>
        </w:rPr>
        <w:annotationRef/>
      </w:r>
      <w:r>
        <w:rPr>
          <w:rFonts w:hint="cs"/>
          <w:rtl/>
        </w:rPr>
        <w:t>التقسيم والموضوع سبق بحثه ويمكن دمجه مع ما سبق</w:t>
      </w:r>
    </w:p>
  </w:comment>
  <w:comment w:id="241" w:author="الباحث: حسان جمبي" w:date="2026-07-18T21:00:00Z" w:initials="حج">
    <w:p w14:paraId="66B52B60" w14:textId="77777777" w:rsidR="00F06D4D" w:rsidRDefault="00000000">
      <w:pPr>
        <w:pStyle w:val="af1"/>
        <w:rPr>
          <w:rtl/>
        </w:rPr>
      </w:pPr>
      <w:r>
        <w:rPr>
          <w:rStyle w:val="af0"/>
        </w:rPr>
        <w:annotationRef/>
      </w:r>
      <w:r>
        <w:rPr>
          <w:rFonts w:hint="cs"/>
          <w:rtl/>
        </w:rPr>
        <w:t>تم؛ ضُبط العنوان مرقماً «خامساً»، وحُذف المكرر مع ما سبق.</w:t>
      </w:r>
    </w:p>
  </w:comment>
  <w:comment w:id="238" w:author="Dr. Ibrahim" w:date="2026-07-02T09:26:00Z" w:initials="DI">
    <w:p w14:paraId="4837A887" w14:textId="1335CFA0" w:rsidR="006A5DF6" w:rsidRDefault="006A5DF6">
      <w:pPr>
        <w:pStyle w:val="af1"/>
      </w:pPr>
      <w:r>
        <w:rPr>
          <w:rStyle w:val="af0"/>
        </w:rPr>
        <w:annotationRef/>
      </w:r>
      <w:r>
        <w:rPr>
          <w:rFonts w:hint="cs"/>
          <w:rtl/>
        </w:rPr>
        <w:t>ما هو مرجعك</w:t>
      </w:r>
    </w:p>
  </w:comment>
  <w:comment w:id="239" w:author="الباحث: حسان جمبي" w:date="2026-07-18T21:00:00Z" w:initials="حج">
    <w:p w14:paraId="2205DDBD" w14:textId="77777777" w:rsidR="00F06D4D" w:rsidRDefault="00000000">
      <w:pPr>
        <w:pStyle w:val="af1"/>
        <w:rPr>
          <w:rtl/>
        </w:rPr>
      </w:pPr>
      <w:r>
        <w:rPr>
          <w:rStyle w:val="af0"/>
        </w:rPr>
        <w:annotationRef/>
      </w:r>
      <w:r>
        <w:rPr>
          <w:rFonts w:hint="cs"/>
          <w:rtl/>
        </w:rPr>
        <w:t>صيغت التطورات المتوقعة بوصفها استقراءً للباحث من اتجاهات معلنة، دون أرقام أو ادعاءات تفتقر لمصدر.</w:t>
      </w:r>
    </w:p>
  </w:comment>
  <w:comment w:id="242" w:author="Dr. Ibrahim" w:date="2026-06-30T22:04:00Z" w:initials="DI">
    <w:p w14:paraId="2F6ACB4D" w14:textId="17C8EA61" w:rsidR="006A5DF6" w:rsidRDefault="006A5DF6">
      <w:pPr>
        <w:pStyle w:val="af1"/>
      </w:pPr>
      <w:r>
        <w:rPr>
          <w:rStyle w:val="af0"/>
        </w:rPr>
        <w:annotationRef/>
      </w:r>
      <w:r>
        <w:rPr>
          <w:rFonts w:hint="cs"/>
          <w:rtl/>
        </w:rPr>
        <w:t>المراجع</w:t>
      </w:r>
    </w:p>
  </w:comment>
  <w:comment w:id="243" w:author="الباحث: حسان جمبي" w:date="2026-07-18T21:00:00Z" w:initials="حج">
    <w:p w14:paraId="23756069" w14:textId="77777777" w:rsidR="00F06D4D" w:rsidRDefault="00000000">
      <w:pPr>
        <w:pStyle w:val="af1"/>
        <w:rPr>
          <w:rtl/>
        </w:rPr>
      </w:pPr>
      <w:r>
        <w:rPr>
          <w:rStyle w:val="af0"/>
        </w:rPr>
        <w:annotationRef/>
      </w:r>
      <w:r>
        <w:rPr>
          <w:rFonts w:hint="cs"/>
          <w:rtl/>
        </w:rPr>
        <w:t>كما في السابق.</w:t>
      </w:r>
    </w:p>
  </w:comment>
  <w:comment w:id="244" w:author="Dr. Ibrahim" w:date="2026-06-30T22:04:00Z" w:initials="DI">
    <w:p w14:paraId="11D43A5F" w14:textId="05DC416B" w:rsidR="006A5DF6" w:rsidRDefault="006A5DF6">
      <w:pPr>
        <w:pStyle w:val="af1"/>
      </w:pPr>
      <w:r>
        <w:rPr>
          <w:rStyle w:val="af0"/>
        </w:rPr>
        <w:annotationRef/>
      </w:r>
      <w:r>
        <w:rPr>
          <w:rFonts w:hint="cs"/>
          <w:rtl/>
        </w:rPr>
        <w:t>كتابة الذكاء والموضوغ سبق طرحه والعنوان غير مقبول</w:t>
      </w:r>
    </w:p>
  </w:comment>
  <w:comment w:id="245" w:author="الباحث: حسان جمبي" w:date="2026-07-18T21:00:00Z" w:initials="حج">
    <w:p w14:paraId="1480DC2C" w14:textId="77777777" w:rsidR="00F06D4D" w:rsidRDefault="00000000">
      <w:pPr>
        <w:pStyle w:val="af1"/>
        <w:rPr>
          <w:rtl/>
        </w:rPr>
      </w:pPr>
      <w:r>
        <w:rPr>
          <w:rStyle w:val="af0"/>
        </w:rPr>
        <w:annotationRef/>
      </w:r>
      <w:r>
        <w:rPr>
          <w:rFonts w:hint="cs"/>
          <w:rtl/>
        </w:rPr>
        <w:t>تم؛ حُذف مسمى «التركيب» واستُبدل به الترقيم، وضُبط العنوان «أولاً: قراءة في المشهد الكلي»، وأُوجز ما سبق بحثه.</w:t>
      </w:r>
    </w:p>
  </w:comment>
  <w:comment w:id="246" w:author="Dr. Ibrahim" w:date="2026-06-30T22:05:00Z" w:initials="DI">
    <w:p w14:paraId="6DC657B2" w14:textId="78A69DF3" w:rsidR="006A5DF6" w:rsidRDefault="006A5DF6">
      <w:pPr>
        <w:pStyle w:val="af1"/>
      </w:pPr>
      <w:r>
        <w:rPr>
          <w:rStyle w:val="af0"/>
        </w:rPr>
        <w:annotationRef/>
      </w:r>
      <w:r>
        <w:rPr>
          <w:rFonts w:hint="cs"/>
          <w:rtl/>
        </w:rPr>
        <w:t>هذا الامر من المقدمة واضح</w:t>
      </w:r>
    </w:p>
  </w:comment>
  <w:comment w:id="247" w:author="الباحث: حسان جمبي" w:date="2026-07-18T21:00:00Z" w:initials="حج">
    <w:p w14:paraId="687D725A" w14:textId="77777777" w:rsidR="00F06D4D" w:rsidRDefault="00000000">
      <w:pPr>
        <w:pStyle w:val="af1"/>
        <w:rPr>
          <w:rtl/>
        </w:rPr>
      </w:pPr>
      <w:r>
        <w:rPr>
          <w:rStyle w:val="af0"/>
        </w:rPr>
        <w:annotationRef/>
      </w:r>
      <w:r>
        <w:rPr>
          <w:rFonts w:hint="cs"/>
          <w:rtl/>
        </w:rPr>
        <w:t>صحيح؛ فاختُصرت الفقرة إلى سطر واحد ضمن الترقيم.</w:t>
      </w:r>
    </w:p>
  </w:comment>
  <w:comment w:id="248" w:author="Dr. Ibrahim" w:date="2026-06-30T22:06:00Z" w:initials="DI">
    <w:p w14:paraId="6E1CC78C" w14:textId="5317F7F1" w:rsidR="006A5DF6" w:rsidRDefault="006A5DF6">
      <w:pPr>
        <w:pStyle w:val="af1"/>
      </w:pPr>
      <w:r>
        <w:rPr>
          <w:rStyle w:val="af0"/>
        </w:rPr>
        <w:annotationRef/>
      </w:r>
      <w:r>
        <w:rPr>
          <w:rFonts w:hint="cs"/>
          <w:rtl/>
        </w:rPr>
        <w:t>كلمة التركيب حذفها في كل الفقرات السابقة واستبدالها بترقيم</w:t>
      </w:r>
    </w:p>
  </w:comment>
  <w:comment w:id="249" w:author="الباحث: حسان جمبي" w:date="2026-07-18T21:00:00Z" w:initials="حج">
    <w:p w14:paraId="477C927F" w14:textId="77777777" w:rsidR="00F06D4D" w:rsidRDefault="00000000">
      <w:pPr>
        <w:pStyle w:val="af1"/>
        <w:rPr>
          <w:rtl/>
        </w:rPr>
      </w:pPr>
      <w:r>
        <w:rPr>
          <w:rStyle w:val="af0"/>
        </w:rPr>
        <w:annotationRef/>
      </w:r>
      <w:r>
        <w:rPr>
          <w:rFonts w:hint="cs"/>
          <w:rtl/>
        </w:rPr>
        <w:t>نُفذ؛ حُذفت كلمة «التركيب» في الفقرات كلها واستُبدل بها الترقيم.</w:t>
      </w:r>
    </w:p>
  </w:comment>
  <w:comment w:id="250" w:author="Dr. Ibrahim" w:date="2026-06-30T22:06:00Z" w:initials="DI">
    <w:p w14:paraId="2B066D1D" w14:textId="53909E7B" w:rsidR="006A5DF6" w:rsidRDefault="006A5DF6">
      <w:pPr>
        <w:pStyle w:val="af1"/>
      </w:pPr>
      <w:r>
        <w:rPr>
          <w:rStyle w:val="af0"/>
        </w:rPr>
        <w:annotationRef/>
      </w:r>
      <w:r>
        <w:rPr>
          <w:rFonts w:hint="cs"/>
          <w:rtl/>
        </w:rPr>
        <w:t>تعديل</w:t>
      </w:r>
    </w:p>
  </w:comment>
  <w:comment w:id="251" w:author="الباحث: حسان جمبي" w:date="2026-07-18T21:00:00Z" w:initials="حج">
    <w:p w14:paraId="70C5674A" w14:textId="77777777" w:rsidR="00F06D4D" w:rsidRDefault="00000000">
      <w:pPr>
        <w:pStyle w:val="af1"/>
        <w:rPr>
          <w:rtl/>
        </w:rPr>
      </w:pPr>
      <w:r>
        <w:rPr>
          <w:rStyle w:val="af0"/>
        </w:rPr>
        <w:annotationRef/>
      </w:r>
      <w:r>
        <w:rPr>
          <w:rFonts w:hint="cs"/>
          <w:rtl/>
        </w:rPr>
        <w:t>تم التعديل.</w:t>
      </w:r>
    </w:p>
  </w:comment>
  <w:comment w:id="252" w:author="Dr. Ibrahim" w:date="2026-06-30T22:07:00Z" w:initials="DI">
    <w:p w14:paraId="598FB157" w14:textId="639974CA" w:rsidR="006A5DF6" w:rsidRDefault="006A5DF6">
      <w:pPr>
        <w:pStyle w:val="af1"/>
      </w:pPr>
      <w:r>
        <w:rPr>
          <w:rStyle w:val="af0"/>
        </w:rPr>
        <w:annotationRef/>
      </w:r>
      <w:r>
        <w:rPr>
          <w:rFonts w:hint="cs"/>
          <w:rtl/>
        </w:rPr>
        <w:t>حتى هذه نقلتها حرفيا ؟؟؟</w:t>
      </w:r>
    </w:p>
  </w:comment>
  <w:comment w:id="253" w:author="الباحث: حسان جمبي" w:date="2026-07-18T21:00:00Z" w:initials="حج">
    <w:p w14:paraId="60B71DF5" w14:textId="77777777" w:rsidR="00F06D4D" w:rsidRDefault="00000000">
      <w:pPr>
        <w:pStyle w:val="af1"/>
        <w:rPr>
          <w:rtl/>
        </w:rPr>
      </w:pPr>
      <w:r>
        <w:rPr>
          <w:rStyle w:val="af0"/>
        </w:rPr>
        <w:annotationRef/>
      </w:r>
      <w:r>
        <w:rPr>
          <w:rFonts w:hint="cs"/>
          <w:rtl/>
        </w:rPr>
        <w:t>أُعيدت الصياغة بقلم الباحث ونُسبت إليه.</w:t>
      </w:r>
    </w:p>
  </w:comment>
  <w:comment w:id="254" w:author="Dr. Ibrahim" w:date="2026-06-30T22:08:00Z" w:initials="DI">
    <w:p w14:paraId="1122470C" w14:textId="1404070E" w:rsidR="006A5DF6" w:rsidRDefault="006A5DF6">
      <w:pPr>
        <w:pStyle w:val="af1"/>
      </w:pPr>
      <w:r>
        <w:rPr>
          <w:rStyle w:val="af0"/>
        </w:rPr>
        <w:annotationRef/>
      </w:r>
      <w:r>
        <w:rPr>
          <w:rFonts w:hint="cs"/>
          <w:rtl/>
        </w:rPr>
        <w:t>عنوان غير مقبول وماذا عن التقسيم</w:t>
      </w:r>
    </w:p>
  </w:comment>
  <w:comment w:id="255" w:author="الباحث: حسان جمبي" w:date="2026-07-18T21:00:00Z" w:initials="حج">
    <w:p w14:paraId="26062D34" w14:textId="77777777" w:rsidR="00F06D4D" w:rsidRDefault="00000000">
      <w:pPr>
        <w:pStyle w:val="af1"/>
        <w:rPr>
          <w:rtl/>
        </w:rPr>
      </w:pPr>
      <w:r>
        <w:rPr>
          <w:rStyle w:val="af0"/>
        </w:rPr>
        <w:annotationRef/>
      </w:r>
      <w:r>
        <w:rPr>
          <w:rFonts w:hint="cs"/>
          <w:rtl/>
        </w:rPr>
        <w:t>تم؛ العنوان: «ثانياً: تدابير مؤسسية مقترحة لمكاتب المحاماة قبل صدور التشريع»، والسمات رُقمت (1– إلى 5–).</w:t>
      </w:r>
    </w:p>
  </w:comment>
  <w:comment w:id="256" w:author="Dr. Ibrahim" w:date="2026-07-06T10:13:00Z" w:initials="DI">
    <w:p w14:paraId="7415B863" w14:textId="25B277E2" w:rsidR="006A5DF6" w:rsidRDefault="006A5DF6">
      <w:pPr>
        <w:pStyle w:val="af1"/>
        <w:rPr>
          <w:rtl/>
          <w:lang w:bidi="ar-SY"/>
        </w:rPr>
      </w:pPr>
      <w:r>
        <w:rPr>
          <w:rStyle w:val="af0"/>
        </w:rPr>
        <w:annotationRef/>
      </w:r>
      <w:r>
        <w:rPr>
          <w:rFonts w:hint="cs"/>
          <w:rtl/>
          <w:lang w:bidi="ar-SY"/>
        </w:rPr>
        <w:t>كتابة ذكاء اصطناعي</w:t>
      </w:r>
    </w:p>
  </w:comment>
  <w:comment w:id="257" w:author="الباحث: حسان جمبي" w:date="2026-07-18T21:00:00Z" w:initials="حج">
    <w:p w14:paraId="335F4170" w14:textId="77777777" w:rsidR="00F06D4D" w:rsidRDefault="00000000">
      <w:pPr>
        <w:pStyle w:val="af1"/>
        <w:rPr>
          <w:rtl/>
        </w:rPr>
      </w:pPr>
      <w:r>
        <w:rPr>
          <w:rStyle w:val="af0"/>
        </w:rPr>
        <w:annotationRef/>
      </w:r>
      <w:r>
        <w:rPr>
          <w:rFonts w:hint="cs"/>
          <w:rtl/>
        </w:rPr>
        <w:t>أُعيدت صياغة المحور بلغة قانونية موجزة.</w:t>
      </w:r>
    </w:p>
  </w:comment>
  <w:comment w:id="258" w:author="Dr. Ibrahim" w:date="2026-06-30T22:09:00Z" w:initials="DI">
    <w:p w14:paraId="798F6100" w14:textId="3DA1EAF6" w:rsidR="006A5DF6" w:rsidRDefault="006A5DF6">
      <w:pPr>
        <w:pStyle w:val="af1"/>
      </w:pPr>
      <w:r>
        <w:rPr>
          <w:rStyle w:val="af0"/>
        </w:rPr>
        <w:annotationRef/>
      </w:r>
      <w:r>
        <w:rPr>
          <w:rFonts w:hint="cs"/>
          <w:rtl/>
        </w:rPr>
        <w:t>التقسيم وتغيير العنوان</w:t>
      </w:r>
    </w:p>
  </w:comment>
  <w:comment w:id="259" w:author="الباحث: حسان جمبي" w:date="2026-07-18T21:00:00Z" w:initials="حج">
    <w:p w14:paraId="3F620D41" w14:textId="77777777" w:rsidR="00F06D4D" w:rsidRDefault="00000000">
      <w:pPr>
        <w:pStyle w:val="af1"/>
        <w:rPr>
          <w:rtl/>
        </w:rPr>
      </w:pPr>
      <w:r>
        <w:rPr>
          <w:rStyle w:val="af0"/>
        </w:rPr>
        <w:annotationRef/>
      </w:r>
      <w:r>
        <w:rPr>
          <w:rFonts w:hint="cs"/>
          <w:rtl/>
        </w:rPr>
        <w:t>تم؛ ضُبط العنوان والترقيم.</w:t>
      </w:r>
    </w:p>
  </w:comment>
  <w:comment w:id="260" w:author="Dr. Ibrahim" w:date="2026-06-30T22:11:00Z" w:initials="DI">
    <w:p w14:paraId="07BFBBC2" w14:textId="586EE887" w:rsidR="006A5DF6" w:rsidRDefault="006A5DF6">
      <w:pPr>
        <w:pStyle w:val="af1"/>
      </w:pPr>
      <w:r>
        <w:rPr>
          <w:rStyle w:val="af0"/>
        </w:rPr>
        <w:annotationRef/>
      </w:r>
      <w:r>
        <w:rPr>
          <w:rFonts w:hint="cs"/>
          <w:rtl/>
        </w:rPr>
        <w:t>المصطلح غير منضبط</w:t>
      </w:r>
    </w:p>
  </w:comment>
  <w:comment w:id="261" w:author="الباحث: حسان جمبي" w:date="2026-07-18T21:00:00Z" w:initials="حج">
    <w:p w14:paraId="12EE527A" w14:textId="77777777" w:rsidR="00F06D4D" w:rsidRDefault="00000000">
      <w:pPr>
        <w:pStyle w:val="af1"/>
        <w:rPr>
          <w:rtl/>
        </w:rPr>
      </w:pPr>
      <w:r>
        <w:rPr>
          <w:rStyle w:val="af0"/>
        </w:rPr>
        <w:annotationRef/>
      </w:r>
      <w:r>
        <w:rPr>
          <w:rFonts w:hint="cs"/>
          <w:rtl/>
        </w:rPr>
        <w:t>ضُبط المصطلح: «مبدأ بقاء الإنسان في حلقة القرار (Human-in-the-Loop)».</w:t>
      </w:r>
    </w:p>
  </w:comment>
  <w:comment w:id="262" w:author="Dr. Ibrahim" w:date="2026-06-30T22:11:00Z" w:initials="DI">
    <w:p w14:paraId="31DB7084" w14:textId="1CA67BE3" w:rsidR="006A5DF6" w:rsidRDefault="006A5DF6">
      <w:pPr>
        <w:pStyle w:val="af1"/>
      </w:pPr>
      <w:r>
        <w:rPr>
          <w:rStyle w:val="af0"/>
        </w:rPr>
        <w:annotationRef/>
      </w:r>
      <w:r>
        <w:rPr>
          <w:rFonts w:hint="cs"/>
          <w:rtl/>
        </w:rPr>
        <w:t>الترجمة عير دقيقة</w:t>
      </w:r>
    </w:p>
  </w:comment>
  <w:comment w:id="263" w:author="الباحث: حسان جمبي" w:date="2026-07-18T21:00:00Z" w:initials="حج">
    <w:p w14:paraId="1FAF50DB" w14:textId="77777777" w:rsidR="00F06D4D" w:rsidRDefault="00000000">
      <w:pPr>
        <w:pStyle w:val="af1"/>
        <w:rPr>
          <w:rtl/>
        </w:rPr>
      </w:pPr>
      <w:r>
        <w:rPr>
          <w:rStyle w:val="af0"/>
        </w:rPr>
        <w:annotationRef/>
      </w:r>
      <w:r>
        <w:rPr>
          <w:rFonts w:hint="cs"/>
          <w:rtl/>
        </w:rPr>
        <w:t>صُححت الترجمة: «التحقق من المصادر (Source Verification)».</w:t>
      </w:r>
    </w:p>
  </w:comment>
  <w:comment w:id="264" w:author="Dr. Ibrahim" w:date="2026-06-30T22:12:00Z" w:initials="DI">
    <w:p w14:paraId="39EB6F2F" w14:textId="6F9FFC9C" w:rsidR="006A5DF6" w:rsidRDefault="006A5DF6">
      <w:pPr>
        <w:pStyle w:val="af1"/>
      </w:pPr>
      <w:r>
        <w:rPr>
          <w:rStyle w:val="af0"/>
        </w:rPr>
        <w:annotationRef/>
      </w:r>
      <w:r>
        <w:rPr>
          <w:rFonts w:hint="cs"/>
          <w:rtl/>
        </w:rPr>
        <w:t>هل نحن في تقرير صحفي</w:t>
      </w:r>
    </w:p>
  </w:comment>
  <w:comment w:id="265" w:author="الباحث: حسان جمبي" w:date="2026-07-18T21:00:00Z" w:initials="حج">
    <w:p w14:paraId="55BE5C4E" w14:textId="77777777" w:rsidR="00F06D4D" w:rsidRDefault="00000000">
      <w:pPr>
        <w:pStyle w:val="af1"/>
        <w:rPr>
          <w:rtl/>
        </w:rPr>
      </w:pPr>
      <w:r>
        <w:rPr>
          <w:rStyle w:val="af0"/>
        </w:rPr>
        <w:annotationRef/>
      </w:r>
      <w:r>
        <w:rPr>
          <w:rFonts w:hint="cs"/>
          <w:rtl/>
        </w:rPr>
        <w:t>حُذفت الصياغة الصحفية والتوقع غير الموثق، واستُبدلت بها الإشارة للمستجدات التنظيمية المقارنة عموماً.</w:t>
      </w:r>
    </w:p>
  </w:comment>
  <w:comment w:id="266" w:author="Dr. Ibrahim" w:date="2026-06-30T22:12:00Z" w:initials="DI">
    <w:p w14:paraId="67AADB30" w14:textId="7B3396B0" w:rsidR="006A5DF6" w:rsidRDefault="006A5DF6">
      <w:pPr>
        <w:pStyle w:val="af1"/>
      </w:pPr>
      <w:r>
        <w:rPr>
          <w:rStyle w:val="af0"/>
        </w:rPr>
        <w:annotationRef/>
      </w:r>
      <w:r>
        <w:rPr>
          <w:rFonts w:hint="cs"/>
          <w:rtl/>
        </w:rPr>
        <w:t>التقسيم ثم لا بد من دمج هذه المعلومات في الفقرات</w:t>
      </w:r>
    </w:p>
  </w:comment>
  <w:comment w:id="267" w:author="الباحث: حسان جمبي" w:date="2026-07-18T21:00:00Z" w:initials="حج">
    <w:p w14:paraId="795E1426" w14:textId="77777777" w:rsidR="00F06D4D" w:rsidRDefault="00000000">
      <w:pPr>
        <w:pStyle w:val="af1"/>
        <w:rPr>
          <w:rtl/>
        </w:rPr>
      </w:pPr>
      <w:r>
        <w:rPr>
          <w:rStyle w:val="af0"/>
        </w:rPr>
        <w:annotationRef/>
      </w:r>
      <w:r>
        <w:rPr>
          <w:rFonts w:hint="cs"/>
          <w:rtl/>
        </w:rPr>
        <w:t>تم؛ حُذف مسمى «الجداول» ودُمجت المعلومات في فقرات مرقمة.</w:t>
      </w:r>
    </w:p>
  </w:comment>
  <w:comment w:id="268" w:author="Dr. Ibrahim" w:date="2026-07-03T19:12:00Z" w:initials="DI">
    <w:p w14:paraId="2A146AD5" w14:textId="2579FDDA" w:rsidR="006A5DF6" w:rsidRDefault="006A5DF6">
      <w:pPr>
        <w:pStyle w:val="af1"/>
      </w:pPr>
      <w:r>
        <w:rPr>
          <w:rStyle w:val="af0"/>
        </w:rPr>
        <w:annotationRef/>
      </w:r>
      <w:r>
        <w:rPr>
          <w:rFonts w:hint="cs"/>
          <w:rtl/>
        </w:rPr>
        <w:t>هل هذه لغة قانونية</w:t>
      </w:r>
    </w:p>
  </w:comment>
  <w:comment w:id="269" w:author="الباحث: حسان جمبي" w:date="2026-07-18T21:00:00Z" w:initials="حج">
    <w:p w14:paraId="31139851" w14:textId="77777777" w:rsidR="00F06D4D" w:rsidRDefault="00000000">
      <w:pPr>
        <w:pStyle w:val="af1"/>
        <w:rPr>
          <w:rtl/>
        </w:rPr>
      </w:pPr>
      <w:r>
        <w:rPr>
          <w:rStyle w:val="af0"/>
        </w:rPr>
        <w:annotationRef/>
      </w:r>
      <w:r>
        <w:rPr>
          <w:rFonts w:hint="cs"/>
          <w:rtl/>
        </w:rPr>
        <w:t>تم؛ «اختباراً تطبيقياً» بدل العبارة الأولى، وصُححت الأخطاء اللغوية في الموضع.</w:t>
      </w:r>
    </w:p>
  </w:comment>
  <w:comment w:id="270" w:author="Dr. Ibrahim" w:date="2026-07-03T19:13:00Z" w:initials="DI">
    <w:p w14:paraId="540C5B9A" w14:textId="41AF6654" w:rsidR="006A5DF6" w:rsidRDefault="006A5DF6">
      <w:pPr>
        <w:pStyle w:val="af1"/>
      </w:pPr>
      <w:r>
        <w:rPr>
          <w:rStyle w:val="af0"/>
        </w:rPr>
        <w:annotationRef/>
      </w:r>
      <w:r>
        <w:rPr>
          <w:rFonts w:hint="cs"/>
          <w:rtl/>
        </w:rPr>
        <w:t>صياغة ذكاء اصطناعي واضحة</w:t>
      </w:r>
    </w:p>
  </w:comment>
  <w:comment w:id="271" w:author="الباحث: حسان جمبي" w:date="2026-07-18T21:00:00Z" w:initials="حج">
    <w:p w14:paraId="77D95B3F" w14:textId="77777777" w:rsidR="00F06D4D" w:rsidRDefault="00000000">
      <w:pPr>
        <w:pStyle w:val="af1"/>
        <w:rPr>
          <w:rtl/>
        </w:rPr>
      </w:pPr>
      <w:r>
        <w:rPr>
          <w:rStyle w:val="af0"/>
        </w:rPr>
        <w:annotationRef/>
      </w:r>
      <w:r>
        <w:rPr>
          <w:rFonts w:hint="cs"/>
          <w:rtl/>
        </w:rPr>
        <w:t>أُعيدت صياغة الخلاصة النقدية بأسلوب الباحث مع الإبقاء على منهج الاختبار بالمواد لكل نظام.</w:t>
      </w:r>
    </w:p>
  </w:comment>
  <w:comment w:id="272" w:author="Dr. Ibrahim" w:date="2026-06-30T22:14:00Z" w:initials="DI">
    <w:p w14:paraId="1A3A7200" w14:textId="4F342A37" w:rsidR="006A5DF6" w:rsidRDefault="006A5DF6">
      <w:pPr>
        <w:pStyle w:val="af1"/>
      </w:pPr>
      <w:r>
        <w:rPr>
          <w:rStyle w:val="af0"/>
        </w:rPr>
        <w:annotationRef/>
      </w:r>
    </w:p>
  </w:comment>
  <w:comment w:id="273" w:author="الباحث: حسان جمبي" w:date="2026-07-18T21:00:00Z" w:initials="حج">
    <w:p w14:paraId="1E9FC342" w14:textId="77777777" w:rsidR="00F06D4D" w:rsidRDefault="00000000">
      <w:pPr>
        <w:pStyle w:val="af1"/>
        <w:rPr>
          <w:rtl/>
        </w:rPr>
      </w:pPr>
      <w:r>
        <w:rPr>
          <w:rStyle w:val="af0"/>
        </w:rPr>
        <w:annotationRef/>
      </w:r>
      <w:r>
        <w:rPr>
          <w:rFonts w:hint="cs"/>
          <w:rtl/>
        </w:rPr>
        <w:t>صُحح اللفظ إلى «الشاملة».</w:t>
      </w:r>
    </w:p>
  </w:comment>
  <w:comment w:id="274" w:author="Dr. Ibrahim" w:date="2026-07-02T09:23:00Z" w:initials="DI">
    <w:p w14:paraId="0048D705" w14:textId="79E83990" w:rsidR="006A5DF6" w:rsidRDefault="006A5DF6">
      <w:pPr>
        <w:pStyle w:val="af1"/>
        <w:rPr>
          <w:rtl/>
          <w:lang w:bidi="ar-SY"/>
        </w:rPr>
      </w:pPr>
      <w:r>
        <w:rPr>
          <w:rStyle w:val="af0"/>
        </w:rPr>
        <w:annotationRef/>
      </w:r>
      <w:r>
        <w:rPr>
          <w:rFonts w:hint="cs"/>
          <w:rtl/>
          <w:lang w:bidi="ar-SY"/>
        </w:rPr>
        <w:t>لا داع لكتابة المراجع في نهاية كل فصل لأننا نضعها اسفل الصفحة  كما انها جميعا مراجع سابقة</w:t>
      </w:r>
    </w:p>
  </w:comment>
  <w:comment w:id="275" w:author="الباحث: حسان جمبي" w:date="2026-07-18T21:00:00Z" w:initials="حج">
    <w:p w14:paraId="3357B63D" w14:textId="77777777" w:rsidR="00F06D4D" w:rsidRDefault="00000000">
      <w:pPr>
        <w:pStyle w:val="af1"/>
        <w:rPr>
          <w:rtl/>
        </w:rPr>
      </w:pPr>
      <w:r>
        <w:rPr>
          <w:rStyle w:val="af0"/>
        </w:rPr>
        <w:annotationRef/>
      </w:r>
      <w:r>
        <w:rPr>
          <w:rFonts w:hint="cs"/>
          <w:rtl/>
        </w:rPr>
        <w:t>تم؛ حُذفت قائمة المراجع من نهاية الفصل اكتفاءً بالتوثيق أسفل الصفحات، وتُدرج قائمة موحدة في نهاية الرسالة.</w:t>
      </w:r>
    </w:p>
  </w:comment>
  <w:comment w:id="276" w:author="Dr. Ibrahim" w:date="2026-06-30T22:16:00Z" w:initials="DI">
    <w:p w14:paraId="1F444D02" w14:textId="1A4B1514" w:rsidR="006A5DF6" w:rsidRDefault="006A5DF6">
      <w:pPr>
        <w:pStyle w:val="af1"/>
      </w:pPr>
      <w:r>
        <w:rPr>
          <w:rStyle w:val="af0"/>
        </w:rPr>
        <w:annotationRef/>
      </w:r>
    </w:p>
  </w:comment>
  <w:comment w:id="277" w:author="الباحث: حسان جمبي" w:date="2026-07-18T21:00:00Z" w:initials="حج">
    <w:p w14:paraId="56EE11ED" w14:textId="77777777" w:rsidR="00F06D4D" w:rsidRDefault="00000000">
      <w:pPr>
        <w:pStyle w:val="af1"/>
        <w:rPr>
          <w:rtl/>
        </w:rPr>
      </w:pPr>
      <w:r>
        <w:rPr>
          <w:rStyle w:val="af0"/>
        </w:rPr>
        <w:annotationRef/>
      </w:r>
      <w:r>
        <w:rPr>
          <w:rFonts w:hint="cs"/>
          <w:rtl/>
        </w:rPr>
        <w:t>عولج بحذف القائمة وتوحيد التوثيق.</w:t>
      </w:r>
    </w:p>
  </w:comment>
  <w:comment w:id="278" w:author="Dr. Ibrahim" w:date="2026-06-30T22:16:00Z" w:initials="DI">
    <w:p w14:paraId="4D746174" w14:textId="0406A36C" w:rsidR="006A5DF6" w:rsidRDefault="006A5DF6">
      <w:pPr>
        <w:pStyle w:val="af1"/>
      </w:pPr>
      <w:r>
        <w:rPr>
          <w:rStyle w:val="af0"/>
        </w:rPr>
        <w:annotationRef/>
      </w:r>
      <w:r>
        <w:rPr>
          <w:rFonts w:hint="cs"/>
          <w:rtl/>
        </w:rPr>
        <w:t>غير منضبطة</w:t>
      </w:r>
    </w:p>
  </w:comment>
  <w:comment w:id="279" w:author="الباحث: حسان جمبي" w:date="2026-07-18T21:00:00Z" w:initials="حج">
    <w:p w14:paraId="3A8BED1A" w14:textId="77777777" w:rsidR="00F06D4D" w:rsidRDefault="00000000">
      <w:pPr>
        <w:pStyle w:val="af1"/>
        <w:rPr>
          <w:rtl/>
        </w:rPr>
      </w:pPr>
      <w:r>
        <w:rPr>
          <w:rStyle w:val="af0"/>
        </w:rPr>
        <w:annotationRef/>
      </w:r>
      <w:r>
        <w:rPr>
          <w:rFonts w:hint="cs"/>
          <w:rtl/>
        </w:rPr>
        <w:t>عولج بحذف القائمة وتوحيد التوثيق.</w:t>
      </w:r>
    </w:p>
  </w:comment>
  <w:comment w:id="280" w:author="Dr. Ibrahim" w:date="2026-06-30T22:16:00Z" w:initials="DI">
    <w:p w14:paraId="0DB81358" w14:textId="69CAD7C8" w:rsidR="006A5DF6" w:rsidRDefault="006A5DF6">
      <w:pPr>
        <w:pStyle w:val="af1"/>
      </w:pPr>
      <w:r>
        <w:rPr>
          <w:rStyle w:val="af0"/>
        </w:rPr>
        <w:annotationRef/>
      </w:r>
    </w:p>
  </w:comment>
  <w:comment w:id="281" w:author="الباحث: حسان جمبي" w:date="2026-07-18T21:00:00Z" w:initials="حج">
    <w:p w14:paraId="544F87E5" w14:textId="77777777" w:rsidR="00F06D4D" w:rsidRDefault="00000000">
      <w:pPr>
        <w:pStyle w:val="af1"/>
        <w:rPr>
          <w:rtl/>
        </w:rPr>
      </w:pPr>
      <w:r>
        <w:rPr>
          <w:rStyle w:val="af0"/>
        </w:rPr>
        <w:annotationRef/>
      </w:r>
      <w:r>
        <w:rPr>
          <w:rFonts w:hint="cs"/>
          <w:rtl/>
        </w:rPr>
        <w:t>عولج بحذف القائمة.</w:t>
      </w:r>
    </w:p>
  </w:comment>
  <w:comment w:id="282" w:author="Dr. Ibrahim" w:date="2026-06-30T22:18:00Z" w:initials="DI">
    <w:p w14:paraId="545203EB" w14:textId="696D3372" w:rsidR="006A5DF6" w:rsidRDefault="006A5DF6">
      <w:pPr>
        <w:pStyle w:val="af1"/>
      </w:pPr>
      <w:r>
        <w:rPr>
          <w:rStyle w:val="af0"/>
        </w:rPr>
        <w:annotationRef/>
      </w:r>
    </w:p>
  </w:comment>
  <w:comment w:id="283" w:author="الباحث: حسان جمبي" w:date="2026-07-18T21:00:00Z" w:initials="حج">
    <w:p w14:paraId="18E2F9EE" w14:textId="77777777" w:rsidR="00F06D4D" w:rsidRDefault="00000000">
      <w:pPr>
        <w:pStyle w:val="af1"/>
        <w:rPr>
          <w:rtl/>
        </w:rPr>
      </w:pPr>
      <w:r>
        <w:rPr>
          <w:rStyle w:val="af0"/>
        </w:rPr>
        <w:annotationRef/>
      </w:r>
      <w:r>
        <w:rPr>
          <w:rFonts w:hint="cs"/>
          <w:rtl/>
        </w:rPr>
        <w:t>عولج بحذف القائمة.</w:t>
      </w:r>
    </w:p>
  </w:comment>
  <w:comment w:id="284" w:author="Dr. Ibrahim" w:date="2026-06-30T22:20:00Z" w:initials="DI">
    <w:p w14:paraId="47F23312" w14:textId="6B7C764C" w:rsidR="006A5DF6" w:rsidRDefault="006A5DF6">
      <w:pPr>
        <w:pStyle w:val="af1"/>
      </w:pPr>
      <w:r>
        <w:rPr>
          <w:rStyle w:val="af0"/>
        </w:rPr>
        <w:annotationRef/>
      </w:r>
      <w:r>
        <w:rPr>
          <w:rFonts w:hint="cs"/>
          <w:rtl/>
        </w:rPr>
        <w:t>التاريخ ومكان النشر الرقم التسلسلي غير مطلوب</w:t>
      </w:r>
    </w:p>
  </w:comment>
  <w:comment w:id="285" w:author="الباحث: حسان جمبي" w:date="2026-07-18T21:00:00Z" w:initials="حج">
    <w:p w14:paraId="53B58473" w14:textId="77777777" w:rsidR="00F06D4D" w:rsidRDefault="00000000">
      <w:pPr>
        <w:pStyle w:val="af1"/>
        <w:rPr>
          <w:rtl/>
        </w:rPr>
      </w:pPr>
      <w:r>
        <w:rPr>
          <w:rStyle w:val="af0"/>
        </w:rPr>
        <w:annotationRef/>
      </w:r>
      <w:r>
        <w:rPr>
          <w:rFonts w:hint="cs"/>
          <w:rtl/>
        </w:rPr>
        <w:t>تم؛ حُذفت البيانات الزائدة (الأرقام التسلسلية ونحوها) من التوثيق.</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DD2EE69" w15:done="0"/>
  <w15:commentEx w15:paraId="2F6B8BB5" w15:paraIdParent="0DD2EE69" w15:done="0"/>
  <w15:commentEx w15:paraId="363EF316" w15:done="0"/>
  <w15:commentEx w15:paraId="6F285F06" w15:paraIdParent="363EF316" w15:done="0"/>
  <w15:commentEx w15:paraId="3662A418" w15:done="0"/>
  <w15:commentEx w15:paraId="1B6272A4" w15:paraIdParent="3662A418" w15:done="0"/>
  <w15:commentEx w15:paraId="28CA4023" w15:done="0"/>
  <w15:commentEx w15:paraId="36EC1AE8" w15:paraIdParent="28CA4023" w15:done="0"/>
  <w15:commentEx w15:paraId="69CBB145" w15:done="0"/>
  <w15:commentEx w15:paraId="44148A7C" w15:paraIdParent="69CBB145" w15:done="0"/>
  <w15:commentEx w15:paraId="42EB589A" w15:done="0"/>
  <w15:commentEx w15:paraId="6E2C8A7B" w15:paraIdParent="42EB589A" w15:done="0"/>
  <w15:commentEx w15:paraId="19791051" w15:done="0"/>
  <w15:commentEx w15:paraId="2F01A763" w15:paraIdParent="19791051" w15:done="0"/>
  <w15:commentEx w15:paraId="03737AAE" w15:done="0"/>
  <w15:commentEx w15:paraId="38A3629E" w15:paraIdParent="03737AAE" w15:done="0"/>
  <w15:commentEx w15:paraId="43735B00" w15:done="0"/>
  <w15:commentEx w15:paraId="20B7EE0C" w15:paraIdParent="43735B00" w15:done="0"/>
  <w15:commentEx w15:paraId="5547E5BA" w15:done="0"/>
  <w15:commentEx w15:paraId="61732A69" w15:paraIdParent="5547E5BA" w15:done="0"/>
  <w15:commentEx w15:paraId="6175FB9B" w15:done="0"/>
  <w15:commentEx w15:paraId="4478DAF6" w15:paraIdParent="6175FB9B" w15:done="0"/>
  <w15:commentEx w15:paraId="7A2923E2" w15:done="0"/>
  <w15:commentEx w15:paraId="20776B2D" w15:paraIdParent="7A2923E2" w15:done="0"/>
  <w15:commentEx w15:paraId="0548AACA" w15:done="0"/>
  <w15:commentEx w15:paraId="44FB7D19" w15:paraIdParent="0548AACA" w15:done="0"/>
  <w15:commentEx w15:paraId="48182834" w15:done="0"/>
  <w15:commentEx w15:paraId="1B28494A" w15:paraIdParent="48182834" w15:done="0"/>
  <w15:commentEx w15:paraId="5683B419" w15:done="0"/>
  <w15:commentEx w15:paraId="61356D6C" w15:paraIdParent="5683B419" w15:done="0"/>
  <w15:commentEx w15:paraId="13704B7A" w15:done="0"/>
  <w15:commentEx w15:paraId="5C561F13" w15:paraIdParent="13704B7A" w15:done="0"/>
  <w15:commentEx w15:paraId="01BE7814" w15:done="0"/>
  <w15:commentEx w15:paraId="61B4416C" w15:paraIdParent="01BE7814" w15:done="0"/>
  <w15:commentEx w15:paraId="0D9E3EFD" w15:done="0"/>
  <w15:commentEx w15:paraId="7A41B35B" w15:paraIdParent="0D9E3EFD" w15:done="0"/>
  <w15:commentEx w15:paraId="745281B0" w15:done="0"/>
  <w15:commentEx w15:paraId="6DBB581D" w15:paraIdParent="745281B0" w15:done="0"/>
  <w15:commentEx w15:paraId="05E02402" w15:done="0"/>
  <w15:commentEx w15:paraId="330F8834" w15:paraIdParent="05E02402" w15:done="0"/>
  <w15:commentEx w15:paraId="1B5C646A" w15:done="0"/>
  <w15:commentEx w15:paraId="544D2066" w15:paraIdParent="1B5C646A" w15:done="0"/>
  <w15:commentEx w15:paraId="14EC19BE" w15:done="0"/>
  <w15:commentEx w15:paraId="64A99D49" w15:paraIdParent="14EC19BE" w15:done="0"/>
  <w15:commentEx w15:paraId="2394BA29" w15:done="0"/>
  <w15:commentEx w15:paraId="583BD268" w15:paraIdParent="2394BA29" w15:done="0"/>
  <w15:commentEx w15:paraId="7A428760" w15:done="0"/>
  <w15:commentEx w15:paraId="6030E470" w15:paraIdParent="7A428760" w15:done="0"/>
  <w15:commentEx w15:paraId="593A47BC" w15:done="0"/>
  <w15:commentEx w15:paraId="2A30325C" w15:paraIdParent="593A47BC" w15:done="0"/>
  <w15:commentEx w15:paraId="18FB5C1D" w15:done="0"/>
  <w15:commentEx w15:paraId="5BD87443" w15:paraIdParent="18FB5C1D" w15:done="0"/>
  <w15:commentEx w15:paraId="22EB283E" w15:done="0"/>
  <w15:commentEx w15:paraId="26A76293" w15:paraIdParent="22EB283E" w15:done="0"/>
  <w15:commentEx w15:paraId="0BABF7D3" w15:done="0"/>
  <w15:commentEx w15:paraId="487A4B33" w15:paraIdParent="0BABF7D3" w15:done="0"/>
  <w15:commentEx w15:paraId="1F0AAA96" w15:done="0"/>
  <w15:commentEx w15:paraId="23E652B5" w15:paraIdParent="1F0AAA96" w15:done="0"/>
  <w15:commentEx w15:paraId="77C6E233" w15:done="0"/>
  <w15:commentEx w15:paraId="3E8CFEFB" w15:paraIdParent="77C6E233" w15:done="0"/>
  <w15:commentEx w15:paraId="1141C9BE" w15:done="0"/>
  <w15:commentEx w15:paraId="7D829439" w15:paraIdParent="1141C9BE" w15:done="0"/>
  <w15:commentEx w15:paraId="7154F861" w15:done="0"/>
  <w15:commentEx w15:paraId="5A40603C" w15:paraIdParent="7154F861" w15:done="0"/>
  <w15:commentEx w15:paraId="4FE361FC" w15:done="0"/>
  <w15:commentEx w15:paraId="60CC2318" w15:paraIdParent="4FE361FC" w15:done="0"/>
  <w15:commentEx w15:paraId="3C0773DE" w15:done="0"/>
  <w15:commentEx w15:paraId="286BDEF4" w15:paraIdParent="3C0773DE" w15:done="0"/>
  <w15:commentEx w15:paraId="569F6EB8" w15:done="0"/>
  <w15:commentEx w15:paraId="309FAE26" w15:paraIdParent="569F6EB8" w15:done="0"/>
  <w15:commentEx w15:paraId="477E0B22" w15:done="0"/>
  <w15:commentEx w15:paraId="6D48A492" w15:paraIdParent="477E0B22" w15:done="0"/>
  <w15:commentEx w15:paraId="2826EF17" w15:done="0"/>
  <w15:commentEx w15:paraId="340CAF75" w15:paraIdParent="2826EF17" w15:done="0"/>
  <w15:commentEx w15:paraId="7149B2F6" w15:done="0"/>
  <w15:commentEx w15:paraId="3494D3F9" w15:paraIdParent="7149B2F6" w15:done="0"/>
  <w15:commentEx w15:paraId="0CE47753" w15:done="0"/>
  <w15:commentEx w15:paraId="1993AA38" w15:paraIdParent="0CE47753" w15:done="0"/>
  <w15:commentEx w15:paraId="69E597DC" w15:done="0"/>
  <w15:commentEx w15:paraId="1DCF63AE" w15:paraIdParent="69E597DC" w15:done="0"/>
  <w15:commentEx w15:paraId="5171DC52" w15:done="0"/>
  <w15:commentEx w15:paraId="2491CDE5" w15:paraIdParent="5171DC52" w15:done="0"/>
  <w15:commentEx w15:paraId="44BA57F7" w15:done="0"/>
  <w15:commentEx w15:paraId="42CA0E5F" w15:paraIdParent="44BA57F7" w15:done="0"/>
  <w15:commentEx w15:paraId="524CE518" w15:done="0"/>
  <w15:commentEx w15:paraId="2A59AAC6" w15:paraIdParent="524CE518" w15:done="0"/>
  <w15:commentEx w15:paraId="1EE8BD17" w15:done="0"/>
  <w15:commentEx w15:paraId="248466A0" w15:paraIdParent="1EE8BD17" w15:done="0"/>
  <w15:commentEx w15:paraId="142C011A" w15:done="0"/>
  <w15:commentEx w15:paraId="47FC4407" w15:paraIdParent="142C011A" w15:done="0"/>
  <w15:commentEx w15:paraId="1775F555" w15:done="0"/>
  <w15:commentEx w15:paraId="5C8653DD" w15:paraIdParent="1775F555" w15:done="0"/>
  <w15:commentEx w15:paraId="7CFBC4B2" w15:done="0"/>
  <w15:commentEx w15:paraId="15FF564C" w15:paraIdParent="7CFBC4B2" w15:done="0"/>
  <w15:commentEx w15:paraId="3CE5E5AE" w15:done="0"/>
  <w15:commentEx w15:paraId="2038A8DC" w15:paraIdParent="3CE5E5AE" w15:done="0"/>
  <w15:commentEx w15:paraId="0174B0E6" w15:done="0"/>
  <w15:commentEx w15:paraId="2A9ED914" w15:paraIdParent="0174B0E6" w15:done="0"/>
  <w15:commentEx w15:paraId="4922F3DA" w15:done="0"/>
  <w15:commentEx w15:paraId="411E588C" w15:paraIdParent="4922F3DA" w15:done="0"/>
  <w15:commentEx w15:paraId="4651A037" w15:done="0"/>
  <w15:commentEx w15:paraId="3047392B" w15:paraIdParent="4651A037" w15:done="0"/>
  <w15:commentEx w15:paraId="7BAB3099" w15:done="0"/>
  <w15:commentEx w15:paraId="2A4EFA51" w15:paraIdParent="7BAB3099" w15:done="0"/>
  <w15:commentEx w15:paraId="474FD8F2" w15:done="0"/>
  <w15:commentEx w15:paraId="67FE9855" w15:paraIdParent="474FD8F2" w15:done="0"/>
  <w15:commentEx w15:paraId="617DEB8A" w15:done="0"/>
  <w15:commentEx w15:paraId="77C14A35" w15:paraIdParent="617DEB8A" w15:done="0"/>
  <w15:commentEx w15:paraId="2DBB0122" w15:done="0"/>
  <w15:commentEx w15:paraId="32168D4E" w15:paraIdParent="2DBB0122" w15:done="0"/>
  <w15:commentEx w15:paraId="6892BCEE" w15:done="0"/>
  <w15:commentEx w15:paraId="25ACD4AC" w15:paraIdParent="6892BCEE" w15:done="0"/>
  <w15:commentEx w15:paraId="65EFAD82" w15:done="0"/>
  <w15:commentEx w15:paraId="62300072" w15:paraIdParent="65EFAD82" w15:done="0"/>
  <w15:commentEx w15:paraId="23EC3D7E" w15:done="0"/>
  <w15:commentEx w15:paraId="5112EDF8" w15:paraIdParent="23EC3D7E" w15:done="0"/>
  <w15:commentEx w15:paraId="1737C71E" w15:done="0"/>
  <w15:commentEx w15:paraId="20740DED" w15:paraIdParent="1737C71E" w15:done="0"/>
  <w15:commentEx w15:paraId="4F09CA04" w15:done="0"/>
  <w15:commentEx w15:paraId="1860F572" w15:paraIdParent="4F09CA04" w15:done="0"/>
  <w15:commentEx w15:paraId="6ADEC6F0" w15:done="0"/>
  <w15:commentEx w15:paraId="69CCD697" w15:paraIdParent="6ADEC6F0" w15:done="0"/>
  <w15:commentEx w15:paraId="71BA114D" w15:done="0"/>
  <w15:commentEx w15:paraId="4659C3E0" w15:paraIdParent="71BA114D" w15:done="0"/>
  <w15:commentEx w15:paraId="41C8E8F8" w15:done="0"/>
  <w15:commentEx w15:paraId="31CB01FC" w15:paraIdParent="41C8E8F8" w15:done="0"/>
  <w15:commentEx w15:paraId="40D3B4FC" w15:done="0"/>
  <w15:commentEx w15:paraId="3A842226" w15:paraIdParent="40D3B4FC" w15:done="0"/>
  <w15:commentEx w15:paraId="411BDD0B" w15:done="0"/>
  <w15:commentEx w15:paraId="69450363" w15:paraIdParent="411BDD0B" w15:done="0"/>
  <w15:commentEx w15:paraId="7C763551" w15:done="0"/>
  <w15:commentEx w15:paraId="17DF584B" w15:paraIdParent="7C763551" w15:done="0"/>
  <w15:commentEx w15:paraId="327B3ABA" w15:done="0"/>
  <w15:commentEx w15:paraId="4A0D2EB5" w15:paraIdParent="327B3ABA" w15:done="0"/>
  <w15:commentEx w15:paraId="34B7C0B0" w15:done="0"/>
  <w15:commentEx w15:paraId="4D06DDD9" w15:paraIdParent="34B7C0B0" w15:done="0"/>
  <w15:commentEx w15:paraId="00ED515A" w15:done="0"/>
  <w15:commentEx w15:paraId="62ADF263" w15:paraIdParent="00ED515A" w15:done="0"/>
  <w15:commentEx w15:paraId="40D1698E" w15:done="0"/>
  <w15:commentEx w15:paraId="29A15166" w15:paraIdParent="40D1698E" w15:done="0"/>
  <w15:commentEx w15:paraId="6EE3B70A" w15:done="0"/>
  <w15:commentEx w15:paraId="7B72E5FE" w15:paraIdParent="6EE3B70A" w15:done="0"/>
  <w15:commentEx w15:paraId="389DE75C" w15:done="0"/>
  <w15:commentEx w15:paraId="7A228F09" w15:paraIdParent="389DE75C" w15:done="0"/>
  <w15:commentEx w15:paraId="449BBEA1" w15:done="0"/>
  <w15:commentEx w15:paraId="3643E9F6" w15:paraIdParent="449BBEA1" w15:done="0"/>
  <w15:commentEx w15:paraId="107A44F5" w15:done="0"/>
  <w15:commentEx w15:paraId="70D9DF46" w15:paraIdParent="107A44F5" w15:done="0"/>
  <w15:commentEx w15:paraId="1D78B330" w15:done="0"/>
  <w15:commentEx w15:paraId="1A378A06" w15:paraIdParent="1D78B330" w15:done="0"/>
  <w15:commentEx w15:paraId="43CD0AA7" w15:done="0"/>
  <w15:commentEx w15:paraId="507D7CB3" w15:paraIdParent="43CD0AA7" w15:done="0"/>
  <w15:commentEx w15:paraId="7D1ED06F" w15:paraIdParent="43CD0AA7" w15:done="0"/>
  <w15:commentEx w15:paraId="2CF5D1B6" w15:paraIdParent="43CD0AA7" w15:done="0"/>
  <w15:commentEx w15:paraId="3D694E3A" w15:done="0"/>
  <w15:commentEx w15:paraId="520A7CC8" w15:paraIdParent="3D694E3A" w15:done="0"/>
  <w15:commentEx w15:paraId="68A87CAD" w15:done="0"/>
  <w15:commentEx w15:paraId="46C54EA0" w15:paraIdParent="68A87CAD" w15:done="0"/>
  <w15:commentEx w15:paraId="4F9CFE62" w15:done="0"/>
  <w15:commentEx w15:paraId="2DEA7BF6" w15:paraIdParent="4F9CFE62" w15:done="0"/>
  <w15:commentEx w15:paraId="2044A3D8" w15:done="0"/>
  <w15:commentEx w15:paraId="58C98713" w15:paraIdParent="2044A3D8" w15:done="0"/>
  <w15:commentEx w15:paraId="4F4A5042" w15:done="0"/>
  <w15:commentEx w15:paraId="4794E4CF" w15:paraIdParent="4F4A5042" w15:done="0"/>
  <w15:commentEx w15:paraId="4A5CBD11" w15:done="0"/>
  <w15:commentEx w15:paraId="1A21657E" w15:paraIdParent="4A5CBD11" w15:done="0"/>
  <w15:commentEx w15:paraId="055A97BF" w15:done="0"/>
  <w15:commentEx w15:paraId="7651165E" w15:paraIdParent="055A97BF" w15:done="0"/>
  <w15:commentEx w15:paraId="441D8B06" w15:done="0"/>
  <w15:commentEx w15:paraId="5FF3DDD5" w15:paraIdParent="441D8B06" w15:done="0"/>
  <w15:commentEx w15:paraId="7B433EA1" w15:done="0"/>
  <w15:commentEx w15:paraId="5D942C79" w15:paraIdParent="7B433EA1" w15:done="0"/>
  <w15:commentEx w15:paraId="2801511E" w15:done="0"/>
  <w15:commentEx w15:paraId="20F9EAFC" w15:paraIdParent="2801511E" w15:done="0"/>
  <w15:commentEx w15:paraId="6FA7B71B" w15:done="0"/>
  <w15:commentEx w15:paraId="2121605E" w15:paraIdParent="6FA7B71B" w15:done="0"/>
  <w15:commentEx w15:paraId="750F7E94" w15:done="0"/>
  <w15:commentEx w15:paraId="2A0C4580" w15:paraIdParent="750F7E94" w15:done="0"/>
  <w15:commentEx w15:paraId="269FF4A3" w15:done="0"/>
  <w15:commentEx w15:paraId="7819B71C" w15:paraIdParent="269FF4A3" w15:done="0"/>
  <w15:commentEx w15:paraId="683764CB" w15:done="0"/>
  <w15:commentEx w15:paraId="557B0DF7" w15:paraIdParent="683764CB" w15:done="0"/>
  <w15:commentEx w15:paraId="4BECEB83" w15:paraIdParent="683764CB" w15:done="0"/>
  <w15:commentEx w15:paraId="250E4659" w15:paraIdParent="683764CB" w15:done="0"/>
  <w15:commentEx w15:paraId="0473C3C0" w15:done="0"/>
  <w15:commentEx w15:paraId="5EE89CA1" w15:paraIdParent="0473C3C0" w15:done="0"/>
  <w15:commentEx w15:paraId="10CBFEB5" w15:done="0"/>
  <w15:commentEx w15:paraId="73D2511A" w15:paraIdParent="10CBFEB5" w15:done="0"/>
  <w15:commentEx w15:paraId="1B119839" w15:done="0"/>
  <w15:commentEx w15:paraId="61F88B68" w15:paraIdParent="1B119839" w15:done="0"/>
  <w15:commentEx w15:paraId="7F4AEB47" w15:done="0"/>
  <w15:commentEx w15:paraId="5E7F4483" w15:paraIdParent="7F4AEB47" w15:done="0"/>
  <w15:commentEx w15:paraId="7508CF74" w15:done="0"/>
  <w15:commentEx w15:paraId="609E6E85" w15:paraIdParent="7508CF74" w15:done="0"/>
  <w15:commentEx w15:paraId="29274AF7" w15:done="0"/>
  <w15:commentEx w15:paraId="1E3F6731" w15:paraIdParent="29274AF7" w15:done="0"/>
  <w15:commentEx w15:paraId="603D0960" w15:done="0"/>
  <w15:commentEx w15:paraId="7FFFB8FA" w15:paraIdParent="603D0960" w15:done="0"/>
  <w15:commentEx w15:paraId="5934F0BB" w15:done="0"/>
  <w15:commentEx w15:paraId="75B91880" w15:paraIdParent="5934F0BB" w15:done="0"/>
  <w15:commentEx w15:paraId="1ED728BD" w15:done="0"/>
  <w15:commentEx w15:paraId="29155ADE" w15:paraIdParent="1ED728BD" w15:done="0"/>
  <w15:commentEx w15:paraId="4ED31DC8" w15:done="0"/>
  <w15:commentEx w15:paraId="68470796" w15:paraIdParent="4ED31DC8" w15:done="0"/>
  <w15:commentEx w15:paraId="036882BA" w15:paraIdParent="4ED31DC8" w15:done="0"/>
  <w15:commentEx w15:paraId="65E0FF20" w15:paraIdParent="4ED31DC8" w15:done="0"/>
  <w15:commentEx w15:paraId="0C300FD3" w15:done="0"/>
  <w15:commentEx w15:paraId="63597F24" w15:paraIdParent="0C300FD3" w15:done="0"/>
  <w15:commentEx w15:paraId="7876BE75" w15:done="0"/>
  <w15:commentEx w15:paraId="35E1822D" w15:paraIdParent="7876BE75" w15:done="0"/>
  <w15:commentEx w15:paraId="74B4D4BA" w15:done="0"/>
  <w15:commentEx w15:paraId="73F14BD4" w15:paraIdParent="74B4D4BA" w15:done="0"/>
  <w15:commentEx w15:paraId="21BFCAF0" w15:done="0"/>
  <w15:commentEx w15:paraId="2A28D687" w15:paraIdParent="21BFCAF0" w15:done="0"/>
  <w15:commentEx w15:paraId="050329BD" w15:done="0"/>
  <w15:commentEx w15:paraId="3D48C30F" w15:paraIdParent="050329BD" w15:done="0"/>
  <w15:commentEx w15:paraId="1A95A612" w15:done="0"/>
  <w15:commentEx w15:paraId="70280B03" w15:paraIdParent="1A95A612" w15:done="0"/>
  <w15:commentEx w15:paraId="07AC72C7" w15:done="0"/>
  <w15:commentEx w15:paraId="437807FF" w15:paraIdParent="07AC72C7" w15:done="0"/>
  <w15:commentEx w15:paraId="5C844EB3" w15:done="0"/>
  <w15:commentEx w15:paraId="2CC2BE12" w15:paraIdParent="5C844EB3" w15:done="0"/>
  <w15:commentEx w15:paraId="008FEFAF" w15:done="0"/>
  <w15:commentEx w15:paraId="1BAF170F" w15:paraIdParent="008FEFAF" w15:done="0"/>
  <w15:commentEx w15:paraId="15BAF0FB" w15:done="0"/>
  <w15:commentEx w15:paraId="718C030B" w15:paraIdParent="15BAF0FB" w15:done="0"/>
  <w15:commentEx w15:paraId="6A1FF793" w15:done="0"/>
  <w15:commentEx w15:paraId="470A1D6F" w15:paraIdParent="6A1FF793" w15:done="0"/>
  <w15:commentEx w15:paraId="04636FEE" w15:done="0"/>
  <w15:commentEx w15:paraId="71C173ED" w15:paraIdParent="04636FEE" w15:done="0"/>
  <w15:commentEx w15:paraId="126AEEB1" w15:done="0"/>
  <w15:commentEx w15:paraId="675120B2" w15:paraIdParent="126AEEB1" w15:done="0"/>
  <w15:commentEx w15:paraId="66CC21B9" w15:done="0"/>
  <w15:commentEx w15:paraId="3CDCD9B9" w15:paraIdParent="66CC21B9" w15:done="0"/>
  <w15:commentEx w15:paraId="1081E233" w15:done="0"/>
  <w15:commentEx w15:paraId="23A76690" w15:paraIdParent="1081E233" w15:done="0"/>
  <w15:commentEx w15:paraId="6E7DB0BF" w15:done="0"/>
  <w15:commentEx w15:paraId="438062D5" w15:paraIdParent="6E7DB0BF" w15:done="0"/>
  <w15:commentEx w15:paraId="4D9B7090" w15:done="0"/>
  <w15:commentEx w15:paraId="66B52B60" w15:paraIdParent="4D9B7090" w15:done="0"/>
  <w15:commentEx w15:paraId="4837A887" w15:done="0"/>
  <w15:commentEx w15:paraId="2205DDBD" w15:paraIdParent="4837A887" w15:done="0"/>
  <w15:commentEx w15:paraId="2F6ACB4D" w15:done="0"/>
  <w15:commentEx w15:paraId="23756069" w15:paraIdParent="2F6ACB4D" w15:done="0"/>
  <w15:commentEx w15:paraId="11D43A5F" w15:done="0"/>
  <w15:commentEx w15:paraId="1480DC2C" w15:paraIdParent="11D43A5F" w15:done="0"/>
  <w15:commentEx w15:paraId="6DC657B2" w15:done="0"/>
  <w15:commentEx w15:paraId="687D725A" w15:paraIdParent="6DC657B2" w15:done="0"/>
  <w15:commentEx w15:paraId="6E1CC78C" w15:done="0"/>
  <w15:commentEx w15:paraId="477C927F" w15:paraIdParent="6E1CC78C" w15:done="0"/>
  <w15:commentEx w15:paraId="2B066D1D" w15:done="0"/>
  <w15:commentEx w15:paraId="70C5674A" w15:paraIdParent="2B066D1D" w15:done="0"/>
  <w15:commentEx w15:paraId="598FB157" w15:done="0"/>
  <w15:commentEx w15:paraId="60B71DF5" w15:paraIdParent="598FB157" w15:done="0"/>
  <w15:commentEx w15:paraId="1122470C" w15:done="0"/>
  <w15:commentEx w15:paraId="26062D34" w15:paraIdParent="1122470C" w15:done="0"/>
  <w15:commentEx w15:paraId="7415B863" w15:done="0"/>
  <w15:commentEx w15:paraId="335F4170" w15:paraIdParent="7415B863" w15:done="0"/>
  <w15:commentEx w15:paraId="798F6100" w15:done="0"/>
  <w15:commentEx w15:paraId="3F620D41" w15:paraIdParent="798F6100" w15:done="0"/>
  <w15:commentEx w15:paraId="07BFBBC2" w15:done="0"/>
  <w15:commentEx w15:paraId="12EE527A" w15:paraIdParent="07BFBBC2" w15:done="0"/>
  <w15:commentEx w15:paraId="31DB7084" w15:done="0"/>
  <w15:commentEx w15:paraId="1FAF50DB" w15:paraIdParent="31DB7084" w15:done="0"/>
  <w15:commentEx w15:paraId="39EB6F2F" w15:done="0"/>
  <w15:commentEx w15:paraId="55BE5C4E" w15:paraIdParent="39EB6F2F" w15:done="0"/>
  <w15:commentEx w15:paraId="67AADB30" w15:done="0"/>
  <w15:commentEx w15:paraId="795E1426" w15:paraIdParent="67AADB30" w15:done="0"/>
  <w15:commentEx w15:paraId="2A146AD5" w15:done="0"/>
  <w15:commentEx w15:paraId="31139851" w15:paraIdParent="2A146AD5" w15:done="0"/>
  <w15:commentEx w15:paraId="540C5B9A" w15:done="0"/>
  <w15:commentEx w15:paraId="77D95B3F" w15:paraIdParent="540C5B9A" w15:done="0"/>
  <w15:commentEx w15:paraId="1A3A7200" w15:done="0"/>
  <w15:commentEx w15:paraId="1E9FC342" w15:paraIdParent="1A3A7200" w15:done="0"/>
  <w15:commentEx w15:paraId="0048D705" w15:done="0"/>
  <w15:commentEx w15:paraId="3357B63D" w15:paraIdParent="0048D705" w15:done="0"/>
  <w15:commentEx w15:paraId="1F444D02" w15:done="0"/>
  <w15:commentEx w15:paraId="56EE11ED" w15:paraIdParent="1F444D02" w15:done="0"/>
  <w15:commentEx w15:paraId="4D746174" w15:done="0"/>
  <w15:commentEx w15:paraId="3A8BED1A" w15:paraIdParent="4D746174" w15:done="0"/>
  <w15:commentEx w15:paraId="0DB81358" w15:done="0"/>
  <w15:commentEx w15:paraId="544F87E5" w15:paraIdParent="0DB81358" w15:done="0"/>
  <w15:commentEx w15:paraId="545203EB" w15:done="0"/>
  <w15:commentEx w15:paraId="18E2F9EE" w15:paraIdParent="545203EB" w15:done="0"/>
  <w15:commentEx w15:paraId="47F23312" w15:done="0"/>
  <w15:commentEx w15:paraId="53B58473" w15:paraIdParent="47F2331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6E35574" w16cex:dateUtc="2026-06-29T20:22:00Z"/>
  <w16cex:commentExtensible w16cex:durableId="07C0108E" w16cex:dateUtc="2026-06-29T20:24:00Z"/>
  <w16cex:commentExtensible w16cex:durableId="1DF39578" w16cex:dateUtc="2026-06-29T20:29:00Z"/>
  <w16cex:commentExtensible w16cex:durableId="3C35949A" w16cex:dateUtc="2026-06-29T20:32:00Z"/>
  <w16cex:commentExtensible w16cex:durableId="652E3279" w16cex:dateUtc="2026-06-29T20:34:00Z"/>
  <w16cex:commentExtensible w16cex:durableId="28C09C38" w16cex:dateUtc="2026-06-29T20:36:00Z"/>
  <w16cex:commentExtensible w16cex:durableId="3710723F" w16cex:dateUtc="2026-06-29T20:37:00Z"/>
  <w16cex:commentExtensible w16cex:durableId="05D821AE" w16cex:dateUtc="2026-06-29T20:48:00Z"/>
  <w16cex:commentExtensible w16cex:durableId="08D24E07" w16cex:dateUtc="2026-06-29T20:48:00Z"/>
  <w16cex:commentExtensible w16cex:durableId="03C2B046" w16cex:dateUtc="2026-06-29T20:49:00Z"/>
  <w16cex:commentExtensible w16cex:durableId="38D57904" w16cex:dateUtc="2026-06-29T20:50:00Z"/>
  <w16cex:commentExtensible w16cex:durableId="3DF11A3C" w16cex:dateUtc="2026-06-29T20:50:00Z"/>
  <w16cex:commentExtensible w16cex:durableId="77E3075F" w16cex:dateUtc="2026-06-29T20:50:00Z"/>
  <w16cex:commentExtensible w16cex:durableId="76F04251" w16cex:dateUtc="2026-06-29T20:52:00Z"/>
  <w16cex:commentExtensible w16cex:durableId="4AB172C7" w16cex:dateUtc="2026-06-29T20:52:00Z"/>
  <w16cex:commentExtensible w16cex:durableId="3787CBFD" w16cex:dateUtc="2026-06-29T20:56:00Z"/>
  <w16cex:commentExtensible w16cex:durableId="0817BEF5" w16cex:dateUtc="2026-06-29T20:56:00Z"/>
  <w16cex:commentExtensible w16cex:durableId="1D696185" w16cex:dateUtc="2026-06-29T20:57:00Z"/>
  <w16cex:commentExtensible w16cex:durableId="52750355" w16cex:dateUtc="2026-06-29T20:58:00Z"/>
  <w16cex:commentExtensible w16cex:durableId="7AD1EEC0" w16cex:dateUtc="2026-06-29T20:59:00Z"/>
  <w16cex:commentExtensible w16cex:durableId="3B7A86D9" w16cex:dateUtc="2026-06-29T21:00:00Z"/>
  <w16cex:commentExtensible w16cex:durableId="2798C081" w16cex:dateUtc="2026-06-29T21:02:00Z"/>
  <w16cex:commentExtensible w16cex:durableId="039CE898" w16cex:dateUtc="2026-06-29T21: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DD2EE69" w16cid:durableId="0DD2EE69"/>
  <w16cid:commentId w16cid:paraId="2F6B8BB5" w16cid:durableId="7509D5CA"/>
  <w16cid:commentId w16cid:paraId="363EF316" w16cid:durableId="363EF316"/>
  <w16cid:commentId w16cid:paraId="6F285F06" w16cid:durableId="6013354F"/>
  <w16cid:commentId w16cid:paraId="3662A418" w16cid:durableId="3662A418"/>
  <w16cid:commentId w16cid:paraId="1B6272A4" w16cid:durableId="5B43F7E9"/>
  <w16cid:commentId w16cid:paraId="28CA4023" w16cid:durableId="28CA4023"/>
  <w16cid:commentId w16cid:paraId="36EC1AE8" w16cid:durableId="431514F5"/>
  <w16cid:commentId w16cid:paraId="69CBB145" w16cid:durableId="69CBB145"/>
  <w16cid:commentId w16cid:paraId="44148A7C" w16cid:durableId="4D15FB47"/>
  <w16cid:commentId w16cid:paraId="42EB589A" w16cid:durableId="42EB589A"/>
  <w16cid:commentId w16cid:paraId="6E2C8A7B" w16cid:durableId="2E55C38A"/>
  <w16cid:commentId w16cid:paraId="19791051" w16cid:durableId="06E35574"/>
  <w16cid:commentId w16cid:paraId="2F01A763" w16cid:durableId="76D7A71C"/>
  <w16cid:commentId w16cid:paraId="03737AAE" w16cid:durableId="07C0108E"/>
  <w16cid:commentId w16cid:paraId="38A3629E" w16cid:durableId="3A3D60C7"/>
  <w16cid:commentId w16cid:paraId="43735B00" w16cid:durableId="43735B00"/>
  <w16cid:commentId w16cid:paraId="20B7EE0C" w16cid:durableId="7F2C56EF"/>
  <w16cid:commentId w16cid:paraId="5547E5BA" w16cid:durableId="1DF39578"/>
  <w16cid:commentId w16cid:paraId="61732A69" w16cid:durableId="490A1E7B"/>
  <w16cid:commentId w16cid:paraId="6175FB9B" w16cid:durableId="3C35949A"/>
  <w16cid:commentId w16cid:paraId="4478DAF6" w16cid:durableId="21271299"/>
  <w16cid:commentId w16cid:paraId="7A2923E2" w16cid:durableId="652E3279"/>
  <w16cid:commentId w16cid:paraId="20776B2D" w16cid:durableId="4742E766"/>
  <w16cid:commentId w16cid:paraId="0548AACA" w16cid:durableId="28C09C38"/>
  <w16cid:commentId w16cid:paraId="44FB7D19" w16cid:durableId="2E53CFB5"/>
  <w16cid:commentId w16cid:paraId="48182834" w16cid:durableId="3710723F"/>
  <w16cid:commentId w16cid:paraId="1B28494A" w16cid:durableId="7E6ECCFB"/>
  <w16cid:commentId w16cid:paraId="5683B419" w16cid:durableId="5683B419"/>
  <w16cid:commentId w16cid:paraId="61356D6C" w16cid:durableId="4AC12255"/>
  <w16cid:commentId w16cid:paraId="13704B7A" w16cid:durableId="13704B7A"/>
  <w16cid:commentId w16cid:paraId="5C561F13" w16cid:durableId="4FF85E12"/>
  <w16cid:commentId w16cid:paraId="01BE7814" w16cid:durableId="05D821AE"/>
  <w16cid:commentId w16cid:paraId="61B4416C" w16cid:durableId="6672461D"/>
  <w16cid:commentId w16cid:paraId="0D9E3EFD" w16cid:durableId="0D9E3EFD"/>
  <w16cid:commentId w16cid:paraId="7A41B35B" w16cid:durableId="47A93ED3"/>
  <w16cid:commentId w16cid:paraId="745281B0" w16cid:durableId="08D24E07"/>
  <w16cid:commentId w16cid:paraId="6DBB581D" w16cid:durableId="55AFEBAA"/>
  <w16cid:commentId w16cid:paraId="05E02402" w16cid:durableId="03C2B046"/>
  <w16cid:commentId w16cid:paraId="330F8834" w16cid:durableId="7F0D774C"/>
  <w16cid:commentId w16cid:paraId="1B5C646A" w16cid:durableId="38D57904"/>
  <w16cid:commentId w16cid:paraId="544D2066" w16cid:durableId="3CD04D46"/>
  <w16cid:commentId w16cid:paraId="14EC19BE" w16cid:durableId="3DF11A3C"/>
  <w16cid:commentId w16cid:paraId="64A99D49" w16cid:durableId="5B7114E1"/>
  <w16cid:commentId w16cid:paraId="2394BA29" w16cid:durableId="77E3075F"/>
  <w16cid:commentId w16cid:paraId="583BD268" w16cid:durableId="5AB1FC58"/>
  <w16cid:commentId w16cid:paraId="7A428760" w16cid:durableId="76F04251"/>
  <w16cid:commentId w16cid:paraId="6030E470" w16cid:durableId="53309E4E"/>
  <w16cid:commentId w16cid:paraId="593A47BC" w16cid:durableId="4AB172C7"/>
  <w16cid:commentId w16cid:paraId="2A30325C" w16cid:durableId="19AD1910"/>
  <w16cid:commentId w16cid:paraId="18FB5C1D" w16cid:durableId="3787CBFD"/>
  <w16cid:commentId w16cid:paraId="5BD87443" w16cid:durableId="24CDE176"/>
  <w16cid:commentId w16cid:paraId="22EB283E" w16cid:durableId="22EB283E"/>
  <w16cid:commentId w16cid:paraId="26A76293" w16cid:durableId="60A7FB6C"/>
  <w16cid:commentId w16cid:paraId="0BABF7D3" w16cid:durableId="0817BEF5"/>
  <w16cid:commentId w16cid:paraId="487A4B33" w16cid:durableId="6A3DE9F2"/>
  <w16cid:commentId w16cid:paraId="1F0AAA96" w16cid:durableId="1D696185"/>
  <w16cid:commentId w16cid:paraId="23E652B5" w16cid:durableId="4B435A81"/>
  <w16cid:commentId w16cid:paraId="77C6E233" w16cid:durableId="52750355"/>
  <w16cid:commentId w16cid:paraId="3E8CFEFB" w16cid:durableId="109DC58C"/>
  <w16cid:commentId w16cid:paraId="1141C9BE" w16cid:durableId="7AD1EEC0"/>
  <w16cid:commentId w16cid:paraId="7D829439" w16cid:durableId="6E2ACE03"/>
  <w16cid:commentId w16cid:paraId="7154F861" w16cid:durableId="7154F861"/>
  <w16cid:commentId w16cid:paraId="5A40603C" w16cid:durableId="2B9EA6DF"/>
  <w16cid:commentId w16cid:paraId="4FE361FC" w16cid:durableId="3B7A86D9"/>
  <w16cid:commentId w16cid:paraId="60CC2318" w16cid:durableId="491EA7E0"/>
  <w16cid:commentId w16cid:paraId="3C0773DE" w16cid:durableId="2798C081"/>
  <w16cid:commentId w16cid:paraId="286BDEF4" w16cid:durableId="35A806D6"/>
  <w16cid:commentId w16cid:paraId="569F6EB8" w16cid:durableId="039CE898"/>
  <w16cid:commentId w16cid:paraId="309FAE26" w16cid:durableId="2604953A"/>
  <w16cid:commentId w16cid:paraId="477E0B22" w16cid:durableId="477E0B22"/>
  <w16cid:commentId w16cid:paraId="6D48A492" w16cid:durableId="666E2C9D"/>
  <w16cid:commentId w16cid:paraId="2826EF17" w16cid:durableId="2826EF17"/>
  <w16cid:commentId w16cid:paraId="340CAF75" w16cid:durableId="13A46C34"/>
  <w16cid:commentId w16cid:paraId="7149B2F6" w16cid:durableId="7149B2F6"/>
  <w16cid:commentId w16cid:paraId="3494D3F9" w16cid:durableId="33984B1B"/>
  <w16cid:commentId w16cid:paraId="0CE47753" w16cid:durableId="0CE47753"/>
  <w16cid:commentId w16cid:paraId="1993AA38" w16cid:durableId="58B4B48E"/>
  <w16cid:commentId w16cid:paraId="69E597DC" w16cid:durableId="69E597DC"/>
  <w16cid:commentId w16cid:paraId="1DCF63AE" w16cid:durableId="37B64246"/>
  <w16cid:commentId w16cid:paraId="5171DC52" w16cid:durableId="5171DC52"/>
  <w16cid:commentId w16cid:paraId="2491CDE5" w16cid:durableId="2CA58895"/>
  <w16cid:commentId w16cid:paraId="44BA57F7" w16cid:durableId="44BA57F7"/>
  <w16cid:commentId w16cid:paraId="42CA0E5F" w16cid:durableId="515565DE"/>
  <w16cid:commentId w16cid:paraId="524CE518" w16cid:durableId="524CE518"/>
  <w16cid:commentId w16cid:paraId="2A59AAC6" w16cid:durableId="146E8A0F"/>
  <w16cid:commentId w16cid:paraId="1EE8BD17" w16cid:durableId="1EE8BD17"/>
  <w16cid:commentId w16cid:paraId="248466A0" w16cid:durableId="6E8D86DD"/>
  <w16cid:commentId w16cid:paraId="142C011A" w16cid:durableId="142C011A"/>
  <w16cid:commentId w16cid:paraId="47FC4407" w16cid:durableId="3BF24AB7"/>
  <w16cid:commentId w16cid:paraId="1775F555" w16cid:durableId="1775F555"/>
  <w16cid:commentId w16cid:paraId="5C8653DD" w16cid:durableId="541CAC57"/>
  <w16cid:commentId w16cid:paraId="7CFBC4B2" w16cid:durableId="7CFBC4B2"/>
  <w16cid:commentId w16cid:paraId="15FF564C" w16cid:durableId="3A2DE3BC"/>
  <w16cid:commentId w16cid:paraId="3CE5E5AE" w16cid:durableId="3CE5E5AE"/>
  <w16cid:commentId w16cid:paraId="2038A8DC" w16cid:durableId="2B3BB742"/>
  <w16cid:commentId w16cid:paraId="0174B0E6" w16cid:durableId="0174B0E6"/>
  <w16cid:commentId w16cid:paraId="2A9ED914" w16cid:durableId="51ABB54B"/>
  <w16cid:commentId w16cid:paraId="4922F3DA" w16cid:durableId="4922F3DA"/>
  <w16cid:commentId w16cid:paraId="411E588C" w16cid:durableId="11C520B6"/>
  <w16cid:commentId w16cid:paraId="4651A037" w16cid:durableId="4651A037"/>
  <w16cid:commentId w16cid:paraId="3047392B" w16cid:durableId="74283070"/>
  <w16cid:commentId w16cid:paraId="7BAB3099" w16cid:durableId="7BAB3099"/>
  <w16cid:commentId w16cid:paraId="2A4EFA51" w16cid:durableId="4B674065"/>
  <w16cid:commentId w16cid:paraId="474FD8F2" w16cid:durableId="474FD8F2"/>
  <w16cid:commentId w16cid:paraId="67FE9855" w16cid:durableId="116B9DB1"/>
  <w16cid:commentId w16cid:paraId="617DEB8A" w16cid:durableId="617DEB8A"/>
  <w16cid:commentId w16cid:paraId="77C14A35" w16cid:durableId="61039CF4"/>
  <w16cid:commentId w16cid:paraId="2DBB0122" w16cid:durableId="2DBB0122"/>
  <w16cid:commentId w16cid:paraId="32168D4E" w16cid:durableId="23314B4E"/>
  <w16cid:commentId w16cid:paraId="6892BCEE" w16cid:durableId="6892BCEE"/>
  <w16cid:commentId w16cid:paraId="25ACD4AC" w16cid:durableId="5615CFFD"/>
  <w16cid:commentId w16cid:paraId="65EFAD82" w16cid:durableId="65EFAD82"/>
  <w16cid:commentId w16cid:paraId="62300072" w16cid:durableId="6B0CDFE6"/>
  <w16cid:commentId w16cid:paraId="23EC3D7E" w16cid:durableId="23EC3D7E"/>
  <w16cid:commentId w16cid:paraId="5112EDF8" w16cid:durableId="77165FE5"/>
  <w16cid:commentId w16cid:paraId="1737C71E" w16cid:durableId="1737C71E"/>
  <w16cid:commentId w16cid:paraId="20740DED" w16cid:durableId="442C34EB"/>
  <w16cid:commentId w16cid:paraId="4F09CA04" w16cid:durableId="4F09CA04"/>
  <w16cid:commentId w16cid:paraId="1860F572" w16cid:durableId="7D510517"/>
  <w16cid:commentId w16cid:paraId="6ADEC6F0" w16cid:durableId="6ADEC6F0"/>
  <w16cid:commentId w16cid:paraId="69CCD697" w16cid:durableId="4581A98F"/>
  <w16cid:commentId w16cid:paraId="71BA114D" w16cid:durableId="71BA114D"/>
  <w16cid:commentId w16cid:paraId="4659C3E0" w16cid:durableId="68B5C847"/>
  <w16cid:commentId w16cid:paraId="41C8E8F8" w16cid:durableId="41C8E8F8"/>
  <w16cid:commentId w16cid:paraId="31CB01FC" w16cid:durableId="620AC5C2"/>
  <w16cid:commentId w16cid:paraId="40D3B4FC" w16cid:durableId="40D3B4FC"/>
  <w16cid:commentId w16cid:paraId="3A842226" w16cid:durableId="586831DA"/>
  <w16cid:commentId w16cid:paraId="411BDD0B" w16cid:durableId="411BDD0B"/>
  <w16cid:commentId w16cid:paraId="69450363" w16cid:durableId="2530EF5B"/>
  <w16cid:commentId w16cid:paraId="7C763551" w16cid:durableId="7C763551"/>
  <w16cid:commentId w16cid:paraId="17DF584B" w16cid:durableId="41076E30"/>
  <w16cid:commentId w16cid:paraId="327B3ABA" w16cid:durableId="327B3ABA"/>
  <w16cid:commentId w16cid:paraId="4A0D2EB5" w16cid:durableId="2FB2568F"/>
  <w16cid:commentId w16cid:paraId="34B7C0B0" w16cid:durableId="34B7C0B0"/>
  <w16cid:commentId w16cid:paraId="4D06DDD9" w16cid:durableId="4F43146A"/>
  <w16cid:commentId w16cid:paraId="00ED515A" w16cid:durableId="00ED515A"/>
  <w16cid:commentId w16cid:paraId="62ADF263" w16cid:durableId="5D57125F"/>
  <w16cid:commentId w16cid:paraId="40D1698E" w16cid:durableId="40D1698E"/>
  <w16cid:commentId w16cid:paraId="29A15166" w16cid:durableId="79D19A1E"/>
  <w16cid:commentId w16cid:paraId="6EE3B70A" w16cid:durableId="6EE3B70A"/>
  <w16cid:commentId w16cid:paraId="7B72E5FE" w16cid:durableId="2FD9017C"/>
  <w16cid:commentId w16cid:paraId="389DE75C" w16cid:durableId="389DE75C"/>
  <w16cid:commentId w16cid:paraId="7A228F09" w16cid:durableId="744AD4BA"/>
  <w16cid:commentId w16cid:paraId="449BBEA1" w16cid:durableId="449BBEA1"/>
  <w16cid:commentId w16cid:paraId="3643E9F6" w16cid:durableId="7F9737C7"/>
  <w16cid:commentId w16cid:paraId="107A44F5" w16cid:durableId="107A44F5"/>
  <w16cid:commentId w16cid:paraId="70D9DF46" w16cid:durableId="3041887C"/>
  <w16cid:commentId w16cid:paraId="1D78B330" w16cid:durableId="1D78B330"/>
  <w16cid:commentId w16cid:paraId="1A378A06" w16cid:durableId="1C5A2F7C"/>
  <w16cid:commentId w16cid:paraId="43CD0AA7" w16cid:durableId="43CD0AA7"/>
  <w16cid:commentId w16cid:paraId="507D7CB3" w16cid:durableId="3D08D000"/>
  <w16cid:commentId w16cid:paraId="7D1ED06F" w16cid:durableId="7D1ED06F"/>
  <w16cid:commentId w16cid:paraId="2CF5D1B6" w16cid:durableId="6750D0D1"/>
  <w16cid:commentId w16cid:paraId="3D694E3A" w16cid:durableId="3D694E3A"/>
  <w16cid:commentId w16cid:paraId="520A7CC8" w16cid:durableId="799D3B8D"/>
  <w16cid:commentId w16cid:paraId="68A87CAD" w16cid:durableId="68A87CAD"/>
  <w16cid:commentId w16cid:paraId="46C54EA0" w16cid:durableId="24E8A004"/>
  <w16cid:commentId w16cid:paraId="4F9CFE62" w16cid:durableId="4F9CFE62"/>
  <w16cid:commentId w16cid:paraId="2DEA7BF6" w16cid:durableId="637FBE37"/>
  <w16cid:commentId w16cid:paraId="2044A3D8" w16cid:durableId="2044A3D8"/>
  <w16cid:commentId w16cid:paraId="58C98713" w16cid:durableId="2639F948"/>
  <w16cid:commentId w16cid:paraId="4F4A5042" w16cid:durableId="4F4A5042"/>
  <w16cid:commentId w16cid:paraId="4794E4CF" w16cid:durableId="62631514"/>
  <w16cid:commentId w16cid:paraId="4A5CBD11" w16cid:durableId="4A5CBD11"/>
  <w16cid:commentId w16cid:paraId="1A21657E" w16cid:durableId="1E97BD12"/>
  <w16cid:commentId w16cid:paraId="055A97BF" w16cid:durableId="055A97BF"/>
  <w16cid:commentId w16cid:paraId="7651165E" w16cid:durableId="1FF9EF6F"/>
  <w16cid:commentId w16cid:paraId="441D8B06" w16cid:durableId="441D8B06"/>
  <w16cid:commentId w16cid:paraId="5FF3DDD5" w16cid:durableId="75BFCA7D"/>
  <w16cid:commentId w16cid:paraId="7B433EA1" w16cid:durableId="7B433EA1"/>
  <w16cid:commentId w16cid:paraId="5D942C79" w16cid:durableId="164BBBB5"/>
  <w16cid:commentId w16cid:paraId="2801511E" w16cid:durableId="2801511E"/>
  <w16cid:commentId w16cid:paraId="20F9EAFC" w16cid:durableId="1F242F2E"/>
  <w16cid:commentId w16cid:paraId="6FA7B71B" w16cid:durableId="6FA7B71B"/>
  <w16cid:commentId w16cid:paraId="2121605E" w16cid:durableId="4FC59256"/>
  <w16cid:commentId w16cid:paraId="750F7E94" w16cid:durableId="750F7E94"/>
  <w16cid:commentId w16cid:paraId="2A0C4580" w16cid:durableId="6A7C33CC"/>
  <w16cid:commentId w16cid:paraId="269FF4A3" w16cid:durableId="269FF4A3"/>
  <w16cid:commentId w16cid:paraId="7819B71C" w16cid:durableId="6840E497"/>
  <w16cid:commentId w16cid:paraId="683764CB" w16cid:durableId="683764CB"/>
  <w16cid:commentId w16cid:paraId="557B0DF7" w16cid:durableId="1B7E67E1"/>
  <w16cid:commentId w16cid:paraId="4BECEB83" w16cid:durableId="4BECEB83"/>
  <w16cid:commentId w16cid:paraId="250E4659" w16cid:durableId="6C1E72EA"/>
  <w16cid:commentId w16cid:paraId="0473C3C0" w16cid:durableId="0473C3C0"/>
  <w16cid:commentId w16cid:paraId="5EE89CA1" w16cid:durableId="5CB5BBD4"/>
  <w16cid:commentId w16cid:paraId="10CBFEB5" w16cid:durableId="10CBFEB5"/>
  <w16cid:commentId w16cid:paraId="73D2511A" w16cid:durableId="35E05898"/>
  <w16cid:commentId w16cid:paraId="1B119839" w16cid:durableId="1B119839"/>
  <w16cid:commentId w16cid:paraId="61F88B68" w16cid:durableId="132C7CF6"/>
  <w16cid:commentId w16cid:paraId="7F4AEB47" w16cid:durableId="7F4AEB47"/>
  <w16cid:commentId w16cid:paraId="5E7F4483" w16cid:durableId="7597826D"/>
  <w16cid:commentId w16cid:paraId="7508CF74" w16cid:durableId="7508CF74"/>
  <w16cid:commentId w16cid:paraId="609E6E85" w16cid:durableId="66A11D23"/>
  <w16cid:commentId w16cid:paraId="29274AF7" w16cid:durableId="29274AF7"/>
  <w16cid:commentId w16cid:paraId="1E3F6731" w16cid:durableId="6983DF26"/>
  <w16cid:commentId w16cid:paraId="603D0960" w16cid:durableId="603D0960"/>
  <w16cid:commentId w16cid:paraId="7FFFB8FA" w16cid:durableId="629F45EE"/>
  <w16cid:commentId w16cid:paraId="5934F0BB" w16cid:durableId="5934F0BB"/>
  <w16cid:commentId w16cid:paraId="75B91880" w16cid:durableId="1C1F80C6"/>
  <w16cid:commentId w16cid:paraId="1ED728BD" w16cid:durableId="1ED728BD"/>
  <w16cid:commentId w16cid:paraId="29155ADE" w16cid:durableId="52EFE43B"/>
  <w16cid:commentId w16cid:paraId="4ED31DC8" w16cid:durableId="4ED31DC8"/>
  <w16cid:commentId w16cid:paraId="68470796" w16cid:durableId="75940A5E"/>
  <w16cid:commentId w16cid:paraId="036882BA" w16cid:durableId="036882BA"/>
  <w16cid:commentId w16cid:paraId="65E0FF20" w16cid:durableId="3F2DCF73"/>
  <w16cid:commentId w16cid:paraId="0C300FD3" w16cid:durableId="0C300FD3"/>
  <w16cid:commentId w16cid:paraId="63597F24" w16cid:durableId="754A089D"/>
  <w16cid:commentId w16cid:paraId="7876BE75" w16cid:durableId="7876BE75"/>
  <w16cid:commentId w16cid:paraId="35E1822D" w16cid:durableId="693CCE87"/>
  <w16cid:commentId w16cid:paraId="74B4D4BA" w16cid:durableId="74B4D4BA"/>
  <w16cid:commentId w16cid:paraId="73F14BD4" w16cid:durableId="1B2C9FAB"/>
  <w16cid:commentId w16cid:paraId="21BFCAF0" w16cid:durableId="21BFCAF0"/>
  <w16cid:commentId w16cid:paraId="2A28D687" w16cid:durableId="529609CF"/>
  <w16cid:commentId w16cid:paraId="050329BD" w16cid:durableId="050329BD"/>
  <w16cid:commentId w16cid:paraId="3D48C30F" w16cid:durableId="24254DDF"/>
  <w16cid:commentId w16cid:paraId="1A95A612" w16cid:durableId="1A95A612"/>
  <w16cid:commentId w16cid:paraId="70280B03" w16cid:durableId="4CB46633"/>
  <w16cid:commentId w16cid:paraId="07AC72C7" w16cid:durableId="07AC72C7"/>
  <w16cid:commentId w16cid:paraId="437807FF" w16cid:durableId="675E2044"/>
  <w16cid:commentId w16cid:paraId="5C844EB3" w16cid:durableId="5C844EB3"/>
  <w16cid:commentId w16cid:paraId="2CC2BE12" w16cid:durableId="3DDE96D5"/>
  <w16cid:commentId w16cid:paraId="008FEFAF" w16cid:durableId="008FEFAF"/>
  <w16cid:commentId w16cid:paraId="1BAF170F" w16cid:durableId="650E7613"/>
  <w16cid:commentId w16cid:paraId="15BAF0FB" w16cid:durableId="15BAF0FB"/>
  <w16cid:commentId w16cid:paraId="718C030B" w16cid:durableId="33A484E6"/>
  <w16cid:commentId w16cid:paraId="6A1FF793" w16cid:durableId="6A1FF793"/>
  <w16cid:commentId w16cid:paraId="470A1D6F" w16cid:durableId="7512A7B1"/>
  <w16cid:commentId w16cid:paraId="04636FEE" w16cid:durableId="04636FEE"/>
  <w16cid:commentId w16cid:paraId="71C173ED" w16cid:durableId="18B1BD76"/>
  <w16cid:commentId w16cid:paraId="126AEEB1" w16cid:durableId="126AEEB1"/>
  <w16cid:commentId w16cid:paraId="675120B2" w16cid:durableId="67EA2FDB"/>
  <w16cid:commentId w16cid:paraId="66CC21B9" w16cid:durableId="66CC21B9"/>
  <w16cid:commentId w16cid:paraId="3CDCD9B9" w16cid:durableId="5F2B8F02"/>
  <w16cid:commentId w16cid:paraId="1081E233" w16cid:durableId="1081E233"/>
  <w16cid:commentId w16cid:paraId="23A76690" w16cid:durableId="30E1566D"/>
  <w16cid:commentId w16cid:paraId="6E7DB0BF" w16cid:durableId="6E7DB0BF"/>
  <w16cid:commentId w16cid:paraId="438062D5" w16cid:durableId="3DCA3478"/>
  <w16cid:commentId w16cid:paraId="4D9B7090" w16cid:durableId="4D9B7090"/>
  <w16cid:commentId w16cid:paraId="66B52B60" w16cid:durableId="41949484"/>
  <w16cid:commentId w16cid:paraId="4837A887" w16cid:durableId="4837A887"/>
  <w16cid:commentId w16cid:paraId="2205DDBD" w16cid:durableId="5A3EED2D"/>
  <w16cid:commentId w16cid:paraId="2F6ACB4D" w16cid:durableId="2F6ACB4D"/>
  <w16cid:commentId w16cid:paraId="23756069" w16cid:durableId="59037405"/>
  <w16cid:commentId w16cid:paraId="11D43A5F" w16cid:durableId="11D43A5F"/>
  <w16cid:commentId w16cid:paraId="1480DC2C" w16cid:durableId="75253C35"/>
  <w16cid:commentId w16cid:paraId="6DC657B2" w16cid:durableId="6DC657B2"/>
  <w16cid:commentId w16cid:paraId="687D725A" w16cid:durableId="6D709038"/>
  <w16cid:commentId w16cid:paraId="6E1CC78C" w16cid:durableId="6E1CC78C"/>
  <w16cid:commentId w16cid:paraId="477C927F" w16cid:durableId="4D70FC69"/>
  <w16cid:commentId w16cid:paraId="2B066D1D" w16cid:durableId="2B066D1D"/>
  <w16cid:commentId w16cid:paraId="70C5674A" w16cid:durableId="5DFB0487"/>
  <w16cid:commentId w16cid:paraId="598FB157" w16cid:durableId="598FB157"/>
  <w16cid:commentId w16cid:paraId="60B71DF5" w16cid:durableId="5E424C7B"/>
  <w16cid:commentId w16cid:paraId="1122470C" w16cid:durableId="1122470C"/>
  <w16cid:commentId w16cid:paraId="26062D34" w16cid:durableId="10EBDB03"/>
  <w16cid:commentId w16cid:paraId="7415B863" w16cid:durableId="7415B863"/>
  <w16cid:commentId w16cid:paraId="335F4170" w16cid:durableId="5F18DFCE"/>
  <w16cid:commentId w16cid:paraId="798F6100" w16cid:durableId="798F6100"/>
  <w16cid:commentId w16cid:paraId="3F620D41" w16cid:durableId="52A03CB6"/>
  <w16cid:commentId w16cid:paraId="07BFBBC2" w16cid:durableId="07BFBBC2"/>
  <w16cid:commentId w16cid:paraId="12EE527A" w16cid:durableId="407A0385"/>
  <w16cid:commentId w16cid:paraId="31DB7084" w16cid:durableId="31DB7084"/>
  <w16cid:commentId w16cid:paraId="1FAF50DB" w16cid:durableId="2605AD59"/>
  <w16cid:commentId w16cid:paraId="39EB6F2F" w16cid:durableId="39EB6F2F"/>
  <w16cid:commentId w16cid:paraId="55BE5C4E" w16cid:durableId="5F544B04"/>
  <w16cid:commentId w16cid:paraId="67AADB30" w16cid:durableId="67AADB30"/>
  <w16cid:commentId w16cid:paraId="795E1426" w16cid:durableId="390D2AC1"/>
  <w16cid:commentId w16cid:paraId="2A146AD5" w16cid:durableId="2A146AD5"/>
  <w16cid:commentId w16cid:paraId="31139851" w16cid:durableId="4AE41C9D"/>
  <w16cid:commentId w16cid:paraId="540C5B9A" w16cid:durableId="540C5B9A"/>
  <w16cid:commentId w16cid:paraId="77D95B3F" w16cid:durableId="1EFE5501"/>
  <w16cid:commentId w16cid:paraId="1A3A7200" w16cid:durableId="1A3A7200"/>
  <w16cid:commentId w16cid:paraId="1E9FC342" w16cid:durableId="619701B4"/>
  <w16cid:commentId w16cid:paraId="0048D705" w16cid:durableId="0048D705"/>
  <w16cid:commentId w16cid:paraId="3357B63D" w16cid:durableId="507C7278"/>
  <w16cid:commentId w16cid:paraId="1F444D02" w16cid:durableId="1F444D02"/>
  <w16cid:commentId w16cid:paraId="56EE11ED" w16cid:durableId="30EB7496"/>
  <w16cid:commentId w16cid:paraId="4D746174" w16cid:durableId="4D746174"/>
  <w16cid:commentId w16cid:paraId="3A8BED1A" w16cid:durableId="7FD52E45"/>
  <w16cid:commentId w16cid:paraId="0DB81358" w16cid:durableId="0DB81358"/>
  <w16cid:commentId w16cid:paraId="544F87E5" w16cid:durableId="4C63B666"/>
  <w16cid:commentId w16cid:paraId="545203EB" w16cid:durableId="545203EB"/>
  <w16cid:commentId w16cid:paraId="18E2F9EE" w16cid:durableId="5756F3D3"/>
  <w16cid:commentId w16cid:paraId="47F23312" w16cid:durableId="47F23312"/>
  <w16cid:commentId w16cid:paraId="53B58473" w16cid:durableId="4E798CC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C6804" w14:textId="77777777" w:rsidR="00C96977" w:rsidRDefault="00C96977" w:rsidP="00ED5C01">
      <w:pPr>
        <w:spacing w:after="0" w:line="240" w:lineRule="auto"/>
      </w:pPr>
      <w:r>
        <w:separator/>
      </w:r>
    </w:p>
  </w:endnote>
  <w:endnote w:type="continuationSeparator" w:id="0">
    <w:p w14:paraId="368542D5" w14:textId="77777777" w:rsidR="00C96977" w:rsidRDefault="00C96977" w:rsidP="00ED5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variable"/>
    <w:sig w:usb0="00000000" w:usb1="C000204A"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1420339"/>
      <w:docPartObj>
        <w:docPartGallery w:val="Page Numbers (Bottom of Page)"/>
        <w:docPartUnique/>
      </w:docPartObj>
    </w:sdtPr>
    <w:sdtContent>
      <w:p w14:paraId="50C59DD7" w14:textId="77777777" w:rsidR="006A5DF6" w:rsidRDefault="006A5DF6">
        <w:pPr>
          <w:pStyle w:val="ad"/>
        </w:pPr>
        <w:r>
          <w:fldChar w:fldCharType="begin"/>
        </w:r>
        <w:r>
          <w:instrText>PAGE   \* MERGEFORMAT</w:instrText>
        </w:r>
        <w:r>
          <w:fldChar w:fldCharType="separate"/>
        </w:r>
        <w:r w:rsidR="005B1373" w:rsidRPr="005B1373">
          <w:rPr>
            <w:rFonts w:cs="Calibri"/>
            <w:noProof/>
            <w:lang w:val="ar-SA"/>
          </w:rPr>
          <w:t>125</w:t>
        </w:r>
        <w:r>
          <w:fldChar w:fldCharType="end"/>
        </w:r>
      </w:p>
    </w:sdtContent>
  </w:sdt>
  <w:p w14:paraId="484514CD" w14:textId="77777777" w:rsidR="006A5DF6" w:rsidRDefault="006A5DF6">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CED51" w14:textId="77777777" w:rsidR="00C96977" w:rsidRDefault="00C96977" w:rsidP="00ED5C01">
      <w:pPr>
        <w:spacing w:after="0" w:line="240" w:lineRule="auto"/>
      </w:pPr>
      <w:r>
        <w:separator/>
      </w:r>
    </w:p>
  </w:footnote>
  <w:footnote w:type="continuationSeparator" w:id="0">
    <w:p w14:paraId="65F36B0D" w14:textId="77777777" w:rsidR="00C96977" w:rsidRDefault="00C96977" w:rsidP="00ED5C01">
      <w:pPr>
        <w:spacing w:after="0" w:line="240" w:lineRule="auto"/>
      </w:pPr>
      <w:r>
        <w:continuationSeparator/>
      </w:r>
    </w:p>
  </w:footnote>
  <w:footnote w:id="1">
    <w:p w14:paraId="3B9821B3" w14:textId="77777777" w:rsidR="006A5DF6" w:rsidRPr="00E06468" w:rsidRDefault="006A5DF6" w:rsidP="002029E8">
      <w:pPr>
        <w:numPr>
          <w:ilvl w:val="0"/>
          <w:numId w:val="1"/>
        </w:numPr>
        <w:bidi/>
        <w:rPr>
          <w:sz w:val="16"/>
          <w:szCs w:val="16"/>
        </w:rPr>
      </w:pPr>
      <w:r>
        <w:rPr>
          <w:sz w:val="18"/>
          <w:szCs w:val="18"/>
          <w:rtl/>
        </w:rPr>
        <w:t>الهيئة السعودية للبيانات والذكاء الاصطناعي (سدايا). (2023). وثيقة مبادئ أخلاقيات الذكاء الاصطناعي. الرياض: سدايا.</w:t>
      </w:r>
    </w:p>
  </w:footnote>
  <w:footnote w:id="2">
    <w:p w14:paraId="5651B002" w14:textId="77777777" w:rsidR="006A5DF6" w:rsidRPr="001C469F" w:rsidRDefault="006A5DF6" w:rsidP="002029E8">
      <w:pPr>
        <w:numPr>
          <w:ilvl w:val="0"/>
          <w:numId w:val="1"/>
        </w:numPr>
        <w:bidi/>
        <w:rPr>
          <w:sz w:val="16"/>
          <w:szCs w:val="16"/>
        </w:rPr>
      </w:pPr>
      <w:r>
        <w:rPr>
          <w:sz w:val="18"/>
          <w:szCs w:val="18"/>
          <w:rtl/>
        </w:rPr>
        <w:t>هيئة الخبراء بمجلس الوزراء. (1422هـ). نظام المحاماة، المرسوم الملكي رقم م/38، المادة (41). المملكة العربية السعودية.</w:t>
      </w:r>
    </w:p>
  </w:footnote>
  <w:footnote w:id="3">
    <w:p w14:paraId="16DA30B8" w14:textId="77777777" w:rsidR="006A5DF6" w:rsidRPr="001D7F0F" w:rsidRDefault="006A5DF6" w:rsidP="00A6276A">
      <w:pPr>
        <w:bidi/>
        <w:jc w:val="both"/>
        <w:rPr>
          <w:sz w:val="16"/>
          <w:szCs w:val="16"/>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
    <w:p w14:paraId="60D03BB0" w14:textId="77777777" w:rsidR="006A5DF6" w:rsidRDefault="006A5DF6" w:rsidP="00292EA9">
      <w:pPr>
        <w:bidi/>
        <w:rPr>
          <w:sz w:val="16"/>
          <w:szCs w:val="16"/>
        </w:rPr>
      </w:pPr>
      <w:r>
        <w:rPr>
          <w:rStyle w:val="af"/>
        </w:rPr>
        <w:footnoteRef/>
      </w:r>
      <w:r>
        <w:t xml:space="preserve"> </w:t>
      </w:r>
      <w:r>
        <w:rPr>
          <w:sz w:val="18"/>
          <w:szCs w:val="18"/>
          <w:rtl/>
        </w:rPr>
        <w:t>الغامدي، رهف صالح (2025م). الطبيعة القانونية للعقود الذكية في المملكة العربية السعودية - دراسة تحليلية. مجلة القانون والأعمال الدولية، الإصدار 57، أبريل/مايو 2025م. ص227. جامعة الملك عبد العزيز. ISSN: 2509-0291.</w:t>
      </w:r>
    </w:p>
  </w:footnote>
  <w:footnote w:id="5">
    <w:p w14:paraId="3DFD8D69" w14:textId="77777777" w:rsidR="006A5DF6" w:rsidRDefault="006A5DF6" w:rsidP="00657550">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ص 368-412. DOI: 10.36571/ajsp7321.</w:t>
      </w:r>
    </w:p>
  </w:footnote>
  <w:footnote w:id="6">
    <w:p w14:paraId="4326C684" w14:textId="77777777" w:rsidR="006A5DF6" w:rsidRDefault="006A5DF6" w:rsidP="00925AAC">
      <w:pPr>
        <w:bidi/>
        <w:rPr>
          <w:sz w:val="16"/>
          <w:szCs w:val="16"/>
        </w:rPr>
      </w:pPr>
      <w:r>
        <w:rPr>
          <w:rStyle w:val="af"/>
        </w:rPr>
        <w:footnoteRef/>
      </w:r>
      <w:r>
        <w:t xml:space="preserve"> </w:t>
      </w:r>
      <w:r>
        <w:rPr>
          <w:sz w:val="18"/>
          <w:szCs w:val="18"/>
          <w:rtl/>
        </w:rPr>
        <w:t>وزارة العدل - المملكة العربية السعودية (1422هـ). اللائحة التنفيذية لنظام المحاماة الصادر بالمرسوم الملكي رقم م/38 بتاريخ 28/7/1422هـ. الرياض: وزارة العدل.</w:t>
      </w:r>
    </w:p>
  </w:footnote>
  <w:footnote w:id="7">
    <w:p w14:paraId="419A99D5" w14:textId="77777777" w:rsidR="006A5DF6" w:rsidRDefault="006A5DF6" w:rsidP="00925AAC">
      <w:pPr>
        <w:bidi/>
        <w:rPr>
          <w:sz w:val="16"/>
          <w:szCs w:val="16"/>
        </w:rPr>
      </w:pPr>
      <w:r>
        <w:rPr>
          <w:rStyle w:val="af"/>
        </w:rPr>
        <w:footnoteRef/>
      </w:r>
      <w:r>
        <w:t xml:space="preserve"> </w:t>
      </w:r>
      <w:r>
        <w:rPr>
          <w:sz w:val="18"/>
          <w:szCs w:val="18"/>
          <w:rtl/>
        </w:rPr>
        <w:t>الغنامي، نايف بن ناشي (د.ت). الضوابط القانونية للذكاء الاصطناعي في إبرام المعاملات القانونية. قسم القانون، الجامعة السعودية الإلكترونية، المملكة العربية السعودية.</w:t>
      </w:r>
    </w:p>
  </w:footnote>
  <w:footnote w:id="8">
    <w:p w14:paraId="630C5F16" w14:textId="77777777" w:rsidR="006A5DF6" w:rsidRDefault="006A5DF6" w:rsidP="00A91133">
      <w:pPr>
        <w:pStyle w:val="ae"/>
        <w:jc w:val="right"/>
        <w:rPr>
          <w:rtl/>
        </w:rPr>
      </w:pPr>
      <w:r>
        <w:rPr>
          <w:rStyle w:val="af"/>
        </w:rPr>
        <w:footnoteRef/>
      </w:r>
      <w:r>
        <w:t xml:space="preserve"> </w:t>
      </w:r>
      <w:r>
        <w:rPr>
          <w:sz w:val="18"/>
          <w:szCs w:val="18"/>
          <w:rtl/>
        </w:rPr>
        <w:t>وزارة العدل. (1441هـ). اللائحة التنفيذية لنظام المحاماة. المملكة العربية السعودية.</w:t>
      </w:r>
    </w:p>
  </w:footnote>
  <w:footnote w:id="9">
    <w:p w14:paraId="6CA8BF9B" w14:textId="77777777" w:rsidR="006A5DF6" w:rsidRDefault="006A5DF6" w:rsidP="00767C10">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0">
    <w:p w14:paraId="20CB9DBD" w14:textId="77777777" w:rsidR="006A5DF6" w:rsidRPr="0026477A" w:rsidRDefault="006A5DF6" w:rsidP="00767C10">
      <w:pPr>
        <w:pStyle w:val="ae"/>
        <w:jc w:val="right"/>
      </w:pPr>
      <w:r>
        <w:rPr>
          <w:rStyle w:val="af"/>
        </w:rPr>
        <w:footnoteRef/>
      </w:r>
      <w:r>
        <w:t xml:space="preserve"> </w:t>
      </w:r>
      <w:r>
        <w:rPr>
          <w:sz w:val="18"/>
          <w:szCs w:val="18"/>
          <w:rtl/>
        </w:rPr>
        <w:t>المركز السعودي للأبحاث القضائية. (2022). استخدام الذكاء الاصطناعي في المحاكم. الرياض.</w:t>
      </w:r>
    </w:p>
  </w:footnote>
  <w:footnote w:id="11">
    <w:p w14:paraId="3E6F1C06" w14:textId="77777777" w:rsidR="006A5DF6" w:rsidRPr="0026477A" w:rsidRDefault="006A5DF6" w:rsidP="00BC6811">
      <w:pPr>
        <w:pStyle w:val="ae"/>
        <w:jc w:val="right"/>
      </w:pPr>
      <w:r>
        <w:rPr>
          <w:rStyle w:val="af"/>
        </w:rPr>
        <w:footnoteRef/>
      </w:r>
      <w:r>
        <w:t xml:space="preserve"> </w:t>
      </w:r>
      <w:r>
        <w:rPr>
          <w:sz w:val="18"/>
          <w:szCs w:val="18"/>
          <w:rtl/>
        </w:rPr>
        <w:t>إسماعيل، م. ش. (2023). تأثير الذكاء الاصطناعي على المهن القانونية. .</w:t>
      </w:r>
    </w:p>
  </w:footnote>
  <w:footnote w:id="12">
    <w:p w14:paraId="4792ED24" w14:textId="77777777" w:rsidR="006A5DF6" w:rsidRDefault="006A5DF6" w:rsidP="00BC6811">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3">
    <w:p w14:paraId="6AA06B8C" w14:textId="77777777" w:rsidR="006A5DF6" w:rsidRDefault="006A5DF6" w:rsidP="00BC681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ص587.</w:t>
      </w:r>
    </w:p>
  </w:footnote>
  <w:footnote w:id="14">
    <w:p w14:paraId="274AC229" w14:textId="77777777" w:rsidR="006A5DF6" w:rsidRDefault="006A5DF6" w:rsidP="00BC681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ص57.</w:t>
      </w:r>
    </w:p>
  </w:footnote>
  <w:footnote w:id="15">
    <w:p w14:paraId="7A0772BC"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ص148.</w:t>
      </w:r>
    </w:p>
  </w:footnote>
  <w:footnote w:id="16">
    <w:p w14:paraId="0AC9A052" w14:textId="77777777" w:rsidR="006A5DF6" w:rsidRDefault="006A5DF6" w:rsidP="002A34EF">
      <w:pPr>
        <w:pStyle w:val="ae"/>
        <w:jc w:val="right"/>
        <w:rPr>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7">
    <w:p w14:paraId="74180D61"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ص592.</w:t>
      </w:r>
    </w:p>
  </w:footnote>
  <w:footnote w:id="18">
    <w:p w14:paraId="59C626CA"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ص112.</w:t>
      </w:r>
    </w:p>
  </w:footnote>
  <w:footnote w:id="19">
    <w:p w14:paraId="21CB0A99" w14:textId="77777777" w:rsidR="006A5DF6" w:rsidRDefault="006A5DF6" w:rsidP="002A34EF">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20">
    <w:p w14:paraId="056242B0" w14:textId="77777777" w:rsidR="006A5DF6" w:rsidRDefault="006A5DF6" w:rsidP="00925AAC">
      <w:pPr>
        <w:bidi/>
        <w:rPr>
          <w:sz w:val="16"/>
          <w:szCs w:val="16"/>
        </w:rPr>
      </w:pPr>
      <w:r>
        <w:rPr>
          <w:rStyle w:val="af"/>
        </w:rPr>
        <w:footnoteRef/>
      </w:r>
      <w:r>
        <w:t xml:space="preserve"> </w:t>
      </w:r>
      <w:r>
        <w:rPr>
          <w:sz w:val="18"/>
          <w:szCs w:val="18"/>
          <w:rtl/>
        </w:rPr>
        <w:t>المملكة العربية السعودية (1422هـ). نظام المحاماة الصادر بالمرسوم الملكي رقم م/38 وتاريخ 28/7/1422هـ. الرياض: الأمانة العامة لمجلس الوزراء، المادة 11.</w:t>
      </w:r>
    </w:p>
  </w:footnote>
  <w:footnote w:id="21">
    <w:p w14:paraId="25A508C5" w14:textId="77777777" w:rsidR="006A5DF6" w:rsidRDefault="006A5DF6" w:rsidP="00925AAC">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ص368. https://doi.org/10.36571/ajsp7321</w:t>
      </w:r>
    </w:p>
  </w:footnote>
  <w:footnote w:id="22">
    <w:p w14:paraId="474E3533" w14:textId="77777777" w:rsidR="006A5DF6" w:rsidRDefault="006A5DF6" w:rsidP="00925AAC">
      <w:pPr>
        <w:bidi/>
        <w:rPr>
          <w:sz w:val="16"/>
          <w:szCs w:val="16"/>
        </w:rPr>
      </w:pPr>
      <w:r>
        <w:rPr>
          <w:rStyle w:val="af"/>
        </w:rPr>
        <w:footnoteRef/>
      </w:r>
      <w:r>
        <w:t xml:space="preserve"> </w:t>
      </w:r>
      <w:r>
        <w:rPr>
          <w:sz w:val="18"/>
          <w:szCs w:val="18"/>
          <w:rtl/>
        </w:rPr>
        <w:t>الهيئة السعودية للبيانات والذكاء الاصطناعي (سدايا) (2024م). إطار تبني الذكاء الاصطناعي. الرياض: سدايا، سبتمبر 2024م.</w:t>
      </w:r>
    </w:p>
  </w:footnote>
  <w:footnote w:id="23">
    <w:p w14:paraId="1E5BB1E2" w14:textId="77777777" w:rsidR="006A5DF6" w:rsidRPr="00CB64BE" w:rsidRDefault="006A5DF6" w:rsidP="00767C10">
      <w:pPr>
        <w:pStyle w:val="ae"/>
        <w:jc w:val="right"/>
      </w:pPr>
      <w:r>
        <w:rPr>
          <w:rStyle w:val="af"/>
        </w:rPr>
        <w:footnoteRef/>
      </w:r>
      <w:r>
        <w:t xml:space="preserve"> </w:t>
      </w:r>
      <w:r>
        <w:rPr>
          <w:sz w:val="18"/>
          <w:szCs w:val="18"/>
          <w:rtl/>
        </w:rPr>
        <w:t>إسماعيل، م. ش. (2023). تأثير الذكاء الاصطناعي على المهن القانونية. بحث منشور.</w:t>
      </w:r>
    </w:p>
  </w:footnote>
  <w:footnote w:id="24">
    <w:p w14:paraId="3EC3E219" w14:textId="77777777" w:rsidR="006A5DF6" w:rsidRDefault="006A5DF6" w:rsidP="00767C10">
      <w:pPr>
        <w:pStyle w:val="ae"/>
        <w:jc w:val="right"/>
        <w:rPr>
          <w:rtl/>
        </w:rPr>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25">
    <w:p w14:paraId="7BC5BF5B" w14:textId="77777777" w:rsidR="006A5DF6" w:rsidRDefault="006A5DF6" w:rsidP="00767C10">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26">
    <w:p w14:paraId="6C4B03F0" w14:textId="77777777" w:rsidR="006A5DF6" w:rsidRPr="00CB64BE" w:rsidRDefault="006A5DF6" w:rsidP="002A34EF">
      <w:pPr>
        <w:pStyle w:val="ae"/>
        <w:jc w:val="right"/>
      </w:pPr>
      <w:r w:rsidRPr="00F10DC6">
        <w:rPr>
          <w:rStyle w:val="af"/>
        </w:rPr>
        <w:footnoteRef/>
      </w:r>
      <w:r w:rsidRPr="00F10DC6">
        <w:t xml:space="preserve"> </w:t>
      </w:r>
      <w:r w:rsidRPr="00F10DC6">
        <w:rPr>
          <w:sz w:val="18"/>
          <w:szCs w:val="18"/>
          <w:rtl/>
        </w:rPr>
        <w:t>الهيئة السعودية للبيانات والذكاء الاصطناعي (سدايا). (2023). وثيقة مبادئ أخلاقيات الذكاء الاصطناعي. الرياض: سدايا.</w:t>
      </w:r>
    </w:p>
  </w:footnote>
  <w:footnote w:id="27">
    <w:p w14:paraId="14E2EE06" w14:textId="77777777" w:rsidR="006A5DF6" w:rsidRDefault="006A5DF6" w:rsidP="002A34EF">
      <w:pPr>
        <w:jc w:val="right"/>
        <w:rPr>
          <w:rFonts w:asciiTheme="majorBidi" w:hAnsiTheme="majorBidi" w:cstheme="majorBidi"/>
          <w:sz w:val="18"/>
          <w:szCs w:val="18"/>
        </w:rPr>
      </w:pPr>
      <w:r w:rsidRPr="00F10DC6">
        <w:rPr>
          <w:rtl/>
        </w:rPr>
        <w:footnoteRef/>
      </w:r>
      <w:r w:rsidRPr="00F10DC6">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ص19.</w:t>
      </w:r>
    </w:p>
  </w:footnote>
  <w:footnote w:id="28">
    <w:p w14:paraId="60D21BF1"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29">
    <w:p w14:paraId="7786DC7E" w14:textId="77777777" w:rsidR="006A5DF6" w:rsidRDefault="006A5DF6" w:rsidP="002A34EF">
      <w:pPr>
        <w:jc w:val="right"/>
        <w:rPr>
          <w:rFonts w:asciiTheme="majorBidi" w:hAnsiTheme="majorBidi" w:cstheme="majorBidi" w:hint="cs"/>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ص1461.</w:t>
      </w:r>
    </w:p>
  </w:footnote>
  <w:footnote w:id="30">
    <w:p w14:paraId="0BC5B5DA" w14:textId="77777777" w:rsidR="006A5DF6" w:rsidRDefault="006A5DF6" w:rsidP="00925AAC">
      <w:pPr>
        <w:bidi/>
        <w:rPr>
          <w:sz w:val="16"/>
          <w:szCs w:val="16"/>
        </w:rPr>
      </w:pPr>
      <w:r>
        <w:rPr>
          <w:rStyle w:val="af"/>
        </w:rPr>
        <w:footnoteRef/>
      </w:r>
      <w:r>
        <w:t xml:space="preserve"> </w:t>
      </w:r>
      <w:r>
        <w:rPr>
          <w:sz w:val="18"/>
          <w:szCs w:val="18"/>
          <w:rtl/>
        </w:rPr>
        <w:t>الأسيوطي، أيمن محمد سيد مصطفى (2020م). حماية التصرفات القانونية وإثباتها عبر تطبيق الذكاء الاصطناعي. مجلة الباحث العربي، مجلد 1، عدد 1. http://doi.org/10.57072/ar.v1i1.16</w:t>
      </w:r>
    </w:p>
  </w:footnote>
  <w:footnote w:id="31">
    <w:p w14:paraId="3ADE2B36" w14:textId="77777777" w:rsidR="006A5DF6" w:rsidRDefault="006A5DF6" w:rsidP="00767C10">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32">
    <w:p w14:paraId="782C873D" w14:textId="77777777" w:rsidR="006A5DF6" w:rsidRDefault="006A5DF6" w:rsidP="00767C10">
      <w:pPr>
        <w:pStyle w:val="ae"/>
        <w:jc w:val="right"/>
        <w:rPr>
          <w:rtl/>
        </w:rPr>
      </w:pPr>
      <w:r>
        <w:rPr>
          <w:rStyle w:val="af"/>
        </w:rPr>
        <w:footnoteRef/>
      </w:r>
      <w:r>
        <w:t xml:space="preserve"> </w:t>
      </w:r>
      <w:r>
        <w:rPr>
          <w:sz w:val="18"/>
          <w:szCs w:val="18"/>
          <w:rtl/>
        </w:rPr>
        <w:t>إسماعيل، م. ش. (2023). تأثير الذكاء الاصطناعي على المهن القانونية. بحث منشور.</w:t>
      </w:r>
    </w:p>
  </w:footnote>
  <w:footnote w:id="33">
    <w:p w14:paraId="5F4D1A15"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34">
    <w:p w14:paraId="2BEE7943"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 القاهرة.</w:t>
      </w:r>
    </w:p>
  </w:footnote>
  <w:footnote w:id="35">
    <w:p w14:paraId="76AECCD0"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ص63.</w:t>
      </w:r>
    </w:p>
  </w:footnote>
  <w:footnote w:id="36">
    <w:p w14:paraId="2AF440B9"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37">
    <w:p w14:paraId="7763C81A"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ص42.</w:t>
      </w:r>
    </w:p>
  </w:footnote>
  <w:footnote w:id="38">
    <w:p w14:paraId="4A0097EA"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ص178.</w:t>
      </w:r>
    </w:p>
  </w:footnote>
  <w:footnote w:id="39">
    <w:p w14:paraId="13D0B943"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ص42.</w:t>
      </w:r>
    </w:p>
  </w:footnote>
  <w:footnote w:id="40">
    <w:p w14:paraId="495FFD3B" w14:textId="77777777" w:rsidR="006A5DF6" w:rsidRDefault="006A5DF6" w:rsidP="00767C10">
      <w:pPr>
        <w:pStyle w:val="ae"/>
        <w:jc w:val="right"/>
        <w:rPr>
          <w:rtl/>
        </w:rPr>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1">
    <w:p w14:paraId="02829BA0" w14:textId="77777777" w:rsidR="006A5DF6" w:rsidRDefault="006A5DF6" w:rsidP="00925AAC">
      <w:pPr>
        <w:bidi/>
        <w:rPr>
          <w:sz w:val="16"/>
          <w:szCs w:val="16"/>
        </w:rPr>
      </w:pPr>
      <w:r>
        <w:rPr>
          <w:rStyle w:val="af"/>
        </w:rPr>
        <w:footnoteRef/>
      </w:r>
      <w:r>
        <w:t xml:space="preserve"> </w:t>
      </w:r>
      <w:r>
        <w:rPr>
          <w:sz w:val="18"/>
          <w:szCs w:val="18"/>
          <w:rtl/>
        </w:rPr>
        <w:t>الخليفة، وليد بن إبراهيم (1444هـ). نظام الإثبات وأدلته الإجرائية مع الفهارس. الرياض: الجمعية العلمية القضائية السعودية. الباب الثالث، المادتان 76 و77.</w:t>
      </w:r>
    </w:p>
  </w:footnote>
  <w:footnote w:id="42">
    <w:p w14:paraId="6798FEC6" w14:textId="77777777" w:rsidR="006A5DF6" w:rsidRDefault="006A5DF6" w:rsidP="00925AAC">
      <w:pPr>
        <w:bidi/>
        <w:rPr>
          <w:sz w:val="16"/>
          <w:szCs w:val="16"/>
        </w:rPr>
      </w:pPr>
      <w:r>
        <w:rPr>
          <w:rStyle w:val="af"/>
        </w:rPr>
        <w:footnoteRef/>
      </w:r>
      <w:r>
        <w:t xml:space="preserve"> </w:t>
      </w:r>
      <w:r>
        <w:rPr>
          <w:sz w:val="18"/>
          <w:szCs w:val="18"/>
          <w:rtl/>
        </w:rPr>
        <w:t>إسماعيل، محمد شحادة (2025م). تأثير الذكاء الاصطناعي على المهن القانونية. مجلة الباحث العربي، مجلد 6، عدد 1. https://doi.org/10.57072/ar.v6i1.159</w:t>
      </w:r>
    </w:p>
  </w:footnote>
  <w:footnote w:id="43">
    <w:p w14:paraId="7372CDDE" w14:textId="77777777" w:rsidR="006A5DF6" w:rsidRDefault="006A5DF6" w:rsidP="00767C10">
      <w:pPr>
        <w:pStyle w:val="ae"/>
        <w:jc w:val="right"/>
        <w:rPr>
          <w:rtl/>
        </w:rPr>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44">
    <w:p w14:paraId="1650A99F" w14:textId="77777777" w:rsidR="006A5DF6" w:rsidRDefault="006A5DF6" w:rsidP="00767C10">
      <w:pPr>
        <w:pStyle w:val="ae"/>
        <w:jc w:val="right"/>
        <w:rPr>
          <w:rtl/>
        </w:rPr>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45">
    <w:p w14:paraId="2F8808DD" w14:textId="77777777" w:rsidR="006A5DF6" w:rsidRDefault="006A5DF6" w:rsidP="00767C10">
      <w:pPr>
        <w:pStyle w:val="ae"/>
        <w:jc w:val="right"/>
        <w:rPr>
          <w:rtl/>
        </w:rPr>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w:t>
      </w:r>
    </w:p>
  </w:footnote>
  <w:footnote w:id="46">
    <w:p w14:paraId="10C8C06F" w14:textId="77777777" w:rsidR="006A5DF6" w:rsidRDefault="006A5DF6" w:rsidP="00767C10">
      <w:pPr>
        <w:pStyle w:val="ae"/>
        <w:jc w:val="right"/>
        <w:rPr>
          <w:rtl/>
        </w:rPr>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47">
    <w:p w14:paraId="008B1402" w14:textId="77777777" w:rsidR="006A5DF6" w:rsidRDefault="006A5DF6" w:rsidP="00767C10">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48">
    <w:p w14:paraId="728B2E3F" w14:textId="77777777" w:rsidR="006A5DF6" w:rsidRPr="00122234" w:rsidRDefault="006A5DF6" w:rsidP="002A34EF">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49">
    <w:p w14:paraId="607A1674"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50">
    <w:p w14:paraId="46BC575A"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غاسم، مراد محمد غالب (2022م). دور الذكاء الاصطناعي في مكافحة الجريمة الإلكترونية - دراسة مقارنة. بحث علمي محكّم، مجلة علمية متخصصة.</w:t>
      </w:r>
    </w:p>
  </w:footnote>
  <w:footnote w:id="51">
    <w:p w14:paraId="426FF129"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52">
    <w:p w14:paraId="5B838716"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53">
    <w:p w14:paraId="5FE244FC"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ص88.</w:t>
      </w:r>
    </w:p>
  </w:footnote>
  <w:footnote w:id="54">
    <w:p w14:paraId="067D6A44"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ص156.</w:t>
      </w:r>
    </w:p>
  </w:footnote>
  <w:footnote w:id="55">
    <w:p w14:paraId="146269B4"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ص390.</w:t>
      </w:r>
    </w:p>
  </w:footnote>
  <w:footnote w:id="56">
    <w:p w14:paraId="1E7DDE4F"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57">
    <w:p w14:paraId="5DC62DDA"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ص575.</w:t>
      </w:r>
    </w:p>
  </w:footnote>
  <w:footnote w:id="58">
    <w:p w14:paraId="16D9E408"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ص215.</w:t>
      </w:r>
    </w:p>
  </w:footnote>
  <w:footnote w:id="59">
    <w:p w14:paraId="400DC698" w14:textId="77777777" w:rsidR="006A5DF6" w:rsidRDefault="006A5DF6" w:rsidP="00A91133">
      <w:pPr>
        <w:pStyle w:val="ae"/>
        <w:jc w:val="right"/>
        <w:rPr>
          <w:rtl/>
        </w:rPr>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60">
    <w:p w14:paraId="6B889E31" w14:textId="77777777" w:rsidR="006A5DF6" w:rsidRDefault="006A5DF6" w:rsidP="002A34EF">
      <w:pPr>
        <w:pStyle w:val="ae"/>
        <w:jc w:val="right"/>
        <w:rPr>
          <w:rtl/>
        </w:rPr>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61">
    <w:p w14:paraId="7329A9FF"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62">
    <w:p w14:paraId="206B8091"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63">
    <w:p w14:paraId="573007ED"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ص81.</w:t>
      </w:r>
    </w:p>
  </w:footnote>
  <w:footnote w:id="64">
    <w:p w14:paraId="68ACF359"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ص397.</w:t>
      </w:r>
    </w:p>
  </w:footnote>
  <w:footnote w:id="65">
    <w:p w14:paraId="4E009EE2"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ص67.</w:t>
      </w:r>
    </w:p>
  </w:footnote>
  <w:footnote w:id="66">
    <w:p w14:paraId="08DC201E"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67">
    <w:p w14:paraId="7FC8D478" w14:textId="77777777" w:rsidR="006A5DF6" w:rsidRDefault="006A5DF6" w:rsidP="002A34EF">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ص134.</w:t>
      </w:r>
    </w:p>
  </w:footnote>
  <w:footnote w:id="68">
    <w:p w14:paraId="568BFAED"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ص19.</w:t>
      </w:r>
    </w:p>
  </w:footnote>
  <w:footnote w:id="69">
    <w:p w14:paraId="53262F56"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ص581.</w:t>
      </w:r>
    </w:p>
  </w:footnote>
  <w:footnote w:id="70">
    <w:p w14:paraId="7AF2DCE4"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ص57.</w:t>
      </w:r>
    </w:p>
  </w:footnote>
  <w:footnote w:id="71">
    <w:p w14:paraId="5211112F" w14:textId="77777777" w:rsidR="006A5DF6" w:rsidRDefault="006A5DF6" w:rsidP="00925AAC">
      <w:pPr>
        <w:bidi/>
        <w:rPr>
          <w:sz w:val="16"/>
          <w:szCs w:val="16"/>
        </w:rPr>
      </w:pPr>
      <w:r>
        <w:rPr>
          <w:rStyle w:val="af"/>
        </w:rPr>
        <w:footnoteRef/>
      </w:r>
      <w:r>
        <w:t xml:space="preserve"> </w:t>
      </w:r>
      <w:r>
        <w:rPr>
          <w:sz w:val="18"/>
          <w:szCs w:val="18"/>
          <w:rtl/>
        </w:rPr>
        <w:t>الترتيبات التنظيمية للهيئة السعودية للبيانات والذكاء الاصطناعي (2020م). الصادرة بقرار مجلس الوزراء رقم (292) وتاريخ 1441/4/27هـ، المعدلة بقرار مجلس الوزراء رقم (195) وتاريخ 1444/3/15هـ. الرياض: مجلس الوزراء.</w:t>
      </w:r>
    </w:p>
  </w:footnote>
  <w:footnote w:id="72">
    <w:p w14:paraId="73CD29BD"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73">
    <w:p w14:paraId="20C7268E"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74">
    <w:p w14:paraId="131EE8D6"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75">
    <w:p w14:paraId="23D705A7"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ص99.</w:t>
      </w:r>
    </w:p>
  </w:footnote>
  <w:footnote w:id="76">
    <w:p w14:paraId="0B009C15"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ص203.</w:t>
      </w:r>
    </w:p>
  </w:footnote>
  <w:footnote w:id="77">
    <w:p w14:paraId="31707EE3"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ص51.</w:t>
      </w:r>
    </w:p>
  </w:footnote>
  <w:footnote w:id="78">
    <w:p w14:paraId="43C09937"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ص13.</w:t>
      </w:r>
    </w:p>
  </w:footnote>
  <w:footnote w:id="79">
    <w:p w14:paraId="4EC2A926"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ص1468.</w:t>
      </w:r>
    </w:p>
  </w:footnote>
  <w:footnote w:id="80">
    <w:p w14:paraId="1CDFEC4D" w14:textId="77777777" w:rsidR="006A5DF6" w:rsidRPr="0095427D" w:rsidRDefault="006A5DF6" w:rsidP="00A67437">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81">
    <w:p w14:paraId="5579031D" w14:textId="77777777" w:rsidR="006A5DF6" w:rsidRPr="0095427D" w:rsidRDefault="006A5DF6" w:rsidP="00A67437">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82">
    <w:p w14:paraId="1E7951C5" w14:textId="77777777" w:rsidR="006A5DF6" w:rsidRPr="0095427D" w:rsidRDefault="006A5DF6" w:rsidP="00A67437">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83">
    <w:p w14:paraId="2F42AB10"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84">
    <w:p w14:paraId="2BA95D01" w14:textId="77777777" w:rsidR="006A5DF6" w:rsidRDefault="006A5DF6" w:rsidP="00A67437">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85">
    <w:p w14:paraId="1B61C130" w14:textId="77777777" w:rsidR="006A5DF6" w:rsidRDefault="006A5DF6"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ص34.</w:t>
      </w:r>
    </w:p>
  </w:footnote>
  <w:footnote w:id="86">
    <w:p w14:paraId="103D0F67" w14:textId="77777777" w:rsidR="006A5DF6" w:rsidRDefault="006A5DF6"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ص563.</w:t>
      </w:r>
    </w:p>
  </w:footnote>
  <w:footnote w:id="87">
    <w:p w14:paraId="1184A867" w14:textId="77777777" w:rsidR="006A5DF6" w:rsidRDefault="006A5DF6"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88">
    <w:p w14:paraId="293D43EC" w14:textId="77777777" w:rsidR="006A5DF6" w:rsidRDefault="006A5DF6"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ص71.</w:t>
      </w:r>
    </w:p>
  </w:footnote>
  <w:footnote w:id="89">
    <w:p w14:paraId="2E6379AB" w14:textId="77777777" w:rsidR="006A5DF6" w:rsidRDefault="006A5DF6"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ص263.</w:t>
      </w:r>
    </w:p>
  </w:footnote>
  <w:footnote w:id="90">
    <w:p w14:paraId="393F7328" w14:textId="77777777" w:rsidR="006A5DF6" w:rsidRDefault="006A5DF6"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91">
    <w:p w14:paraId="52319DCC" w14:textId="77777777" w:rsidR="006A5DF6" w:rsidRDefault="006A5DF6"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92">
    <w:p w14:paraId="547F73E6" w14:textId="77777777" w:rsidR="006A5DF6" w:rsidRDefault="006A5DF6" w:rsidP="006C5012">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ص112.</w:t>
      </w:r>
    </w:p>
  </w:footnote>
  <w:footnote w:id="93">
    <w:p w14:paraId="388E21C3" w14:textId="77777777" w:rsidR="006A5DF6" w:rsidRDefault="006A5DF6" w:rsidP="006C5012">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94">
    <w:p w14:paraId="3FB1FC33" w14:textId="77777777" w:rsidR="006A5DF6" w:rsidRDefault="006A5DF6" w:rsidP="00A91133">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95">
    <w:p w14:paraId="2A24F982" w14:textId="77777777" w:rsidR="006A5DF6" w:rsidRPr="005562AF" w:rsidRDefault="006A5DF6" w:rsidP="00A91133">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96">
    <w:p w14:paraId="6784C6EB" w14:textId="77777777" w:rsidR="006A5DF6" w:rsidRDefault="006A5DF6" w:rsidP="004B4795">
      <w:pPr>
        <w:bidi/>
        <w:rPr>
          <w:sz w:val="16"/>
          <w:szCs w:val="16"/>
        </w:rPr>
      </w:pPr>
      <w:r>
        <w:rPr>
          <w:rStyle w:val="af"/>
        </w:rPr>
        <w:footnoteRef/>
      </w:r>
      <w:r>
        <w:t xml:space="preserve"> </w:t>
      </w:r>
      <w:r>
        <w:rPr>
          <w:sz w:val="18"/>
          <w:szCs w:val="18"/>
          <w:rtl/>
        </w:rPr>
        <w:t>الهيئة السعودية للبيانات والذكاء الاصطناعي (سدايا) (2025م). الدليل الاسترشادي لتقويم مخاطر نقل البيانات الشخصية إلى خارج المملكة أو الإفصاح عنها لجهات خارج المملكة. الرياض: سدايا، فبراير 2025م.</w:t>
      </w:r>
    </w:p>
  </w:footnote>
  <w:footnote w:id="97">
    <w:p w14:paraId="6BD00547" w14:textId="77777777" w:rsidR="006A5DF6" w:rsidRDefault="006A5DF6" w:rsidP="00E2355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98">
    <w:p w14:paraId="266761D1" w14:textId="77777777" w:rsidR="006A5DF6" w:rsidRPr="00A918AE" w:rsidRDefault="006A5DF6" w:rsidP="00E23555">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99">
    <w:p w14:paraId="67204D7D" w14:textId="77777777" w:rsidR="006A5DF6" w:rsidRDefault="006A5DF6" w:rsidP="00E23555">
      <w:pPr>
        <w:pStyle w:val="ae"/>
        <w:jc w:val="right"/>
      </w:pPr>
      <w:r>
        <w:rPr>
          <w:rStyle w:val="af"/>
        </w:rPr>
        <w:footnoteRef/>
      </w:r>
      <w:r>
        <w:t xml:space="preserve"> </w:t>
      </w:r>
      <w:r>
        <w:rPr>
          <w:sz w:val="18"/>
          <w:szCs w:val="18"/>
          <w:rtl/>
        </w:rPr>
        <w:t>إسماعيل، م. ش. (2023). تأثير الذكاء الاصطناعي على المهن القانونية. بحث منشور.</w:t>
      </w:r>
    </w:p>
  </w:footnote>
  <w:footnote w:id="100">
    <w:p w14:paraId="5D49A7F3" w14:textId="77777777" w:rsidR="006A5DF6" w:rsidRDefault="006A5DF6" w:rsidP="00E23555">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101">
    <w:p w14:paraId="6DBCF290" w14:textId="77777777" w:rsidR="006A5DF6" w:rsidRDefault="006A5DF6" w:rsidP="00E23555">
      <w:pPr>
        <w:pStyle w:val="ae"/>
        <w:jc w:val="right"/>
        <w:rPr>
          <w:rtl/>
        </w:rPr>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102">
    <w:p w14:paraId="04B25DA0" w14:textId="77777777" w:rsidR="006A5DF6" w:rsidRPr="003A40AC" w:rsidRDefault="006A5DF6" w:rsidP="00E23555">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w:t>
      </w:r>
    </w:p>
  </w:footnote>
  <w:footnote w:id="103">
    <w:p w14:paraId="49BE7866" w14:textId="77777777" w:rsidR="006A5DF6" w:rsidRPr="008D5357" w:rsidRDefault="006A5DF6" w:rsidP="00191993">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04">
    <w:p w14:paraId="2B1DC084" w14:textId="77777777" w:rsidR="006A5DF6" w:rsidRDefault="006A5DF6"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105">
    <w:p w14:paraId="2F6F4B2A" w14:textId="77777777" w:rsidR="006A5DF6" w:rsidRDefault="006A5DF6" w:rsidP="004B4795">
      <w:pPr>
        <w:bidi/>
        <w:rPr>
          <w:sz w:val="16"/>
          <w:szCs w:val="16"/>
        </w:rPr>
      </w:pPr>
      <w:r>
        <w:rPr>
          <w:rStyle w:val="af"/>
        </w:rPr>
        <w:footnoteRef/>
      </w:r>
      <w:r>
        <w:t xml:space="preserve"> </w:t>
      </w:r>
      <w:r>
        <w:rPr>
          <w:sz w:val="18"/>
          <w:szCs w:val="18"/>
          <w:rtl/>
        </w:rPr>
        <w:t>الهيئة السعودية للبيانات والذكاء الاصطناعي (سدايا) (2024م). إطار تبني الذكاء الاصطناعي. الرياض: سدايا، سبتمبر 2024م، ص4-12.</w:t>
      </w:r>
    </w:p>
  </w:footnote>
  <w:footnote w:id="106">
    <w:p w14:paraId="5BA36179" w14:textId="77777777" w:rsidR="006A5DF6" w:rsidRDefault="006A5DF6"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107">
    <w:p w14:paraId="25DF4948" w14:textId="77777777" w:rsidR="006A5DF6" w:rsidRDefault="006A5DF6"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ص57.</w:t>
      </w:r>
    </w:p>
  </w:footnote>
  <w:footnote w:id="108">
    <w:p w14:paraId="020B1F55" w14:textId="77777777" w:rsidR="006A5DF6" w:rsidRDefault="006A5DF6" w:rsidP="00191993">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ص178.</w:t>
      </w:r>
    </w:p>
  </w:footnote>
  <w:footnote w:id="109">
    <w:p w14:paraId="7FBDC0FD" w14:textId="77777777" w:rsidR="006A5DF6" w:rsidRDefault="006A5DF6"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ص1452.</w:t>
      </w:r>
    </w:p>
  </w:footnote>
  <w:footnote w:id="110">
    <w:p w14:paraId="2DA1A432" w14:textId="77777777" w:rsidR="006A5DF6" w:rsidRDefault="006A5DF6"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علي، سعاد حسني محمد (د.ت). الذكاء الاصطناعي ودوره في إبرام العقود التجارية. مجلة الشريعة والقانون، جامعة الأزهر. ISSN-P: 1110-3779.</w:t>
      </w:r>
    </w:p>
  </w:footnote>
  <w:footnote w:id="111">
    <w:p w14:paraId="2D24ED81" w14:textId="77777777" w:rsidR="006A5DF6" w:rsidRDefault="006A5DF6" w:rsidP="0010656B">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ص25.</w:t>
      </w:r>
    </w:p>
  </w:footnote>
  <w:footnote w:id="112">
    <w:p w14:paraId="7CB83172"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113">
    <w:p w14:paraId="414DDC79"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ص371.</w:t>
      </w:r>
    </w:p>
  </w:footnote>
  <w:footnote w:id="114">
    <w:p w14:paraId="630FE3C0"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ص105.</w:t>
      </w:r>
    </w:p>
  </w:footnote>
  <w:footnote w:id="115">
    <w:p w14:paraId="73A115C3"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116">
    <w:p w14:paraId="05CCD1F4"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ص1455.</w:t>
      </w:r>
    </w:p>
  </w:footnote>
  <w:footnote w:id="117">
    <w:p w14:paraId="1D9F37B6" w14:textId="77777777" w:rsidR="006A5DF6" w:rsidRDefault="006A5DF6" w:rsidP="000D4B35">
      <w:pPr>
        <w:bidi/>
        <w:rPr>
          <w:sz w:val="16"/>
          <w:szCs w:val="16"/>
        </w:rPr>
      </w:pPr>
      <w:r>
        <w:rPr>
          <w:rStyle w:val="af"/>
        </w:rPr>
        <w:footnoteRef/>
      </w:r>
      <w:r>
        <w:t xml:space="preserve"> </w:t>
      </w:r>
      <w:r>
        <w:rPr>
          <w:sz w:val="18"/>
          <w:szCs w:val="18"/>
          <w:rtl/>
        </w:rPr>
        <w:t>لقرب، سامية (2024م). الذكاء الاصطناعي والآثار القانونية المترتبة عن استخدامه. مجلة المحترف، المجلد 11، العدد 4، ص236-253.</w:t>
      </w:r>
    </w:p>
  </w:footnote>
  <w:footnote w:id="118">
    <w:p w14:paraId="00291232" w14:textId="77777777" w:rsidR="006A5DF6" w:rsidRPr="00D150CD" w:rsidRDefault="006A5DF6" w:rsidP="000D4B35">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19">
    <w:p w14:paraId="42ABA9CF" w14:textId="77777777" w:rsidR="006A5DF6" w:rsidRPr="00D150CD" w:rsidRDefault="006A5DF6" w:rsidP="000D4B35">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20">
    <w:p w14:paraId="4E9E3308" w14:textId="77777777" w:rsidR="006A5DF6" w:rsidRPr="00D150CD" w:rsidRDefault="006A5DF6" w:rsidP="000D4B35">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121">
    <w:p w14:paraId="2618910D" w14:textId="77777777" w:rsidR="006A5DF6" w:rsidRPr="00D150CD" w:rsidRDefault="006A5DF6" w:rsidP="000D4B3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22">
    <w:p w14:paraId="17815CB8" w14:textId="77777777" w:rsidR="006A5DF6" w:rsidRPr="00D150CD" w:rsidRDefault="006A5DF6" w:rsidP="00BA3890">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w:t>
      </w:r>
    </w:p>
  </w:footnote>
  <w:footnote w:id="123">
    <w:p w14:paraId="58CEACC6" w14:textId="77777777" w:rsidR="006A5DF6" w:rsidRPr="00D150CD" w:rsidRDefault="006A5DF6" w:rsidP="00BA3890">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24">
    <w:p w14:paraId="0BC70F09" w14:textId="77777777" w:rsidR="006A5DF6" w:rsidRPr="00D150CD" w:rsidRDefault="006A5DF6" w:rsidP="00BA3890">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25">
    <w:p w14:paraId="6E987D58" w14:textId="77777777" w:rsidR="006A5DF6" w:rsidRPr="00D150CD" w:rsidRDefault="006A5DF6" w:rsidP="00BA3890">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26">
    <w:p w14:paraId="6B0D9832" w14:textId="77777777" w:rsidR="006A5DF6" w:rsidRDefault="006A5DF6" w:rsidP="004B4795">
      <w:pPr>
        <w:bidi/>
        <w:rPr>
          <w:sz w:val="16"/>
          <w:szCs w:val="16"/>
        </w:rPr>
      </w:pPr>
      <w:r>
        <w:rPr>
          <w:rStyle w:val="af"/>
        </w:rPr>
        <w:footnoteRef/>
      </w:r>
      <w:r>
        <w:t xml:space="preserve"> </w:t>
      </w:r>
      <w:r>
        <w:rPr>
          <w:sz w:val="18"/>
          <w:szCs w:val="18"/>
          <w:rtl/>
        </w:rPr>
        <w:t>الهيئة السعودية للبيانات والذكاء الاصطناعي (سدايا) (2023م). مبادئ أخلاقيات الذكاء الاصطناعي. الرياض: سدايا، الإصدار الأول، سبتمبر 2023م.</w:t>
      </w:r>
    </w:p>
  </w:footnote>
  <w:footnote w:id="127">
    <w:p w14:paraId="0394A07E" w14:textId="77777777" w:rsidR="006A5DF6" w:rsidRPr="00F237E4" w:rsidRDefault="006A5DF6" w:rsidP="00301A79">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28">
    <w:p w14:paraId="77DDABA8" w14:textId="77777777" w:rsidR="006A5DF6" w:rsidRPr="00F237E4" w:rsidRDefault="006A5DF6" w:rsidP="00301A79">
      <w:pPr>
        <w:pStyle w:val="ae"/>
        <w:jc w:val="right"/>
      </w:pPr>
      <w:r>
        <w:rPr>
          <w:rStyle w:val="af"/>
        </w:rPr>
        <w:footnoteRef/>
      </w:r>
      <w:r>
        <w:t xml:space="preserve"> </w:t>
      </w:r>
      <w:r>
        <w:rPr>
          <w:sz w:val="18"/>
          <w:szCs w:val="18"/>
          <w:rtl/>
        </w:rPr>
        <w:t>الربيع، م. (2022). المسؤولية المدنية عن أفعال الذكاء الاصطناعي (رسالة ماجستير). جامعة سعودية.</w:t>
      </w:r>
    </w:p>
  </w:footnote>
  <w:footnote w:id="129">
    <w:p w14:paraId="0E0F3A7B" w14:textId="77777777" w:rsidR="006A5DF6" w:rsidRPr="00F237E4" w:rsidRDefault="006A5DF6" w:rsidP="00301A79">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30">
    <w:p w14:paraId="79432A44" w14:textId="77777777" w:rsidR="006A5DF6" w:rsidRPr="00F237E4" w:rsidRDefault="006A5DF6" w:rsidP="00301A79">
      <w:pPr>
        <w:pStyle w:val="ae"/>
        <w:jc w:val="right"/>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31">
    <w:p w14:paraId="20B96BA4" w14:textId="77777777" w:rsidR="006A5DF6" w:rsidRDefault="006A5DF6" w:rsidP="004B4795">
      <w:pPr>
        <w:bidi/>
        <w:rPr>
          <w:sz w:val="16"/>
          <w:szCs w:val="16"/>
        </w:rPr>
      </w:pPr>
      <w:r>
        <w:rPr>
          <w:rStyle w:val="af"/>
        </w:rPr>
        <w:footnoteRef/>
      </w:r>
      <w:r>
        <w:t xml:space="preserve"> </w:t>
      </w:r>
      <w:r>
        <w:rPr>
          <w:sz w:val="18"/>
          <w:szCs w:val="18"/>
          <w:rtl/>
        </w:rPr>
        <w:t>مركز الدراسات والبحوث القانونية (2024م). استخدام الذكاء الاصطناعي في المحاكم. الرياض: إعداد بالتعاون مع خبراء دوليين ومختصين، بهدف إثراء البيئة القانونية في المملكة العربية السعودية.</w:t>
      </w:r>
    </w:p>
  </w:footnote>
  <w:footnote w:id="132">
    <w:p w14:paraId="04632CA7" w14:textId="77777777" w:rsidR="006A5DF6" w:rsidRPr="00957EC0" w:rsidRDefault="006A5DF6" w:rsidP="00301A79">
      <w:pPr>
        <w:pStyle w:val="ae"/>
        <w:jc w:val="right"/>
      </w:pPr>
      <w:r>
        <w:rPr>
          <w:rStyle w:val="af"/>
        </w:rPr>
        <w:footnoteRef/>
      </w:r>
      <w:r>
        <w:t xml:space="preserve"> </w:t>
      </w:r>
      <w:r>
        <w:rPr>
          <w:sz w:val="18"/>
          <w:szCs w:val="18"/>
          <w:rtl/>
        </w:rPr>
        <w:t>بلال، ف. (2023). دور الذكاء الاصطناعي في تعزيز العدالة الناجزة (رسالة ماجستير). جامعة سعودية.</w:t>
      </w:r>
    </w:p>
  </w:footnote>
  <w:footnote w:id="133">
    <w:p w14:paraId="6BB4AD60" w14:textId="77777777" w:rsidR="006A5DF6" w:rsidRPr="00957EC0" w:rsidRDefault="006A5DF6" w:rsidP="000D4B35">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34">
    <w:p w14:paraId="0D6C2A3F"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135">
    <w:p w14:paraId="099D7BCC"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ص74.</w:t>
      </w:r>
    </w:p>
  </w:footnote>
  <w:footnote w:id="136">
    <w:p w14:paraId="79A2EA77"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ص568.</w:t>
      </w:r>
    </w:p>
  </w:footnote>
  <w:footnote w:id="137">
    <w:p w14:paraId="7A09E19F"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ص7.</w:t>
      </w:r>
    </w:p>
  </w:footnote>
  <w:footnote w:id="138">
    <w:p w14:paraId="68217D7B"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ص267.</w:t>
      </w:r>
    </w:p>
  </w:footnote>
  <w:footnote w:id="139">
    <w:p w14:paraId="67D7C71A"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ص403.</w:t>
      </w:r>
    </w:p>
  </w:footnote>
  <w:footnote w:id="140">
    <w:p w14:paraId="5BFE0E1B" w14:textId="77777777" w:rsidR="006A5DF6" w:rsidRPr="00957EC0" w:rsidRDefault="006A5DF6" w:rsidP="00301A79">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41">
    <w:p w14:paraId="3C6FFD99" w14:textId="77777777" w:rsidR="006A5DF6" w:rsidRPr="00957EC0" w:rsidRDefault="006A5DF6" w:rsidP="00301A79">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142">
    <w:p w14:paraId="2F609D9E" w14:textId="77777777" w:rsidR="006A5DF6" w:rsidRPr="00957EC0" w:rsidRDefault="006A5DF6" w:rsidP="000D4B35">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143">
    <w:p w14:paraId="288B715E" w14:textId="77777777" w:rsidR="006A5DF6" w:rsidRPr="00957EC0" w:rsidRDefault="006A5DF6" w:rsidP="000D4B35">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44">
    <w:p w14:paraId="0888FB1E" w14:textId="77777777" w:rsidR="006A5DF6" w:rsidRDefault="006A5DF6" w:rsidP="000D4B35">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المجلة العربية للنشر العلمي، ص375-378.</w:t>
      </w:r>
    </w:p>
  </w:footnote>
  <w:footnote w:id="145">
    <w:p w14:paraId="0A166AD2" w14:textId="77777777" w:rsidR="006A5DF6" w:rsidRDefault="006A5DF6" w:rsidP="004B4795">
      <w:pPr>
        <w:bidi/>
        <w:rPr>
          <w:sz w:val="16"/>
          <w:szCs w:val="16"/>
        </w:rPr>
      </w:pPr>
      <w:r>
        <w:rPr>
          <w:rStyle w:val="af"/>
        </w:rPr>
        <w:footnoteRef/>
      </w:r>
      <w:r>
        <w:t xml:space="preserve"> </w:t>
      </w:r>
      <w:r>
        <w:rPr>
          <w:sz w:val="18"/>
          <w:szCs w:val="18"/>
          <w:rtl/>
        </w:rPr>
        <w:t>المملكة العربية السعودية (1428هـ). نظام مكافحة الجرائم المعلوماتية الصادر بالمرسوم الملكي رقم م/17 وتاريخ 8/3/1428هـ. الرياض: الأمانة العامة لمجلس الوزراء.</w:t>
      </w:r>
    </w:p>
  </w:footnote>
  <w:footnote w:id="146">
    <w:p w14:paraId="190CA141" w14:textId="77777777" w:rsidR="006A5DF6" w:rsidRDefault="006A5DF6" w:rsidP="004B4795">
      <w:pPr>
        <w:bidi/>
        <w:rPr>
          <w:sz w:val="16"/>
          <w:szCs w:val="16"/>
        </w:rPr>
      </w:pPr>
      <w:r>
        <w:rPr>
          <w:rStyle w:val="af"/>
        </w:rPr>
        <w:footnoteRef/>
      </w:r>
      <w:r>
        <w:t xml:space="preserve"> </w:t>
      </w:r>
      <w:r>
        <w:rPr>
          <w:sz w:val="18"/>
          <w:szCs w:val="18"/>
          <w:rtl/>
        </w:rPr>
        <w:t>المالكي، خالد بن عبد الرحيم (2024م). المسؤولية المدنية عن فعل الذكاء الاصطناعي في النظام السعودي - دراسة تحليلية تأصيلية. مجلة البحوث الفقهية والقانونية، جامعة الأزهر، عدد 47، ص1767.</w:t>
      </w:r>
    </w:p>
  </w:footnote>
  <w:footnote w:id="147">
    <w:p w14:paraId="1492FF7A" w14:textId="77777777" w:rsidR="006A5DF6" w:rsidRDefault="006A5DF6" w:rsidP="004B4795">
      <w:pPr>
        <w:bidi/>
        <w:rPr>
          <w:sz w:val="16"/>
          <w:szCs w:val="16"/>
        </w:rPr>
      </w:pPr>
      <w:r>
        <w:rPr>
          <w:rStyle w:val="af"/>
        </w:rPr>
        <w:footnoteRef/>
      </w:r>
      <w:r>
        <w:t xml:space="preserve"> </w:t>
      </w:r>
      <w:r>
        <w:rPr>
          <w:sz w:val="18"/>
          <w:szCs w:val="18"/>
          <w:rtl/>
        </w:rPr>
        <w:t>التونسي، آيات أحمد؛ والمعلم، سليمان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ص368.</w:t>
      </w:r>
    </w:p>
  </w:footnote>
  <w:footnote w:id="148">
    <w:p w14:paraId="665F9C06" w14:textId="77777777" w:rsidR="006A5DF6" w:rsidRPr="00F532FA" w:rsidRDefault="006A5DF6" w:rsidP="002029E8">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49">
    <w:p w14:paraId="7CF16E90" w14:textId="77777777" w:rsidR="006A5DF6" w:rsidRPr="00F532FA" w:rsidRDefault="006A5DF6" w:rsidP="002029E8">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150">
    <w:p w14:paraId="552B8917"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بالل، فاطمة عبد العزيز حسن أحمد (2023م). دور الذكاء الاصطناعي في تعزيز العدالة الناجزة أمام القضاء - دراسة مقارنة. رسالة ماجستير، كلية القانون، جامعة قطر.</w:t>
      </w:r>
    </w:p>
  </w:footnote>
  <w:footnote w:id="151">
    <w:p w14:paraId="02371E16"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152">
    <w:p w14:paraId="1789E698"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153">
    <w:p w14:paraId="20601C55"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ص7.</w:t>
      </w:r>
    </w:p>
  </w:footnote>
  <w:footnote w:id="154">
    <w:p w14:paraId="222B9B75"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ص89.</w:t>
      </w:r>
    </w:p>
  </w:footnote>
  <w:footnote w:id="155">
    <w:p w14:paraId="7DF7A247"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ص156.</w:t>
      </w:r>
    </w:p>
  </w:footnote>
  <w:footnote w:id="156">
    <w:p w14:paraId="201988A3"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ص88.</w:t>
      </w:r>
    </w:p>
  </w:footnote>
  <w:footnote w:id="157">
    <w:p w14:paraId="0E9B9F06"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ص403.</w:t>
      </w:r>
    </w:p>
  </w:footnote>
  <w:footnote w:id="158">
    <w:p w14:paraId="03305970"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ص42.</w:t>
      </w:r>
    </w:p>
  </w:footnote>
  <w:footnote w:id="159">
    <w:p w14:paraId="70E3D043"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ص575.</w:t>
      </w:r>
    </w:p>
  </w:footnote>
  <w:footnote w:id="160">
    <w:p w14:paraId="6EB98B7B"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ص84.</w:t>
      </w:r>
    </w:p>
  </w:footnote>
  <w:footnote w:id="161">
    <w:p w14:paraId="5F28E93D" w14:textId="77777777" w:rsidR="006A5DF6" w:rsidRDefault="006A5DF6" w:rsidP="004B4795">
      <w:pPr>
        <w:bidi/>
        <w:rPr>
          <w:sz w:val="16"/>
          <w:szCs w:val="16"/>
        </w:rPr>
      </w:pPr>
      <w:r>
        <w:rPr>
          <w:rStyle w:val="af"/>
        </w:rPr>
        <w:footnoteRef/>
      </w:r>
      <w:r>
        <w:t xml:space="preserve"> </w:t>
      </w:r>
      <w:r>
        <w:rPr>
          <w:sz w:val="18"/>
          <w:szCs w:val="18"/>
          <w:rtl/>
        </w:rPr>
        <w:t>المالكي، خالد بن عبد الرحيم (2024م). المسؤولية المدنية عن فعل الذكاء الاصطناعي في النظام السعودي. مجلة البحوث الفقهية والقانونية، جامعة الأزهر، ص1780-1785.</w:t>
      </w:r>
    </w:p>
  </w:footnote>
  <w:footnote w:id="162">
    <w:p w14:paraId="3F88B73B" w14:textId="77777777" w:rsidR="006A5DF6" w:rsidRDefault="006A5DF6" w:rsidP="004B4795">
      <w:pPr>
        <w:bidi/>
        <w:rPr>
          <w:sz w:val="16"/>
          <w:szCs w:val="16"/>
        </w:rPr>
      </w:pPr>
      <w:r>
        <w:rPr>
          <w:rStyle w:val="af"/>
        </w:rPr>
        <w:footnoteRef/>
      </w:r>
      <w:r>
        <w:t xml:space="preserve"> </w:t>
      </w:r>
      <w:r>
        <w:rPr>
          <w:sz w:val="18"/>
          <w:szCs w:val="18"/>
          <w:rtl/>
        </w:rPr>
        <w:t>إسماعيل، محمد شحادة (2025م). تأثير الذكاء الاصطناعي على المهن القانونية. مجلة الباحث العربي، مجلد 6، عدد 1، نشر بتاريخ 30 مارس 2025م. https://doi.org/10.57072/ar.v6i1.159</w:t>
      </w:r>
    </w:p>
  </w:footnote>
  <w:footnote w:id="163">
    <w:p w14:paraId="7AEA25C0" w14:textId="77777777" w:rsidR="006A5DF6" w:rsidRPr="0063436A" w:rsidRDefault="006A5DF6" w:rsidP="00624037">
      <w:pPr>
        <w:pStyle w:val="ae"/>
        <w:jc w:val="right"/>
      </w:pPr>
      <w:r>
        <w:rPr>
          <w:rStyle w:val="af"/>
        </w:rPr>
        <w:footnoteRef/>
      </w:r>
      <w:r>
        <w:t xml:space="preserve"> </w:t>
      </w:r>
      <w:r>
        <w:rPr>
          <w:sz w:val="18"/>
          <w:szCs w:val="18"/>
          <w:rtl/>
        </w:rPr>
        <w:t>هيئة الخبراء بمجلس الوزراء. (1422هـ). نظام المحاماة. المملكة العربية السعودية.</w:t>
      </w:r>
    </w:p>
  </w:footnote>
  <w:footnote w:id="164">
    <w:p w14:paraId="03B7365B" w14:textId="77777777" w:rsidR="006A5DF6" w:rsidRPr="0063436A" w:rsidRDefault="006A5DF6"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65">
    <w:p w14:paraId="26AD016D" w14:textId="77777777" w:rsidR="006A5DF6" w:rsidRPr="0063436A" w:rsidRDefault="006A5DF6"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66">
    <w:p w14:paraId="561C6732" w14:textId="77777777" w:rsidR="006A5DF6" w:rsidRDefault="006A5DF6"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67">
    <w:p w14:paraId="1AAFD6A3" w14:textId="77777777" w:rsidR="006A5DF6" w:rsidRPr="0063436A" w:rsidRDefault="006A5DF6" w:rsidP="00624037">
      <w:pPr>
        <w:pStyle w:val="ae"/>
        <w:jc w:val="right"/>
      </w:pPr>
      <w:r>
        <w:rPr>
          <w:rStyle w:val="af"/>
        </w:rPr>
        <w:footnoteRef/>
      </w:r>
      <w:r>
        <w:t xml:space="preserve"> </w:t>
      </w:r>
      <w:r>
        <w:rPr>
          <w:sz w:val="18"/>
          <w:szCs w:val="18"/>
          <w:rtl/>
        </w:rPr>
        <w:t>هيئة الخبراء بمجلس الوزراء. (1443هـ). نظام حماية البيانات الشخصية. المملكة العربية السعودية.</w:t>
      </w:r>
    </w:p>
  </w:footnote>
  <w:footnote w:id="168">
    <w:p w14:paraId="66C9ED26" w14:textId="77777777" w:rsidR="006A5DF6" w:rsidRPr="0063436A" w:rsidRDefault="006A5DF6" w:rsidP="000D4B3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69">
    <w:p w14:paraId="6B9BC503" w14:textId="77777777" w:rsidR="006A5DF6" w:rsidRPr="0063436A" w:rsidRDefault="006A5DF6" w:rsidP="000D4B35">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170">
    <w:p w14:paraId="51E1E7BE" w14:textId="77777777" w:rsidR="006A5DF6" w:rsidRPr="0063436A" w:rsidRDefault="006A5DF6" w:rsidP="000D4B35">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171">
    <w:p w14:paraId="62845457" w14:textId="77777777" w:rsidR="006A5DF6" w:rsidRDefault="006A5DF6" w:rsidP="000D4B35">
      <w:pPr>
        <w:pStyle w:val="ae"/>
        <w:jc w:val="right"/>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 Journal of Legal Research.</w:t>
      </w:r>
    </w:p>
  </w:footnote>
  <w:footnote w:id="172">
    <w:p w14:paraId="09A4722A" w14:textId="77777777" w:rsidR="006A5DF6" w:rsidRDefault="006A5DF6" w:rsidP="000D4B35">
      <w:pPr>
        <w:pStyle w:val="ae"/>
        <w:jc w:val="right"/>
        <w:rPr>
          <w:rtl/>
        </w:rPr>
      </w:pPr>
      <w:r>
        <w:rPr>
          <w:rStyle w:val="af"/>
        </w:rPr>
        <w:footnoteRef/>
      </w:r>
      <w:r>
        <w:t xml:space="preserve"> </w:t>
      </w:r>
      <w:r>
        <w:rPr>
          <w:sz w:val="18"/>
          <w:szCs w:val="18"/>
          <w:rtl/>
        </w:rPr>
        <w:t>العلي، ع. ع. (2024). الذكاء الاصطناعي ودوره في إبرام العقود التجارية الذكية. بحث علمي منشور.</w:t>
      </w:r>
    </w:p>
  </w:footnote>
  <w:footnote w:id="173">
    <w:p w14:paraId="04BC5F99" w14:textId="77777777" w:rsidR="006A5DF6" w:rsidRPr="00DA5441" w:rsidRDefault="006A5DF6" w:rsidP="000D4B35">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174">
    <w:p w14:paraId="49AC15BF"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ص81.</w:t>
      </w:r>
    </w:p>
  </w:footnote>
  <w:footnote w:id="175">
    <w:p w14:paraId="69CB1DD2"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ص110.</w:t>
      </w:r>
    </w:p>
  </w:footnote>
  <w:footnote w:id="176">
    <w:p w14:paraId="3043EE89"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ص363.</w:t>
      </w:r>
    </w:p>
  </w:footnote>
  <w:footnote w:id="177">
    <w:p w14:paraId="3922D12A"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ص298.</w:t>
      </w:r>
    </w:p>
  </w:footnote>
  <w:footnote w:id="178">
    <w:p w14:paraId="07BF1878" w14:textId="77777777" w:rsidR="006A5DF6" w:rsidRPr="00DA5441" w:rsidRDefault="006A5DF6" w:rsidP="000D4B35">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79">
    <w:p w14:paraId="491A6FC3" w14:textId="77777777" w:rsidR="006A5DF6" w:rsidRPr="00DA5441" w:rsidRDefault="006A5DF6" w:rsidP="000D4B35">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80">
    <w:p w14:paraId="163E6036" w14:textId="77777777" w:rsidR="006A5DF6" w:rsidRDefault="006A5DF6" w:rsidP="000D4B35">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81">
    <w:p w14:paraId="71FDBF52"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مركز الدراسات والبحوث القانونية (2024م). استخدام الذكاء الاصطناعي في المحاكم. وزارة العدل، المملكة العربية السعودية.</w:t>
      </w:r>
    </w:p>
  </w:footnote>
  <w:footnote w:id="182">
    <w:p w14:paraId="2EA1A679" w14:textId="77777777" w:rsidR="006A5DF6" w:rsidRDefault="006A5DF6" w:rsidP="000D4B3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(د.ت). الضوابط القانونية للذكاء الاصطناعي في إبرام المعاملات القانونية. قسم القانون، الجامعة السعودية الإلكترونية، الرياض.</w:t>
      </w:r>
    </w:p>
  </w:footnote>
  <w:footnote w:id="183">
    <w:p w14:paraId="0A7C4933" w14:textId="77777777" w:rsidR="006A5DF6" w:rsidRDefault="006A5DF6" w:rsidP="004E4D2E">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184">
    <w:p w14:paraId="5D10E9D0" w14:textId="77777777" w:rsidR="006A5DF6" w:rsidRDefault="006A5DF6" w:rsidP="004E4D2E">
      <w:pPr>
        <w:bidi/>
        <w:rPr>
          <w:sz w:val="16"/>
          <w:szCs w:val="16"/>
        </w:rPr>
      </w:pPr>
      <w:r>
        <w:rPr>
          <w:rStyle w:val="af"/>
        </w:rPr>
        <w:footnoteRef/>
      </w:r>
      <w:r>
        <w:t xml:space="preserve"> </w:t>
      </w:r>
      <w:r>
        <w:rPr>
          <w:sz w:val="18"/>
          <w:szCs w:val="18"/>
          <w:rtl/>
        </w:rPr>
        <w:t>أبو العيد، طاهر (2022م). الذكاء الاصطناعي والقانون. نائب رئيس محكمة الاستئناف، ضمن سلسلة المعرفة القانونية. منشور عبر ResearchGate. https://www.researchgate.net/publication/361722936</w:t>
      </w:r>
    </w:p>
  </w:footnote>
  <w:footnote w:id="185">
    <w:p w14:paraId="6CE6CAEB" w14:textId="77777777" w:rsidR="006A5DF6" w:rsidRPr="00CF4F0F" w:rsidRDefault="006A5DF6"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86">
    <w:p w14:paraId="6D038AF6" w14:textId="77777777" w:rsidR="006A5DF6" w:rsidRPr="00CF4F0F" w:rsidRDefault="006A5DF6"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87">
    <w:p w14:paraId="3BF6E74B" w14:textId="77777777" w:rsidR="006A5DF6" w:rsidRDefault="006A5DF6"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88">
    <w:p w14:paraId="0A13FFB1" w14:textId="77777777" w:rsidR="006A5DF6" w:rsidRDefault="006A5DF6" w:rsidP="004B4795">
      <w:pPr>
        <w:bidi/>
        <w:rPr>
          <w:sz w:val="16"/>
          <w:szCs w:val="16"/>
        </w:rPr>
      </w:pPr>
      <w:r>
        <w:rPr>
          <w:rStyle w:val="af"/>
        </w:rPr>
        <w:footnoteRef/>
      </w:r>
      <w:r>
        <w:t xml:space="preserve"> </w:t>
      </w:r>
      <w:r>
        <w:rPr>
          <w:sz w:val="18"/>
          <w:szCs w:val="18"/>
          <w:rtl/>
        </w:rPr>
        <w:t>مرسي، محمد إبراهيم عبد المنعم (2023م). مدى ملاءمة عقود الذكاء الاصطناعي المبرمة عبر تقنية البلوك تشين لقانون العقود. مجلة البحوث الفقهية والقانونية، جامعة الأزهر، ص913.</w:t>
      </w:r>
    </w:p>
  </w:footnote>
  <w:footnote w:id="189">
    <w:p w14:paraId="3C44DBCE" w14:textId="77777777" w:rsidR="006A5DF6" w:rsidRDefault="006A5DF6" w:rsidP="004B4795">
      <w:pPr>
        <w:bidi/>
        <w:rPr>
          <w:sz w:val="16"/>
          <w:szCs w:val="16"/>
        </w:rPr>
      </w:pPr>
      <w:r>
        <w:rPr>
          <w:rStyle w:val="af"/>
        </w:rPr>
        <w:footnoteRef/>
      </w:r>
      <w:r>
        <w:t xml:space="preserve"> </w:t>
      </w:r>
      <w:r>
        <w:rPr>
          <w:sz w:val="18"/>
          <w:szCs w:val="18"/>
          <w:rtl/>
        </w:rPr>
        <w:t>علي، سعاد حسني محمد (د.ت). الذكاء الاصطناعي ودوره في إبرام العقود التجارية. قسم القانون التجاري والبحري، كلية الحقوق، جامعة عين شمس.</w:t>
      </w:r>
    </w:p>
  </w:footnote>
  <w:footnote w:id="190">
    <w:p w14:paraId="38B131A6" w14:textId="77777777" w:rsidR="006A5DF6" w:rsidRDefault="006A5DF6" w:rsidP="00624037">
      <w:pPr>
        <w:pStyle w:val="ae"/>
        <w:jc w:val="right"/>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 Journal of Legal Research.</w:t>
      </w:r>
    </w:p>
  </w:footnote>
  <w:footnote w:id="191">
    <w:p w14:paraId="00CA6F8C" w14:textId="77777777" w:rsidR="006A5DF6" w:rsidRPr="00CF4F0F" w:rsidRDefault="006A5DF6" w:rsidP="00624037">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192">
    <w:p w14:paraId="7125F0D9" w14:textId="77777777" w:rsidR="006A5DF6" w:rsidRPr="00CF4F0F" w:rsidRDefault="006A5DF6" w:rsidP="00624037">
      <w:pPr>
        <w:pStyle w:val="ae"/>
        <w:jc w:val="right"/>
      </w:pPr>
      <w:r>
        <w:rPr>
          <w:rStyle w:val="af"/>
        </w:rPr>
        <w:footnoteRef/>
      </w:r>
      <w:r>
        <w:t xml:space="preserve"> </w:t>
      </w:r>
      <w:r>
        <w:rPr>
          <w:sz w:val="18"/>
          <w:szCs w:val="18"/>
          <w:rtl/>
        </w:rPr>
        <w:t>مجلة الشريعة والقانون. (2022). الذكاء الاصطناعي والعمل القضائي. كلية القانون، جامعة الإمارات العربية المتحدة، (99).</w:t>
      </w:r>
    </w:p>
  </w:footnote>
  <w:footnote w:id="193">
    <w:p w14:paraId="5795AE5E" w14:textId="77777777" w:rsidR="006A5DF6" w:rsidRPr="00CF4F0F" w:rsidRDefault="006A5DF6" w:rsidP="00624037">
      <w:pPr>
        <w:pStyle w:val="ae"/>
        <w:jc w:val="right"/>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194">
    <w:p w14:paraId="244F22FE" w14:textId="77777777" w:rsidR="006A5DF6" w:rsidRPr="00CF4F0F" w:rsidRDefault="006A5DF6" w:rsidP="00624037">
      <w:pPr>
        <w:pStyle w:val="ae"/>
        <w:jc w:val="right"/>
      </w:pPr>
      <w:r>
        <w:rPr>
          <w:rStyle w:val="af"/>
        </w:rPr>
        <w:footnoteRef/>
      </w:r>
      <w:r>
        <w:t xml:space="preserve"> </w:t>
      </w:r>
      <w:r>
        <w:rPr>
          <w:sz w:val="18"/>
          <w:szCs w:val="18"/>
          <w:rtl/>
        </w:rPr>
        <w:t>هيئة الخبراء بمجلس الوزراء. (1443هـ). نظام الإثبات. المملكة العربية السعودية.</w:t>
      </w:r>
    </w:p>
  </w:footnote>
  <w:footnote w:id="195">
    <w:p w14:paraId="0AFE31C2" w14:textId="77777777" w:rsidR="006A5DF6" w:rsidRDefault="006A5DF6"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196">
    <w:p w14:paraId="54C79DE4" w14:textId="77777777" w:rsidR="006A5DF6" w:rsidRPr="00CF4F0F" w:rsidRDefault="006A5DF6" w:rsidP="00624037">
      <w:pPr>
        <w:pStyle w:val="ae"/>
        <w:jc w:val="right"/>
      </w:pPr>
      <w:r>
        <w:rPr>
          <w:rStyle w:val="af"/>
        </w:rPr>
        <w:footnoteRef/>
      </w:r>
      <w:r>
        <w:t xml:space="preserve"> </w:t>
      </w:r>
      <w:r>
        <w:rPr>
          <w:sz w:val="18"/>
          <w:szCs w:val="18"/>
          <w:rtl/>
        </w:rPr>
        <w:t>هيئة الخبراء بمجلس الوزراء. (1443هـ). نظام حماية البيانات الشخصية. المملكة العربية السعودية.</w:t>
      </w:r>
    </w:p>
  </w:footnote>
  <w:footnote w:id="197">
    <w:p w14:paraId="0901196F" w14:textId="77777777" w:rsidR="006A5DF6" w:rsidRPr="00CF4F0F" w:rsidRDefault="006A5DF6" w:rsidP="00624037">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198">
    <w:p w14:paraId="0A39767E" w14:textId="77777777" w:rsidR="006A5DF6" w:rsidRPr="00CF4F0F" w:rsidRDefault="006A5DF6" w:rsidP="00624037">
      <w:pPr>
        <w:pStyle w:val="ae"/>
        <w:jc w:val="right"/>
      </w:pPr>
      <w:r>
        <w:rPr>
          <w:rStyle w:val="af"/>
        </w:rPr>
        <w:footnoteRef/>
      </w:r>
      <w:r>
        <w:t xml:space="preserve"> </w:t>
      </w:r>
      <w:r>
        <w:rPr>
          <w:sz w:val="18"/>
          <w:szCs w:val="18"/>
          <w:rtl/>
        </w:rPr>
        <w:t>الغنامي، ن. ب. ن. (2024). الضوابط القانونية للذكاء الاصطناعي في إبرام المعاملات القانونية (رسالة دكتوراه). الجامعة السعودية الإلكترونية.</w:t>
      </w:r>
    </w:p>
  </w:footnote>
  <w:footnote w:id="199">
    <w:p w14:paraId="598377F8" w14:textId="77777777" w:rsidR="006A5DF6" w:rsidRPr="00CF4F0F" w:rsidRDefault="006A5DF6" w:rsidP="00624037">
      <w:pPr>
        <w:pStyle w:val="ae"/>
        <w:jc w:val="right"/>
      </w:pPr>
      <w:r>
        <w:rPr>
          <w:rStyle w:val="af"/>
        </w:rPr>
        <w:footnoteRef/>
      </w:r>
      <w:r>
        <w:t xml:space="preserve"> </w:t>
      </w:r>
      <w:r>
        <w:rPr>
          <w:sz w:val="18"/>
          <w:szCs w:val="18"/>
          <w:rtl/>
        </w:rPr>
        <w:t>العيسى، إ. (2023). القواعد والإجراءات المنظمة لاستخدامات الذكاء الاصطناعي بالمملكة العربية السعودية وآثارها القانونية. الرياض.</w:t>
      </w:r>
    </w:p>
  </w:footnote>
  <w:footnote w:id="200">
    <w:p w14:paraId="239E47C7" w14:textId="77777777" w:rsidR="006A5DF6" w:rsidRDefault="006A5DF6" w:rsidP="004E4D2E">
      <w:pPr>
        <w:bidi/>
        <w:rPr>
          <w:sz w:val="16"/>
          <w:szCs w:val="16"/>
        </w:rPr>
      </w:pPr>
      <w:r>
        <w:rPr>
          <w:rStyle w:val="af"/>
        </w:rPr>
        <w:footnoteRef/>
      </w:r>
      <w:r>
        <w:t xml:space="preserve"> </w:t>
      </w:r>
      <w:r>
        <w:rPr>
          <w:sz w:val="18"/>
          <w:szCs w:val="18"/>
          <w:rtl/>
        </w:rPr>
        <w:t>جابر، عبد القادر عبد الله أحمد (2023م). تطبيقات الذكاء الاصطناعي في الحكم القضائي - دراسة قانونية. المجلة الدولية للبحوث النوعية المتخصصة (IJSSR)، عدد 42، ص52-75. الجامعة السعودية الإلكترونية.</w:t>
      </w:r>
    </w:p>
  </w:footnote>
  <w:footnote w:id="201">
    <w:p w14:paraId="0A34593D" w14:textId="77777777" w:rsidR="006A5DF6" w:rsidRDefault="006A5DF6" w:rsidP="004B4795">
      <w:pPr>
        <w:bidi/>
        <w:rPr>
          <w:sz w:val="16"/>
          <w:szCs w:val="16"/>
        </w:rPr>
      </w:pPr>
      <w:r>
        <w:rPr>
          <w:rStyle w:val="af"/>
        </w:rPr>
        <w:footnoteRef/>
      </w:r>
      <w:r>
        <w:t xml:space="preserve"> </w:t>
      </w:r>
      <w:r>
        <w:rPr>
          <w:sz w:val="18"/>
          <w:szCs w:val="18"/>
          <w:rtl/>
        </w:rPr>
        <w:t>المملكة العربية السعودية (1428هـ). نظام القضاء الصادر بالمرسوم الملكي رقم م/78 وتاريخ 19/9/1428هـ، وقرار مجلس الوزراء رقم 303 بتاريخ 19/9/1428هـ. الرياض: الأمانة العامة لمجلس الوزراء.</w:t>
      </w:r>
    </w:p>
  </w:footnote>
  <w:footnote w:id="202">
    <w:p w14:paraId="155038A1" w14:textId="77777777" w:rsidR="006A5DF6" w:rsidRDefault="006A5DF6" w:rsidP="004E4D2E">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03">
    <w:p w14:paraId="41992632" w14:textId="77777777" w:rsidR="006A5DF6" w:rsidRPr="003D5D6C" w:rsidRDefault="006A5DF6" w:rsidP="004E4D2E">
      <w:pPr>
        <w:pStyle w:val="ae"/>
        <w:jc w:val="right"/>
      </w:pPr>
      <w:r>
        <w:rPr>
          <w:rStyle w:val="af"/>
        </w:rPr>
        <w:footnoteRef/>
      </w:r>
      <w:r>
        <w:t xml:space="preserve"> </w:t>
      </w:r>
      <w:r>
        <w:rPr>
          <w:sz w:val="18"/>
          <w:szCs w:val="18"/>
          <w:rtl/>
        </w:rPr>
        <w:t>مجلة العدالة. (2022). المسؤولية عن الذكاء الاصطناعي. وزارة العدل السعودية، (65).</w:t>
      </w:r>
    </w:p>
  </w:footnote>
  <w:footnote w:id="204">
    <w:p w14:paraId="2B5B1E5D" w14:textId="77777777" w:rsidR="006A5DF6" w:rsidRDefault="006A5DF6"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ص72.</w:t>
      </w:r>
    </w:p>
  </w:footnote>
  <w:footnote w:id="205">
    <w:p w14:paraId="61A8933A" w14:textId="77777777" w:rsidR="006A5DF6" w:rsidRDefault="006A5DF6"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الشراري، محمد. (2022م). المسؤولية المدنية الذكية عن أضرار الذكاء الاصطناعي: دراسة مقارنة. مجلة كلية القانون الكويتية العالمية، السنة العاشرة، 10(38)، ص382.</w:t>
      </w:r>
    </w:p>
  </w:footnote>
  <w:footnote w:id="206">
    <w:p w14:paraId="1B24EFD0" w14:textId="77777777" w:rsidR="006A5DF6" w:rsidRDefault="006A5DF6"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207">
    <w:p w14:paraId="7310CCEF" w14:textId="77777777" w:rsidR="006A5DF6" w:rsidRDefault="006A5DF6" w:rsidP="004E4D2E">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ص267.</w:t>
      </w:r>
    </w:p>
  </w:footnote>
  <w:footnote w:id="208">
    <w:p w14:paraId="6692ECE0" w14:textId="77777777" w:rsidR="006A5DF6" w:rsidRDefault="006A5DF6" w:rsidP="00624037">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09">
    <w:p w14:paraId="2D96378D" w14:textId="77777777" w:rsidR="006A5DF6" w:rsidRPr="003D5D6C" w:rsidRDefault="006A5DF6" w:rsidP="00624037">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10">
    <w:p w14:paraId="76DDDE75" w14:textId="77777777" w:rsidR="006A5DF6" w:rsidRPr="003D5D6C" w:rsidRDefault="006A5DF6" w:rsidP="00624037">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211">
    <w:p w14:paraId="38AC1E39" w14:textId="77777777" w:rsidR="006A5DF6" w:rsidRPr="003D5D6C" w:rsidRDefault="006A5DF6" w:rsidP="00A8385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12">
    <w:p w14:paraId="3E1043F4" w14:textId="77777777" w:rsidR="006A5DF6" w:rsidRPr="003D5D6C" w:rsidRDefault="006A5DF6" w:rsidP="00A83851">
      <w:pPr>
        <w:pStyle w:val="ae"/>
        <w:jc w:val="right"/>
      </w:pPr>
      <w:r>
        <w:rPr>
          <w:rStyle w:val="af"/>
        </w:rPr>
        <w:footnoteRef/>
      </w:r>
      <w:r>
        <w:t xml:space="preserve"> </w:t>
      </w:r>
      <w:r>
        <w:rPr>
          <w:sz w:val="18"/>
          <w:szCs w:val="18"/>
          <w:rtl/>
        </w:rPr>
        <w:t>هيئة الخبراء بمجلس الوزراء. (1435هـ). نظام الإجراءات الجزائية. المملكة العربية السعودية.</w:t>
      </w:r>
    </w:p>
  </w:footnote>
  <w:footnote w:id="213">
    <w:p w14:paraId="110BB9EA" w14:textId="77777777" w:rsidR="006A5DF6" w:rsidRPr="003D5D6C" w:rsidRDefault="006A5DF6" w:rsidP="00A8385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14">
    <w:p w14:paraId="09E80A6C" w14:textId="77777777" w:rsidR="006A5DF6" w:rsidRDefault="006A5DF6"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DOI: 10.36571/ajsp7321.</w:t>
      </w:r>
    </w:p>
  </w:footnote>
  <w:footnote w:id="215">
    <w:p w14:paraId="25E47E7E" w14:textId="77777777" w:rsidR="006A5DF6" w:rsidRDefault="006A5DF6"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إسماعيل، محمد شحادة (2025م). تأثير الذكاء الاصطناعي على المهن القانونية. مجلة الباحث العربي، مجلد 6، عدد 1. DOI: 10.57072/ar.v6i1.159.</w:t>
      </w:r>
    </w:p>
  </w:footnote>
  <w:footnote w:id="216">
    <w:p w14:paraId="49D57686" w14:textId="77777777" w:rsidR="006A5DF6" w:rsidRDefault="006A5DF6"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ص99.</w:t>
      </w:r>
    </w:p>
  </w:footnote>
  <w:footnote w:id="217">
    <w:p w14:paraId="1D30C8DA" w14:textId="77777777" w:rsidR="006A5DF6" w:rsidRDefault="006A5DF6" w:rsidP="00A83851">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ص312.</w:t>
      </w:r>
    </w:p>
  </w:footnote>
  <w:footnote w:id="218">
    <w:p w14:paraId="73960253" w14:textId="77777777" w:rsidR="006A5DF6" w:rsidRDefault="006A5DF6"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العطار، صقر والنوايسة، عبد الإله. (2024م). المسؤولية الجنائية الناجمة عن استخدام كيانات الذكاء الاصطناعي. مجلة جامعة الشارقة للعلوم القانونية، 21(2)., ص592.</w:t>
      </w:r>
    </w:p>
  </w:footnote>
  <w:footnote w:id="219">
    <w:p w14:paraId="5CE40DA8" w14:textId="77777777" w:rsidR="006A5DF6" w:rsidRDefault="006A5DF6"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https://doi.org/10.36394/jls.v21.i2.15، ص13.</w:t>
      </w:r>
    </w:p>
  </w:footnote>
  <w:footnote w:id="220">
    <w:p w14:paraId="33ECC843" w14:textId="77777777" w:rsidR="006A5DF6" w:rsidRDefault="006A5DF6"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الغنامي، نايف بن ناشي. (2024م). حجية الدليل الرقمي في نظام الإثبات السعودي. مجلة مواق للدراسات الإسلامية والاجتماعية، (43)، ص1475.</w:t>
      </w:r>
    </w:p>
  </w:footnote>
  <w:footnote w:id="221">
    <w:p w14:paraId="1DCB9134" w14:textId="77777777" w:rsidR="006A5DF6" w:rsidRPr="00A97E4D" w:rsidRDefault="006A5DF6" w:rsidP="00624037">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22">
    <w:p w14:paraId="258E29B8" w14:textId="77777777" w:rsidR="006A5DF6" w:rsidRDefault="006A5DF6" w:rsidP="004B4795">
      <w:pPr>
        <w:bidi/>
        <w:rPr>
          <w:sz w:val="16"/>
          <w:szCs w:val="16"/>
        </w:rPr>
      </w:pPr>
      <w:r>
        <w:rPr>
          <w:rStyle w:val="af"/>
        </w:rPr>
        <w:footnoteRef/>
      </w:r>
      <w:r>
        <w:t xml:space="preserve"> </w:t>
      </w:r>
      <w:r>
        <w:rPr>
          <w:sz w:val="18"/>
          <w:szCs w:val="18"/>
          <w:rtl/>
        </w:rPr>
        <w:t>محمود، سيد أحمد؛ وعناني، مريم عماد محمد (د.ت). الذكاء الاصطناعي والعمل القضائي - دراسة تحليلية مقارنة. ضمن: التحديات والآفاق القانونية والاقتصادية للذكاء الاصطناعي، ص920. كلية الحقوق، جامعة عين شمس.</w:t>
      </w:r>
    </w:p>
  </w:footnote>
  <w:footnote w:id="223">
    <w:p w14:paraId="59E349AA" w14:textId="77777777" w:rsidR="006A5DF6" w:rsidRDefault="006A5DF6" w:rsidP="004B4795">
      <w:pPr>
        <w:bidi/>
        <w:rPr>
          <w:sz w:val="16"/>
          <w:szCs w:val="16"/>
        </w:rPr>
      </w:pPr>
      <w:r>
        <w:rPr>
          <w:rStyle w:val="af"/>
        </w:rPr>
        <w:footnoteRef/>
      </w:r>
      <w:r>
        <w:t xml:space="preserve"> </w:t>
      </w:r>
      <w:r>
        <w:rPr>
          <w:sz w:val="18"/>
          <w:szCs w:val="18"/>
          <w:rtl/>
        </w:rPr>
        <w:t>المملكة العربية السعودية (1428هـ). نظام التعاملات الإلكترونية الصادر بالمرسوم الملكي رقم م/18 وتاريخ 26/3/1428هـ. الرياض: الأمانة العامة لمجلس الوزراء.</w:t>
      </w:r>
    </w:p>
  </w:footnote>
  <w:footnote w:id="224">
    <w:p w14:paraId="7F8DE615" w14:textId="77777777" w:rsidR="006A5DF6" w:rsidRDefault="006A5DF6" w:rsidP="004B4795">
      <w:pPr>
        <w:bidi/>
        <w:rPr>
          <w:sz w:val="16"/>
          <w:szCs w:val="16"/>
        </w:rPr>
      </w:pPr>
      <w:r>
        <w:rPr>
          <w:rStyle w:val="af"/>
        </w:rPr>
        <w:footnoteRef/>
      </w:r>
      <w:r>
        <w:t xml:space="preserve"> </w:t>
      </w:r>
      <w:r>
        <w:rPr>
          <w:sz w:val="18"/>
          <w:szCs w:val="18"/>
          <w:rtl/>
        </w:rPr>
        <w:t>الهيئة السعودية للبيانات والذكاء الاصطناعي (سدايا) (2024م). أخلاقيات الذكاء الاصطناعي. سلسلة الذكاء الاصطناعي للتنفيذيين (3)، الطبعة الثانية، أبريل 2024م. الرياض: سدايا.</w:t>
      </w:r>
    </w:p>
  </w:footnote>
  <w:footnote w:id="225">
    <w:p w14:paraId="01C09FFB" w14:textId="77777777" w:rsidR="006A5DF6" w:rsidRPr="00A97E4D" w:rsidRDefault="006A5DF6" w:rsidP="00786384">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26">
    <w:p w14:paraId="55C60679" w14:textId="77777777" w:rsidR="006A5DF6" w:rsidRDefault="006A5DF6"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ص48.</w:t>
      </w:r>
    </w:p>
  </w:footnote>
  <w:footnote w:id="227">
    <w:p w14:paraId="28F322D5" w14:textId="77777777" w:rsidR="006A5DF6" w:rsidRDefault="006A5DF6"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ص134.</w:t>
      </w:r>
    </w:p>
  </w:footnote>
  <w:footnote w:id="228">
    <w:p w14:paraId="128C0BD1" w14:textId="77777777" w:rsidR="006A5DF6" w:rsidRDefault="006A5DF6"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ص58.</w:t>
      </w:r>
    </w:p>
  </w:footnote>
  <w:footnote w:id="229">
    <w:p w14:paraId="21ADFA83" w14:textId="77777777" w:rsidR="006A5DF6" w:rsidRDefault="006A5DF6"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العرشاني، عيسى. (2025م). إمكانات الذكاء الاصطناعي في تطوير العمل القضائي: مقاربة تحليلية لواقع القضاء وتحديات التحول الرقمي. مجلة الباحث العربي، المركز العربي للبحوث القانونية والقضائية، 6(3)، ص93.</w:t>
      </w:r>
    </w:p>
  </w:footnote>
  <w:footnote w:id="230">
    <w:p w14:paraId="2A70462A" w14:textId="77777777" w:rsidR="006A5DF6" w:rsidRDefault="006A5DF6" w:rsidP="00786384">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الأمين، عائشة محمد إسماعيل. (2025م). الإطار القانوني لحق المؤلف في مواجهة مخرجات الذكاء الاصطناعي: دراسة تحليلية في ضوء النظام السعودي. مجلة القانون والأعمال الدولية، (61)، ص84.</w:t>
      </w:r>
    </w:p>
  </w:footnote>
  <w:footnote w:id="231">
    <w:p w14:paraId="3040732E" w14:textId="77777777" w:rsidR="006A5DF6" w:rsidRDefault="006A5DF6" w:rsidP="00CF598B">
      <w:pPr>
        <w:pStyle w:val="ae"/>
        <w:jc w:val="right"/>
        <w:rPr>
          <w:rtl/>
        </w:rPr>
      </w:pPr>
      <w:r>
        <w:rPr>
          <w:rStyle w:val="af"/>
        </w:rPr>
        <w:footnoteRef/>
      </w:r>
      <w:r>
        <w:t xml:space="preserve"> </w:t>
      </w:r>
      <w:r>
        <w:rPr>
          <w:sz w:val="18"/>
          <w:szCs w:val="18"/>
          <w:rtl/>
        </w:rPr>
        <w:t>هيئة الخبراء بمجلس الوزراء. (1422هـ). نظام المحاماة. المملكة العربية السعودية.</w:t>
      </w:r>
    </w:p>
  </w:footnote>
  <w:footnote w:id="232">
    <w:p w14:paraId="338F6ED9" w14:textId="77777777" w:rsidR="006A5DF6" w:rsidRDefault="006A5DF6" w:rsidP="00CF598B">
      <w:pPr>
        <w:pStyle w:val="ae"/>
        <w:jc w:val="right"/>
        <w:rPr>
          <w:rtl/>
        </w:rPr>
      </w:pPr>
      <w:r>
        <w:rPr>
          <w:rStyle w:val="af"/>
        </w:rPr>
        <w:footnoteRef/>
      </w:r>
      <w:r>
        <w:t xml:space="preserve"> </w:t>
      </w:r>
      <w:r>
        <w:rPr>
          <w:sz w:val="18"/>
          <w:szCs w:val="18"/>
          <w:rtl/>
        </w:rPr>
        <w:t>هيئة الخبراء بمجلس الوزراء. (1445هـ). نظام المعاملات المدنية. المملكة العربية السعودية.</w:t>
      </w:r>
    </w:p>
  </w:footnote>
  <w:footnote w:id="233">
    <w:p w14:paraId="209C4B15" w14:textId="77777777" w:rsidR="006A5DF6" w:rsidRPr="00BF47F8" w:rsidRDefault="006A5DF6" w:rsidP="00CF598B">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34">
    <w:p w14:paraId="26F92CB6" w14:textId="77777777" w:rsidR="006A5DF6" w:rsidRPr="00BF47F8" w:rsidRDefault="006A5DF6" w:rsidP="00CF598B">
      <w:pPr>
        <w:pStyle w:val="ae"/>
        <w:jc w:val="right"/>
      </w:pPr>
      <w:r>
        <w:rPr>
          <w:rStyle w:val="af"/>
        </w:rPr>
        <w:footnoteRef/>
      </w:r>
      <w:r>
        <w:t xml:space="preserve"> </w:t>
      </w:r>
      <w:r>
        <w:rPr>
          <w:sz w:val="18"/>
          <w:szCs w:val="18"/>
          <w:rtl/>
        </w:rPr>
        <w:t>الحربي، أ. (2019). مدى إمكانية الاعتراف بالشخصية القانونية للذكاء الاصطناعي. مجلة علمية.</w:t>
      </w:r>
    </w:p>
  </w:footnote>
  <w:footnote w:id="235">
    <w:p w14:paraId="29A5B7D4" w14:textId="77777777" w:rsidR="006A5DF6" w:rsidRDefault="006A5DF6" w:rsidP="004F0491">
      <w:pPr>
        <w:bidi/>
        <w:rPr>
          <w:sz w:val="16"/>
          <w:szCs w:val="16"/>
        </w:rPr>
      </w:pPr>
      <w:r>
        <w:rPr>
          <w:rStyle w:val="af"/>
        </w:rPr>
        <w:footnoteRef/>
      </w:r>
      <w:r>
        <w:t xml:space="preserve"> </w:t>
      </w:r>
      <w:r>
        <w:rPr>
          <w:sz w:val="18"/>
          <w:szCs w:val="18"/>
          <w:rtl/>
        </w:rPr>
        <w:t>الخليفة، وليد بن إبراهيم بن عبد الله (1444هـ). نظام الإثبات وأدلته الإجرائية مع الفهارس. الرياض: الجمعية العلمية القضائية السعودية (قضاء). رقم الإيداع: 1444/3657.</w:t>
      </w:r>
    </w:p>
  </w:footnote>
  <w:footnote w:id="236">
    <w:p w14:paraId="5589F789" w14:textId="77777777" w:rsidR="006A5DF6" w:rsidRDefault="006A5DF6" w:rsidP="004F0491">
      <w:pPr>
        <w:bidi/>
        <w:rPr>
          <w:sz w:val="16"/>
          <w:szCs w:val="16"/>
        </w:rPr>
      </w:pPr>
      <w:r>
        <w:rPr>
          <w:rStyle w:val="af"/>
        </w:rPr>
        <w:footnoteRef/>
      </w:r>
      <w:r>
        <w:t xml:space="preserve"> </w:t>
      </w:r>
      <w:r>
        <w:rPr>
          <w:sz w:val="18"/>
          <w:szCs w:val="18"/>
          <w:rtl/>
        </w:rPr>
        <w:t>السريع، عبد العزيز بن محمد؛ والزامل، عبد الله بن عبد المحسن (1445هـ). نظام المعاملات المدنية مع الفهارس. الرياض: الجمعية العلمية القضائية السعودية (قضاء). رقم الإيداع: 1445/7825.</w:t>
      </w:r>
    </w:p>
  </w:footnote>
  <w:footnote w:id="237">
    <w:p w14:paraId="28EA3377" w14:textId="77777777" w:rsidR="006A5DF6" w:rsidRDefault="006A5DF6" w:rsidP="004F0491">
      <w:pPr>
        <w:bidi/>
        <w:rPr>
          <w:sz w:val="16"/>
          <w:szCs w:val="16"/>
        </w:rPr>
      </w:pPr>
      <w:r>
        <w:rPr>
          <w:rStyle w:val="af"/>
        </w:rPr>
        <w:footnoteRef/>
      </w:r>
      <w:r>
        <w:t xml:space="preserve"> </w:t>
      </w:r>
      <w:r>
        <w:rPr>
          <w:sz w:val="18"/>
          <w:szCs w:val="18"/>
          <w:rtl/>
        </w:rPr>
        <w:t>المالكي، خالد بن عبد الرحيم (2024م). المسؤولية المدنية عن فعل الذكاء الاصطناعي في النظام السعودي - دراسة تحليلية تأصيلية. مجلة البحوث الفقهية والقانونية، جامعة الأزهر، عدد 47، ص1767.</w:t>
      </w:r>
    </w:p>
  </w:footnote>
  <w:footnote w:id="238">
    <w:p w14:paraId="3BC516E6" w14:textId="77777777" w:rsidR="006A5DF6" w:rsidRPr="00B97A43" w:rsidRDefault="006A5DF6" w:rsidP="004F049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39">
    <w:p w14:paraId="130C5803" w14:textId="77777777" w:rsidR="006A5DF6" w:rsidRPr="00B97A43" w:rsidRDefault="006A5DF6" w:rsidP="004F0491">
      <w:pPr>
        <w:pStyle w:val="ae"/>
        <w:jc w:val="right"/>
      </w:pPr>
      <w:r>
        <w:rPr>
          <w:rStyle w:val="af"/>
        </w:rPr>
        <w:footnoteRef/>
      </w:r>
      <w:r>
        <w:t xml:space="preserve"> </w:t>
      </w:r>
      <w:r>
        <w:rPr>
          <w:sz w:val="18"/>
          <w:szCs w:val="18"/>
          <w:rtl/>
        </w:rPr>
        <w:t>مرسي، م. إ. (2023). مدى ملاءمة عقود الذكاء الاصطناعي المبرمة عبر تقنية البلوك تشين لقانون العقود. Journal of Legal Research.</w:t>
      </w:r>
    </w:p>
  </w:footnote>
  <w:footnote w:id="240">
    <w:p w14:paraId="5B99387D" w14:textId="77777777" w:rsidR="006A5DF6" w:rsidRDefault="006A5DF6" w:rsidP="004F0491">
      <w:pPr>
        <w:bidi/>
        <w:rPr>
          <w:sz w:val="16"/>
          <w:szCs w:val="16"/>
        </w:rPr>
      </w:pPr>
      <w:r>
        <w:rPr>
          <w:rStyle w:val="af"/>
        </w:rPr>
        <w:footnoteRef/>
      </w:r>
      <w:r>
        <w:t xml:space="preserve"> </w:t>
      </w:r>
      <w:r>
        <w:rPr>
          <w:sz w:val="18"/>
          <w:szCs w:val="18"/>
          <w:rtl/>
        </w:rPr>
        <w:t>لقرب، سامية (2024م). الذكاء الاصطناعي والآثار القانونية المترتبة عن استخدامه. مجلة المحترف لعلوم الرياضة والعلوم الإنسانية والاجتماعية، المجلد 11، العدد 4، ص236-253.</w:t>
      </w:r>
    </w:p>
  </w:footnote>
  <w:footnote w:id="241">
    <w:p w14:paraId="2019059A" w14:textId="77777777" w:rsidR="006A5DF6" w:rsidRPr="00B97A43" w:rsidRDefault="006A5DF6" w:rsidP="004F049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42">
    <w:p w14:paraId="7AF8B7E3" w14:textId="77777777" w:rsidR="006A5DF6" w:rsidRPr="00B97A43" w:rsidRDefault="006A5DF6" w:rsidP="004F0491">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43">
    <w:p w14:paraId="32B38297" w14:textId="77777777" w:rsidR="006A5DF6" w:rsidRDefault="006A5DF6" w:rsidP="004F0491">
      <w:pPr>
        <w:bidi/>
        <w:rPr>
          <w:sz w:val="16"/>
          <w:szCs w:val="16"/>
        </w:rPr>
      </w:pPr>
      <w:r>
        <w:rPr>
          <w:rStyle w:val="af"/>
        </w:rPr>
        <w:footnoteRef/>
      </w:r>
      <w:r>
        <w:t xml:space="preserve"> </w:t>
      </w:r>
      <w:r>
        <w:rPr>
          <w:sz w:val="18"/>
          <w:szCs w:val="18"/>
          <w:rtl/>
        </w:rPr>
        <w:t>نشأت، جابر عبد الله (د.ت). المسؤولية عن الذكاء الاصطناعي بين القانون الخاص والقانون العام. بحث منشور في مجلة العدالة. المحكمة الدستورية العليا، مصر.</w:t>
      </w:r>
    </w:p>
  </w:footnote>
  <w:footnote w:id="244">
    <w:p w14:paraId="2BA5AFE7" w14:textId="77777777" w:rsidR="006A5DF6" w:rsidRPr="00B97A43" w:rsidRDefault="006A5DF6" w:rsidP="004F049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45">
    <w:p w14:paraId="0E59EA9E" w14:textId="77777777" w:rsidR="006A5DF6" w:rsidRPr="00B97A43" w:rsidRDefault="006A5DF6" w:rsidP="004F049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46">
    <w:p w14:paraId="2A8A5DA1" w14:textId="77777777" w:rsidR="006A5DF6" w:rsidRPr="00B97A43" w:rsidRDefault="006A5DF6" w:rsidP="004F0491">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247">
    <w:p w14:paraId="1936C61A" w14:textId="77777777" w:rsidR="006A5DF6" w:rsidRPr="00B97A43" w:rsidRDefault="006A5DF6" w:rsidP="004F0491">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48">
    <w:p w14:paraId="655A9A67" w14:textId="77777777" w:rsidR="006A5DF6" w:rsidRPr="00B97A43" w:rsidRDefault="006A5DF6" w:rsidP="004F0491">
      <w:pPr>
        <w:pStyle w:val="ae"/>
        <w:jc w:val="right"/>
      </w:pPr>
      <w:r>
        <w:rPr>
          <w:rStyle w:val="af"/>
        </w:rPr>
        <w:footnoteRef/>
      </w:r>
      <w:r>
        <w:t xml:space="preserve"> </w:t>
      </w:r>
      <w:r>
        <w:rPr>
          <w:sz w:val="18"/>
          <w:szCs w:val="18"/>
          <w:rtl/>
        </w:rPr>
        <w:t>الهيئة السعودية للبيانات والذكاء الاصطناعي (سدايا). (2023). وثيقة مبادئ أخلاقيات الذكاء الاصطناعي. الرياض: سدايا.</w:t>
      </w:r>
    </w:p>
  </w:footnote>
  <w:footnote w:id="249">
    <w:p w14:paraId="5FE23BC8" w14:textId="77777777" w:rsidR="006A5DF6" w:rsidRDefault="006A5DF6" w:rsidP="004F0491">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50">
    <w:p w14:paraId="051C43BF" w14:textId="77777777" w:rsidR="006A5DF6" w:rsidRPr="00B97A43" w:rsidRDefault="006A5DF6" w:rsidP="004F0491">
      <w:pPr>
        <w:pStyle w:val="ae"/>
        <w:jc w:val="right"/>
      </w:pPr>
      <w:r>
        <w:rPr>
          <w:rStyle w:val="af"/>
        </w:rPr>
        <w:footnoteRef/>
      </w:r>
      <w:r>
        <w:t xml:space="preserve"> </w:t>
      </w:r>
      <w:r>
        <w:rPr>
          <w:sz w:val="18"/>
          <w:szCs w:val="18"/>
          <w:rtl/>
        </w:rPr>
        <w:t>رجب، ي. م. ع. (2023). دور الدولة في تأطير أخلاقيات الذكاء الاصطناعي: دراسة مقارنة. جامعة القاهرة.</w:t>
      </w:r>
    </w:p>
  </w:footnote>
  <w:footnote w:id="251">
    <w:p w14:paraId="285FB2EE" w14:textId="77777777" w:rsidR="006A5DF6" w:rsidRDefault="006A5DF6" w:rsidP="004F0491">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52">
    <w:p w14:paraId="7A60254E" w14:textId="77777777" w:rsidR="006A5DF6" w:rsidRDefault="006A5DF6" w:rsidP="004F0491">
      <w:pPr>
        <w:bidi/>
        <w:rPr>
          <w:sz w:val="16"/>
          <w:szCs w:val="16"/>
        </w:rPr>
      </w:pPr>
      <w:r>
        <w:rPr>
          <w:rStyle w:val="af"/>
        </w:rPr>
        <w:footnoteRef/>
      </w:r>
      <w:r>
        <w:t xml:space="preserve"> </w:t>
      </w:r>
      <w:r>
        <w:rPr>
          <w:sz w:val="18"/>
          <w:szCs w:val="18"/>
          <w:rtl/>
        </w:rPr>
        <w:t>الأسيوطي، أيمن محمد سيد مصطفى (2020م). حماية التصرفات القانونية وإثباتها عبر تطبيق الذكاء الاصطناعي. مجلة الباحث العربي، مجلد 1، عدد 1، نشر 15 يونيو 2020م.</w:t>
      </w:r>
    </w:p>
  </w:footnote>
  <w:footnote w:id="253">
    <w:p w14:paraId="5584212A" w14:textId="77777777" w:rsidR="006A5DF6" w:rsidRDefault="006A5DF6" w:rsidP="004F0491">
      <w:pPr>
        <w:pStyle w:val="ae"/>
        <w:jc w:val="right"/>
        <w:rPr>
          <w:rtl/>
        </w:rPr>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54">
    <w:p w14:paraId="48F91D9A" w14:textId="77777777" w:rsidR="006A5DF6" w:rsidRPr="005F29C9" w:rsidRDefault="006A5DF6" w:rsidP="004F0491">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55">
    <w:p w14:paraId="17F17284" w14:textId="77777777" w:rsidR="006A5DF6" w:rsidRPr="005F29C9" w:rsidRDefault="006A5DF6" w:rsidP="004F0491">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56">
    <w:p w14:paraId="24C2F611" w14:textId="77777777" w:rsidR="006A5DF6" w:rsidRPr="00383E46" w:rsidRDefault="006A5DF6" w:rsidP="004F0491">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57">
    <w:p w14:paraId="2EE192BF" w14:textId="77777777" w:rsidR="006A5DF6" w:rsidRDefault="006A5DF6" w:rsidP="00CF67E5">
      <w:pPr>
        <w:pStyle w:val="ae"/>
        <w:jc w:val="right"/>
        <w:rPr>
          <w:rtl/>
        </w:rPr>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58">
    <w:p w14:paraId="1EC76FE6" w14:textId="77777777" w:rsidR="006A5DF6" w:rsidRDefault="006A5DF6" w:rsidP="00CF67E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59">
    <w:p w14:paraId="641C7B1B" w14:textId="77777777" w:rsidR="006A5DF6" w:rsidRDefault="006A5DF6" w:rsidP="00CF67E5">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60">
    <w:p w14:paraId="33ABAF9F" w14:textId="77777777" w:rsidR="006A5DF6" w:rsidRDefault="006A5DF6" w:rsidP="00CF67E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61">
    <w:p w14:paraId="5C7D476B" w14:textId="77777777" w:rsidR="006A5DF6" w:rsidRDefault="006A5DF6" w:rsidP="00CF67E5">
      <w:pPr>
        <w:pStyle w:val="ae"/>
        <w:jc w:val="right"/>
      </w:pPr>
      <w:r>
        <w:rPr>
          <w:rStyle w:val="af"/>
        </w:rPr>
        <w:footnoteRef/>
      </w:r>
      <w:r>
        <w:t xml:space="preserve"> </w:t>
      </w:r>
      <w:r>
        <w:rPr>
          <w:sz w:val="18"/>
          <w:szCs w:val="18"/>
          <w:rtl/>
        </w:rPr>
        <w:t>الهيئة السعودية للبيانات والذكاء الاصطناعي (سدايا). (2023). إطار تبني الذكاء الاصطناعي. الرياض: سدايا.</w:t>
      </w:r>
    </w:p>
  </w:footnote>
  <w:footnote w:id="262">
    <w:p w14:paraId="4D29B9D9" w14:textId="77777777" w:rsidR="006A5DF6" w:rsidRDefault="006A5DF6" w:rsidP="00CF67E5">
      <w:pPr>
        <w:rPr>
          <w:sz w:val="16"/>
          <w:szCs w:val="16"/>
        </w:rPr>
      </w:pPr>
      <w:r>
        <w:rPr>
          <w:rStyle w:val="af"/>
        </w:rPr>
        <w:footnoteRef/>
      </w:r>
      <w:r>
        <w:t xml:space="preserve"> </w:t>
      </w:r>
      <w:r>
        <w:rPr>
          <w:sz w:val="18"/>
          <w:szCs w:val="18"/>
          <w:rtl/>
        </w:rPr>
        <w:t>بلال، فاطمة عبد العزيز (2023م). دور الذكاء الاصطناعي في تعزيز العدالة الناجزة أمام القضاء - دراسة مقارنة. رسالة ماجستير، كلية القانون، جامعة قطر، يناير 2023م.</w:t>
      </w:r>
    </w:p>
  </w:footnote>
  <w:footnote w:id="263">
    <w:p w14:paraId="54CB9BD6" w14:textId="77777777" w:rsidR="006A5DF6" w:rsidRDefault="006A5DF6" w:rsidP="00CF67E5">
      <w:pPr>
        <w:pStyle w:val="ae"/>
        <w:jc w:val="right"/>
      </w:pPr>
      <w:r>
        <w:rPr>
          <w:rStyle w:val="af"/>
        </w:rPr>
        <w:footnoteRef/>
      </w:r>
      <w:r>
        <w:t xml:space="preserve"> </w:t>
      </w:r>
      <w:r>
        <w:rPr>
          <w:sz w:val="18"/>
          <w:szCs w:val="18"/>
          <w:rtl/>
        </w:rPr>
        <w:t>الأسيوطي، م. (2020). حماية التصرفات القانونية وإثباتها عبر تطبيق الذكاء الاصطناعي. مجلة الباحث العربي.</w:t>
      </w:r>
    </w:p>
  </w:footnote>
  <w:footnote w:id="264">
    <w:p w14:paraId="22265110" w14:textId="77777777" w:rsidR="006A5DF6" w:rsidRDefault="006A5DF6" w:rsidP="00CF67E5">
      <w:pPr>
        <w:rPr>
          <w:sz w:val="16"/>
          <w:szCs w:val="16"/>
          <w:rtl/>
        </w:rPr>
      </w:pPr>
      <w:r>
        <w:rPr>
          <w:rStyle w:val="af"/>
        </w:rPr>
        <w:footnoteRef/>
      </w:r>
      <w:r>
        <w:t xml:space="preserve"> </w:t>
      </w:r>
      <w:r>
        <w:rPr>
          <w:sz w:val="18"/>
          <w:szCs w:val="18"/>
          <w:rtl/>
        </w:rPr>
        <w:t>محمود، سيد أحمد؛ وعناني، مريم عماد محمد (د.ت). الذكاء الاصطناعي والعمل القضائي - دراسة تحليلية مقارنة. ضمن: التحديات والآفاق القانونية والاقتصادية للذكاء الاصطناعي، ص921. كلية الحقوق، جامعة عين شمس.</w:t>
      </w:r>
    </w:p>
  </w:footnote>
  <w:footnote w:id="265">
    <w:p w14:paraId="33009101" w14:textId="77777777" w:rsidR="006A5DF6" w:rsidRDefault="006A5DF6" w:rsidP="00CF67E5">
      <w:pPr>
        <w:pStyle w:val="ae"/>
        <w:jc w:val="right"/>
      </w:pPr>
      <w:r>
        <w:rPr>
          <w:rStyle w:val="af"/>
        </w:rPr>
        <w:footnoteRef/>
      </w:r>
      <w:r>
        <w:t xml:space="preserve"> </w:t>
      </w:r>
      <w:r>
        <w:rPr>
          <w:sz w:val="18"/>
          <w:szCs w:val="18"/>
          <w:rtl/>
        </w:rPr>
        <w:t>المالكي، خ. (2024). المسؤولية المدنية عن فعل الذكاء الاصطناعي في النظام السعودي: دراسة تحليلية تأصيلية. مجلة البحوث الفقهية والقانونية، (47).</w:t>
      </w:r>
    </w:p>
  </w:footnote>
  <w:footnote w:id="266">
    <w:p w14:paraId="37C7A410" w14:textId="77777777" w:rsidR="006A5DF6" w:rsidRDefault="006A5DF6" w:rsidP="00CF67E5">
      <w:pPr>
        <w:pStyle w:val="ae"/>
        <w:jc w:val="right"/>
      </w:pPr>
      <w:r>
        <w:rPr>
          <w:rStyle w:val="af"/>
        </w:rPr>
        <w:footnoteRef/>
      </w:r>
      <w:r>
        <w:t xml:space="preserve"> </w:t>
      </w:r>
      <w:r>
        <w:rPr>
          <w:sz w:val="18"/>
          <w:szCs w:val="18"/>
          <w:rtl/>
        </w:rPr>
        <w:t>خليل، م. س. (2022). المسؤولية القانونية عن أفعال الذكاء الاصطناعي. مجلة علمية قانونية، (8).</w:t>
      </w:r>
    </w:p>
  </w:footnote>
  <w:footnote w:id="267">
    <w:p w14:paraId="00EDC558" w14:textId="77777777" w:rsidR="006A5DF6" w:rsidRDefault="006A5DF6" w:rsidP="00CF67E5">
      <w:pPr>
        <w:jc w:val="both"/>
        <w:rPr>
          <w:sz w:val="16"/>
          <w:szCs w:val="16"/>
        </w:rPr>
      </w:pPr>
      <w:r>
        <w:rPr>
          <w:rStyle w:val="af"/>
        </w:rPr>
        <w:footnoteRef/>
      </w:r>
      <w:r>
        <w:t xml:space="preserve"> </w:t>
      </w:r>
      <w:r>
        <w:rPr>
          <w:sz w:val="18"/>
          <w:szCs w:val="18"/>
          <w:rtl/>
        </w:rPr>
        <w:t>قاسم، مراد محمد غالب (2024م). دور الذكاء الاصطناعي في مكافحة الجريمة الإلكترونية - دراسة مقارنة. بحث مقدم لنيل متطلبات التخرج، جامعة تعز، قُبل بتاريخ 26 أبريل 2024م.</w:t>
      </w:r>
    </w:p>
  </w:footnote>
  <w:footnote w:id="268">
    <w:p w14:paraId="3CB8780B" w14:textId="77777777" w:rsidR="006A5DF6" w:rsidRDefault="006A5DF6" w:rsidP="00CF67E5">
      <w:pPr>
        <w:pStyle w:val="ae"/>
        <w:jc w:val="right"/>
      </w:pPr>
      <w:r>
        <w:rPr>
          <w:rStyle w:val="af"/>
        </w:rPr>
        <w:footnoteRef/>
      </w:r>
      <w:r>
        <w:t xml:space="preserve"> </w:t>
      </w:r>
      <w:r>
        <w:rPr>
          <w:sz w:val="18"/>
          <w:szCs w:val="18"/>
          <w:rtl/>
        </w:rPr>
        <w:t>حمادي، ع. (2022). المسؤولية المدنية عن أفعال الذكاء الاصطناعي. مجلة علمية قانونية، (8).</w:t>
      </w:r>
    </w:p>
  </w:footnote>
  <w:footnote w:id="269">
    <w:p w14:paraId="0BE204E2" w14:textId="77777777" w:rsidR="006A5DF6" w:rsidRDefault="006A5DF6" w:rsidP="00CF67E5">
      <w:pPr>
        <w:jc w:val="right"/>
        <w:rPr>
          <w:rFonts w:asciiTheme="majorBidi" w:hAnsiTheme="majorBidi" w:cstheme="majorBidi"/>
          <w:sz w:val="18"/>
          <w:szCs w:val="18"/>
        </w:rPr>
      </w:pPr>
      <w:r>
        <w:rPr>
          <w:rtl/>
        </w:rPr>
        <w:footnoteRef/>
      </w:r>
      <w:r>
        <w:rPr>
          <w:rFonts w:asciiTheme="majorBidi" w:hAnsiTheme="majorBidi" w:cstheme="majorBidi"/>
          <w:sz w:val="18"/>
          <w:szCs w:val="18"/>
          <w:rtl/>
        </w:rPr>
        <w:t xml:space="preserve"> محمود، سيد أحمد؛ وعناني، مريم عماد (د.ت).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w:t>
      </w:r>
    </w:p>
  </w:footnote>
  <w:footnote w:id="270">
    <w:p w14:paraId="78E20A98" w14:textId="77777777" w:rsidR="006A5DF6" w:rsidRDefault="006A5DF6"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العجماني، أحمد بن حمد وسيد، محمد. (2024م). استخدام تقنيات الذكاء الاصطناعي في تحقيق العدالة الناجزة في الإمارات العربية المتحدة. مجلة جامعة الشارقة للعلوم القانونية، 21(2). </w:t>
      </w:r>
      <w:r>
        <w:rPr>
          <w:rFonts w:asciiTheme="majorBidi" w:hAnsiTheme="majorBidi" w:cstheme="majorBidi"/>
          <w:sz w:val="18"/>
          <w:szCs w:val="18"/>
        </w:rPr>
        <w:t>https://doi.org/10.36394/jls.v21.i2.15</w:t>
      </w:r>
      <w:r>
        <w:rPr>
          <w:rFonts w:asciiTheme="majorBidi" w:hAnsiTheme="majorBidi" w:cstheme="majorBidi"/>
          <w:sz w:val="18"/>
          <w:szCs w:val="18"/>
          <w:rtl/>
        </w:rPr>
        <w:t>., ص25.</w:t>
      </w:r>
    </w:p>
  </w:footnote>
  <w:footnote w:id="271">
    <w:p w14:paraId="12BD67C7" w14:textId="77777777" w:rsidR="006A5DF6" w:rsidRDefault="006A5DF6" w:rsidP="00CF67E5">
      <w:pPr>
        <w:rPr>
          <w:sz w:val="16"/>
          <w:szCs w:val="16"/>
          <w:rtl/>
        </w:rPr>
      </w:pPr>
      <w:r>
        <w:rPr>
          <w:rStyle w:val="af"/>
        </w:rPr>
        <w:footnoteRef/>
      </w:r>
      <w:r>
        <w:t xml:space="preserve"> </w:t>
      </w:r>
      <w:r>
        <w:rPr>
          <w:sz w:val="18"/>
          <w:szCs w:val="18"/>
          <w:rtl/>
        </w:rPr>
        <w:t>البرلمان الأوروبي والمجلس الأوروبي (2024م). لائحة الذكاء الاصطناعي (</w:t>
      </w:r>
      <w:r>
        <w:rPr>
          <w:sz w:val="18"/>
          <w:szCs w:val="18"/>
        </w:rPr>
        <w:t>EU AI Act</w:t>
      </w:r>
      <w:r>
        <w:rPr>
          <w:sz w:val="18"/>
          <w:szCs w:val="18"/>
          <w:rtl/>
        </w:rPr>
        <w:t>) - اللائحة الأوروبية رقم 2024/1689. بروكسل: الاتحاد الأوروبي، مارس 2024م.</w:t>
      </w:r>
    </w:p>
  </w:footnote>
  <w:footnote w:id="272">
    <w:p w14:paraId="0742E8D5" w14:textId="77777777" w:rsidR="006A5DF6" w:rsidRDefault="006A5DF6" w:rsidP="00CF67E5">
      <w:pPr>
        <w:jc w:val="both"/>
        <w:rPr>
          <w:rFonts w:asciiTheme="majorBidi" w:hAnsiTheme="majorBidi" w:cstheme="majorBidi"/>
          <w:sz w:val="18"/>
          <w:szCs w:val="18"/>
        </w:rPr>
      </w:pPr>
      <w:r>
        <w:rPr>
          <w:rtl/>
        </w:rPr>
        <w:footnoteRef/>
      </w:r>
      <w:r>
        <w:rPr>
          <w:rFonts w:asciiTheme="majorBidi" w:hAnsiTheme="majorBidi" w:cstheme="majorBidi"/>
          <w:sz w:val="18"/>
          <w:szCs w:val="18"/>
          <w:rtl/>
        </w:rPr>
        <w:t xml:space="preserve"> التونسي، آيات بنت أحمد؛ والمعلم، سليمان بن محمد (2024م). القواعد والإجراءات المنظمة لاستخدامات الذكاء الاصطناعي بالمملكة العربية السعودية وآثارها القانونية. المجلة العربية للنشر العلمي، الإصدار 7، العدد 73. </w:t>
      </w:r>
      <w:r>
        <w:rPr>
          <w:rFonts w:asciiTheme="majorBidi" w:hAnsiTheme="majorBidi" w:cstheme="majorBidi"/>
          <w:sz w:val="18"/>
          <w:szCs w:val="18"/>
        </w:rPr>
        <w:t>DOI</w:t>
      </w:r>
      <w:r>
        <w:rPr>
          <w:rFonts w:asciiTheme="majorBidi" w:hAnsiTheme="majorBidi" w:cstheme="majorBidi"/>
          <w:sz w:val="18"/>
          <w:szCs w:val="18"/>
          <w:rtl/>
        </w:rPr>
        <w:t>: 10.36571/</w:t>
      </w:r>
      <w:r>
        <w:rPr>
          <w:rFonts w:asciiTheme="majorBidi" w:hAnsiTheme="majorBidi" w:cstheme="majorBidi"/>
          <w:sz w:val="18"/>
          <w:szCs w:val="18"/>
        </w:rPr>
        <w:t>ajsp7321</w:t>
      </w:r>
      <w:r>
        <w:rPr>
          <w:rFonts w:asciiTheme="majorBidi" w:hAnsiTheme="majorBidi" w:cstheme="majorBidi"/>
          <w:sz w:val="18"/>
          <w:szCs w:val="18"/>
          <w:rtl/>
        </w:rPr>
        <w:t>.</w:t>
      </w:r>
    </w:p>
  </w:footnote>
  <w:footnote w:id="273">
    <w:p w14:paraId="2CEAD4F3" w14:textId="77777777" w:rsidR="006A5DF6" w:rsidRDefault="006A5DF6"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بالل، فاطمة عبد العزيز حسن أحمد (2023م). دور الذكاء الاصطناعي في تعزيز العدالة الناجزة أمام القضاء - دراسة مقارنة. رسالة ماجستير، كلية القانون، جامعة قطر.</w:t>
      </w:r>
    </w:p>
  </w:footnote>
  <w:footnote w:id="274">
    <w:p w14:paraId="47F83024" w14:textId="77777777" w:rsidR="006A5DF6" w:rsidRDefault="006A5DF6"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المعلم، سليمان. (2025م). القواعد والإجراءات المنظمة لاستخدامات الذكاء الاصطناعي بالمملكة العربية السعودية وآثارها القانونية. المجلة العربية للنشر العلمي., ص57.</w:t>
      </w:r>
    </w:p>
  </w:footnote>
  <w:footnote w:id="275">
    <w:p w14:paraId="175BA1F5" w14:textId="77777777" w:rsidR="006A5DF6" w:rsidRDefault="006A5DF6"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المعيبد، عمر إبراهيم. (2024م). المسؤولية الجزائية الناجمة عن استخدام تقنيات الذكاء الاصطناعي في النظام السعودي: دراسة تحليلية مقارنة. المجلة العربية للدراسات الأمنية، جامعة نايف العربية للعلوم الأمنية، ص148.</w:t>
      </w:r>
    </w:p>
  </w:footnote>
  <w:footnote w:id="276">
    <w:p w14:paraId="3160F56B" w14:textId="77777777" w:rsidR="006A5DF6" w:rsidRDefault="006A5DF6"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الخميسي، سلمى غابش سالم. (2022م). المسؤولية المدنية عن الأضرار الناشئة عن استخدام الذكاء الاصطناعي في مهن الطب الآلي [رسالة دكتوراه، جامعة الإمارات العربية المتحدة]، ص134.</w:t>
      </w:r>
    </w:p>
  </w:footnote>
  <w:footnote w:id="277">
    <w:p w14:paraId="6FB3D34C" w14:textId="77777777" w:rsidR="006A5DF6" w:rsidRDefault="006A5DF6" w:rsidP="00CF67E5">
      <w:pPr>
        <w:jc w:val="both"/>
        <w:rPr>
          <w:rFonts w:asciiTheme="majorBidi" w:hAnsiTheme="majorBidi" w:cstheme="majorBidi"/>
          <w:sz w:val="18"/>
          <w:szCs w:val="18"/>
          <w:rtl/>
        </w:rPr>
      </w:pPr>
      <w:r>
        <w:rPr>
          <w:rtl/>
        </w:rPr>
        <w:footnoteRef/>
      </w:r>
      <w:r>
        <w:rPr>
          <w:rFonts w:asciiTheme="majorBidi" w:hAnsiTheme="majorBidi" w:cstheme="majorBidi"/>
          <w:sz w:val="18"/>
          <w:szCs w:val="18"/>
          <w:rtl/>
        </w:rPr>
        <w:t xml:space="preserve"> عبد الرحمن، دعاء. (2024م). الذكاء الاصطناعي بين سندان الإبداع ومطرقة القانون: الشخصية القانونية والتطبيقات العملية والمسؤولية القانونية. مجلة الدراسات القانونية والاقتصادية., ص74.</w:t>
      </w:r>
    </w:p>
  </w:footnote>
  <w:footnote w:id="278">
    <w:p w14:paraId="60BE0B1C" w14:textId="77777777" w:rsidR="006A5DF6" w:rsidRDefault="006A5DF6" w:rsidP="00CF67E5">
      <w:pPr>
        <w:jc w:val="right"/>
        <w:rPr>
          <w:rFonts w:asciiTheme="majorBidi" w:hAnsiTheme="majorBidi" w:cstheme="majorBidi"/>
          <w:sz w:val="18"/>
          <w:szCs w:val="18"/>
          <w:rtl/>
        </w:rPr>
      </w:pPr>
      <w:r>
        <w:rPr>
          <w:rtl/>
        </w:rPr>
        <w:footnoteRef/>
      </w:r>
      <w:r>
        <w:rPr>
          <w:rFonts w:asciiTheme="majorBidi" w:hAnsiTheme="majorBidi" w:cstheme="majorBidi"/>
          <w:sz w:val="18"/>
          <w:szCs w:val="18"/>
          <w:rtl/>
        </w:rPr>
        <w:t xml:space="preserve"> الجلعود، أروى عبد الرحمن عثمان. (د.ت). أحكام تطبيقات الذكاء الاصطناعي في القضاء. الجمعية العلمية القضائية السعودية، ص312.</w:t>
      </w:r>
    </w:p>
  </w:footnote>
  <w:footnote w:id="279">
    <w:p w14:paraId="1E04A356" w14:textId="77777777" w:rsidR="006A5DF6" w:rsidRDefault="006A5DF6">
      <w:pPr>
        <w:numPr>
          <w:ilvl w:val="0"/>
          <w:numId w:val="1"/>
        </w:numPr>
        <w:bidi/>
        <w:rPr>
          <w:sz w:val="16"/>
          <w:szCs w:val="16"/>
        </w:rPr>
      </w:pPr>
      <w:r>
        <w:rPr>
          <w:rStyle w:val="af"/>
        </w:rPr>
        <w:footnoteRef/>
      </w:r>
      <w:r>
        <w:t xml:space="preserve"> </w:t>
      </w:r>
      <w:r>
        <w:rPr>
          <w:sz w:val="18"/>
          <w:szCs w:val="18"/>
          <w:rtl/>
        </w:rPr>
        <w:t>الغامدي، رهف صالح (2025م). الطبيعة القانونية للعقود الذكية في المملكة العربية السعودية - دراسة تحليلية. مجلة القانون والأعمال الدولية، الإصدار 57، ص228-230.</w:t>
      </w:r>
    </w:p>
  </w:footnote>
  <w:footnote w:id="280">
    <w:p w14:paraId="0E3E6AE5"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العلي، عبدالعزيز عبدالناصر، الذكاء الاصطناعي ودوره في إبرام العقود التجارية الذكية، بحث علمي منشور، 2024م.</w:t>
      </w:r>
    </w:p>
  </w:footnote>
  <w:footnote w:id="281">
    <w:p w14:paraId="0B977D3B"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وزارة العدل، تقرير التحول الرقمي للقطاع العدلي، الرياض: مركز الدراسات والبحوث القانونية، 2024م.</w:t>
      </w:r>
    </w:p>
  </w:footnote>
  <w:footnote w:id="282">
    <w:p w14:paraId="6DF9578B"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التونسي، آيات بنت أحمد؛ والمعلم، سليمان بن محمد،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2024م.</w:t>
      </w:r>
    </w:p>
  </w:footnote>
  <w:footnote w:id="283">
    <w:p w14:paraId="4DABF016"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إسماعيل، محمد شحادة، تأثير الذكاء الاصطناعي على المهن القانونية، مجلة الباحث العربي، مجلد 6، عدد 1، 2025م.</w:t>
      </w:r>
    </w:p>
  </w:footnote>
  <w:footnote w:id="284">
    <w:p w14:paraId="582669E9"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وزارة العدل، تقرير التحول الرقمي للقطاع العدلي، مرجع سابق.</w:t>
      </w:r>
    </w:p>
  </w:footnote>
  <w:footnote w:id="285">
    <w:p w14:paraId="54B9FB64"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محمود، سيد أحمد؛ وعناني، مريم عماد، الذكاء الاصطناعي والعمل القضائي – دراسة تحليلية مقارنة، بحث مقدم في مؤتمر التحديات والآفاق القانونية والاقتصادية للذكاء الاصطناعي، كلية الحقوق، جامعة عين شمس، (د.ت).</w:t>
      </w:r>
    </w:p>
  </w:footnote>
  <w:footnote w:id="286">
    <w:p w14:paraId="7DEE0CCE"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Varun Magesh, Faiz Surani, Matthew Dahl, Mirac Suzgun, Christopher D. Manning &amp; Daniel E. Ho, Hallucination-Free? Assessing the Reliability of Leading AI Legal Research Tools, 22(1) Journal of Empirical Legal Studies 216 (2025); Matthew Dahl, Varun Magesh, Mirac Suzgun &amp; Daniel E. Ho, Large Legal Fictions: Profiling Legal Hallucinations in Large Language Models, 16(1) Journal of Legal Analysis 64 (2024).</w:t>
      </w:r>
    </w:p>
  </w:footnote>
  <w:footnote w:id="287">
    <w:p w14:paraId="306E471A"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في تحديات المعالجة الحاسوبية للغة القانونية العربية: التونسي، آيات بنت أحمد؛ والمعلم، سليمان بن محمد، القواعد والإجراءات المنظمة لاستخدامات الذكاء الاصطناعي بالمملكة العربية السعودية وآثارها القانونية – دراسة تحليلية مقارنة، المجلة العربية للنشر العلمي، الإصدار 7، العدد 73، 2024م.</w:t>
      </w:r>
    </w:p>
  </w:footnote>
  <w:footnote w:id="288">
    <w:p w14:paraId="11AA8B7D"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التونسي والمعلم، مرجع سابق.</w:t>
      </w:r>
    </w:p>
  </w:footnote>
  <w:footnote w:id="289">
    <w:p w14:paraId="0C7D5A1A"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(فبراير 2025م). الدليل الاسترشادي لتقويم مخاطر نقل البيانات الشخصية إلى خارج المملكة. الرياض: سدايا، ص7.</w:t>
      </w:r>
    </w:p>
  </w:footnote>
  <w:footnote w:id="290">
    <w:p w14:paraId="56B5E21F"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المالكي، خالد بن عبد الرحيم، المسؤولية المدنية عن فعل الذكاء الاصطناعي في النظام السعودي – دراسة تحليلية تأصيلية، مجلة البحوث الفقهية والقانونية، جامعة الأزهر، العدد 47، 2024م.</w:t>
      </w:r>
    </w:p>
  </w:footnote>
  <w:footnote w:id="291">
    <w:p w14:paraId="1AB0A372"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الأسيوطي، أيمن محمد سيد مصطفى، حماية التصرفات القانونية وإثباتها عبر تطبيق الذكاء الاصطناعي، مجلة الباحث العربي، مجلد 1، عدد 1، 2020م.</w:t>
      </w:r>
    </w:p>
  </w:footnote>
  <w:footnote w:id="292">
    <w:p w14:paraId="057AFA46"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مركز الدراسات والبحوث القانونية، استخدام الذكاء الاصطناعي في المحاكم، وزارة العدل، المملكة العربية السعودية، 2024م.</w:t>
      </w:r>
    </w:p>
  </w:footnote>
  <w:footnote w:id="293">
    <w:p w14:paraId="2B55F780"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(نوفمبر 2023م). مبادئ أخلاقيات الذكاء الاصطناعي. الرياض: سدايا.</w:t>
      </w:r>
    </w:p>
  </w:footnote>
  <w:footnote w:id="294">
    <w:p w14:paraId="59E00933"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مبادئ أخلاقيات الذكاء الاصطناعي، مرجع سابق، ص12.</w:t>
      </w:r>
    </w:p>
  </w:footnote>
  <w:footnote w:id="295">
    <w:p w14:paraId="7DBE12A9"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الهيئة السعودية للبيانات والذكاء الاصطناعي (سدايا). (سبتمبر 2024م). إطار تبني الذكاء الاصطناعي. الرياض: سدايا.</w:t>
      </w:r>
    </w:p>
  </w:footnote>
  <w:footnote w:id="296">
    <w:p w14:paraId="02CDC518"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سدايا، إطار تبني الذكاء الاصطناعي، مرجع سابق.</w:t>
      </w:r>
    </w:p>
  </w:footnote>
  <w:footnote w:id="297">
    <w:p w14:paraId="2B0EDBD9"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سدايا، الدليل الاسترشادي لتقويم مخاطر نقل البيانات الشخصية إلى خارج المملكة، مرجع سابق.</w:t>
      </w:r>
    </w:p>
  </w:footnote>
  <w:footnote w:id="298">
    <w:p w14:paraId="15530370"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رجب، عمر سيد. (2023م). دور الدولة في تأطير أخلاقيات الذكاء الاصطناعي: دراسة مقارنة. مجلة الحقوق والعلوم الإنسانية، 5(2)، ص178.</w:t>
      </w:r>
    </w:p>
  </w:footnote>
  <w:footnote w:id="299">
    <w:p w14:paraId="7414DB2A"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التونسي والمعلم، مرجع سابق؛ والمالكي، مرجع سابق.</w:t>
      </w:r>
    </w:p>
  </w:footnote>
  <w:footnote w:id="300">
    <w:p w14:paraId="5F28C81A"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سدايا، مبادئ أخلاقيات الذكاء الاصطناعي، مرجع سابق.</w:t>
      </w:r>
    </w:p>
  </w:footnote>
  <w:footnote w:id="301">
    <w:p w14:paraId="3A917260"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نظام المحاماة، الصادر بالمرسوم الملكي رقم (م/38) وتاريخ 28/7/1422هـ، المعدل بالمرسومين الملكيين رقم (م/61) لعام 1437هـ ورقم (م/66) لعام 1443هـ.</w:t>
      </w:r>
    </w:p>
  </w:footnote>
  <w:footnote w:id="302">
    <w:p w14:paraId="78DD9A0C"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التونسي والمعلم، مرجع سابق.</w:t>
      </w:r>
    </w:p>
  </w:footnote>
  <w:footnote w:id="303">
    <w:p w14:paraId="2A38FA94" w14:textId="77777777" w:rsidR="00F004EA" w:rsidRDefault="00F004EA"/>
    <w:p w14:paraId="1D49A1F9" w14:textId="77777777" w:rsidR="006379D0" w:rsidRDefault="006379D0"/>
  </w:footnote>
  <w:footnote w:id="304">
    <w:p w14:paraId="0EE03C6D"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الغامدي، رهف صالح، الطبيعة القانونية للعقود الذكية في المملكة العربية السعودية – دراسة تحليلية، مجلة القانون والأعمال الدولية، الإصدار 57، 2025م؛ ومرسي، محمد إبراهيم عبد المنعم، مدى ملاءمة عقود الذكاء الاصطناعي المبرمة عبر تقنية البلوك تشين لقانون العقود، مجلة البحوث الفقهية والقانونية، جامعة الأزهر، 2023م.</w:t>
      </w:r>
    </w:p>
  </w:footnote>
  <w:footnote w:id="305">
    <w:p w14:paraId="686BC202"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العلي، مرجع سابق.</w:t>
      </w:r>
    </w:p>
  </w:footnote>
  <w:footnote w:id="306">
    <w:p w14:paraId="08FEA61D"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Mata v. Avianca, Inc., 678 F. Supp. 3d 443 (S.D.N.Y. 2023); Park v. Kim, 91 F.4th 610 (2d Cir. 2024); Zhang v. Chen, 2024 BCSC 285 (Can.).</w:t>
      </w:r>
    </w:p>
  </w:footnote>
  <w:footnote w:id="307">
    <w:p w14:paraId="2C3762C7"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المالكي، مرجع سابق.</w:t>
      </w:r>
    </w:p>
  </w:footnote>
  <w:footnote w:id="308">
    <w:p w14:paraId="63D547A1"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في التحيز الخوارزمي في السياق العربي: التونسي والمعلم، مرجع سابق.</w:t>
      </w:r>
    </w:p>
  </w:footnote>
  <w:footnote w:id="309">
    <w:p w14:paraId="0829D571"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المالكي، مرجع سابق.</w:t>
      </w:r>
    </w:p>
  </w:footnote>
  <w:footnote w:id="310">
    <w:p w14:paraId="5023F7A4"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Mata v. Avianca, Inc., 678 F. Supp. 3d 443 (S.D.N.Y. 2023); Park v. Kim, 91 F.4th 610 (2d Cir. 2024); Zhang v. Chen, 2024 BCSC 285 (Can.).</w:t>
      </w:r>
    </w:p>
  </w:footnote>
  <w:footnote w:id="311">
    <w:p w14:paraId="47EDFD62"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نظام المحاماة، مرجع سابق، المواد (1) و(18) و(37).</w:t>
      </w:r>
    </w:p>
  </w:footnote>
  <w:footnote w:id="312">
    <w:p w14:paraId="491986A3"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مجلس الإمارات للذكاء الاصطناعي. (2017م). الاستراتيجية الوطنية للذكاء الاصطناعي 2031. أبوظبي: مجلس الإمارات للذكاء الاصطناعي.</w:t>
      </w:r>
    </w:p>
  </w:footnote>
  <w:footnote w:id="313">
    <w:p w14:paraId="101E6E53"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في المبادرات الإماراتية في العدالة الرقمية: بلال، فاطمة عبد العزيز، دور الذكاء الاصطناعي في تعزيز العدالة الناجزة أمام القضاء – دراسة مقارنة، رسالة ماجستير، كلية القانون، جامعة قطر، 2023م.</w:t>
      </w:r>
    </w:p>
  </w:footnote>
  <w:footnote w:id="314">
    <w:p w14:paraId="7A7B11D5"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الغنامي، نايف بن ناشي، الضوابط القانونية للذكاء الاصطناعي في إبرام المعاملات القانونية، الجامعة السعودية الإلكترونية، (د.ت).</w:t>
      </w:r>
    </w:p>
  </w:footnote>
  <w:footnote w:id="315">
    <w:p w14:paraId="0E5ADEC4" w14:textId="77777777" w:rsidR="006A5DF6" w:rsidRDefault="006A5DF6" w:rsidP="005705DD">
      <w:pPr>
        <w:bidi/>
        <w:spacing w:after="200" w:line="276"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European Parliament. (2024). Regulation (EU) 2024/1689 on Artificial Intelligence (EU AI Act). Official Journal of the European Union.</w:t>
      </w:r>
    </w:p>
  </w:footnote>
  <w:footnote w:id="316">
    <w:p w14:paraId="5E68149C"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سدايا، مبادئ أخلاقيات الذكاء الاصطناعي، مرجع سابق.</w:t>
      </w:r>
    </w:p>
  </w:footnote>
  <w:footnote w:id="317">
    <w:p w14:paraId="59EB84CE"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نظام المحاماة، مرجع سابق، المادتان (29) و(31)، والمادة (الحادية والعشرون مكرر).</w:t>
      </w:r>
    </w:p>
  </w:footnote>
  <w:footnote w:id="318">
    <w:p w14:paraId="11A05D32"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American Bar Association, Standing Committee on Ethics and Professional Responsibility, Formal Opinion 512: Generative Artificial Intelligence Tools (July 29, 2024).</w:t>
      </w:r>
    </w:p>
  </w:footnote>
  <w:footnote w:id="319">
    <w:p w14:paraId="3B52AE66"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انظر: التونسي والمعلم، مرجع سابق.</w:t>
      </w:r>
    </w:p>
  </w:footnote>
  <w:footnote w:id="320">
    <w:p w14:paraId="4B7AE003" w14:textId="77777777" w:rsidR="00F06D4D" w:rsidRDefault="00000000">
      <w:pPr>
        <w:bidi/>
        <w:spacing w:after="0" w:line="240" w:lineRule="auto"/>
      </w:pPr>
      <w:r>
        <w:rPr>
          <w:rFonts w:asciiTheme="majorBidi" w:hAnsiTheme="majorBidi" w:cstheme="majorBidi"/>
          <w:sz w:val="20"/>
          <w:szCs w:val="20"/>
          <w:vertAlign w:val="superscript"/>
          <w:rtl/>
        </w:rPr>
        <w:footnoteRef/>
      </w:r>
      <w:r>
        <w:rPr>
          <w:rFonts w:asciiTheme="majorBidi" w:hAnsiTheme="majorBidi" w:cstheme="majorBidi"/>
          <w:sz w:val="20"/>
          <w:szCs w:val="20"/>
          <w:rtl/>
        </w:rPr>
        <w:t xml:space="preserve"> إسماعيل، مرجع سابق.</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B590B"/>
    <w:multiLevelType w:val="multilevel"/>
    <w:tmpl w:val="61767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A47A9"/>
    <w:multiLevelType w:val="multilevel"/>
    <w:tmpl w:val="BFD27D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440E09"/>
    <w:multiLevelType w:val="multilevel"/>
    <w:tmpl w:val="5FA6E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7E437C"/>
    <w:multiLevelType w:val="multilevel"/>
    <w:tmpl w:val="497C8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73469D"/>
    <w:multiLevelType w:val="multilevel"/>
    <w:tmpl w:val="7228C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A1220D"/>
    <w:multiLevelType w:val="multilevel"/>
    <w:tmpl w:val="0F581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0617FC"/>
    <w:multiLevelType w:val="multilevel"/>
    <w:tmpl w:val="BC9C6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03751AE"/>
    <w:multiLevelType w:val="multilevel"/>
    <w:tmpl w:val="A10A8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7E011A"/>
    <w:multiLevelType w:val="multilevel"/>
    <w:tmpl w:val="02B8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594FF0"/>
    <w:multiLevelType w:val="multilevel"/>
    <w:tmpl w:val="FD404D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6015FAD"/>
    <w:multiLevelType w:val="multilevel"/>
    <w:tmpl w:val="7B421C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A01EEF"/>
    <w:multiLevelType w:val="multilevel"/>
    <w:tmpl w:val="C6008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AC4C82"/>
    <w:multiLevelType w:val="multilevel"/>
    <w:tmpl w:val="C9C29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4121CB"/>
    <w:multiLevelType w:val="multilevel"/>
    <w:tmpl w:val="5DC82C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1D7E4C"/>
    <w:multiLevelType w:val="multilevel"/>
    <w:tmpl w:val="FD403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B5364A9"/>
    <w:multiLevelType w:val="multilevel"/>
    <w:tmpl w:val="F54AB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D84534"/>
    <w:multiLevelType w:val="multilevel"/>
    <w:tmpl w:val="26A2743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1E4F67F3"/>
    <w:multiLevelType w:val="multilevel"/>
    <w:tmpl w:val="2ABCF0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FA07F06"/>
    <w:multiLevelType w:val="multilevel"/>
    <w:tmpl w:val="AD8AF5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07F7330"/>
    <w:multiLevelType w:val="multilevel"/>
    <w:tmpl w:val="F22284B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7B2221C"/>
    <w:multiLevelType w:val="multilevel"/>
    <w:tmpl w:val="9B64C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D23CAF"/>
    <w:multiLevelType w:val="multilevel"/>
    <w:tmpl w:val="7A8E1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307032"/>
    <w:multiLevelType w:val="multilevel"/>
    <w:tmpl w:val="F87C7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763AB5"/>
    <w:multiLevelType w:val="multilevel"/>
    <w:tmpl w:val="F8BC0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EE24D05"/>
    <w:multiLevelType w:val="multilevel"/>
    <w:tmpl w:val="F92A4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EF226E"/>
    <w:multiLevelType w:val="multilevel"/>
    <w:tmpl w:val="0F08F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13D37E4"/>
    <w:multiLevelType w:val="multilevel"/>
    <w:tmpl w:val="AE28E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1634E51"/>
    <w:multiLevelType w:val="multilevel"/>
    <w:tmpl w:val="6A3C1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8757CD"/>
    <w:multiLevelType w:val="multilevel"/>
    <w:tmpl w:val="227C4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27D33F4"/>
    <w:multiLevelType w:val="multilevel"/>
    <w:tmpl w:val="A4247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42B1474"/>
    <w:multiLevelType w:val="multilevel"/>
    <w:tmpl w:val="C37C1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5204D14"/>
    <w:multiLevelType w:val="multilevel"/>
    <w:tmpl w:val="6C462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54836FB"/>
    <w:multiLevelType w:val="multilevel"/>
    <w:tmpl w:val="0974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7E913AF"/>
    <w:multiLevelType w:val="multilevel"/>
    <w:tmpl w:val="B860C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9982C75"/>
    <w:multiLevelType w:val="multilevel"/>
    <w:tmpl w:val="6D365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AD453F"/>
    <w:multiLevelType w:val="hybridMultilevel"/>
    <w:tmpl w:val="C7C0BD76"/>
    <w:lvl w:ilvl="0" w:tplc="375C25A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40512BE0"/>
    <w:multiLevelType w:val="multilevel"/>
    <w:tmpl w:val="C3FE6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618373D"/>
    <w:multiLevelType w:val="multilevel"/>
    <w:tmpl w:val="A970B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7804226"/>
    <w:multiLevelType w:val="multilevel"/>
    <w:tmpl w:val="BAF85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BAD6C44"/>
    <w:multiLevelType w:val="multilevel"/>
    <w:tmpl w:val="5A641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071358E"/>
    <w:multiLevelType w:val="multilevel"/>
    <w:tmpl w:val="738AE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39B2BE3"/>
    <w:multiLevelType w:val="multilevel"/>
    <w:tmpl w:val="986C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4EA5223"/>
    <w:multiLevelType w:val="multilevel"/>
    <w:tmpl w:val="7B4A6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6AF4A22"/>
    <w:multiLevelType w:val="multilevel"/>
    <w:tmpl w:val="80441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D2219CA"/>
    <w:multiLevelType w:val="multilevel"/>
    <w:tmpl w:val="3624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2005CBB"/>
    <w:multiLevelType w:val="multilevel"/>
    <w:tmpl w:val="7C9A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3015BD3"/>
    <w:multiLevelType w:val="multilevel"/>
    <w:tmpl w:val="FD508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391E45"/>
    <w:multiLevelType w:val="multilevel"/>
    <w:tmpl w:val="CD6671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81072F0"/>
    <w:multiLevelType w:val="multilevel"/>
    <w:tmpl w:val="67267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91B75C3"/>
    <w:multiLevelType w:val="multilevel"/>
    <w:tmpl w:val="FCBEA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C722A44"/>
    <w:multiLevelType w:val="multilevel"/>
    <w:tmpl w:val="7374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0443992"/>
    <w:multiLevelType w:val="multilevel"/>
    <w:tmpl w:val="C8F02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1A35BEA"/>
    <w:multiLevelType w:val="multilevel"/>
    <w:tmpl w:val="D0EC6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4958E9"/>
    <w:multiLevelType w:val="multilevel"/>
    <w:tmpl w:val="655CD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EA97FD1"/>
    <w:multiLevelType w:val="multilevel"/>
    <w:tmpl w:val="A5680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F7D2AA2"/>
    <w:multiLevelType w:val="multilevel"/>
    <w:tmpl w:val="760650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6709948">
    <w:abstractNumId w:val="16"/>
  </w:num>
  <w:num w:numId="2" w16cid:durableId="1584877127">
    <w:abstractNumId w:val="1"/>
  </w:num>
  <w:num w:numId="3" w16cid:durableId="1541087314">
    <w:abstractNumId w:val="35"/>
  </w:num>
  <w:num w:numId="4" w16cid:durableId="1676613020">
    <w:abstractNumId w:val="42"/>
  </w:num>
  <w:num w:numId="5" w16cid:durableId="60569647">
    <w:abstractNumId w:val="8"/>
  </w:num>
  <w:num w:numId="6" w16cid:durableId="1264000133">
    <w:abstractNumId w:val="0"/>
  </w:num>
  <w:num w:numId="7" w16cid:durableId="791823938">
    <w:abstractNumId w:val="24"/>
  </w:num>
  <w:num w:numId="8" w16cid:durableId="1120345743">
    <w:abstractNumId w:val="30"/>
  </w:num>
  <w:num w:numId="9" w16cid:durableId="2119324473">
    <w:abstractNumId w:val="15"/>
  </w:num>
  <w:num w:numId="10" w16cid:durableId="2129277241">
    <w:abstractNumId w:val="6"/>
  </w:num>
  <w:num w:numId="11" w16cid:durableId="946234912">
    <w:abstractNumId w:val="5"/>
  </w:num>
  <w:num w:numId="12" w16cid:durableId="1407654035">
    <w:abstractNumId w:val="54"/>
  </w:num>
  <w:num w:numId="13" w16cid:durableId="1167214141">
    <w:abstractNumId w:val="32"/>
  </w:num>
  <w:num w:numId="14" w16cid:durableId="1569219720">
    <w:abstractNumId w:val="28"/>
  </w:num>
  <w:num w:numId="15" w16cid:durableId="1300577646">
    <w:abstractNumId w:val="13"/>
  </w:num>
  <w:num w:numId="16" w16cid:durableId="1979525511">
    <w:abstractNumId w:val="27"/>
  </w:num>
  <w:num w:numId="17" w16cid:durableId="986518167">
    <w:abstractNumId w:val="3"/>
  </w:num>
  <w:num w:numId="18" w16cid:durableId="1992636052">
    <w:abstractNumId w:val="17"/>
  </w:num>
  <w:num w:numId="19" w16cid:durableId="1876043753">
    <w:abstractNumId w:val="23"/>
  </w:num>
  <w:num w:numId="20" w16cid:durableId="1797143299">
    <w:abstractNumId w:val="38"/>
  </w:num>
  <w:num w:numId="21" w16cid:durableId="1587350199">
    <w:abstractNumId w:val="2"/>
  </w:num>
  <w:num w:numId="22" w16cid:durableId="1296570517">
    <w:abstractNumId w:val="53"/>
  </w:num>
  <w:num w:numId="23" w16cid:durableId="194121718">
    <w:abstractNumId w:val="34"/>
  </w:num>
  <w:num w:numId="24" w16cid:durableId="1566066993">
    <w:abstractNumId w:val="29"/>
  </w:num>
  <w:num w:numId="25" w16cid:durableId="646668925">
    <w:abstractNumId w:val="33"/>
  </w:num>
  <w:num w:numId="26" w16cid:durableId="535585250">
    <w:abstractNumId w:val="14"/>
  </w:num>
  <w:num w:numId="27" w16cid:durableId="1160466818">
    <w:abstractNumId w:val="7"/>
  </w:num>
  <w:num w:numId="28" w16cid:durableId="739063338">
    <w:abstractNumId w:val="49"/>
  </w:num>
  <w:num w:numId="29" w16cid:durableId="836769357">
    <w:abstractNumId w:val="11"/>
  </w:num>
  <w:num w:numId="30" w16cid:durableId="789669254">
    <w:abstractNumId w:val="46"/>
  </w:num>
  <w:num w:numId="31" w16cid:durableId="280845185">
    <w:abstractNumId w:val="31"/>
  </w:num>
  <w:num w:numId="32" w16cid:durableId="137458779">
    <w:abstractNumId w:val="18"/>
  </w:num>
  <w:num w:numId="33" w16cid:durableId="442918286">
    <w:abstractNumId w:val="25"/>
  </w:num>
  <w:num w:numId="34" w16cid:durableId="1902784556">
    <w:abstractNumId w:val="37"/>
  </w:num>
  <w:num w:numId="35" w16cid:durableId="238175302">
    <w:abstractNumId w:val="19"/>
  </w:num>
  <w:num w:numId="36" w16cid:durableId="716201056">
    <w:abstractNumId w:val="50"/>
  </w:num>
  <w:num w:numId="37" w16cid:durableId="335696794">
    <w:abstractNumId w:val="12"/>
  </w:num>
  <w:num w:numId="38" w16cid:durableId="1323240446">
    <w:abstractNumId w:val="22"/>
  </w:num>
  <w:num w:numId="39" w16cid:durableId="995495081">
    <w:abstractNumId w:val="4"/>
  </w:num>
  <w:num w:numId="40" w16cid:durableId="1581476974">
    <w:abstractNumId w:val="41"/>
  </w:num>
  <w:num w:numId="41" w16cid:durableId="811139365">
    <w:abstractNumId w:val="26"/>
  </w:num>
  <w:num w:numId="42" w16cid:durableId="1066336400">
    <w:abstractNumId w:val="43"/>
  </w:num>
  <w:num w:numId="43" w16cid:durableId="732242340">
    <w:abstractNumId w:val="40"/>
  </w:num>
  <w:num w:numId="44" w16cid:durableId="1878809161">
    <w:abstractNumId w:val="20"/>
  </w:num>
  <w:num w:numId="45" w16cid:durableId="10226529">
    <w:abstractNumId w:val="10"/>
  </w:num>
  <w:num w:numId="46" w16cid:durableId="1949192990">
    <w:abstractNumId w:val="9"/>
  </w:num>
  <w:num w:numId="47" w16cid:durableId="1401101412">
    <w:abstractNumId w:val="36"/>
  </w:num>
  <w:num w:numId="48" w16cid:durableId="896865878">
    <w:abstractNumId w:val="47"/>
  </w:num>
  <w:num w:numId="49" w16cid:durableId="1491095646">
    <w:abstractNumId w:val="44"/>
  </w:num>
  <w:num w:numId="50" w16cid:durableId="1507594991">
    <w:abstractNumId w:val="55"/>
  </w:num>
  <w:num w:numId="51" w16cid:durableId="665985770">
    <w:abstractNumId w:val="52"/>
  </w:num>
  <w:num w:numId="52" w16cid:durableId="590969321">
    <w:abstractNumId w:val="39"/>
  </w:num>
  <w:num w:numId="53" w16cid:durableId="2051101206">
    <w:abstractNumId w:val="21"/>
  </w:num>
  <w:num w:numId="54" w16cid:durableId="723061101">
    <w:abstractNumId w:val="48"/>
  </w:num>
  <w:num w:numId="55" w16cid:durableId="1022626960">
    <w:abstractNumId w:val="45"/>
  </w:num>
  <w:num w:numId="56" w16cid:durableId="1943804052">
    <w:abstractNumId w:val="51"/>
  </w:num>
  <w:num w:numId="57" w16cid:durableId="1566447846">
    <w:abstractNumId w:val="19"/>
  </w:num>
  <w:numIdMacAtCleanup w:val="5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Ibrahim">
    <w15:presenceInfo w15:providerId="Windows Live" w15:userId="4943be808cf15238"/>
  </w15:person>
  <w15:person w15:author="ibrahim h">
    <w15:presenceInfo w15:providerId="Windows Live" w15:userId="4943be808cf152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1B95"/>
    <w:rsid w:val="000003D3"/>
    <w:rsid w:val="000004FA"/>
    <w:rsid w:val="00025234"/>
    <w:rsid w:val="00035EF7"/>
    <w:rsid w:val="00047425"/>
    <w:rsid w:val="00053121"/>
    <w:rsid w:val="00061491"/>
    <w:rsid w:val="00065298"/>
    <w:rsid w:val="00065C80"/>
    <w:rsid w:val="00071805"/>
    <w:rsid w:val="000775D9"/>
    <w:rsid w:val="000778AD"/>
    <w:rsid w:val="0008039A"/>
    <w:rsid w:val="00085940"/>
    <w:rsid w:val="00085AD1"/>
    <w:rsid w:val="0008617A"/>
    <w:rsid w:val="000A1619"/>
    <w:rsid w:val="000B029D"/>
    <w:rsid w:val="000C69B5"/>
    <w:rsid w:val="000C7173"/>
    <w:rsid w:val="000D4B35"/>
    <w:rsid w:val="000E0175"/>
    <w:rsid w:val="000E1066"/>
    <w:rsid w:val="000E73EA"/>
    <w:rsid w:val="000E75C8"/>
    <w:rsid w:val="000F2879"/>
    <w:rsid w:val="00100B04"/>
    <w:rsid w:val="00101461"/>
    <w:rsid w:val="0010656B"/>
    <w:rsid w:val="00112A03"/>
    <w:rsid w:val="00122234"/>
    <w:rsid w:val="00133FA5"/>
    <w:rsid w:val="00143CF0"/>
    <w:rsid w:val="00147082"/>
    <w:rsid w:val="0015633A"/>
    <w:rsid w:val="00160939"/>
    <w:rsid w:val="0016208C"/>
    <w:rsid w:val="00191993"/>
    <w:rsid w:val="0019493E"/>
    <w:rsid w:val="001C2B27"/>
    <w:rsid w:val="001D3BEE"/>
    <w:rsid w:val="001D6DE8"/>
    <w:rsid w:val="001E05F0"/>
    <w:rsid w:val="001E2513"/>
    <w:rsid w:val="001E2BB3"/>
    <w:rsid w:val="001E4959"/>
    <w:rsid w:val="001F1442"/>
    <w:rsid w:val="001F3C8A"/>
    <w:rsid w:val="001F4CFE"/>
    <w:rsid w:val="002029E8"/>
    <w:rsid w:val="0021459F"/>
    <w:rsid w:val="00223A6F"/>
    <w:rsid w:val="002406CF"/>
    <w:rsid w:val="00240E90"/>
    <w:rsid w:val="0024502C"/>
    <w:rsid w:val="00245126"/>
    <w:rsid w:val="00250688"/>
    <w:rsid w:val="00255305"/>
    <w:rsid w:val="00261A94"/>
    <w:rsid w:val="00261CD1"/>
    <w:rsid w:val="0026477A"/>
    <w:rsid w:val="002670D1"/>
    <w:rsid w:val="00271741"/>
    <w:rsid w:val="00292EA9"/>
    <w:rsid w:val="00294297"/>
    <w:rsid w:val="00295F2E"/>
    <w:rsid w:val="002A3106"/>
    <w:rsid w:val="002A34EF"/>
    <w:rsid w:val="002A59C9"/>
    <w:rsid w:val="002B7EAA"/>
    <w:rsid w:val="002C328E"/>
    <w:rsid w:val="002C6710"/>
    <w:rsid w:val="002C6AC6"/>
    <w:rsid w:val="002D0332"/>
    <w:rsid w:val="002E0F58"/>
    <w:rsid w:val="002F0A82"/>
    <w:rsid w:val="002F5F3B"/>
    <w:rsid w:val="00301A79"/>
    <w:rsid w:val="003048E3"/>
    <w:rsid w:val="00327D27"/>
    <w:rsid w:val="00355E75"/>
    <w:rsid w:val="00380C82"/>
    <w:rsid w:val="003835A4"/>
    <w:rsid w:val="0038387E"/>
    <w:rsid w:val="003874FB"/>
    <w:rsid w:val="003A40AC"/>
    <w:rsid w:val="003B50D9"/>
    <w:rsid w:val="003D0156"/>
    <w:rsid w:val="003D6819"/>
    <w:rsid w:val="003F1942"/>
    <w:rsid w:val="003F267E"/>
    <w:rsid w:val="00412166"/>
    <w:rsid w:val="00442486"/>
    <w:rsid w:val="00450EAF"/>
    <w:rsid w:val="00454BE9"/>
    <w:rsid w:val="0045525C"/>
    <w:rsid w:val="004612B8"/>
    <w:rsid w:val="004639DD"/>
    <w:rsid w:val="00476D14"/>
    <w:rsid w:val="004855F3"/>
    <w:rsid w:val="00493ADF"/>
    <w:rsid w:val="00493FED"/>
    <w:rsid w:val="004A2304"/>
    <w:rsid w:val="004B4795"/>
    <w:rsid w:val="004C4A98"/>
    <w:rsid w:val="004D4BEB"/>
    <w:rsid w:val="004D54F4"/>
    <w:rsid w:val="004E4D2E"/>
    <w:rsid w:val="004F0491"/>
    <w:rsid w:val="004F7A59"/>
    <w:rsid w:val="00505B3D"/>
    <w:rsid w:val="00510971"/>
    <w:rsid w:val="0052203F"/>
    <w:rsid w:val="00523C56"/>
    <w:rsid w:val="00534682"/>
    <w:rsid w:val="00535C4D"/>
    <w:rsid w:val="005562AF"/>
    <w:rsid w:val="005705DD"/>
    <w:rsid w:val="00571984"/>
    <w:rsid w:val="00575B64"/>
    <w:rsid w:val="005804B6"/>
    <w:rsid w:val="005A36AC"/>
    <w:rsid w:val="005B1373"/>
    <w:rsid w:val="005B3480"/>
    <w:rsid w:val="005B3BD6"/>
    <w:rsid w:val="005B5B7B"/>
    <w:rsid w:val="005B6F10"/>
    <w:rsid w:val="005C4986"/>
    <w:rsid w:val="005E4000"/>
    <w:rsid w:val="005E6A3A"/>
    <w:rsid w:val="005F338A"/>
    <w:rsid w:val="005F3DEC"/>
    <w:rsid w:val="00601EB6"/>
    <w:rsid w:val="00602DA0"/>
    <w:rsid w:val="0060520F"/>
    <w:rsid w:val="0060573B"/>
    <w:rsid w:val="00624037"/>
    <w:rsid w:val="006363BC"/>
    <w:rsid w:val="006367A6"/>
    <w:rsid w:val="006368EB"/>
    <w:rsid w:val="006379D0"/>
    <w:rsid w:val="0064346D"/>
    <w:rsid w:val="00657550"/>
    <w:rsid w:val="00662232"/>
    <w:rsid w:val="00662485"/>
    <w:rsid w:val="00665564"/>
    <w:rsid w:val="006713B6"/>
    <w:rsid w:val="00691B95"/>
    <w:rsid w:val="0069308E"/>
    <w:rsid w:val="006A5DF6"/>
    <w:rsid w:val="006C5012"/>
    <w:rsid w:val="006D4AD4"/>
    <w:rsid w:val="006F0199"/>
    <w:rsid w:val="006F4E03"/>
    <w:rsid w:val="007319E4"/>
    <w:rsid w:val="00767C10"/>
    <w:rsid w:val="00780164"/>
    <w:rsid w:val="00781B0D"/>
    <w:rsid w:val="0078459A"/>
    <w:rsid w:val="00786384"/>
    <w:rsid w:val="007A6CD6"/>
    <w:rsid w:val="007B611E"/>
    <w:rsid w:val="007C2A87"/>
    <w:rsid w:val="007C31A8"/>
    <w:rsid w:val="007D1662"/>
    <w:rsid w:val="007D4C64"/>
    <w:rsid w:val="007F1A18"/>
    <w:rsid w:val="00800814"/>
    <w:rsid w:val="00800E91"/>
    <w:rsid w:val="00807AA1"/>
    <w:rsid w:val="00811A08"/>
    <w:rsid w:val="008237A5"/>
    <w:rsid w:val="00827487"/>
    <w:rsid w:val="00830A22"/>
    <w:rsid w:val="00834F89"/>
    <w:rsid w:val="00836102"/>
    <w:rsid w:val="008366B9"/>
    <w:rsid w:val="00841438"/>
    <w:rsid w:val="00841BC7"/>
    <w:rsid w:val="00852F51"/>
    <w:rsid w:val="008535D1"/>
    <w:rsid w:val="00863E5E"/>
    <w:rsid w:val="00864613"/>
    <w:rsid w:val="008658B9"/>
    <w:rsid w:val="0089710C"/>
    <w:rsid w:val="008B2644"/>
    <w:rsid w:val="008B4EFD"/>
    <w:rsid w:val="008B5FA5"/>
    <w:rsid w:val="008C5A8E"/>
    <w:rsid w:val="008D5357"/>
    <w:rsid w:val="008F1250"/>
    <w:rsid w:val="00914234"/>
    <w:rsid w:val="00925AAC"/>
    <w:rsid w:val="00925C7C"/>
    <w:rsid w:val="00934B50"/>
    <w:rsid w:val="009426DA"/>
    <w:rsid w:val="0095390F"/>
    <w:rsid w:val="0095426B"/>
    <w:rsid w:val="0095427D"/>
    <w:rsid w:val="00957EC0"/>
    <w:rsid w:val="00960AA5"/>
    <w:rsid w:val="00964DF5"/>
    <w:rsid w:val="00974C84"/>
    <w:rsid w:val="00992A67"/>
    <w:rsid w:val="00994DA4"/>
    <w:rsid w:val="009A44B7"/>
    <w:rsid w:val="009B1A71"/>
    <w:rsid w:val="009C600B"/>
    <w:rsid w:val="009E1814"/>
    <w:rsid w:val="009E2938"/>
    <w:rsid w:val="00A00ABB"/>
    <w:rsid w:val="00A02FE3"/>
    <w:rsid w:val="00A10B6F"/>
    <w:rsid w:val="00A17FE1"/>
    <w:rsid w:val="00A25236"/>
    <w:rsid w:val="00A302BC"/>
    <w:rsid w:val="00A3402C"/>
    <w:rsid w:val="00A34353"/>
    <w:rsid w:val="00A40287"/>
    <w:rsid w:val="00A4106D"/>
    <w:rsid w:val="00A419BC"/>
    <w:rsid w:val="00A454B6"/>
    <w:rsid w:val="00A46212"/>
    <w:rsid w:val="00A60CD0"/>
    <w:rsid w:val="00A6276A"/>
    <w:rsid w:val="00A66CDD"/>
    <w:rsid w:val="00A67437"/>
    <w:rsid w:val="00A742CD"/>
    <w:rsid w:val="00A83851"/>
    <w:rsid w:val="00A91133"/>
    <w:rsid w:val="00A918AE"/>
    <w:rsid w:val="00A92D8E"/>
    <w:rsid w:val="00A93FA8"/>
    <w:rsid w:val="00A94FD1"/>
    <w:rsid w:val="00A96D97"/>
    <w:rsid w:val="00A97A7C"/>
    <w:rsid w:val="00AA06F2"/>
    <w:rsid w:val="00AA2FAB"/>
    <w:rsid w:val="00AB2138"/>
    <w:rsid w:val="00AB64FA"/>
    <w:rsid w:val="00AC4E6B"/>
    <w:rsid w:val="00AC662A"/>
    <w:rsid w:val="00AD4C3C"/>
    <w:rsid w:val="00B102AB"/>
    <w:rsid w:val="00B16B4E"/>
    <w:rsid w:val="00B22DE0"/>
    <w:rsid w:val="00B3608E"/>
    <w:rsid w:val="00B37921"/>
    <w:rsid w:val="00B45D36"/>
    <w:rsid w:val="00B553F3"/>
    <w:rsid w:val="00B73B85"/>
    <w:rsid w:val="00B75D02"/>
    <w:rsid w:val="00B8604E"/>
    <w:rsid w:val="00B92CB9"/>
    <w:rsid w:val="00B96F5A"/>
    <w:rsid w:val="00B97307"/>
    <w:rsid w:val="00BA22BF"/>
    <w:rsid w:val="00BA3890"/>
    <w:rsid w:val="00BB08F4"/>
    <w:rsid w:val="00BB185C"/>
    <w:rsid w:val="00BB4FEC"/>
    <w:rsid w:val="00BC5F38"/>
    <w:rsid w:val="00BC6811"/>
    <w:rsid w:val="00BD079A"/>
    <w:rsid w:val="00BD338E"/>
    <w:rsid w:val="00BE5579"/>
    <w:rsid w:val="00C00F5F"/>
    <w:rsid w:val="00C1120C"/>
    <w:rsid w:val="00C126D5"/>
    <w:rsid w:val="00C16B5E"/>
    <w:rsid w:val="00C35724"/>
    <w:rsid w:val="00C41E32"/>
    <w:rsid w:val="00C4231B"/>
    <w:rsid w:val="00C623F0"/>
    <w:rsid w:val="00C64495"/>
    <w:rsid w:val="00C65277"/>
    <w:rsid w:val="00C702A9"/>
    <w:rsid w:val="00C72A09"/>
    <w:rsid w:val="00C80A10"/>
    <w:rsid w:val="00C94490"/>
    <w:rsid w:val="00C965B9"/>
    <w:rsid w:val="00C96977"/>
    <w:rsid w:val="00CA064E"/>
    <w:rsid w:val="00CB3527"/>
    <w:rsid w:val="00CB64BE"/>
    <w:rsid w:val="00CC6698"/>
    <w:rsid w:val="00CD1B15"/>
    <w:rsid w:val="00CD38E9"/>
    <w:rsid w:val="00CF47E9"/>
    <w:rsid w:val="00CF598B"/>
    <w:rsid w:val="00CF67E5"/>
    <w:rsid w:val="00D06FE8"/>
    <w:rsid w:val="00D13B7E"/>
    <w:rsid w:val="00D150CD"/>
    <w:rsid w:val="00D254DC"/>
    <w:rsid w:val="00D41CB7"/>
    <w:rsid w:val="00D536F7"/>
    <w:rsid w:val="00D57654"/>
    <w:rsid w:val="00D650FF"/>
    <w:rsid w:val="00D7288C"/>
    <w:rsid w:val="00D82BFF"/>
    <w:rsid w:val="00D843CF"/>
    <w:rsid w:val="00DA2D94"/>
    <w:rsid w:val="00DA56F5"/>
    <w:rsid w:val="00DC0BE2"/>
    <w:rsid w:val="00DC6C52"/>
    <w:rsid w:val="00DD6051"/>
    <w:rsid w:val="00DE40A0"/>
    <w:rsid w:val="00DE638A"/>
    <w:rsid w:val="00DE7F8F"/>
    <w:rsid w:val="00DF7C8B"/>
    <w:rsid w:val="00E15647"/>
    <w:rsid w:val="00E23555"/>
    <w:rsid w:val="00E302A2"/>
    <w:rsid w:val="00E37932"/>
    <w:rsid w:val="00E600F7"/>
    <w:rsid w:val="00E75685"/>
    <w:rsid w:val="00E77780"/>
    <w:rsid w:val="00E82B9E"/>
    <w:rsid w:val="00E87C1D"/>
    <w:rsid w:val="00EA18DA"/>
    <w:rsid w:val="00EA3EA9"/>
    <w:rsid w:val="00EA406D"/>
    <w:rsid w:val="00EA689F"/>
    <w:rsid w:val="00EB196A"/>
    <w:rsid w:val="00EC71D9"/>
    <w:rsid w:val="00ED0A7F"/>
    <w:rsid w:val="00ED18A5"/>
    <w:rsid w:val="00ED5C01"/>
    <w:rsid w:val="00ED7A3B"/>
    <w:rsid w:val="00EE1923"/>
    <w:rsid w:val="00EE6037"/>
    <w:rsid w:val="00EF14BA"/>
    <w:rsid w:val="00EF734A"/>
    <w:rsid w:val="00F004EA"/>
    <w:rsid w:val="00F02C92"/>
    <w:rsid w:val="00F06D4D"/>
    <w:rsid w:val="00F10DC6"/>
    <w:rsid w:val="00F12321"/>
    <w:rsid w:val="00F13A24"/>
    <w:rsid w:val="00F21735"/>
    <w:rsid w:val="00F219B4"/>
    <w:rsid w:val="00F237E4"/>
    <w:rsid w:val="00F43521"/>
    <w:rsid w:val="00F5007B"/>
    <w:rsid w:val="00F5088E"/>
    <w:rsid w:val="00F532FA"/>
    <w:rsid w:val="00F56EF2"/>
    <w:rsid w:val="00F61505"/>
    <w:rsid w:val="00F7053A"/>
    <w:rsid w:val="00F914DE"/>
    <w:rsid w:val="00F91E80"/>
    <w:rsid w:val="00F95DA4"/>
    <w:rsid w:val="00FD50CD"/>
    <w:rsid w:val="00FE66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BADD7"/>
  <w15:chartTrackingRefBased/>
  <w15:docId w15:val="{88D0E1AF-71BF-41BC-98F6-07E5F3161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50688"/>
    <w:rPr>
      <w:kern w:val="0"/>
      <w14:ligatures w14:val="none"/>
    </w:rPr>
  </w:style>
  <w:style w:type="paragraph" w:styleId="1">
    <w:name w:val="heading 1"/>
    <w:basedOn w:val="a"/>
    <w:next w:val="a"/>
    <w:link w:val="1Char"/>
    <w:uiPriority w:val="9"/>
    <w:qFormat/>
    <w:rsid w:val="00691B95"/>
    <w:pPr>
      <w:keepNext/>
      <w:keepLines/>
      <w:bidi/>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Char"/>
    <w:uiPriority w:val="9"/>
    <w:semiHidden/>
    <w:unhideWhenUsed/>
    <w:qFormat/>
    <w:rsid w:val="00691B95"/>
    <w:pPr>
      <w:keepNext/>
      <w:keepLines/>
      <w:bidi/>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Char"/>
    <w:uiPriority w:val="9"/>
    <w:semiHidden/>
    <w:unhideWhenUsed/>
    <w:qFormat/>
    <w:rsid w:val="00691B95"/>
    <w:pPr>
      <w:keepNext/>
      <w:keepLines/>
      <w:bidi/>
      <w:spacing w:before="160" w:after="80"/>
      <w:outlineLvl w:val="2"/>
    </w:pPr>
    <w:rPr>
      <w:rFonts w:eastAsiaTheme="majorEastAsia" w:cstheme="majorBidi"/>
      <w:color w:val="2F5496" w:themeColor="accent1" w:themeShade="BF"/>
      <w:kern w:val="2"/>
      <w:sz w:val="28"/>
      <w:szCs w:val="28"/>
      <w14:ligatures w14:val="standardContextual"/>
    </w:rPr>
  </w:style>
  <w:style w:type="paragraph" w:styleId="4">
    <w:name w:val="heading 4"/>
    <w:basedOn w:val="a"/>
    <w:next w:val="a"/>
    <w:link w:val="4Char"/>
    <w:uiPriority w:val="9"/>
    <w:semiHidden/>
    <w:unhideWhenUsed/>
    <w:qFormat/>
    <w:rsid w:val="00691B95"/>
    <w:pPr>
      <w:keepNext/>
      <w:keepLines/>
      <w:bidi/>
      <w:spacing w:before="80" w:after="40"/>
      <w:outlineLvl w:val="3"/>
    </w:pPr>
    <w:rPr>
      <w:rFonts w:eastAsiaTheme="majorEastAsia" w:cstheme="majorBidi"/>
      <w:i/>
      <w:iCs/>
      <w:color w:val="2F5496" w:themeColor="accent1" w:themeShade="BF"/>
      <w:kern w:val="2"/>
      <w14:ligatures w14:val="standardContextual"/>
    </w:rPr>
  </w:style>
  <w:style w:type="paragraph" w:styleId="5">
    <w:name w:val="heading 5"/>
    <w:basedOn w:val="a"/>
    <w:next w:val="a"/>
    <w:link w:val="5Char"/>
    <w:uiPriority w:val="9"/>
    <w:semiHidden/>
    <w:unhideWhenUsed/>
    <w:qFormat/>
    <w:rsid w:val="00691B95"/>
    <w:pPr>
      <w:keepNext/>
      <w:keepLines/>
      <w:bidi/>
      <w:spacing w:before="80" w:after="40"/>
      <w:outlineLvl w:val="4"/>
    </w:pPr>
    <w:rPr>
      <w:rFonts w:eastAsiaTheme="majorEastAsia" w:cstheme="majorBidi"/>
      <w:color w:val="2F5496" w:themeColor="accent1" w:themeShade="BF"/>
      <w:kern w:val="2"/>
      <w14:ligatures w14:val="standardContextual"/>
    </w:rPr>
  </w:style>
  <w:style w:type="paragraph" w:styleId="6">
    <w:name w:val="heading 6"/>
    <w:basedOn w:val="a"/>
    <w:next w:val="a"/>
    <w:link w:val="6Char"/>
    <w:uiPriority w:val="9"/>
    <w:semiHidden/>
    <w:unhideWhenUsed/>
    <w:qFormat/>
    <w:rsid w:val="00691B95"/>
    <w:pPr>
      <w:keepNext/>
      <w:keepLines/>
      <w:bidi/>
      <w:spacing w:before="40" w:after="0"/>
      <w:outlineLvl w:val="5"/>
    </w:pPr>
    <w:rPr>
      <w:rFonts w:eastAsiaTheme="majorEastAsia" w:cstheme="majorBidi"/>
      <w:i/>
      <w:iCs/>
      <w:color w:val="595959" w:themeColor="text1" w:themeTint="A6"/>
      <w:kern w:val="2"/>
      <w14:ligatures w14:val="standardContextual"/>
    </w:rPr>
  </w:style>
  <w:style w:type="paragraph" w:styleId="7">
    <w:name w:val="heading 7"/>
    <w:basedOn w:val="a"/>
    <w:next w:val="a"/>
    <w:link w:val="7Char"/>
    <w:uiPriority w:val="9"/>
    <w:semiHidden/>
    <w:unhideWhenUsed/>
    <w:qFormat/>
    <w:rsid w:val="00691B95"/>
    <w:pPr>
      <w:keepNext/>
      <w:keepLines/>
      <w:bidi/>
      <w:spacing w:before="40" w:after="0"/>
      <w:outlineLvl w:val="6"/>
    </w:pPr>
    <w:rPr>
      <w:rFonts w:eastAsiaTheme="majorEastAsia" w:cstheme="majorBidi"/>
      <w:color w:val="595959" w:themeColor="text1" w:themeTint="A6"/>
      <w:kern w:val="2"/>
      <w14:ligatures w14:val="standardContextual"/>
    </w:rPr>
  </w:style>
  <w:style w:type="paragraph" w:styleId="8">
    <w:name w:val="heading 8"/>
    <w:basedOn w:val="a"/>
    <w:next w:val="a"/>
    <w:link w:val="8Char"/>
    <w:uiPriority w:val="9"/>
    <w:semiHidden/>
    <w:unhideWhenUsed/>
    <w:qFormat/>
    <w:rsid w:val="00691B95"/>
    <w:pPr>
      <w:keepNext/>
      <w:keepLines/>
      <w:bidi/>
      <w:spacing w:after="0"/>
      <w:outlineLvl w:val="7"/>
    </w:pPr>
    <w:rPr>
      <w:rFonts w:eastAsiaTheme="majorEastAsia" w:cstheme="majorBidi"/>
      <w:i/>
      <w:iCs/>
      <w:color w:val="272727" w:themeColor="text1" w:themeTint="D8"/>
      <w:kern w:val="2"/>
      <w14:ligatures w14:val="standardContextual"/>
    </w:rPr>
  </w:style>
  <w:style w:type="paragraph" w:styleId="9">
    <w:name w:val="heading 9"/>
    <w:basedOn w:val="a"/>
    <w:next w:val="a"/>
    <w:link w:val="9Char"/>
    <w:uiPriority w:val="9"/>
    <w:semiHidden/>
    <w:unhideWhenUsed/>
    <w:qFormat/>
    <w:rsid w:val="00691B95"/>
    <w:pPr>
      <w:keepNext/>
      <w:keepLines/>
      <w:bidi/>
      <w:spacing w:after="0"/>
      <w:outlineLvl w:val="8"/>
    </w:pPr>
    <w:rPr>
      <w:rFonts w:eastAsiaTheme="majorEastAsia" w:cstheme="majorBidi"/>
      <w:color w:val="272727" w:themeColor="text1" w:themeTint="D8"/>
      <w:kern w:val="2"/>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691B95"/>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691B95"/>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691B95"/>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691B95"/>
    <w:rPr>
      <w:rFonts w:eastAsiaTheme="majorEastAsia" w:cstheme="majorBidi"/>
      <w:i/>
      <w:iCs/>
      <w:color w:val="2F5496" w:themeColor="accent1" w:themeShade="BF"/>
    </w:rPr>
  </w:style>
  <w:style w:type="character" w:customStyle="1" w:styleId="5Char">
    <w:name w:val="عنوان 5 Char"/>
    <w:basedOn w:val="a0"/>
    <w:link w:val="5"/>
    <w:uiPriority w:val="9"/>
    <w:semiHidden/>
    <w:rsid w:val="00691B95"/>
    <w:rPr>
      <w:rFonts w:eastAsiaTheme="majorEastAsia" w:cstheme="majorBidi"/>
      <w:color w:val="2F5496" w:themeColor="accent1" w:themeShade="BF"/>
    </w:rPr>
  </w:style>
  <w:style w:type="character" w:customStyle="1" w:styleId="6Char">
    <w:name w:val="عنوان 6 Char"/>
    <w:basedOn w:val="a0"/>
    <w:link w:val="6"/>
    <w:uiPriority w:val="9"/>
    <w:semiHidden/>
    <w:rsid w:val="00691B95"/>
    <w:rPr>
      <w:rFonts w:eastAsiaTheme="majorEastAsia" w:cstheme="majorBidi"/>
      <w:i/>
      <w:iCs/>
      <w:color w:val="595959" w:themeColor="text1" w:themeTint="A6"/>
    </w:rPr>
  </w:style>
  <w:style w:type="character" w:customStyle="1" w:styleId="7Char">
    <w:name w:val="عنوان 7 Char"/>
    <w:basedOn w:val="a0"/>
    <w:link w:val="7"/>
    <w:uiPriority w:val="9"/>
    <w:semiHidden/>
    <w:rsid w:val="00691B95"/>
    <w:rPr>
      <w:rFonts w:eastAsiaTheme="majorEastAsia" w:cstheme="majorBidi"/>
      <w:color w:val="595959" w:themeColor="text1" w:themeTint="A6"/>
    </w:rPr>
  </w:style>
  <w:style w:type="character" w:customStyle="1" w:styleId="8Char">
    <w:name w:val="عنوان 8 Char"/>
    <w:basedOn w:val="a0"/>
    <w:link w:val="8"/>
    <w:uiPriority w:val="9"/>
    <w:semiHidden/>
    <w:rsid w:val="00691B95"/>
    <w:rPr>
      <w:rFonts w:eastAsiaTheme="majorEastAsia" w:cstheme="majorBidi"/>
      <w:i/>
      <w:iCs/>
      <w:color w:val="272727" w:themeColor="text1" w:themeTint="D8"/>
    </w:rPr>
  </w:style>
  <w:style w:type="character" w:customStyle="1" w:styleId="9Char">
    <w:name w:val="عنوان 9 Char"/>
    <w:basedOn w:val="a0"/>
    <w:link w:val="9"/>
    <w:uiPriority w:val="9"/>
    <w:semiHidden/>
    <w:rsid w:val="00691B95"/>
    <w:rPr>
      <w:rFonts w:eastAsiaTheme="majorEastAsia" w:cstheme="majorBidi"/>
      <w:color w:val="272727" w:themeColor="text1" w:themeTint="D8"/>
    </w:rPr>
  </w:style>
  <w:style w:type="paragraph" w:styleId="a3">
    <w:name w:val="Title"/>
    <w:basedOn w:val="a"/>
    <w:next w:val="a"/>
    <w:link w:val="Char"/>
    <w:uiPriority w:val="10"/>
    <w:qFormat/>
    <w:rsid w:val="00691B95"/>
    <w:pPr>
      <w:bidi/>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
    <w:name w:val="العنوان Char"/>
    <w:basedOn w:val="a0"/>
    <w:link w:val="a3"/>
    <w:uiPriority w:val="10"/>
    <w:rsid w:val="00691B9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91B95"/>
    <w:pPr>
      <w:numPr>
        <w:ilvl w:val="1"/>
      </w:numPr>
      <w:bidi/>
    </w:pPr>
    <w:rPr>
      <w:rFonts w:eastAsiaTheme="majorEastAsia" w:cstheme="majorBidi"/>
      <w:color w:val="595959" w:themeColor="text1" w:themeTint="A6"/>
      <w:spacing w:val="15"/>
      <w:kern w:val="2"/>
      <w:sz w:val="28"/>
      <w:szCs w:val="28"/>
      <w14:ligatures w14:val="standardContextual"/>
    </w:rPr>
  </w:style>
  <w:style w:type="character" w:customStyle="1" w:styleId="Char0">
    <w:name w:val="عنوان فرعي Char"/>
    <w:basedOn w:val="a0"/>
    <w:link w:val="a4"/>
    <w:uiPriority w:val="11"/>
    <w:rsid w:val="00691B9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91B95"/>
    <w:pPr>
      <w:bidi/>
      <w:spacing w:before="160"/>
      <w:jc w:val="center"/>
    </w:pPr>
    <w:rPr>
      <w:i/>
      <w:iCs/>
      <w:color w:val="404040" w:themeColor="text1" w:themeTint="BF"/>
      <w:kern w:val="2"/>
      <w14:ligatures w14:val="standardContextual"/>
    </w:rPr>
  </w:style>
  <w:style w:type="character" w:customStyle="1" w:styleId="Char1">
    <w:name w:val="اقتباس Char"/>
    <w:basedOn w:val="a0"/>
    <w:link w:val="a5"/>
    <w:uiPriority w:val="29"/>
    <w:rsid w:val="00691B95"/>
    <w:rPr>
      <w:i/>
      <w:iCs/>
      <w:color w:val="404040" w:themeColor="text1" w:themeTint="BF"/>
    </w:rPr>
  </w:style>
  <w:style w:type="paragraph" w:styleId="a6">
    <w:name w:val="List Paragraph"/>
    <w:basedOn w:val="a"/>
    <w:uiPriority w:val="34"/>
    <w:qFormat/>
    <w:rsid w:val="00691B95"/>
    <w:pPr>
      <w:bidi/>
      <w:ind w:left="720"/>
      <w:contextualSpacing/>
    </w:pPr>
    <w:rPr>
      <w:kern w:val="2"/>
      <w14:ligatures w14:val="standardContextual"/>
    </w:rPr>
  </w:style>
  <w:style w:type="character" w:styleId="a7">
    <w:name w:val="Intense Emphasis"/>
    <w:basedOn w:val="a0"/>
    <w:uiPriority w:val="21"/>
    <w:qFormat/>
    <w:rsid w:val="00691B95"/>
    <w:rPr>
      <w:i/>
      <w:iCs/>
      <w:color w:val="2F5496" w:themeColor="accent1" w:themeShade="BF"/>
    </w:rPr>
  </w:style>
  <w:style w:type="paragraph" w:styleId="a8">
    <w:name w:val="Intense Quote"/>
    <w:basedOn w:val="a"/>
    <w:next w:val="a"/>
    <w:link w:val="Char2"/>
    <w:uiPriority w:val="30"/>
    <w:qFormat/>
    <w:rsid w:val="00691B95"/>
    <w:pPr>
      <w:pBdr>
        <w:top w:val="single" w:sz="4" w:space="10" w:color="2F5496" w:themeColor="accent1" w:themeShade="BF"/>
        <w:bottom w:val="single" w:sz="4" w:space="10" w:color="2F5496" w:themeColor="accent1" w:themeShade="BF"/>
      </w:pBdr>
      <w:bidi/>
      <w:spacing w:before="360" w:after="360"/>
      <w:ind w:left="864" w:right="864"/>
      <w:jc w:val="center"/>
    </w:pPr>
    <w:rPr>
      <w:i/>
      <w:iCs/>
      <w:color w:val="2F5496" w:themeColor="accent1" w:themeShade="BF"/>
      <w:kern w:val="2"/>
      <w14:ligatures w14:val="standardContextual"/>
    </w:rPr>
  </w:style>
  <w:style w:type="character" w:customStyle="1" w:styleId="Char2">
    <w:name w:val="اقتباس مكثف Char"/>
    <w:basedOn w:val="a0"/>
    <w:link w:val="a8"/>
    <w:uiPriority w:val="30"/>
    <w:rsid w:val="00691B95"/>
    <w:rPr>
      <w:i/>
      <w:iCs/>
      <w:color w:val="2F5496" w:themeColor="accent1" w:themeShade="BF"/>
    </w:rPr>
  </w:style>
  <w:style w:type="character" w:styleId="a9">
    <w:name w:val="Intense Reference"/>
    <w:basedOn w:val="a0"/>
    <w:uiPriority w:val="32"/>
    <w:qFormat/>
    <w:rsid w:val="00691B95"/>
    <w:rPr>
      <w:b/>
      <w:bCs/>
      <w:smallCaps/>
      <w:color w:val="2F5496" w:themeColor="accent1" w:themeShade="BF"/>
      <w:spacing w:val="5"/>
    </w:rPr>
  </w:style>
  <w:style w:type="table" w:styleId="aa">
    <w:name w:val="Table Grid"/>
    <w:basedOn w:val="a1"/>
    <w:uiPriority w:val="39"/>
    <w:rsid w:val="0025068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250688"/>
    <w:pPr>
      <w:spacing w:before="100" w:beforeAutospacing="1" w:after="100" w:afterAutospacing="1" w:line="240" w:lineRule="auto"/>
    </w:pPr>
    <w:rPr>
      <w:rFonts w:ascii="Times New Roman" w:eastAsia="Times New Roman" w:hAnsi="Times New Roman" w:cs="Times New Roman"/>
      <w:sz w:val="24"/>
      <w:szCs w:val="24"/>
    </w:rPr>
  </w:style>
  <w:style w:type="paragraph" w:styleId="ac">
    <w:name w:val="header"/>
    <w:basedOn w:val="a"/>
    <w:link w:val="Char3"/>
    <w:uiPriority w:val="99"/>
    <w:unhideWhenUsed/>
    <w:rsid w:val="00ED5C01"/>
    <w:pPr>
      <w:tabs>
        <w:tab w:val="center" w:pos="4153"/>
        <w:tab w:val="right" w:pos="8306"/>
      </w:tabs>
      <w:spacing w:after="0" w:line="240" w:lineRule="auto"/>
    </w:pPr>
  </w:style>
  <w:style w:type="character" w:customStyle="1" w:styleId="Char3">
    <w:name w:val="رأس الصفحة Char"/>
    <w:basedOn w:val="a0"/>
    <w:link w:val="ac"/>
    <w:uiPriority w:val="99"/>
    <w:rsid w:val="00ED5C01"/>
    <w:rPr>
      <w:kern w:val="0"/>
      <w14:ligatures w14:val="none"/>
    </w:rPr>
  </w:style>
  <w:style w:type="paragraph" w:styleId="ad">
    <w:name w:val="footer"/>
    <w:basedOn w:val="a"/>
    <w:link w:val="Char4"/>
    <w:uiPriority w:val="99"/>
    <w:unhideWhenUsed/>
    <w:rsid w:val="00ED5C01"/>
    <w:pPr>
      <w:tabs>
        <w:tab w:val="center" w:pos="4153"/>
        <w:tab w:val="right" w:pos="8306"/>
      </w:tabs>
      <w:spacing w:after="0" w:line="240" w:lineRule="auto"/>
    </w:pPr>
  </w:style>
  <w:style w:type="character" w:customStyle="1" w:styleId="Char4">
    <w:name w:val="تذييل الصفحة Char"/>
    <w:basedOn w:val="a0"/>
    <w:link w:val="ad"/>
    <w:uiPriority w:val="99"/>
    <w:rsid w:val="00ED5C01"/>
    <w:rPr>
      <w:kern w:val="0"/>
      <w14:ligatures w14:val="none"/>
    </w:rPr>
  </w:style>
  <w:style w:type="paragraph" w:styleId="ae">
    <w:name w:val="footnote text"/>
    <w:basedOn w:val="a"/>
    <w:link w:val="Char5"/>
    <w:uiPriority w:val="99"/>
    <w:semiHidden/>
    <w:unhideWhenUsed/>
    <w:rsid w:val="00F219B4"/>
    <w:pPr>
      <w:spacing w:after="0" w:line="240" w:lineRule="auto"/>
    </w:pPr>
    <w:rPr>
      <w:sz w:val="20"/>
      <w:szCs w:val="20"/>
    </w:rPr>
  </w:style>
  <w:style w:type="character" w:customStyle="1" w:styleId="Char5">
    <w:name w:val="نص حاشية سفلية Char"/>
    <w:basedOn w:val="a0"/>
    <w:link w:val="ae"/>
    <w:uiPriority w:val="99"/>
    <w:semiHidden/>
    <w:rsid w:val="00F219B4"/>
    <w:rPr>
      <w:kern w:val="0"/>
      <w:sz w:val="20"/>
      <w:szCs w:val="20"/>
      <w14:ligatures w14:val="none"/>
    </w:rPr>
  </w:style>
  <w:style w:type="character" w:styleId="af">
    <w:name w:val="footnote reference"/>
    <w:basedOn w:val="a0"/>
    <w:uiPriority w:val="99"/>
    <w:semiHidden/>
    <w:unhideWhenUsed/>
    <w:rsid w:val="00F219B4"/>
    <w:rPr>
      <w:vertAlign w:val="superscript"/>
    </w:rPr>
  </w:style>
  <w:style w:type="character" w:styleId="Hyperlink">
    <w:name w:val="Hyperlink"/>
    <w:basedOn w:val="a0"/>
    <w:uiPriority w:val="99"/>
    <w:unhideWhenUsed/>
    <w:rsid w:val="00A94FD1"/>
    <w:rPr>
      <w:color w:val="0563C1" w:themeColor="hyperlink"/>
      <w:u w:val="single"/>
    </w:rPr>
  </w:style>
  <w:style w:type="character" w:styleId="af0">
    <w:name w:val="annotation reference"/>
    <w:basedOn w:val="a0"/>
    <w:uiPriority w:val="99"/>
    <w:semiHidden/>
    <w:unhideWhenUsed/>
    <w:rsid w:val="002A59C9"/>
    <w:rPr>
      <w:sz w:val="16"/>
      <w:szCs w:val="16"/>
    </w:rPr>
  </w:style>
  <w:style w:type="paragraph" w:styleId="af1">
    <w:name w:val="annotation text"/>
    <w:basedOn w:val="a"/>
    <w:link w:val="Char6"/>
    <w:uiPriority w:val="99"/>
    <w:unhideWhenUsed/>
    <w:rsid w:val="002A59C9"/>
    <w:pPr>
      <w:spacing w:line="240" w:lineRule="auto"/>
    </w:pPr>
    <w:rPr>
      <w:sz w:val="20"/>
      <w:szCs w:val="20"/>
    </w:rPr>
  </w:style>
  <w:style w:type="character" w:customStyle="1" w:styleId="Char6">
    <w:name w:val="نص تعليق Char"/>
    <w:basedOn w:val="a0"/>
    <w:link w:val="af1"/>
    <w:uiPriority w:val="99"/>
    <w:rsid w:val="002A59C9"/>
    <w:rPr>
      <w:kern w:val="0"/>
      <w:sz w:val="20"/>
      <w:szCs w:val="20"/>
      <w14:ligatures w14:val="none"/>
    </w:rPr>
  </w:style>
  <w:style w:type="paragraph" w:styleId="af2">
    <w:name w:val="annotation subject"/>
    <w:basedOn w:val="af1"/>
    <w:next w:val="af1"/>
    <w:link w:val="Char7"/>
    <w:uiPriority w:val="99"/>
    <w:semiHidden/>
    <w:unhideWhenUsed/>
    <w:rsid w:val="002A59C9"/>
    <w:rPr>
      <w:b/>
      <w:bCs/>
    </w:rPr>
  </w:style>
  <w:style w:type="character" w:customStyle="1" w:styleId="Char7">
    <w:name w:val="موضوع تعليق Char"/>
    <w:basedOn w:val="Char6"/>
    <w:link w:val="af2"/>
    <w:uiPriority w:val="99"/>
    <w:semiHidden/>
    <w:rsid w:val="002A59C9"/>
    <w:rPr>
      <w:b/>
      <w:bCs/>
      <w:kern w:val="0"/>
      <w:sz w:val="20"/>
      <w:szCs w:val="20"/>
      <w14:ligatures w14:val="none"/>
    </w:rPr>
  </w:style>
  <w:style w:type="paragraph" w:styleId="af3">
    <w:name w:val="Balloon Text"/>
    <w:basedOn w:val="a"/>
    <w:link w:val="Char8"/>
    <w:uiPriority w:val="99"/>
    <w:semiHidden/>
    <w:unhideWhenUsed/>
    <w:rsid w:val="00DE7F8F"/>
    <w:pPr>
      <w:spacing w:after="0" w:line="240" w:lineRule="auto"/>
    </w:pPr>
    <w:rPr>
      <w:rFonts w:ascii="Tahoma" w:hAnsi="Tahoma" w:cs="Tahoma"/>
      <w:sz w:val="18"/>
      <w:szCs w:val="18"/>
    </w:rPr>
  </w:style>
  <w:style w:type="character" w:customStyle="1" w:styleId="Char8">
    <w:name w:val="نص في بالون Char"/>
    <w:basedOn w:val="a0"/>
    <w:link w:val="af3"/>
    <w:uiPriority w:val="99"/>
    <w:semiHidden/>
    <w:rsid w:val="00DE7F8F"/>
    <w:rPr>
      <w:rFonts w:ascii="Tahoma" w:hAnsi="Tahoma" w:cs="Tahoma"/>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18/08/relationships/commentsExtensible" Target="commentsExtensible.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6/09/relationships/commentsIds" Target="commentsIds.xml"/><Relationship Id="rId5" Type="http://schemas.openxmlformats.org/officeDocument/2006/relationships/webSettings" Target="web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A58D7-6D37-4E09-8D1A-DC6931204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56397</Words>
  <Characters>321469</Characters>
  <Application>Microsoft Office Word</Application>
  <DocSecurity>0</DocSecurity>
  <Lines>2678</Lines>
  <Paragraphs>754</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377112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حسان</dc:creator>
  <cp:keywords/>
  <dc:description/>
  <cp:lastModifiedBy>حسان</cp:lastModifiedBy>
  <cp:revision>7</cp:revision>
  <dcterms:created xsi:type="dcterms:W3CDTF">2026-07-03T15:59:00Z</dcterms:created>
  <dcterms:modified xsi:type="dcterms:W3CDTF">2026-07-18T20:56:00Z</dcterms:modified>
</cp:coreProperties>
</file>