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0E1246B3" w14:textId="31E67469" w:rsidR="005F53DC" w:rsidRPr="001902DB" w:rsidRDefault="005F53DC" w:rsidP="009125CE">
      <w:pPr>
        <w:jc w:val="center"/>
        <w:rPr>
          <w:rFonts w:ascii="Sakkal Majalla" w:hAnsi="Sakkal Majalla" w:cs="Sakkal Majalla"/>
          <w:b/>
          <w:bCs/>
          <w:sz w:val="28"/>
          <w:szCs w:val="28"/>
          <w:rtl/>
          <w:lang w:bidi="ar-EG"/>
        </w:rPr>
      </w:pPr>
      <w:r w:rsidRPr="005F53DC">
        <w:rPr>
          <w:rFonts w:ascii="Sakkal Majalla" w:hAnsi="Sakkal Majalla" w:cs="Sakkal Majalla"/>
          <w:b/>
          <w:bCs/>
          <w:sz w:val="28"/>
          <w:szCs w:val="28"/>
          <w:rtl/>
          <w:lang w:bidi="ar-EG"/>
        </w:rPr>
        <w:t>"أثر القيادة التحويلية على كفاءة سلسلة التوريد: دراسة تطبيقية على المنظمات الصناعية في المملكة العربية السعودية"</w:t>
      </w:r>
    </w:p>
    <w:p w14:paraId="695BF5DA" w14:textId="77777777" w:rsidR="005F53DC" w:rsidRPr="005F53DC" w:rsidRDefault="005F53DC" w:rsidP="005F53DC">
      <w:pPr>
        <w:spacing w:before="100" w:beforeAutospacing="1" w:after="100" w:afterAutospacing="1" w:line="360" w:lineRule="auto"/>
        <w:jc w:val="right"/>
        <w:rPr>
          <w:rFonts w:ascii="Centaur" w:eastAsia="Times New Roman" w:hAnsi="Centaur" w:cs="Times New Roman"/>
          <w:sz w:val="24"/>
          <w:szCs w:val="24"/>
        </w:rPr>
      </w:pPr>
      <w:r w:rsidRPr="005F53DC">
        <w:rPr>
          <w:rFonts w:ascii="Centaur" w:eastAsia="Times New Roman" w:hAnsi="Centaur" w:cs="Times New Roman"/>
          <w:sz w:val="24"/>
          <w:szCs w:val="24"/>
        </w:rPr>
        <w:t>"The Impact of Transformational Leadership on Supply Chain Efficiency: An Applied Study on Industrial Organizations in the Kingdom of Saudi Arabia"</w:t>
      </w:r>
    </w:p>
    <w:p w14:paraId="15C28831" w14:textId="77777777" w:rsidR="009125CE" w:rsidRPr="005F53DC"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13DD1759" w:rsidR="009125CE" w:rsidRPr="001902DB"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005F53DC">
        <w:rPr>
          <w:rFonts w:ascii="Sakkal Majalla" w:hAnsi="Sakkal Majalla" w:cs="Sakkal Majalla"/>
          <w:b/>
          <w:bCs/>
          <w:sz w:val="28"/>
          <w:szCs w:val="28"/>
          <w:lang w:bidi="ar-EG"/>
        </w:rPr>
        <w:t xml:space="preserve"> </w:t>
      </w:r>
      <w:r w:rsidR="005F53DC">
        <w:rPr>
          <w:rFonts w:ascii="Sakkal Majalla" w:hAnsi="Sakkal Majalla" w:cs="Sakkal Majalla" w:hint="cs"/>
          <w:b/>
          <w:bCs/>
          <w:sz w:val="28"/>
          <w:szCs w:val="28"/>
          <w:rtl/>
        </w:rPr>
        <w:t>يزيد أحمد السلامة</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89E00B1" w:rsidR="009125CE" w:rsidRPr="001902DB" w:rsidRDefault="005F53D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22"/>
          <w:szCs w:val="22"/>
          <w14:ligatures w14:val="standardContextual"/>
        </w:rPr>
        <w:id w:val="2109850545"/>
        <w:docPartObj>
          <w:docPartGallery w:val="Table of Contents"/>
          <w:docPartUnique/>
        </w:docPartObj>
      </w:sdtPr>
      <w:sdtEndPr>
        <w:rPr>
          <w:b/>
          <w:bCs/>
          <w:noProof/>
          <w:rtl/>
        </w:rPr>
      </w:sdtEndPr>
      <w:sdtContent>
        <w:p w14:paraId="42CEDE8E" w14:textId="4A099EC0" w:rsidR="00B561F5" w:rsidRDefault="00B561F5" w:rsidP="00B561F5">
          <w:pPr>
            <w:pStyle w:val="TOCHeading"/>
            <w:jc w:val="right"/>
            <w:rPr>
              <w:rtl/>
            </w:rPr>
          </w:pPr>
          <w:r>
            <w:rPr>
              <w:rFonts w:hint="cs"/>
              <w:rtl/>
            </w:rPr>
            <w:t>المحتوى</w:t>
          </w:r>
        </w:p>
        <w:p w14:paraId="27AE7BAA" w14:textId="77777777" w:rsidR="00773CA6" w:rsidRDefault="00B561F5">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203627745" w:history="1">
            <w:r w:rsidR="00773CA6" w:rsidRPr="00B43763">
              <w:rPr>
                <w:rStyle w:val="Hyperlink"/>
                <w:noProof/>
                <w:rtl/>
                <w:lang w:bidi="ar-EG"/>
              </w:rPr>
              <w:t>1.</w:t>
            </w:r>
            <w:r w:rsidR="00773CA6" w:rsidRPr="00B43763">
              <w:rPr>
                <w:rStyle w:val="Hyperlink"/>
                <w:noProof/>
                <w:rtl/>
              </w:rPr>
              <w:t>الفصل الاول : مقدمة الدراسة</w:t>
            </w:r>
            <w:r w:rsidR="00773CA6">
              <w:rPr>
                <w:noProof/>
                <w:webHidden/>
                <w:rtl/>
              </w:rPr>
              <w:tab/>
            </w:r>
            <w:r w:rsidR="00773CA6">
              <w:rPr>
                <w:noProof/>
                <w:webHidden/>
                <w:rtl/>
              </w:rPr>
              <w:fldChar w:fldCharType="begin"/>
            </w:r>
            <w:r w:rsidR="00773CA6">
              <w:rPr>
                <w:noProof/>
                <w:webHidden/>
                <w:rtl/>
              </w:rPr>
              <w:instrText xml:space="preserve"> </w:instrText>
            </w:r>
            <w:r w:rsidR="00773CA6">
              <w:rPr>
                <w:noProof/>
                <w:webHidden/>
              </w:rPr>
              <w:instrText>PAGEREF</w:instrText>
            </w:r>
            <w:r w:rsidR="00773CA6">
              <w:rPr>
                <w:noProof/>
                <w:webHidden/>
                <w:rtl/>
              </w:rPr>
              <w:instrText xml:space="preserve"> _</w:instrText>
            </w:r>
            <w:r w:rsidR="00773CA6">
              <w:rPr>
                <w:noProof/>
                <w:webHidden/>
              </w:rPr>
              <w:instrText>Toc203627745 \h</w:instrText>
            </w:r>
            <w:r w:rsidR="00773CA6">
              <w:rPr>
                <w:noProof/>
                <w:webHidden/>
                <w:rtl/>
              </w:rPr>
              <w:instrText xml:space="preserve"> </w:instrText>
            </w:r>
            <w:r w:rsidR="00773CA6">
              <w:rPr>
                <w:noProof/>
                <w:webHidden/>
                <w:rtl/>
              </w:rPr>
            </w:r>
            <w:r w:rsidR="00773CA6">
              <w:rPr>
                <w:noProof/>
                <w:webHidden/>
                <w:rtl/>
              </w:rPr>
              <w:fldChar w:fldCharType="separate"/>
            </w:r>
            <w:r w:rsidR="00773CA6">
              <w:rPr>
                <w:noProof/>
                <w:webHidden/>
                <w:rtl/>
              </w:rPr>
              <w:t>3</w:t>
            </w:r>
            <w:r w:rsidR="00773CA6">
              <w:rPr>
                <w:noProof/>
                <w:webHidden/>
                <w:rtl/>
              </w:rPr>
              <w:fldChar w:fldCharType="end"/>
            </w:r>
          </w:hyperlink>
        </w:p>
        <w:p w14:paraId="6BCAEAC4" w14:textId="77777777" w:rsidR="00773CA6" w:rsidRDefault="00773CA6">
          <w:pPr>
            <w:pStyle w:val="TOC1"/>
            <w:tabs>
              <w:tab w:val="right" w:leader="dot" w:pos="8822"/>
            </w:tabs>
            <w:rPr>
              <w:rFonts w:eastAsiaTheme="minorEastAsia"/>
              <w:noProof/>
              <w:kern w:val="0"/>
              <w:rtl/>
              <w14:ligatures w14:val="none"/>
            </w:rPr>
          </w:pPr>
          <w:hyperlink w:anchor="_Toc203627746" w:history="1">
            <w:r w:rsidRPr="00B43763">
              <w:rPr>
                <w:rStyle w:val="Hyperlink"/>
                <w:noProof/>
                <w:rtl/>
              </w:rPr>
              <w:t>1.1مقدمة</w:t>
            </w:r>
            <w:r w:rsidRPr="00B43763">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Toc203627746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629D6261" w14:textId="77777777" w:rsidR="00773CA6" w:rsidRDefault="00773CA6">
          <w:pPr>
            <w:pStyle w:val="TOC1"/>
            <w:tabs>
              <w:tab w:val="right" w:leader="dot" w:pos="8822"/>
            </w:tabs>
            <w:rPr>
              <w:rFonts w:eastAsiaTheme="minorEastAsia"/>
              <w:noProof/>
              <w:kern w:val="0"/>
              <w:rtl/>
              <w14:ligatures w14:val="none"/>
            </w:rPr>
          </w:pPr>
          <w:hyperlink w:anchor="_Toc203627747" w:history="1">
            <w:r w:rsidRPr="00B43763">
              <w:rPr>
                <w:rStyle w:val="Hyperlink"/>
                <w:noProof/>
                <w:rtl/>
              </w:rPr>
              <w:t>2.1.مشكلة الدراسة</w:t>
            </w:r>
            <w:r w:rsidRPr="00B43763">
              <w:rPr>
                <w:rStyle w:val="Hyperlink"/>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Toc203627747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4AD402C6" w14:textId="77777777" w:rsidR="00773CA6" w:rsidRDefault="00773CA6">
          <w:pPr>
            <w:pStyle w:val="TOC1"/>
            <w:tabs>
              <w:tab w:val="right" w:leader="dot" w:pos="8822"/>
            </w:tabs>
            <w:rPr>
              <w:rFonts w:eastAsiaTheme="minorEastAsia"/>
              <w:noProof/>
              <w:kern w:val="0"/>
              <w:rtl/>
              <w14:ligatures w14:val="none"/>
            </w:rPr>
          </w:pPr>
          <w:hyperlink w:anchor="_Toc203627748" w:history="1">
            <w:r w:rsidRPr="00B43763">
              <w:rPr>
                <w:rStyle w:val="Hyperlink"/>
                <w:noProof/>
                <w:rtl/>
              </w:rPr>
              <w:t>3.1.أهمية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Toc203627748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27B301C" w14:textId="77777777" w:rsidR="00773CA6" w:rsidRDefault="00773CA6">
          <w:pPr>
            <w:pStyle w:val="TOC2"/>
            <w:tabs>
              <w:tab w:val="right" w:leader="dot" w:pos="8822"/>
            </w:tabs>
            <w:rPr>
              <w:rFonts w:eastAsiaTheme="minorEastAsia"/>
              <w:noProof/>
              <w:kern w:val="0"/>
              <w:rtl/>
              <w14:ligatures w14:val="none"/>
            </w:rPr>
          </w:pPr>
          <w:hyperlink w:anchor="_Toc203627749" w:history="1">
            <w:r w:rsidRPr="00B43763">
              <w:rPr>
                <w:rStyle w:val="Hyperlink"/>
                <w:rFonts w:eastAsia="Times New Roman"/>
                <w:noProof/>
                <w:rtl/>
              </w:rPr>
              <w:t>1.3.1أولاً: الأهمية العلمية (النظرية)</w:t>
            </w:r>
            <w:r w:rsidRPr="00B43763">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Toc203627749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0AF17545" w14:textId="77777777" w:rsidR="00773CA6" w:rsidRDefault="00773CA6">
          <w:pPr>
            <w:pStyle w:val="TOC2"/>
            <w:tabs>
              <w:tab w:val="right" w:leader="dot" w:pos="8822"/>
            </w:tabs>
            <w:rPr>
              <w:rFonts w:eastAsiaTheme="minorEastAsia"/>
              <w:noProof/>
              <w:kern w:val="0"/>
              <w:rtl/>
              <w14:ligatures w14:val="none"/>
            </w:rPr>
          </w:pPr>
          <w:hyperlink w:anchor="_Toc203627750" w:history="1">
            <w:r w:rsidRPr="00B43763">
              <w:rPr>
                <w:rStyle w:val="Hyperlink"/>
                <w:rFonts w:eastAsia="Times New Roman"/>
                <w:noProof/>
                <w:rtl/>
              </w:rPr>
              <w:t>2.3.1.ثانياً: الأهمية العملية (التطبيقية)</w:t>
            </w:r>
            <w:r w:rsidRPr="00B43763">
              <w:rPr>
                <w:rStyle w:val="Hyperlink"/>
                <w:rFonts w:eastAsia="Times New Roman"/>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Toc203627750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C2C9C66" w14:textId="77777777" w:rsidR="00773CA6" w:rsidRDefault="00773CA6">
          <w:pPr>
            <w:pStyle w:val="TOC1"/>
            <w:tabs>
              <w:tab w:val="right" w:leader="dot" w:pos="8822"/>
            </w:tabs>
            <w:rPr>
              <w:rFonts w:eastAsiaTheme="minorEastAsia"/>
              <w:noProof/>
              <w:kern w:val="0"/>
              <w:rtl/>
              <w14:ligatures w14:val="none"/>
            </w:rPr>
          </w:pPr>
          <w:hyperlink w:anchor="_Toc203627751" w:history="1">
            <w:r w:rsidRPr="00B43763">
              <w:rPr>
                <w:rStyle w:val="Hyperlink"/>
                <w:noProof/>
                <w:rtl/>
              </w:rPr>
              <w:t>4.1.أهداف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Toc203627751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0678E813" w14:textId="77777777" w:rsidR="00773CA6" w:rsidRDefault="00773CA6">
          <w:pPr>
            <w:pStyle w:val="TOC1"/>
            <w:tabs>
              <w:tab w:val="right" w:leader="dot" w:pos="8822"/>
            </w:tabs>
            <w:rPr>
              <w:rFonts w:eastAsiaTheme="minorEastAsia"/>
              <w:noProof/>
              <w:kern w:val="0"/>
              <w:rtl/>
              <w14:ligatures w14:val="none"/>
            </w:rPr>
          </w:pPr>
          <w:hyperlink w:anchor="_Toc203627752" w:history="1">
            <w:r w:rsidRPr="00B43763">
              <w:rPr>
                <w:rStyle w:val="Hyperlink"/>
                <w:noProof/>
                <w:rtl/>
              </w:rPr>
              <w:t>5.1.تساؤلات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Toc203627752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676BCD7C" w14:textId="77777777" w:rsidR="00773CA6" w:rsidRDefault="00773CA6">
          <w:pPr>
            <w:pStyle w:val="TOC1"/>
            <w:tabs>
              <w:tab w:val="right" w:leader="dot" w:pos="8822"/>
            </w:tabs>
            <w:rPr>
              <w:rFonts w:eastAsiaTheme="minorEastAsia"/>
              <w:noProof/>
              <w:kern w:val="0"/>
              <w:rtl/>
              <w14:ligatures w14:val="none"/>
            </w:rPr>
          </w:pPr>
          <w:hyperlink w:anchor="_Toc203627753" w:history="1">
            <w:r w:rsidRPr="00B43763">
              <w:rPr>
                <w:rStyle w:val="Hyperlink"/>
                <w:noProof/>
                <w:rtl/>
              </w:rPr>
              <w:t>6.1.فروض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Toc203627753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2DB6EACF" w14:textId="77777777" w:rsidR="00773CA6" w:rsidRDefault="00773CA6">
          <w:pPr>
            <w:pStyle w:val="TOC1"/>
            <w:tabs>
              <w:tab w:val="right" w:leader="dot" w:pos="8822"/>
            </w:tabs>
            <w:rPr>
              <w:rFonts w:eastAsiaTheme="minorEastAsia"/>
              <w:noProof/>
              <w:kern w:val="0"/>
              <w:rtl/>
              <w14:ligatures w14:val="none"/>
            </w:rPr>
          </w:pPr>
          <w:hyperlink w:anchor="_Toc203627754" w:history="1">
            <w:r w:rsidRPr="00B43763">
              <w:rPr>
                <w:rStyle w:val="Hyperlink"/>
                <w:noProof/>
                <w:rtl/>
              </w:rPr>
              <w:t>7.1.الدراسات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5D5ADC17" w14:textId="77777777" w:rsidR="00773CA6" w:rsidRDefault="00773CA6">
          <w:pPr>
            <w:pStyle w:val="TOC1"/>
            <w:tabs>
              <w:tab w:val="right" w:leader="dot" w:pos="8822"/>
            </w:tabs>
            <w:rPr>
              <w:rFonts w:eastAsiaTheme="minorEastAsia"/>
              <w:noProof/>
              <w:kern w:val="0"/>
              <w:rtl/>
              <w14:ligatures w14:val="none"/>
            </w:rPr>
          </w:pPr>
          <w:hyperlink w:anchor="_Toc203627755" w:history="1">
            <w:r w:rsidRPr="00B43763">
              <w:rPr>
                <w:rStyle w:val="Hyperlink"/>
                <w:noProof/>
                <w:rtl/>
              </w:rPr>
              <w:t>8.1.المنطلقات النظرية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01BA56D8" w14:textId="77777777" w:rsidR="00773CA6" w:rsidRDefault="00773CA6">
          <w:pPr>
            <w:pStyle w:val="TOC2"/>
            <w:tabs>
              <w:tab w:val="right" w:leader="dot" w:pos="8822"/>
            </w:tabs>
            <w:rPr>
              <w:rFonts w:eastAsiaTheme="minorEastAsia"/>
              <w:noProof/>
              <w:kern w:val="0"/>
              <w:rtl/>
              <w14:ligatures w14:val="none"/>
            </w:rPr>
          </w:pPr>
          <w:hyperlink w:anchor="_Toc203627756" w:history="1">
            <w:r w:rsidRPr="00B43763">
              <w:rPr>
                <w:rStyle w:val="Hyperlink"/>
                <w:noProof/>
                <w:rtl/>
              </w:rPr>
              <w:t>1. نظرية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Toc203627756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64A252F1" w14:textId="77777777" w:rsidR="00773CA6" w:rsidRDefault="00773CA6">
          <w:pPr>
            <w:pStyle w:val="TOC2"/>
            <w:tabs>
              <w:tab w:val="right" w:leader="dot" w:pos="8822"/>
            </w:tabs>
            <w:rPr>
              <w:rFonts w:eastAsiaTheme="minorEastAsia"/>
              <w:noProof/>
              <w:kern w:val="0"/>
              <w:rtl/>
              <w14:ligatures w14:val="none"/>
            </w:rPr>
          </w:pPr>
          <w:hyperlink w:anchor="_Toc203627757" w:history="1">
            <w:r w:rsidRPr="00B43763">
              <w:rPr>
                <w:rStyle w:val="Hyperlink"/>
                <w:noProof/>
                <w:rtl/>
              </w:rPr>
              <w:t>2. نظرية أداء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4254C36A" w14:textId="77777777" w:rsidR="00773CA6" w:rsidRDefault="00773CA6">
          <w:pPr>
            <w:pStyle w:val="TOC2"/>
            <w:tabs>
              <w:tab w:val="right" w:leader="dot" w:pos="8822"/>
            </w:tabs>
            <w:rPr>
              <w:rFonts w:eastAsiaTheme="minorEastAsia"/>
              <w:noProof/>
              <w:kern w:val="0"/>
              <w:rtl/>
              <w14:ligatures w14:val="none"/>
            </w:rPr>
          </w:pPr>
          <w:hyperlink w:anchor="_Toc203627758" w:history="1">
            <w:r w:rsidRPr="00B43763">
              <w:rPr>
                <w:rStyle w:val="Hyperlink"/>
                <w:noProof/>
                <w:rtl/>
              </w:rPr>
              <w:t>٣. دمج النظريات في هذه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8D99E83" w14:textId="77777777" w:rsidR="00773CA6" w:rsidRDefault="00773CA6">
          <w:pPr>
            <w:pStyle w:val="TOC1"/>
            <w:tabs>
              <w:tab w:val="right" w:leader="dot" w:pos="8822"/>
            </w:tabs>
            <w:rPr>
              <w:rFonts w:eastAsiaTheme="minorEastAsia"/>
              <w:noProof/>
              <w:kern w:val="0"/>
              <w:rtl/>
              <w14:ligatures w14:val="none"/>
            </w:rPr>
          </w:pPr>
          <w:hyperlink w:anchor="_Toc203627759" w:history="1">
            <w:r w:rsidRPr="00B43763">
              <w:rPr>
                <w:rStyle w:val="Hyperlink"/>
                <w:noProof/>
                <w:rtl/>
              </w:rPr>
              <w:t>9.1.المنهجية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Toc203627759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5FA2DBBC" w14:textId="77777777" w:rsidR="00773CA6" w:rsidRDefault="00773CA6">
          <w:pPr>
            <w:pStyle w:val="TOC2"/>
            <w:tabs>
              <w:tab w:val="right" w:leader="dot" w:pos="8822"/>
            </w:tabs>
            <w:rPr>
              <w:rFonts w:eastAsiaTheme="minorEastAsia"/>
              <w:noProof/>
              <w:kern w:val="0"/>
              <w:rtl/>
              <w14:ligatures w14:val="none"/>
            </w:rPr>
          </w:pPr>
          <w:hyperlink w:anchor="_Toc203627760" w:history="1">
            <w:r w:rsidRPr="00B43763">
              <w:rPr>
                <w:rStyle w:val="Hyperlink"/>
                <w:noProof/>
                <w:rtl/>
              </w:rPr>
              <w:t>1. تصميم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Toc203627760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5D49477" w14:textId="77777777" w:rsidR="00773CA6" w:rsidRDefault="00773CA6">
          <w:pPr>
            <w:pStyle w:val="TOC2"/>
            <w:tabs>
              <w:tab w:val="right" w:leader="dot" w:pos="8822"/>
            </w:tabs>
            <w:rPr>
              <w:rFonts w:eastAsiaTheme="minorEastAsia"/>
              <w:noProof/>
              <w:kern w:val="0"/>
              <w:rtl/>
              <w14:ligatures w14:val="none"/>
            </w:rPr>
          </w:pPr>
          <w:hyperlink w:anchor="_Toc203627761" w:history="1">
            <w:r w:rsidRPr="00B43763">
              <w:rPr>
                <w:rStyle w:val="Hyperlink"/>
                <w:noProof/>
                <w:rtl/>
              </w:rPr>
              <w:t>2. مجتمع الدراسة والعينة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Toc203627761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750528D" w14:textId="77777777" w:rsidR="00773CA6" w:rsidRDefault="00773CA6">
          <w:pPr>
            <w:pStyle w:val="TOC2"/>
            <w:tabs>
              <w:tab w:val="right" w:leader="dot" w:pos="8822"/>
            </w:tabs>
            <w:rPr>
              <w:rFonts w:eastAsiaTheme="minorEastAsia"/>
              <w:noProof/>
              <w:kern w:val="0"/>
              <w:rtl/>
              <w14:ligatures w14:val="none"/>
            </w:rPr>
          </w:pPr>
          <w:hyperlink w:anchor="_Toc203627762" w:history="1">
            <w:r w:rsidRPr="00B43763">
              <w:rPr>
                <w:rStyle w:val="Hyperlink"/>
                <w:noProof/>
                <w:rtl/>
              </w:rPr>
              <w:t>3. أدوات جمع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Toc203627762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F7BC356" w14:textId="77777777" w:rsidR="00773CA6" w:rsidRDefault="00773CA6">
          <w:pPr>
            <w:pStyle w:val="TOC2"/>
            <w:tabs>
              <w:tab w:val="right" w:leader="dot" w:pos="8822"/>
            </w:tabs>
            <w:rPr>
              <w:rFonts w:eastAsiaTheme="minorEastAsia"/>
              <w:noProof/>
              <w:kern w:val="0"/>
              <w:rtl/>
              <w14:ligatures w14:val="none"/>
            </w:rPr>
          </w:pPr>
          <w:hyperlink w:anchor="_Toc203627763" w:history="1">
            <w:r w:rsidRPr="00B43763">
              <w:rPr>
                <w:rStyle w:val="Hyperlink"/>
                <w:noProof/>
                <w:rtl/>
              </w:rPr>
              <w:t>4. تقنيات 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Toc203627763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A01AB75" w14:textId="77777777" w:rsidR="00773CA6" w:rsidRDefault="00773CA6">
          <w:pPr>
            <w:pStyle w:val="TOC2"/>
            <w:tabs>
              <w:tab w:val="right" w:leader="dot" w:pos="8822"/>
            </w:tabs>
            <w:rPr>
              <w:rFonts w:eastAsiaTheme="minorEastAsia"/>
              <w:noProof/>
              <w:kern w:val="0"/>
              <w:rtl/>
              <w14:ligatures w14:val="none"/>
            </w:rPr>
          </w:pPr>
          <w:hyperlink w:anchor="_Toc203627764" w:history="1">
            <w:r w:rsidRPr="00B43763">
              <w:rPr>
                <w:rStyle w:val="Hyperlink"/>
                <w:noProof/>
                <w:rtl/>
              </w:rPr>
              <w:t>5. الاعتبارات الأخلاقية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Toc203627764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D1B9307" w14:textId="77777777" w:rsidR="00773CA6" w:rsidRDefault="00773CA6">
          <w:pPr>
            <w:pStyle w:val="TOC1"/>
            <w:tabs>
              <w:tab w:val="right" w:leader="dot" w:pos="8822"/>
            </w:tabs>
            <w:rPr>
              <w:rFonts w:eastAsiaTheme="minorEastAsia"/>
              <w:noProof/>
              <w:kern w:val="0"/>
              <w:rtl/>
              <w14:ligatures w14:val="none"/>
            </w:rPr>
          </w:pPr>
          <w:hyperlink w:anchor="_Toc203627765" w:history="1">
            <w:r w:rsidRPr="00B43763">
              <w:rPr>
                <w:rStyle w:val="Hyperlink"/>
                <w:noProof/>
                <w:rtl/>
              </w:rPr>
              <w:t>10.1.أدوات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Toc203627765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15E44033" w14:textId="77777777" w:rsidR="00773CA6" w:rsidRDefault="00773CA6">
          <w:pPr>
            <w:pStyle w:val="TOC2"/>
            <w:tabs>
              <w:tab w:val="right" w:leader="dot" w:pos="8822"/>
            </w:tabs>
            <w:rPr>
              <w:rFonts w:eastAsiaTheme="minorEastAsia"/>
              <w:noProof/>
              <w:kern w:val="0"/>
              <w:rtl/>
              <w14:ligatures w14:val="none"/>
            </w:rPr>
          </w:pPr>
          <w:hyperlink w:anchor="_Toc203627766" w:history="1">
            <w:r w:rsidRPr="00B43763">
              <w:rPr>
                <w:rStyle w:val="Hyperlink"/>
                <w:noProof/>
                <w:rtl/>
              </w:rPr>
              <w:t>1. أداة قياس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Toc203627766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07F9108" w14:textId="77777777" w:rsidR="00773CA6" w:rsidRDefault="00773CA6">
          <w:pPr>
            <w:pStyle w:val="TOC2"/>
            <w:tabs>
              <w:tab w:val="right" w:leader="dot" w:pos="8822"/>
            </w:tabs>
            <w:rPr>
              <w:rFonts w:eastAsiaTheme="minorEastAsia"/>
              <w:noProof/>
              <w:kern w:val="0"/>
              <w:rtl/>
              <w14:ligatures w14:val="none"/>
            </w:rPr>
          </w:pPr>
          <w:hyperlink w:anchor="_Toc203627767" w:history="1">
            <w:r w:rsidRPr="00B43763">
              <w:rPr>
                <w:rStyle w:val="Hyperlink"/>
                <w:noProof/>
                <w:rtl/>
              </w:rPr>
              <w:t>٢. أداة قياس كفاءة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Toc203627767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8EBDC0F" w14:textId="77777777" w:rsidR="00773CA6" w:rsidRDefault="00773CA6">
          <w:pPr>
            <w:pStyle w:val="TOC2"/>
            <w:tabs>
              <w:tab w:val="right" w:leader="dot" w:pos="8822"/>
            </w:tabs>
            <w:rPr>
              <w:rFonts w:eastAsiaTheme="minorEastAsia"/>
              <w:noProof/>
              <w:kern w:val="0"/>
              <w:rtl/>
              <w14:ligatures w14:val="none"/>
            </w:rPr>
          </w:pPr>
          <w:hyperlink w:anchor="_Toc203627768" w:history="1">
            <w:r w:rsidRPr="00B43763">
              <w:rPr>
                <w:rStyle w:val="Hyperlink"/>
                <w:noProof/>
                <w:rtl/>
              </w:rPr>
              <w:t>٣. المتغيرات الديموغرافية ومتغيرات الضبط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B662AE7" w14:textId="77777777" w:rsidR="00773CA6" w:rsidRDefault="00773CA6">
          <w:pPr>
            <w:pStyle w:val="TOC2"/>
            <w:tabs>
              <w:tab w:val="right" w:leader="dot" w:pos="8822"/>
            </w:tabs>
            <w:rPr>
              <w:rFonts w:eastAsiaTheme="minorEastAsia"/>
              <w:noProof/>
              <w:kern w:val="0"/>
              <w:rtl/>
              <w14:ligatures w14:val="none"/>
            </w:rPr>
          </w:pPr>
          <w:hyperlink w:anchor="_Toc203627769" w:history="1">
            <w:r w:rsidRPr="00B43763">
              <w:rPr>
                <w:rStyle w:val="Hyperlink"/>
                <w:noProof/>
                <w:rtl/>
              </w:rPr>
              <w:t>٤. الاختبار التجريبي والتحقق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Toc203627769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5988B8A2" w14:textId="77777777" w:rsidR="00773CA6" w:rsidRDefault="00773CA6">
          <w:pPr>
            <w:pStyle w:val="TOC1"/>
            <w:tabs>
              <w:tab w:val="right" w:leader="dot" w:pos="8822"/>
            </w:tabs>
            <w:rPr>
              <w:rFonts w:eastAsiaTheme="minorEastAsia"/>
              <w:noProof/>
              <w:kern w:val="0"/>
              <w:rtl/>
              <w14:ligatures w14:val="none"/>
            </w:rPr>
          </w:pPr>
          <w:hyperlink w:anchor="_Toc203627770" w:history="1">
            <w:r w:rsidRPr="00B43763">
              <w:rPr>
                <w:rStyle w:val="Hyperlink"/>
                <w:noProof/>
                <w:rtl/>
              </w:rPr>
              <w:t>11.1.حدود الدراسة :</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D1FFB16" w14:textId="77777777" w:rsidR="00773CA6" w:rsidRDefault="00773CA6">
          <w:pPr>
            <w:pStyle w:val="TOC2"/>
            <w:tabs>
              <w:tab w:val="right" w:leader="dot" w:pos="8822"/>
            </w:tabs>
            <w:rPr>
              <w:rFonts w:eastAsiaTheme="minorEastAsia"/>
              <w:noProof/>
              <w:kern w:val="0"/>
              <w:rtl/>
              <w14:ligatures w14:val="none"/>
            </w:rPr>
          </w:pPr>
          <w:hyperlink w:anchor="_Toc203627771" w:history="1">
            <w:r w:rsidRPr="00B43763">
              <w:rPr>
                <w:rStyle w:val="Hyperlink"/>
                <w:noProof/>
                <w:rtl/>
              </w:rPr>
              <w:t>١. حدود الدراسة (نطاق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7EF06BD5" w14:textId="77777777" w:rsidR="00773CA6" w:rsidRDefault="00773CA6">
          <w:pPr>
            <w:pStyle w:val="TOC2"/>
            <w:tabs>
              <w:tab w:val="right" w:leader="dot" w:pos="8822"/>
            </w:tabs>
            <w:rPr>
              <w:rFonts w:eastAsiaTheme="minorEastAsia"/>
              <w:noProof/>
              <w:kern w:val="0"/>
              <w:rtl/>
              <w14:ligatures w14:val="none"/>
            </w:rPr>
          </w:pPr>
          <w:hyperlink w:anchor="_Toc203627772" w:history="1">
            <w:r w:rsidRPr="00B43763">
              <w:rPr>
                <w:rStyle w:val="Hyperlink"/>
                <w:noProof/>
                <w:rtl/>
              </w:rPr>
              <w:t>٢. القيود (المُعوِّقات المُحتملة):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6865B97F" w14:textId="77777777" w:rsidR="00773CA6" w:rsidRDefault="00773CA6">
          <w:pPr>
            <w:pStyle w:val="TOC1"/>
            <w:tabs>
              <w:tab w:val="right" w:leader="dot" w:pos="8822"/>
            </w:tabs>
            <w:rPr>
              <w:rFonts w:eastAsiaTheme="minorEastAsia"/>
              <w:noProof/>
              <w:kern w:val="0"/>
              <w:rtl/>
              <w14:ligatures w14:val="none"/>
            </w:rPr>
          </w:pPr>
          <w:hyperlink w:anchor="_Toc203627773" w:history="1">
            <w:r w:rsidRPr="00B43763">
              <w:rPr>
                <w:rStyle w:val="Hyperlink"/>
                <w:noProof/>
                <w:rtl/>
              </w:rPr>
              <w:t>2.الفصل الثانى</w:t>
            </w:r>
            <w:r w:rsidRPr="00B43763">
              <w:rPr>
                <w:rStyle w:val="Hyperlink"/>
                <w:noProof/>
              </w:rPr>
              <w:t xml:space="preserve">: </w:t>
            </w:r>
            <w:r w:rsidRPr="00B43763">
              <w:rPr>
                <w:rStyle w:val="Hyperlink"/>
                <w:noProof/>
                <w:rtl/>
              </w:rPr>
              <w:t>الاطار النظرى 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218A255D" w14:textId="77777777" w:rsidR="00773CA6" w:rsidRDefault="00773CA6">
          <w:pPr>
            <w:pStyle w:val="TOC2"/>
            <w:tabs>
              <w:tab w:val="right" w:leader="dot" w:pos="8822"/>
            </w:tabs>
            <w:rPr>
              <w:rFonts w:eastAsiaTheme="minorEastAsia"/>
              <w:noProof/>
              <w:kern w:val="0"/>
              <w:rtl/>
              <w14:ligatures w14:val="none"/>
            </w:rPr>
          </w:pPr>
          <w:hyperlink w:anchor="_Toc203627774" w:history="1">
            <w:r w:rsidRPr="00B43763">
              <w:rPr>
                <w:rStyle w:val="Hyperlink"/>
                <w:noProof/>
                <w:rtl/>
              </w:rPr>
              <w:t>1.2.مقدمة في القيادة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4BC82DA9" w14:textId="77777777" w:rsidR="00773CA6" w:rsidRDefault="00773CA6">
          <w:pPr>
            <w:pStyle w:val="TOC3"/>
            <w:tabs>
              <w:tab w:val="right" w:leader="dot" w:pos="8822"/>
            </w:tabs>
            <w:rPr>
              <w:rFonts w:eastAsiaTheme="minorEastAsia"/>
              <w:noProof/>
              <w:kern w:val="0"/>
              <w:rtl/>
              <w14:ligatures w14:val="none"/>
            </w:rPr>
          </w:pPr>
          <w:hyperlink w:anchor="_Toc203627775" w:history="1">
            <w:r w:rsidRPr="00B43763">
              <w:rPr>
                <w:rStyle w:val="Hyperlink"/>
                <w:noProof/>
                <w:rtl/>
              </w:rPr>
              <w:t>1.1.2.تعريف المفهوم وتطوره:</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Toc203627775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598C942B" w14:textId="77777777" w:rsidR="00773CA6" w:rsidRDefault="00773CA6">
          <w:pPr>
            <w:pStyle w:val="TOC3"/>
            <w:tabs>
              <w:tab w:val="right" w:leader="dot" w:pos="8822"/>
            </w:tabs>
            <w:rPr>
              <w:rFonts w:eastAsiaTheme="minorEastAsia"/>
              <w:noProof/>
              <w:kern w:val="0"/>
              <w:rtl/>
              <w14:ligatures w14:val="none"/>
            </w:rPr>
          </w:pPr>
          <w:hyperlink w:anchor="_Toc203627776" w:history="1">
            <w:r w:rsidRPr="00B43763">
              <w:rPr>
                <w:rStyle w:val="Hyperlink"/>
                <w:noProof/>
                <w:rtl/>
              </w:rPr>
              <w:t>2.1.2. الأبعاد الأساسية للقيادة التحويلية: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Toc203627776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11D256B" w14:textId="77777777" w:rsidR="00773CA6" w:rsidRDefault="00773CA6">
          <w:pPr>
            <w:pStyle w:val="TOC2"/>
            <w:tabs>
              <w:tab w:val="right" w:leader="dot" w:pos="8822"/>
            </w:tabs>
            <w:rPr>
              <w:rFonts w:eastAsiaTheme="minorEastAsia"/>
              <w:noProof/>
              <w:kern w:val="0"/>
              <w:rtl/>
              <w14:ligatures w14:val="none"/>
            </w:rPr>
          </w:pPr>
          <w:hyperlink w:anchor="_Toc203627777" w:history="1">
            <w:r w:rsidRPr="00B43763">
              <w:rPr>
                <w:rStyle w:val="Hyperlink"/>
                <w:noProof/>
                <w:rtl/>
              </w:rPr>
              <w:t>2.2. كفاءة سلسلة التوريد في المؤسسات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56312DA5" w14:textId="77777777" w:rsidR="00773CA6" w:rsidRDefault="00773CA6">
          <w:pPr>
            <w:pStyle w:val="TOC3"/>
            <w:tabs>
              <w:tab w:val="right" w:leader="dot" w:pos="8822"/>
            </w:tabs>
            <w:rPr>
              <w:rFonts w:eastAsiaTheme="minorEastAsia"/>
              <w:noProof/>
              <w:kern w:val="0"/>
              <w:rtl/>
              <w14:ligatures w14:val="none"/>
            </w:rPr>
          </w:pPr>
          <w:hyperlink w:anchor="_Toc203627778" w:history="1">
            <w:r w:rsidRPr="00B43763">
              <w:rPr>
                <w:rStyle w:val="Hyperlink"/>
                <w:noProof/>
                <w:rtl/>
              </w:rPr>
              <w:t>1.2.2.التعريف ومؤشرات الأداء: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37B1007D" w14:textId="77777777" w:rsidR="00773CA6" w:rsidRDefault="00773CA6">
          <w:pPr>
            <w:pStyle w:val="TOC3"/>
            <w:tabs>
              <w:tab w:val="right" w:leader="dot" w:pos="8822"/>
            </w:tabs>
            <w:rPr>
              <w:rFonts w:eastAsiaTheme="minorEastAsia"/>
              <w:noProof/>
              <w:kern w:val="0"/>
              <w:rtl/>
              <w14:ligatures w14:val="none"/>
            </w:rPr>
          </w:pPr>
          <w:hyperlink w:anchor="_Toc203627779" w:history="1">
            <w:r w:rsidRPr="00B43763">
              <w:rPr>
                <w:rStyle w:val="Hyperlink"/>
                <w:noProof/>
                <w:rtl/>
              </w:rPr>
              <w:t>2.2.2.أهمية المرونة والاستجابة والتكامل والفعالية من حيث التكلفة: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Toc203627779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1C6C8FC8" w14:textId="77777777" w:rsidR="00773CA6" w:rsidRDefault="00773CA6">
          <w:pPr>
            <w:pStyle w:val="TOC2"/>
            <w:tabs>
              <w:tab w:val="right" w:leader="dot" w:pos="8822"/>
            </w:tabs>
            <w:rPr>
              <w:rFonts w:eastAsiaTheme="minorEastAsia"/>
              <w:noProof/>
              <w:kern w:val="0"/>
              <w:rtl/>
              <w14:ligatures w14:val="none"/>
            </w:rPr>
          </w:pPr>
          <w:hyperlink w:anchor="_Toc203627780" w:history="1">
            <w:r w:rsidRPr="00B43763">
              <w:rPr>
                <w:rStyle w:val="Hyperlink"/>
                <w:noProof/>
                <w:rtl/>
              </w:rPr>
              <w:t>3.2. الأسس النظرية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BD4B35E" w14:textId="77777777" w:rsidR="00773CA6" w:rsidRDefault="00773CA6">
          <w:pPr>
            <w:pStyle w:val="TOC3"/>
            <w:tabs>
              <w:tab w:val="right" w:leader="dot" w:pos="8822"/>
            </w:tabs>
            <w:rPr>
              <w:rFonts w:eastAsiaTheme="minorEastAsia"/>
              <w:noProof/>
              <w:kern w:val="0"/>
              <w:rtl/>
              <w14:ligatures w14:val="none"/>
            </w:rPr>
          </w:pPr>
          <w:hyperlink w:anchor="_Toc203627781" w:history="1">
            <w:r w:rsidRPr="00B43763">
              <w:rPr>
                <w:rStyle w:val="Hyperlink"/>
                <w:noProof/>
                <w:rtl/>
              </w:rPr>
              <w:t>1.3.2.نظرية القيادة التحويلية (باس وأفوليو، بيرنز)</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9F1CA1A" w14:textId="77777777" w:rsidR="00773CA6" w:rsidRDefault="00773CA6">
          <w:pPr>
            <w:pStyle w:val="TOC3"/>
            <w:tabs>
              <w:tab w:val="right" w:leader="dot" w:pos="8822"/>
            </w:tabs>
            <w:rPr>
              <w:rFonts w:eastAsiaTheme="minorEastAsia"/>
              <w:noProof/>
              <w:kern w:val="0"/>
              <w:rtl/>
              <w14:ligatures w14:val="none"/>
            </w:rPr>
          </w:pPr>
          <w:hyperlink w:anchor="_Toc203627782" w:history="1">
            <w:r w:rsidRPr="00B43763">
              <w:rPr>
                <w:rStyle w:val="Hyperlink"/>
                <w:noProof/>
                <w:rtl/>
              </w:rPr>
              <w:t>2.3.2.</w:t>
            </w:r>
            <w:r w:rsidRPr="00B43763">
              <w:rPr>
                <w:rStyle w:val="Hyperlink"/>
                <w:noProof/>
              </w:rPr>
              <w:t xml:space="preserve"> </w:t>
            </w:r>
            <w:r w:rsidRPr="00B43763">
              <w:rPr>
                <w:rStyle w:val="Hyperlink"/>
                <w:noProof/>
                <w:rtl/>
              </w:rPr>
              <w:t>نظرية أداء سلسلة التوريد</w:t>
            </w:r>
            <w:r w:rsidRPr="00B43763">
              <w:rPr>
                <w:rStyle w:val="Hyperlink"/>
                <w:noProof/>
              </w:rPr>
              <w:t xml:space="preserve"> (Supply Chain Performance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BE3470C" w14:textId="77777777" w:rsidR="00773CA6" w:rsidRDefault="00773CA6">
          <w:pPr>
            <w:pStyle w:val="TOC3"/>
            <w:tabs>
              <w:tab w:val="right" w:leader="dot" w:pos="8822"/>
            </w:tabs>
            <w:rPr>
              <w:rFonts w:eastAsiaTheme="minorEastAsia"/>
              <w:noProof/>
              <w:kern w:val="0"/>
              <w:rtl/>
              <w14:ligatures w14:val="none"/>
            </w:rPr>
          </w:pPr>
          <w:hyperlink w:anchor="_Toc203627783" w:history="1">
            <w:r w:rsidRPr="00B43763">
              <w:rPr>
                <w:rStyle w:val="Hyperlink"/>
                <w:noProof/>
                <w:rtl/>
              </w:rPr>
              <w:t>3.3.2. تكامل النظريات في هذه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Toc203627783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9297E15" w14:textId="77777777" w:rsidR="00773CA6" w:rsidRDefault="00773CA6">
          <w:pPr>
            <w:pStyle w:val="TOC2"/>
            <w:tabs>
              <w:tab w:val="right" w:leader="dot" w:pos="8822"/>
            </w:tabs>
            <w:rPr>
              <w:rFonts w:eastAsiaTheme="minorEastAsia"/>
              <w:noProof/>
              <w:kern w:val="0"/>
              <w:rtl/>
              <w14:ligatures w14:val="none"/>
            </w:rPr>
          </w:pPr>
          <w:hyperlink w:anchor="_Toc203627784" w:history="1">
            <w:r w:rsidRPr="00B43763">
              <w:rPr>
                <w:rStyle w:val="Hyperlink"/>
                <w:rFonts w:eastAsia="Times New Roman"/>
                <w:noProof/>
                <w:rtl/>
              </w:rPr>
              <w:t>4.2.ربط القيادة بأداء 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Toc203627784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7D6ECF4" w14:textId="77777777" w:rsidR="00773CA6" w:rsidRDefault="00773CA6">
          <w:pPr>
            <w:pStyle w:val="TOC3"/>
            <w:tabs>
              <w:tab w:val="right" w:leader="dot" w:pos="8822"/>
            </w:tabs>
            <w:rPr>
              <w:rFonts w:eastAsiaTheme="minorEastAsia"/>
              <w:noProof/>
              <w:kern w:val="0"/>
              <w:rtl/>
              <w14:ligatures w14:val="none"/>
            </w:rPr>
          </w:pPr>
          <w:hyperlink w:anchor="_Toc203627785" w:history="1">
            <w:r w:rsidRPr="00B43763">
              <w:rPr>
                <w:rStyle w:val="Hyperlink"/>
                <w:noProof/>
                <w:rtl/>
              </w:rPr>
              <w:t>1.4.2.كيف يؤثر سلوك القيادة على النتائج 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Toc203627785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B4D3A1D" w14:textId="77777777" w:rsidR="00773CA6" w:rsidRDefault="00773CA6">
          <w:pPr>
            <w:pStyle w:val="TOC3"/>
            <w:tabs>
              <w:tab w:val="right" w:leader="dot" w:pos="8822"/>
            </w:tabs>
            <w:rPr>
              <w:rFonts w:eastAsiaTheme="minorEastAsia"/>
              <w:noProof/>
              <w:kern w:val="0"/>
              <w:rtl/>
              <w14:ligatures w14:val="none"/>
            </w:rPr>
          </w:pPr>
          <w:hyperlink w:anchor="_Toc203627786" w:history="1">
            <w:r w:rsidRPr="00B43763">
              <w:rPr>
                <w:rStyle w:val="Hyperlink"/>
                <w:noProof/>
                <w:rtl/>
              </w:rPr>
              <w:t>2.4.2.التوافق الاستراتيجي والتنسيق بين الإدارات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CBB2C8C" w14:textId="77777777" w:rsidR="00773CA6" w:rsidRDefault="00773CA6">
          <w:pPr>
            <w:pStyle w:val="TOC2"/>
            <w:tabs>
              <w:tab w:val="right" w:leader="dot" w:pos="8822"/>
            </w:tabs>
            <w:rPr>
              <w:rFonts w:eastAsiaTheme="minorEastAsia"/>
              <w:noProof/>
              <w:kern w:val="0"/>
              <w:rtl/>
              <w14:ligatures w14:val="none"/>
            </w:rPr>
          </w:pPr>
          <w:hyperlink w:anchor="_Toc203627787" w:history="1">
            <w:r w:rsidRPr="00B43763">
              <w:rPr>
                <w:rStyle w:val="Hyperlink"/>
                <w:noProof/>
                <w:rtl/>
              </w:rPr>
              <w:t>5.2.دراسات تجريبية حول القيادة وسلسلة التوريد: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Toc203627787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3A8D1AD" w14:textId="77777777" w:rsidR="00773CA6" w:rsidRDefault="00773CA6">
          <w:pPr>
            <w:pStyle w:val="TOC3"/>
            <w:tabs>
              <w:tab w:val="right" w:leader="dot" w:pos="8822"/>
            </w:tabs>
            <w:rPr>
              <w:rFonts w:eastAsiaTheme="minorEastAsia"/>
              <w:noProof/>
              <w:kern w:val="0"/>
              <w:rtl/>
              <w14:ligatures w14:val="none"/>
            </w:rPr>
          </w:pPr>
          <w:hyperlink w:anchor="_Toc203627788" w:history="1">
            <w:r w:rsidRPr="00B43763">
              <w:rPr>
                <w:rStyle w:val="Hyperlink"/>
                <w:noProof/>
                <w:rtl/>
              </w:rPr>
              <w:t>1.5.2.أدلة تجريبية عالمية: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1E809305" w14:textId="77777777" w:rsidR="00773CA6" w:rsidRDefault="00773CA6">
          <w:pPr>
            <w:pStyle w:val="TOC3"/>
            <w:tabs>
              <w:tab w:val="right" w:leader="dot" w:pos="8822"/>
            </w:tabs>
            <w:rPr>
              <w:rFonts w:eastAsiaTheme="minorEastAsia"/>
              <w:noProof/>
              <w:kern w:val="0"/>
              <w:rtl/>
              <w14:ligatures w14:val="none"/>
            </w:rPr>
          </w:pPr>
          <w:hyperlink w:anchor="_Toc203627789" w:history="1">
            <w:r w:rsidRPr="00B43763">
              <w:rPr>
                <w:rStyle w:val="Hyperlink"/>
                <w:noProof/>
                <w:rtl/>
              </w:rPr>
              <w:t>2.5.2.دراسات حالة إقليمية وسعودية: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Toc203627789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4594F0FF" w14:textId="77777777" w:rsidR="00773CA6" w:rsidRDefault="00773CA6">
          <w:pPr>
            <w:pStyle w:val="TOC2"/>
            <w:tabs>
              <w:tab w:val="right" w:leader="dot" w:pos="8822"/>
            </w:tabs>
            <w:rPr>
              <w:rFonts w:eastAsiaTheme="minorEastAsia"/>
              <w:noProof/>
              <w:kern w:val="0"/>
              <w:rtl/>
              <w14:ligatures w14:val="none"/>
            </w:rPr>
          </w:pPr>
          <w:hyperlink w:anchor="_Toc203627790" w:history="1">
            <w:r w:rsidRPr="00B43763">
              <w:rPr>
                <w:rStyle w:val="Hyperlink"/>
                <w:noProof/>
                <w:rtl/>
              </w:rPr>
              <w:t>6.2.الفجوة البحثية والحاجة للدراسة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Toc203627790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7DEE39BB" w14:textId="77777777" w:rsidR="00773CA6" w:rsidRDefault="00773CA6">
          <w:pPr>
            <w:pStyle w:val="TOC3"/>
            <w:tabs>
              <w:tab w:val="right" w:leader="dot" w:pos="8822"/>
            </w:tabs>
            <w:rPr>
              <w:rFonts w:eastAsiaTheme="minorEastAsia"/>
              <w:noProof/>
              <w:kern w:val="0"/>
              <w:rtl/>
              <w14:ligatures w14:val="none"/>
            </w:rPr>
          </w:pPr>
          <w:hyperlink w:anchor="_Toc203627791" w:history="1">
            <w:r w:rsidRPr="00B43763">
              <w:rPr>
                <w:rStyle w:val="Hyperlink"/>
                <w:noProof/>
                <w:rtl/>
              </w:rPr>
              <w:t>1.6.2.قيود الأبحاث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Toc203627791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729A5A2" w14:textId="77777777" w:rsidR="00773CA6" w:rsidRDefault="00773CA6">
          <w:pPr>
            <w:pStyle w:val="TOC3"/>
            <w:tabs>
              <w:tab w:val="right" w:leader="dot" w:pos="8822"/>
            </w:tabs>
            <w:rPr>
              <w:rFonts w:eastAsiaTheme="minorEastAsia"/>
              <w:noProof/>
              <w:kern w:val="0"/>
              <w:rtl/>
              <w14:ligatures w14:val="none"/>
            </w:rPr>
          </w:pPr>
          <w:hyperlink w:anchor="_Toc203627792" w:history="1">
            <w:r w:rsidRPr="00B43763">
              <w:rPr>
                <w:rStyle w:val="Hyperlink"/>
                <w:noProof/>
                <w:rtl/>
              </w:rPr>
              <w:t>2.6.2.مبررات التركيز على القطاع الصناعي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3C40481" w14:textId="77777777" w:rsidR="00773CA6" w:rsidRDefault="00773CA6">
          <w:pPr>
            <w:pStyle w:val="TOC2"/>
            <w:tabs>
              <w:tab w:val="right" w:leader="dot" w:pos="8822"/>
            </w:tabs>
            <w:rPr>
              <w:rFonts w:eastAsiaTheme="minorEastAsia"/>
              <w:noProof/>
              <w:kern w:val="0"/>
              <w:rtl/>
              <w14:ligatures w14:val="none"/>
            </w:rPr>
          </w:pPr>
          <w:hyperlink w:anchor="_Toc203627793" w:history="1">
            <w:r w:rsidRPr="00B43763">
              <w:rPr>
                <w:rStyle w:val="Hyperlink"/>
                <w:noProof/>
                <w:rtl/>
              </w:rPr>
              <w:t>7.2.خاتمة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21ED9BBC" w14:textId="77777777" w:rsidR="00773CA6" w:rsidRDefault="00773CA6">
          <w:pPr>
            <w:pStyle w:val="TOC1"/>
            <w:tabs>
              <w:tab w:val="right" w:leader="dot" w:pos="8822"/>
            </w:tabs>
            <w:rPr>
              <w:rFonts w:eastAsiaTheme="minorEastAsia"/>
              <w:noProof/>
              <w:kern w:val="0"/>
              <w:rtl/>
              <w14:ligatures w14:val="none"/>
            </w:rPr>
          </w:pPr>
          <w:hyperlink w:anchor="_Toc203627794" w:history="1">
            <w:r w:rsidRPr="00B43763">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337C5117" w14:textId="77777777" w:rsidR="00773CA6" w:rsidRDefault="00773CA6">
          <w:pPr>
            <w:pStyle w:val="TOC1"/>
            <w:tabs>
              <w:tab w:val="right" w:leader="dot" w:pos="8822"/>
            </w:tabs>
            <w:rPr>
              <w:rFonts w:eastAsiaTheme="minorEastAsia"/>
              <w:noProof/>
              <w:kern w:val="0"/>
              <w:rtl/>
              <w14:ligatures w14:val="none"/>
            </w:rPr>
          </w:pPr>
          <w:hyperlink w:anchor="_Toc203627795" w:history="1">
            <w:r w:rsidRPr="00B43763">
              <w:rPr>
                <w:rStyle w:val="Hyperlink"/>
                <w:noProof/>
                <w:rtl/>
              </w:rPr>
              <w:t>المراجع 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Toc203627795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153CBE23" w14:textId="378EF72B" w:rsidR="00B561F5" w:rsidRDefault="00B561F5">
          <w:r>
            <w:rPr>
              <w:b/>
              <w:bCs/>
              <w:noProof/>
            </w:rPr>
            <w:fldChar w:fldCharType="end"/>
          </w:r>
        </w:p>
      </w:sdtContent>
    </w:sdt>
    <w:p w14:paraId="71099ADB" w14:textId="77777777" w:rsidR="009125CE" w:rsidRDefault="009125CE" w:rsidP="009125CE">
      <w:pPr>
        <w:jc w:val="center"/>
        <w:rPr>
          <w:rFonts w:ascii="Sakkal Majalla" w:hAnsi="Sakkal Majalla" w:cs="Sakkal Majalla"/>
          <w:b/>
          <w:bCs/>
          <w:sz w:val="28"/>
          <w:szCs w:val="28"/>
          <w:rtl/>
          <w:lang w:bidi="ar-EG"/>
        </w:rPr>
      </w:pPr>
    </w:p>
    <w:p w14:paraId="433FB85F" w14:textId="77777777" w:rsidR="00773CA6" w:rsidRDefault="00773CA6" w:rsidP="009125CE">
      <w:pPr>
        <w:jc w:val="center"/>
        <w:rPr>
          <w:rFonts w:ascii="Sakkal Majalla" w:hAnsi="Sakkal Majalla" w:cs="Sakkal Majalla"/>
          <w:b/>
          <w:bCs/>
          <w:sz w:val="28"/>
          <w:szCs w:val="28"/>
          <w:rtl/>
          <w:lang w:bidi="ar-EG"/>
        </w:rPr>
      </w:pPr>
    </w:p>
    <w:p w14:paraId="4709777F" w14:textId="77777777" w:rsidR="00773CA6" w:rsidRDefault="00773CA6" w:rsidP="009125CE">
      <w:pPr>
        <w:jc w:val="center"/>
        <w:rPr>
          <w:rFonts w:ascii="Sakkal Majalla" w:hAnsi="Sakkal Majalla" w:cs="Sakkal Majalla"/>
          <w:b/>
          <w:bCs/>
          <w:sz w:val="28"/>
          <w:szCs w:val="28"/>
          <w:rtl/>
          <w:lang w:bidi="ar-EG"/>
        </w:rPr>
      </w:pPr>
    </w:p>
    <w:p w14:paraId="513A1D33" w14:textId="77777777" w:rsidR="00773CA6" w:rsidRDefault="00773CA6" w:rsidP="009125CE">
      <w:pPr>
        <w:jc w:val="center"/>
        <w:rPr>
          <w:rFonts w:ascii="Sakkal Majalla" w:hAnsi="Sakkal Majalla" w:cs="Sakkal Majalla"/>
          <w:b/>
          <w:bCs/>
          <w:sz w:val="28"/>
          <w:szCs w:val="28"/>
          <w:rtl/>
          <w:lang w:bidi="ar-EG"/>
        </w:rPr>
      </w:pPr>
    </w:p>
    <w:p w14:paraId="3D7F141B" w14:textId="77777777" w:rsidR="00773CA6" w:rsidRDefault="00773CA6" w:rsidP="009125CE">
      <w:pPr>
        <w:jc w:val="center"/>
        <w:rPr>
          <w:rFonts w:ascii="Sakkal Majalla" w:hAnsi="Sakkal Majalla" w:cs="Sakkal Majalla"/>
          <w:b/>
          <w:bCs/>
          <w:sz w:val="28"/>
          <w:szCs w:val="28"/>
          <w:rtl/>
          <w:lang w:bidi="ar-EG"/>
        </w:rPr>
      </w:pPr>
    </w:p>
    <w:p w14:paraId="4F331CD6" w14:textId="77777777" w:rsidR="00773CA6" w:rsidRDefault="00773CA6" w:rsidP="009125CE">
      <w:pPr>
        <w:jc w:val="center"/>
        <w:rPr>
          <w:rFonts w:ascii="Sakkal Majalla" w:hAnsi="Sakkal Majalla" w:cs="Sakkal Majalla"/>
          <w:b/>
          <w:bCs/>
          <w:sz w:val="28"/>
          <w:szCs w:val="28"/>
          <w:rtl/>
          <w:lang w:bidi="ar-EG"/>
        </w:rPr>
      </w:pPr>
    </w:p>
    <w:p w14:paraId="76E60D17" w14:textId="77777777" w:rsidR="00773CA6" w:rsidRDefault="00773CA6" w:rsidP="009125CE">
      <w:pPr>
        <w:jc w:val="center"/>
        <w:rPr>
          <w:rFonts w:ascii="Sakkal Majalla" w:hAnsi="Sakkal Majalla" w:cs="Sakkal Majalla"/>
          <w:b/>
          <w:bCs/>
          <w:sz w:val="28"/>
          <w:szCs w:val="28"/>
          <w:rtl/>
          <w:lang w:bidi="ar-EG"/>
        </w:rPr>
      </w:pPr>
    </w:p>
    <w:p w14:paraId="729112E7" w14:textId="77777777" w:rsidR="00773CA6" w:rsidRDefault="00773CA6" w:rsidP="009125CE">
      <w:pPr>
        <w:jc w:val="center"/>
        <w:rPr>
          <w:rFonts w:ascii="Sakkal Majalla" w:hAnsi="Sakkal Majalla" w:cs="Sakkal Majalla"/>
          <w:b/>
          <w:bCs/>
          <w:sz w:val="28"/>
          <w:szCs w:val="28"/>
          <w:rtl/>
          <w:lang w:bidi="ar-EG"/>
        </w:rPr>
      </w:pPr>
    </w:p>
    <w:p w14:paraId="428F2952" w14:textId="77777777" w:rsidR="00773CA6" w:rsidRDefault="00773CA6" w:rsidP="009125CE">
      <w:pPr>
        <w:jc w:val="center"/>
        <w:rPr>
          <w:rFonts w:ascii="Sakkal Majalla" w:hAnsi="Sakkal Majalla" w:cs="Sakkal Majalla"/>
          <w:b/>
          <w:bCs/>
          <w:sz w:val="28"/>
          <w:szCs w:val="28"/>
          <w:rtl/>
          <w:lang w:bidi="ar-EG"/>
        </w:rPr>
      </w:pPr>
    </w:p>
    <w:p w14:paraId="0930FCF1" w14:textId="77777777" w:rsidR="00773CA6" w:rsidRDefault="00773CA6" w:rsidP="009125CE">
      <w:pPr>
        <w:jc w:val="center"/>
        <w:rPr>
          <w:rFonts w:ascii="Sakkal Majalla" w:hAnsi="Sakkal Majalla" w:cs="Sakkal Majalla"/>
          <w:b/>
          <w:bCs/>
          <w:sz w:val="28"/>
          <w:szCs w:val="28"/>
          <w:rtl/>
          <w:lang w:bidi="ar-EG"/>
        </w:rPr>
      </w:pPr>
    </w:p>
    <w:p w14:paraId="37646E56" w14:textId="77777777" w:rsidR="00773CA6" w:rsidRDefault="00773CA6" w:rsidP="009125CE">
      <w:pPr>
        <w:jc w:val="center"/>
        <w:rPr>
          <w:rFonts w:ascii="Sakkal Majalla" w:hAnsi="Sakkal Majalla" w:cs="Sakkal Majalla"/>
          <w:b/>
          <w:bCs/>
          <w:sz w:val="28"/>
          <w:szCs w:val="28"/>
          <w:rtl/>
          <w:lang w:bidi="ar-EG"/>
        </w:rPr>
      </w:pPr>
    </w:p>
    <w:p w14:paraId="22E9A958" w14:textId="77777777" w:rsidR="00773CA6" w:rsidRDefault="00773CA6" w:rsidP="009125CE">
      <w:pPr>
        <w:jc w:val="center"/>
        <w:rPr>
          <w:rFonts w:ascii="Sakkal Majalla" w:hAnsi="Sakkal Majalla" w:cs="Sakkal Majalla"/>
          <w:b/>
          <w:bCs/>
          <w:sz w:val="28"/>
          <w:szCs w:val="28"/>
          <w:rtl/>
          <w:lang w:bidi="ar-EG"/>
        </w:rPr>
      </w:pPr>
    </w:p>
    <w:p w14:paraId="79124F1C" w14:textId="77777777" w:rsidR="00773CA6" w:rsidRPr="001902DB" w:rsidRDefault="00773CA6" w:rsidP="009125CE">
      <w:pPr>
        <w:jc w:val="center"/>
        <w:rPr>
          <w:rFonts w:ascii="Sakkal Majalla" w:hAnsi="Sakkal Majalla" w:cs="Sakkal Majalla" w:hint="cs"/>
          <w:b/>
          <w:bCs/>
          <w:sz w:val="28"/>
          <w:szCs w:val="28"/>
          <w:rtl/>
        </w:rPr>
      </w:pPr>
      <w:bookmarkStart w:id="0" w:name="_GoBack"/>
      <w:bookmarkEnd w:id="0"/>
    </w:p>
    <w:p w14:paraId="29C12910" w14:textId="2CD87946" w:rsidR="00773CA6" w:rsidRDefault="00773CA6" w:rsidP="005F53DC">
      <w:pPr>
        <w:pStyle w:val="Heading1"/>
        <w:rPr>
          <w:rFonts w:hint="cs"/>
          <w:rtl/>
        </w:rPr>
      </w:pPr>
      <w:bookmarkStart w:id="1" w:name="_Toc203627745"/>
      <w:r>
        <w:rPr>
          <w:rFonts w:hint="cs"/>
          <w:rtl/>
          <w:lang w:bidi="ar-EG"/>
        </w:rPr>
        <w:lastRenderedPageBreak/>
        <w:t>1.</w:t>
      </w:r>
      <w:r>
        <w:rPr>
          <w:rFonts w:hint="cs"/>
          <w:rtl/>
        </w:rPr>
        <w:t>الفصل الاول : مقدمة الدراسة</w:t>
      </w:r>
      <w:bookmarkEnd w:id="1"/>
    </w:p>
    <w:p w14:paraId="035BF540" w14:textId="07B14215" w:rsidR="009125CE" w:rsidRDefault="00773CA6" w:rsidP="005F53DC">
      <w:pPr>
        <w:pStyle w:val="Heading1"/>
        <w:rPr>
          <w:rtl/>
          <w:lang w:bidi="ar-EG"/>
        </w:rPr>
      </w:pPr>
      <w:bookmarkStart w:id="2" w:name="_Toc203627746"/>
      <w:r>
        <w:rPr>
          <w:rFonts w:hint="cs"/>
          <w:rtl/>
        </w:rPr>
        <w:t>1.1</w:t>
      </w:r>
      <w:r w:rsidR="00A74F76" w:rsidRPr="00A74F76">
        <w:rPr>
          <w:rtl/>
        </w:rPr>
        <w:t>مقدمة</w:t>
      </w:r>
      <w:r w:rsidR="009125CE" w:rsidRPr="009125CE">
        <w:rPr>
          <w:rFonts w:hint="cs"/>
          <w:rtl/>
          <w:lang w:bidi="ar-EG"/>
        </w:rPr>
        <w:t>:</w:t>
      </w:r>
      <w:bookmarkEnd w:id="2"/>
    </w:p>
    <w:p w14:paraId="52B0804B" w14:textId="0684D557" w:rsidR="00D5233E" w:rsidRPr="009F4782" w:rsidRDefault="00D5233E"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في ظلّ بيئة الأعمال التنافسية الحالية، أصبحت كفاءة سلسلة التوريد عاملاً أساسياً في نجاح المؤسسات. وتعتمد المؤسسات الصناعية في المملكة العربية السعودية، مدفوعةً برؤية 2030، بشكل متزايد على استراتيجيات إدارية وتشغيلية متطورة لتحسين الإنتاجية والقدرة التنافسية العالمية. ومن أبرز الأساليب الإدارية التي اكتسبت زخماً القيادة التحويلية، التي تُركّز على إلهام الموظفين، وتشجيع الابتكار، ودفع عجلة التغيير. وتستكشف هذه الدراسة العلاقة بين القيادة التحويلية وأداء سلسلة التوريد في الشركات الصناعية السعودية، بهدف تسليط الضوء على كيفية تأثير سلوكيات القيادة على مرونة سلسلة التوريد، وضبط التكاليف، والاستجابة، والتكامل.</w:t>
      </w:r>
      <w:r w:rsidRPr="009F4782">
        <w:rPr>
          <w:rFonts w:ascii="Simplified Arabic" w:hAnsi="Simplified Arabic" w:cs="Simplified Arabic"/>
          <w:sz w:val="24"/>
          <w:szCs w:val="24"/>
          <w:rtl/>
        </w:rPr>
        <w:t xml:space="preserve"> </w:t>
      </w:r>
      <w:r w:rsidRPr="009F4782">
        <w:rPr>
          <w:rFonts w:ascii="Simplified Arabic" w:hAnsi="Simplified Arabic" w:cs="Simplified Arabic"/>
          <w:sz w:val="24"/>
          <w:szCs w:val="24"/>
          <w:rtl/>
          <w:lang w:bidi="ar-EG"/>
        </w:rPr>
        <w:t xml:space="preserve">في الاقتصاد العالمي المعاصر، برزت كفاءة سلسلة التوريد كعامل حاسم لاستدامة المؤسسات وقدرتها التنافسية. يجب على الشركات العاملة في أسواق شديدة الديناميكية ضمان أن تكون سلاسل التوريد الخاصة بها ليست فعالة من حيث التكلفة فحسب، بل أيضًا سريعة الاستجابة ومرنة وقادرة على الصمود. وهذا أمر حيوي بشكل خاص في القطاعات الصناعية حيث يمكن أن تؤثر التأخيرات التشغيلية أو سوء إدارة المخزون أو ضعف تكامل الموردين بشكل كبير على الربحية والحصة السوقية </w:t>
      </w:r>
      <w:r w:rsidR="009F4782" w:rsidRPr="009F4782">
        <w:rPr>
          <w:rFonts w:ascii="Simplified Arabic" w:hAnsi="Simplified Arabic" w:cs="Simplified Arabic"/>
          <w:sz w:val="24"/>
          <w:szCs w:val="24"/>
          <w:lang w:bidi="ar-EG"/>
        </w:rPr>
        <w:t>Christopher, M</w:t>
      </w:r>
      <w:r w:rsidR="009F4782" w:rsidRPr="009F4782">
        <w:rPr>
          <w:rFonts w:ascii="Simplified Arabic" w:hAnsi="Simplified Arabic" w:cs="Simplified Arabic"/>
          <w:sz w:val="24"/>
          <w:szCs w:val="24"/>
          <w:rtl/>
          <w:lang w:bidi="ar-EG"/>
        </w:rPr>
        <w:t>. (2016)</w:t>
      </w:r>
      <w:r w:rsidRPr="009F4782">
        <w:rPr>
          <w:rFonts w:ascii="Simplified Arabic" w:hAnsi="Simplified Arabic" w:cs="Simplified Arabic"/>
          <w:sz w:val="24"/>
          <w:szCs w:val="24"/>
          <w:rtl/>
          <w:lang w:bidi="ar-EG"/>
        </w:rPr>
        <w:t>. وقد أبرز تطور إدارة سلسلة التوريد (</w:t>
      </w:r>
      <w:r w:rsidRPr="009F4782">
        <w:rPr>
          <w:rFonts w:ascii="Simplified Arabic" w:hAnsi="Simplified Arabic" w:cs="Simplified Arabic"/>
          <w:sz w:val="24"/>
          <w:szCs w:val="24"/>
          <w:lang w:bidi="ar-EG"/>
        </w:rPr>
        <w:t>SCM</w:t>
      </w:r>
      <w:r w:rsidRPr="009F4782">
        <w:rPr>
          <w:rFonts w:ascii="Simplified Arabic" w:hAnsi="Simplified Arabic" w:cs="Simplified Arabic"/>
          <w:sz w:val="24"/>
          <w:szCs w:val="24"/>
          <w:rtl/>
          <w:lang w:bidi="ar-EG"/>
        </w:rPr>
        <w:t>) من وظيفة لوجستية إلى محرك استراتيجي للقيمة الحاجة إلى مناهج قيادية تدعم المرونة والابتكار والتحسين المستمر.</w:t>
      </w:r>
    </w:p>
    <w:p w14:paraId="12841E4D" w14:textId="77777777" w:rsidR="009F4782" w:rsidRPr="009F4782" w:rsidRDefault="00554819"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 xml:space="preserve">يُعد تحول القطاع الصناعي </w:t>
      </w:r>
      <w:r w:rsidR="00D5233E" w:rsidRPr="009F4782">
        <w:rPr>
          <w:rFonts w:ascii="Simplified Arabic" w:hAnsi="Simplified Arabic" w:cs="Simplified Arabic"/>
          <w:sz w:val="24"/>
          <w:szCs w:val="24"/>
          <w:rtl/>
          <w:lang w:bidi="ar-EG"/>
        </w:rPr>
        <w:t>في المملكة العربية السعودية، ركيزة أساسية لأجندة الإصلاح الاقتصادي الوطني في إطار رؤية 2030، التي تهدف إلى تقليل الاعتماد على النفط، وتنويع الاقتصاد، وبناء صناعات عالمية المستوى (رؤية 2030، 2020). وقد دفعت هذه الطموحات المؤسسات إلى تبني تقنيات متطورة، وأطر تشغيلية حديثة، وأساليب إدارة متطورة. مع ذلك، ورغم الاستثمارات في الرقمنة والبنية التحتية، لا يزال أداء العديد من المؤسسات ضعيفًا في تنسيق سلسلة التوريد والاستجابة لها. وقد أدرك الباحثون والممارسون بشكل متزايد أن هذه الفجوات ليست تقنية فحسب، بل إدارية وسلوكية أيضًا، مما يؤكد التأثير الحاسم للقيادة على أداء سلسلة التوريد (</w:t>
      </w:r>
      <w:r w:rsidR="009F4782" w:rsidRPr="009F4782">
        <w:rPr>
          <w:rFonts w:ascii="Simplified Arabic" w:hAnsi="Simplified Arabic" w:cs="Simplified Arabic"/>
          <w:sz w:val="24"/>
          <w:szCs w:val="24"/>
          <w:lang w:bidi="ar-EG"/>
        </w:rPr>
        <w:t>Gligor, D. M., Holcomb, M. C., &amp; Stank, T. P</w:t>
      </w:r>
      <w:r w:rsidR="009F4782" w:rsidRPr="009F4782">
        <w:rPr>
          <w:rFonts w:ascii="Simplified Arabic" w:hAnsi="Simplified Arabic" w:cs="Simplified Arabic"/>
          <w:sz w:val="24"/>
          <w:szCs w:val="24"/>
          <w:rtl/>
          <w:lang w:bidi="ar-EG"/>
        </w:rPr>
        <w:t>. (2016).</w:t>
      </w:r>
    </w:p>
    <w:p w14:paraId="600C5077" w14:textId="5552B8AE" w:rsidR="00D5233E" w:rsidRPr="009F4782" w:rsidRDefault="00D5233E"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اكتسبت القيادة التحويلية أهمية خاصة</w:t>
      </w:r>
      <w:r w:rsidR="00554819" w:rsidRPr="009F4782">
        <w:rPr>
          <w:rFonts w:ascii="Simplified Arabic" w:hAnsi="Simplified Arabic" w:cs="Simplified Arabic"/>
          <w:sz w:val="24"/>
          <w:szCs w:val="24"/>
          <w:rtl/>
          <w:lang w:bidi="ar-EG"/>
        </w:rPr>
        <w:t xml:space="preserve"> من بين نماذج القيادة المختلفة،</w:t>
      </w:r>
      <w:r w:rsidRPr="009F4782">
        <w:rPr>
          <w:rFonts w:ascii="Simplified Arabic" w:hAnsi="Simplified Arabic" w:cs="Simplified Arabic"/>
          <w:sz w:val="24"/>
          <w:szCs w:val="24"/>
          <w:rtl/>
          <w:lang w:bidi="ar-EG"/>
        </w:rPr>
        <w:t xml:space="preserve">. صاغ </w:t>
      </w:r>
      <w:r w:rsidR="009F4782" w:rsidRPr="009F4782">
        <w:rPr>
          <w:rFonts w:ascii="Simplified Arabic" w:hAnsi="Simplified Arabic" w:cs="Simplified Arabic"/>
          <w:sz w:val="24"/>
          <w:szCs w:val="24"/>
          <w:lang w:bidi="ar-EG"/>
        </w:rPr>
        <w:t>Trivellas, P., &amp; Drimoussis, C</w:t>
      </w:r>
      <w:r w:rsidR="009F4782" w:rsidRPr="009F4782">
        <w:rPr>
          <w:rFonts w:ascii="Simplified Arabic" w:hAnsi="Simplified Arabic" w:cs="Simplified Arabic"/>
          <w:sz w:val="24"/>
          <w:szCs w:val="24"/>
          <w:rtl/>
          <w:lang w:bidi="ar-EG"/>
        </w:rPr>
        <w:t xml:space="preserve">. (2013) </w:t>
      </w:r>
      <w:r w:rsidRPr="009F4782">
        <w:rPr>
          <w:rFonts w:ascii="Simplified Arabic" w:hAnsi="Simplified Arabic" w:cs="Simplified Arabic"/>
          <w:sz w:val="24"/>
          <w:szCs w:val="24"/>
          <w:rtl/>
          <w:lang w:bidi="ar-EG"/>
        </w:rPr>
        <w:t>مفهوم القيادة التحويلية في البداية، ثم توسع فيها</w:t>
      </w:r>
      <w:r w:rsidR="009F4782" w:rsidRPr="009F4782">
        <w:rPr>
          <w:rFonts w:ascii="Simplified Arabic" w:hAnsi="Simplified Arabic" w:cs="Simplified Arabic"/>
          <w:sz w:val="24"/>
          <w:szCs w:val="24"/>
          <w:lang w:bidi="ar-EG"/>
        </w:rPr>
        <w:t>Bass, B. M</w:t>
      </w:r>
      <w:r w:rsidR="009F4782" w:rsidRPr="009F4782">
        <w:rPr>
          <w:rFonts w:ascii="Simplified Arabic" w:hAnsi="Simplified Arabic" w:cs="Simplified Arabic"/>
          <w:sz w:val="24"/>
          <w:szCs w:val="24"/>
          <w:rtl/>
          <w:lang w:bidi="ar-EG"/>
        </w:rPr>
        <w:t>. (1985) ،</w:t>
      </w:r>
      <w:r w:rsidRPr="009F4782">
        <w:rPr>
          <w:rFonts w:ascii="Simplified Arabic" w:hAnsi="Simplified Arabic" w:cs="Simplified Arabic"/>
          <w:sz w:val="24"/>
          <w:szCs w:val="24"/>
          <w:rtl/>
          <w:lang w:bidi="ar-EG"/>
        </w:rPr>
        <w:t xml:space="preserve"> وهي تتميز بأربعة أبعاد رئيسية: التأثير المثالي، والتحفيز الملهم، والتحفيز الفكري، والاهتمام الفردي. يُلهم القادة الذين يُظهرون هذه السمات أتباعهم لتجاوز </w:t>
      </w:r>
      <w:r w:rsidRPr="009F4782">
        <w:rPr>
          <w:rFonts w:ascii="Simplified Arabic" w:hAnsi="Simplified Arabic" w:cs="Simplified Arabic"/>
          <w:sz w:val="24"/>
          <w:szCs w:val="24"/>
          <w:rtl/>
          <w:lang w:bidi="ar-EG"/>
        </w:rPr>
        <w:lastRenderedPageBreak/>
        <w:t>المهام الروتينية، والتفكير الإبداعي، ومواءمة الأهداف الشخصية مع رؤية المؤسسة. في سياقات سلسلة التوريد، يُعتقد أن هذه القيادة تُعزز التعاون، وتُسهل التفكير التكيفي، وتُحسّن التواصل بين أصحاب المصلحة الداخليين والخارجيين (كارتر وروجرز، 2008). ويمكن أن يكون هذا مفيدًا بشكل خاص في القطاع الصناعي في المملكة العربية السعودية، حيث يُعد التنسيق الفعال بين مختلف شركاء سلسلة التوريد أمرًا بالغ الأهمية.</w:t>
      </w:r>
    </w:p>
    <w:p w14:paraId="38287654" w14:textId="77777777" w:rsidR="00D5233E" w:rsidRPr="009F4782" w:rsidRDefault="00D5233E"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على الرغم من الإمكانيات النظرية الواعدة، لا تزال الدراسات التجريبية التي تبحث بشكل مباشر في تأثير القيادة التحويلية على كفاءة سلسلة التوريد في المؤسسات الصناعية السعودية محدودة. غالبًا ما تعزل الأبحاث الحالية التحسينات التشغيلية عن سلوك القيادة، أو تركز على القيادة في سياقات تنظيمية عامة دون ربطها بمقاييس أداء محددة، مثل خفض تكاليف سلسلة التوريد، ومدة التسليم، ودوران المخزون، واستجابة العملاء. لذا، تهدف هذه الدراسة إلى سد هذه الفجوة من خلال دراسة مدى تأثير ممارسات القيادة التحويلية بين مديري الصناعات السعوديين على مؤشرات كفاءة سلسلة التوريد الرئيسية.</w:t>
      </w:r>
    </w:p>
    <w:p w14:paraId="37503B94" w14:textId="374E7399" w:rsidR="009125CE" w:rsidRPr="009F4782" w:rsidRDefault="00D5233E"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تتجاوز أهمية هذه الدراسة نطاق البحث الأكاديمي، إذ تتناول التحديات العملية التي يواجهها قادة الصناعة السعوديون في تحقيق التوافق الاستراتيجي بين القيادة والتميز التشغيلي. ومن خلال تحليل هذه العلاقة، يهدف البحث إلى تقديم رؤى عملية للمديرين التنفيذيين وواضعي السياسات وخبراء تطوير القيادة الذين يسعون إلى تحسين أداء سلسلة التوريد. ومن المتوقع أن تدعم هذه النتائج الأهداف الوطنية الأوسع للمملكة العربية السعودية المتمثلة في بناء قدرات قيادية مبتكرة، وتطوير صناعات قادرة على المنافسة عالميًا، وترسيخ مكانة المملكة كمركز إقليمي لسلسلة التوريد (الضويحي وآخرون، 2021). وفي نهاية المطاف، سوف يساهم هذا البحث في تعزيز مجموعة المعرفة المتنامية حول تقاطع نظرية القيادة وإدارة سلسلة التوريد، مع توفير أساس سياقي محدد للتحول الصناعي في المملكة.</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40A61660" w14:textId="3640D654" w:rsidR="009125CE" w:rsidRDefault="00773CA6" w:rsidP="005F53DC">
      <w:pPr>
        <w:pStyle w:val="Heading1"/>
        <w:rPr>
          <w:rtl/>
          <w:lang w:bidi="ar-EG"/>
        </w:rPr>
      </w:pPr>
      <w:bookmarkStart w:id="3" w:name="_Toc203627747"/>
      <w:r>
        <w:rPr>
          <w:rFonts w:hint="cs"/>
          <w:rtl/>
        </w:rPr>
        <w:lastRenderedPageBreak/>
        <w:t>2.1.</w:t>
      </w:r>
      <w:r w:rsidR="00A74F76" w:rsidRPr="00A74F76">
        <w:rPr>
          <w:rtl/>
        </w:rPr>
        <w:t>مشكلة الدراسة</w:t>
      </w:r>
      <w:r w:rsidR="009125CE">
        <w:rPr>
          <w:rFonts w:hint="cs"/>
          <w:rtl/>
          <w:lang w:bidi="ar-EG"/>
        </w:rPr>
        <w:t>:</w:t>
      </w:r>
      <w:bookmarkEnd w:id="3"/>
    </w:p>
    <w:p w14:paraId="47DBF42E" w14:textId="77777777" w:rsidR="00554819" w:rsidRPr="009F4782" w:rsidRDefault="00554819"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في بيئة عالمية متزايدة التعقيد والتنافسية، أصبحت كفاءة سلسلة التوريد أمرًا بالغ الأهمية لنجاح المؤسسات الصناعية. في المملكة العربية السعودية، ساهمت المبادرات الحكومية، مثل رؤية 2030، في تسريع التنمية الصناعية، وأكدت على الحاجة إلى سلاسل توريد أكثر تكاملًا ومرونة واستجابة. على الرغم من الاستثمارات في البنية التحتية اللوجستية، والتحول الرقمي، وأتمتة العمليات، لا تزال العديد من الشركات الصناعية في المملكة تواجه تحديات مستمرة، مثل تأخير التوريد، وضعف التنسيق بين الإدارات والموردين، وارتفاع تكاليف التشغيل، ومحدودية القدرة على التكيف مع تقلبات السوق. تُعيق هذه الاختلالات التشغيلية أداء المؤسسات وتُضعف قدرتها التنافسية في الأسواق الإقليمية والعالمية.</w:t>
      </w:r>
    </w:p>
    <w:p w14:paraId="395B9847" w14:textId="77777777" w:rsidR="00554819" w:rsidRPr="009F4782" w:rsidRDefault="00554819"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ركزت معظم الحلول الحالية لهذه التحديات على الترقيات التكنولوجية، واستراتيجيات الاستعانة بمصادر خارجية، وإعادة هندسة العمليات. ومع ذلك، لم تُجرَ سوى دراسات تجريبية محدودة نسبيًا حول العوامل البشرية والسلوكية، وخاصةً أساليب القيادة، التي تؤثر على فعالية سلسلة التوريد. تلعب القيادة، وخاصةً في مستويات الإدارة الوسطى والعليا، دورًا محوريًا في تعزيز التعاون، وتوجيه التوافق الاستراتيجي، وتحفيز الفرق على مواجهة التحديات اللوجستية. قد يحمل نموذج القيادة التحويلية - القائم على تحفيز المتابعين من خلال الرؤية والإلهام والتحفيز الفكري والدعم الفردي - إمكانات كبيرة في معالجة هذه الفجوات التشغيلية. ومع ذلك، لا يزال دوره ضمن وظيفة سلسلة التوريد غير مستكشف في السياق السعودي.</w:t>
      </w:r>
    </w:p>
    <w:p w14:paraId="7C27BE82" w14:textId="77777777" w:rsidR="00554819" w:rsidRPr="009F4782" w:rsidRDefault="00554819"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تبرز هذه الفجوة بشكل خاص بالنظر إلى الخصائص الثقافية والهيكلية للمنظمات الصناعية في المملكة العربية السعودية، حيث قد تعيق عملية صنع القرار الهرمية والسلطة المركزية وأساليب الإدارة التقليدية تبني مناهج قيادية تعزز الابتكار والتكامل بين الوظائف. وفي غياب أدلة واضحة على العلاقة بين القيادة التحويلية وكفاءة سلسلة التوريد، قد تستمر المنظمات في الاعتماد على حلول مجزأة تفشل في معالجة الأسباب الجذرية لعدم الكفاءة. علاوة على ذلك، فإن نقص الدراسات التجريبية يحد من قدرة صانعي السياسات وقادة الصناعة على تصميم برامج تدريب وتطوير تستهدف سلوكيات القيادة المتوافقة مع أهداف أداء سلسلة التوريد.</w:t>
      </w:r>
    </w:p>
    <w:p w14:paraId="3A504109" w14:textId="07230F9E" w:rsidR="009125CE" w:rsidRPr="009F4782" w:rsidRDefault="00554819" w:rsidP="009F4782">
      <w:pPr>
        <w:spacing w:line="360" w:lineRule="auto"/>
        <w:jc w:val="both"/>
        <w:rPr>
          <w:rFonts w:ascii="Simplified Arabic" w:hAnsi="Simplified Arabic" w:cs="Simplified Arabic"/>
          <w:sz w:val="24"/>
          <w:szCs w:val="24"/>
          <w:rtl/>
          <w:lang w:bidi="ar-EG"/>
        </w:rPr>
      </w:pPr>
      <w:r w:rsidRPr="009F4782">
        <w:rPr>
          <w:rFonts w:ascii="Simplified Arabic" w:hAnsi="Simplified Arabic" w:cs="Simplified Arabic"/>
          <w:sz w:val="24"/>
          <w:szCs w:val="24"/>
          <w:rtl/>
          <w:lang w:bidi="ar-EG"/>
        </w:rPr>
        <w:t xml:space="preserve">لذلك، تسعى هذه الدراسة إلى دراسة مدى تأثير القيادة التحويلية على كفاءة سلسلة التوريد داخل المنظمات الصناعية السعودية. </w:t>
      </w:r>
      <w:r w:rsidR="00B561F5">
        <w:rPr>
          <w:rFonts w:ascii="Simplified Arabic" w:hAnsi="Simplified Arabic" w:cs="Simplified Arabic" w:hint="cs"/>
          <w:sz w:val="24"/>
          <w:szCs w:val="24"/>
          <w:rtl/>
          <w:lang w:bidi="ar-EG"/>
        </w:rPr>
        <w:t xml:space="preserve">كما </w:t>
      </w:r>
      <w:r w:rsidRPr="009F4782">
        <w:rPr>
          <w:rFonts w:ascii="Simplified Arabic" w:hAnsi="Simplified Arabic" w:cs="Simplified Arabic"/>
          <w:sz w:val="24"/>
          <w:szCs w:val="24"/>
          <w:rtl/>
          <w:lang w:bidi="ar-EG"/>
        </w:rPr>
        <w:t xml:space="preserve">تهدف هذه الدراسة إلى سد الفجوة البحثية من خلال دراسة العلاقة بين أبعاد القيادة الرئيسية والنتائج القابلة للقياس، مثل كفاءة التكلفة، ودوران المخزون، وموثوقية التسليم، واستجابة سلسلة التوريد. ومن خلال ذلك، ستقدم الدراسة </w:t>
      </w:r>
      <w:r w:rsidRPr="009F4782">
        <w:rPr>
          <w:rFonts w:ascii="Simplified Arabic" w:hAnsi="Simplified Arabic" w:cs="Simplified Arabic"/>
          <w:sz w:val="24"/>
          <w:szCs w:val="24"/>
          <w:rtl/>
          <w:lang w:bidi="ar-EG"/>
        </w:rPr>
        <w:lastRenderedPageBreak/>
        <w:t>رؤى قيّمة حول كيفية مساهمة ممارسات القيادة السلوكية والاستراتيجية في تعزيز التميز التشغيلي والمساهمة في تحقيق الأهداف الأوسع للتحديث الصناعي في إطار رؤية 2030.</w:t>
      </w:r>
    </w:p>
    <w:p w14:paraId="231E38BB" w14:textId="32EE75FB" w:rsidR="009125CE" w:rsidRDefault="00773CA6" w:rsidP="005F53DC">
      <w:pPr>
        <w:pStyle w:val="Heading1"/>
        <w:rPr>
          <w:rtl/>
        </w:rPr>
      </w:pPr>
      <w:bookmarkStart w:id="4" w:name="_Toc203627748"/>
      <w:r>
        <w:rPr>
          <w:rFonts w:hint="cs"/>
          <w:rtl/>
        </w:rPr>
        <w:t>3.1.</w:t>
      </w:r>
      <w:r w:rsidR="00A74F76" w:rsidRPr="00A74F76">
        <w:rPr>
          <w:rtl/>
        </w:rPr>
        <w:t>أهمية الدراس</w:t>
      </w:r>
      <w:r w:rsidR="00A74F76">
        <w:rPr>
          <w:rFonts w:hint="cs"/>
          <w:rtl/>
        </w:rPr>
        <w:t>ة:</w:t>
      </w:r>
      <w:bookmarkEnd w:id="4"/>
    </w:p>
    <w:p w14:paraId="102301BD" w14:textId="18A76AF4" w:rsidR="009F4782" w:rsidRPr="009F4782" w:rsidRDefault="00773CA6" w:rsidP="005F53DC">
      <w:pPr>
        <w:pStyle w:val="Heading2"/>
        <w:rPr>
          <w:rFonts w:eastAsia="Times New Roman"/>
        </w:rPr>
      </w:pPr>
      <w:bookmarkStart w:id="5" w:name="_Toc203627749"/>
      <w:r>
        <w:rPr>
          <w:rFonts w:eastAsia="Times New Roman" w:hint="cs"/>
          <w:rtl/>
        </w:rPr>
        <w:t>1.3.1</w:t>
      </w:r>
      <w:r w:rsidR="009F4782" w:rsidRPr="009F4782">
        <w:rPr>
          <w:rFonts w:eastAsia="Times New Roman"/>
          <w:rtl/>
        </w:rPr>
        <w:t>أولاً: الأهمية العلمية (النظرية)</w:t>
      </w:r>
      <w:r w:rsidR="009F4782" w:rsidRPr="009F4782">
        <w:rPr>
          <w:rFonts w:eastAsia="Times New Roman"/>
        </w:rPr>
        <w:t>:</w:t>
      </w:r>
      <w:bookmarkEnd w:id="5"/>
    </w:p>
    <w:p w14:paraId="2A066F6D" w14:textId="77777777" w:rsidR="009F4782" w:rsidRPr="009F4782" w:rsidRDefault="009F4782" w:rsidP="009F4782">
      <w:pPr>
        <w:spacing w:line="360" w:lineRule="auto"/>
        <w:jc w:val="both"/>
        <w:rPr>
          <w:rFonts w:ascii="Simplified Arabic" w:hAnsi="Simplified Arabic" w:cs="Simplified Arabic"/>
          <w:sz w:val="24"/>
          <w:szCs w:val="24"/>
          <w:lang w:bidi="ar-EG"/>
        </w:rPr>
      </w:pPr>
      <w:r w:rsidRPr="009F4782">
        <w:rPr>
          <w:rFonts w:ascii="Simplified Arabic" w:hAnsi="Simplified Arabic" w:cs="Simplified Arabic"/>
          <w:sz w:val="24"/>
          <w:szCs w:val="24"/>
          <w:rtl/>
          <w:lang w:bidi="ar-EG"/>
        </w:rPr>
        <w:t>تكتسب هذه الدراسة أهمية علمية من خلال مساهمتها في سد الفجوة البحثية بين مفاهيم القيادة التحويلية وكفاءة سلاسل الإمداد، لا سيما في سياق المنظمات الصناعية في المملكة العربية السعودية. فرغم وفرة الدراسات المتعلقة بسلاسل الإمداد، إلا أن القليل منها تناول بشكل مباشر أثر الأنماط القيادية، وبشكل خاص القيادة التحويلية، على أداء وكفاءة هذه السلاسل. كما أن دمج نظرية القيادة التحويلية</w:t>
      </w:r>
      <w:r w:rsidRPr="009F4782">
        <w:rPr>
          <w:rFonts w:ascii="Simplified Arabic" w:hAnsi="Simplified Arabic" w:cs="Simplified Arabic"/>
          <w:sz w:val="24"/>
          <w:szCs w:val="24"/>
          <w:lang w:bidi="ar-EG"/>
        </w:rPr>
        <w:t xml:space="preserve"> (Bass &amp; Avolio, 2004) </w:t>
      </w:r>
      <w:r w:rsidRPr="009F4782">
        <w:rPr>
          <w:rFonts w:ascii="Simplified Arabic" w:hAnsi="Simplified Arabic" w:cs="Simplified Arabic"/>
          <w:sz w:val="24"/>
          <w:szCs w:val="24"/>
          <w:rtl/>
          <w:lang w:bidi="ar-EG"/>
        </w:rPr>
        <w:t>في مجال إدارة سلاسل الإمداد يمثل توسعاً نظرياً يُعزز من فهم الباحثين للعوامل السلوكية والإدارية المؤثرة في الأداء التشغيلي. بذلك، تُثري هذه الدراسة الأدبيات الحالية وتفتح آفاقاً جديدة للبحوث المستقبلية متعددة التخصصات بين القيادة والإدارة التشغيلية</w:t>
      </w:r>
      <w:r w:rsidRPr="009F4782">
        <w:rPr>
          <w:rFonts w:ascii="Simplified Arabic" w:hAnsi="Simplified Arabic" w:cs="Simplified Arabic"/>
          <w:sz w:val="24"/>
          <w:szCs w:val="24"/>
          <w:lang w:bidi="ar-EG"/>
        </w:rPr>
        <w:t>.</w:t>
      </w:r>
    </w:p>
    <w:p w14:paraId="53ED722D" w14:textId="4A0D1A03" w:rsidR="009F4782" w:rsidRPr="009F4782" w:rsidRDefault="00773CA6" w:rsidP="00773CA6">
      <w:pPr>
        <w:pStyle w:val="Heading2"/>
        <w:rPr>
          <w:rFonts w:eastAsia="Times New Roman"/>
        </w:rPr>
      </w:pPr>
      <w:bookmarkStart w:id="6" w:name="_Toc203627750"/>
      <w:r>
        <w:rPr>
          <w:rFonts w:eastAsia="Times New Roman" w:hint="cs"/>
          <w:rtl/>
        </w:rPr>
        <w:t>2.3.1.</w:t>
      </w:r>
      <w:r w:rsidR="009F4782" w:rsidRPr="009F4782">
        <w:rPr>
          <w:rFonts w:eastAsia="Times New Roman"/>
          <w:rtl/>
        </w:rPr>
        <w:t>ثانياً: الأهمية العملية (التطبيقية)</w:t>
      </w:r>
      <w:r w:rsidR="009F4782" w:rsidRPr="009F4782">
        <w:rPr>
          <w:rFonts w:eastAsia="Times New Roman"/>
        </w:rPr>
        <w:t>:</w:t>
      </w:r>
      <w:bookmarkEnd w:id="6"/>
    </w:p>
    <w:p w14:paraId="5742106C" w14:textId="77777777" w:rsidR="009F4782" w:rsidRPr="009F4782" w:rsidRDefault="009F4782" w:rsidP="009F4782">
      <w:pPr>
        <w:spacing w:line="360" w:lineRule="auto"/>
        <w:jc w:val="both"/>
        <w:rPr>
          <w:rFonts w:ascii="Simplified Arabic" w:hAnsi="Simplified Arabic" w:cs="Simplified Arabic"/>
          <w:sz w:val="24"/>
          <w:szCs w:val="24"/>
          <w:lang w:bidi="ar-EG"/>
        </w:rPr>
      </w:pPr>
      <w:r w:rsidRPr="009F4782">
        <w:rPr>
          <w:rFonts w:ascii="Simplified Arabic" w:hAnsi="Simplified Arabic" w:cs="Simplified Arabic"/>
          <w:sz w:val="24"/>
          <w:szCs w:val="24"/>
          <w:rtl/>
          <w:lang w:bidi="ar-EG"/>
        </w:rPr>
        <w:t>أما من الناحية التطبيقية، فإن نتائج هذه الدراسة ستُفيد صُنّاع القرار في القطاع الصناعي السعودي، من خلال توفير مؤشرات واضحة حول أثر القيادة التحويلية على الأداء التشغيلي لسلاسل الإمداد. وستُمكّن مديري الموارد البشرية ومديري العمليات من تصميم برامج تدريبية وتطوير قيادي تستند إلى مكونات القيادة التحويلية التي ثبت تأثيرها في تعزيز الكفاءة والفعالية في سلاسل الإمداد. كما تدعم الدراسة توجهات رؤية المملكة 2030 في تطوير القيادات الوطنية، وتحقيق التميز التشغيلي، ورفع كفاءة سلاسل التوريد في القطاعات الإنتاجية، مما يسهم في تحقيق الأهداف الاستراتيجية للتنمية الصناعية والاقتصادية</w:t>
      </w:r>
      <w:r w:rsidRPr="009F4782">
        <w:rPr>
          <w:rFonts w:ascii="Simplified Arabic" w:hAnsi="Simplified Arabic" w:cs="Simplified Arabic"/>
          <w:sz w:val="24"/>
          <w:szCs w:val="24"/>
          <w:lang w:bidi="ar-EG"/>
        </w:rPr>
        <w:t>.</w:t>
      </w:r>
    </w:p>
    <w:p w14:paraId="2EA6585C" w14:textId="77777777" w:rsidR="009125CE" w:rsidRPr="009F4782"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73ABD268" w:rsidR="009125CE" w:rsidRPr="0074636D" w:rsidRDefault="00773CA6" w:rsidP="005F53DC">
      <w:pPr>
        <w:pStyle w:val="Heading1"/>
        <w:rPr>
          <w:rtl/>
        </w:rPr>
      </w:pPr>
      <w:bookmarkStart w:id="7" w:name="_Toc203627751"/>
      <w:r>
        <w:rPr>
          <w:rFonts w:hint="cs"/>
          <w:rtl/>
        </w:rPr>
        <w:lastRenderedPageBreak/>
        <w:t>4.1.</w:t>
      </w:r>
      <w:r w:rsidR="00A74F76" w:rsidRPr="0074636D">
        <w:rPr>
          <w:rtl/>
        </w:rPr>
        <w:t>أهداف الدراسة</w:t>
      </w:r>
      <w:r w:rsidR="009125CE" w:rsidRPr="0074636D">
        <w:rPr>
          <w:rtl/>
        </w:rPr>
        <w:t>:</w:t>
      </w:r>
      <w:bookmarkEnd w:id="7"/>
    </w:p>
    <w:p w14:paraId="1418F4DB"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دراسة مستوى القيادة التحويلية لدى المديرين في المنظمات الصناعية السعودية.</w:t>
      </w:r>
    </w:p>
    <w:p w14:paraId="7B815668"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تقييم مستويات الكفاءة الحالية لسلاسل التوريد في المنظمات المستهدفة.</w:t>
      </w:r>
    </w:p>
    <w:p w14:paraId="4E0E66B6"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تحليل العلاقة بين القيادة التحويلية وكفاءة سلسلة التوريد.</w:t>
      </w:r>
    </w:p>
    <w:p w14:paraId="744DE6E7"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تقديم توصيات عملية لتحسين أداء سلسلة التوريد من خلال تطوير القيادة.</w:t>
      </w:r>
    </w:p>
    <w:p w14:paraId="36F619BF" w14:textId="21B3E083" w:rsidR="00A74F76" w:rsidRPr="0074636D" w:rsidRDefault="00773CA6" w:rsidP="005F53DC">
      <w:pPr>
        <w:pStyle w:val="Heading1"/>
        <w:rPr>
          <w:rtl/>
        </w:rPr>
      </w:pPr>
      <w:bookmarkStart w:id="8" w:name="_Toc203627752"/>
      <w:r>
        <w:rPr>
          <w:rFonts w:hint="cs"/>
          <w:rtl/>
        </w:rPr>
        <w:t>5.1.</w:t>
      </w:r>
      <w:r w:rsidR="00D22171" w:rsidRPr="0074636D">
        <w:rPr>
          <w:rtl/>
        </w:rPr>
        <w:t>تساؤلات الدراسة</w:t>
      </w:r>
      <w:bookmarkEnd w:id="8"/>
    </w:p>
    <w:p w14:paraId="07AA0E13"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ما مستوى القيادة التحويلية المُمارسة في المنظمات الصناعية السعودية؟</w:t>
      </w:r>
    </w:p>
    <w:p w14:paraId="437ADCDB"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ما مدى كفاءة سلاسل التوريد الحالية في هذه المنظمات؟</w:t>
      </w:r>
    </w:p>
    <w:p w14:paraId="16037536"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هل هناك علاقة ذات دلالة إحصائية بين سمات القيادة التحويلية وكفاءة سلسلة التوريد؟</w:t>
      </w:r>
    </w:p>
    <w:p w14:paraId="2C0E2168" w14:textId="77777777" w:rsidR="009F4782" w:rsidRPr="0074636D" w:rsidRDefault="009F4782" w:rsidP="009F4782">
      <w:pPr>
        <w:pStyle w:val="ListParagraph"/>
        <w:numPr>
          <w:ilvl w:val="0"/>
          <w:numId w:val="5"/>
        </w:numPr>
        <w:rPr>
          <w:rFonts w:ascii="Simplified Arabic" w:hAnsi="Simplified Arabic" w:cs="Simplified Arabic"/>
          <w:sz w:val="24"/>
          <w:szCs w:val="24"/>
          <w:rtl/>
        </w:rPr>
      </w:pPr>
      <w:r w:rsidRPr="0074636D">
        <w:rPr>
          <w:rFonts w:ascii="Simplified Arabic" w:hAnsi="Simplified Arabic" w:cs="Simplified Arabic"/>
          <w:sz w:val="24"/>
          <w:szCs w:val="24"/>
          <w:rtl/>
        </w:rPr>
        <w:t>ما هي مكونات القيادة التحويلية (مثل: التحفيز الملهم، والاهتمام الفردي) الأكثر تأثيرًا؟</w:t>
      </w:r>
    </w:p>
    <w:p w14:paraId="56B19CA7" w14:textId="0CB8B777" w:rsidR="00D22171" w:rsidRPr="0074636D" w:rsidRDefault="00773CA6" w:rsidP="005F53DC">
      <w:pPr>
        <w:pStyle w:val="Heading1"/>
        <w:rPr>
          <w:rtl/>
        </w:rPr>
      </w:pPr>
      <w:bookmarkStart w:id="9" w:name="_Toc203627753"/>
      <w:r>
        <w:rPr>
          <w:rFonts w:hint="cs"/>
          <w:rtl/>
        </w:rPr>
        <w:t>6.1.</w:t>
      </w:r>
      <w:r w:rsidR="00A74F76" w:rsidRPr="0074636D">
        <w:rPr>
          <w:rtl/>
        </w:rPr>
        <w:t>فروض الدراسة:</w:t>
      </w:r>
      <w:bookmarkEnd w:id="9"/>
    </w:p>
    <w:p w14:paraId="3D7A9DC9" w14:textId="2A8330F5" w:rsidR="00713B59" w:rsidRPr="0074636D" w:rsidRDefault="00713B59" w:rsidP="00713B59">
      <w:pPr>
        <w:ind w:left="360"/>
        <w:rPr>
          <w:rFonts w:ascii="Simplified Arabic" w:hAnsi="Simplified Arabic" w:cs="Simplified Arabic"/>
          <w:sz w:val="24"/>
          <w:szCs w:val="24"/>
          <w:rtl/>
        </w:rPr>
      </w:pPr>
      <w:r w:rsidRPr="0074636D">
        <w:rPr>
          <w:rFonts w:ascii="Simplified Arabic" w:hAnsi="Simplified Arabic" w:cs="Simplified Arabic"/>
          <w:sz w:val="24"/>
          <w:szCs w:val="24"/>
          <w:rtl/>
        </w:rPr>
        <w:t>الفرضية الاولى: هناك علاقة إيجابية مهمة بين القيادة التحويلية وكفاءة سلسلة التوريد بشكل عام.</w:t>
      </w:r>
    </w:p>
    <w:p w14:paraId="45782CBF" w14:textId="0EDD678A" w:rsidR="00713B59" w:rsidRPr="0074636D" w:rsidRDefault="00713B59" w:rsidP="00713B59">
      <w:pPr>
        <w:ind w:left="360"/>
        <w:rPr>
          <w:rFonts w:ascii="Simplified Arabic" w:hAnsi="Simplified Arabic" w:cs="Simplified Arabic"/>
          <w:sz w:val="24"/>
          <w:szCs w:val="24"/>
          <w:rtl/>
        </w:rPr>
      </w:pPr>
      <w:r w:rsidRPr="0074636D">
        <w:rPr>
          <w:rFonts w:ascii="Simplified Arabic" w:hAnsi="Simplified Arabic" w:cs="Simplified Arabic"/>
          <w:sz w:val="24"/>
          <w:szCs w:val="24"/>
          <w:rtl/>
        </w:rPr>
        <w:t>الفرضيةالثانية: التحفيز الملهم يؤثر إيجابًا على مرونة سلسلة التوريد.</w:t>
      </w:r>
    </w:p>
    <w:p w14:paraId="3718B915" w14:textId="000A3CC1" w:rsidR="00713B59" w:rsidRPr="0074636D" w:rsidRDefault="00713B59" w:rsidP="00713B59">
      <w:pPr>
        <w:ind w:left="360"/>
        <w:rPr>
          <w:rFonts w:ascii="Simplified Arabic" w:hAnsi="Simplified Arabic" w:cs="Simplified Arabic"/>
          <w:sz w:val="24"/>
          <w:szCs w:val="24"/>
          <w:rtl/>
        </w:rPr>
      </w:pPr>
      <w:r w:rsidRPr="0074636D">
        <w:rPr>
          <w:rFonts w:ascii="Simplified Arabic" w:hAnsi="Simplified Arabic" w:cs="Simplified Arabic"/>
          <w:sz w:val="24"/>
          <w:szCs w:val="24"/>
          <w:rtl/>
        </w:rPr>
        <w:t>الفرضية الثالثة: التحفيز الفكري يؤدي إلى تحسين الابتكار في ممارسات سلسلة التوريد.</w:t>
      </w:r>
    </w:p>
    <w:p w14:paraId="0105A6D8" w14:textId="39F377AC" w:rsidR="00A74F76" w:rsidRPr="0074636D" w:rsidRDefault="00713B59" w:rsidP="00713B59">
      <w:pPr>
        <w:ind w:left="360"/>
        <w:rPr>
          <w:rFonts w:ascii="Simplified Arabic" w:hAnsi="Simplified Arabic" w:cs="Simplified Arabic"/>
          <w:sz w:val="24"/>
          <w:szCs w:val="24"/>
          <w:rtl/>
        </w:rPr>
      </w:pPr>
      <w:r w:rsidRPr="0074636D">
        <w:rPr>
          <w:rFonts w:ascii="Simplified Arabic" w:hAnsi="Simplified Arabic" w:cs="Simplified Arabic"/>
          <w:sz w:val="24"/>
          <w:szCs w:val="24"/>
          <w:rtl/>
        </w:rPr>
        <w:t>الفرضية الرابعة: الاهتمام الفردي يعزز تنسيق الفريق وتواصله داخل سلاسل التوريد.</w:t>
      </w:r>
    </w:p>
    <w:p w14:paraId="76D397BE" w14:textId="5480B5A5" w:rsidR="00D22171" w:rsidRPr="0074636D" w:rsidRDefault="00773CA6" w:rsidP="00773CA6">
      <w:pPr>
        <w:pStyle w:val="Heading1"/>
        <w:rPr>
          <w:rtl/>
        </w:rPr>
      </w:pPr>
      <w:bookmarkStart w:id="10" w:name="_Toc203627754"/>
      <w:r>
        <w:rPr>
          <w:rFonts w:hint="cs"/>
          <w:rtl/>
        </w:rPr>
        <w:t>7.1.</w:t>
      </w:r>
      <w:r w:rsidR="00D22171" w:rsidRPr="0074636D">
        <w:rPr>
          <w:rtl/>
        </w:rPr>
        <w:t>الدراسات السابقة</w:t>
      </w:r>
      <w:r w:rsidR="00A74F76" w:rsidRPr="0074636D">
        <w:rPr>
          <w:rtl/>
        </w:rPr>
        <w:t>:</w:t>
      </w:r>
      <w:bookmarkEnd w:id="10"/>
    </w:p>
    <w:p w14:paraId="644803AF" w14:textId="77777777" w:rsidR="0014284E" w:rsidRPr="0074636D" w:rsidRDefault="0014284E" w:rsidP="0014284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استكشفت دراسات عديدة تأثير القيادة على الأداء التنظيمي. من بينها، يُعدّ باس (1985) مرجعًا أساسيًا في تعريف القيادة التحويلية، مُشددًا على كيفية إلهام هؤلاء القادة لأتباعهم لتجاوز التوقعات من خلال التأثير المثالي، والتحفيز المُلهم، والتحفيز الفكري، والاهتمام الفردي. ووسّع يوكل (2010) هذه الأفكار لاحقًا من خلال اعتبار القيادة قوةً أساسيةً في تشكيل السلوك والمناخ التنظيمي، لا سيما في أنظمة التشغيل المعقدة.</w:t>
      </w:r>
    </w:p>
    <w:p w14:paraId="6D658230" w14:textId="77777777" w:rsidR="0014284E" w:rsidRPr="0074636D" w:rsidRDefault="0014284E" w:rsidP="0014284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في سياق سلاسل التوريد، وضع كارتر وروجرز (2008) إطارًا لإدارة سلسلة التوريد المستدامة، يربط ضمنيًا سلوك القيادة بتحقيق الأداء الاقتصادي والبيئي والاجتماعي. في الوقت نفسه، قدّم غليغور وآخرون (2016) نموذجًا متعدد التخصصات يُسلّط الضوء على كيفية تسهيل القيادة لمرونة سلسلة التوريد - وهو أمر ذو أهمية خاصة في الصناعات المعرضة للاضطرابات والتي تتطلب قدرات تكيفية. وأكدوا أن القيادة تُسهم بشكل مباشر في تحسين الاستجابة والتنسيق بين شركاء سلسلة التوريد.</w:t>
      </w:r>
    </w:p>
    <w:p w14:paraId="434ED142" w14:textId="77777777" w:rsidR="0014284E" w:rsidRPr="0074636D" w:rsidRDefault="0014284E" w:rsidP="0014284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تناولت العديد من الدراسات التجريبية التأثير المباشر لأسلوب القيادة على أداء سلسلة التوريد. ووجد تريفلاس ودريموسيس (2013) أن القيادة التحويلية ترتبط ارتباطًا إيجابيًا بجودة النتائج وأداء الموظفين في بيئات التصنيع. وبالمثل، أظهر نجوين وآخرون (2017) أن القادة التحويليين يعززون مشاركة الفريق ومواءمته مع الأهداف الاستراتيجية، مما يدعم بدوره فعالية سلسلة التوريد. وفي دراسة أخرى، ناقش غوناسيكاران وآخرون (2017) مرونة سلسلة التوريد، مشيرين إلى أن القيادة تلعب دورًا حاسمًا في التعامل مع التعقيد وعدم اليقين، لا سيما في القطاعات الصناعية العالمية.</w:t>
      </w:r>
    </w:p>
    <w:p w14:paraId="4A2A8B6B" w14:textId="77777777" w:rsidR="0014284E" w:rsidRPr="0074636D" w:rsidRDefault="0014284E" w:rsidP="0014284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على الصعيد الإقليمي، أجرى الضويحي وآخرون (2021) إحدى الدراسات القليلة التي أجريت في المملكة العربية السعودية، حيث فحصوا أساليب القيادة وتأثيرها على مرونة سلاسل التوريد في شركات التصنيع. وتشير نتائجهم إلى وجود صلة مهمة بين سلوك القيادة واستجابة المنظمة في أوقات الاضطراب. ودعمًا لذلك، وجد أفشان وشريف (2016) أن القيادة التحويلية تُحسّن التعاون والثقة ومقاييس الأداء داخل سلاسل التوريد. بالإضافة إلى ذلك، تشاو وآخرون. (2011) سلّط الضوء على الاختلافات بين الثقافات في أداء سلسلة التوريد، وأشار إلى القيادة كمتغير يُفسّر التباين في الفعالية بين المناطق.</w:t>
      </w:r>
    </w:p>
    <w:p w14:paraId="16E6DF7D" w14:textId="1632C090" w:rsidR="00A74F76" w:rsidRPr="0074636D" w:rsidRDefault="0014284E" w:rsidP="0014284E">
      <w:pPr>
        <w:spacing w:line="360" w:lineRule="auto"/>
        <w:ind w:left="360"/>
        <w:jc w:val="both"/>
        <w:rPr>
          <w:rFonts w:ascii="Simplified Arabic" w:hAnsi="Simplified Arabic" w:cs="Simplified Arabic"/>
          <w:sz w:val="24"/>
          <w:szCs w:val="24"/>
        </w:rPr>
      </w:pPr>
      <w:r w:rsidRPr="0074636D">
        <w:rPr>
          <w:rFonts w:ascii="Simplified Arabic" w:hAnsi="Simplified Arabic" w:cs="Simplified Arabic"/>
          <w:sz w:val="24"/>
          <w:szCs w:val="24"/>
          <w:rtl/>
        </w:rPr>
        <w:t>باختصار، تُؤكّد الدراسات المُراجعة وجود أساس نظري وتجريبي قوي لتوقع تأثير القيادة التحويلية على كفاءة سلسلة التوريد. ومع ذلك، فإن معظم الدراسات الحالية إما تُعمّم تأثير القيادة على مختلف الوظائف التنظيمية أو تُركّز على الاقتصادات المتقدمة. وقليل منها بحث بشكل مُحدّد كيفيّة تأثير القيادة التحويلية على كفاءة سلسلة التوريد في القطاع الصناعي ضمن السياق الاجتماعي والاقتصادي والتنظيمي الفريد للمملكة العربية السعودية. تسعى هذه الدراسة إلى سدّ هذه الفجوة من خلال تقديم رؤى تطبيقية حول هذه العلاقة، والمساهمة في كلٍّ من النظرية والتطبيق.</w:t>
      </w:r>
    </w:p>
    <w:p w14:paraId="0F731D52" w14:textId="79B5A7D7" w:rsidR="00A74F76" w:rsidRPr="0074636D" w:rsidRDefault="00773CA6" w:rsidP="00773CA6">
      <w:pPr>
        <w:pStyle w:val="Heading1"/>
        <w:rPr>
          <w:rtl/>
        </w:rPr>
      </w:pPr>
      <w:bookmarkStart w:id="11" w:name="_Toc203627755"/>
      <w:r>
        <w:rPr>
          <w:rFonts w:hint="cs"/>
          <w:rtl/>
        </w:rPr>
        <w:t>8.1.</w:t>
      </w:r>
      <w:r w:rsidR="00A74F76" w:rsidRPr="0074636D">
        <w:rPr>
          <w:rtl/>
        </w:rPr>
        <w:t>المنطلقات النظرية للدراسة:</w:t>
      </w:r>
      <w:bookmarkEnd w:id="11"/>
    </w:p>
    <w:p w14:paraId="06CF7162" w14:textId="77777777" w:rsidR="00CA2152"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ترتكز هذه الدراسة على إطارين نظريين رئيسيين: نظرية القيادة التحويلية ونظرية أداء سلسلة التوريد. يوفر هذان الإطاران معًا منظورًا شاملًا لدراسة كيفية تأثير سلوكيات القيادة على النتائج التشغيلية في سلاسل التوريد الصناعية.</w:t>
      </w:r>
    </w:p>
    <w:p w14:paraId="3F131B1A" w14:textId="77777777" w:rsidR="00CA2152" w:rsidRPr="0074636D" w:rsidRDefault="00CA2152" w:rsidP="005F53DC">
      <w:pPr>
        <w:pStyle w:val="Heading2"/>
        <w:rPr>
          <w:rtl/>
        </w:rPr>
      </w:pPr>
      <w:bookmarkStart w:id="12" w:name="_Toc203627756"/>
      <w:r w:rsidRPr="0074636D">
        <w:rPr>
          <w:rtl/>
        </w:rPr>
        <w:t>1. نظرية القيادة التحويلية</w:t>
      </w:r>
      <w:bookmarkEnd w:id="12"/>
    </w:p>
    <w:p w14:paraId="26D990CC" w14:textId="77777777" w:rsidR="00CA2152"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تُشكل نظرية القيادة التحويلية، التي اقترحها بيرنز (1978) في البداية، ثم طورها باس وأفوليو (1985، 1994)، نموذج القيادة الأساسي الذي ترتكز عليه هذه الدراسة. تُحدد النظرية أربعة أبعاد رئيسية للقيادة التحويلية:</w:t>
      </w:r>
    </w:p>
    <w:p w14:paraId="727236A6" w14:textId="77777777" w:rsidR="00CA2152" w:rsidRPr="0074636D" w:rsidRDefault="00CA2152" w:rsidP="00CA2152">
      <w:pPr>
        <w:pStyle w:val="ListParagraph"/>
        <w:numPr>
          <w:ilvl w:val="0"/>
          <w:numId w:val="8"/>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التأثير المثالي: قدرة القائد على العمل كقدوة وكسب احترام وثقة المرؤوسين.</w:t>
      </w:r>
    </w:p>
    <w:p w14:paraId="15929CA6" w14:textId="77777777" w:rsidR="00CA2152" w:rsidRPr="0074636D" w:rsidRDefault="00CA2152" w:rsidP="00CA2152">
      <w:pPr>
        <w:pStyle w:val="ListParagraph"/>
        <w:numPr>
          <w:ilvl w:val="0"/>
          <w:numId w:val="8"/>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التحفيز المُلهم: القدرة على إيصال رؤية واضحة ومقنعة تُحفز الموظفين.</w:t>
      </w:r>
    </w:p>
    <w:p w14:paraId="1E19F519" w14:textId="77777777" w:rsidR="00CA2152" w:rsidRPr="0074636D" w:rsidRDefault="00CA2152" w:rsidP="00CA2152">
      <w:pPr>
        <w:pStyle w:val="ListParagraph"/>
        <w:numPr>
          <w:ilvl w:val="0"/>
          <w:numId w:val="8"/>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التحفيز الفكري: تشجيع الابتكار والتفكير النقدي لحل التحديات التنظيمية.</w:t>
      </w:r>
    </w:p>
    <w:p w14:paraId="22D21B0F" w14:textId="77777777" w:rsidR="00CA2152" w:rsidRPr="0074636D" w:rsidRDefault="00CA2152" w:rsidP="00CA2152">
      <w:pPr>
        <w:pStyle w:val="ListParagraph"/>
        <w:numPr>
          <w:ilvl w:val="0"/>
          <w:numId w:val="8"/>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الاهتمام الفردي: تقديم الدعم والتوجيه الشخصي لأعضاء الفريق.</w:t>
      </w:r>
    </w:p>
    <w:p w14:paraId="3AD9674E" w14:textId="77777777" w:rsidR="00CA2152"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تشير هذه النظرية إلى أن القادة التحويليين قادرون على دفع الأداء إلى ما يتجاوز التوقعات من خلال مواءمة الدوافع الفردية مع أهداف المنظمة. وفي سياق هذه الدراسة، يُفترض أن سلوكيات القيادة هذه تُعزز التواصل والتنسيق والابتكار والاستجابة عبر سلسلة التوريد.</w:t>
      </w:r>
    </w:p>
    <w:p w14:paraId="1701D7BE" w14:textId="77777777" w:rsidR="00CA2152" w:rsidRPr="0074636D" w:rsidRDefault="00CA2152" w:rsidP="005F53DC">
      <w:pPr>
        <w:pStyle w:val="Heading2"/>
        <w:rPr>
          <w:rtl/>
        </w:rPr>
      </w:pPr>
      <w:bookmarkStart w:id="13" w:name="_Toc203627757"/>
      <w:r w:rsidRPr="0074636D">
        <w:rPr>
          <w:rtl/>
        </w:rPr>
        <w:t>2. نظرية أداء سلسلة التوريد</w:t>
      </w:r>
      <w:bookmarkEnd w:id="13"/>
    </w:p>
    <w:p w14:paraId="4C3B0B12" w14:textId="77777777" w:rsidR="00CA2152"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تركز نظرية أداء سلسلة التوريد على العوامل الرئيسية التي تؤثر على كفاءة وفعالية أنشطة سلسلة التوريد. ووفقًا لكريستوفر (2016) وغوناسيكاران وآخرون (2001)، يُقاس أداء سلسلة التوريد عادةً باستخدام أبعاد مثل:</w:t>
      </w:r>
    </w:p>
    <w:p w14:paraId="285A9B53" w14:textId="77777777" w:rsidR="00CA2152" w:rsidRPr="0074636D" w:rsidRDefault="00CA2152" w:rsidP="00CA2152">
      <w:pPr>
        <w:pStyle w:val="ListParagraph"/>
        <w:numPr>
          <w:ilvl w:val="0"/>
          <w:numId w:val="7"/>
        </w:numPr>
        <w:spacing w:line="276"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كفاءة التكلفة</w:t>
      </w:r>
    </w:p>
    <w:p w14:paraId="533090A6" w14:textId="77777777" w:rsidR="00CA2152" w:rsidRPr="0074636D" w:rsidRDefault="00CA2152" w:rsidP="00CA2152">
      <w:pPr>
        <w:pStyle w:val="ListParagraph"/>
        <w:numPr>
          <w:ilvl w:val="0"/>
          <w:numId w:val="7"/>
        </w:numPr>
        <w:spacing w:line="276"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موثوقية التسليم</w:t>
      </w:r>
    </w:p>
    <w:p w14:paraId="0922AFAE" w14:textId="77777777" w:rsidR="00CA2152" w:rsidRPr="0074636D" w:rsidRDefault="00CA2152" w:rsidP="00CA2152">
      <w:pPr>
        <w:pStyle w:val="ListParagraph"/>
        <w:numPr>
          <w:ilvl w:val="0"/>
          <w:numId w:val="7"/>
        </w:numPr>
        <w:spacing w:line="276"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معدل دوران المخزون</w:t>
      </w:r>
    </w:p>
    <w:p w14:paraId="160D10C5" w14:textId="77777777" w:rsidR="00CA2152" w:rsidRPr="0074636D" w:rsidRDefault="00CA2152" w:rsidP="00CA2152">
      <w:pPr>
        <w:pStyle w:val="ListParagraph"/>
        <w:numPr>
          <w:ilvl w:val="0"/>
          <w:numId w:val="7"/>
        </w:numPr>
        <w:spacing w:line="276"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المرونة والاستجابة</w:t>
      </w:r>
    </w:p>
    <w:p w14:paraId="3D5273FD" w14:textId="77777777" w:rsidR="00CA2152" w:rsidRPr="0074636D" w:rsidRDefault="00CA2152" w:rsidP="00CA2152">
      <w:pPr>
        <w:pStyle w:val="ListParagraph"/>
        <w:numPr>
          <w:ilvl w:val="0"/>
          <w:numId w:val="7"/>
        </w:numPr>
        <w:spacing w:line="276"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رضا العملاء</w:t>
      </w:r>
    </w:p>
    <w:p w14:paraId="05F1F8EE" w14:textId="77777777" w:rsidR="00CA2152"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تفترض هذه النظرية أن نتائج الأداء لا تتشكل فقط من خلال التكنولوجيا وتصميم العمليات، بل أيضًا من خلال العوامل البشرية مثل صنع القرار والتعاون والقيادة. ويُنظر إلى القيادة، وخاصةً التحويلية بطبيعتها، بشكل متزايد على أنها مُمكّن استراتيجي لنجاح سلسلة التوريد (تريفلاس ودريموسيس، 2013).</w:t>
      </w:r>
    </w:p>
    <w:p w14:paraId="356819C2" w14:textId="77777777" w:rsidR="00CA2152" w:rsidRPr="0074636D" w:rsidRDefault="00CA2152" w:rsidP="005F53DC">
      <w:pPr>
        <w:pStyle w:val="Heading2"/>
        <w:rPr>
          <w:rtl/>
        </w:rPr>
      </w:pPr>
      <w:bookmarkStart w:id="14" w:name="_Toc203627758"/>
      <w:r w:rsidRPr="0074636D">
        <w:rPr>
          <w:rtl/>
        </w:rPr>
        <w:t>٣. دمج النظريات في هذه الدراسة</w:t>
      </w:r>
      <w:bookmarkEnd w:id="14"/>
    </w:p>
    <w:p w14:paraId="4D069D08" w14:textId="69CA4401" w:rsidR="00A74F76" w:rsidRPr="0074636D" w:rsidRDefault="00CA2152" w:rsidP="00CA2152">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تدمج هذه الدراسة الإطارين بافتراض أن ممارسات القيادة التحويلية يمكن أن تؤدي إلى تحسين أداء سلسلة التوريد. وتحديدًا، تُجادل الدراسة بأن القادة الذين يُظهرون مستويات عالية من التحفيز الفكري والتحفيز المُلهم يمكنهم تعزيز ثقافة تنظيمية استباقية تتبنى تحسين العمليات والتعاون بين الوظائف المختلفة، وهما عنصران أساسيان لسلاسل توريد فعّالة. من خلال الجمع بين هذه النماذج النظرية، تُوفر الدراسة أساسًا مُهيكلًا لاختبار الفرضيات المتعلقة بالعلاقة بين سلوك القيادة ونتائج سلسلة التوريد القابلة للقياس، مع التركيز على المؤسسات الصناعية السعودية التي تشهد تحولًا في ظل رؤية ٢٠٣٠.</w:t>
      </w:r>
    </w:p>
    <w:p w14:paraId="2E715580" w14:textId="48F4D5D2" w:rsidR="00D22171" w:rsidRDefault="00773CA6" w:rsidP="005F53DC">
      <w:pPr>
        <w:pStyle w:val="Heading1"/>
        <w:rPr>
          <w:rtl/>
        </w:rPr>
      </w:pPr>
      <w:bookmarkStart w:id="15" w:name="_Toc203627759"/>
      <w:r>
        <w:rPr>
          <w:rFonts w:hint="cs"/>
          <w:rtl/>
        </w:rPr>
        <w:t>9.1.</w:t>
      </w:r>
      <w:r w:rsidR="00D22171" w:rsidRPr="00D22171">
        <w:rPr>
          <w:rtl/>
        </w:rPr>
        <w:t>المنهجية وطرق البحث</w:t>
      </w:r>
      <w:r w:rsidR="00A74F76">
        <w:rPr>
          <w:rFonts w:hint="cs"/>
          <w:rtl/>
        </w:rPr>
        <w:t>:</w:t>
      </w:r>
      <w:bookmarkEnd w:id="15"/>
    </w:p>
    <w:p w14:paraId="690ADA11" w14:textId="77777777" w:rsidR="00495D11" w:rsidRPr="0074636D" w:rsidRDefault="00495D11"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تعتمد هذه الدراسة منهجية بحث كمية لدراسة تأثير القيادة التحويلية على كفاءة سلسلة التوريد في المؤسسات الصناعية بالمملكة العربية السعودية. ويستند اختيار المنهجية إلى هدف الدراسة المتمثل في اختبار الفرضيات وتحديد العلاقة بين سلوكيات القيادة ومؤشرات أداء سلسلة التوريد القابلة للقياس.</w:t>
      </w:r>
    </w:p>
    <w:p w14:paraId="048F5E47" w14:textId="77777777" w:rsidR="00495D11" w:rsidRPr="00495D11" w:rsidRDefault="00495D11" w:rsidP="005F53DC">
      <w:pPr>
        <w:pStyle w:val="Heading2"/>
        <w:rPr>
          <w:rtl/>
        </w:rPr>
      </w:pPr>
      <w:bookmarkStart w:id="16" w:name="_Toc203627760"/>
      <w:r w:rsidRPr="00495D11">
        <w:rPr>
          <w:rtl/>
        </w:rPr>
        <w:t>1. تصميم البحث</w:t>
      </w:r>
      <w:bookmarkEnd w:id="16"/>
    </w:p>
    <w:p w14:paraId="7A7ADA54" w14:textId="77777777" w:rsidR="00495D11" w:rsidRPr="0074636D" w:rsidRDefault="00495D11"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يتميز تصميم البحث بطابع وصفي وارتباطي. ويُستخدم التصميم الوصفي لتقييم المستويات الحالية للقيادة التحويلية وكفاءة سلسلة التوريد في المؤسسات المستهدفة، بينما يهدف التصميم الارتباطي إلى دراسة قوة واتجاه العلاقة بين هذين المفهومين. ويُعد هذا النهج مناسبًا لاكتشاف الأنماط واختبار الافتراضات النظرية في سياق صناعي واقعي.</w:t>
      </w:r>
    </w:p>
    <w:p w14:paraId="3B1F5C8F" w14:textId="77777777" w:rsidR="00495D11" w:rsidRPr="00495D11" w:rsidRDefault="00495D11" w:rsidP="005F53DC">
      <w:pPr>
        <w:pStyle w:val="Heading2"/>
        <w:rPr>
          <w:rtl/>
        </w:rPr>
      </w:pPr>
      <w:bookmarkStart w:id="17" w:name="_Toc203627761"/>
      <w:r w:rsidRPr="00495D11">
        <w:rPr>
          <w:rtl/>
        </w:rPr>
        <w:t>2. مجتمع الدراسة والعينة</w:t>
      </w:r>
      <w:bookmarkEnd w:id="17"/>
    </w:p>
    <w:p w14:paraId="44E4D059" w14:textId="58D525F0" w:rsidR="00495D11" w:rsidRPr="0074636D" w:rsidRDefault="00495D11"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 xml:space="preserve">يتكون مجتمع الدراسة من المديرين والمشرفين وأخصائيي سلسلة التوريد العاملين في مؤسسات صناعية متوسطة وكبيرة في مناطق رئيسية بالمملكة العربية السعودية. وستُستخدم تقنية أخذ العينات العشوائية الطبقية لضمان تمثيل مختلف القطاعات، مثل التصنيع والخدمات اللوجستية والبتروكيماويات. يتراوح حجم العينة المتوقع بين </w:t>
      </w:r>
      <w:r w:rsidR="0074636D" w:rsidRPr="0074636D">
        <w:rPr>
          <w:rFonts w:ascii="Simplified Arabic" w:hAnsi="Simplified Arabic" w:cs="Simplified Arabic" w:hint="cs"/>
          <w:sz w:val="24"/>
          <w:szCs w:val="24"/>
          <w:rtl/>
        </w:rPr>
        <w:t>50</w:t>
      </w:r>
      <w:r w:rsidRPr="0074636D">
        <w:rPr>
          <w:rFonts w:ascii="Simplified Arabic" w:hAnsi="Simplified Arabic" w:cs="Simplified Arabic"/>
          <w:sz w:val="24"/>
          <w:szCs w:val="24"/>
          <w:rtl/>
        </w:rPr>
        <w:t xml:space="preserve"> و</w:t>
      </w:r>
      <w:r w:rsidR="0074636D" w:rsidRPr="0074636D">
        <w:rPr>
          <w:rFonts w:ascii="Simplified Arabic" w:hAnsi="Simplified Arabic" w:cs="Simplified Arabic" w:hint="cs"/>
          <w:sz w:val="24"/>
          <w:szCs w:val="24"/>
          <w:rtl/>
        </w:rPr>
        <w:t>1</w:t>
      </w:r>
      <w:r w:rsidRPr="0074636D">
        <w:rPr>
          <w:rFonts w:ascii="Simplified Arabic" w:hAnsi="Simplified Arabic" w:cs="Simplified Arabic"/>
          <w:sz w:val="24"/>
          <w:szCs w:val="24"/>
          <w:rtl/>
        </w:rPr>
        <w:t>00 مستجيب، وذلك حسب معدل الاستجابة وإمكانية الوصول إلى المشاركين.</w:t>
      </w:r>
    </w:p>
    <w:p w14:paraId="09A3C40B" w14:textId="77777777" w:rsidR="00495D11" w:rsidRPr="00495D11" w:rsidRDefault="00495D11" w:rsidP="005F53DC">
      <w:pPr>
        <w:pStyle w:val="Heading2"/>
        <w:rPr>
          <w:rtl/>
        </w:rPr>
      </w:pPr>
      <w:bookmarkStart w:id="18" w:name="_Toc203627762"/>
      <w:r w:rsidRPr="00495D11">
        <w:rPr>
          <w:rtl/>
        </w:rPr>
        <w:t>3. أدوات جمع البيانات</w:t>
      </w:r>
      <w:bookmarkEnd w:id="18"/>
    </w:p>
    <w:p w14:paraId="5C20F995" w14:textId="6404D19F" w:rsidR="00495D11" w:rsidRPr="0074636D" w:rsidRDefault="00495D11"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سُتجمع البيانات الأولية باستخدام استبيان مُهيكل مُقسّم إلى قسمين رئيسيين</w:t>
      </w:r>
      <w:r w:rsidR="0074636D" w:rsidRPr="0074636D">
        <w:rPr>
          <w:rFonts w:ascii="Simplified Arabic" w:hAnsi="Simplified Arabic" w:cs="Simplified Arabic" w:hint="cs"/>
          <w:sz w:val="24"/>
          <w:szCs w:val="24"/>
          <w:rtl/>
        </w:rPr>
        <w:t xml:space="preserve"> </w:t>
      </w:r>
      <w:r w:rsidRPr="0074636D">
        <w:rPr>
          <w:rFonts w:ascii="Simplified Arabic" w:hAnsi="Simplified Arabic" w:cs="Simplified Arabic"/>
          <w:sz w:val="24"/>
          <w:szCs w:val="24"/>
          <w:rtl/>
        </w:rPr>
        <w:t>يستخدم القسم الأول استبيان القيادة متعدد العوامل (</w:t>
      </w:r>
      <w:r w:rsidRPr="0074636D">
        <w:rPr>
          <w:rFonts w:ascii="Simplified Arabic" w:hAnsi="Simplified Arabic" w:cs="Simplified Arabic"/>
          <w:sz w:val="24"/>
          <w:szCs w:val="24"/>
        </w:rPr>
        <w:t>MLQ</w:t>
      </w:r>
      <w:r w:rsidRPr="0074636D">
        <w:rPr>
          <w:rFonts w:ascii="Simplified Arabic" w:hAnsi="Simplified Arabic" w:cs="Simplified Arabic"/>
          <w:sz w:val="24"/>
          <w:szCs w:val="24"/>
          <w:rtl/>
        </w:rPr>
        <w:t>) الذي طوره باس وأفوليو (2004)، والذي يقيس المكونات الأربعة للقيادة التحويلية.يتضمن القسم الثاني بنودًا مُقتبسة من مقاييس أداء سلسلة التوريد المُعتمدة، والتي تقيس أبعادًا مثل كفاءة التكلفة، وموثوقية التسليم، والمرونة، والاستجابة.سُتقاس جميع البنود على مقياس ليكرت خماسي النقاط، يتراوح بين "أعارض بشدة" و"أوافق بشدة".</w:t>
      </w:r>
    </w:p>
    <w:p w14:paraId="2448D6CD" w14:textId="77777777" w:rsidR="00495D11" w:rsidRPr="00495D11" w:rsidRDefault="00495D11" w:rsidP="005F53DC">
      <w:pPr>
        <w:pStyle w:val="Heading2"/>
        <w:rPr>
          <w:rtl/>
        </w:rPr>
      </w:pPr>
      <w:bookmarkStart w:id="19" w:name="_Toc203627763"/>
      <w:r w:rsidRPr="00495D11">
        <w:rPr>
          <w:rtl/>
        </w:rPr>
        <w:t>4. تقنيات تحليل البيانات</w:t>
      </w:r>
      <w:bookmarkEnd w:id="19"/>
    </w:p>
    <w:p w14:paraId="5DEC6890" w14:textId="5BD38CBE" w:rsidR="00495D11" w:rsidRPr="0074636D" w:rsidRDefault="00495D11" w:rsidP="00FC6F6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 xml:space="preserve">سُتحلّل البيانات المُجمعة باستخدام </w:t>
      </w:r>
      <w:r w:rsidR="00FC6F6E">
        <w:rPr>
          <w:rFonts w:ascii="Simplified Arabic" w:hAnsi="Simplified Arabic" w:cs="Simplified Arabic"/>
          <w:sz w:val="24"/>
          <w:szCs w:val="24"/>
        </w:rPr>
        <w:t>google forum</w:t>
      </w:r>
      <w:r w:rsidRPr="0074636D">
        <w:rPr>
          <w:rFonts w:ascii="Simplified Arabic" w:hAnsi="Simplified Arabic" w:cs="Simplified Arabic"/>
          <w:sz w:val="24"/>
          <w:szCs w:val="24"/>
          <w:rtl/>
        </w:rPr>
        <w:t>. سيشمل التحليل ما يلي:</w:t>
      </w:r>
    </w:p>
    <w:p w14:paraId="732E7DC0" w14:textId="77777777" w:rsidR="00495D11" w:rsidRPr="0074636D" w:rsidRDefault="00495D11" w:rsidP="0074636D">
      <w:pPr>
        <w:pStyle w:val="ListParagraph"/>
        <w:numPr>
          <w:ilvl w:val="0"/>
          <w:numId w:val="11"/>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الإحصاءات الوصفية (المتوسطات، الانحرافات المعيارية) لتلخيص الإجابات.</w:t>
      </w:r>
    </w:p>
    <w:p w14:paraId="2F263241" w14:textId="77777777" w:rsidR="00495D11" w:rsidRPr="0074636D" w:rsidRDefault="00495D11" w:rsidP="0074636D">
      <w:pPr>
        <w:pStyle w:val="ListParagraph"/>
        <w:numPr>
          <w:ilvl w:val="0"/>
          <w:numId w:val="11"/>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تحليل الارتباط لاختبار العلاقة بين القيادة ومتغيرات سلسلة التوريد.</w:t>
      </w:r>
    </w:p>
    <w:p w14:paraId="50A787B4" w14:textId="77777777" w:rsidR="00495D11" w:rsidRPr="0074636D" w:rsidRDefault="00495D11" w:rsidP="0074636D">
      <w:pPr>
        <w:pStyle w:val="ListParagraph"/>
        <w:numPr>
          <w:ilvl w:val="0"/>
          <w:numId w:val="11"/>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تحليل الانحدار المتعدد لتحديد القدرة التنبؤية لأبعاد القيادة على أداء سلسلة التوريد.</w:t>
      </w:r>
    </w:p>
    <w:p w14:paraId="1D162EFB" w14:textId="77777777" w:rsidR="00495D11" w:rsidRPr="0074636D" w:rsidRDefault="00495D11" w:rsidP="0074636D">
      <w:pPr>
        <w:pStyle w:val="ListParagraph"/>
        <w:numPr>
          <w:ilvl w:val="0"/>
          <w:numId w:val="11"/>
        </w:numPr>
        <w:spacing w:line="360" w:lineRule="auto"/>
        <w:jc w:val="both"/>
        <w:rPr>
          <w:rFonts w:ascii="Simplified Arabic" w:hAnsi="Simplified Arabic" w:cs="Simplified Arabic"/>
          <w:sz w:val="24"/>
          <w:szCs w:val="24"/>
          <w:rtl/>
        </w:rPr>
      </w:pPr>
      <w:r w:rsidRPr="0074636D">
        <w:rPr>
          <w:rFonts w:ascii="Simplified Arabic" w:hAnsi="Simplified Arabic" w:cs="Simplified Arabic"/>
          <w:sz w:val="24"/>
          <w:szCs w:val="24"/>
          <w:rtl/>
        </w:rPr>
        <w:t>يمكن استخدام اختبارات تحليل التباين (</w:t>
      </w:r>
      <w:r w:rsidRPr="0074636D">
        <w:rPr>
          <w:rFonts w:ascii="Simplified Arabic" w:hAnsi="Simplified Arabic" w:cs="Simplified Arabic"/>
          <w:sz w:val="24"/>
          <w:szCs w:val="24"/>
        </w:rPr>
        <w:t>ANOVA</w:t>
      </w:r>
      <w:r w:rsidRPr="0074636D">
        <w:rPr>
          <w:rFonts w:ascii="Simplified Arabic" w:hAnsi="Simplified Arabic" w:cs="Simplified Arabic"/>
          <w:sz w:val="24"/>
          <w:szCs w:val="24"/>
          <w:rtl/>
        </w:rPr>
        <w:t>) لدراسة الاختلافات بين القطاعات أو المناطق.</w:t>
      </w:r>
    </w:p>
    <w:p w14:paraId="7BFDFAF4" w14:textId="77777777" w:rsidR="00495D11" w:rsidRPr="00495D11" w:rsidRDefault="00495D11" w:rsidP="005F53DC">
      <w:pPr>
        <w:pStyle w:val="Heading2"/>
        <w:rPr>
          <w:rtl/>
        </w:rPr>
      </w:pPr>
      <w:bookmarkStart w:id="20" w:name="_Toc203627764"/>
      <w:r w:rsidRPr="00495D11">
        <w:rPr>
          <w:rtl/>
        </w:rPr>
        <w:t>5. الاعتبارات الأخلاقية</w:t>
      </w:r>
      <w:bookmarkEnd w:id="20"/>
    </w:p>
    <w:p w14:paraId="24319078" w14:textId="36E9287B" w:rsidR="00A74F76" w:rsidRPr="0074636D" w:rsidRDefault="00495D11"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سيتم إطلاع المشاركين على غرض الدراسة، وسيُضمن لهم سرية إجاباتهم. المشاركة طوعية، وستُستخدم البيانات لأغراض البحث الأكاديمي فقط.</w:t>
      </w:r>
    </w:p>
    <w:p w14:paraId="4CE9E48B" w14:textId="73BBB6B9" w:rsidR="00D22171" w:rsidRDefault="00773CA6" w:rsidP="005F53DC">
      <w:pPr>
        <w:pStyle w:val="Heading1"/>
        <w:rPr>
          <w:rtl/>
        </w:rPr>
      </w:pPr>
      <w:bookmarkStart w:id="21" w:name="_Toc203627765"/>
      <w:r>
        <w:rPr>
          <w:rFonts w:hint="cs"/>
          <w:rtl/>
        </w:rPr>
        <w:t>10.1.</w:t>
      </w:r>
      <w:r w:rsidR="00D22171" w:rsidRPr="00D22171">
        <w:rPr>
          <w:rtl/>
        </w:rPr>
        <w:t xml:space="preserve">أدوات الدراسة </w:t>
      </w:r>
      <w:r w:rsidR="00A74F76">
        <w:rPr>
          <w:rFonts w:hint="cs"/>
          <w:rtl/>
        </w:rPr>
        <w:t>:</w:t>
      </w:r>
      <w:bookmarkEnd w:id="21"/>
    </w:p>
    <w:p w14:paraId="44347190" w14:textId="77777777" w:rsidR="0074636D" w:rsidRPr="0074636D" w:rsidRDefault="0074636D"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تعتمد هذه الدراسة على استبيان مُهيكل كأداة رئيسية لجمع البيانات. صُمم الاستبيان ليشمل كلاً من المتغير المستقل (القيادة التحويلية) والمتغير التابع (كفاءة سلسلة التوريد). ويستند تصميم الأداة إلى مقاييس قياس مُعتمدة مسبقًا لضمان موثوقيتها وصلاحيتها.</w:t>
      </w:r>
    </w:p>
    <w:p w14:paraId="774BB5AF" w14:textId="77777777" w:rsidR="0074636D" w:rsidRPr="0074636D" w:rsidRDefault="0074636D" w:rsidP="005F53DC">
      <w:pPr>
        <w:pStyle w:val="Heading2"/>
        <w:rPr>
          <w:rtl/>
        </w:rPr>
      </w:pPr>
      <w:bookmarkStart w:id="22" w:name="_Toc203627766"/>
      <w:r w:rsidRPr="0074636D">
        <w:rPr>
          <w:rtl/>
        </w:rPr>
        <w:t>1. أداة قياس القيادة التحويلية</w:t>
      </w:r>
      <w:bookmarkEnd w:id="22"/>
    </w:p>
    <w:p w14:paraId="3DD860CF" w14:textId="6D150713" w:rsidR="0074636D" w:rsidRPr="0074636D" w:rsidRDefault="0074636D"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لقياس القيادة التحويلية، ستستخدم الدراسة استبيان القيادة متعدد العوامل (</w:t>
      </w:r>
      <w:r w:rsidRPr="0074636D">
        <w:rPr>
          <w:rFonts w:ascii="Simplified Arabic" w:hAnsi="Simplified Arabic" w:cs="Simplified Arabic"/>
          <w:sz w:val="24"/>
          <w:szCs w:val="24"/>
        </w:rPr>
        <w:t>MLQ</w:t>
      </w:r>
      <w:r w:rsidRPr="0074636D">
        <w:rPr>
          <w:rFonts w:ascii="Simplified Arabic" w:hAnsi="Simplified Arabic" w:cs="Simplified Arabic"/>
          <w:sz w:val="24"/>
          <w:szCs w:val="24"/>
          <w:rtl/>
        </w:rPr>
        <w:t>) الذي طوره باس وأفوليو (2004). تُعتبر هذه الأداة المعيارية مُعترفًا بها على نطاق واسع في أبحاث القيادة، وتتضمن أربعة مكونات رئيسية</w:t>
      </w:r>
      <w:r w:rsidRPr="0074636D">
        <w:rPr>
          <w:rFonts w:ascii="Simplified Arabic" w:hAnsi="Simplified Arabic" w:cs="Simplified Arabic" w:hint="cs"/>
          <w:sz w:val="24"/>
          <w:szCs w:val="24"/>
          <w:rtl/>
        </w:rPr>
        <w:t xml:space="preserve">وهى </w:t>
      </w:r>
      <w:r w:rsidRPr="0074636D">
        <w:rPr>
          <w:rFonts w:ascii="Simplified Arabic" w:hAnsi="Simplified Arabic" w:cs="Simplified Arabic"/>
          <w:sz w:val="24"/>
          <w:szCs w:val="24"/>
          <w:rtl/>
        </w:rPr>
        <w:t>التأثير المثالي</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الدافع المُلهم</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التحفيز الفكري</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الاعتبارات الفردية</w:t>
      </w:r>
      <w:r w:rsidRPr="0074636D">
        <w:rPr>
          <w:rFonts w:ascii="Simplified Arabic" w:hAnsi="Simplified Arabic" w:cs="Simplified Arabic" w:hint="cs"/>
          <w:sz w:val="24"/>
          <w:szCs w:val="24"/>
          <w:rtl/>
        </w:rPr>
        <w:t xml:space="preserve"> و </w:t>
      </w:r>
      <w:r w:rsidRPr="0074636D">
        <w:rPr>
          <w:rFonts w:ascii="Simplified Arabic" w:hAnsi="Simplified Arabic" w:cs="Simplified Arabic"/>
          <w:sz w:val="24"/>
          <w:szCs w:val="24"/>
          <w:rtl/>
        </w:rPr>
        <w:t>يُقاس كل بُعد من خلال مجموعة من العبارات التي يُحدد المُستجيبون مستوى موافقتهم عليها باستخدام مقياس ليكرت خماسي النقاط (يتراوح من 1 = أعارض بشدة إلى 5 = أوافق بشدة).</w:t>
      </w:r>
    </w:p>
    <w:p w14:paraId="6DC951C2" w14:textId="77777777" w:rsidR="0074636D" w:rsidRPr="0074636D" w:rsidRDefault="0074636D" w:rsidP="005F53DC">
      <w:pPr>
        <w:pStyle w:val="Heading2"/>
        <w:rPr>
          <w:rtl/>
        </w:rPr>
      </w:pPr>
      <w:bookmarkStart w:id="23" w:name="_Toc203627767"/>
      <w:r w:rsidRPr="0074636D">
        <w:rPr>
          <w:rtl/>
        </w:rPr>
        <w:t>٢. أداة قياس كفاءة سلسلة التوريد</w:t>
      </w:r>
      <w:bookmarkEnd w:id="23"/>
    </w:p>
    <w:p w14:paraId="3A91E213" w14:textId="69319BC4" w:rsidR="0074636D" w:rsidRPr="0074636D" w:rsidRDefault="0074636D"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 xml:space="preserve">لتقييم كفاءة سلسلة التوريد، ستُكيّف الدراسة عناصر القياس من النماذج المُعتمدة في أدبيات سلسلة التوريد (مثل: </w:t>
      </w:r>
      <w:r w:rsidRPr="0074636D">
        <w:rPr>
          <w:rFonts w:ascii="Simplified Arabic" w:hAnsi="Simplified Arabic" w:cs="Simplified Arabic"/>
          <w:sz w:val="24"/>
          <w:szCs w:val="24"/>
        </w:rPr>
        <w:t>Gunasekaran</w:t>
      </w:r>
      <w:r w:rsidRPr="0074636D">
        <w:rPr>
          <w:rFonts w:ascii="Simplified Arabic" w:hAnsi="Simplified Arabic" w:cs="Simplified Arabic"/>
          <w:sz w:val="24"/>
          <w:szCs w:val="24"/>
          <w:rtl/>
        </w:rPr>
        <w:t xml:space="preserve"> وآخرون، ٢٠٠١؛ </w:t>
      </w:r>
      <w:r w:rsidRPr="0074636D">
        <w:rPr>
          <w:rFonts w:ascii="Simplified Arabic" w:hAnsi="Simplified Arabic" w:cs="Simplified Arabic"/>
          <w:sz w:val="24"/>
          <w:szCs w:val="24"/>
        </w:rPr>
        <w:t>Christopher</w:t>
      </w:r>
      <w:r w:rsidRPr="0074636D">
        <w:rPr>
          <w:rFonts w:ascii="Simplified Arabic" w:hAnsi="Simplified Arabic" w:cs="Simplified Arabic"/>
          <w:sz w:val="24"/>
          <w:szCs w:val="24"/>
          <w:rtl/>
        </w:rPr>
        <w:t>، ٢٠١٦). سيتضمن الاستبيان عناصر تُقيّم الأبعاد التالية</w:t>
      </w:r>
      <w:r w:rsidRPr="0074636D">
        <w:rPr>
          <w:rFonts w:ascii="Simplified Arabic" w:hAnsi="Simplified Arabic" w:cs="Simplified Arabic" w:hint="cs"/>
          <w:sz w:val="24"/>
          <w:szCs w:val="24"/>
          <w:rtl/>
        </w:rPr>
        <w:t xml:space="preserve"> وهى </w:t>
      </w:r>
      <w:r w:rsidRPr="0074636D">
        <w:rPr>
          <w:rFonts w:ascii="Simplified Arabic" w:hAnsi="Simplified Arabic" w:cs="Simplified Arabic"/>
          <w:sz w:val="24"/>
          <w:szCs w:val="24"/>
          <w:rtl/>
        </w:rPr>
        <w:t>كفاءة التكلفة</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موثوقية التسليم</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معدل دوران المخزون</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المرونة والاستجابة</w:t>
      </w:r>
      <w:r w:rsidRPr="0074636D">
        <w:rPr>
          <w:rFonts w:ascii="Simplified Arabic" w:hAnsi="Simplified Arabic" w:cs="Simplified Arabic" w:hint="cs"/>
          <w:sz w:val="24"/>
          <w:szCs w:val="24"/>
          <w:rtl/>
        </w:rPr>
        <w:t xml:space="preserve"> و</w:t>
      </w:r>
      <w:r w:rsidRPr="0074636D">
        <w:rPr>
          <w:rFonts w:ascii="Simplified Arabic" w:hAnsi="Simplified Arabic" w:cs="Simplified Arabic"/>
          <w:sz w:val="24"/>
          <w:szCs w:val="24"/>
          <w:rtl/>
        </w:rPr>
        <w:t>التكامل والتنسيق</w:t>
      </w:r>
      <w:r w:rsidRPr="0074636D">
        <w:rPr>
          <w:rFonts w:ascii="Simplified Arabic" w:hAnsi="Simplified Arabic" w:cs="Simplified Arabic" w:hint="cs"/>
          <w:sz w:val="24"/>
          <w:szCs w:val="24"/>
          <w:rtl/>
        </w:rPr>
        <w:t xml:space="preserve">. </w:t>
      </w:r>
      <w:r w:rsidRPr="0074636D">
        <w:rPr>
          <w:rFonts w:ascii="Simplified Arabic" w:hAnsi="Simplified Arabic" w:cs="Simplified Arabic"/>
          <w:sz w:val="24"/>
          <w:szCs w:val="24"/>
          <w:rtl/>
        </w:rPr>
        <w:t>سيتم قياس هذه المؤشرات أيضًا باستخدام مقياس ليكرت خماسي النقاط لضمان الاتساق مع قسم القيادة.</w:t>
      </w:r>
    </w:p>
    <w:p w14:paraId="1023C3ED" w14:textId="77777777" w:rsidR="0074636D" w:rsidRPr="0074636D" w:rsidRDefault="0074636D" w:rsidP="005F53DC">
      <w:pPr>
        <w:pStyle w:val="Heading2"/>
        <w:rPr>
          <w:rtl/>
        </w:rPr>
      </w:pPr>
      <w:bookmarkStart w:id="24" w:name="_Toc203627768"/>
      <w:r w:rsidRPr="0074636D">
        <w:rPr>
          <w:rtl/>
        </w:rPr>
        <w:t>٣. المتغيرات الديموغرافية ومتغيرات الضبط</w:t>
      </w:r>
      <w:bookmarkEnd w:id="24"/>
    </w:p>
    <w:p w14:paraId="5266AD4B" w14:textId="78E6269C" w:rsidR="0074636D" w:rsidRPr="0074636D" w:rsidRDefault="0074636D" w:rsidP="00FC6F6E">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سيتضمن الاستبيان قسمًا تمهيديًا لجمع البيانات الديموغرافية، مثل</w:t>
      </w:r>
      <w:r w:rsidRPr="0074636D">
        <w:rPr>
          <w:rFonts w:ascii="Simplified Arabic" w:hAnsi="Simplified Arabic" w:cs="Simplified Arabic" w:hint="cs"/>
          <w:sz w:val="24"/>
          <w:szCs w:val="24"/>
          <w:rtl/>
        </w:rPr>
        <w:t xml:space="preserve"> </w:t>
      </w:r>
      <w:r w:rsidRPr="0074636D">
        <w:rPr>
          <w:rFonts w:ascii="Simplified Arabic" w:hAnsi="Simplified Arabic" w:cs="Simplified Arabic"/>
          <w:sz w:val="24"/>
          <w:szCs w:val="24"/>
          <w:rtl/>
        </w:rPr>
        <w:t>المنصب الوظيفي</w:t>
      </w:r>
      <w:r w:rsidRPr="0074636D">
        <w:rPr>
          <w:rFonts w:ascii="Simplified Arabic" w:hAnsi="Simplified Arabic" w:cs="Simplified Arabic" w:hint="cs"/>
          <w:sz w:val="24"/>
          <w:szCs w:val="24"/>
          <w:rtl/>
        </w:rPr>
        <w:t xml:space="preserve"> و </w:t>
      </w:r>
      <w:r w:rsidRPr="0074636D">
        <w:rPr>
          <w:rFonts w:ascii="Simplified Arabic" w:hAnsi="Simplified Arabic" w:cs="Simplified Arabic"/>
          <w:sz w:val="24"/>
          <w:szCs w:val="24"/>
          <w:rtl/>
        </w:rPr>
        <w:t>سنوات الخبرة</w:t>
      </w:r>
      <w:r w:rsidRPr="0074636D">
        <w:rPr>
          <w:rFonts w:ascii="Simplified Arabic" w:hAnsi="Simplified Arabic" w:cs="Simplified Arabic" w:hint="cs"/>
          <w:sz w:val="24"/>
          <w:szCs w:val="24"/>
          <w:rtl/>
        </w:rPr>
        <w:t xml:space="preserve"> و </w:t>
      </w:r>
      <w:r w:rsidRPr="0074636D">
        <w:rPr>
          <w:rFonts w:ascii="Simplified Arabic" w:hAnsi="Simplified Arabic" w:cs="Simplified Arabic"/>
          <w:sz w:val="24"/>
          <w:szCs w:val="24"/>
          <w:rtl/>
        </w:rPr>
        <w:t>نوع القطاع</w:t>
      </w:r>
      <w:r w:rsidRPr="0074636D">
        <w:rPr>
          <w:rFonts w:ascii="Simplified Arabic" w:hAnsi="Simplified Arabic" w:cs="Simplified Arabic" w:hint="cs"/>
          <w:sz w:val="24"/>
          <w:szCs w:val="24"/>
          <w:rtl/>
        </w:rPr>
        <w:t xml:space="preserve"> و </w:t>
      </w:r>
      <w:r w:rsidRPr="0074636D">
        <w:rPr>
          <w:rFonts w:ascii="Simplified Arabic" w:hAnsi="Simplified Arabic" w:cs="Simplified Arabic"/>
          <w:sz w:val="24"/>
          <w:szCs w:val="24"/>
          <w:rtl/>
        </w:rPr>
        <w:t>المنطقة</w:t>
      </w:r>
      <w:r w:rsidRPr="0074636D">
        <w:rPr>
          <w:rFonts w:ascii="Simplified Arabic" w:hAnsi="Simplified Arabic" w:cs="Simplified Arabic" w:hint="cs"/>
          <w:sz w:val="24"/>
          <w:szCs w:val="24"/>
          <w:rtl/>
        </w:rPr>
        <w:t xml:space="preserve"> و </w:t>
      </w:r>
      <w:r w:rsidRPr="0074636D">
        <w:rPr>
          <w:rFonts w:ascii="Simplified Arabic" w:hAnsi="Simplified Arabic" w:cs="Simplified Arabic"/>
          <w:sz w:val="24"/>
          <w:szCs w:val="24"/>
          <w:rtl/>
        </w:rPr>
        <w:t>حجم المؤسسة</w:t>
      </w:r>
      <w:r w:rsidR="00FC6F6E">
        <w:rPr>
          <w:rFonts w:ascii="Simplified Arabic" w:hAnsi="Simplified Arabic" w:cs="Simplified Arabic"/>
          <w:sz w:val="24"/>
          <w:szCs w:val="24"/>
        </w:rPr>
        <w:t xml:space="preserve">. </w:t>
      </w:r>
      <w:r w:rsidRPr="0074636D">
        <w:rPr>
          <w:rFonts w:ascii="Simplified Arabic" w:hAnsi="Simplified Arabic" w:cs="Simplified Arabic"/>
          <w:sz w:val="24"/>
          <w:szCs w:val="24"/>
          <w:rtl/>
        </w:rPr>
        <w:t>ستساعد هذه المتغيرات في وضع النتائج في سياقها الصحيح، وتُمكّن من إجراء تحليل مقارن عبر سياقات تنظيمية مختلفة.</w:t>
      </w:r>
    </w:p>
    <w:p w14:paraId="1A6EA3B5" w14:textId="77777777" w:rsidR="0074636D" w:rsidRPr="0074636D" w:rsidRDefault="0074636D" w:rsidP="005F53DC">
      <w:pPr>
        <w:pStyle w:val="Heading2"/>
        <w:rPr>
          <w:rtl/>
        </w:rPr>
      </w:pPr>
      <w:bookmarkStart w:id="25" w:name="_Toc203627769"/>
      <w:r w:rsidRPr="0074636D">
        <w:rPr>
          <w:rtl/>
        </w:rPr>
        <w:t>٤. الاختبار التجريبي والتحقق</w:t>
      </w:r>
      <w:bookmarkEnd w:id="25"/>
    </w:p>
    <w:p w14:paraId="4B62A515" w14:textId="218B25BB" w:rsidR="00A74F76" w:rsidRPr="0074636D" w:rsidRDefault="0074636D" w:rsidP="0074636D">
      <w:pPr>
        <w:spacing w:line="360" w:lineRule="auto"/>
        <w:ind w:left="360"/>
        <w:jc w:val="both"/>
        <w:rPr>
          <w:rFonts w:ascii="Simplified Arabic" w:hAnsi="Simplified Arabic" w:cs="Simplified Arabic"/>
          <w:sz w:val="24"/>
          <w:szCs w:val="24"/>
          <w:rtl/>
        </w:rPr>
      </w:pPr>
      <w:r w:rsidRPr="0074636D">
        <w:rPr>
          <w:rFonts w:ascii="Simplified Arabic" w:hAnsi="Simplified Arabic" w:cs="Simplified Arabic"/>
          <w:sz w:val="24"/>
          <w:szCs w:val="24"/>
          <w:rtl/>
        </w:rPr>
        <w:t>قبل النشر الكامل، سيخضع الاستبيان لاختبار تجريبي مع مجموعة صغيرة من المشاركين (١٠-١٥ مشاركًا) لتقييم الوضوح والتوقيت والموثوقية الأولية. سيتم تقييم الاتساق الداخلي باستخدام معامل ألفا كرونباخ، وسيتم إجراء التعديلات بناءً على الملاحظات.</w:t>
      </w:r>
    </w:p>
    <w:p w14:paraId="466A5D0B" w14:textId="035DC475" w:rsidR="00D22171" w:rsidRDefault="00773CA6" w:rsidP="005F53DC">
      <w:pPr>
        <w:pStyle w:val="Heading1"/>
        <w:rPr>
          <w:rtl/>
        </w:rPr>
      </w:pPr>
      <w:bookmarkStart w:id="26" w:name="_Toc203627770"/>
      <w:r>
        <w:rPr>
          <w:rFonts w:hint="cs"/>
          <w:rtl/>
        </w:rPr>
        <w:t>11.1.</w:t>
      </w:r>
      <w:r w:rsidR="00A74F76">
        <w:rPr>
          <w:rFonts w:hint="cs"/>
          <w:rtl/>
        </w:rPr>
        <w:t>حدود</w:t>
      </w:r>
      <w:r w:rsidR="00D22171" w:rsidRPr="00D22171">
        <w:rPr>
          <w:rtl/>
        </w:rPr>
        <w:t xml:space="preserve"> الدراسة </w:t>
      </w:r>
      <w:r w:rsidR="00A74F76">
        <w:rPr>
          <w:rFonts w:hint="cs"/>
          <w:rtl/>
        </w:rPr>
        <w:t>:</w:t>
      </w:r>
      <w:bookmarkEnd w:id="26"/>
    </w:p>
    <w:p w14:paraId="614880CF" w14:textId="77777777" w:rsidR="0074636D" w:rsidRPr="0074636D" w:rsidRDefault="0074636D" w:rsidP="005F53DC">
      <w:pPr>
        <w:pStyle w:val="Heading2"/>
        <w:rPr>
          <w:rtl/>
        </w:rPr>
      </w:pPr>
      <w:bookmarkStart w:id="27" w:name="_Toc203627771"/>
      <w:r w:rsidRPr="0074636D">
        <w:rPr>
          <w:rtl/>
        </w:rPr>
        <w:t>١. حدود الدراسة (نطاق الدراسة):</w:t>
      </w:r>
      <w:bookmarkEnd w:id="27"/>
    </w:p>
    <w:p w14:paraId="18FAFE9D" w14:textId="3941ABFC" w:rsidR="0074636D" w:rsidRPr="00FC6F6E" w:rsidRDefault="0074636D" w:rsidP="00FC6F6E">
      <w:pPr>
        <w:spacing w:line="360" w:lineRule="auto"/>
        <w:ind w:left="360"/>
        <w:jc w:val="both"/>
        <w:rPr>
          <w:rFonts w:ascii="Simplified Arabic" w:hAnsi="Simplified Arabic" w:cs="Simplified Arabic"/>
          <w:sz w:val="24"/>
          <w:szCs w:val="24"/>
          <w:rtl/>
        </w:rPr>
      </w:pPr>
      <w:r w:rsidRPr="00FC6F6E">
        <w:rPr>
          <w:rFonts w:ascii="Simplified Arabic" w:hAnsi="Simplified Arabic" w:cs="Simplified Arabic"/>
          <w:sz w:val="24"/>
          <w:szCs w:val="24"/>
          <w:rtl/>
        </w:rPr>
        <w:t>تخضع هذه الدراسة لعدة حدود تُحدد نطاقها وتركيزها المقصود:النطاق الجغرافي: تقتصر الدراسة على المؤسسات الصناعية العاملة في المملكة العربية السعودية، وخاصةً تلك التي تتوافق مع أهداف رؤية ٢٠٣٠ فيما يتعلق بتطوير سلسلة التوريد.التركيز القطاعي: يركز البحث على القطاعات الصناعية مثل التصنيع والخدمات اللوجستية والبتروكيماويات والصناعات ذات الصلة التي تعتمد بشكل كبير على سلسلة التوريد، باستثناء قطاعي الخدمات والتجزئة.الفئات المستهدفة: تستهدف الدراسة المديرين والمشرفين ومحترفي سلسلة التوريد المشاركين في صنع القرارات الاستراتيجية والتشغيلية داخل مؤسساتهم.التركيز النظري: تستند الدراسة إلى نظرية القيادة التحويلية، ولا تأخذ في الاعتبار أنماط القيادة الأخرى مثل القيادة التبادلية أو القيادة الخدمية، على الرغم من أن هذه الأنماط قد تؤثر أيضًا على الأداء.بعد الأداء: تتناول الدراسة تحديدًا كفاءة سلسلة التوريد، ولا تمتد إلى مقاييس أوسع مثل استدامة سلسلة التوريد أو مرونتها.</w:t>
      </w:r>
    </w:p>
    <w:p w14:paraId="43D63AC3" w14:textId="77777777" w:rsidR="0074636D" w:rsidRPr="0074636D" w:rsidRDefault="0074636D" w:rsidP="005F53DC">
      <w:pPr>
        <w:pStyle w:val="Heading2"/>
        <w:rPr>
          <w:rtl/>
        </w:rPr>
      </w:pPr>
      <w:bookmarkStart w:id="28" w:name="_Toc203627772"/>
      <w:r w:rsidRPr="0074636D">
        <w:rPr>
          <w:rtl/>
        </w:rPr>
        <w:t>٢. القيود (المُعوِّقات المُحتملة):</w:t>
      </w:r>
      <w:bookmarkEnd w:id="28"/>
    </w:p>
    <w:p w14:paraId="355A6181" w14:textId="62B7087A" w:rsidR="0074636D" w:rsidRPr="00FC6F6E" w:rsidRDefault="0074636D" w:rsidP="00FC6F6E">
      <w:pPr>
        <w:spacing w:line="360" w:lineRule="auto"/>
        <w:ind w:left="360"/>
        <w:jc w:val="both"/>
        <w:rPr>
          <w:rFonts w:ascii="Simplified Arabic" w:hAnsi="Simplified Arabic" w:cs="Simplified Arabic"/>
          <w:sz w:val="24"/>
          <w:szCs w:val="24"/>
          <w:rtl/>
        </w:rPr>
      </w:pPr>
      <w:r w:rsidRPr="00FC6F6E">
        <w:rPr>
          <w:rFonts w:ascii="Simplified Arabic" w:hAnsi="Simplified Arabic" w:cs="Simplified Arabic"/>
          <w:sz w:val="24"/>
          <w:szCs w:val="24"/>
          <w:rtl/>
        </w:rPr>
        <w:t>مع بذل كل جهد ممكن لضمان دقة البحث، قد تؤثر بعض القيود على تفسير النتائج:قابلية التعميم: نظرًا لاقتصار العينة على شركات صناعية سعودية مُختارة، فقد لا تكون النتائج قابلة للتعميم على جميع القطاعات أو المناطق داخل المملكة أو دوليًا.البيانات المُبلَّغ عنها ذاتيًا: قد يُؤدي استخدام استبيان مُعبأ ذاتيًا إلى تحيز في الاستجابة، حيث قد يُبالغ المشاركون في تقدير ممارساتهم القيادية أو مقاييس أدائهم أو يُقلِّلون من شأنها.</w:t>
      </w:r>
    </w:p>
    <w:p w14:paraId="0D993F83" w14:textId="5A5DFCC5" w:rsidR="00A74F76" w:rsidRDefault="0074636D" w:rsidP="00FC6F6E">
      <w:pPr>
        <w:spacing w:line="360" w:lineRule="auto"/>
        <w:ind w:left="360"/>
        <w:jc w:val="both"/>
        <w:rPr>
          <w:rFonts w:ascii="Simplified Arabic" w:hAnsi="Simplified Arabic" w:cs="Simplified Arabic"/>
          <w:sz w:val="24"/>
          <w:szCs w:val="24"/>
        </w:rPr>
      </w:pPr>
      <w:r w:rsidRPr="00FC6F6E">
        <w:rPr>
          <w:rFonts w:ascii="Simplified Arabic" w:hAnsi="Simplified Arabic" w:cs="Simplified Arabic"/>
          <w:sz w:val="24"/>
          <w:szCs w:val="24"/>
          <w:rtl/>
        </w:rPr>
        <w:t>التصميم المقطعي: تعتمد الدراسة تصميمًا مقطعيًا، يجمع البيانات في نقطة زمنية مُحددة. هذا يُحد من القدرة على إثبات السببية أو مُلاحظة التغييرات بمرور الوقت.العوامل الثقافية: قد تؤثر المعايير الثقافية والتنظيمية الخاصة بالمملكة العربية السعودية على سلوكيات القيادة وممارسات سلسلة التوريد، مما قد يؤثر على قابلية تطبيق النظريات العالمية في السياق المحلي.وعلى الرغم من هذه القيود، تهدف الدراسة إلى تقديم رؤى قيمة حول التفاعل بين أسلوب القيادة والأداء التشغيلي، ووضع الأساس للبحوث الطولية أو المقارنة في المستقبل.</w:t>
      </w:r>
    </w:p>
    <w:p w14:paraId="0F3EA6EE" w14:textId="77777777" w:rsidR="00A36FDC" w:rsidRDefault="00A36FDC" w:rsidP="00FC6F6E">
      <w:pPr>
        <w:spacing w:line="360" w:lineRule="auto"/>
        <w:ind w:left="360"/>
        <w:jc w:val="both"/>
        <w:rPr>
          <w:rFonts w:ascii="Simplified Arabic" w:hAnsi="Simplified Arabic" w:cs="Simplified Arabic"/>
          <w:sz w:val="24"/>
          <w:szCs w:val="24"/>
        </w:rPr>
      </w:pPr>
    </w:p>
    <w:p w14:paraId="7196A950" w14:textId="77777777" w:rsidR="00A36FDC" w:rsidRDefault="00A36FDC" w:rsidP="00FC6F6E">
      <w:pPr>
        <w:spacing w:line="360" w:lineRule="auto"/>
        <w:ind w:left="360"/>
        <w:jc w:val="both"/>
        <w:rPr>
          <w:rFonts w:ascii="Simplified Arabic" w:hAnsi="Simplified Arabic" w:cs="Simplified Arabic"/>
          <w:sz w:val="24"/>
          <w:szCs w:val="24"/>
        </w:rPr>
      </w:pPr>
    </w:p>
    <w:p w14:paraId="47D60010" w14:textId="77777777" w:rsidR="00A36FDC" w:rsidRDefault="00A36FDC" w:rsidP="00FC6F6E">
      <w:pPr>
        <w:spacing w:line="360" w:lineRule="auto"/>
        <w:ind w:left="360"/>
        <w:jc w:val="both"/>
        <w:rPr>
          <w:rFonts w:ascii="Simplified Arabic" w:hAnsi="Simplified Arabic" w:cs="Simplified Arabic"/>
          <w:sz w:val="24"/>
          <w:szCs w:val="24"/>
        </w:rPr>
      </w:pPr>
    </w:p>
    <w:p w14:paraId="77CD359C" w14:textId="77777777" w:rsidR="00A36FDC" w:rsidRDefault="00A36FDC" w:rsidP="00FC6F6E">
      <w:pPr>
        <w:spacing w:line="360" w:lineRule="auto"/>
        <w:ind w:left="360"/>
        <w:jc w:val="both"/>
        <w:rPr>
          <w:rFonts w:ascii="Simplified Arabic" w:hAnsi="Simplified Arabic" w:cs="Simplified Arabic"/>
          <w:sz w:val="24"/>
          <w:szCs w:val="24"/>
        </w:rPr>
      </w:pPr>
    </w:p>
    <w:p w14:paraId="168E8CAC" w14:textId="77777777" w:rsidR="00A36FDC" w:rsidRDefault="00A36FDC" w:rsidP="00FC6F6E">
      <w:pPr>
        <w:spacing w:line="360" w:lineRule="auto"/>
        <w:ind w:left="360"/>
        <w:jc w:val="both"/>
        <w:rPr>
          <w:rFonts w:ascii="Simplified Arabic" w:hAnsi="Simplified Arabic" w:cs="Simplified Arabic"/>
          <w:sz w:val="24"/>
          <w:szCs w:val="24"/>
        </w:rPr>
      </w:pPr>
    </w:p>
    <w:p w14:paraId="75B764A5" w14:textId="77777777" w:rsidR="00A36FDC" w:rsidRDefault="00A36FDC" w:rsidP="00FC6F6E">
      <w:pPr>
        <w:spacing w:line="360" w:lineRule="auto"/>
        <w:ind w:left="360"/>
        <w:jc w:val="both"/>
        <w:rPr>
          <w:rFonts w:ascii="Simplified Arabic" w:hAnsi="Simplified Arabic" w:cs="Simplified Arabic"/>
          <w:sz w:val="24"/>
          <w:szCs w:val="24"/>
        </w:rPr>
      </w:pPr>
    </w:p>
    <w:p w14:paraId="179CF6B2" w14:textId="77777777" w:rsidR="00A36FDC" w:rsidRDefault="00A36FDC" w:rsidP="00FC6F6E">
      <w:pPr>
        <w:spacing w:line="360" w:lineRule="auto"/>
        <w:ind w:left="360"/>
        <w:jc w:val="both"/>
        <w:rPr>
          <w:rFonts w:ascii="Simplified Arabic" w:hAnsi="Simplified Arabic" w:cs="Simplified Arabic"/>
          <w:sz w:val="24"/>
          <w:szCs w:val="24"/>
        </w:rPr>
      </w:pPr>
    </w:p>
    <w:p w14:paraId="7BB0BBBD" w14:textId="77777777" w:rsidR="00A36FDC" w:rsidRDefault="00A36FDC" w:rsidP="00FC6F6E">
      <w:pPr>
        <w:spacing w:line="360" w:lineRule="auto"/>
        <w:ind w:left="360"/>
        <w:jc w:val="both"/>
        <w:rPr>
          <w:rFonts w:ascii="Simplified Arabic" w:hAnsi="Simplified Arabic" w:cs="Simplified Arabic"/>
          <w:sz w:val="24"/>
          <w:szCs w:val="24"/>
        </w:rPr>
      </w:pPr>
    </w:p>
    <w:p w14:paraId="5354CB8E" w14:textId="77777777" w:rsidR="00A36FDC" w:rsidRDefault="00A36FDC" w:rsidP="00FC6F6E">
      <w:pPr>
        <w:spacing w:line="360" w:lineRule="auto"/>
        <w:ind w:left="360"/>
        <w:jc w:val="both"/>
        <w:rPr>
          <w:rFonts w:ascii="Simplified Arabic" w:hAnsi="Simplified Arabic" w:cs="Simplified Arabic"/>
          <w:sz w:val="24"/>
          <w:szCs w:val="24"/>
        </w:rPr>
      </w:pPr>
    </w:p>
    <w:p w14:paraId="7DF0838E" w14:textId="77777777" w:rsidR="00A36FDC" w:rsidRDefault="00A36FDC" w:rsidP="00FC6F6E">
      <w:pPr>
        <w:spacing w:line="360" w:lineRule="auto"/>
        <w:ind w:left="360"/>
        <w:jc w:val="both"/>
        <w:rPr>
          <w:rFonts w:ascii="Simplified Arabic" w:hAnsi="Simplified Arabic" w:cs="Simplified Arabic"/>
          <w:sz w:val="24"/>
          <w:szCs w:val="24"/>
        </w:rPr>
      </w:pPr>
    </w:p>
    <w:p w14:paraId="698816A0" w14:textId="77777777" w:rsidR="00A36FDC" w:rsidRDefault="00A36FDC" w:rsidP="00FC6F6E">
      <w:pPr>
        <w:spacing w:line="360" w:lineRule="auto"/>
        <w:ind w:left="360"/>
        <w:jc w:val="both"/>
        <w:rPr>
          <w:rFonts w:ascii="Simplified Arabic" w:hAnsi="Simplified Arabic" w:cs="Simplified Arabic"/>
          <w:sz w:val="24"/>
          <w:szCs w:val="24"/>
        </w:rPr>
      </w:pPr>
    </w:p>
    <w:p w14:paraId="7DD6EEEA" w14:textId="77777777" w:rsidR="00A36FDC" w:rsidRDefault="00A36FDC" w:rsidP="00FC6F6E">
      <w:pPr>
        <w:spacing w:line="360" w:lineRule="auto"/>
        <w:ind w:left="360"/>
        <w:jc w:val="both"/>
        <w:rPr>
          <w:rFonts w:ascii="Simplified Arabic" w:hAnsi="Simplified Arabic" w:cs="Simplified Arabic"/>
          <w:sz w:val="24"/>
          <w:szCs w:val="24"/>
        </w:rPr>
      </w:pPr>
    </w:p>
    <w:p w14:paraId="3998863D" w14:textId="77777777" w:rsidR="00A36FDC" w:rsidRDefault="00A36FDC" w:rsidP="00FC6F6E">
      <w:pPr>
        <w:spacing w:line="360" w:lineRule="auto"/>
        <w:ind w:left="360"/>
        <w:jc w:val="both"/>
        <w:rPr>
          <w:rFonts w:ascii="Simplified Arabic" w:hAnsi="Simplified Arabic" w:cs="Simplified Arabic"/>
          <w:sz w:val="24"/>
          <w:szCs w:val="24"/>
        </w:rPr>
      </w:pPr>
    </w:p>
    <w:p w14:paraId="2B62961F" w14:textId="77777777" w:rsidR="00A36FDC" w:rsidRDefault="00A36FDC" w:rsidP="00FC6F6E">
      <w:pPr>
        <w:spacing w:line="360" w:lineRule="auto"/>
        <w:ind w:left="360"/>
        <w:jc w:val="both"/>
        <w:rPr>
          <w:rFonts w:ascii="Simplified Arabic" w:hAnsi="Simplified Arabic" w:cs="Simplified Arabic"/>
          <w:sz w:val="24"/>
          <w:szCs w:val="24"/>
        </w:rPr>
      </w:pPr>
    </w:p>
    <w:p w14:paraId="0025F370" w14:textId="6E166735" w:rsidR="00A36FDC" w:rsidRDefault="00243324" w:rsidP="00627DBE">
      <w:pPr>
        <w:pStyle w:val="Heading1"/>
        <w:jc w:val="center"/>
        <w:rPr>
          <w:rFonts w:hint="cs"/>
          <w:rtl/>
        </w:rPr>
      </w:pPr>
      <w:bookmarkStart w:id="29" w:name="_Toc203627773"/>
      <w:r>
        <w:rPr>
          <w:rFonts w:hint="cs"/>
          <w:rtl/>
        </w:rPr>
        <w:t>2.</w:t>
      </w:r>
      <w:r w:rsidR="00A36FDC">
        <w:rPr>
          <w:rFonts w:hint="cs"/>
          <w:rtl/>
        </w:rPr>
        <w:t>الفصل الثانى</w:t>
      </w:r>
      <w:r w:rsidR="00EE19F6">
        <w:t xml:space="preserve">: </w:t>
      </w:r>
      <w:r w:rsidR="00EE19F6">
        <w:rPr>
          <w:rFonts w:hint="cs"/>
          <w:rtl/>
        </w:rPr>
        <w:t>الاطار النظرى للدراسة</w:t>
      </w:r>
      <w:bookmarkEnd w:id="29"/>
    </w:p>
    <w:p w14:paraId="4371791B" w14:textId="573656BD" w:rsidR="00A36FDC" w:rsidRPr="00A36FDC" w:rsidRDefault="00627DBE" w:rsidP="00EE19F6">
      <w:pPr>
        <w:pStyle w:val="Heading2"/>
        <w:rPr>
          <w:rtl/>
        </w:rPr>
      </w:pPr>
      <w:bookmarkStart w:id="30" w:name="_Toc203627774"/>
      <w:r>
        <w:rPr>
          <w:rFonts w:hint="cs"/>
          <w:rtl/>
        </w:rPr>
        <w:t>1.2.</w:t>
      </w:r>
      <w:r w:rsidR="00A36FDC" w:rsidRPr="00A36FDC">
        <w:rPr>
          <w:rtl/>
        </w:rPr>
        <w:t>مقدمة في القيادة التحويلية</w:t>
      </w:r>
      <w:r>
        <w:rPr>
          <w:rFonts w:hint="cs"/>
          <w:rtl/>
        </w:rPr>
        <w:t>:</w:t>
      </w:r>
      <w:bookmarkEnd w:id="30"/>
    </w:p>
    <w:p w14:paraId="733FD0D4" w14:textId="708FC99C" w:rsidR="00A36FDC" w:rsidRPr="00627DBE" w:rsidRDefault="00627DBE" w:rsidP="00627DBE">
      <w:pPr>
        <w:pStyle w:val="Heading3"/>
        <w:bidi/>
        <w:rPr>
          <w:sz w:val="24"/>
          <w:szCs w:val="24"/>
          <w:rtl/>
        </w:rPr>
      </w:pPr>
      <w:r w:rsidRPr="00627DBE">
        <w:rPr>
          <w:rFonts w:hint="cs"/>
          <w:sz w:val="24"/>
          <w:szCs w:val="24"/>
          <w:rtl/>
        </w:rPr>
        <w:t xml:space="preserve"> </w:t>
      </w:r>
      <w:bookmarkStart w:id="31" w:name="_Toc203627775"/>
      <w:r w:rsidRPr="00627DBE">
        <w:rPr>
          <w:rFonts w:hint="cs"/>
          <w:sz w:val="24"/>
          <w:szCs w:val="24"/>
          <w:rtl/>
        </w:rPr>
        <w:t>1.1.2.</w:t>
      </w:r>
      <w:r w:rsidR="00A36FDC" w:rsidRPr="00627DBE">
        <w:rPr>
          <w:sz w:val="24"/>
          <w:szCs w:val="24"/>
          <w:rtl/>
        </w:rPr>
        <w:t>تعريف المفهوم وتطوره</w:t>
      </w:r>
      <w:r>
        <w:rPr>
          <w:rFonts w:hint="cs"/>
          <w:sz w:val="24"/>
          <w:szCs w:val="24"/>
          <w:rtl/>
        </w:rPr>
        <w:t>:</w:t>
      </w:r>
      <w:bookmarkEnd w:id="31"/>
    </w:p>
    <w:p w14:paraId="0C5C6E41" w14:textId="1DBD109D" w:rsidR="00A36FDC" w:rsidRDefault="00DD0C9D" w:rsidP="00627DBE">
      <w:pPr>
        <w:spacing w:line="360" w:lineRule="auto"/>
        <w:ind w:left="360"/>
        <w:jc w:val="both"/>
        <w:rPr>
          <w:rFonts w:ascii="Simplified Arabic" w:hAnsi="Simplified Arabic" w:cs="Simplified Arabic"/>
          <w:sz w:val="24"/>
          <w:szCs w:val="24"/>
          <w:rtl/>
        </w:rPr>
      </w:pPr>
      <w:r>
        <w:rPr>
          <w:rFonts w:ascii="Simplified Arabic" w:hAnsi="Simplified Arabic" w:cs="Simplified Arabic"/>
          <w:sz w:val="24"/>
          <w:szCs w:val="24"/>
        </w:rPr>
        <w:t xml:space="preserve"> </w:t>
      </w:r>
      <w:r w:rsidRPr="00DD0C9D">
        <w:rPr>
          <w:rFonts w:ascii="Simplified Arabic" w:hAnsi="Simplified Arabic" w:cs="Simplified Arabic"/>
          <w:sz w:val="24"/>
          <w:szCs w:val="24"/>
          <w:rtl/>
        </w:rPr>
        <w:t>القيادة التحويلية هي نهج قيادي يسعى إلى الارتقاء بدافعية المرؤوسين وأدائهم ومعاييرهم الأخلاقية، من خلال استحضار مُثُل عليا ومواءمة الأهداف الفردية مع رؤية المنظمة. وهي تتناقض مع القيادة التبادلية التي تُركز على التبادلات والمكافآت المشروطة. وبدلاً من ذلك، تُعزز القيادة التحويلية الالتزام من خلال الكاريزما والإلهام والتحفيز الفكري والدعم الفردي (باس وريجيو، 2006). ويُنسب الفضل في كثير من الأحيان إلى هذا النوع من القيادة في دفع عجلة الابتكار والتغيير الاستراتيجي داخل المنظمات، لا سيما في البيئات المعقدة والديناميكية.</w:t>
      </w:r>
      <w:r w:rsidR="00627DBE">
        <w:rPr>
          <w:rFonts w:ascii="Simplified Arabic" w:hAnsi="Simplified Arabic" w:cs="Simplified Arabic" w:hint="cs"/>
          <w:sz w:val="24"/>
          <w:szCs w:val="24"/>
          <w:rtl/>
        </w:rPr>
        <w:t xml:space="preserve"> </w:t>
      </w:r>
      <w:r w:rsidRPr="00DD0C9D">
        <w:rPr>
          <w:rFonts w:ascii="Simplified Arabic" w:hAnsi="Simplified Arabic" w:cs="Simplified Arabic"/>
          <w:sz w:val="24"/>
          <w:szCs w:val="24"/>
          <w:rtl/>
        </w:rPr>
        <w:t>قدم جيمس ماكجريجور بيرنز (1978) أصل القيادة التحويلية كمفهوم نظري، حيث عرّفها بأنها عملية يرتقي فيها القادة والأتباع ببعضهم البعض إلى مستويات أخلاقية وتحفيزية أعلى. وأكد بيرنز على القيم والأخلاق والرؤية، مما ميز القيادة التحويلية عن النماذج السابقة التي ركزت على إنجاز المهام والسلطة. استند مفهومه إلى القيادة السياسية، ولكنه عُدِّل لاحقًا ليناسب البيئات التنظيمية نظرًا لجاذبيته العالمية في تسهيل التغيير الإيجابي.</w:t>
      </w:r>
      <w:r w:rsidR="00627DBE">
        <w:rPr>
          <w:rFonts w:ascii="Simplified Arabic" w:hAnsi="Simplified Arabic" w:cs="Simplified Arabic" w:hint="cs"/>
          <w:sz w:val="24"/>
          <w:szCs w:val="24"/>
          <w:rtl/>
        </w:rPr>
        <w:t>و</w:t>
      </w:r>
      <w:r w:rsidRPr="00DD0C9D">
        <w:rPr>
          <w:rFonts w:ascii="Simplified Arabic" w:hAnsi="Simplified Arabic" w:cs="Simplified Arabic"/>
          <w:sz w:val="24"/>
          <w:szCs w:val="24"/>
          <w:rtl/>
        </w:rPr>
        <w:t>قام برنارد م. باس (1985) بتوسيع نظرية بيرنز بشكل كبير، مُحسّنًا إياها للاختبار التجريبي والتطبيق. اقترح باس أن القادة التحويليين يؤثرون على أتباعهم من خلال: (1) العمل كقدوة (التأثير المثالي)، (2) صياغة رؤية مُقنعة (التحفيز المُلهم)، (3) تشجيع الإبداع والتفكير النقدي (التحفيز الفكري)، و(4) الاهتمام باحتياجات الأفراد وتطورهم (الاهتمام الفردي). كما قدّم باس استبيان القيادة متعددة العوامل (</w:t>
      </w:r>
      <w:r w:rsidRPr="00DD0C9D">
        <w:rPr>
          <w:rFonts w:ascii="Simplified Arabic" w:hAnsi="Simplified Arabic" w:cs="Simplified Arabic"/>
          <w:sz w:val="24"/>
          <w:szCs w:val="24"/>
        </w:rPr>
        <w:t>MLQ</w:t>
      </w:r>
      <w:r w:rsidRPr="00DD0C9D">
        <w:rPr>
          <w:rFonts w:ascii="Simplified Arabic" w:hAnsi="Simplified Arabic" w:cs="Simplified Arabic"/>
          <w:sz w:val="24"/>
          <w:szCs w:val="24"/>
          <w:rtl/>
        </w:rPr>
        <w:t>) كأداة لتقييم سلوكيات القيادة كميًا، مُرسّخًا بذلك دراسة القيادة التحويلية عبر التخصصات.</w:t>
      </w:r>
      <w:r w:rsidR="00627DBE">
        <w:rPr>
          <w:rFonts w:ascii="Simplified Arabic" w:hAnsi="Simplified Arabic" w:cs="Simplified Arabic" w:hint="cs"/>
          <w:sz w:val="24"/>
          <w:szCs w:val="24"/>
          <w:rtl/>
        </w:rPr>
        <w:t xml:space="preserve"> </w:t>
      </w:r>
      <w:r w:rsidRPr="00DD0C9D">
        <w:rPr>
          <w:rFonts w:ascii="Simplified Arabic" w:hAnsi="Simplified Arabic" w:cs="Simplified Arabic"/>
          <w:sz w:val="24"/>
          <w:szCs w:val="24"/>
          <w:rtl/>
        </w:rPr>
        <w:t>على مر السنين، تطورت القيادة التحويلية لتصبح نموذجًا سائدًا لفهم القيادة الفعالة في القرن الحادي والعشرين. وتجاوزت أهميتها النظرية لتشمل الممارسة، لا سيما في قطاعات مثل التعليم والرعاية الصحية والإدارة العامة وإدارة سلسلة التوريد. وقد جعلتها قدرتها على التكيف مع البيئات متعددة الثقافات والمتغيرة بسرعة جذابة للباحثين والممارسين على حد سواء (نورثهاوس، 2018).</w:t>
      </w:r>
      <w:r w:rsidR="00627DBE">
        <w:rPr>
          <w:rFonts w:ascii="Simplified Arabic" w:hAnsi="Simplified Arabic" w:cs="Simplified Arabic" w:hint="cs"/>
          <w:sz w:val="24"/>
          <w:szCs w:val="24"/>
          <w:rtl/>
        </w:rPr>
        <w:t xml:space="preserve">وايضا </w:t>
      </w:r>
      <w:r w:rsidRPr="00DD0C9D">
        <w:rPr>
          <w:rFonts w:ascii="Simplified Arabic" w:hAnsi="Simplified Arabic" w:cs="Simplified Arabic"/>
          <w:sz w:val="24"/>
          <w:szCs w:val="24"/>
          <w:rtl/>
        </w:rPr>
        <w:t>على وجه الخصوص، ترتبط القيادة التحويلية بشكل متزايد بالمرونة التنظيمية، والتوجه نحو التعلم، والقدرة على التكيف الاستراتيجي (يوكل، ٢٠١٣). وعلى عكس الأساليب السلطوية التقليدية، تُمكّن القيادة التحويلية القادة من تعزيز التعاون، واتخاذ القرارات اللامركزية، والابتكار. وهذا يجعلها مناسبة بشكل خاص في سياقات سلسلة التوريد حيث يتعين على القادة تنسيق العمليات المعقدة عبر الوظائف والمناطق الجغرافية.</w:t>
      </w:r>
      <w:r w:rsidR="00627DBE">
        <w:rPr>
          <w:rFonts w:ascii="Simplified Arabic" w:hAnsi="Simplified Arabic" w:cs="Simplified Arabic" w:hint="cs"/>
          <w:sz w:val="24"/>
          <w:szCs w:val="24"/>
          <w:rtl/>
        </w:rPr>
        <w:t xml:space="preserve"> </w:t>
      </w:r>
      <w:r w:rsidRPr="00DD0C9D">
        <w:rPr>
          <w:rFonts w:ascii="Simplified Arabic" w:hAnsi="Simplified Arabic" w:cs="Simplified Arabic"/>
          <w:sz w:val="24"/>
          <w:szCs w:val="24"/>
          <w:rtl/>
        </w:rPr>
        <w:t>وقد أكدت العديد من الدراسات التجريبية الآثار الإيجابية للقيادة التحويلية على نتائج الموظفين، مثل الرضا الوظيفي، والالتزام التنظيمي، والابتكار. فعلى سبيل المثال، وجد بودساكوف وآخرون (١٩٩٦) ارتباطات قوية بين السلوكيات التحويلية وأداء المرؤوسين. علاوة على ذلك، تشير الدراسات عبر الثقافات إلى إمكانية تطبيق القيادة التحويلية بنجاح في السياقات غير الغربية، بما في ذلك الشرق الأوسط، حيث تتحول نماذج القيادة تدريجيًا نحو مناهج أكثر تشاركية وتمكينًا (الفريح وآخرون، ٢٠١٨).</w:t>
      </w:r>
      <w:r w:rsidR="00627DBE">
        <w:rPr>
          <w:rFonts w:ascii="Simplified Arabic" w:hAnsi="Simplified Arabic" w:cs="Simplified Arabic" w:hint="cs"/>
          <w:sz w:val="24"/>
          <w:szCs w:val="24"/>
          <w:rtl/>
        </w:rPr>
        <w:t>ولقد</w:t>
      </w:r>
      <w:r w:rsidRPr="00DD0C9D">
        <w:rPr>
          <w:rFonts w:ascii="Simplified Arabic" w:hAnsi="Simplified Arabic" w:cs="Simplified Arabic"/>
          <w:sz w:val="24"/>
          <w:szCs w:val="24"/>
          <w:rtl/>
        </w:rPr>
        <w:t xml:space="preserve"> تطورت القيادة التحويلية من فكرة فلسفية مجردة إلى نموذج قيادة مُختبر على نطاق واسع ومُطبق عمليًا. ويتماشى تركيزها على الرؤية والتمكين والابتكار بشكل جيد مع احتياجات المنظمات الحديثة - وخاصة في القطاع الصناعي في المملكة العربية السعودية، الذي يخضع للتحول في ظل رؤية 2030. وتستكشف هذه الدراسة كيف يمكن الاستفادة من القيادة التحويلية لتعزيز كفاءة سلسلة التوريد والقدرة التنافسية التنظيمية في هذا السياق.</w:t>
      </w:r>
    </w:p>
    <w:p w14:paraId="0EDE4C22" w14:textId="0816DFAE" w:rsidR="00DD0C9D" w:rsidRPr="00627DBE" w:rsidRDefault="00627DBE" w:rsidP="00627DBE">
      <w:pPr>
        <w:pStyle w:val="Heading3"/>
        <w:bidi/>
        <w:rPr>
          <w:sz w:val="24"/>
          <w:szCs w:val="24"/>
          <w:rtl/>
        </w:rPr>
      </w:pPr>
      <w:bookmarkStart w:id="32" w:name="_Toc203627776"/>
      <w:r w:rsidRPr="00627DBE">
        <w:rPr>
          <w:rFonts w:hint="cs"/>
          <w:sz w:val="24"/>
          <w:szCs w:val="24"/>
          <w:rtl/>
        </w:rPr>
        <w:t>2</w:t>
      </w:r>
      <w:r w:rsidR="00DD0C9D" w:rsidRPr="00627DBE">
        <w:rPr>
          <w:sz w:val="24"/>
          <w:szCs w:val="24"/>
          <w:rtl/>
        </w:rPr>
        <w:t>.</w:t>
      </w:r>
      <w:r w:rsidRPr="00627DBE">
        <w:rPr>
          <w:rFonts w:hint="cs"/>
          <w:sz w:val="24"/>
          <w:szCs w:val="24"/>
          <w:rtl/>
        </w:rPr>
        <w:t>1</w:t>
      </w:r>
      <w:r w:rsidR="00DD0C9D" w:rsidRPr="00627DBE">
        <w:rPr>
          <w:sz w:val="24"/>
          <w:szCs w:val="24"/>
          <w:rtl/>
        </w:rPr>
        <w:t>.</w:t>
      </w:r>
      <w:r w:rsidRPr="00627DBE">
        <w:rPr>
          <w:rFonts w:hint="cs"/>
          <w:sz w:val="24"/>
          <w:szCs w:val="24"/>
          <w:rtl/>
        </w:rPr>
        <w:t>2</w:t>
      </w:r>
      <w:r w:rsidR="00DD0C9D" w:rsidRPr="00627DBE">
        <w:rPr>
          <w:sz w:val="24"/>
          <w:szCs w:val="24"/>
          <w:rtl/>
        </w:rPr>
        <w:t>. الأبعاد الأساسية للقيادة التحويلية</w:t>
      </w:r>
      <w:r>
        <w:rPr>
          <w:rFonts w:hint="cs"/>
          <w:sz w:val="24"/>
          <w:szCs w:val="24"/>
          <w:rtl/>
        </w:rPr>
        <w:t>:</w:t>
      </w:r>
      <w:bookmarkEnd w:id="32"/>
    </w:p>
    <w:p w14:paraId="5C2E96CB" w14:textId="3DEF3362" w:rsidR="00DD0C9D" w:rsidRPr="00DD0C9D" w:rsidRDefault="00DD0C9D" w:rsidP="00DD0C9D">
      <w:pPr>
        <w:spacing w:line="360" w:lineRule="auto"/>
        <w:ind w:left="360"/>
        <w:rPr>
          <w:rFonts w:ascii="Simplified Arabic" w:hAnsi="Simplified Arabic" w:cs="Simplified Arabic"/>
          <w:sz w:val="24"/>
          <w:szCs w:val="24"/>
          <w:rtl/>
        </w:rPr>
      </w:pPr>
      <w:r w:rsidRPr="00DD0C9D">
        <w:rPr>
          <w:rFonts w:ascii="Simplified Arabic" w:hAnsi="Simplified Arabic" w:cs="Simplified Arabic"/>
          <w:sz w:val="24"/>
          <w:szCs w:val="24"/>
          <w:rtl/>
        </w:rPr>
        <w:t>تتميز القيادة التحويلية بأربعة عناصر متميزة ومترابطة، تُحدد قدرة القائد على إلهام أتباعه وتحفيزهم وتطويرهم. تُشكل هذه العناصر - التأثير المثالي، والدافع المُلهم، والتحفيز الفكري، والاعتبار الفردي - أساس النموذج الذي طوره باس وأفوليو (١٩٩٤). وتوضح هذه العناصر معًا كيف يُحقق القادة التحويليون أداءً وتفاعلًا عاليين من خلال مواءمة أهداف المنظمة مع القيم والدوافع الشخصية لأتباعهم.يشير التأثير المثالي إلى دور القائد كقدوة قوية يحظى بإعجاب واحترام وثقة أتباعه. يُظهر القادة الذين يُظهرون هذا السلوك معايير أخلاقية عالية، وقناعات راسخة، والتزامًا بالقيم المشتركة. ويكتسبون ثقة أتباعهم من خلال العمل باستمرار بطرق تعكس المُثل التنظيمية، مما يُعزز الثقة والتماهي العاطفي مع القائد (باس وريجيو، ٢٠٠٦). يُعد هذا العنصر أساسيًا في بناء المصداقية والسلطة الأخلاقية، لا سيما في البيئات الصناعية حيث غالبًا ما يتطلع العمال إلى الاتساق والإنصاف من قادتهم.</w:t>
      </w:r>
    </w:p>
    <w:p w14:paraId="192F87D1" w14:textId="77777777" w:rsidR="00DD0C9D" w:rsidRPr="00DD0C9D" w:rsidRDefault="00DD0C9D" w:rsidP="00DD0C9D">
      <w:pPr>
        <w:spacing w:line="360" w:lineRule="auto"/>
        <w:ind w:left="360"/>
        <w:rPr>
          <w:rFonts w:ascii="Simplified Arabic" w:hAnsi="Simplified Arabic" w:cs="Simplified Arabic"/>
          <w:sz w:val="24"/>
          <w:szCs w:val="24"/>
          <w:rtl/>
        </w:rPr>
      </w:pPr>
      <w:r w:rsidRPr="00DD0C9D">
        <w:rPr>
          <w:rFonts w:ascii="Simplified Arabic" w:hAnsi="Simplified Arabic" w:cs="Simplified Arabic"/>
          <w:sz w:val="24"/>
          <w:szCs w:val="24"/>
          <w:rtl/>
        </w:rPr>
        <w:t>الدافع المُلهم هو قدرة القادة على إيصال رؤية مُقنعة تُلهم الحماس والتفاؤل. يُعبّر القادة الذين يمارسون هذا السلوك عن أهداف مُستقبلية، ويستخدمون لغة تحفيزية، ويُعربون عن ثقتهم بقدرات فريقهم. هذا يُنشئ شعورًا بالهدف ويُحفّز المرؤوسين على بذل جهد إضافي. في سياق عمليات سلسلة التوريد، حيث غالبًا ما تكون المهام روتينية أو صعبة من الناحية الفنية، يُمكن للدافع المُلهم أن يُشجع الموظفين على مواءمة عملهم مع الأهداف التنظيمية الأوسع (نورثهاوس، 2018).</w:t>
      </w:r>
    </w:p>
    <w:p w14:paraId="4B980661" w14:textId="05BB80B1" w:rsidR="00A36FDC" w:rsidRDefault="00DD0C9D" w:rsidP="00627DBE">
      <w:pPr>
        <w:spacing w:line="360" w:lineRule="auto"/>
        <w:ind w:left="360"/>
        <w:rPr>
          <w:rFonts w:ascii="Simplified Arabic" w:hAnsi="Simplified Arabic" w:cs="Simplified Arabic"/>
          <w:sz w:val="24"/>
          <w:szCs w:val="24"/>
          <w:rtl/>
        </w:rPr>
      </w:pPr>
      <w:r w:rsidRPr="00DD0C9D">
        <w:rPr>
          <w:rFonts w:ascii="Simplified Arabic" w:hAnsi="Simplified Arabic" w:cs="Simplified Arabic"/>
          <w:sz w:val="24"/>
          <w:szCs w:val="24"/>
          <w:rtl/>
        </w:rPr>
        <w:t>التحفيز الفكري يشمل تشجيع المرؤوسين على التشكيك في الافتراضات، وإعادة صياغة المشكلات، والتعامل مع المواقف بطرق مُبتكرة. يتحدى القادة التحويليون الوضع الراهن ويدعمون المرؤوسين في التفكير الإبداعي والمستقل. يُعد هذا البعد ذا أهمية خاصة في البيئات سريعة الخطى أو غير المُستقرة - مثل إدارة سلسلة التوريد - حيث تُعدّ المرونة وحل المشكلات المُبتكر أمرًا أساسيًا. غالبًا ما يُعزز القادة الذين يُقدّرون التحفيز الفكري ثقافة التعلم والتحسين المستمر (يوكل، ٢٠١٣).</w:t>
      </w:r>
      <w:r w:rsidR="00627DBE">
        <w:rPr>
          <w:rFonts w:ascii="Simplified Arabic" w:hAnsi="Simplified Arabic" w:cs="Simplified Arabic" w:hint="cs"/>
          <w:sz w:val="24"/>
          <w:szCs w:val="24"/>
          <w:rtl/>
        </w:rPr>
        <w:t xml:space="preserve"> </w:t>
      </w:r>
      <w:r w:rsidRPr="00DD0C9D">
        <w:rPr>
          <w:rFonts w:ascii="Simplified Arabic" w:hAnsi="Simplified Arabic" w:cs="Simplified Arabic"/>
          <w:sz w:val="24"/>
          <w:szCs w:val="24"/>
          <w:rtl/>
        </w:rPr>
        <w:t>يُشير الاهتمام الفردي إلى مدى اهتمام القائد باحتياجات كل تابع للإنجاز والنمو والتطوير. يعمل القادة الذين يُظهرون اهتمامًا فرديًا كمرشدين أو مدربين، مُقدّمين ملاحظات شخصية ودعمًا لتطوير الموظفين. يُقدّرون المساهمات الفردية ويُتيحون فرصًا تُناسب نقاط القوة والطموحات الشخصية. هذا يُعزز الولاء والالتزام، وهما أمران مهمان لبناء فرق سلسلة توريد قوية وتعاونية (بودساكوف وآخرون، ١٩٩٦).</w:t>
      </w:r>
      <w:r w:rsidR="00627DBE">
        <w:rPr>
          <w:rFonts w:ascii="Simplified Arabic" w:hAnsi="Simplified Arabic" w:cs="Simplified Arabic" w:hint="cs"/>
          <w:sz w:val="24"/>
          <w:szCs w:val="24"/>
          <w:rtl/>
        </w:rPr>
        <w:t xml:space="preserve">وايضا </w:t>
      </w:r>
      <w:r w:rsidRPr="00DD0C9D">
        <w:rPr>
          <w:rFonts w:ascii="Simplified Arabic" w:hAnsi="Simplified Arabic" w:cs="Simplified Arabic"/>
          <w:sz w:val="24"/>
          <w:szCs w:val="24"/>
          <w:rtl/>
        </w:rPr>
        <w:t>يُساهم كل بُعد من هذه الأبعاد في أسلوب قيادة يتجاوز مجرد الإشراف على المهام والتبادلات المعاملاتية. فبدلًا من مجرد مكافأة الأداء، يسعى القادة التحويليون إلى تطوير إمكانات أتباعهم ومواءمة الأهداف الشخصية مع رؤى المؤسسة. تُفسر الطبيعة متعددة الأبعاد لهذا الأسلوب القيادي قابليته للتطبيق على نطاق واسع في مختلف القطاعات والثقافات، وفعاليته المُوثّقة في تحسين نتائج الموظفين والأداء التشغيلي.</w:t>
      </w:r>
      <w:r w:rsidR="00627DBE">
        <w:rPr>
          <w:rFonts w:ascii="Simplified Arabic" w:hAnsi="Simplified Arabic" w:cs="Simplified Arabic" w:hint="cs"/>
          <w:sz w:val="24"/>
          <w:szCs w:val="24"/>
          <w:rtl/>
        </w:rPr>
        <w:t xml:space="preserve"> </w:t>
      </w:r>
      <w:r w:rsidRPr="00DD0C9D">
        <w:rPr>
          <w:rFonts w:ascii="Simplified Arabic" w:hAnsi="Simplified Arabic" w:cs="Simplified Arabic"/>
          <w:sz w:val="24"/>
          <w:szCs w:val="24"/>
          <w:rtl/>
        </w:rPr>
        <w:t>في بيئات سلسلة التوريد، وخاصةً في سياق المؤسسات الصناعية السعودية، يمكن لهذه الأبعاد تعزيز التعاون بين الإدارات الداخلية والشركاء الخارجيين. فهي تدعم تطوير أنظمة مرنة وسريعة الاستجابة، قادرة على التكيف مع متطلبات السوق والتحديات التشغيلية. ومع تحول الاقتصاد السعودي نحو التنوع والتنافسية العالمية في ظل رؤية 2030، تُقدم القيادة التحويلية آلية استراتيجية لتمكين التغيير والابتكار في القطاعات الصناعية.باختصار، تُقدم الأبعاد الأربعة الأساسية للقيادة التحويلية نموذجًا شاملاً للقيادة الفعالة في البيئات الديناميكية والمعقدة. وهي تُركز على السلطة الأخلاقية، والتواصل الرؤيوي، والابتكار، والدعم الشخصي - وكلها تُسهم في تحسين الأداء، ورضا الموظفين، ومرونة المؤسسة. هذه السمات تجعل القيادة التحويلية ذات أهمية خاصة لتعزيز كفاءة سلسلة التوريد في المشهد الصناعي المتطور اليوم.</w:t>
      </w:r>
    </w:p>
    <w:p w14:paraId="0544AED7" w14:textId="77777777" w:rsidR="00627DBE" w:rsidRDefault="00627DBE" w:rsidP="00627DBE">
      <w:pPr>
        <w:spacing w:line="360" w:lineRule="auto"/>
        <w:ind w:left="360"/>
        <w:rPr>
          <w:rFonts w:ascii="Simplified Arabic" w:hAnsi="Simplified Arabic" w:cs="Simplified Arabic"/>
          <w:sz w:val="24"/>
          <w:szCs w:val="24"/>
          <w:rtl/>
        </w:rPr>
      </w:pPr>
    </w:p>
    <w:p w14:paraId="36F42BD9" w14:textId="77777777" w:rsidR="00627DBE" w:rsidRDefault="00627DBE" w:rsidP="00627DBE">
      <w:pPr>
        <w:spacing w:line="360" w:lineRule="auto"/>
        <w:ind w:left="360"/>
        <w:rPr>
          <w:rFonts w:ascii="Simplified Arabic" w:hAnsi="Simplified Arabic" w:cs="Simplified Arabic"/>
          <w:sz w:val="24"/>
          <w:szCs w:val="24"/>
          <w:rtl/>
        </w:rPr>
      </w:pPr>
    </w:p>
    <w:p w14:paraId="582ECB03" w14:textId="05772C17" w:rsidR="001B6F30" w:rsidRPr="00627DBE" w:rsidRDefault="00627DBE" w:rsidP="00627DBE">
      <w:pPr>
        <w:pStyle w:val="Heading2"/>
        <w:rPr>
          <w:sz w:val="28"/>
          <w:szCs w:val="28"/>
          <w:rtl/>
        </w:rPr>
      </w:pPr>
      <w:bookmarkStart w:id="33" w:name="_Toc203627777"/>
      <w:r w:rsidRPr="00627DBE">
        <w:rPr>
          <w:rFonts w:hint="cs"/>
          <w:sz w:val="28"/>
          <w:szCs w:val="28"/>
          <w:rtl/>
        </w:rPr>
        <w:t>2</w:t>
      </w:r>
      <w:r w:rsidR="001B6F30" w:rsidRPr="00627DBE">
        <w:rPr>
          <w:sz w:val="28"/>
          <w:szCs w:val="28"/>
          <w:rtl/>
        </w:rPr>
        <w:t>.</w:t>
      </w:r>
      <w:r w:rsidRPr="00627DBE">
        <w:rPr>
          <w:rFonts w:hint="cs"/>
          <w:sz w:val="28"/>
          <w:szCs w:val="28"/>
          <w:rtl/>
        </w:rPr>
        <w:t>2</w:t>
      </w:r>
      <w:r w:rsidR="001B6F30" w:rsidRPr="00627DBE">
        <w:rPr>
          <w:sz w:val="28"/>
          <w:szCs w:val="28"/>
          <w:rtl/>
        </w:rPr>
        <w:t>. كفاءة سلسلة التوريد في المؤسسات الصناعية</w:t>
      </w:r>
      <w:r>
        <w:rPr>
          <w:rFonts w:hint="cs"/>
          <w:sz w:val="28"/>
          <w:szCs w:val="28"/>
          <w:rtl/>
        </w:rPr>
        <w:t>:</w:t>
      </w:r>
      <w:bookmarkEnd w:id="33"/>
    </w:p>
    <w:p w14:paraId="162F130D" w14:textId="529A5336" w:rsidR="001B6F30" w:rsidRPr="001B6F30" w:rsidRDefault="00627DBE" w:rsidP="001B6F30">
      <w:pPr>
        <w:pStyle w:val="Heading3"/>
        <w:bidi/>
        <w:rPr>
          <w:rtl/>
        </w:rPr>
      </w:pPr>
      <w:bookmarkStart w:id="34" w:name="_Toc203627778"/>
      <w:r>
        <w:rPr>
          <w:rFonts w:hint="cs"/>
          <w:rtl/>
        </w:rPr>
        <w:t>1.2.2.</w:t>
      </w:r>
      <w:r w:rsidR="001B6F30" w:rsidRPr="001B6F30">
        <w:rPr>
          <w:rtl/>
        </w:rPr>
        <w:t>التعريف ومؤشرات الأداء</w:t>
      </w:r>
      <w:r>
        <w:rPr>
          <w:rFonts w:hint="cs"/>
          <w:rtl/>
        </w:rPr>
        <w:t>:</w:t>
      </w:r>
      <w:bookmarkEnd w:id="34"/>
    </w:p>
    <w:p w14:paraId="2AE99FBD" w14:textId="47F66FE2" w:rsidR="001B6F30" w:rsidRDefault="001B6F30" w:rsidP="00627DBE">
      <w:pPr>
        <w:spacing w:line="360" w:lineRule="auto"/>
        <w:ind w:left="360"/>
        <w:jc w:val="both"/>
        <w:rPr>
          <w:rFonts w:ascii="Simplified Arabic" w:hAnsi="Simplified Arabic" w:cs="Simplified Arabic"/>
          <w:sz w:val="24"/>
          <w:szCs w:val="24"/>
          <w:rtl/>
        </w:rPr>
      </w:pPr>
      <w:r w:rsidRPr="001B6F30">
        <w:rPr>
          <w:rFonts w:ascii="Simplified Arabic" w:hAnsi="Simplified Arabic" w:cs="Simplified Arabic"/>
          <w:sz w:val="24"/>
          <w:szCs w:val="24"/>
          <w:rtl/>
        </w:rPr>
        <w:t>تشير كفاءة سلسلة التوريد إلى قدرة المؤسسة على إدارة أنشطة سلسلة التوريد الخاصة بها بطريقة تقلل التكاليف والوقت والهدر مع تعظيم تقديم القيمة للعميل. تعكس هذه الكفاءة مدى فعالية استخدام الموارد على طول سلسلة التوريد - من المشتريات إلى الإنتاج وإدارة المخزون والتوزيع. تُعد سلاسل التوريد الفعالة أمرًا بالغ الأهمية في المؤسسات الصناعية، حيث يمكن للتميز التشغيلي وخفض التكاليف والاستجابة أن يؤثر بشكل كبير على القدرة التنافسية والربحية (الزهراني، ٢٠١٨).</w:t>
      </w:r>
      <w:r w:rsidR="00627DBE">
        <w:rPr>
          <w:rFonts w:ascii="Simplified Arabic" w:hAnsi="Simplified Arabic" w:cs="Simplified Arabic" w:hint="cs"/>
          <w:sz w:val="24"/>
          <w:szCs w:val="24"/>
          <w:rtl/>
        </w:rPr>
        <w:t xml:space="preserve"> </w:t>
      </w:r>
      <w:r w:rsidRPr="001B6F30">
        <w:rPr>
          <w:rFonts w:ascii="Simplified Arabic" w:hAnsi="Simplified Arabic" w:cs="Simplified Arabic"/>
          <w:sz w:val="24"/>
          <w:szCs w:val="24"/>
          <w:rtl/>
        </w:rPr>
        <w:t>غالبًا ما يُقارن مفهوم الكفاءة في سلسلة التوريد بالفعالية. فبينما تتعلق الفعالية بتحقيق النتائج المرجوة (مثل رضا العملاء)، فإن الكفاءة تتعلق بتحقيق تلك النتائج بالاستخدام الأمثل للموارد. في البيئات الصناعية، تساعد كفاءة سلسلة التوريد الشركات على تجنب الإفراط في الإنتاج، وخفض تكاليف المخزون، وتقصير فترات التسليم، وضمان التسليم المتسق. وفقًا لغوناسيكاران وآخرون. (2001)، ينبغي أن تهدف سلسلة التوريد المُصممة جيدًا إلى توفير المنتج المناسب، في الوقت المناسب، وبالكمية المناسبة، وبأقل تكلفة ممكنة.</w:t>
      </w:r>
      <w:r w:rsidR="00627DBE">
        <w:rPr>
          <w:rFonts w:ascii="Simplified Arabic" w:hAnsi="Simplified Arabic" w:cs="Simplified Arabic" w:hint="cs"/>
          <w:sz w:val="24"/>
          <w:szCs w:val="24"/>
          <w:rtl/>
        </w:rPr>
        <w:t xml:space="preserve"> </w:t>
      </w:r>
      <w:r w:rsidRPr="001B6F30">
        <w:rPr>
          <w:rFonts w:ascii="Simplified Arabic" w:hAnsi="Simplified Arabic" w:cs="Simplified Arabic"/>
          <w:sz w:val="24"/>
          <w:szCs w:val="24"/>
          <w:rtl/>
        </w:rPr>
        <w:t>تُستخدم العديد من مؤشرات الأداء بشكل شائع لتقييم كفاءة سلسلة التوريد. ومن أهمها كفاءة التكلفة، والتي تشمل تكاليف النقل والتخزين ونفقات المشتريات. تتتبع المؤسسات إجمالي تكاليف سلسلة التوريد كنسبة مئوية من المبيعات أو كمقياس لتكلفة الوحدة. ومن المؤشرات الرئيسية الأخرى موثوقية التسليم، والتي تقيس قدرة سلسلة التوريد على الوفاء بمواعيد التسليم الموعودة. يمكن أن يؤدي التأخير في التسليم إلى تعطيل جداول الإنتاج والإضرار برضا العملاء (العتيبي، 2020).</w:t>
      </w:r>
      <w:r w:rsidR="00627DBE">
        <w:rPr>
          <w:rFonts w:ascii="Simplified Arabic" w:hAnsi="Simplified Arabic" w:cs="Simplified Arabic" w:hint="cs"/>
          <w:sz w:val="24"/>
          <w:szCs w:val="24"/>
          <w:rtl/>
        </w:rPr>
        <w:t xml:space="preserve"> </w:t>
      </w:r>
      <w:r w:rsidRPr="001B6F30">
        <w:rPr>
          <w:rFonts w:ascii="Simplified Arabic" w:hAnsi="Simplified Arabic" w:cs="Simplified Arabic"/>
          <w:sz w:val="24"/>
          <w:szCs w:val="24"/>
          <w:rtl/>
        </w:rPr>
        <w:t>يُعد معدل دوران المخزون مقياسًا بالغ الأهمية، إذ يشير إلى عدد مرات بيع المخزون واستبداله خلال فترة زمنية محددة. يعكس معدل الدوران المرتفع عمومًا كفاءة إدارة المخزون وانخفاض تكاليف التخزين. في المقابل، قد يشير معدل الدوران المنخفض إلى تكديس المخزون أو بطء حركة البضائع، مما قد يؤدي إلى استنزاف رأس المال وزيادة الهدر. يُستخدم زمن الدورة، وهو إجمالي الوقت المستغرق من تقديم الطلب إلى التسليم، لقياس مدى الاستجابة وكفاءة العمليات (الدويحي وآخرون، ٢٠٢١).</w:t>
      </w:r>
      <w:r w:rsidR="00627DBE">
        <w:rPr>
          <w:rFonts w:ascii="Simplified Arabic" w:hAnsi="Simplified Arabic" w:cs="Simplified Arabic" w:hint="cs"/>
          <w:sz w:val="24"/>
          <w:szCs w:val="24"/>
          <w:rtl/>
        </w:rPr>
        <w:t xml:space="preserve"> </w:t>
      </w:r>
      <w:r w:rsidRPr="001B6F30">
        <w:rPr>
          <w:rFonts w:ascii="Simplified Arabic" w:hAnsi="Simplified Arabic" w:cs="Simplified Arabic"/>
          <w:sz w:val="24"/>
          <w:szCs w:val="24"/>
          <w:rtl/>
        </w:rPr>
        <w:t>تُعتبر المرونة والقدرة على الاستجابة مؤشرين حيويين بشكل متزايد، لا سيما في ظل ظروف السوق المتقلبة. وتُعتبر سلاسل التوريد القادرة على التكيف بسرعة مع التغيرات في الطلب أو انقطاعات العرض أكثر كفاءة. ويشمل ذلك القدرة على تغيير الموردين، أو تغيير أحجام الإنتاج، أو إعادة توجيه الخدمات اللوجستية استجابةً للصدمات الخارجية. وفي القطاع الصناعي السعودي، تُعد الاستجابة ذات أهمية خاصة نظرًا لاعتماد المنطقة على الواردات وعولمة سلسلة التوريد (وزارة الصناعة والثروة المعدنية، ٢٠٢٣).</w:t>
      </w:r>
      <w:r w:rsidR="00627DBE">
        <w:rPr>
          <w:rFonts w:ascii="Simplified Arabic" w:hAnsi="Simplified Arabic" w:cs="Simplified Arabic" w:hint="cs"/>
          <w:sz w:val="24"/>
          <w:szCs w:val="24"/>
          <w:rtl/>
        </w:rPr>
        <w:t xml:space="preserve"> و</w:t>
      </w:r>
      <w:r w:rsidRPr="001B6F30">
        <w:rPr>
          <w:rFonts w:ascii="Simplified Arabic" w:hAnsi="Simplified Arabic" w:cs="Simplified Arabic"/>
          <w:sz w:val="24"/>
          <w:szCs w:val="24"/>
          <w:rtl/>
        </w:rPr>
        <w:t>يُعد التكامل والتنسيق بين الإدارات ومع الشركاء الخارجيين أمرًا أساسيًا لتحقيق الكفاءة. ويمكن أن يؤدي نقص التواصل أو عدم التوافق بين وظائف الشراء والإنتاج والتوزيع إلى تأخيرات وزيادة التكاليف وانخفاض جودة الخدمة. وتُركز أنظمة سلسلة التوريد المتقدمة على التخطيط التعاوني، ومشاركة البيانات في الوقت الفعلي، والعمليات المتزامنة لتحسين التكامل والقضاء على الاختناقات (المطيري، ٢٠٢١).</w:t>
      </w:r>
      <w:r w:rsidR="00627DBE">
        <w:rPr>
          <w:rFonts w:ascii="Simplified Arabic" w:hAnsi="Simplified Arabic" w:cs="Simplified Arabic" w:hint="cs"/>
          <w:sz w:val="24"/>
          <w:szCs w:val="24"/>
          <w:rtl/>
        </w:rPr>
        <w:t xml:space="preserve"> </w:t>
      </w:r>
      <w:r w:rsidRPr="001B6F30">
        <w:rPr>
          <w:rFonts w:ascii="Simplified Arabic" w:hAnsi="Simplified Arabic" w:cs="Simplified Arabic"/>
          <w:sz w:val="24"/>
          <w:szCs w:val="24"/>
          <w:rtl/>
        </w:rPr>
        <w:t>تُعدّ كفاءة سلسلة التوريد مفهومًا متعدد الأبعاد يتطلب الاهتمام بالتكلفة والوقت والمخزون وموثوقية التسليم والقدرة على التكيف. تُزوّد هذه المؤشرات المؤسسات بالأدوات اللازمة لتقييم الأداء، وتحديد مجالات التحسين، ومواءمة العمليات مع الأهداف الاستراتيجية. وفي ظل سعي الشركات الصناعية السعودية إلى تعزيز تنافسيتها العالمية في إطار رؤية 2030، أصبح تعزيز كفاءة سلسلة التوريد أولوية وطنية.</w:t>
      </w:r>
    </w:p>
    <w:p w14:paraId="6D862AE7" w14:textId="3C17E41D" w:rsidR="003759C3" w:rsidRPr="003759C3" w:rsidRDefault="00627DBE" w:rsidP="003759C3">
      <w:pPr>
        <w:pStyle w:val="Heading3"/>
        <w:bidi/>
        <w:rPr>
          <w:sz w:val="24"/>
          <w:szCs w:val="24"/>
          <w:rtl/>
        </w:rPr>
      </w:pPr>
      <w:bookmarkStart w:id="35" w:name="_Toc203627779"/>
      <w:r>
        <w:rPr>
          <w:rFonts w:hint="cs"/>
          <w:sz w:val="24"/>
          <w:szCs w:val="24"/>
          <w:rtl/>
        </w:rPr>
        <w:t>2.2.2.</w:t>
      </w:r>
      <w:r w:rsidR="003759C3" w:rsidRPr="003759C3">
        <w:rPr>
          <w:sz w:val="24"/>
          <w:szCs w:val="24"/>
          <w:rtl/>
        </w:rPr>
        <w:t>أهمية المرونة والاستجابة والتكامل والفعالية من حيث التكلفة</w:t>
      </w:r>
      <w:r>
        <w:rPr>
          <w:rFonts w:hint="cs"/>
          <w:sz w:val="24"/>
          <w:szCs w:val="24"/>
          <w:rtl/>
        </w:rPr>
        <w:t>:</w:t>
      </w:r>
      <w:bookmarkEnd w:id="35"/>
    </w:p>
    <w:p w14:paraId="6273FC40" w14:textId="42DCC9AE" w:rsidR="003759C3" w:rsidRDefault="003759C3" w:rsidP="00627DBE">
      <w:pPr>
        <w:spacing w:line="360" w:lineRule="auto"/>
        <w:ind w:left="360"/>
        <w:rPr>
          <w:rFonts w:ascii="Simplified Arabic" w:hAnsi="Simplified Arabic" w:cs="Simplified Arabic"/>
          <w:sz w:val="24"/>
          <w:szCs w:val="24"/>
          <w:rtl/>
        </w:rPr>
      </w:pPr>
      <w:r w:rsidRPr="003759C3">
        <w:rPr>
          <w:rFonts w:ascii="Simplified Arabic" w:hAnsi="Simplified Arabic" w:cs="Simplified Arabic"/>
          <w:sz w:val="24"/>
          <w:szCs w:val="24"/>
          <w:rtl/>
        </w:rPr>
        <w:t>في البيئات الصناعية الحديثة، لم تعد كفاءة سلسلة التوريد تُعرّف بخفض التكلفة فحسب، بل تتطلب الآن توازنًا ديناميكيًا بين المرونة والاستجابة والتكامل والفعالية من حيث التكلفة. وقد أصبحت هذه الأبعاد عوامل نجاح حاسمة في ظل مواجهة المؤسسات لتعقيدات متزايدة في الأسواق العالمية، وتقلبات في طلبات العملاء، وعدم اليقين بشأن العرض. وفي السياق الصناعي السعودي، تُعد هذه العناصر أساسية لتحقيق المرونة التشغيلية والقدرة التنافسية بما يتماشى مع رؤية 2030 (وزارة الصناعة والثروة المعدنية، 2023).</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تشير المرونة إلى قدرة سلسلة التوريد على التكيف مع التغيرات في حجم الإنتاج، أو مزيج المنتجات، أو مصادر التوريد بأقل قدر من الانقطاع. فهي تُمكّن المؤسسات من الاستجابة لمتطلبات السوق المتغيرة، أو الانقطاعات، أو متطلبات التخصيص. كما أن المرونة العالية في التوريد، والتصنيع، والخدمات اللوجستية تُقلل الاعتماد على عملية أو مورد واحد. على سبيل المثال، يمكن لخط إنتاج مرن التبديل بين أنواع مختلفة من المنتجات دون تكبد تكاليف باهظة أو تأخيرات (الزهراني، 2018). في الصناعات السعودية، حيث قد تعتمد سلاسل التوريد بشكل كبير على الموردين الدوليين، تساعد المرونة على تخفيف المخاطر المرتبطة بتأخير الاستيراد أو الاضطرابات العالمية.</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ترتبط الاستجابة ارتباطًا وثيقًا بتميز خدمة العملاء، وتُعرّف بأنها سرعة استجابة سلسلة التوريد لاحتياجات العملاء أو الأحداث الخارجية. وتشمل القدرة على تقصير فترات التسليم، وتسريع إنجاز الطلبات، وحل المشكلات بسرعة. وينطبق هذا بشكل خاص على قطاعات مثل البتروكيماويات أو السلع الصناعية سريعة الحركة، حيث يمكن أن تؤدي التأخيرات إلى خسائر فادحة أو غرامات تعاقدية (العتيبي، 2020). تُحسّن الاستجابة العالية رضا العملاء وتبني ثقة السوق، وهو أمر بالغ الأهمية للشركات الصناعية العاملة في الأسواق الإقليمية التنافسية.</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يتضمن التكامل التنسيق والتعاون السلس بين الإدارات الداخلية (مثل المشتريات والإنتاج والخدمات اللوجستية) ومع الشركاء الخارجيين (مثل الموردين والموزعين). تتشارك سلاسل التوريد المتكاملة المعلومات آنيًا، وتُوائِم العمليات، وتُعزز الشراكات الاستراتيجية. غالبًا ما يؤدي نقص التكامل إلى صوامع تشغيلية، وسوء تواصل، وانعدام كفاءة مثل التخزين الزائد أو نفاد المخزون. ووفقًا للمطري (2021)، تُحسّن الأنظمة المتكاملة الرؤية، وتُقلل من التكرار، وتُسهّل اتخاذ قرارات أفضل، خاصةً عند تشغيلها بتقنيات متقدمة مثل أنظمة تخطيط موارد المؤسسات (</w:t>
      </w:r>
      <w:r w:rsidRPr="003759C3">
        <w:rPr>
          <w:rFonts w:ascii="Simplified Arabic" w:hAnsi="Simplified Arabic" w:cs="Simplified Arabic"/>
          <w:sz w:val="24"/>
          <w:szCs w:val="24"/>
        </w:rPr>
        <w:t>ERP</w:t>
      </w:r>
      <w:r w:rsidRPr="003759C3">
        <w:rPr>
          <w:rFonts w:ascii="Simplified Arabic" w:hAnsi="Simplified Arabic" w:cs="Simplified Arabic"/>
          <w:sz w:val="24"/>
          <w:szCs w:val="24"/>
          <w:rtl/>
        </w:rPr>
        <w:t>) أو لوحات المعلومات الرقمية.</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تظل فعالية التكلفة، على الرغم من كونها مقياسًا تقليديًا، أمرًا حيويًا للحفاظ على الربحية والاستدامة التشغيلية. ومع ذلك، لا ينبغي أن تأتي وفورات التكلفة على حساب الاستجابة أو الجودة. الهدف هو تقليل إجمالي تكاليف سلسلة التوريد - بما في ذلك المشتريات والنقل والاحتفاظ بالمخزون - مع الحفاظ على المرونة ومستويات خدمة العملاء. تُعد إدارة التكاليف الفعالة مهمة بشكل خاص للمؤسسات الصناعية السعودية التي تهدف إلى خفض تكاليف الإنتاج والمنافسة عالميًا دون دعم أو حماية حكومية (الدويحي وآخرون، 2021).</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عندما تتماشى هذه العناصر الأربعة - المرونة، والاستجابة، والتكامل، وفعالية التكلفة - استراتيجيًا، تحقق سلاسل التوريد مستويات أعلى من الأداء والمرونة. في السياق السعودي، يُعطى تحقيق هذا التوافق أولوية متزايدة نظرًا للتنويع المتزايد والتحول الرقمي وطموحات سلسلة التوريد الإقليمية. وكما أوضحت مبادرة رؤية 2030، فإن التنمية الصناعية الوطنية تعتمد على إنشاء شبكات توريد مرنة ومدعومة بالتكنولوجيا ومتكاملة بكفاءة، قادرة على تحمل التقلبات الاقتصادية ودعم النمو المستدام (وزارة الصناعة والثروة المعدنية، 2023).</w:t>
      </w:r>
      <w:r w:rsidR="00627DBE">
        <w:rPr>
          <w:rFonts w:ascii="Simplified Arabic" w:hAnsi="Simplified Arabic" w:cs="Simplified Arabic" w:hint="cs"/>
          <w:sz w:val="24"/>
          <w:szCs w:val="24"/>
          <w:rtl/>
        </w:rPr>
        <w:t xml:space="preserve"> </w:t>
      </w:r>
      <w:r w:rsidRPr="003759C3">
        <w:rPr>
          <w:rFonts w:ascii="Simplified Arabic" w:hAnsi="Simplified Arabic" w:cs="Simplified Arabic"/>
          <w:sz w:val="24"/>
          <w:szCs w:val="24"/>
          <w:rtl/>
        </w:rPr>
        <w:t>لا تُمثل هذه المكونات المترابطة مؤشرات أداء رئيسية فحسب، بل تُمثل أيضًا قدرات استراتيجية يجب على المؤسسات الصناعية تنميتها. ومن خلال دمجها في ممارسات القيادة والنماذج التشغيلية، يمكن للشركات تعزيز كفاءة سلسلة التوريد لديها واستعدادها لمواجهة التحديات المستقبلية. وهذا يُؤكد أهمية دراسة آليات القيادة - مثل القيادة التحويلية - التي تُمكّن هذه القدرات عبر المستويات التنظيمية.</w:t>
      </w:r>
    </w:p>
    <w:p w14:paraId="3AD44083" w14:textId="77777777" w:rsidR="00243324" w:rsidRDefault="00243324" w:rsidP="00627DBE">
      <w:pPr>
        <w:pStyle w:val="Heading2"/>
        <w:rPr>
          <w:rFonts w:ascii="Simplified Arabic" w:eastAsiaTheme="minorHAnsi" w:hAnsi="Simplified Arabic" w:cs="Simplified Arabic"/>
          <w:color w:val="auto"/>
          <w:sz w:val="24"/>
          <w:szCs w:val="24"/>
          <w:rtl/>
        </w:rPr>
      </w:pPr>
    </w:p>
    <w:p w14:paraId="68592BBB" w14:textId="6DFAE6A5" w:rsidR="00313907" w:rsidRPr="00627DBE" w:rsidRDefault="00243324" w:rsidP="00243324">
      <w:pPr>
        <w:pStyle w:val="Heading2"/>
        <w:rPr>
          <w:sz w:val="28"/>
          <w:szCs w:val="28"/>
          <w:rtl/>
        </w:rPr>
      </w:pPr>
      <w:bookmarkStart w:id="36" w:name="_Toc203627780"/>
      <w:r w:rsidRPr="00243324">
        <w:rPr>
          <w:rFonts w:hint="cs"/>
          <w:sz w:val="28"/>
          <w:szCs w:val="28"/>
          <w:rtl/>
        </w:rPr>
        <w:t>3.2.</w:t>
      </w:r>
      <w:r w:rsidR="00313907" w:rsidRPr="00627DBE">
        <w:rPr>
          <w:sz w:val="28"/>
          <w:szCs w:val="28"/>
          <w:rtl/>
        </w:rPr>
        <w:t xml:space="preserve"> الأسس النظرية</w:t>
      </w:r>
      <w:bookmarkEnd w:id="36"/>
    </w:p>
    <w:p w14:paraId="3FEF8285" w14:textId="23372BBA" w:rsidR="00313907" w:rsidRPr="00627DBE" w:rsidRDefault="00627DBE" w:rsidP="00243324">
      <w:pPr>
        <w:pStyle w:val="Heading3"/>
        <w:bidi/>
        <w:rPr>
          <w:sz w:val="24"/>
          <w:szCs w:val="24"/>
          <w:rtl/>
        </w:rPr>
      </w:pPr>
      <w:bookmarkStart w:id="37" w:name="_Toc203627781"/>
      <w:r w:rsidRPr="00627DBE">
        <w:rPr>
          <w:rFonts w:hint="cs"/>
          <w:sz w:val="24"/>
          <w:szCs w:val="24"/>
          <w:rtl/>
        </w:rPr>
        <w:t>1.</w:t>
      </w:r>
      <w:r w:rsidR="00243324">
        <w:rPr>
          <w:rFonts w:hint="cs"/>
          <w:sz w:val="24"/>
          <w:szCs w:val="24"/>
          <w:rtl/>
        </w:rPr>
        <w:t>3</w:t>
      </w:r>
      <w:r w:rsidRPr="00627DBE">
        <w:rPr>
          <w:rFonts w:hint="cs"/>
          <w:sz w:val="24"/>
          <w:szCs w:val="24"/>
          <w:rtl/>
        </w:rPr>
        <w:t>.</w:t>
      </w:r>
      <w:r w:rsidR="00243324">
        <w:rPr>
          <w:rFonts w:hint="cs"/>
          <w:sz w:val="24"/>
          <w:szCs w:val="24"/>
          <w:rtl/>
        </w:rPr>
        <w:t>2</w:t>
      </w:r>
      <w:r w:rsidRPr="00627DBE">
        <w:rPr>
          <w:rFonts w:hint="cs"/>
          <w:sz w:val="24"/>
          <w:szCs w:val="24"/>
          <w:rtl/>
        </w:rPr>
        <w:t>.</w:t>
      </w:r>
      <w:r w:rsidR="00313907" w:rsidRPr="00627DBE">
        <w:rPr>
          <w:sz w:val="24"/>
          <w:szCs w:val="24"/>
          <w:rtl/>
        </w:rPr>
        <w:t>نظرية القيادة التحويلية (باس وأفوليو، بيرنز)</w:t>
      </w:r>
      <w:bookmarkEnd w:id="37"/>
    </w:p>
    <w:p w14:paraId="626EFD22" w14:textId="77777777" w:rsidR="00313907" w:rsidRPr="00313907" w:rsidRDefault="00313907" w:rsidP="00313907">
      <w:pPr>
        <w:spacing w:line="360" w:lineRule="auto"/>
        <w:ind w:left="360"/>
        <w:rPr>
          <w:rFonts w:ascii="Simplified Arabic" w:hAnsi="Simplified Arabic" w:cs="Simplified Arabic"/>
          <w:sz w:val="24"/>
          <w:szCs w:val="24"/>
          <w:rtl/>
        </w:rPr>
      </w:pPr>
      <w:r w:rsidRPr="00313907">
        <w:rPr>
          <w:rFonts w:ascii="Simplified Arabic" w:hAnsi="Simplified Arabic" w:cs="Simplified Arabic"/>
          <w:sz w:val="24"/>
          <w:szCs w:val="24"/>
          <w:rtl/>
        </w:rPr>
        <w:t>تمثل نظرية القيادة التحويلية، كما صاغها جيمس ماكجريجور بيرنز (١٩٧٨) ووسّعها لاحقًا برنارد باس وبروس أفوليو (١٩٨٥، ١٩٩٤)، نقلة نوعية مهمة في فهم سلوك القيادة وتأثيره على نتائج المنظمة. تفترض النظرية أن القادة التحويليين يتجاوزون مجرد التبادلات التبادلية من خلال إلهام أتباعهم وتحفيزهم وإشراكهم فكريًا. يشجع هذا النهج الموظفين على تجاوز المصلحة الذاتية من أجل تحقيق الأهداف الجماعية، مما يعزز مستويات عالية من الالتزام والأداء والابتكار (بيرنز، ١٩٧٨؛ باس وأفوليو، ١٩٩٤).</w:t>
      </w:r>
    </w:p>
    <w:p w14:paraId="03BACBA3" w14:textId="4BCB48D2" w:rsidR="00313907" w:rsidRPr="00313907" w:rsidRDefault="00313907" w:rsidP="00235FBA">
      <w:pPr>
        <w:spacing w:line="360" w:lineRule="auto"/>
        <w:ind w:left="360"/>
        <w:rPr>
          <w:rFonts w:ascii="Simplified Arabic" w:hAnsi="Simplified Arabic" w:cs="Simplified Arabic"/>
          <w:sz w:val="24"/>
          <w:szCs w:val="24"/>
          <w:rtl/>
        </w:rPr>
      </w:pPr>
      <w:r w:rsidRPr="00313907">
        <w:rPr>
          <w:rFonts w:ascii="Simplified Arabic" w:hAnsi="Simplified Arabic" w:cs="Simplified Arabic"/>
          <w:sz w:val="24"/>
          <w:szCs w:val="24"/>
          <w:rtl/>
        </w:rPr>
        <w:t>قدّم بيرنز (١٩٧٨) في البداية التمييز بين القيادة التبادلية والتحويلية. يعمل القادة التبادليون ضمن أنظمة قائمة ويعتمدون على المكافآت والعقوبات لإدارة الأداء. في المقابل، يسعى القادة التحويليون إلى الارتقاء بكلٍّ من القادة والأتباع إلى مستوى أعلى من التحفيز والسلوك الأخلاقي. ولا يقتصر هذا الارتقاء على تحقيق الأهداف التنظيمية فحسب، بل يشمل أيضًا تغيير القيم والمعتقدات والمواقف داخل المنظمة. كان عمل بيرنز متجذرًا بعمق في العلوم السياسية، ولكنه سرعان ما وجد صدىً في دراسات السلوك التنظيمي والإدارة نظرًا لتركيزه على الأخلاق والرؤية والتأثير طويل المدى.</w:t>
      </w:r>
      <w:r w:rsidR="00235FBA">
        <w:rPr>
          <w:rFonts w:ascii="Simplified Arabic" w:hAnsi="Simplified Arabic" w:cs="Simplified Arabic" w:hint="cs"/>
          <w:sz w:val="24"/>
          <w:szCs w:val="24"/>
          <w:rtl/>
        </w:rPr>
        <w:t xml:space="preserve"> </w:t>
      </w:r>
      <w:r w:rsidRPr="00313907">
        <w:rPr>
          <w:rFonts w:ascii="Simplified Arabic" w:hAnsi="Simplified Arabic" w:cs="Simplified Arabic"/>
          <w:sz w:val="24"/>
          <w:szCs w:val="24"/>
          <w:rtl/>
        </w:rPr>
        <w:t>بناءً على أفكار بيرنز، قدّم باس (1985) إطارًا عمليًا أكثر من خلال تحديد أربعة أبعاد سلوكية للقيادة التحويلية:</w:t>
      </w:r>
    </w:p>
    <w:p w14:paraId="42C473CE" w14:textId="77777777" w:rsidR="00313907" w:rsidRPr="00235FBA" w:rsidRDefault="00313907" w:rsidP="00235FBA">
      <w:pPr>
        <w:pStyle w:val="ListParagraph"/>
        <w:numPr>
          <w:ilvl w:val="0"/>
          <w:numId w:val="26"/>
        </w:numPr>
        <w:spacing w:line="360" w:lineRule="auto"/>
        <w:rPr>
          <w:rFonts w:ascii="Simplified Arabic" w:hAnsi="Simplified Arabic" w:cs="Simplified Arabic"/>
          <w:sz w:val="24"/>
          <w:szCs w:val="24"/>
          <w:rtl/>
        </w:rPr>
      </w:pPr>
      <w:r w:rsidRPr="00235FBA">
        <w:rPr>
          <w:rFonts w:ascii="Simplified Arabic" w:hAnsi="Simplified Arabic" w:cs="Simplified Arabic"/>
          <w:sz w:val="24"/>
          <w:szCs w:val="24"/>
          <w:rtl/>
        </w:rPr>
        <w:t>التأثير المثالي - يعمل القادة كقدوة، ويبنون الثقة والاحترام.</w:t>
      </w:r>
    </w:p>
    <w:p w14:paraId="3744BB20" w14:textId="77777777" w:rsidR="00313907" w:rsidRPr="00235FBA" w:rsidRDefault="00313907" w:rsidP="00235FBA">
      <w:pPr>
        <w:pStyle w:val="ListParagraph"/>
        <w:numPr>
          <w:ilvl w:val="0"/>
          <w:numId w:val="26"/>
        </w:numPr>
        <w:spacing w:line="360" w:lineRule="auto"/>
        <w:rPr>
          <w:rFonts w:ascii="Simplified Arabic" w:hAnsi="Simplified Arabic" w:cs="Simplified Arabic"/>
          <w:sz w:val="24"/>
          <w:szCs w:val="24"/>
          <w:rtl/>
        </w:rPr>
      </w:pPr>
      <w:r w:rsidRPr="00235FBA">
        <w:rPr>
          <w:rFonts w:ascii="Simplified Arabic" w:hAnsi="Simplified Arabic" w:cs="Simplified Arabic"/>
          <w:sz w:val="24"/>
          <w:szCs w:val="24"/>
          <w:rtl/>
        </w:rPr>
        <w:t>الدافع الملهم - يُعبّر القادة عن رؤية واضحة ومقنعة.</w:t>
      </w:r>
    </w:p>
    <w:p w14:paraId="3886D9D5" w14:textId="77777777" w:rsidR="00313907" w:rsidRPr="00235FBA" w:rsidRDefault="00313907" w:rsidP="00235FBA">
      <w:pPr>
        <w:pStyle w:val="ListParagraph"/>
        <w:numPr>
          <w:ilvl w:val="0"/>
          <w:numId w:val="26"/>
        </w:numPr>
        <w:spacing w:line="360" w:lineRule="auto"/>
        <w:rPr>
          <w:rFonts w:ascii="Simplified Arabic" w:hAnsi="Simplified Arabic" w:cs="Simplified Arabic"/>
          <w:sz w:val="24"/>
          <w:szCs w:val="24"/>
          <w:rtl/>
        </w:rPr>
      </w:pPr>
      <w:r w:rsidRPr="00235FBA">
        <w:rPr>
          <w:rFonts w:ascii="Simplified Arabic" w:hAnsi="Simplified Arabic" w:cs="Simplified Arabic"/>
          <w:sz w:val="24"/>
          <w:szCs w:val="24"/>
          <w:rtl/>
        </w:rPr>
        <w:t>التحفيز الفكري - يشجع القادة الإبداع ويتحدون الافتراضات.</w:t>
      </w:r>
    </w:p>
    <w:p w14:paraId="759274B0" w14:textId="77777777" w:rsidR="00313907" w:rsidRPr="00235FBA" w:rsidRDefault="00313907" w:rsidP="00235FBA">
      <w:pPr>
        <w:pStyle w:val="ListParagraph"/>
        <w:numPr>
          <w:ilvl w:val="0"/>
          <w:numId w:val="26"/>
        </w:numPr>
        <w:spacing w:line="360" w:lineRule="auto"/>
        <w:rPr>
          <w:rFonts w:ascii="Simplified Arabic" w:hAnsi="Simplified Arabic" w:cs="Simplified Arabic"/>
          <w:sz w:val="24"/>
          <w:szCs w:val="24"/>
          <w:rtl/>
        </w:rPr>
      </w:pPr>
      <w:r w:rsidRPr="00235FBA">
        <w:rPr>
          <w:rFonts w:ascii="Simplified Arabic" w:hAnsi="Simplified Arabic" w:cs="Simplified Arabic"/>
          <w:sz w:val="24"/>
          <w:szCs w:val="24"/>
          <w:rtl/>
        </w:rPr>
        <w:t>الاهتمام الفردي - يهتم القادة بتطور كل تابع واحتياجاته.</w:t>
      </w:r>
    </w:p>
    <w:p w14:paraId="49784AE6" w14:textId="77777777" w:rsidR="00313907" w:rsidRPr="00313907" w:rsidRDefault="00313907" w:rsidP="00313907">
      <w:pPr>
        <w:spacing w:line="360" w:lineRule="auto"/>
        <w:ind w:left="360"/>
        <w:rPr>
          <w:rFonts w:ascii="Simplified Arabic" w:hAnsi="Simplified Arabic" w:cs="Simplified Arabic"/>
          <w:sz w:val="24"/>
          <w:szCs w:val="24"/>
          <w:rtl/>
        </w:rPr>
      </w:pPr>
      <w:r w:rsidRPr="00313907">
        <w:rPr>
          <w:rFonts w:ascii="Simplified Arabic" w:hAnsi="Simplified Arabic" w:cs="Simplified Arabic"/>
          <w:sz w:val="24"/>
          <w:szCs w:val="24"/>
          <w:rtl/>
        </w:rPr>
        <w:t>تم التحقق من صحة هذه المكونات الأربعة وقياسها لاحقًا باستخدام استبيان القيادة متعدد العوامل (</w:t>
      </w:r>
      <w:r w:rsidRPr="00313907">
        <w:rPr>
          <w:rFonts w:ascii="Simplified Arabic" w:hAnsi="Simplified Arabic" w:cs="Simplified Arabic"/>
          <w:sz w:val="24"/>
          <w:szCs w:val="24"/>
        </w:rPr>
        <w:t>MLQ</w:t>
      </w:r>
      <w:r w:rsidRPr="00313907">
        <w:rPr>
          <w:rFonts w:ascii="Simplified Arabic" w:hAnsi="Simplified Arabic" w:cs="Simplified Arabic"/>
          <w:sz w:val="24"/>
          <w:szCs w:val="24"/>
          <w:rtl/>
        </w:rPr>
        <w:t>)، الذي طوره باس وأفوليو (1994). أصبح مقياس القيادة التحويلية (</w:t>
      </w:r>
      <w:r w:rsidRPr="00313907">
        <w:rPr>
          <w:rFonts w:ascii="Simplified Arabic" w:hAnsi="Simplified Arabic" w:cs="Simplified Arabic"/>
          <w:sz w:val="24"/>
          <w:szCs w:val="24"/>
        </w:rPr>
        <w:t>MLQ</w:t>
      </w:r>
      <w:r w:rsidRPr="00313907">
        <w:rPr>
          <w:rFonts w:ascii="Simplified Arabic" w:hAnsi="Simplified Arabic" w:cs="Simplified Arabic"/>
          <w:sz w:val="24"/>
          <w:szCs w:val="24"/>
          <w:rtl/>
        </w:rPr>
        <w:t>) أداةً معتمدةً على نطاق واسع في أبحاث وممارسات القيادة، مما يسمح للباحثين بربط سلوكيات القيادة التحويلية بمختلف النتائج التنظيمية، مثل رضا الموظفين، والالتزام التنظيمي، وتحسين الأداء في مختلف القطاعات، بما في ذلك التصنيع والخدمات اللوجستية.</w:t>
      </w:r>
    </w:p>
    <w:p w14:paraId="344FA7E9" w14:textId="77777777" w:rsidR="00313907" w:rsidRPr="00313907" w:rsidRDefault="00313907" w:rsidP="00313907">
      <w:pPr>
        <w:spacing w:line="360" w:lineRule="auto"/>
        <w:ind w:left="360"/>
        <w:rPr>
          <w:rFonts w:ascii="Simplified Arabic" w:hAnsi="Simplified Arabic" w:cs="Simplified Arabic"/>
          <w:sz w:val="24"/>
          <w:szCs w:val="24"/>
          <w:rtl/>
        </w:rPr>
      </w:pPr>
      <w:r w:rsidRPr="00313907">
        <w:rPr>
          <w:rFonts w:ascii="Simplified Arabic" w:hAnsi="Simplified Arabic" w:cs="Simplified Arabic"/>
          <w:sz w:val="24"/>
          <w:szCs w:val="24"/>
          <w:rtl/>
        </w:rPr>
        <w:t>في سياق إدارة سلسلة التوريد، تكتسب القيادة التحويلية أهميةً خاصة نظرًا لتعقيد عمليات سلسلة التوريد وطبيعتها متعددة الوظائف. يجب على القادة في مثل هذه البيئات تعزيز التعاون، وتشجيع الابتكار، والتكيف بسرعة مع التغييرات - وهي سمات تتوافق بشكل وثيق مع أبعاد القيادة التحويلية (باس وريجيو، 2006). وقد أبرزت العديد من الدراسات التأثير الإيجابي للقيادة التحويلية على مرونة سلسلة التوريد ومرونتها وكفاءتها، وكلها عوامل أساسية للحفاظ على الميزة التنافسية (الدويحي وآخرون، 2021).</w:t>
      </w:r>
    </w:p>
    <w:p w14:paraId="001DBDC7" w14:textId="305F9782" w:rsidR="00313907" w:rsidRDefault="00313907" w:rsidP="00235FBA">
      <w:pPr>
        <w:spacing w:line="360" w:lineRule="auto"/>
        <w:ind w:left="360"/>
        <w:rPr>
          <w:rFonts w:ascii="Simplified Arabic" w:hAnsi="Simplified Arabic" w:cs="Simplified Arabic"/>
          <w:sz w:val="24"/>
          <w:szCs w:val="24"/>
          <w:rtl/>
        </w:rPr>
      </w:pPr>
      <w:r w:rsidRPr="00313907">
        <w:rPr>
          <w:rFonts w:ascii="Simplified Arabic" w:hAnsi="Simplified Arabic" w:cs="Simplified Arabic"/>
          <w:sz w:val="24"/>
          <w:szCs w:val="24"/>
          <w:rtl/>
        </w:rPr>
        <w:t>من منظور سعودي، تتزايد أهمية تطبيق نظرية القيادة التحويلية مع تحول المؤسسات من الهياكل الهرمية التقليدية إلى نماذج أكثر ديناميكية وتعاونًا وتوجهًا نحو الابتكار. يتماشى هذا التحول مع رؤية 2030، التي تُركز على تطوير القيادة، والتنويع الصناعي، والتميز التشغيلي (وزارة الصناعة والثروة المعدنية، 2023). وقد أكد باحثون سعوديون، مثل القحطاني (2017) والمطري (2021)، على إمكانية تطبيق القيادة التحويلية في تعزيز القدرة على التكيف والأداء التنظيمي، لا سيما في البيئات الصناعية.وفي الختام، تُوفر الأسس النظرية التي وضعها بيرنز وباس إطارًا متينًا لفهم تأثير القيادة على التحول التنظيمي. ومن خلال تطبيق هذه النظرية في السياق الصناعي السعودي، يُمكن للباحثين والممارسين استكشاف كيفية مساهمة سلوكيات القيادة في كفاءة سلسلة التوريد، وذلك من خلال ربط النظرية السلوكية بالممارسة التشغيلية. ويُعد هذا التكامل ضروريًا لتصميم مبادرات تطوير القيادة التي تُعزز أنواع السلوكيات اللازمة للتغلب على التعقيد ودفع عجلة النمو الصناعي المستدام.</w:t>
      </w:r>
    </w:p>
    <w:p w14:paraId="07CF5BDD" w14:textId="7ECA99FB" w:rsidR="00313907" w:rsidRPr="00235FBA" w:rsidRDefault="00235FBA" w:rsidP="00243324">
      <w:pPr>
        <w:pStyle w:val="Heading3"/>
        <w:bidi/>
        <w:rPr>
          <w:sz w:val="24"/>
          <w:szCs w:val="24"/>
        </w:rPr>
      </w:pPr>
      <w:bookmarkStart w:id="38" w:name="_Toc203627782"/>
      <w:r w:rsidRPr="00235FBA">
        <w:rPr>
          <w:rFonts w:hint="cs"/>
          <w:sz w:val="24"/>
          <w:szCs w:val="24"/>
          <w:rtl/>
        </w:rPr>
        <w:t>2.</w:t>
      </w:r>
      <w:r w:rsidR="00243324">
        <w:rPr>
          <w:rFonts w:hint="cs"/>
          <w:sz w:val="24"/>
          <w:szCs w:val="24"/>
          <w:rtl/>
        </w:rPr>
        <w:t>3</w:t>
      </w:r>
      <w:r w:rsidRPr="00235FBA">
        <w:rPr>
          <w:rFonts w:hint="cs"/>
          <w:sz w:val="24"/>
          <w:szCs w:val="24"/>
          <w:rtl/>
        </w:rPr>
        <w:t>.</w:t>
      </w:r>
      <w:r w:rsidR="00243324">
        <w:rPr>
          <w:rFonts w:hint="cs"/>
          <w:sz w:val="24"/>
          <w:szCs w:val="24"/>
          <w:rtl/>
        </w:rPr>
        <w:t>2</w:t>
      </w:r>
      <w:r w:rsidRPr="00235FBA">
        <w:rPr>
          <w:rFonts w:hint="cs"/>
          <w:sz w:val="24"/>
          <w:szCs w:val="24"/>
          <w:rtl/>
        </w:rPr>
        <w:t>.</w:t>
      </w:r>
      <w:r w:rsidR="00313907" w:rsidRPr="00235FBA">
        <w:rPr>
          <w:sz w:val="24"/>
          <w:szCs w:val="24"/>
        </w:rPr>
        <w:t xml:space="preserve"> </w:t>
      </w:r>
      <w:r w:rsidR="00313907" w:rsidRPr="00235FBA">
        <w:rPr>
          <w:sz w:val="24"/>
          <w:szCs w:val="24"/>
          <w:rtl/>
        </w:rPr>
        <w:t>نظرية أداء سلسلة التوريد</w:t>
      </w:r>
      <w:r w:rsidR="00313907" w:rsidRPr="00235FBA">
        <w:rPr>
          <w:sz w:val="24"/>
          <w:szCs w:val="24"/>
        </w:rPr>
        <w:t xml:space="preserve"> (Supply Chain Performance Theory)</w:t>
      </w:r>
      <w:bookmarkEnd w:id="38"/>
    </w:p>
    <w:p w14:paraId="16C5857D" w14:textId="7CA0B6AA" w:rsidR="00313907" w:rsidRDefault="00313907" w:rsidP="00235FBA">
      <w:pPr>
        <w:spacing w:line="360" w:lineRule="auto"/>
        <w:ind w:left="360"/>
        <w:jc w:val="both"/>
        <w:rPr>
          <w:rFonts w:ascii="Simplified Arabic" w:hAnsi="Simplified Arabic" w:cs="Simplified Arabic"/>
          <w:sz w:val="24"/>
          <w:szCs w:val="24"/>
          <w:rtl/>
        </w:rPr>
      </w:pPr>
      <w:r w:rsidRPr="00235FBA">
        <w:rPr>
          <w:rFonts w:ascii="Simplified Arabic" w:hAnsi="Simplified Arabic" w:cs="Simplified Arabic"/>
          <w:sz w:val="24"/>
          <w:szCs w:val="24"/>
          <w:rtl/>
        </w:rPr>
        <w:t>تركّز نظرية أداء سلسلة التوريد على فهم وتحليل العوامل التي تؤثر على كفاءة وفعالية سلسلة التوريد داخل المؤسسات. تستند هذه النظرية إلى فرضية أساسية مفادها أن الأداء العالي في سلسلة التوريد لا يُقاس فقط بتقليل التكاليف، بل يشمل أيضًا عوامل مثل مرونة التوريد، موثوقية التسليم، دوران المخزون، رضا العملاء، والتكامل بين وحدات العمل. ووفقًا لـ</w:t>
      </w:r>
      <w:r w:rsidRPr="00235FBA">
        <w:rPr>
          <w:rFonts w:ascii="Simplified Arabic" w:hAnsi="Simplified Arabic" w:cs="Simplified Arabic"/>
          <w:sz w:val="24"/>
          <w:szCs w:val="24"/>
        </w:rPr>
        <w:t xml:space="preserve"> Christopher (2016)</w:t>
      </w:r>
      <w:r w:rsidRPr="00235FBA">
        <w:rPr>
          <w:rFonts w:ascii="Simplified Arabic" w:hAnsi="Simplified Arabic" w:cs="Simplified Arabic"/>
          <w:sz w:val="24"/>
          <w:szCs w:val="24"/>
          <w:rtl/>
        </w:rPr>
        <w:t>، فإن أداء سلسلة التوريد أصبح مؤشرًا استراتيجيًا يعكس مدى قدرة المنظمة على تحقيق ميزة تنافسية في الأسواق العالمية المعقدة</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يرى</w:t>
      </w:r>
      <w:r w:rsidRPr="00235FBA">
        <w:rPr>
          <w:rFonts w:ascii="Simplified Arabic" w:hAnsi="Simplified Arabic" w:cs="Simplified Arabic"/>
          <w:sz w:val="24"/>
          <w:szCs w:val="24"/>
        </w:rPr>
        <w:t xml:space="preserve"> Gligor </w:t>
      </w:r>
      <w:r w:rsidRPr="00235FBA">
        <w:rPr>
          <w:rFonts w:ascii="Simplified Arabic" w:hAnsi="Simplified Arabic" w:cs="Simplified Arabic"/>
          <w:sz w:val="24"/>
          <w:szCs w:val="24"/>
          <w:rtl/>
        </w:rPr>
        <w:t>وآخرون (2016) أن تقييم أداء سلسلة التوريد يجب أن يشمل ثلاثة أبعاد مترابطة</w:t>
      </w:r>
      <w:r w:rsidRPr="00235FBA">
        <w:rPr>
          <w:rFonts w:ascii="Simplified Arabic" w:hAnsi="Simplified Arabic" w:cs="Simplified Arabic"/>
          <w:sz w:val="24"/>
          <w:szCs w:val="24"/>
        </w:rPr>
        <w:t xml:space="preserve">: </w:t>
      </w:r>
      <w:r w:rsidRPr="00235FBA">
        <w:rPr>
          <w:rFonts w:ascii="Simplified Arabic" w:hAnsi="Simplified Arabic" w:cs="Simplified Arabic"/>
          <w:sz w:val="24"/>
          <w:szCs w:val="24"/>
          <w:rtl/>
        </w:rPr>
        <w:t>الكفاءة</w:t>
      </w:r>
      <w:r w:rsidRPr="00235FBA">
        <w:rPr>
          <w:rFonts w:ascii="Simplified Arabic" w:hAnsi="Simplified Arabic" w:cs="Simplified Arabic"/>
          <w:sz w:val="24"/>
          <w:szCs w:val="24"/>
        </w:rPr>
        <w:t xml:space="preserve"> (Efficiency)</w:t>
      </w:r>
      <w:r w:rsidRPr="00235FBA">
        <w:rPr>
          <w:rFonts w:ascii="Simplified Arabic" w:hAnsi="Simplified Arabic" w:cs="Simplified Arabic"/>
          <w:sz w:val="24"/>
          <w:szCs w:val="24"/>
          <w:rtl/>
        </w:rPr>
        <w:t>، الاستجابة</w:t>
      </w:r>
      <w:r w:rsidRPr="00235FBA">
        <w:rPr>
          <w:rFonts w:ascii="Simplified Arabic" w:hAnsi="Simplified Arabic" w:cs="Simplified Arabic"/>
          <w:sz w:val="24"/>
          <w:szCs w:val="24"/>
        </w:rPr>
        <w:t xml:space="preserve"> (Responsiveness)</w:t>
      </w:r>
      <w:r w:rsidRPr="00235FBA">
        <w:rPr>
          <w:rFonts w:ascii="Simplified Arabic" w:hAnsi="Simplified Arabic" w:cs="Simplified Arabic"/>
          <w:sz w:val="24"/>
          <w:szCs w:val="24"/>
          <w:rtl/>
        </w:rPr>
        <w:t>، والمرونة</w:t>
      </w:r>
      <w:r w:rsidRPr="00235FBA">
        <w:rPr>
          <w:rFonts w:ascii="Simplified Arabic" w:hAnsi="Simplified Arabic" w:cs="Simplified Arabic"/>
          <w:sz w:val="24"/>
          <w:szCs w:val="24"/>
        </w:rPr>
        <w:t xml:space="preserve"> (Flexibility). </w:t>
      </w:r>
      <w:r w:rsidRPr="00235FBA">
        <w:rPr>
          <w:rFonts w:ascii="Simplified Arabic" w:hAnsi="Simplified Arabic" w:cs="Simplified Arabic"/>
          <w:sz w:val="24"/>
          <w:szCs w:val="24"/>
          <w:rtl/>
        </w:rPr>
        <w:t>فالكفاءة تشير إلى استخدام الموارد بأقل تكلفة ممكنة، أما الاستجابة فتعني القدرة على تلبية احتياجات العملاء بسرعة، بينما تمثل المرونة قابلية التكيّف مع التغيرات في السوق أو سلاسل الإمداد. هذه الأبعاد تتطلب قيادة فعالة تدعم التنسيق بين مختلف الأطراف وتدفع التحسين المستمر للعمليات</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تُظهر النماذج الحديثة، مثل نموذج</w:t>
      </w:r>
      <w:r w:rsidRPr="00235FBA">
        <w:rPr>
          <w:rFonts w:ascii="Simplified Arabic" w:hAnsi="Simplified Arabic" w:cs="Simplified Arabic"/>
          <w:sz w:val="24"/>
          <w:szCs w:val="24"/>
        </w:rPr>
        <w:t xml:space="preserve"> Gunasekaran </w:t>
      </w:r>
      <w:r w:rsidRPr="00235FBA">
        <w:rPr>
          <w:rFonts w:ascii="Simplified Arabic" w:hAnsi="Simplified Arabic" w:cs="Simplified Arabic"/>
          <w:sz w:val="24"/>
          <w:szCs w:val="24"/>
          <w:rtl/>
        </w:rPr>
        <w:t>وآخرين (2001)، أن أداء سلسلة التوريد يتأثر بعدة متغيرات رئيسية، من بينها</w:t>
      </w:r>
      <w:r w:rsidRPr="00235FBA">
        <w:rPr>
          <w:rFonts w:ascii="Simplified Arabic" w:hAnsi="Simplified Arabic" w:cs="Simplified Arabic"/>
          <w:sz w:val="24"/>
          <w:szCs w:val="24"/>
        </w:rPr>
        <w:t xml:space="preserve">: </w:t>
      </w:r>
      <w:r w:rsidRPr="00235FBA">
        <w:rPr>
          <w:rFonts w:ascii="Simplified Arabic" w:hAnsi="Simplified Arabic" w:cs="Simplified Arabic"/>
          <w:sz w:val="24"/>
          <w:szCs w:val="24"/>
          <w:rtl/>
        </w:rPr>
        <w:t>زمن الدورة الكلي</w:t>
      </w:r>
      <w:r w:rsidRPr="00235FBA">
        <w:rPr>
          <w:rFonts w:ascii="Simplified Arabic" w:hAnsi="Simplified Arabic" w:cs="Simplified Arabic"/>
          <w:sz w:val="24"/>
          <w:szCs w:val="24"/>
        </w:rPr>
        <w:t xml:space="preserve"> (Cycle Time)</w:t>
      </w:r>
      <w:r w:rsidRPr="00235FBA">
        <w:rPr>
          <w:rFonts w:ascii="Simplified Arabic" w:hAnsi="Simplified Arabic" w:cs="Simplified Arabic"/>
          <w:sz w:val="24"/>
          <w:szCs w:val="24"/>
          <w:rtl/>
        </w:rPr>
        <w:t>، دقة التنبؤ بالطلب</w:t>
      </w:r>
      <w:r w:rsidRPr="00235FBA">
        <w:rPr>
          <w:rFonts w:ascii="Simplified Arabic" w:hAnsi="Simplified Arabic" w:cs="Simplified Arabic"/>
          <w:sz w:val="24"/>
          <w:szCs w:val="24"/>
        </w:rPr>
        <w:t xml:space="preserve"> (Forecast Accuracy)</w:t>
      </w:r>
      <w:r w:rsidRPr="00235FBA">
        <w:rPr>
          <w:rFonts w:ascii="Simplified Arabic" w:hAnsi="Simplified Arabic" w:cs="Simplified Arabic"/>
          <w:sz w:val="24"/>
          <w:szCs w:val="24"/>
          <w:rtl/>
        </w:rPr>
        <w:t>، تكاليف النقل والتخزين، بالإضافة إلى مستوى تكامل البيانات بين الموردين والمصنعين والموزعين. وتؤكد هذه النماذج أن التكنولوجيا ليست العامل الوحيد في تحقيق الكفاءة، بل إن الثقافة التنظيمية والقيادة وتشارك المعلومات تلعب أدوارًا محورية</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من الناحية العملية، تُعد نظرية أداء سلسلة التوريد إطارًا حاسمًا لفهم العلاقة بين السلوك الإداري والنتائج التشغيلية. في المملكة العربية السعودية، يُعد تطبيق هذه النظرية أداة مهمة لتطوير الصناعات الوطنية، لا سيما في ظل التوجه الاستراتيجي لرؤية 2030 نحو رفع كفاءة التصنيع واللوجستيات. ووفقًا لتقرير وزارة الصناعة والثروة المعدنية (2023)، فإن أحد أبرز التحديات التي تواجه سلاسل الإمداد الصناعية السعودية يتمثل في ضعف التكامل والتنسيق، ما ينعكس سلبًا على الأداء العام</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تشير الدراسات المحلية مثل دراسة العتيبي (2020) والمطيري (2021) إلى أن المؤسسات الصناعية التي تتبنى مؤشرات أداء واضحة، وتراقب مستوى الخدمة، والسرعة، والتكاليف، تحقق نتائج تشغيلية أفضل وتتمتع بمرونة أكبر في مواجهة التغيرات. كما توصلت دراسة الضويحي وآخرون (2021) إلى أن التفاعل الفعّال بين فرق سلسلة التوريد والقيادة يُعد من العوامل الحاسمة في تحسين الاستجابة وتقليل زمن التسليم وتحقيق رضا العملاء</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إن أهمية هذه النظرية تبرز في دعم اتخاذ القرارات التشغيلية والاستراتيجية، كما تمهد لتقييم الأداء بشكل دوري وتحديد مجالات التحسين المستمرة. علاوة على ذلك، فإن ربطها بنظرية القيادة التحويلية في هذا البحث يساعد في تحليل كيف يمكن للسلوك القيادي أن يؤثر بشكل مباشر على نتائج سلسلة التوريد من خلال التحفيز والتوجيه وتطوير القدرات التنظيمية</w:t>
      </w:r>
      <w:r w:rsidRPr="00235FBA">
        <w:rPr>
          <w:rFonts w:ascii="Simplified Arabic" w:hAnsi="Simplified Arabic" w:cs="Simplified Arabic"/>
          <w:sz w:val="24"/>
          <w:szCs w:val="24"/>
        </w:rPr>
        <w:t>.</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ختامًا، تمثل نظرية أداء سلسلة التوريد حجر الزاوية في تحليل فعالية العمليات الصناعية، وتُعد أداة استراتيجية لتوجيه التحسين والتطوير. ومن خلال دمجها في هذا البحث مع نموذج القيادة التحويلية، يمكن بناء إطار تحليلي قوي لفهم تأثير القيادة على الكفاءة التشغيلية داخل سلاسل التوريد السعودية</w:t>
      </w:r>
      <w:r w:rsidRPr="00235FBA">
        <w:rPr>
          <w:rFonts w:ascii="Simplified Arabic" w:hAnsi="Simplified Arabic" w:cs="Simplified Arabic"/>
          <w:sz w:val="24"/>
          <w:szCs w:val="24"/>
        </w:rPr>
        <w:t>.</w:t>
      </w:r>
    </w:p>
    <w:p w14:paraId="1D6503EC" w14:textId="77777777" w:rsidR="00235FBA" w:rsidRDefault="00235FBA" w:rsidP="00235FBA">
      <w:pPr>
        <w:spacing w:line="360" w:lineRule="auto"/>
        <w:ind w:left="360"/>
        <w:jc w:val="both"/>
        <w:rPr>
          <w:rFonts w:ascii="Simplified Arabic" w:hAnsi="Simplified Arabic" w:cs="Simplified Arabic"/>
          <w:sz w:val="24"/>
          <w:szCs w:val="24"/>
          <w:rtl/>
        </w:rPr>
      </w:pPr>
    </w:p>
    <w:p w14:paraId="3C8C9FFA" w14:textId="77777777" w:rsidR="00235FBA" w:rsidRDefault="00235FBA" w:rsidP="00235FBA">
      <w:pPr>
        <w:spacing w:line="360" w:lineRule="auto"/>
        <w:ind w:left="360"/>
        <w:jc w:val="both"/>
        <w:rPr>
          <w:rFonts w:ascii="Simplified Arabic" w:hAnsi="Simplified Arabic" w:cs="Simplified Arabic"/>
          <w:sz w:val="24"/>
          <w:szCs w:val="24"/>
          <w:rtl/>
        </w:rPr>
      </w:pPr>
    </w:p>
    <w:p w14:paraId="33058DC9" w14:textId="77777777" w:rsidR="00235FBA" w:rsidRPr="00235FBA" w:rsidRDefault="00235FBA" w:rsidP="00235FBA">
      <w:pPr>
        <w:spacing w:line="360" w:lineRule="auto"/>
        <w:ind w:left="360"/>
        <w:jc w:val="both"/>
        <w:rPr>
          <w:rFonts w:ascii="Simplified Arabic" w:hAnsi="Simplified Arabic" w:cs="Simplified Arabic"/>
          <w:sz w:val="24"/>
          <w:szCs w:val="24"/>
        </w:rPr>
      </w:pPr>
    </w:p>
    <w:p w14:paraId="3C6BA079" w14:textId="16E0A521" w:rsidR="00313907" w:rsidRPr="00235FBA" w:rsidRDefault="00235FBA" w:rsidP="00235FBA">
      <w:pPr>
        <w:pStyle w:val="Heading3"/>
        <w:bidi/>
        <w:rPr>
          <w:sz w:val="24"/>
          <w:szCs w:val="24"/>
        </w:rPr>
      </w:pPr>
      <w:bookmarkStart w:id="39" w:name="_Toc203627783"/>
      <w:r>
        <w:rPr>
          <w:rFonts w:hint="cs"/>
          <w:sz w:val="24"/>
          <w:szCs w:val="24"/>
          <w:rtl/>
        </w:rPr>
        <w:t>3.3.2</w:t>
      </w:r>
      <w:r w:rsidR="00313907" w:rsidRPr="00235FBA">
        <w:rPr>
          <w:sz w:val="24"/>
          <w:szCs w:val="24"/>
          <w:rtl/>
        </w:rPr>
        <w:t>. تكامل النظريات في هذه الدراسة</w:t>
      </w:r>
      <w:bookmarkEnd w:id="39"/>
    </w:p>
    <w:p w14:paraId="23F055BF" w14:textId="278A95FB" w:rsidR="001F6172" w:rsidRPr="00235FBA" w:rsidRDefault="00313907" w:rsidP="00235FBA">
      <w:pPr>
        <w:spacing w:line="360" w:lineRule="auto"/>
        <w:ind w:left="360"/>
        <w:jc w:val="both"/>
        <w:rPr>
          <w:rFonts w:ascii="Simplified Arabic" w:hAnsi="Simplified Arabic" w:cs="Simplified Arabic"/>
          <w:sz w:val="24"/>
          <w:szCs w:val="24"/>
        </w:rPr>
      </w:pPr>
      <w:r w:rsidRPr="00235FBA">
        <w:rPr>
          <w:rFonts w:ascii="Simplified Arabic" w:hAnsi="Simplified Arabic" w:cs="Simplified Arabic"/>
          <w:sz w:val="24"/>
          <w:szCs w:val="24"/>
          <w:rtl/>
        </w:rPr>
        <w:t>تدمج هذه الدراسة نظرية القيادة التحويلية ونظرية أداء سلسلة التوريد لإنشاء إطار مفاهيمي متماسك لدراسة كيفية تأثير سلوكيات القيادة على الكفاءة التشغيلية ضمن سلاسل التوريد الصناعية السعودية. يكمن الأساس المنطقي لهذا التكامل في إدراك أن القيادة ليست مجرد وظيفة إدارية، بل هي مُمَكِّن استراتيجي للأداء التنظيمي - لا سيما في الأنظمة المعقدة مثل سلاسل التوريد (باس وأفوليو، ١٩٩٤؛ كريستوفر، ٢٠١٦).</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يرتكز التوافق النظري بين هذين النموذجين على فكرة أن القيادة التحويلية تُعزز ثقافة الابتكار والاستجابة والتعاون بين الوظائف - وجميعها خصائص أساسية لسلاسل التوريد الفعالة والمرنة. على سبيل المثال، يُشجع بُعد التحفيز الفكري الموظفين على تحدي الممارسات التقليدية، مما يتماشى مع حاجة سلسلة التوريد إلى التحسين المستمر للعمليات والقدرة على التكيف. وبالمثل، يُعزز الاهتمام الفردي تطوير الموظفين والاحتفاظ بهم، مما يُسهم في تنسيق أكثر سلاسة وتقليل الاحتكاك التشغيلي في عمليات سلسلة التوريد (جليجور وآخرون، 2016).</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في النموذج المفاهيمي لهذه الدراسة، تُعامل القيادة التحويلية كمتغير مستقل، بينما تُعتبر كفاءة سلسلة التوريد - التي تُقاس من خلال مؤشرات رئيسية مثل فعالية التكلفة، وموثوقية التسليم، والمرونة، ودوران المخزون - المتغير التابع. يسمح تكامل النظريتين بفرضية أن سلوكيات القيادة الفعالة يمكن أن تؤثر بشكل مباشر على النتائج القابلة للقياس في أداء سلسلة التوريد. وهذا يُمكّن الدراسة من تجاوز نماذج المدخلات والمخرجات التقليدية واستكشاف الآليات السلوكية التي تُحفز التميز التشغيلي.</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يُقدم السياق السعودي حالةً مُقنعةً بشكل خاص لهذا التكامل النظري. فمع خضوع المملكة لتحول صناعي كبير في ظل رؤية 2030، فإنها تواجه تحديات مثل انقطاعات الإمدادات العالمية، والحاجة إلى التوطين، والطلب على الرقمنة السريعة. وفي هذا السياق، تُعتبر القيادة عاملاً حاسماً في التعامل مع التغيير ومواءمة القدرات الداخلية مع الأهداف الاستراتيجية (وزارة الصناعة والثروة المعدنية، 2023). من خلال الاستفادة من مبادئ القيادة التحويلية، يمكن للمنظمات الصناعية بناء سلاسل توريد أكثر تكيفًا وتكاملًا وفعالية من حيث التكلفة.</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تدعم الدراسات المحلية السابقة، مثل تلك التي أجراها القحطاني (2017) والمطري (2021)، فرضية أن أسلوب القيادة يؤثر بشكل كبير على فعالية العمليات. ومع ذلك، لم تربط سوى قلة من الدراسات صراحةً القيادة التحويلية بمؤشرات أداء سلسلة التوريد في القطاع الصناعي في المملكة العربية السعودية. تعالج هذه الدراسة هذه الفجوة من خلال الجمع بين إطارين نظريين راسخين في نموذج موحد قابل للتطبيق على التحديات الواقعية التي تواجهها الشركات السعودية.</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علاوة على ذلك، يُعزز دمج هذه النظريات المساهمة الأكاديمية للدراسة من خلال تمكين التحليل متعدد الأبعاد. كما أنها توفر رؤية أكثر شمولية لأداء المنظمة، حيث تلتقط كلاً من العوامل البشرية (القيادة) والنظامية (سلسلة التوريد). يُعد هذا التآزر النظري ضروريًا لتصميم استراتيجيات عملية وبرامج لتطوير القيادة لا تُعزز الأداء الفردي فحسب، بل تُعزز أيضًا المرونة والمرونة الجماعية لسلسلة التوريد بأكملها.</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وفي الختام، يعكس الإطار النظري لهذه الدراسة تقاطعًا استراتيجيًا بين القيادة والإدارة التشغيلية. من خلال دمج نظرية القيادة التحويلية مع نظرية أداء سلسلة التوريد، يضع البحث أساسًا متينًا لاستكشاف كيف يمكن لممارسات القيادة التي تركز على الإنسان أن تفتح الباب أمام قدر أكبر من الكفاءة والمرونة والابتكار في سلاسل التوريد الصناعية - وخاصة في المشهد الاقتصادي السعودي سريع التطور</w:t>
      </w:r>
      <w:r w:rsidR="001F6172" w:rsidRPr="00235FBA">
        <w:rPr>
          <w:rFonts w:ascii="Simplified Arabic" w:hAnsi="Simplified Arabic" w:cs="Simplified Arabic"/>
          <w:sz w:val="24"/>
          <w:szCs w:val="24"/>
        </w:rPr>
        <w:t>.</w:t>
      </w:r>
    </w:p>
    <w:p w14:paraId="33C935F2" w14:textId="00F99873" w:rsidR="001F6172" w:rsidRPr="001F6172" w:rsidRDefault="00235FBA" w:rsidP="00243324">
      <w:pPr>
        <w:pStyle w:val="Heading2"/>
        <w:rPr>
          <w:rFonts w:eastAsia="Times New Roman"/>
        </w:rPr>
      </w:pPr>
      <w:r>
        <w:rPr>
          <w:rFonts w:eastAsia="Times New Roman" w:hint="cs"/>
          <w:rtl/>
        </w:rPr>
        <w:t xml:space="preserve"> </w:t>
      </w:r>
      <w:bookmarkStart w:id="40" w:name="_Toc203627784"/>
      <w:r w:rsidR="00243324">
        <w:rPr>
          <w:rFonts w:eastAsia="Times New Roman" w:hint="cs"/>
          <w:rtl/>
        </w:rPr>
        <w:t>4.2.</w:t>
      </w:r>
      <w:r w:rsidR="001F6172" w:rsidRPr="001F6172">
        <w:rPr>
          <w:rFonts w:eastAsia="Times New Roman"/>
          <w:rtl/>
        </w:rPr>
        <w:t>ربط القيادة بأداء سلسلة التوريد</w:t>
      </w:r>
      <w:r w:rsidR="00243324">
        <w:rPr>
          <w:rFonts w:eastAsia="Times New Roman" w:hint="cs"/>
          <w:rtl/>
        </w:rPr>
        <w:t>:</w:t>
      </w:r>
      <w:bookmarkEnd w:id="40"/>
    </w:p>
    <w:p w14:paraId="027FB0ED" w14:textId="025A35F1" w:rsidR="001F6172" w:rsidRPr="00235FBA" w:rsidRDefault="00235FBA" w:rsidP="00243324">
      <w:pPr>
        <w:pStyle w:val="Heading3"/>
        <w:bidi/>
        <w:rPr>
          <w:sz w:val="24"/>
          <w:szCs w:val="24"/>
        </w:rPr>
      </w:pPr>
      <w:bookmarkStart w:id="41" w:name="_Toc203627785"/>
      <w:r>
        <w:rPr>
          <w:rFonts w:hint="cs"/>
          <w:sz w:val="24"/>
          <w:szCs w:val="24"/>
          <w:rtl/>
        </w:rPr>
        <w:t>1.</w:t>
      </w:r>
      <w:r w:rsidR="00243324">
        <w:rPr>
          <w:rFonts w:hint="cs"/>
          <w:sz w:val="24"/>
          <w:szCs w:val="24"/>
          <w:rtl/>
        </w:rPr>
        <w:t>4</w:t>
      </w:r>
      <w:r>
        <w:rPr>
          <w:rFonts w:hint="cs"/>
          <w:sz w:val="24"/>
          <w:szCs w:val="24"/>
          <w:rtl/>
        </w:rPr>
        <w:t>.</w:t>
      </w:r>
      <w:r w:rsidR="00243324">
        <w:rPr>
          <w:rFonts w:hint="cs"/>
          <w:sz w:val="24"/>
          <w:szCs w:val="24"/>
          <w:rtl/>
        </w:rPr>
        <w:t>2</w:t>
      </w:r>
      <w:r>
        <w:rPr>
          <w:rFonts w:hint="cs"/>
          <w:sz w:val="24"/>
          <w:szCs w:val="24"/>
          <w:rtl/>
        </w:rPr>
        <w:t>.</w:t>
      </w:r>
      <w:r w:rsidR="001F6172" w:rsidRPr="00235FBA">
        <w:rPr>
          <w:sz w:val="24"/>
          <w:szCs w:val="24"/>
          <w:rtl/>
        </w:rPr>
        <w:t>كيف يؤثر سلوك القيادة على النتائج التشغيلية</w:t>
      </w:r>
      <w:r w:rsidR="00243324">
        <w:rPr>
          <w:rFonts w:hint="cs"/>
          <w:sz w:val="24"/>
          <w:szCs w:val="24"/>
          <w:rtl/>
        </w:rPr>
        <w:t>:</w:t>
      </w:r>
      <w:bookmarkEnd w:id="41"/>
    </w:p>
    <w:p w14:paraId="389BABA1" w14:textId="5F657BF1" w:rsidR="001F6172" w:rsidRPr="00235FBA" w:rsidRDefault="001F6172" w:rsidP="00235FBA">
      <w:pPr>
        <w:spacing w:line="360" w:lineRule="auto"/>
        <w:ind w:left="360"/>
        <w:jc w:val="both"/>
        <w:rPr>
          <w:rFonts w:ascii="Simplified Arabic" w:hAnsi="Simplified Arabic" w:cs="Simplified Arabic"/>
          <w:sz w:val="24"/>
          <w:szCs w:val="24"/>
        </w:rPr>
      </w:pPr>
      <w:r w:rsidRPr="00235FBA">
        <w:rPr>
          <w:rFonts w:ascii="Simplified Arabic" w:hAnsi="Simplified Arabic" w:cs="Simplified Arabic"/>
          <w:sz w:val="24"/>
          <w:szCs w:val="24"/>
          <w:rtl/>
        </w:rPr>
        <w:t>تلعب القيادة دورًا محوريًا في تشكيل التوجه الاستراتيجي والنتائج التشغيلية للمؤسسة، لا سيما ضمن أنظمة سلسلة التوريد التي تعتمد على التنسيق والسرعة والاستجابة. في مثل هذه البيئات، لا يقتصر سلوك القيادة على الإشراف أو اتخاذ القرارات؛ بل يمتد ليشمل التأثير على الثقافة، وتحفيز الأداء، وتمكين التعاون بين مختلف الوظائف، وتعزيز القدرة على التكيف في ظل ظروف عدم اليقين. ويُعرف نموذج القيادة التحويلية، على وجه الخصوص، بقدرته على دفع عجلة تحسين أداء سلسلة التوريد من خلال مواءمة الأفراد والعمليات والأهداف الاستراتيجية (باس وريجيو، 2006).</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يُقيّم الأداء التشغيلي ضمن سلاسل التوريد عادةً من خلال مقاييس مثل موثوقية التسليم، وكفاءة التكلفة، ودوران المخزون، والاستجابة. وتؤثر سلوكيات القيادة على هذه النتائج من خلال التأثير على مشاركة الفريق، وتدفق الاتصالات، وحل المشكلات، والابتكار. على سبيل المثال، يميل القادة الذين يُظهرون تأثيرًا مثاليًا إلى بناء الثقة بين الإدارات، مما يُسهّل التنسيق والتخطيط المشترك بشكل أكثر سلاسة، وهو أمرٌ ضروري لتقليل التأخير وتجنب الاضطرابات المُكلفة (كريستوفر، 2016). تُعد هذه القيادة القائمة على الثقة بالغة الأهمية عند إدارة فرق سلسلة التوريد متعددة الوظائف والمنتشرة عبر وظائف أو مناطق جغرافية مختلفة.</w:t>
      </w:r>
    </w:p>
    <w:p w14:paraId="47141F9F" w14:textId="77777777" w:rsidR="001F6172" w:rsidRPr="00235FBA" w:rsidRDefault="001F6172" w:rsidP="00235FBA">
      <w:pPr>
        <w:spacing w:line="360" w:lineRule="auto"/>
        <w:ind w:left="360"/>
        <w:jc w:val="both"/>
        <w:rPr>
          <w:rFonts w:ascii="Simplified Arabic" w:hAnsi="Simplified Arabic" w:cs="Simplified Arabic"/>
          <w:sz w:val="24"/>
          <w:szCs w:val="24"/>
        </w:rPr>
      </w:pPr>
    </w:p>
    <w:p w14:paraId="7D5A0C96" w14:textId="6371491F" w:rsidR="001F6172" w:rsidRDefault="001F6172" w:rsidP="00235FBA">
      <w:pPr>
        <w:spacing w:line="360" w:lineRule="auto"/>
        <w:ind w:left="360"/>
        <w:jc w:val="both"/>
        <w:rPr>
          <w:rFonts w:ascii="Times New Roman" w:eastAsia="Times New Roman" w:hAnsi="Times New Roman" w:cs="Times New Roman"/>
          <w:kern w:val="0"/>
          <w:sz w:val="24"/>
          <w:szCs w:val="24"/>
          <w:rtl/>
          <w14:ligatures w14:val="none"/>
        </w:rPr>
      </w:pPr>
      <w:r w:rsidRPr="00235FBA">
        <w:rPr>
          <w:rFonts w:ascii="Simplified Arabic" w:hAnsi="Simplified Arabic" w:cs="Simplified Arabic"/>
          <w:sz w:val="24"/>
          <w:szCs w:val="24"/>
          <w:rtl/>
        </w:rPr>
        <w:t>علاوة على ذلك، يُعزز التحفيز المُلهم التوافق التنظيمي من خلال تزويد الموظفين بشعور واضح بالهدف والاتجاه. وفي سياق تنفيذ سلسلة التوريد، يُحفز هذا موظفي الخطوط الأمامية على الحفاظ على جودة الخدمة، وتحقيق أهداف التسليم، والتركيز تحت الضغط. وقد أظهرت الدراسات أن المؤسسات التي يقودها قادة ذوو رؤية ثاقبة تميل إلى التفوق على المنافسين في إدارة الخدمات اللوجستية المعقدة والحفاظ على عمليات فعالة من حيث التكلفة (بودساكوف وآخرون، 1996؛ غليغور وآخرون، 2016).</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يُساهم التحفيز الفكري، وهو بُعد آخر من أبعاد القيادة التحويلية، بشكل مباشر في ابتكار سلسلة التوريد من خلال تشجيع الموظفين على مناقشة العمليات القديمة واعتماد سير عمل أكثر كفاءة. على سبيل المثال، في عمليات المستودعات أو المشتريات، قد تؤدي القيادة المحفزة فكريًا إلى مبادرات أتمتة، أو ممارسات جرد رشيقة، أو نماذج تنبؤ أكثر ذكاءً. يعزز هذا السلوك المرونة ويُمكّن سلسلة التوريد من الاستجابة لتغيرات السوق بسرعة أكبر (الدويحي وآخرون، 2021).</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على المستوى الشخصي، يكون للاعتبارات الفردية تأثير إيجابي على استبقاء الموظفين وتطوير مهاراتهم. في أدوار سلسلة التوريد - التي يتضمن الكثير منها مهامًا فنية أو متكررة - تساعد هذه السمة القيادية في الحفاظ على الروح المعنوية وتقليل دوران الموظفين، وبالتالي الحفاظ على المعرفة التنظيمية وتجنب إعادة التدريب المكلفة. كما أنها تدعم التدريب المتبادل وتخطيط خلافة القيادة، وهما أمران حيويان لبناء فرق سلسلة توريد مرنة (المطيري، 2021).</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تؤكد الأبحاث التجريبية أن القيادة التحويلية ترتبط ارتباطًا إيجابيًا بمؤشرات الأداء الملموسة (مثل تقليل أوقات الدورة، وخفض التكاليف) وغير الملموسة (مثل تماسك الفريق، ورضا الموظفين). تتجلى هذه التأثيرات بشكل خاص في البيئات الصناعية حيث يعتمد النجاح على الاتساق التشغيلي وسرعة التنفيذ. في القطاع الصناعي السعودي، حيث تُركز رؤية 2030 على التوطين والتميز الصناعي، تُعتبر سلوكيات القيادة هذه عوامل تمكين أساسية لتنافسية سلسلة التوريد (وزارة الصناعة والثروة المعدنية، 2023).</w:t>
      </w:r>
      <w:r w:rsidR="00235FBA">
        <w:rPr>
          <w:rFonts w:ascii="Simplified Arabic" w:hAnsi="Simplified Arabic" w:cs="Simplified Arabic" w:hint="cs"/>
          <w:sz w:val="24"/>
          <w:szCs w:val="24"/>
          <w:rtl/>
        </w:rPr>
        <w:t xml:space="preserve"> ان </w:t>
      </w:r>
      <w:r w:rsidRPr="00235FBA">
        <w:rPr>
          <w:rFonts w:ascii="Simplified Arabic" w:hAnsi="Simplified Arabic" w:cs="Simplified Arabic"/>
          <w:sz w:val="24"/>
          <w:szCs w:val="24"/>
          <w:rtl/>
        </w:rPr>
        <w:t>سلوك القيادة - وخاصةً القيادة التحويلية - له تأثير مباشر وملموس على أداء سلسلة التوريد. فمن خلال تعزيز التعاون، وتشجيع الابتكار، وتحسين مشاركة الموظفين، يُعزز القادة الفعالون التميز التشغيلي والنجاح الاستراتيجي طويل الأمد. وهذا يُعزز الحجة المركزية للدراسة الحالية: أن القيادة ليست وظيفة دعم خارجي، بل هي محرك أساسي لفعالية سلسلة التوريد في المؤسسات الصناعية</w:t>
      </w:r>
      <w:r w:rsidR="004B1C53">
        <w:rPr>
          <w:rFonts w:ascii="Times New Roman" w:eastAsia="Times New Roman" w:hAnsi="Times New Roman" w:cs="Times New Roman"/>
          <w:kern w:val="0"/>
          <w:sz w:val="24"/>
          <w:szCs w:val="24"/>
          <w14:ligatures w14:val="none"/>
        </w:rPr>
        <w:t>.</w:t>
      </w:r>
    </w:p>
    <w:p w14:paraId="29EF7156" w14:textId="77777777" w:rsidR="00235FBA" w:rsidRDefault="00235FBA" w:rsidP="00235FBA">
      <w:pPr>
        <w:spacing w:line="360" w:lineRule="auto"/>
        <w:ind w:left="360"/>
        <w:jc w:val="both"/>
        <w:rPr>
          <w:rFonts w:ascii="Times New Roman" w:eastAsia="Times New Roman" w:hAnsi="Times New Roman" w:cs="Times New Roman"/>
          <w:kern w:val="0"/>
          <w:sz w:val="24"/>
          <w:szCs w:val="24"/>
          <w:rtl/>
          <w14:ligatures w14:val="none"/>
        </w:rPr>
      </w:pPr>
    </w:p>
    <w:p w14:paraId="61DBBB18" w14:textId="77777777" w:rsidR="00235FBA" w:rsidRDefault="00235FBA" w:rsidP="00235FBA">
      <w:pPr>
        <w:spacing w:line="360" w:lineRule="auto"/>
        <w:ind w:left="360"/>
        <w:jc w:val="both"/>
        <w:rPr>
          <w:rFonts w:ascii="Times New Roman" w:eastAsia="Times New Roman" w:hAnsi="Times New Roman" w:cs="Times New Roman"/>
          <w:kern w:val="0"/>
          <w:sz w:val="24"/>
          <w:szCs w:val="24"/>
          <w14:ligatures w14:val="none"/>
        </w:rPr>
      </w:pPr>
    </w:p>
    <w:p w14:paraId="0CFC28EF" w14:textId="2145DBF2" w:rsidR="004B1C53" w:rsidRPr="00773CA6" w:rsidRDefault="00235FBA" w:rsidP="00243324">
      <w:pPr>
        <w:pStyle w:val="Heading3"/>
        <w:bidi/>
        <w:rPr>
          <w:sz w:val="24"/>
          <w:szCs w:val="24"/>
        </w:rPr>
      </w:pPr>
      <w:bookmarkStart w:id="42" w:name="_Toc203627786"/>
      <w:r w:rsidRPr="00773CA6">
        <w:rPr>
          <w:rFonts w:hint="cs"/>
          <w:sz w:val="24"/>
          <w:szCs w:val="24"/>
          <w:rtl/>
        </w:rPr>
        <w:t>2</w:t>
      </w:r>
      <w:r w:rsidRPr="00773CA6">
        <w:rPr>
          <w:rFonts w:hint="cs"/>
          <w:sz w:val="24"/>
          <w:szCs w:val="24"/>
          <w:rtl/>
        </w:rPr>
        <w:t>.</w:t>
      </w:r>
      <w:r w:rsidR="00243324" w:rsidRPr="00773CA6">
        <w:rPr>
          <w:rFonts w:hint="cs"/>
          <w:sz w:val="24"/>
          <w:szCs w:val="24"/>
          <w:rtl/>
        </w:rPr>
        <w:t>4</w:t>
      </w:r>
      <w:r w:rsidRPr="00773CA6">
        <w:rPr>
          <w:rFonts w:hint="cs"/>
          <w:sz w:val="24"/>
          <w:szCs w:val="24"/>
          <w:rtl/>
        </w:rPr>
        <w:t>.</w:t>
      </w:r>
      <w:r w:rsidR="00243324" w:rsidRPr="00773CA6">
        <w:rPr>
          <w:rFonts w:hint="cs"/>
          <w:sz w:val="24"/>
          <w:szCs w:val="24"/>
          <w:rtl/>
        </w:rPr>
        <w:t>2</w:t>
      </w:r>
      <w:r w:rsidRPr="00773CA6">
        <w:rPr>
          <w:rFonts w:hint="cs"/>
          <w:sz w:val="24"/>
          <w:szCs w:val="24"/>
          <w:rtl/>
        </w:rPr>
        <w:t>.</w:t>
      </w:r>
      <w:r w:rsidR="004B1C53" w:rsidRPr="00773CA6">
        <w:rPr>
          <w:sz w:val="24"/>
          <w:szCs w:val="24"/>
          <w:rtl/>
        </w:rPr>
        <w:t>التوافق الاستراتيجي والتنسيق بين الإدارات</w:t>
      </w:r>
      <w:bookmarkEnd w:id="42"/>
    </w:p>
    <w:p w14:paraId="6271FC0A" w14:textId="77777777" w:rsidR="004B1C53" w:rsidRPr="00235FBA" w:rsidRDefault="004B1C53" w:rsidP="00235FBA">
      <w:pPr>
        <w:spacing w:line="360" w:lineRule="auto"/>
        <w:ind w:left="360"/>
        <w:jc w:val="both"/>
        <w:rPr>
          <w:rFonts w:ascii="Simplified Arabic" w:hAnsi="Simplified Arabic" w:cs="Simplified Arabic"/>
          <w:sz w:val="24"/>
          <w:szCs w:val="24"/>
        </w:rPr>
      </w:pPr>
      <w:r w:rsidRPr="00235FBA">
        <w:rPr>
          <w:rFonts w:ascii="Simplified Arabic" w:hAnsi="Simplified Arabic" w:cs="Simplified Arabic"/>
          <w:sz w:val="24"/>
          <w:szCs w:val="24"/>
          <w:rtl/>
        </w:rPr>
        <w:t>يُعد التوافق الاستراتيجي والتنسيق بين الإدارات من أهم الطرق التي تؤثر بها القيادة على أداء سلسلة التوريد. ففي البيئات الصناعية المعقدة، حيث يجب أن تعمل وحدات المشتريات والإنتاج والخدمات اللوجستية وخدمة العملاء بتناغم، تؤثر سلوكيات القيادة بشكل كبير على مستوى التكامل والتآزر بين هذه الوحدات. يشير التوافق الاستراتيجي إلى قدرة القيادة على ضمان ارتباط أهداف سلسلة التوريد ارتباطًا مباشرًا بأهداف المؤسسة الأوسع، مثل إدارة التكاليف، وضمان الجودة، وسرعة الاستجابة للعملاء (كريستوفر، 2016).</w:t>
      </w:r>
    </w:p>
    <w:p w14:paraId="72159581" w14:textId="13742ED4" w:rsidR="004B1C53" w:rsidRPr="00235FBA" w:rsidRDefault="004B1C53" w:rsidP="00235FBA">
      <w:pPr>
        <w:spacing w:line="360" w:lineRule="auto"/>
        <w:ind w:left="360"/>
        <w:jc w:val="both"/>
        <w:rPr>
          <w:rFonts w:ascii="Simplified Arabic" w:hAnsi="Simplified Arabic" w:cs="Simplified Arabic"/>
          <w:sz w:val="24"/>
          <w:szCs w:val="24"/>
        </w:rPr>
      </w:pPr>
      <w:r w:rsidRPr="00235FBA">
        <w:rPr>
          <w:rFonts w:ascii="Simplified Arabic" w:hAnsi="Simplified Arabic" w:cs="Simplified Arabic"/>
          <w:sz w:val="24"/>
          <w:szCs w:val="24"/>
          <w:rtl/>
        </w:rPr>
        <w:t>يلعب القادة التحويليون دورًا محوريًا في صياغة رؤية موحدة وتوصيلها عبر الإدارات. ومن خلال التحفيز الملهم والتأثير المثالي، يساعدون الإدارات على مواءمة عملياتها مع استراتيجية الشركة. يقلل هذا التوافق من التضاربات التشغيلية، ويُحسّن تخصيص الموارد، ويضمن مساهمة جميع المجالات الوظيفية بفعالية في كفاءة سلسلة التوريد. في الشركات الصناعية السعودية، حيث لا تزال الهياكل الهرمية سائدة، يُمكن للقادة الذين يُكسرون الحواجز ويُوحّدون فرقهم حول أهداف مشتركة أن يُحسّنوا بشكل كبير موثوقية التسليم والاستجابة العامة (القحطاني، 2017).</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كما أن التنسيق الفعال بين الإدارات مدفوع بقدرة القيادة على تعزيز الثقة والشفافية والتعاون. غالبًا ما تكون للإدارات، مثل المشتريات والإنتاج، أولويات متضاربة (مثل التكلفة مقابل السرعة)، وتقع على عاتق القائد مسؤولية التوسط وتحديد الأولويات وتسهيل التفاهم المتبادل. القادة الذين يُظهرون اهتمامًا فرديًا وتحفيزًا فكريًا هم أكثر ميلًا لتشجيع حل المشكلات المشترك والمبادرات متعددة الوظائف التي تُزيل التكرار وتُعزز التزامن (باس وريجيو، 2006).</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عمليًا، يُمكّن التوافق الاستراتيجي المؤسسات من بناء سلاسل توريد مُركّزة وقابلة للتكيف. على سبيل المثال، عندما يتم إبلاغ توقعات التسويق بدقة إلى الإنتاج والمشتريات، فإن ذلك يُقلل من فائض المخزون أو نقص الإنتاج. وبالمثل، عندما يتم تنسيق فرق الخدمات اللوجستية مع تخطيط المخزون، يتم تقليل مُهل التسليم للعملاء. هذه الكفاءات ليست تقنية بحتة، بل هي نتائج تنظيمية تُمكّنها سلوكيات قيادية تُعطي الأولوية للتكامل والأداء الجماعي (الزهراني، 2018).</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تُظهر الأبحاث أن المؤسسات التي تتمتع بتوافق قوي بين استراتيجية سلسلة التوريد وأهداف العمل تُحقق أداءً متفوقًا في مجالات مثل ضبط التكاليف، وسرعة طرح المنتجات في السوق، ورضا العملاء (جليجور وآخرون، 2016). علاوة على ذلك، ارتبطت القيادة التحويلية ارتباطًا إيجابيًا بالتعاون في سلسلة التوريد، والمرونة، والمرونة - وكلها تعتمد على التنسيق الفعال بين الوحدات الداخلية والشركاء الخارجيين.</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في السياق السعودي، غالبًا ما يُشار إلى عدم التوافق الاستراتيجي كعائق أمام إصلاح سلسلة التوريد. تستثمر العديد من الشركات الصناعية في التقنيات المتقدمة أو استراتيجيات التوريد العالمية دون ضمان مشاركة الإدارات الداخلية في الأهداف نفسها أو التواصل الفعال. تُشدد رؤية 2030 على الحاجة إلى التماسك التشغيلي، وتُعتبر القيادة عاملًا رئيسيًا في تمكين هذا التحول (وزارة الصناعة والثروة المعدنية، 2023).باختصار، تُسهّل القيادة التوافق والتنسيق الاستراتيجي من خلال توحيد الإدارات تحت رؤية مشتركة، وحل النزاعات الداخلية، وتعزيز التواصل. تُعد هذه السلوكيات أساسية لتحقيق التميز في سلسلة التوريد، ومواجهة التعقيد المتزايد للعمليات الصناعية. لذلك، فإن الاستثمار في تطوير القيادة ليس مجرد مبادرة للموارد البشرية، بل هو استراتيجية أساسية لتحسين نتائج العمليات وسلسلة التوريد</w:t>
      </w:r>
      <w:r w:rsidRPr="00235FBA">
        <w:rPr>
          <w:rFonts w:ascii="Simplified Arabic" w:hAnsi="Simplified Arabic" w:cs="Simplified Arabic"/>
          <w:sz w:val="24"/>
          <w:szCs w:val="24"/>
        </w:rPr>
        <w:t>.</w:t>
      </w:r>
    </w:p>
    <w:p w14:paraId="3DBD634E" w14:textId="06862E81" w:rsidR="004B1C53" w:rsidRPr="00235FBA" w:rsidRDefault="00243324" w:rsidP="00235FBA">
      <w:pPr>
        <w:pStyle w:val="Heading2"/>
      </w:pPr>
      <w:bookmarkStart w:id="43" w:name="_Toc203627787"/>
      <w:r>
        <w:rPr>
          <w:rStyle w:val="Heading2Char"/>
          <w:rFonts w:hint="cs"/>
          <w:rtl/>
        </w:rPr>
        <w:t>5.2.</w:t>
      </w:r>
      <w:r w:rsidR="004B1C53" w:rsidRPr="00235FBA">
        <w:rPr>
          <w:rStyle w:val="Heading2Char"/>
          <w:rtl/>
        </w:rPr>
        <w:t>دراسات</w:t>
      </w:r>
      <w:r w:rsidR="004B1C53" w:rsidRPr="00235FBA">
        <w:rPr>
          <w:rtl/>
        </w:rPr>
        <w:t xml:space="preserve"> تجريبية حول القيادة وسلسلة التوريد</w:t>
      </w:r>
      <w:r>
        <w:rPr>
          <w:rFonts w:hint="cs"/>
          <w:rtl/>
        </w:rPr>
        <w:t>:</w:t>
      </w:r>
      <w:bookmarkEnd w:id="43"/>
    </w:p>
    <w:p w14:paraId="2597799C" w14:textId="64B2C707" w:rsidR="004B1C53" w:rsidRPr="00235FBA" w:rsidRDefault="00243324" w:rsidP="00243324">
      <w:pPr>
        <w:pStyle w:val="Heading3"/>
        <w:bidi/>
        <w:rPr>
          <w:sz w:val="24"/>
          <w:szCs w:val="24"/>
        </w:rPr>
      </w:pPr>
      <w:bookmarkStart w:id="44" w:name="_Toc203627788"/>
      <w:r>
        <w:rPr>
          <w:rFonts w:hint="cs"/>
          <w:sz w:val="24"/>
          <w:szCs w:val="24"/>
          <w:rtl/>
        </w:rPr>
        <w:t>1.5.2.</w:t>
      </w:r>
      <w:r w:rsidR="004B1C53" w:rsidRPr="00235FBA">
        <w:rPr>
          <w:sz w:val="24"/>
          <w:szCs w:val="24"/>
          <w:rtl/>
        </w:rPr>
        <w:t>أدلة تجريبية عالمية</w:t>
      </w:r>
      <w:r>
        <w:rPr>
          <w:rFonts w:hint="cs"/>
          <w:sz w:val="24"/>
          <w:szCs w:val="24"/>
          <w:rtl/>
        </w:rPr>
        <w:t>:</w:t>
      </w:r>
      <w:bookmarkEnd w:id="44"/>
    </w:p>
    <w:p w14:paraId="4115668E" w14:textId="0C2DE41F" w:rsidR="004B1C53" w:rsidRPr="00235FBA" w:rsidRDefault="004B1C53" w:rsidP="00A828BE">
      <w:pPr>
        <w:spacing w:line="360" w:lineRule="auto"/>
        <w:ind w:left="360"/>
        <w:jc w:val="both"/>
        <w:rPr>
          <w:rFonts w:ascii="Simplified Arabic" w:hAnsi="Simplified Arabic" w:cs="Simplified Arabic"/>
          <w:sz w:val="24"/>
          <w:szCs w:val="24"/>
        </w:rPr>
      </w:pPr>
      <w:r w:rsidRPr="00235FBA">
        <w:rPr>
          <w:rFonts w:ascii="Simplified Arabic" w:hAnsi="Simplified Arabic" w:cs="Simplified Arabic"/>
          <w:sz w:val="24"/>
          <w:szCs w:val="24"/>
          <w:rtl/>
        </w:rPr>
        <w:t>على مدى العقدين الماضيين، استكشفت دراسات تجريبية عديدة العلاقة بين أساليب القيادة - وخاصةً القيادة التحويلية - وأداء سلسلة التوريد في سياقات عالمية متنوعة. تُقدم هذه الدراسات أساسًا نظريًا وعمليًا متينًا يدعم الحجة القائلة بأن سلوكيات القيادة تؤثر بشكل كبير على المقاييس التشغيلية الرئيسية، مثل الاستجابة والتكامل والابتكار وكفاءة التكلفة ضمن سلاسل التوريد.</w:t>
      </w:r>
      <w:r w:rsidR="00235FBA" w:rsidRP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جاءت إحدى أوائل المساهمات من تريفلاس ودريموسيس (2013)، اللذان أجريا دراسة في شركات التصنيع اليونانية، ووجدا أن القيادة التحويلية ترتبط ارتباطًا إيجابيًا بنتائج إدارة الجودة والأداء التنظيمي العام. وأظهر البحث أن القادة الذين استخدموا التحفيز الملهم والتحفيز الفكري ساهموا في تعزيز ثقافة تركز على الجودة، مما عزز الكفاءة التشغيلية في جميع الإدارات، بما في ذلك وظائف سلسلة التوريد.</w:t>
      </w:r>
      <w:r w:rsidRPr="004B1C53">
        <w:rPr>
          <w:rFonts w:ascii="Times New Roman" w:eastAsia="Times New Roman" w:hAnsi="Symbol" w:cs="Times New Roman"/>
          <w:kern w:val="0"/>
          <w:sz w:val="24"/>
          <w:szCs w:val="24"/>
          <w:rtl/>
          <w14:ligatures w14:val="none"/>
        </w:rPr>
        <w:t>وبالمثل، بحث نغوين وآخرون (2017) في تأثير القيادة التحويلية على الأداء في عينة من المؤسسات الفيتنامية. كشفت نتائجهم أن القادة الذين شجعوا الابتكار ومواءمة الفريق حققوا نتائج أفضل في سلسلة التوريد، بما في ذلك سير عمل أكثر سلاسة، وسرعة في اتخاذ القرارات، وقدرة أكبر على التكيف. وبرزت هذه النتائج بشكل خاص في ظل ظروف السوق المتقلبة، حيث عملت القيادة كقوة استقرار وتوجيه للعمليات الداخلية.</w:t>
      </w:r>
      <w:r w:rsidR="00235FBA">
        <w:rPr>
          <w:rFonts w:ascii="Times New Roman" w:eastAsia="Times New Roman" w:hAnsi="Symbol" w:cs="Times New Roman" w:hint="cs"/>
          <w:kern w:val="0"/>
          <w:sz w:val="24"/>
          <w:szCs w:val="24"/>
          <w:rtl/>
          <w14:ligatures w14:val="none"/>
        </w:rPr>
        <w:t xml:space="preserve"> </w:t>
      </w:r>
      <w:r w:rsidRPr="00235FBA">
        <w:rPr>
          <w:rFonts w:ascii="Simplified Arabic" w:hAnsi="Simplified Arabic" w:cs="Simplified Arabic"/>
          <w:sz w:val="24"/>
          <w:szCs w:val="24"/>
          <w:rtl/>
        </w:rPr>
        <w:t>في نهج أكثر تنوعًا وتعددية التخصصات، طور غليغور وهولكوم وستانك (2016) نموذجًا يربط القيادة بمرونة سلسلة التوريد. وأظهرت نتائجهم التجريبية من شركات مقرها الولايات المتحدة أن سلوكيات القيادة التحويلية - وخاصةً مراعاة الاحتياجات الفردية - حسّنت بشكل كبير من مرونة الشركات في الاستجابة لتغيرات طلب العملاء وانقطاعات العرض. وأكدت الدراسة أن العوامل الناعمة مثل الثقة والتعاون والتواصل المفتوح - التي تتيحها القيادة - كانت حاسمة في تعزيز استجابة سلسلة التوريد.</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وتوسع غوناسيكاران وآخرون (2017) في هذه الأفكار من خلال دراسة دور القيادة في بناء سلاسل توريد مرنة. أُجريت دراستهم في عدة دول، وخلصت إلى أن القادة التحويليين ساعدوا المؤسسات على تجاوز حالة عدم اليقين من خلال الإدارة الاستباقية للمخاطر، ودمج التكنولوجيا، وتمكين الموظفين. وارتبطت هذه الإجراءات ارتباطًا مباشرًا بمقاييس الأداء، مثل تقليل مهلة التسليم، وتحسين مستويات الخدمة، واستمرارية التوريد خلال الأزمات.</w:t>
      </w:r>
      <w:r w:rsidR="00235FBA">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علاوة على ذلك، قدّم بودساكوف وآخرون (1996) إثباتًا كميًا مبكرًا للعلاقة بين القيادة التحويلية وسلوكيات المواطنة التنظيمية (</w:t>
      </w:r>
      <w:r w:rsidRPr="00235FBA">
        <w:rPr>
          <w:rFonts w:ascii="Simplified Arabic" w:hAnsi="Simplified Arabic" w:cs="Simplified Arabic"/>
          <w:sz w:val="24"/>
          <w:szCs w:val="24"/>
        </w:rPr>
        <w:t>OCB</w:t>
      </w:r>
      <w:r w:rsidRPr="00235FBA">
        <w:rPr>
          <w:rFonts w:ascii="Simplified Arabic" w:hAnsi="Simplified Arabic" w:cs="Simplified Arabic"/>
          <w:sz w:val="24"/>
          <w:szCs w:val="24"/>
          <w:rtl/>
        </w:rPr>
        <w:t>)، التي تدعم بشكل غير مباشر كفاءة سلسلة التوريد من خلال تعزيز التعاون، وحل المشكلات طوعيًا، وتقليل النزاعات بين الوحدات التشغيلية.</w:t>
      </w:r>
      <w:r w:rsidR="00A828BE">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وتؤكد هذه الدراسات العالمية مجتمعةً أن القيادة التحويلية لا تخضع لقيود ثقافية أو قطاعية. وسواءً في الدول المتقدمة أو النامية، أو في قطاعي التصنيع والخدمات، فقد أظهرت السلوكيات الأساسية للتواصل الرؤيوي، والدعم الفردي، وتحفيز الابتكار آثارًا إيجابية متسقة على نتائج سلسلة التوريد. وتعزز هذه المجموعة العالمية من الأدلة الأساس المنطقي للبحث في علاقات مماثلة في السياق السعودي، حيث يجري التحول الصناعي، وتلعب القيادة دورًا استراتيجيًا متزايدًا.</w:t>
      </w:r>
      <w:r w:rsidR="00A828BE">
        <w:rPr>
          <w:rFonts w:ascii="Simplified Arabic" w:hAnsi="Simplified Arabic" w:cs="Simplified Arabic" w:hint="cs"/>
          <w:sz w:val="24"/>
          <w:szCs w:val="24"/>
          <w:rtl/>
        </w:rPr>
        <w:t xml:space="preserve"> </w:t>
      </w:r>
      <w:r w:rsidRPr="00235FBA">
        <w:rPr>
          <w:rFonts w:ascii="Simplified Arabic" w:hAnsi="Simplified Arabic" w:cs="Simplified Arabic"/>
          <w:sz w:val="24"/>
          <w:szCs w:val="24"/>
          <w:rtl/>
        </w:rPr>
        <w:t>باختصار، تؤكد الأبحاث التجريبية العالمية أن القيادة التحويلية عامل رئيسي في سلاسل توريد تتسم بالكفاءة والمرونة والمرونة. تُثبت هذه النتائج صحة الافتراضات النظرية التي تقوم عليها هذه الدراسة، وتوفر معايير مقارنة لتقييم ممارسات القيادة داخل المؤسسات الصناعية السعودية</w:t>
      </w:r>
      <w:r w:rsidRPr="00235FBA">
        <w:rPr>
          <w:rFonts w:ascii="Simplified Arabic" w:hAnsi="Simplified Arabic" w:cs="Simplified Arabic"/>
          <w:sz w:val="24"/>
          <w:szCs w:val="24"/>
        </w:rPr>
        <w:t>.</w:t>
      </w:r>
    </w:p>
    <w:p w14:paraId="23932ACC" w14:textId="1F7BB4FD" w:rsidR="004B1C53" w:rsidRPr="00243324" w:rsidRDefault="00243324" w:rsidP="00243324">
      <w:pPr>
        <w:pStyle w:val="Heading3"/>
        <w:bidi/>
        <w:rPr>
          <w:sz w:val="24"/>
          <w:szCs w:val="24"/>
        </w:rPr>
      </w:pPr>
      <w:bookmarkStart w:id="45" w:name="_Toc203627789"/>
      <w:r>
        <w:rPr>
          <w:rFonts w:hint="cs"/>
          <w:sz w:val="24"/>
          <w:szCs w:val="24"/>
          <w:rtl/>
        </w:rPr>
        <w:t>2</w:t>
      </w:r>
      <w:r>
        <w:rPr>
          <w:rFonts w:hint="cs"/>
          <w:sz w:val="24"/>
          <w:szCs w:val="24"/>
          <w:rtl/>
        </w:rPr>
        <w:t>.5.2</w:t>
      </w:r>
      <w:r>
        <w:rPr>
          <w:rFonts w:hint="cs"/>
          <w:sz w:val="24"/>
          <w:szCs w:val="24"/>
          <w:rtl/>
        </w:rPr>
        <w:t>.</w:t>
      </w:r>
      <w:r w:rsidR="004B1C53" w:rsidRPr="00243324">
        <w:rPr>
          <w:sz w:val="24"/>
          <w:szCs w:val="24"/>
          <w:rtl/>
        </w:rPr>
        <w:t>دراسات حالة إقليمية وسعودية</w:t>
      </w:r>
      <w:r>
        <w:rPr>
          <w:rFonts w:hint="cs"/>
          <w:sz w:val="24"/>
          <w:szCs w:val="24"/>
          <w:rtl/>
        </w:rPr>
        <w:t>:</w:t>
      </w:r>
      <w:bookmarkEnd w:id="45"/>
    </w:p>
    <w:p w14:paraId="6D4857BF" w14:textId="0212F0D4" w:rsidR="004B1C53" w:rsidRPr="00A828BE" w:rsidRDefault="004B1C53" w:rsidP="00A828BE">
      <w:pPr>
        <w:spacing w:line="360" w:lineRule="auto"/>
        <w:ind w:left="360"/>
        <w:jc w:val="both"/>
        <w:rPr>
          <w:rFonts w:ascii="Simplified Arabic" w:hAnsi="Simplified Arabic" w:cs="Simplified Arabic"/>
          <w:sz w:val="24"/>
          <w:szCs w:val="24"/>
        </w:rPr>
      </w:pPr>
      <w:r w:rsidRPr="00A828BE">
        <w:rPr>
          <w:rFonts w:ascii="Simplified Arabic" w:hAnsi="Simplified Arabic" w:cs="Simplified Arabic"/>
          <w:sz w:val="24"/>
          <w:szCs w:val="24"/>
          <w:rtl/>
        </w:rPr>
        <w:t>في حين أثبتت الدراسات العالمية وجود صلة وثيقة بين القيادة التحويلية وأداء سلسلة التوريد، تُقدم الأبحاث الإقليمية والسعودية رؤى سياقية مهمة تعكس الديناميكيات التنظيمية والثقافية والاقتصادية الفريدة في الشرق الأوسط، وخاصةً داخل المملكة العربية السعودية. تُعد دراسات الحالة هذه بالغة الأهمية للتحقق من صحة الأطر النظرية العالمية في منطقة تتميز بهياكل هرمية، ومركزية في اتخاذ القرارات، واستراتيجيات صناعية سريعة التطور في ظل رؤية 2030.</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بحثت دراسة بارزة أجراها الدوّيحي وآخرون (2021) العلاقة بين أساليب القيادة ومرونة سلسلة التوريد في شركات التصنيع السعودية. وجد الباحثون ارتباطًا ذا دلالة إحصائية بين سلوكيات القيادة التحويلية، وخاصةً التحفيز الملهم والاهتمام الفردي، وتعزيز المرونة والاستجابة في سلاسل التوريد. ساعدت هذه السلوكيات المؤسسات على إدارة الاضطرابات بشكل أفضل، وتحسين التنسيق مع الموردين، وبناء مرونة داخلية خلال فترات عدم اليقين، مثل جائحة كوفيد-19.</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وبالمثل، أجرى المطيري (2021) أطروحة ماجستير بحثت في تأثير أنماط القيادة على الكفاءة التشغيلية في المصانع السعودية. وسلطت النتائج الضوء على أن المصانع التي يقودها قادة تحويليون أفادت بارتفاع مشاركة الموظفين، وتخطيط توريد أكثر دقة، واستجابة أسرع لتغيرات الإنتاج. وأكدت الدراسة على أهمية التحفيز الفكري في تعزيز الابتكار وحل المشكلات بين فرق سلسلة التوريد، مما يؤدي إلى تحسين التوافق بين المشتريات والتصنيع والخدمات اللوجستية.</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وقدم القحطاني (2017) مساهمة تجريبية أخرى، حيث استكشف تأثير القيادة التحويلية على الأداء التنظيمي في القطاع الصناعي السعودي. وخلص إلى أن سلوكيات القيادة التي تشجع على مواءمة الرؤية وتمكين الفرق تؤثر بشكل مباشر على مؤشرات الأداء الرئيسية مثل مهلة التسليم، وجودة المنتج، ودوران المخزون. ودعمت دراسته الادعاء بأن أسلوب القيادة أداة استراتيجية للتنافسية الصناعية وفعالية سلسلة التوريد.</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على المستوى الإقليمي، استكشف أفشان وشريف (2016) تأثير القيادة على التعاون والثقة في سلسلة التوريد عبر دول مجلس التعاون الخليجي. لاحظوا أن القيادة التحويلية ترتبط ارتباطًا إيجابيًا بجودة علاقات الموردين، وتعزيز الشفافية، وتبادل المعلومات - وهي عوامل أساسية لتحسين تنسيق سلسلة التوريد وتقليل التأخيرات التشغيلية.</w:t>
      </w:r>
    </w:p>
    <w:p w14:paraId="7C50D627" w14:textId="150639B2" w:rsidR="001F6172" w:rsidRDefault="004B1C53" w:rsidP="00A828BE">
      <w:pPr>
        <w:spacing w:line="360" w:lineRule="auto"/>
        <w:ind w:left="360"/>
        <w:jc w:val="both"/>
        <w:rPr>
          <w:rFonts w:ascii="Simplified Arabic" w:hAnsi="Simplified Arabic" w:cs="Simplified Arabic"/>
          <w:sz w:val="24"/>
          <w:szCs w:val="24"/>
          <w:rtl/>
        </w:rPr>
      </w:pPr>
      <w:r w:rsidRPr="00A828BE">
        <w:rPr>
          <w:rFonts w:ascii="Simplified Arabic" w:hAnsi="Simplified Arabic" w:cs="Simplified Arabic"/>
          <w:sz w:val="24"/>
          <w:szCs w:val="24"/>
          <w:rtl/>
        </w:rPr>
        <w:t>علاوة على ذلك، أجرى تشاو وآخرون (2011) دراسة مقارنة بين شركات آسيوية وشرق أوسطية، وأفادوا بوجود اختلافات ثقافية كبيرة في فعالية القيادة على نتائج سلسلة التوريد. ومع ذلك، أشاروا إلى أن أساليب القيادة التحويلية في منطقة الخليج - عند تكييفها مع المعايير المحلية - ساعدت على سد الفجوات بين الإدارات، ومكّنت الموظفين من المساهمة في ابتكارات سلسلة التوريد.</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تُظهر دراسات الحالة هذه مجتمعةً أن القيادة التحويلية ذات صلة وفعالية في السياق الصناعي السعودي والإقليمي. كما تُظهر أن القيادة لا تؤثر فقط على النتائج المادية مثل معنويات الموظفين، بل تؤثر أيضًا على مقاييس ملموسة مثل كفاءة التكلفة، ووقت التسليم، ودوران المخزون. والأهم من ذلك، أنها تُثبت أهمية القيادة كرافعة للأداء في سعي المملكة العربية السعودية نحو التميز الصناعي والقدرة التنافسية العالمية.</w:t>
      </w:r>
      <w:r w:rsidR="00A828BE" w:rsidRP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تدعم الأدلة الإقليمية دمج نظرية القيادة في دراسات سلسلة التوريد في المملكة العربية السعودية. تعزز هذه الحالات التجريبية فرضية البحث القائلة بأن القيادة التحويلية تشكل عاملاً رئيسياً في تمكين كفاءة سلسلة التوريد ومرونتها في المشهد الصناعي السعودي</w:t>
      </w:r>
      <w:r w:rsidRPr="00A828BE">
        <w:rPr>
          <w:rFonts w:ascii="Simplified Arabic" w:hAnsi="Simplified Arabic" w:cs="Simplified Arabic"/>
          <w:sz w:val="24"/>
          <w:szCs w:val="24"/>
        </w:rPr>
        <w:t>.</w:t>
      </w:r>
    </w:p>
    <w:p w14:paraId="67DB0F52" w14:textId="77777777" w:rsidR="00243324" w:rsidRDefault="00243324" w:rsidP="00A828BE">
      <w:pPr>
        <w:spacing w:line="360" w:lineRule="auto"/>
        <w:ind w:left="360"/>
        <w:jc w:val="both"/>
        <w:rPr>
          <w:rFonts w:ascii="Simplified Arabic" w:hAnsi="Simplified Arabic" w:cs="Simplified Arabic"/>
          <w:sz w:val="24"/>
          <w:szCs w:val="24"/>
          <w:rtl/>
        </w:rPr>
      </w:pPr>
    </w:p>
    <w:p w14:paraId="59E7AC95" w14:textId="77777777" w:rsidR="00243324" w:rsidRDefault="00243324" w:rsidP="00A828BE">
      <w:pPr>
        <w:spacing w:line="360" w:lineRule="auto"/>
        <w:ind w:left="360"/>
        <w:jc w:val="both"/>
        <w:rPr>
          <w:rFonts w:ascii="Simplified Arabic" w:hAnsi="Simplified Arabic" w:cs="Simplified Arabic"/>
          <w:sz w:val="24"/>
          <w:szCs w:val="24"/>
          <w:rtl/>
        </w:rPr>
      </w:pPr>
    </w:p>
    <w:p w14:paraId="2ABEE0D2" w14:textId="4AD937A4" w:rsidR="004B1C53" w:rsidRPr="00A828BE" w:rsidRDefault="00243324" w:rsidP="00A828BE">
      <w:pPr>
        <w:pStyle w:val="Heading2"/>
      </w:pPr>
      <w:bookmarkStart w:id="46" w:name="_Toc203627790"/>
      <w:r>
        <w:rPr>
          <w:rFonts w:hint="cs"/>
          <w:rtl/>
        </w:rPr>
        <w:t>6.2.</w:t>
      </w:r>
      <w:r w:rsidR="004B1C53" w:rsidRPr="00A828BE">
        <w:rPr>
          <w:rtl/>
        </w:rPr>
        <w:t>الفجوة البحثية والحاجة للدراسة الحالية</w:t>
      </w:r>
      <w:bookmarkEnd w:id="46"/>
    </w:p>
    <w:p w14:paraId="77C3A7EF" w14:textId="31215148" w:rsidR="004B1C53" w:rsidRPr="00243324" w:rsidRDefault="00243324" w:rsidP="00243324">
      <w:pPr>
        <w:pStyle w:val="Heading3"/>
        <w:bidi/>
        <w:rPr>
          <w:sz w:val="24"/>
          <w:szCs w:val="24"/>
        </w:rPr>
      </w:pPr>
      <w:bookmarkStart w:id="47" w:name="_Toc203627791"/>
      <w:r>
        <w:rPr>
          <w:rFonts w:hint="cs"/>
          <w:sz w:val="24"/>
          <w:szCs w:val="24"/>
          <w:rtl/>
        </w:rPr>
        <w:t>1.6.2.</w:t>
      </w:r>
      <w:r w:rsidR="004B1C53" w:rsidRPr="00243324">
        <w:rPr>
          <w:sz w:val="24"/>
          <w:szCs w:val="24"/>
          <w:rtl/>
        </w:rPr>
        <w:t>قيود الأبحاث الحالية</w:t>
      </w:r>
      <w:bookmarkEnd w:id="47"/>
    </w:p>
    <w:p w14:paraId="543F900C" w14:textId="0AD0328D" w:rsidR="004B1C53" w:rsidRPr="00A828BE" w:rsidRDefault="004B1C53" w:rsidP="00773CA6">
      <w:pPr>
        <w:spacing w:line="360" w:lineRule="auto"/>
        <w:ind w:left="360"/>
        <w:jc w:val="both"/>
        <w:rPr>
          <w:rFonts w:ascii="Simplified Arabic" w:hAnsi="Simplified Arabic" w:cs="Simplified Arabic"/>
          <w:sz w:val="24"/>
          <w:szCs w:val="24"/>
        </w:rPr>
      </w:pPr>
      <w:r w:rsidRPr="00A828BE">
        <w:rPr>
          <w:rFonts w:ascii="Simplified Arabic" w:hAnsi="Simplified Arabic" w:cs="Simplified Arabic"/>
          <w:sz w:val="24"/>
          <w:szCs w:val="24"/>
          <w:rtl/>
        </w:rPr>
        <w:t>على الرغم من تزايد البحوث التي تربط القيادة بالأداء التنظيمي، لا تزال هناك فجوة ملحوظة في الأدبيات المتعلقة بالعلاقة المباشرة بين القيادة التحويلية وكفاءة سلسلة التوريد، لا سيما في سياق القطاع الصناعي في المملكة العربية السعودية. تميل الكثير من الأبحاث الحالية إلى تعميم تأثير القيادة على مختلف الوظائف التنظيمية - مثل الموارد البشرية أو التسويق - دون التركيز على سلسلة التوريد كنظام أداء مستقل (باس وريجيو،</w:t>
      </w:r>
      <w:r w:rsidR="00773CA6" w:rsidRPr="00A828BE">
        <w:rPr>
          <w:rFonts w:ascii="Simplified Arabic" w:hAnsi="Simplified Arabic" w:cs="Simplified Arabic"/>
          <w:sz w:val="24"/>
          <w:szCs w:val="24"/>
          <w:rtl/>
        </w:rPr>
        <w:t>2006</w:t>
      </w:r>
      <w:r w:rsidRPr="00A828BE">
        <w:rPr>
          <w:rFonts w:ascii="Simplified Arabic" w:hAnsi="Simplified Arabic" w:cs="Simplified Arabic"/>
          <w:sz w:val="24"/>
          <w:szCs w:val="24"/>
          <w:rtl/>
        </w:rPr>
        <w:t xml:space="preserve"> </w:t>
      </w:r>
      <w:r w:rsidR="00773CA6">
        <w:rPr>
          <w:rFonts w:ascii="Simplified Arabic" w:hAnsi="Simplified Arabic" w:cs="Simplified Arabic" w:hint="cs"/>
          <w:sz w:val="24"/>
          <w:szCs w:val="24"/>
          <w:rtl/>
        </w:rPr>
        <w:t>)</w:t>
      </w:r>
      <w:r w:rsidR="00773CA6" w:rsidRPr="00A828BE">
        <w:rPr>
          <w:rFonts w:ascii="Simplified Arabic" w:hAnsi="Simplified Arabic" w:cs="Simplified Arabic"/>
          <w:sz w:val="24"/>
          <w:szCs w:val="24"/>
          <w:rtl/>
        </w:rPr>
        <w:t xml:space="preserve"> </w:t>
      </w:r>
      <w:r w:rsidRPr="00A828BE">
        <w:rPr>
          <w:rFonts w:ascii="Simplified Arabic" w:hAnsi="Simplified Arabic" w:cs="Simplified Arabic"/>
          <w:sz w:val="24"/>
          <w:szCs w:val="24"/>
          <w:rtl/>
        </w:rPr>
        <w:t>؛ غليغور وآخرون، 2016).</w:t>
      </w:r>
      <w:r w:rsid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من أبرز القيود في الأبحاث العالمية الحالية هو الميل إلى دراسة القيادة التحويلية في الاقتصادات الغربية المتقدمة ذات البنى التحتية الناضجة لسلسلة التوريد وثقافات الإدارة اللامركزية. قد لا تكون هذه النتائج، على الرغم من قيمتها، قابلة للتطبيق بشكل كامل على السياق الصناعي السعودي، حيث تخلق الهياكل التنظيمية الهرمية، والسلطة المركزية، ونضج سلسلة التوريد المتطور مجموعة مختلفة من التحديات والفرص (تشاو وآخرون، 2011؛ القحطاني، 2017). في السياق السعودي، لا يزال عدد الدراسات التجريبية التي تبحث بوضوح في كيفية تأثير سلوك القيادة على المؤشرات التشغيلية - مثل معدل دوران المخزون، وموثوقية التسليم، وزمن الدورة - محدودًا. ركزت معظم الدراسات المحلية على الأداء التنظيمي العام أو رضا الموظفين، مع تركيز ضئيل على مؤشرات الأداء الرئيسية القابلة للقياس لسلسلة التوريد. على سبيل المثال، بينما تناولت دراسات مثل المطيري (2021) والدويحي وآخرون (2021) جوانب المرونة والتنسيق، إلا أنها افتقرت إلى نماذج متكاملة تربط أبعاد القيادة بمقاييس تشغيلية محددة في سلاسل التوريد.</w:t>
      </w:r>
      <w:r w:rsid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 xml:space="preserve">ومن القيود الأخرى أن الأبحاث الحالية غالبًا ما تعزل الحلول التقنية أو التكنولوجية - مثل الأتمتة، وأنظمة تخطيط موارد المؤسسات، أو استراتيجيات الاستعانة بمصادر خارجية - كمحركات رئيسية لأداء سلسلة التوريد. وكثيرًا ما تتجاهل هذه الدراسات الأبعاد البشرية والسلوكية لإدارة سلسلة التوريد، وخاصة دور القيادة في دفع التغيير والابتكار والتوافق بين الإدارات (غوناسيكاران وآخرون، </w:t>
      </w:r>
      <w:r w:rsidR="00773CA6">
        <w:rPr>
          <w:rFonts w:ascii="Simplified Arabic" w:hAnsi="Simplified Arabic" w:cs="Simplified Arabic" w:hint="cs"/>
          <w:sz w:val="24"/>
          <w:szCs w:val="24"/>
          <w:rtl/>
        </w:rPr>
        <w:t>(2017</w:t>
      </w:r>
      <w:r w:rsidRPr="00A828BE">
        <w:rPr>
          <w:rFonts w:ascii="Simplified Arabic" w:hAnsi="Simplified Arabic" w:cs="Simplified Arabic"/>
          <w:sz w:val="24"/>
          <w:szCs w:val="24"/>
          <w:rtl/>
        </w:rPr>
        <w:t xml:space="preserve">). ونتيجة لذلك، غالبًا ما يُستقصى عامل القيادة بشكل غير كافٍ أو يُعامل كمتغير ثانوي. علاوة على ذلك، فإن الدراسات الطولية والمقارنة التي تحلل التأثير المستدام لسلوكيات القيادة على أداء سلسلة التوريد بمرور الوقت نادرة في كل من الأدبيات العالمية والإقليمية. تعتمد معظم الدراسات على التصاميم المقطعية، مما يحد من القدرة على ملاحظة علاقات السبب والنتيجة أو تأثير القيادة خلال دورات الاضطراب - مثل تلك التي شهدناها خلال جائحة كوفيد-19 أو صدمات سلسلة التوريد بسبب الأحداث الجيوسياسية (جليجور وآخرون، </w:t>
      </w:r>
      <w:r w:rsidR="00773CA6">
        <w:rPr>
          <w:rFonts w:ascii="Simplified Arabic" w:hAnsi="Simplified Arabic" w:cs="Simplified Arabic" w:hint="cs"/>
          <w:sz w:val="24"/>
          <w:szCs w:val="24"/>
          <w:rtl/>
        </w:rPr>
        <w:t>(</w:t>
      </w:r>
      <w:r w:rsidR="00773CA6" w:rsidRPr="00A828BE">
        <w:rPr>
          <w:rFonts w:ascii="Simplified Arabic" w:hAnsi="Simplified Arabic" w:cs="Simplified Arabic"/>
          <w:sz w:val="24"/>
          <w:szCs w:val="24"/>
          <w:rtl/>
        </w:rPr>
        <w:t>2016</w:t>
      </w:r>
      <w:r w:rsidRPr="00A828BE">
        <w:rPr>
          <w:rFonts w:ascii="Simplified Arabic" w:hAnsi="Simplified Arabic" w:cs="Simplified Arabic"/>
          <w:sz w:val="24"/>
          <w:szCs w:val="24"/>
          <w:rtl/>
        </w:rPr>
        <w:t>).</w:t>
      </w:r>
      <w:r w:rsid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هناك نقص في التكامل بين نظرية القيادة ونظرية أداء سلسلة التوريد في الدراسات الحالية. فبينما يشير العديد من المؤلفين إلى أنماط القيادة، إلا أن القليل منهم طور أطرًا مفاهيمية تربط سلوكيات القيادة بشكل مباشر بنتائج سلسلة التوريد المحددة. وهذا يحد من قدرة الشركات الصناعية وصانعي السياسات على تصميم برامج تدريبية فعالة أو تدخلات استراتيجية أو إصلاحات تنظيمية تستند إلى أدلة تجريبية.</w:t>
      </w:r>
      <w:r w:rsidR="00A828BE">
        <w:rPr>
          <w:rFonts w:ascii="Simplified Arabic" w:hAnsi="Simplified Arabic" w:cs="Simplified Arabic" w:hint="cs"/>
          <w:sz w:val="24"/>
          <w:szCs w:val="24"/>
          <w:rtl/>
        </w:rPr>
        <w:t xml:space="preserve"> </w:t>
      </w:r>
      <w:r w:rsidRPr="00A828BE">
        <w:rPr>
          <w:rFonts w:ascii="Simplified Arabic" w:hAnsi="Simplified Arabic" w:cs="Simplified Arabic"/>
          <w:sz w:val="24"/>
          <w:szCs w:val="24"/>
          <w:rtl/>
        </w:rPr>
        <w:t>تبرر هذه الثغرات البحثية الحاجة إلى الدراسة الحالية، التي تهدف إلى توفير فحص محدد السياق ومتكامل نظريًا ومبني على أسس تجريبية لكيفية تأثير القيادة التحويلية على كفاءة سلسلة التوريد في المنظمات الصناعية السعودية. ومن خلال معالجة هذه الفجوات، تساهم الدراسة ليس فقط في الأدبيات الأكاديمية، بل وأيضاً في الجهود العملية المتوافقة مع رؤية 2030، التي تؤكد على التميز التشغيلي والتحول الصناعي</w:t>
      </w:r>
      <w:r w:rsidRPr="00A828BE">
        <w:rPr>
          <w:rFonts w:ascii="Simplified Arabic" w:hAnsi="Simplified Arabic" w:cs="Simplified Arabic"/>
          <w:sz w:val="24"/>
          <w:szCs w:val="24"/>
        </w:rPr>
        <w:t>.</w:t>
      </w:r>
    </w:p>
    <w:p w14:paraId="4550D156" w14:textId="445AA6BA" w:rsidR="004B1C53" w:rsidRPr="004B1C53" w:rsidRDefault="00243324" w:rsidP="004B1C53">
      <w:pPr>
        <w:pStyle w:val="Heading3"/>
        <w:bidi/>
        <w:rPr>
          <w:rtl/>
        </w:rPr>
      </w:pPr>
      <w:bookmarkStart w:id="48" w:name="_Toc203627792"/>
      <w:r>
        <w:rPr>
          <w:rFonts w:hint="cs"/>
          <w:sz w:val="24"/>
          <w:szCs w:val="24"/>
          <w:rtl/>
        </w:rPr>
        <w:t>2</w:t>
      </w:r>
      <w:r w:rsidRPr="00243324">
        <w:rPr>
          <w:sz w:val="24"/>
          <w:szCs w:val="24"/>
          <w:rtl/>
        </w:rPr>
        <w:t>.6.2.</w:t>
      </w:r>
      <w:r w:rsidR="004B1C53" w:rsidRPr="00243324">
        <w:rPr>
          <w:sz w:val="24"/>
          <w:szCs w:val="24"/>
          <w:rtl/>
        </w:rPr>
        <w:t>مبررات التركيز على القطاع الصناعي السعودي</w:t>
      </w:r>
      <w:r>
        <w:rPr>
          <w:rFonts w:hint="cs"/>
          <w:sz w:val="24"/>
          <w:szCs w:val="24"/>
          <w:rtl/>
        </w:rPr>
        <w:t>:</w:t>
      </w:r>
      <w:bookmarkEnd w:id="48"/>
    </w:p>
    <w:p w14:paraId="6FB57437" w14:textId="76F6B29A" w:rsidR="00313907" w:rsidRDefault="004B1C53" w:rsidP="00773CA6">
      <w:pPr>
        <w:spacing w:line="360" w:lineRule="auto"/>
        <w:ind w:left="360"/>
        <w:jc w:val="both"/>
        <w:rPr>
          <w:rFonts w:ascii="Simplified Arabic" w:hAnsi="Simplified Arabic" w:cs="Simplified Arabic"/>
          <w:sz w:val="24"/>
          <w:szCs w:val="24"/>
          <w:rtl/>
        </w:rPr>
      </w:pPr>
      <w:r w:rsidRPr="004B1C53">
        <w:rPr>
          <w:rFonts w:ascii="Simplified Arabic" w:hAnsi="Simplified Arabic" w:cs="Simplified Arabic"/>
          <w:sz w:val="24"/>
          <w:szCs w:val="24"/>
          <w:rtl/>
        </w:rPr>
        <w:t>يُعد التركيز على القطاع الصناعي السعودي أمرًا في الوقت المناسب وذا أهمية استراتيجية، نظرًا للتحول المستمر الذي تشهده المملكة في ظل رؤية</w:t>
      </w:r>
      <w:r w:rsidR="00A828BE">
        <w:rPr>
          <w:rFonts w:ascii="Simplified Arabic" w:hAnsi="Simplified Arabic" w:cs="Simplified Arabic"/>
          <w:sz w:val="24"/>
          <w:szCs w:val="24"/>
        </w:rPr>
        <w:t>)</w:t>
      </w:r>
      <w:r w:rsidRPr="004B1C53">
        <w:rPr>
          <w:rFonts w:ascii="Simplified Arabic" w:hAnsi="Simplified Arabic" w:cs="Simplified Arabic"/>
          <w:sz w:val="24"/>
          <w:szCs w:val="24"/>
          <w:rtl/>
        </w:rPr>
        <w:t xml:space="preserve"> 2030</w:t>
      </w:r>
      <w:r w:rsidR="00A828BE">
        <w:rPr>
          <w:rFonts w:ascii="Simplified Arabic" w:hAnsi="Simplified Arabic" w:cs="Simplified Arabic"/>
          <w:sz w:val="24"/>
          <w:szCs w:val="24"/>
        </w:rPr>
        <w:t>(</w:t>
      </w:r>
      <w:r w:rsidRPr="004B1C53">
        <w:rPr>
          <w:rFonts w:ascii="Simplified Arabic" w:hAnsi="Simplified Arabic" w:cs="Simplified Arabic"/>
          <w:sz w:val="24"/>
          <w:szCs w:val="24"/>
          <w:rtl/>
        </w:rPr>
        <w:t>. تُركز أجندة الإصلاح الوطنية هذه على التنويع الاقتصادي، والتحديث الصناعي، وتطوير سلاسل توريد تنافسية. ومع انتقال المملكة العربية السعودية من اقتصاد يعتمد على النفط إلى اقتصاد قائم على المعرفة والإنتاج، أصبحت كفاءة ومرونة سلاسل التوريد الصناعية ركائز أساسية للتنافسية الوطنية (وزارة الصناعة والثروة المعدنية،</w:t>
      </w:r>
      <w:r w:rsidR="00A828BE">
        <w:rPr>
          <w:rFonts w:ascii="Simplified Arabic" w:hAnsi="Simplified Arabic" w:cs="Simplified Arabic"/>
          <w:sz w:val="24"/>
          <w:szCs w:val="24"/>
        </w:rPr>
        <w:t>)</w:t>
      </w:r>
      <w:r w:rsidR="00A828BE" w:rsidRPr="004B1C53">
        <w:rPr>
          <w:rFonts w:ascii="Simplified Arabic" w:hAnsi="Simplified Arabic" w:cs="Simplified Arabic"/>
          <w:sz w:val="24"/>
          <w:szCs w:val="24"/>
          <w:rtl/>
        </w:rPr>
        <w:t>2023</w:t>
      </w:r>
      <w:r w:rsidRPr="004B1C53">
        <w:rPr>
          <w:rFonts w:ascii="Simplified Arabic" w:hAnsi="Simplified Arabic" w:cs="Simplified Arabic"/>
          <w:sz w:val="24"/>
          <w:szCs w:val="24"/>
          <w:rtl/>
        </w:rPr>
        <w:t>).</w:t>
      </w:r>
      <w:r w:rsidR="00A828BE">
        <w:rPr>
          <w:rFonts w:ascii="Simplified Arabic" w:hAnsi="Simplified Arabic" w:cs="Simplified Arabic" w:hint="cs"/>
          <w:sz w:val="24"/>
          <w:szCs w:val="24"/>
          <w:rtl/>
        </w:rPr>
        <w:t xml:space="preserve"> </w:t>
      </w:r>
      <w:r w:rsidRPr="004B1C53">
        <w:rPr>
          <w:rFonts w:ascii="Simplified Arabic" w:hAnsi="Simplified Arabic" w:cs="Simplified Arabic"/>
          <w:sz w:val="24"/>
          <w:szCs w:val="24"/>
          <w:rtl/>
        </w:rPr>
        <w:t>شهد القطاع الصناعي في المملكة العربية السعودية توسعًا سريعًا في السنوات الأخيرة، لا سيما في قطاعات التصنيع والبتروكيماويات والخدمات اللوجستية والتعدين. ومع ذلك، غالبًا ما يواجه هذا النمو تحديات تتمثل في عدم الكفاءة التشغيلية، ومحدودية التنسيق، والاعتماد على الموردين الأجانب. وعلى الرغم من الاستثمارات الضخمة في التكنولوجيا والبنية التحتية، لا تزال العديد من المؤسسات الصناعية السعودية تعاني من تأخيرات في التوريد، وارتفاع تكاليف المخزون، وضعف الاستجابة لتغيرات السوق. تُبرز هذه التحديات الحاجة إلى مُمَكِّنات غير تقنية للأداء - مثل القيادة - تُكمِّل التحسينات الهيكلية بالتغيير السلوكي والتنظيمي (الزهراني،</w:t>
      </w:r>
      <w:r w:rsidR="00A828BE">
        <w:rPr>
          <w:rFonts w:ascii="Simplified Arabic" w:hAnsi="Simplified Arabic" w:cs="Simplified Arabic"/>
          <w:sz w:val="24"/>
          <w:szCs w:val="24"/>
        </w:rPr>
        <w:t>)</w:t>
      </w:r>
      <w:r w:rsidR="00A828BE" w:rsidRPr="004B1C53">
        <w:rPr>
          <w:rFonts w:ascii="Simplified Arabic" w:hAnsi="Simplified Arabic" w:cs="Simplified Arabic"/>
          <w:sz w:val="24"/>
          <w:szCs w:val="24"/>
          <w:rtl/>
        </w:rPr>
        <w:t>2018</w:t>
      </w:r>
      <w:r w:rsidRPr="004B1C53">
        <w:rPr>
          <w:rFonts w:ascii="Simplified Arabic" w:hAnsi="Simplified Arabic" w:cs="Simplified Arabic"/>
          <w:sz w:val="24"/>
          <w:szCs w:val="24"/>
          <w:rtl/>
        </w:rPr>
        <w:t>).</w:t>
      </w:r>
      <w:r w:rsidR="00A828BE">
        <w:rPr>
          <w:rFonts w:ascii="Simplified Arabic" w:hAnsi="Simplified Arabic" w:cs="Simplified Arabic" w:hint="cs"/>
          <w:sz w:val="24"/>
          <w:szCs w:val="24"/>
          <w:rtl/>
        </w:rPr>
        <w:t xml:space="preserve"> </w:t>
      </w:r>
      <w:r w:rsidRPr="004B1C53">
        <w:rPr>
          <w:rFonts w:ascii="Simplified Arabic" w:hAnsi="Simplified Arabic" w:cs="Simplified Arabic"/>
          <w:sz w:val="24"/>
          <w:szCs w:val="24"/>
          <w:rtl/>
        </w:rPr>
        <w:t>علاوة على ذلك، لا تزال ثقافة القيادة في القطاع الصناعي السعودي في طور التطور. إذ تُفسح أساليب القيادة التقليدية الهرمية والقائمة على السلطة المجال تدريجيًا لأشكال قيادة أكثر تشاركية واستراتيجية. يُتيح هذا التحول فرصة لتقييم كيفية تطبيق نماذج القيادة الحديثة - مثل القيادة التحويلية - لحل مشاكل سلسلة التوريد المعقدة، وتعزيز الابتكار، وتحسين التوافق بين الإدارات (القحطاني،</w:t>
      </w:r>
      <w:r w:rsidR="00A828BE">
        <w:rPr>
          <w:rFonts w:ascii="Simplified Arabic" w:hAnsi="Simplified Arabic" w:cs="Simplified Arabic"/>
          <w:sz w:val="24"/>
          <w:szCs w:val="24"/>
        </w:rPr>
        <w:t>)</w:t>
      </w:r>
      <w:r w:rsidRPr="004B1C53">
        <w:rPr>
          <w:rFonts w:ascii="Simplified Arabic" w:hAnsi="Simplified Arabic" w:cs="Simplified Arabic"/>
          <w:sz w:val="24"/>
          <w:szCs w:val="24"/>
          <w:rtl/>
        </w:rPr>
        <w:t xml:space="preserve"> 2017). يُعد فهم هذه الديناميكية أمرًا ضروريًا للمؤسسات التي تهدف إلى توطين المواهب، وزيادة الفعالية الإدارية، والحفاظ على الأداء طويل الأمد.يكمن مبرر آخر في نقص الدراسات التجريبية التي تستكشف العلاقة المباشرة بين سلوكيات القيادة ونتائج سلسلة التوريد في المملكة العربية السعودية. ففي حين أن بعض الدراسات بحثت في تأثيرات القيادة العامة على الأداء التنظيمي، إلا أن القليل منها ركز على مقاييس خاصة بسلسلة التوريد، مثل مهلة التسليم، وكفاءة التكلفة، ودوران المخزون. نظراً للترابط العميق بين سلاسل التوريد الصناعية عبر مختلف الوظائف، يُمكن لسلوك القيادة أن يؤثر بشكل كبير على هذه النتائج من خلال تعزيز التعاون، وتحديد التوجهات الاستراتيجية، وتحفيز التحسين المستمر (المطيري،</w:t>
      </w:r>
      <w:r w:rsidR="00A828BE">
        <w:rPr>
          <w:rFonts w:ascii="Simplified Arabic" w:hAnsi="Simplified Arabic" w:cs="Simplified Arabic"/>
          <w:sz w:val="24"/>
          <w:szCs w:val="24"/>
        </w:rPr>
        <w:t>)</w:t>
      </w:r>
      <w:r w:rsidR="00A828BE" w:rsidRPr="004B1C53">
        <w:rPr>
          <w:rFonts w:ascii="Simplified Arabic" w:hAnsi="Simplified Arabic" w:cs="Simplified Arabic"/>
          <w:sz w:val="24"/>
          <w:szCs w:val="24"/>
          <w:rtl/>
        </w:rPr>
        <w:t>2021</w:t>
      </w:r>
      <w:r w:rsidRPr="004B1C53">
        <w:rPr>
          <w:rFonts w:ascii="Simplified Arabic" w:hAnsi="Simplified Arabic" w:cs="Simplified Arabic"/>
          <w:sz w:val="24"/>
          <w:szCs w:val="24"/>
          <w:rtl/>
        </w:rPr>
        <w:t>).</w:t>
      </w:r>
      <w:r w:rsidR="00A828BE">
        <w:rPr>
          <w:rFonts w:ascii="Simplified Arabic" w:hAnsi="Simplified Arabic" w:cs="Simplified Arabic" w:hint="cs"/>
          <w:sz w:val="24"/>
          <w:szCs w:val="24"/>
          <w:rtl/>
        </w:rPr>
        <w:t xml:space="preserve"> </w:t>
      </w:r>
      <w:r w:rsidRPr="004B1C53">
        <w:rPr>
          <w:rFonts w:ascii="Simplified Arabic" w:hAnsi="Simplified Arabic" w:cs="Simplified Arabic"/>
          <w:sz w:val="24"/>
          <w:szCs w:val="24"/>
          <w:rtl/>
        </w:rPr>
        <w:t>علاوة على ذلك، يُضيف السياق الثقافي للمملكة العربية السعودية بُعداً فريداً للدراسة. يعمل القطاع الصناعي ضمن مجتمع يمزج القيم التقليدية بالتحديث السريع، مما يُؤدي إلى ثقافات تنظيمية هجينة. يتطلب هذا التعقيد مناهج قيادية حساسة ثقافياً وفعالة من الناحية التشغيلية. تُسهم دراسة القيادة التحويلية في هذا السياق في الأدبيات العالمية من خلال تقديم منظور غير غربي حول فعالية القيادة في سلاسل التوريد (تشاو وآخرون،</w:t>
      </w:r>
      <w:r w:rsidR="00773CA6">
        <w:rPr>
          <w:rFonts w:ascii="Simplified Arabic" w:hAnsi="Simplified Arabic" w:cs="Simplified Arabic"/>
          <w:sz w:val="24"/>
          <w:szCs w:val="24"/>
        </w:rPr>
        <w:t>)</w:t>
      </w:r>
      <w:r w:rsidR="00773CA6" w:rsidRPr="004B1C53">
        <w:rPr>
          <w:rFonts w:ascii="Simplified Arabic" w:hAnsi="Simplified Arabic" w:cs="Simplified Arabic"/>
          <w:sz w:val="24"/>
          <w:szCs w:val="24"/>
          <w:rtl/>
        </w:rPr>
        <w:t>2011</w:t>
      </w:r>
      <w:r w:rsidRPr="004B1C53">
        <w:rPr>
          <w:rFonts w:ascii="Simplified Arabic" w:hAnsi="Simplified Arabic" w:cs="Simplified Arabic"/>
          <w:sz w:val="24"/>
          <w:szCs w:val="24"/>
          <w:rtl/>
        </w:rPr>
        <w:t>).</w:t>
      </w:r>
      <w:r w:rsidR="00A828BE">
        <w:rPr>
          <w:rFonts w:ascii="Simplified Arabic" w:hAnsi="Simplified Arabic" w:cs="Simplified Arabic" w:hint="cs"/>
          <w:sz w:val="24"/>
          <w:szCs w:val="24"/>
          <w:rtl/>
        </w:rPr>
        <w:t>و</w:t>
      </w:r>
      <w:r w:rsidRPr="004B1C53">
        <w:rPr>
          <w:rFonts w:ascii="Simplified Arabic" w:hAnsi="Simplified Arabic" w:cs="Simplified Arabic"/>
          <w:sz w:val="24"/>
          <w:szCs w:val="24"/>
          <w:rtl/>
        </w:rPr>
        <w:t xml:space="preserve"> يُعزز مواءمة هذه الدراسة مع الأولويات الوطنية أهميتها العملية. تدعو رؤية </w:t>
      </w:r>
      <w:r w:rsidR="00773CA6">
        <w:rPr>
          <w:rFonts w:ascii="Simplified Arabic" w:hAnsi="Simplified Arabic" w:cs="Simplified Arabic" w:hint="cs"/>
          <w:sz w:val="24"/>
          <w:szCs w:val="24"/>
          <w:rtl/>
        </w:rPr>
        <w:t>(</w:t>
      </w:r>
      <w:r w:rsidR="00773CA6" w:rsidRPr="004B1C53">
        <w:rPr>
          <w:rFonts w:ascii="Simplified Arabic" w:hAnsi="Simplified Arabic" w:cs="Simplified Arabic"/>
          <w:sz w:val="24"/>
          <w:szCs w:val="24"/>
          <w:rtl/>
        </w:rPr>
        <w:t>2030</w:t>
      </w:r>
      <w:r w:rsidR="00773CA6">
        <w:rPr>
          <w:rFonts w:ascii="Simplified Arabic" w:hAnsi="Simplified Arabic" w:cs="Simplified Arabic" w:hint="cs"/>
          <w:sz w:val="24"/>
          <w:szCs w:val="24"/>
          <w:rtl/>
        </w:rPr>
        <w:t>)</w:t>
      </w:r>
      <w:r w:rsidRPr="004B1C53">
        <w:rPr>
          <w:rFonts w:ascii="Simplified Arabic" w:hAnsi="Simplified Arabic" w:cs="Simplified Arabic"/>
          <w:sz w:val="24"/>
          <w:szCs w:val="24"/>
          <w:rtl/>
        </w:rPr>
        <w:t>إلى تعزيز المحتوى المحلي، والحد من الاختناقات اللوجستية، وتنمية رأس المال البشري في مختلف الصناعات. ومن خلال التركيز على كيفية أن تكون القيادة حافزاً لتحقيق هذه الأهداف، يُقدم هذا البحث رؤى عملية للمديرين التنفيذيين وصانعي السياسات والمعلمين الذين يسعون إلى تطوير قدرات قيادية تُعزز القيمة الصناعية الحقيقية. في الختام، يُمثل القطاع الصناعي السعودي أرضيةً خصبة لدراسة العلاقة بين القيادة وكفاءة سلسلة التوريد. إن الجمع بين التحول الوطني، وممارسات القيادة المتطورة، والتحديات التشغيلية، يُشكل سياقًا مُقنعًا يتطلب بحثًا تجريبيًا. تهدف هذه الدراسة إلى سدّ هذه الفجوة والمساهمة أكاديميًا وعمليًا في التقدم الصناعي للمملكة.</w:t>
      </w:r>
    </w:p>
    <w:p w14:paraId="7A37229F" w14:textId="5AE5B2CC" w:rsidR="00773CA6" w:rsidRDefault="00773CA6" w:rsidP="00773CA6">
      <w:pPr>
        <w:pStyle w:val="Heading2"/>
        <w:rPr>
          <w:rFonts w:hint="cs"/>
          <w:rtl/>
        </w:rPr>
      </w:pPr>
      <w:bookmarkStart w:id="49" w:name="_Toc203627793"/>
      <w:r>
        <w:rPr>
          <w:rFonts w:hint="cs"/>
          <w:rtl/>
        </w:rPr>
        <w:t>7.2.خاتمة</w:t>
      </w:r>
      <w:bookmarkEnd w:id="49"/>
    </w:p>
    <w:p w14:paraId="0A11BB91" w14:textId="31AF45C8" w:rsidR="00773CA6" w:rsidRPr="00773CA6" w:rsidRDefault="00773CA6" w:rsidP="00773CA6">
      <w:pPr>
        <w:spacing w:line="360" w:lineRule="auto"/>
        <w:ind w:left="360"/>
        <w:jc w:val="both"/>
        <w:rPr>
          <w:rFonts w:ascii="Simplified Arabic" w:hAnsi="Simplified Arabic" w:cs="Simplified Arabic"/>
          <w:sz w:val="24"/>
          <w:szCs w:val="24"/>
        </w:rPr>
      </w:pPr>
      <w:r w:rsidRPr="00773CA6">
        <w:rPr>
          <w:rFonts w:ascii="Simplified Arabic" w:hAnsi="Simplified Arabic" w:cs="Simplified Arabic"/>
          <w:sz w:val="24"/>
          <w:szCs w:val="24"/>
          <w:rtl/>
        </w:rPr>
        <w:t xml:space="preserve">يهدف هذا الفصل إلى بناء أساس معرفي متين لفهم العلاقة بين القيادة التحويلية وكفاءة سلسلة التوريد، من خلال عرض وتحليل النظريات المرتبطة بالموضوع، واستعراض الأدبيات السابقة العالمية والإقليمية ذات الصلة. وقد تبيّن أن </w:t>
      </w:r>
      <w:r w:rsidRPr="00773CA6">
        <w:rPr>
          <w:rFonts w:ascii="Simplified Arabic" w:hAnsi="Simplified Arabic" w:cs="Simplified Arabic"/>
          <w:sz w:val="24"/>
          <w:szCs w:val="24"/>
          <w:rtl/>
        </w:rPr>
        <w:t>نظرية القيادة التحويلية</w:t>
      </w:r>
      <w:r w:rsidRPr="00773CA6">
        <w:rPr>
          <w:rFonts w:ascii="Simplified Arabic" w:hAnsi="Simplified Arabic" w:cs="Simplified Arabic"/>
          <w:sz w:val="24"/>
          <w:szCs w:val="24"/>
          <w:rtl/>
        </w:rPr>
        <w:t>، كما طوّرها كلٌ من "بيرنز" و"باس وأفوليو"، تُشكّل إطارًا قياديًا مرنًا وفعّالًا لتعزيز الابتكار، والتحفيز، والتنسيق داخل المنظمات الصناعية. وبرزت أبعادها الأربعة — التأثير المثالي، والتحفيز الملهم، والتحفيز الفكري، والاهتمام الفردي — كأدوات استراتيجية تمكّن القادة من دفع فرق العمل نحو أداء أعلى يتجاوز التوقعات التقليدية</w:t>
      </w:r>
      <w:r w:rsidRPr="00773CA6">
        <w:rPr>
          <w:rFonts w:ascii="Simplified Arabic" w:hAnsi="Simplified Arabic" w:cs="Simplified Arabic"/>
          <w:sz w:val="24"/>
          <w:szCs w:val="24"/>
        </w:rPr>
        <w:t>.</w:t>
      </w:r>
      <w:r w:rsidRPr="00773CA6">
        <w:rPr>
          <w:rFonts w:ascii="Simplified Arabic" w:hAnsi="Simplified Arabic" w:cs="Simplified Arabic"/>
          <w:sz w:val="24"/>
          <w:szCs w:val="24"/>
          <w:rtl/>
        </w:rPr>
        <w:t xml:space="preserve">في المقابل، وفّرت </w:t>
      </w:r>
      <w:r w:rsidRPr="00773CA6">
        <w:rPr>
          <w:rFonts w:ascii="Simplified Arabic" w:hAnsi="Simplified Arabic" w:cs="Simplified Arabic"/>
          <w:sz w:val="24"/>
          <w:szCs w:val="24"/>
          <w:rtl/>
        </w:rPr>
        <w:t>نظرية أداء سلسلة التوريد</w:t>
      </w:r>
      <w:r w:rsidRPr="00773CA6">
        <w:rPr>
          <w:rFonts w:ascii="Simplified Arabic" w:hAnsi="Simplified Arabic" w:cs="Simplified Arabic"/>
          <w:sz w:val="24"/>
          <w:szCs w:val="24"/>
          <w:rtl/>
        </w:rPr>
        <w:t xml:space="preserve"> منظورًا تشغيليًا يُركّز على مؤشرات الكفاءة مثل التكاليف، والمرونة، وموثوقية التسليم، ودوران المخزون، والقدرة على الاستجابة للتغيرات. وقد أظهرت الأدبيات أن تحقيق مستويات عالية من الأداء في هذه المؤشرات يتطلب ليس فقط أدوات تقنية أو بنى تحتية متقدمة، بل أيضًا قيادة فعالة تُحفّز التعاون وتُعزز التكامل بين الإدارات وسلاسل القيمة المختلفة</w:t>
      </w:r>
      <w:r w:rsidRPr="00773CA6">
        <w:rPr>
          <w:rFonts w:ascii="Simplified Arabic" w:hAnsi="Simplified Arabic" w:cs="Simplified Arabic"/>
          <w:sz w:val="24"/>
          <w:szCs w:val="24"/>
        </w:rPr>
        <w:t>.</w:t>
      </w:r>
      <w:r w:rsidRPr="00773CA6">
        <w:rPr>
          <w:rFonts w:ascii="Simplified Arabic" w:hAnsi="Simplified Arabic" w:cs="Simplified Arabic"/>
          <w:sz w:val="24"/>
          <w:szCs w:val="24"/>
          <w:rtl/>
        </w:rPr>
        <w:t>كما بيّن هذا الفصل أن الربط بين النظريتين يُشكّل قيمة مضافة علميًا وتطبيقيًا، حيث يمكن من خلاله تفسير كيف تسهم ممارسات القيادة التحويلية في تحسين نتائج سلسلة التوريد. وقد دعمت الدراسات العالمية هذا الربط، فيما أكدت الدراسات الإقليمية والمحلية — رغم محدوديتها — أن القيادة في السياق الصناعي السعودي لها أثر مباشر في تعزيز مرونة وتكامل وكفاءة سلاسل الإمداد، خاصة في ظل توجهات رؤية المملكة 2030</w:t>
      </w:r>
      <w:r w:rsidRPr="00773CA6">
        <w:rPr>
          <w:rFonts w:ascii="Simplified Arabic" w:hAnsi="Simplified Arabic" w:cs="Simplified Arabic"/>
          <w:sz w:val="24"/>
          <w:szCs w:val="24"/>
        </w:rPr>
        <w:t>.</w:t>
      </w:r>
      <w:r w:rsidRPr="00773CA6">
        <w:rPr>
          <w:rFonts w:ascii="Simplified Arabic" w:hAnsi="Simplified Arabic" w:cs="Simplified Arabic"/>
          <w:sz w:val="24"/>
          <w:szCs w:val="24"/>
          <w:rtl/>
        </w:rPr>
        <w:t>ورغم وفرة الدراسات حول القيادة وسلاسل الإمداد كلٌ على حدة، إلا أن فجوة البحث لا تزال قائمة فيما يتعلق بدراسة العلاقة بين القيادة التحويلية وأداء سلسلة التوريد بشكل مباشر وقابل للقياس داخل بيئة العمل السعودية. ومن هنا تنبع أهمية هذه الدراسة، التي تسعى إلى سد هذه الفجوة من خلال دمج نظري مدروس، وتحليل تجريبي واقعي يربط بين السلوك القيادي والأداء التشغيلي في المنظمات الصناعية</w:t>
      </w:r>
      <w:r w:rsidRPr="00773CA6">
        <w:rPr>
          <w:rFonts w:ascii="Simplified Arabic" w:hAnsi="Simplified Arabic" w:cs="Simplified Arabic"/>
          <w:sz w:val="24"/>
          <w:szCs w:val="24"/>
        </w:rPr>
        <w:t>.</w:t>
      </w:r>
      <w:r w:rsidRPr="00773CA6">
        <w:rPr>
          <w:rFonts w:ascii="Simplified Arabic" w:hAnsi="Simplified Arabic" w:cs="Simplified Arabic"/>
          <w:sz w:val="24"/>
          <w:szCs w:val="24"/>
          <w:rtl/>
        </w:rPr>
        <w:t>تُمهّد هذه الخاتمة للانتقال إلى الفصل الثالث، حيث سيتم توضيح المنهجية المعتمدة في الدراسة، وأدوات جمع البيانات، وتصميم البحث، بما يعزز من موثوقية النتائج ويُسهم في تقديم توصيات عملية مدعومة بالأدلة</w:t>
      </w:r>
      <w:r w:rsidRPr="00773CA6">
        <w:rPr>
          <w:rFonts w:ascii="Simplified Arabic" w:hAnsi="Simplified Arabic" w:cs="Simplified Arabic"/>
          <w:sz w:val="24"/>
          <w:szCs w:val="24"/>
        </w:rPr>
        <w:t>.</w:t>
      </w:r>
    </w:p>
    <w:p w14:paraId="757EF787" w14:textId="77777777" w:rsidR="00773CA6" w:rsidRPr="00773CA6" w:rsidRDefault="00773CA6" w:rsidP="00773CA6">
      <w:pPr>
        <w:spacing w:line="360" w:lineRule="auto"/>
        <w:ind w:left="360"/>
        <w:jc w:val="both"/>
        <w:rPr>
          <w:rFonts w:ascii="Simplified Arabic" w:hAnsi="Simplified Arabic" w:cs="Simplified Arabic" w:hint="cs"/>
          <w:sz w:val="24"/>
          <w:szCs w:val="24"/>
        </w:rPr>
      </w:pPr>
    </w:p>
    <w:p w14:paraId="4ABCF5F5" w14:textId="765329A7" w:rsidR="00A74F76" w:rsidRDefault="00A74F76" w:rsidP="005F53DC">
      <w:pPr>
        <w:pStyle w:val="Heading1"/>
        <w:rPr>
          <w:rtl/>
        </w:rPr>
      </w:pPr>
      <w:bookmarkStart w:id="50" w:name="_Toc203627794"/>
      <w:r>
        <w:rPr>
          <w:rFonts w:hint="cs"/>
          <w:rtl/>
        </w:rPr>
        <w:t>المراجع:</w:t>
      </w:r>
      <w:r w:rsidRPr="00D22171">
        <w:rPr>
          <w:rtl/>
        </w:rPr>
        <w:t xml:space="preserve"> </w:t>
      </w:r>
      <w:r w:rsidR="009F4782">
        <w:rPr>
          <w:rFonts w:hint="cs"/>
          <w:rtl/>
        </w:rPr>
        <w:t>العربية</w:t>
      </w:r>
      <w:bookmarkEnd w:id="50"/>
    </w:p>
    <w:p w14:paraId="68B20EA2" w14:textId="77777777" w:rsidR="00D5233E" w:rsidRDefault="00D5233E" w:rsidP="005F53DC">
      <w:pPr>
        <w:pStyle w:val="NormalWeb"/>
        <w:bidi/>
        <w:spacing w:line="480" w:lineRule="auto"/>
        <w:ind w:left="360"/>
      </w:pPr>
      <w:r>
        <w:rPr>
          <w:rtl/>
        </w:rPr>
        <w:t>الدوّيحي، عبد الله، الغامدي، سعود، و المطيري، فهد. (2021). القيادة ومرونة سلسلة الإمداد في الشركات الصناعية السعودية</w:t>
      </w:r>
      <w:r>
        <w:t xml:space="preserve">. </w:t>
      </w:r>
      <w:r>
        <w:rPr>
          <w:rStyle w:val="Emphasis"/>
          <w:rtl/>
        </w:rPr>
        <w:t>مجلة أبحاث الأعمال</w:t>
      </w:r>
      <w:r>
        <w:rPr>
          <w:rtl/>
        </w:rPr>
        <w:t xml:space="preserve">، </w:t>
      </w:r>
      <w:r>
        <w:t>133</w:t>
      </w:r>
      <w:r>
        <w:rPr>
          <w:rtl/>
        </w:rPr>
        <w:t xml:space="preserve">، </w:t>
      </w:r>
      <w:r>
        <w:t>421–430.</w:t>
      </w:r>
    </w:p>
    <w:p w14:paraId="4795C0F0" w14:textId="77777777" w:rsidR="00D5233E" w:rsidRDefault="00D5233E" w:rsidP="005F53DC">
      <w:pPr>
        <w:pStyle w:val="NormalWeb"/>
        <w:bidi/>
        <w:spacing w:line="480" w:lineRule="auto"/>
        <w:ind w:left="360"/>
      </w:pPr>
      <w:r>
        <w:rPr>
          <w:rtl/>
        </w:rPr>
        <w:t>رؤية المملكة العربية السعودية 2030</w:t>
      </w:r>
      <w:r>
        <w:t>. (</w:t>
      </w:r>
      <w:r>
        <w:rPr>
          <w:rtl/>
        </w:rPr>
        <w:t>2020</w:t>
      </w:r>
      <w:r>
        <w:t xml:space="preserve">). </w:t>
      </w:r>
      <w:r>
        <w:rPr>
          <w:rStyle w:val="Emphasis"/>
          <w:rtl/>
        </w:rPr>
        <w:t>برنامج تطوير الصناعة الوطنية والخدمات اللوجستية</w:t>
      </w:r>
      <w:r>
        <w:t xml:space="preserve">. </w:t>
      </w:r>
      <w:r>
        <w:rPr>
          <w:rtl/>
        </w:rPr>
        <w:t>تم الاسترجاع من</w:t>
      </w:r>
      <w:r>
        <w:t xml:space="preserve">: </w:t>
      </w:r>
      <w:hyperlink r:id="rId9" w:tgtFrame="_new" w:history="1">
        <w:r>
          <w:rPr>
            <w:rStyle w:val="Hyperlink"/>
          </w:rPr>
          <w:t>https://www.vision2030.gov.sa</w:t>
        </w:r>
      </w:hyperlink>
    </w:p>
    <w:p w14:paraId="6522E7EE" w14:textId="5F79D281" w:rsidR="00FC6F6E" w:rsidRPr="00FC6F6E" w:rsidRDefault="00FC6F6E" w:rsidP="005F53DC">
      <w:pPr>
        <w:pStyle w:val="NormalWeb"/>
        <w:bidi/>
        <w:spacing w:line="480" w:lineRule="auto"/>
        <w:ind w:left="360"/>
      </w:pPr>
      <w:r w:rsidRPr="00FC6F6E">
        <w:rPr>
          <w:rtl/>
        </w:rPr>
        <w:t>الزهراني، م. ع</w:t>
      </w:r>
      <w:r>
        <w:t>)</w:t>
      </w:r>
      <w:r w:rsidRPr="00FC6F6E">
        <w:rPr>
          <w:rtl/>
        </w:rPr>
        <w:t>2018</w:t>
      </w:r>
      <w:r>
        <w:t>(</w:t>
      </w:r>
      <w:r w:rsidRPr="00FC6F6E">
        <w:t xml:space="preserve"> </w:t>
      </w:r>
      <w:r w:rsidRPr="00FC6F6E">
        <w:rPr>
          <w:rtl/>
        </w:rPr>
        <w:t>إدارة سلسلة الإمداد في المنظمات الصناعية</w:t>
      </w:r>
      <w:r w:rsidRPr="00FC6F6E">
        <w:t xml:space="preserve">. </w:t>
      </w:r>
      <w:r w:rsidRPr="00FC6F6E">
        <w:rPr>
          <w:rtl/>
        </w:rPr>
        <w:t>الرياض: دار المريخ للنشر</w:t>
      </w:r>
      <w:r w:rsidRPr="00FC6F6E">
        <w:t>.</w:t>
      </w:r>
    </w:p>
    <w:p w14:paraId="07288915" w14:textId="2D069EDC" w:rsidR="00FC6F6E" w:rsidRPr="00FC6F6E" w:rsidRDefault="00FC6F6E" w:rsidP="005F53DC">
      <w:pPr>
        <w:pStyle w:val="NormalWeb"/>
        <w:bidi/>
        <w:spacing w:line="480" w:lineRule="auto"/>
        <w:ind w:left="360"/>
      </w:pPr>
      <w:r w:rsidRPr="00FC6F6E">
        <w:rPr>
          <w:rtl/>
        </w:rPr>
        <w:t>القحطاني، س. ن</w:t>
      </w:r>
      <w:r>
        <w:t>)</w:t>
      </w:r>
      <w:r w:rsidRPr="00FC6F6E">
        <w:rPr>
          <w:rtl/>
        </w:rPr>
        <w:t>2017</w:t>
      </w:r>
      <w:r>
        <w:t>(</w:t>
      </w:r>
      <w:r w:rsidRPr="00FC6F6E">
        <w:rPr>
          <w:rtl/>
        </w:rPr>
        <w:t>القيادة التحويلية وأثرها على الأداء التنظيمي في القطاع الصناعي السعودي</w:t>
      </w:r>
      <w:r w:rsidRPr="00FC6F6E">
        <w:t xml:space="preserve">. </w:t>
      </w:r>
      <w:r w:rsidRPr="00FC6F6E">
        <w:rPr>
          <w:rtl/>
        </w:rPr>
        <w:t xml:space="preserve">مجلة جامعة الملك سعود – العلوم الإدارية، </w:t>
      </w:r>
      <w:r w:rsidRPr="00FC6F6E">
        <w:t>29(2)</w:t>
      </w:r>
      <w:r w:rsidRPr="00FC6F6E">
        <w:rPr>
          <w:rtl/>
        </w:rPr>
        <w:t xml:space="preserve">، </w:t>
      </w:r>
      <w:r w:rsidRPr="00FC6F6E">
        <w:t>115–140.</w:t>
      </w:r>
    </w:p>
    <w:p w14:paraId="391F9929" w14:textId="2A453398" w:rsidR="00FC6F6E" w:rsidRPr="00FC6F6E" w:rsidRDefault="00FC6F6E" w:rsidP="005F53DC">
      <w:pPr>
        <w:pStyle w:val="NormalWeb"/>
        <w:bidi/>
        <w:spacing w:line="480" w:lineRule="auto"/>
        <w:ind w:left="360"/>
      </w:pPr>
      <w:r w:rsidRPr="00FC6F6E">
        <w:rPr>
          <w:rtl/>
        </w:rPr>
        <w:t>المطيري، ن. ب</w:t>
      </w:r>
      <w:r w:rsidR="005F53DC">
        <w:t>)</w:t>
      </w:r>
      <w:r w:rsidRPr="00FC6F6E">
        <w:rPr>
          <w:rtl/>
        </w:rPr>
        <w:t>2021</w:t>
      </w:r>
      <w:r w:rsidR="005F53DC">
        <w:t>(</w:t>
      </w:r>
      <w:r w:rsidRPr="00FC6F6E">
        <w:t xml:space="preserve"> </w:t>
      </w:r>
      <w:r w:rsidRPr="00FC6F6E">
        <w:rPr>
          <w:rtl/>
        </w:rPr>
        <w:t>تحليل العلاقة بين أنماط القيادة وكفاءة العمليات التشغيلية في المصانع الوطنية</w:t>
      </w:r>
      <w:r w:rsidRPr="00FC6F6E">
        <w:t xml:space="preserve">. </w:t>
      </w:r>
      <w:r w:rsidRPr="00FC6F6E">
        <w:rPr>
          <w:rtl/>
        </w:rPr>
        <w:t>رسالة ماجستير، جامعة الإمام محمد بن سعود الإسلامية</w:t>
      </w:r>
      <w:r w:rsidRPr="00FC6F6E">
        <w:t>.</w:t>
      </w:r>
    </w:p>
    <w:p w14:paraId="165F524B" w14:textId="65C30A3E" w:rsidR="00FC6F6E" w:rsidRDefault="00FC6F6E" w:rsidP="001B6F30">
      <w:pPr>
        <w:pStyle w:val="NormalWeb"/>
        <w:bidi/>
        <w:spacing w:line="480" w:lineRule="auto"/>
        <w:ind w:left="360"/>
      </w:pPr>
      <w:r w:rsidRPr="00FC6F6E">
        <w:rPr>
          <w:rtl/>
        </w:rPr>
        <w:t>العتيبي، هـ. س</w:t>
      </w:r>
      <w:r w:rsidR="005F53DC">
        <w:t>)</w:t>
      </w:r>
      <w:r w:rsidRPr="00FC6F6E">
        <w:rPr>
          <w:rtl/>
        </w:rPr>
        <w:t>2020</w:t>
      </w:r>
      <w:r w:rsidR="005F53DC">
        <w:t>(</w:t>
      </w:r>
      <w:r w:rsidRPr="00FC6F6E">
        <w:t xml:space="preserve"> </w:t>
      </w:r>
      <w:r w:rsidRPr="00FC6F6E">
        <w:rPr>
          <w:rtl/>
        </w:rPr>
        <w:t>دور القيادة الإدارية في تعزيز مرونة سلسلة التوريد في الشركات السعودية</w:t>
      </w:r>
      <w:r w:rsidRPr="00FC6F6E">
        <w:t xml:space="preserve">. </w:t>
      </w:r>
      <w:r w:rsidRPr="00FC6F6E">
        <w:rPr>
          <w:rtl/>
        </w:rPr>
        <w:t xml:space="preserve">المجلة العربية للإدارة، </w:t>
      </w:r>
      <w:r w:rsidRPr="00FC6F6E">
        <w:t>40(1)</w:t>
      </w:r>
      <w:r w:rsidRPr="00FC6F6E">
        <w:rPr>
          <w:rtl/>
        </w:rPr>
        <w:t xml:space="preserve">، </w:t>
      </w:r>
      <w:r w:rsidRPr="00FC6F6E">
        <w:t>87–104.</w:t>
      </w:r>
      <w:r w:rsidR="001B6F30">
        <w:t xml:space="preserve"> </w:t>
      </w:r>
    </w:p>
    <w:p w14:paraId="0E3BE5C0" w14:textId="63711848" w:rsidR="001B6F30" w:rsidRPr="001B6F30" w:rsidRDefault="001B6F30" w:rsidP="00A828BE">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B6F30">
        <w:rPr>
          <w:rFonts w:ascii="Times New Roman" w:eastAsia="Times New Roman" w:hAnsi="Times New Roman" w:cs="Times New Roman"/>
          <w:kern w:val="0"/>
          <w:sz w:val="24"/>
          <w:szCs w:val="24"/>
          <w14:ligatures w14:val="none"/>
        </w:rPr>
        <w:t xml:space="preserve">  </w:t>
      </w:r>
      <w:r w:rsidRPr="001B6F30">
        <w:rPr>
          <w:rFonts w:ascii="Times New Roman" w:eastAsia="Times New Roman" w:hAnsi="Times New Roman" w:cs="Times New Roman"/>
          <w:kern w:val="0"/>
          <w:sz w:val="24"/>
          <w:szCs w:val="24"/>
          <w:rtl/>
          <w14:ligatures w14:val="none"/>
        </w:rPr>
        <w:t>وزارة الصناعة والثروة المعدنية</w:t>
      </w:r>
      <w:r w:rsidR="00A828BE">
        <w:rPr>
          <w:rFonts w:ascii="Times New Roman" w:eastAsia="Times New Roman" w:hAnsi="Times New Roman" w:cs="Times New Roman"/>
          <w:kern w:val="0"/>
          <w:sz w:val="24"/>
          <w:szCs w:val="24"/>
          <w14:ligatures w14:val="none"/>
        </w:rPr>
        <w:t>)</w:t>
      </w:r>
      <w:r w:rsidR="00A828BE" w:rsidRPr="001B6F30">
        <w:rPr>
          <w:rFonts w:ascii="Times New Roman" w:eastAsia="Times New Roman" w:hAnsi="Times New Roman" w:cs="Times New Roman" w:hint="cs"/>
          <w:kern w:val="0"/>
          <w:sz w:val="24"/>
          <w:szCs w:val="24"/>
          <w:rtl/>
          <w14:ligatures w14:val="none"/>
        </w:rPr>
        <w:t xml:space="preserve"> 202</w:t>
      </w:r>
      <w:r w:rsidR="00A828BE" w:rsidRPr="001B6F30">
        <w:rPr>
          <w:rFonts w:ascii="Times New Roman" w:eastAsia="Times New Roman" w:hAnsi="Times New Roman" w:cs="Times New Roman"/>
          <w:kern w:val="0"/>
          <w:sz w:val="24"/>
          <w:szCs w:val="24"/>
          <w:rtl/>
          <w14:ligatures w14:val="none"/>
        </w:rPr>
        <w:t>3</w:t>
      </w:r>
      <w:r w:rsidR="00A828BE">
        <w:rPr>
          <w:rFonts w:ascii="Times New Roman" w:eastAsia="Times New Roman" w:hAnsi="Times New Roman" w:cs="Times New Roman"/>
          <w:kern w:val="0"/>
          <w:sz w:val="24"/>
          <w:szCs w:val="24"/>
          <w14:ligatures w14:val="none"/>
        </w:rPr>
        <w:t>(</w:t>
      </w:r>
      <w:r w:rsidRPr="001B6F30">
        <w:rPr>
          <w:rFonts w:ascii="Times New Roman" w:eastAsia="Times New Roman" w:hAnsi="Times New Roman" w:cs="Times New Roman"/>
          <w:i/>
          <w:iCs/>
          <w:kern w:val="0"/>
          <w:sz w:val="24"/>
          <w:szCs w:val="24"/>
          <w:rtl/>
          <w14:ligatures w14:val="none"/>
        </w:rPr>
        <w:t>تقرير التحول الصناعي في ظل رؤية المملكة 2030</w:t>
      </w:r>
      <w:r w:rsidRPr="001B6F30">
        <w:rPr>
          <w:rFonts w:ascii="Times New Roman" w:eastAsia="Times New Roman" w:hAnsi="Times New Roman" w:cs="Times New Roman"/>
          <w:kern w:val="0"/>
          <w:sz w:val="24"/>
          <w:szCs w:val="24"/>
          <w14:ligatures w14:val="none"/>
        </w:rPr>
        <w:t xml:space="preserve">. </w:t>
      </w:r>
      <w:r w:rsidRPr="001B6F30">
        <w:rPr>
          <w:rFonts w:ascii="Times New Roman" w:eastAsia="Times New Roman" w:hAnsi="Times New Roman" w:cs="Times New Roman"/>
          <w:kern w:val="0"/>
          <w:sz w:val="24"/>
          <w:szCs w:val="24"/>
          <w:rtl/>
          <w14:ligatures w14:val="none"/>
        </w:rPr>
        <w:t>الرياض: مركز البيانات الصناعية</w:t>
      </w:r>
      <w:r w:rsidRPr="001B6F30">
        <w:rPr>
          <w:rFonts w:ascii="Times New Roman" w:eastAsia="Times New Roman" w:hAnsi="Times New Roman" w:cs="Times New Roman"/>
          <w:kern w:val="0"/>
          <w:sz w:val="24"/>
          <w:szCs w:val="24"/>
          <w14:ligatures w14:val="none"/>
        </w:rPr>
        <w:t>.</w:t>
      </w:r>
    </w:p>
    <w:p w14:paraId="06E75408" w14:textId="761A024E" w:rsidR="003759C3" w:rsidRPr="003759C3" w:rsidRDefault="00A828BE" w:rsidP="00773CA6">
      <w:pPr>
        <w:pStyle w:val="NoSpacing"/>
      </w:pPr>
      <w:r>
        <w:rPr>
          <w:rFonts w:ascii="Segoe UI Symbol" w:hAnsi="Segoe UI Symbol" w:cs="Segoe UI Symbol"/>
          <w:b/>
          <w:bCs/>
          <w:sz w:val="27"/>
          <w:szCs w:val="27"/>
        </w:rPr>
        <w:t xml:space="preserve"> </w:t>
      </w:r>
      <w:r w:rsidR="003759C3" w:rsidRPr="003759C3">
        <w:rPr>
          <w:rtl/>
        </w:rPr>
        <w:t>الزهراني، م. ع</w:t>
      </w:r>
      <w:r>
        <w:rPr>
          <w:rFonts w:hint="cs"/>
          <w:rtl/>
        </w:rPr>
        <w:t>(</w:t>
      </w:r>
      <w:r w:rsidR="003759C3" w:rsidRPr="003759C3">
        <w:rPr>
          <w:rtl/>
        </w:rPr>
        <w:t>2018</w:t>
      </w:r>
      <w:r>
        <w:rPr>
          <w:rFonts w:hint="cs"/>
          <w:rtl/>
        </w:rPr>
        <w:t>)</w:t>
      </w:r>
      <w:r w:rsidR="003759C3" w:rsidRPr="003759C3">
        <w:t xml:space="preserve"> </w:t>
      </w:r>
      <w:r w:rsidR="003759C3" w:rsidRPr="003759C3">
        <w:rPr>
          <w:i/>
          <w:iCs/>
          <w:rtl/>
        </w:rPr>
        <w:t>إدارة سلسلة الإمداد في المنظمات الصناعية</w:t>
      </w:r>
      <w:r w:rsidR="003759C3" w:rsidRPr="003759C3">
        <w:t xml:space="preserve">. </w:t>
      </w:r>
      <w:r w:rsidR="003759C3" w:rsidRPr="003759C3">
        <w:rPr>
          <w:rtl/>
        </w:rPr>
        <w:t>الرياض: دار المريخ للنشر</w:t>
      </w:r>
      <w:r w:rsidR="003759C3" w:rsidRPr="003759C3">
        <w:t>.</w:t>
      </w:r>
    </w:p>
    <w:p w14:paraId="474D8FBC" w14:textId="77777777" w:rsidR="00A828BE" w:rsidRDefault="003759C3" w:rsidP="00A828BE">
      <w:pPr>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3759C3">
        <w:rPr>
          <w:rFonts w:ascii="Times New Roman" w:eastAsia="Times New Roman" w:hAnsi="Times New Roman" w:cs="Times New Roman"/>
          <w:kern w:val="0"/>
          <w:sz w:val="24"/>
          <w:szCs w:val="24"/>
          <w:rtl/>
          <w14:ligatures w14:val="none"/>
        </w:rPr>
        <w:t>وزارة الصناعة والثروة المعدنية</w:t>
      </w:r>
      <w:r w:rsidR="00A828BE">
        <w:rPr>
          <w:rFonts w:ascii="Times New Roman" w:eastAsia="Times New Roman" w:hAnsi="Times New Roman" w:cs="Times New Roman" w:hint="cs"/>
          <w:kern w:val="0"/>
          <w:sz w:val="24"/>
          <w:szCs w:val="24"/>
          <w:rtl/>
          <w14:ligatures w14:val="none"/>
        </w:rPr>
        <w:t>(</w:t>
      </w:r>
      <w:r w:rsidRPr="003759C3">
        <w:rPr>
          <w:rFonts w:ascii="Times New Roman" w:eastAsia="Times New Roman" w:hAnsi="Times New Roman" w:cs="Times New Roman"/>
          <w:kern w:val="0"/>
          <w:sz w:val="24"/>
          <w:szCs w:val="24"/>
          <w:rtl/>
          <w14:ligatures w14:val="none"/>
        </w:rPr>
        <w:t>2023</w:t>
      </w:r>
      <w:r w:rsidR="00A828BE">
        <w:rPr>
          <w:rFonts w:ascii="Times New Roman" w:eastAsia="Times New Roman" w:hAnsi="Times New Roman" w:cs="Times New Roman" w:hint="cs"/>
          <w:kern w:val="0"/>
          <w:sz w:val="24"/>
          <w:szCs w:val="24"/>
          <w:rtl/>
          <w14:ligatures w14:val="none"/>
        </w:rPr>
        <w:t>)</w:t>
      </w:r>
      <w:r w:rsidRPr="003759C3">
        <w:rPr>
          <w:rFonts w:ascii="Times New Roman" w:eastAsia="Times New Roman" w:hAnsi="Times New Roman" w:cs="Times New Roman"/>
          <w:kern w:val="0"/>
          <w:sz w:val="24"/>
          <w:szCs w:val="24"/>
          <w14:ligatures w14:val="none"/>
        </w:rPr>
        <w:t xml:space="preserve"> </w:t>
      </w:r>
      <w:r w:rsidRPr="003759C3">
        <w:rPr>
          <w:rFonts w:ascii="Times New Roman" w:eastAsia="Times New Roman" w:hAnsi="Times New Roman" w:cs="Times New Roman"/>
          <w:i/>
          <w:iCs/>
          <w:kern w:val="0"/>
          <w:sz w:val="24"/>
          <w:szCs w:val="24"/>
          <w:rtl/>
          <w14:ligatures w14:val="none"/>
        </w:rPr>
        <w:t>تقرير التحول الصناعي في ظل رؤية المملكة 2030</w:t>
      </w:r>
      <w:r w:rsidRPr="003759C3">
        <w:rPr>
          <w:rFonts w:ascii="Times New Roman" w:eastAsia="Times New Roman" w:hAnsi="Times New Roman" w:cs="Times New Roman"/>
          <w:kern w:val="0"/>
          <w:sz w:val="24"/>
          <w:szCs w:val="24"/>
          <w14:ligatures w14:val="none"/>
        </w:rPr>
        <w:t xml:space="preserve">. </w:t>
      </w:r>
      <w:r w:rsidRPr="003759C3">
        <w:rPr>
          <w:rFonts w:ascii="Times New Roman" w:eastAsia="Times New Roman" w:hAnsi="Times New Roman" w:cs="Times New Roman"/>
          <w:kern w:val="0"/>
          <w:sz w:val="24"/>
          <w:szCs w:val="24"/>
          <w:rtl/>
          <w14:ligatures w14:val="none"/>
        </w:rPr>
        <w:t>الرياض: مركز البيانات الصناعية</w:t>
      </w:r>
      <w:r w:rsidRPr="003759C3">
        <w:rPr>
          <w:rFonts w:ascii="Times New Roman" w:eastAsia="Times New Roman" w:hAnsi="Times New Roman" w:cs="Times New Roman"/>
          <w:kern w:val="0"/>
          <w:sz w:val="24"/>
          <w:szCs w:val="24"/>
          <w14:ligatures w14:val="none"/>
        </w:rPr>
        <w:t>.</w:t>
      </w:r>
    </w:p>
    <w:p w14:paraId="21466EC0" w14:textId="77777777" w:rsidR="00243324" w:rsidRDefault="00313907" w:rsidP="00243324">
      <w:pPr>
        <w:spacing w:before="100" w:beforeAutospacing="1" w:after="100" w:afterAutospacing="1" w:line="240" w:lineRule="auto"/>
        <w:rPr>
          <w:rtl/>
        </w:rPr>
      </w:pPr>
      <w:r>
        <w:rPr>
          <w:rtl/>
        </w:rPr>
        <w:t>القحطاني، س. ن. (2017). القيادة التحويلية وأثرها على الأداء التنظيمي في القطاع الصناعي السعودي</w:t>
      </w:r>
      <w:r>
        <w:t xml:space="preserve">. </w:t>
      </w:r>
      <w:r>
        <w:rPr>
          <w:rStyle w:val="Emphasis"/>
          <w:rtl/>
        </w:rPr>
        <w:t>مجلة جامعة الملك سعود – العلوم الإدارية</w:t>
      </w:r>
      <w:r>
        <w:rPr>
          <w:rtl/>
        </w:rPr>
        <w:t xml:space="preserve">، </w:t>
      </w:r>
      <w:r>
        <w:t>29(2)</w:t>
      </w:r>
      <w:r>
        <w:rPr>
          <w:rtl/>
        </w:rPr>
        <w:t xml:space="preserve">، </w:t>
      </w:r>
      <w:r>
        <w:t>115–140.</w:t>
      </w:r>
    </w:p>
    <w:p w14:paraId="33910767" w14:textId="261370CD" w:rsidR="00313907" w:rsidRDefault="00313907" w:rsidP="00243324">
      <w:pPr>
        <w:spacing w:before="100" w:beforeAutospacing="1" w:after="100" w:afterAutospacing="1" w:line="240" w:lineRule="auto"/>
      </w:pPr>
      <w:r>
        <w:rPr>
          <w:rtl/>
        </w:rPr>
        <w:t>المطيري، ن. ب. (2021). تحليل العلاقة بين أنماط القيادة وكفاءة العمليات التشغيلية في المصانع الوطنية</w:t>
      </w:r>
      <w:r>
        <w:t xml:space="preserve">. </w:t>
      </w:r>
      <w:r>
        <w:rPr>
          <w:rStyle w:val="Emphasis"/>
          <w:rtl/>
        </w:rPr>
        <w:t>رسالة ماجستير</w:t>
      </w:r>
      <w:r>
        <w:rPr>
          <w:rtl/>
        </w:rPr>
        <w:t>، جامعة الإمام محمد بن سعود الإسلامية</w:t>
      </w:r>
      <w:r>
        <w:t>.</w:t>
      </w:r>
    </w:p>
    <w:p w14:paraId="4859015D" w14:textId="77777777" w:rsidR="003759C3" w:rsidRPr="003759C3" w:rsidRDefault="003759C3" w:rsidP="00243324">
      <w:pPr>
        <w:pBdr>
          <w:top w:val="single" w:sz="6" w:space="1" w:color="auto"/>
        </w:pBdr>
        <w:bidi w:val="0"/>
        <w:spacing w:after="0" w:line="240" w:lineRule="auto"/>
        <w:jc w:val="right"/>
        <w:rPr>
          <w:rFonts w:ascii="Arial" w:eastAsia="Times New Roman" w:hAnsi="Arial" w:cs="Arial"/>
          <w:vanish/>
          <w:kern w:val="0"/>
          <w:sz w:val="16"/>
          <w:szCs w:val="16"/>
          <w14:ligatures w14:val="none"/>
        </w:rPr>
      </w:pPr>
      <w:r w:rsidRPr="003759C3">
        <w:rPr>
          <w:rFonts w:ascii="Arial" w:eastAsia="Times New Roman" w:hAnsi="Arial" w:cs="Arial"/>
          <w:vanish/>
          <w:kern w:val="0"/>
          <w:sz w:val="16"/>
          <w:szCs w:val="16"/>
          <w14:ligatures w14:val="none"/>
        </w:rPr>
        <w:t>Bottom of Form</w:t>
      </w:r>
    </w:p>
    <w:p w14:paraId="55BD7BDD" w14:textId="77777777" w:rsidR="001B6F30" w:rsidRPr="001B6F30" w:rsidRDefault="001B6F30" w:rsidP="001B6F30">
      <w:pPr>
        <w:pStyle w:val="NormalWeb"/>
        <w:bidi/>
        <w:spacing w:line="480" w:lineRule="auto"/>
        <w:ind w:left="360"/>
      </w:pPr>
    </w:p>
    <w:p w14:paraId="4B8AD37D" w14:textId="7D310142" w:rsidR="00D22171" w:rsidRPr="00D5233E" w:rsidRDefault="009F4782" w:rsidP="005F53DC">
      <w:pPr>
        <w:pStyle w:val="Heading1"/>
        <w:rPr>
          <w:rtl/>
        </w:rPr>
      </w:pPr>
      <w:bookmarkStart w:id="51" w:name="_Toc203627795"/>
      <w:r>
        <w:rPr>
          <w:rFonts w:hint="cs"/>
          <w:rtl/>
        </w:rPr>
        <w:t>المراجع الاجنبية</w:t>
      </w:r>
      <w:bookmarkEnd w:id="51"/>
      <w:r>
        <w:rPr>
          <w:rFonts w:hint="cs"/>
          <w:rtl/>
        </w:rPr>
        <w:t xml:space="preserve"> </w:t>
      </w:r>
    </w:p>
    <w:p w14:paraId="0B8A6C58"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Avolio, B. J., &amp; Bass, B. M. (2004). </w:t>
      </w:r>
      <w:r w:rsidRPr="00FC6F6E">
        <w:rPr>
          <w:rFonts w:ascii="Times New Roman" w:eastAsia="Times New Roman" w:hAnsi="Times New Roman" w:cs="Times New Roman"/>
          <w:i/>
          <w:iCs/>
          <w:kern w:val="0"/>
          <w:sz w:val="24"/>
          <w:szCs w:val="24"/>
          <w14:ligatures w14:val="none"/>
        </w:rPr>
        <w:t>Multifactor Leadership Questionnaire Manual</w:t>
      </w:r>
      <w:r w:rsidRPr="00FC6F6E">
        <w:rPr>
          <w:rFonts w:ascii="Times New Roman" w:eastAsia="Times New Roman" w:hAnsi="Times New Roman" w:cs="Times New Roman"/>
          <w:kern w:val="0"/>
          <w:sz w:val="24"/>
          <w:szCs w:val="24"/>
          <w14:ligatures w14:val="none"/>
        </w:rPr>
        <w:t xml:space="preserve"> (3rd ed.). Mind Garden.</w:t>
      </w:r>
    </w:p>
    <w:p w14:paraId="586B1F25"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Bass, B. M. (1985). </w:t>
      </w:r>
      <w:r w:rsidRPr="00FC6F6E">
        <w:rPr>
          <w:rFonts w:ascii="Times New Roman" w:eastAsia="Times New Roman" w:hAnsi="Times New Roman" w:cs="Times New Roman"/>
          <w:i/>
          <w:iCs/>
          <w:kern w:val="0"/>
          <w:sz w:val="24"/>
          <w:szCs w:val="24"/>
          <w14:ligatures w14:val="none"/>
        </w:rPr>
        <w:t>Leadership and Performance Beyond Expectations</w:t>
      </w:r>
      <w:r w:rsidRPr="00FC6F6E">
        <w:rPr>
          <w:rFonts w:ascii="Times New Roman" w:eastAsia="Times New Roman" w:hAnsi="Times New Roman" w:cs="Times New Roman"/>
          <w:kern w:val="0"/>
          <w:sz w:val="24"/>
          <w:szCs w:val="24"/>
          <w14:ligatures w14:val="none"/>
        </w:rPr>
        <w:t>. Free Press.</w:t>
      </w:r>
    </w:p>
    <w:p w14:paraId="2096AA9B"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Burns, J. M. (1978). </w:t>
      </w:r>
      <w:r w:rsidRPr="00FC6F6E">
        <w:rPr>
          <w:rFonts w:ascii="Times New Roman" w:eastAsia="Times New Roman" w:hAnsi="Times New Roman" w:cs="Times New Roman"/>
          <w:i/>
          <w:iCs/>
          <w:kern w:val="0"/>
          <w:sz w:val="24"/>
          <w:szCs w:val="24"/>
          <w14:ligatures w14:val="none"/>
        </w:rPr>
        <w:t>Leadership</w:t>
      </w:r>
      <w:r w:rsidRPr="00FC6F6E">
        <w:rPr>
          <w:rFonts w:ascii="Times New Roman" w:eastAsia="Times New Roman" w:hAnsi="Times New Roman" w:cs="Times New Roman"/>
          <w:kern w:val="0"/>
          <w:sz w:val="24"/>
          <w:szCs w:val="24"/>
          <w14:ligatures w14:val="none"/>
        </w:rPr>
        <w:t>. Harper &amp; Row.</w:t>
      </w:r>
    </w:p>
    <w:p w14:paraId="4F1BBFD2"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Carter, C. R., &amp; Rogers, D. S. (2008). A framework of sustainable supply chain management: Moving toward new theory. </w:t>
      </w:r>
      <w:r w:rsidRPr="00FC6F6E">
        <w:rPr>
          <w:rFonts w:ascii="Times New Roman" w:eastAsia="Times New Roman" w:hAnsi="Times New Roman" w:cs="Times New Roman"/>
          <w:i/>
          <w:iCs/>
          <w:kern w:val="0"/>
          <w:sz w:val="24"/>
          <w:szCs w:val="24"/>
          <w14:ligatures w14:val="none"/>
        </w:rPr>
        <w:t>International Journal of Physical Distribution &amp; Logistics Management</w:t>
      </w:r>
      <w:r w:rsidRPr="00FC6F6E">
        <w:rPr>
          <w:rFonts w:ascii="Times New Roman" w:eastAsia="Times New Roman" w:hAnsi="Times New Roman" w:cs="Times New Roman"/>
          <w:kern w:val="0"/>
          <w:sz w:val="24"/>
          <w:szCs w:val="24"/>
          <w14:ligatures w14:val="none"/>
        </w:rPr>
        <w:t>, 38(5), 360–387.</w:t>
      </w:r>
    </w:p>
    <w:p w14:paraId="769AA803"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Christopher, M. (2016). </w:t>
      </w:r>
      <w:r w:rsidRPr="00FC6F6E">
        <w:rPr>
          <w:rFonts w:ascii="Times New Roman" w:eastAsia="Times New Roman" w:hAnsi="Times New Roman" w:cs="Times New Roman"/>
          <w:i/>
          <w:iCs/>
          <w:kern w:val="0"/>
          <w:sz w:val="24"/>
          <w:szCs w:val="24"/>
          <w14:ligatures w14:val="none"/>
        </w:rPr>
        <w:t>Logistics &amp; Supply Chain Management</w:t>
      </w:r>
      <w:r w:rsidRPr="00FC6F6E">
        <w:rPr>
          <w:rFonts w:ascii="Times New Roman" w:eastAsia="Times New Roman" w:hAnsi="Times New Roman" w:cs="Times New Roman"/>
          <w:kern w:val="0"/>
          <w:sz w:val="24"/>
          <w:szCs w:val="24"/>
          <w14:ligatures w14:val="none"/>
        </w:rPr>
        <w:t xml:space="preserve"> (5th ed.). FT Press.</w:t>
      </w:r>
    </w:p>
    <w:p w14:paraId="262C7B4B"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Gligor, D. M., Holcomb, M. C., &amp; Stank, T. P. (2016). A multidisciplinary approach to supply chain agility: Conceptualization and scale development. </w:t>
      </w:r>
      <w:r w:rsidRPr="00FC6F6E">
        <w:rPr>
          <w:rFonts w:ascii="Times New Roman" w:eastAsia="Times New Roman" w:hAnsi="Times New Roman" w:cs="Times New Roman"/>
          <w:i/>
          <w:iCs/>
          <w:kern w:val="0"/>
          <w:sz w:val="24"/>
          <w:szCs w:val="24"/>
          <w14:ligatures w14:val="none"/>
        </w:rPr>
        <w:t>Journal of Business Logistics</w:t>
      </w:r>
      <w:r w:rsidRPr="00FC6F6E">
        <w:rPr>
          <w:rFonts w:ascii="Times New Roman" w:eastAsia="Times New Roman" w:hAnsi="Times New Roman" w:cs="Times New Roman"/>
          <w:kern w:val="0"/>
          <w:sz w:val="24"/>
          <w:szCs w:val="24"/>
          <w14:ligatures w14:val="none"/>
        </w:rPr>
        <w:t>, 37(2), 120–132.</w:t>
      </w:r>
    </w:p>
    <w:p w14:paraId="1382BDFF"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Gunasekaran, A., Subramanian, N., &amp; Rahman, S. (2017). Supply chain resilience: Role of complexities and strategies. </w:t>
      </w:r>
      <w:r w:rsidRPr="00FC6F6E">
        <w:rPr>
          <w:rFonts w:ascii="Times New Roman" w:eastAsia="Times New Roman" w:hAnsi="Times New Roman" w:cs="Times New Roman"/>
          <w:i/>
          <w:iCs/>
          <w:kern w:val="0"/>
          <w:sz w:val="24"/>
          <w:szCs w:val="24"/>
          <w14:ligatures w14:val="none"/>
        </w:rPr>
        <w:t>International Journal of Production Research</w:t>
      </w:r>
      <w:r w:rsidRPr="00FC6F6E">
        <w:rPr>
          <w:rFonts w:ascii="Times New Roman" w:eastAsia="Times New Roman" w:hAnsi="Times New Roman" w:cs="Times New Roman"/>
          <w:kern w:val="0"/>
          <w:sz w:val="24"/>
          <w:szCs w:val="24"/>
          <w14:ligatures w14:val="none"/>
        </w:rPr>
        <w:t>, 55(22), 6481–6499.</w:t>
      </w:r>
    </w:p>
    <w:p w14:paraId="19BF99A2"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Nguyen, T. T. H., Mia, L., Winata, L., &amp; Chong, V. K. (2017). Effect of transformational-leadership style on performance. </w:t>
      </w:r>
      <w:r w:rsidRPr="00FC6F6E">
        <w:rPr>
          <w:rFonts w:ascii="Times New Roman" w:eastAsia="Times New Roman" w:hAnsi="Times New Roman" w:cs="Times New Roman"/>
          <w:i/>
          <w:iCs/>
          <w:kern w:val="0"/>
          <w:sz w:val="24"/>
          <w:szCs w:val="24"/>
          <w14:ligatures w14:val="none"/>
        </w:rPr>
        <w:t>Accounting, Auditing &amp; Accountability Journal</w:t>
      </w:r>
      <w:r w:rsidRPr="00FC6F6E">
        <w:rPr>
          <w:rFonts w:ascii="Times New Roman" w:eastAsia="Times New Roman" w:hAnsi="Times New Roman" w:cs="Times New Roman"/>
          <w:kern w:val="0"/>
          <w:sz w:val="24"/>
          <w:szCs w:val="24"/>
          <w14:ligatures w14:val="none"/>
        </w:rPr>
        <w:t>, 30(1), 145–172.</w:t>
      </w:r>
    </w:p>
    <w:p w14:paraId="6675A5F4" w14:textId="77777777"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Trivellas, P., &amp; Drimoussis, C. (2013). Investigating leadership styles and quality systems on performance. </w:t>
      </w:r>
      <w:r w:rsidRPr="00FC6F6E">
        <w:rPr>
          <w:rFonts w:ascii="Times New Roman" w:eastAsia="Times New Roman" w:hAnsi="Times New Roman" w:cs="Times New Roman"/>
          <w:i/>
          <w:iCs/>
          <w:kern w:val="0"/>
          <w:sz w:val="24"/>
          <w:szCs w:val="24"/>
          <w14:ligatures w14:val="none"/>
        </w:rPr>
        <w:t>Total Quality Management &amp; Business Excellence</w:t>
      </w:r>
      <w:r w:rsidRPr="00FC6F6E">
        <w:rPr>
          <w:rFonts w:ascii="Times New Roman" w:eastAsia="Times New Roman" w:hAnsi="Times New Roman" w:cs="Times New Roman"/>
          <w:kern w:val="0"/>
          <w:sz w:val="24"/>
          <w:szCs w:val="24"/>
          <w14:ligatures w14:val="none"/>
        </w:rPr>
        <w:t>, 24(3–4), 294–311.</w:t>
      </w:r>
    </w:p>
    <w:p w14:paraId="4A6C7421" w14:textId="090E8345" w:rsidR="00FC6F6E" w:rsidRPr="00FC6F6E" w:rsidRDefault="00FC6F6E" w:rsidP="005F53DC">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r w:rsidRPr="00FC6F6E">
        <w:rPr>
          <w:rFonts w:ascii="Times New Roman" w:eastAsia="Times New Roman" w:hAnsi="Times New Roman" w:cs="Times New Roman"/>
          <w:kern w:val="0"/>
          <w:sz w:val="24"/>
          <w:szCs w:val="24"/>
          <w14:ligatures w14:val="none"/>
        </w:rPr>
        <w:t xml:space="preserve">Yukl, G. (2010). </w:t>
      </w:r>
      <w:r w:rsidRPr="00FC6F6E">
        <w:rPr>
          <w:rFonts w:ascii="Times New Roman" w:eastAsia="Times New Roman" w:hAnsi="Times New Roman" w:cs="Times New Roman"/>
          <w:i/>
          <w:iCs/>
          <w:kern w:val="0"/>
          <w:sz w:val="24"/>
          <w:szCs w:val="24"/>
          <w14:ligatures w14:val="none"/>
        </w:rPr>
        <w:t>Leadership in Organizations</w:t>
      </w:r>
      <w:r w:rsidRPr="00FC6F6E">
        <w:rPr>
          <w:rFonts w:ascii="Times New Roman" w:eastAsia="Times New Roman" w:hAnsi="Times New Roman" w:cs="Times New Roman"/>
          <w:kern w:val="0"/>
          <w:sz w:val="24"/>
          <w:szCs w:val="24"/>
          <w14:ligatures w14:val="none"/>
        </w:rPr>
        <w:t xml:space="preserve"> (7th </w:t>
      </w:r>
      <w:r w:rsidR="00B561F5" w:rsidRPr="00FC6F6E">
        <w:rPr>
          <w:rFonts w:ascii="Times New Roman" w:eastAsia="Times New Roman" w:hAnsi="Times New Roman" w:cs="Times New Roman"/>
          <w:kern w:val="0"/>
          <w:sz w:val="24"/>
          <w:szCs w:val="24"/>
          <w14:ligatures w14:val="none"/>
        </w:rPr>
        <w:t>Ed</w:t>
      </w:r>
      <w:r w:rsidRPr="00FC6F6E">
        <w:rPr>
          <w:rFonts w:ascii="Times New Roman" w:eastAsia="Times New Roman" w:hAnsi="Times New Roman" w:cs="Times New Roman"/>
          <w:kern w:val="0"/>
          <w:sz w:val="24"/>
          <w:szCs w:val="24"/>
          <w14:ligatures w14:val="none"/>
        </w:rPr>
        <w:t>.). Pearson.</w:t>
      </w:r>
    </w:p>
    <w:p w14:paraId="3DB004CF" w14:textId="77777777" w:rsidR="00FC6F6E" w:rsidRDefault="00FC6F6E" w:rsidP="005F53DC">
      <w:pPr>
        <w:bidi w:val="0"/>
        <w:spacing w:before="100" w:beforeAutospacing="1" w:after="100" w:afterAutospacing="1" w:line="240" w:lineRule="auto"/>
        <w:ind w:left="360"/>
        <w:rPr>
          <w:rFonts w:ascii="Times New Roman" w:eastAsia="Times New Roman" w:hAnsi="Times New Roman" w:cs="Times New Roman"/>
          <w:color w:val="0000FF"/>
          <w:kern w:val="0"/>
          <w:sz w:val="24"/>
          <w:szCs w:val="24"/>
          <w:u w:val="single"/>
          <w14:ligatures w14:val="none"/>
        </w:rPr>
      </w:pPr>
      <w:r w:rsidRPr="00FC6F6E">
        <w:rPr>
          <w:rFonts w:ascii="Times New Roman" w:eastAsia="Times New Roman" w:hAnsi="Times New Roman" w:cs="Times New Roman"/>
          <w:kern w:val="0"/>
          <w:sz w:val="24"/>
          <w:szCs w:val="24"/>
          <w14:ligatures w14:val="none"/>
        </w:rPr>
        <w:t xml:space="preserve">Vision 2030. (2020). </w:t>
      </w:r>
      <w:r w:rsidRPr="00FC6F6E">
        <w:rPr>
          <w:rFonts w:ascii="Times New Roman" w:eastAsia="Times New Roman" w:hAnsi="Times New Roman" w:cs="Times New Roman"/>
          <w:i/>
          <w:iCs/>
          <w:kern w:val="0"/>
          <w:sz w:val="24"/>
          <w:szCs w:val="24"/>
          <w14:ligatures w14:val="none"/>
        </w:rPr>
        <w:t>National Industrial Development and Logistics Program</w:t>
      </w:r>
      <w:r w:rsidRPr="00FC6F6E">
        <w:rPr>
          <w:rFonts w:ascii="Times New Roman" w:eastAsia="Times New Roman" w:hAnsi="Times New Roman" w:cs="Times New Roman"/>
          <w:kern w:val="0"/>
          <w:sz w:val="24"/>
          <w:szCs w:val="24"/>
          <w14:ligatures w14:val="none"/>
        </w:rPr>
        <w:t xml:space="preserve">. Retrieved from </w:t>
      </w:r>
      <w:hyperlink r:id="rId10" w:tgtFrame="_new" w:history="1">
        <w:r w:rsidRPr="00FC6F6E">
          <w:rPr>
            <w:rFonts w:ascii="Times New Roman" w:eastAsia="Times New Roman" w:hAnsi="Times New Roman" w:cs="Times New Roman"/>
            <w:color w:val="0000FF"/>
            <w:kern w:val="0"/>
            <w:sz w:val="24"/>
            <w:szCs w:val="24"/>
            <w:u w:val="single"/>
            <w14:ligatures w14:val="none"/>
          </w:rPr>
          <w:t>https://www.vision2030.gov.sa</w:t>
        </w:r>
      </w:hyperlink>
    </w:p>
    <w:p w14:paraId="75EC0C11" w14:textId="55C2BFE0"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Alferaih, A., Sarwar, S., &amp; Eid, F. (2018). Leadership styles and organizational performance in the Saudi Arabian public sector. </w:t>
      </w:r>
      <w:r w:rsidRPr="00DD0C9D">
        <w:rPr>
          <w:rFonts w:ascii="Times New Roman" w:eastAsia="Times New Roman" w:hAnsi="Times New Roman" w:cs="Times New Roman"/>
          <w:i/>
          <w:iCs/>
          <w:kern w:val="0"/>
          <w:sz w:val="24"/>
          <w:szCs w:val="24"/>
          <w14:ligatures w14:val="none"/>
        </w:rPr>
        <w:t>Journal of Leadership, Accountability and Ethics</w:t>
      </w:r>
      <w:r w:rsidRPr="00DD0C9D">
        <w:rPr>
          <w:rFonts w:ascii="Times New Roman" w:eastAsia="Times New Roman" w:hAnsi="Times New Roman" w:cs="Times New Roman"/>
          <w:kern w:val="0"/>
          <w:sz w:val="24"/>
          <w:szCs w:val="24"/>
          <w14:ligatures w14:val="none"/>
        </w:rPr>
        <w:t>, 15(2), 1–14.</w:t>
      </w:r>
    </w:p>
    <w:p w14:paraId="7B97DDF6" w14:textId="1B59C8FF"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Bass, B. M. (1985). </w:t>
      </w:r>
      <w:r w:rsidRPr="00DD0C9D">
        <w:rPr>
          <w:rFonts w:ascii="Times New Roman" w:eastAsia="Times New Roman" w:hAnsi="Times New Roman" w:cs="Times New Roman"/>
          <w:i/>
          <w:iCs/>
          <w:kern w:val="0"/>
          <w:sz w:val="24"/>
          <w:szCs w:val="24"/>
          <w14:ligatures w14:val="none"/>
        </w:rPr>
        <w:t>Leadership and performance beyond expectations</w:t>
      </w:r>
      <w:r w:rsidRPr="00DD0C9D">
        <w:rPr>
          <w:rFonts w:ascii="Times New Roman" w:eastAsia="Times New Roman" w:hAnsi="Times New Roman" w:cs="Times New Roman"/>
          <w:kern w:val="0"/>
          <w:sz w:val="24"/>
          <w:szCs w:val="24"/>
          <w14:ligatures w14:val="none"/>
        </w:rPr>
        <w:t>. Free Press.</w:t>
      </w:r>
    </w:p>
    <w:p w14:paraId="0C2B14E4" w14:textId="1A562598"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Bass, B. M., &amp; Riggio, R. E. (2006). </w:t>
      </w:r>
      <w:r w:rsidRPr="00DD0C9D">
        <w:rPr>
          <w:rFonts w:ascii="Times New Roman" w:eastAsia="Times New Roman" w:hAnsi="Times New Roman" w:cs="Times New Roman"/>
          <w:i/>
          <w:iCs/>
          <w:kern w:val="0"/>
          <w:sz w:val="24"/>
          <w:szCs w:val="24"/>
          <w14:ligatures w14:val="none"/>
        </w:rPr>
        <w:t>Transformational leadership</w:t>
      </w:r>
      <w:r w:rsidRPr="00DD0C9D">
        <w:rPr>
          <w:rFonts w:ascii="Times New Roman" w:eastAsia="Times New Roman" w:hAnsi="Times New Roman" w:cs="Times New Roman"/>
          <w:kern w:val="0"/>
          <w:sz w:val="24"/>
          <w:szCs w:val="24"/>
          <w14:ligatures w14:val="none"/>
        </w:rPr>
        <w:t xml:space="preserve"> (2nd ed.). Lawrence Erlbaum Associates.</w:t>
      </w:r>
    </w:p>
    <w:p w14:paraId="6BCD1F4E" w14:textId="5ACBFD1E"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Burns, J. M. (1978). </w:t>
      </w:r>
      <w:r w:rsidRPr="00DD0C9D">
        <w:rPr>
          <w:rFonts w:ascii="Times New Roman" w:eastAsia="Times New Roman" w:hAnsi="Times New Roman" w:cs="Times New Roman"/>
          <w:i/>
          <w:iCs/>
          <w:kern w:val="0"/>
          <w:sz w:val="24"/>
          <w:szCs w:val="24"/>
          <w14:ligatures w14:val="none"/>
        </w:rPr>
        <w:t>Leadership</w:t>
      </w:r>
      <w:r w:rsidRPr="00DD0C9D">
        <w:rPr>
          <w:rFonts w:ascii="Times New Roman" w:eastAsia="Times New Roman" w:hAnsi="Times New Roman" w:cs="Times New Roman"/>
          <w:kern w:val="0"/>
          <w:sz w:val="24"/>
          <w:szCs w:val="24"/>
          <w14:ligatures w14:val="none"/>
        </w:rPr>
        <w:t>. Harper &amp; Row.</w:t>
      </w:r>
    </w:p>
    <w:p w14:paraId="3736E12F" w14:textId="3DF58008"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Northouse, P. G. (2018). </w:t>
      </w:r>
      <w:r w:rsidRPr="00DD0C9D">
        <w:rPr>
          <w:rFonts w:ascii="Times New Roman" w:eastAsia="Times New Roman" w:hAnsi="Times New Roman" w:cs="Times New Roman"/>
          <w:i/>
          <w:iCs/>
          <w:kern w:val="0"/>
          <w:sz w:val="24"/>
          <w:szCs w:val="24"/>
          <w14:ligatures w14:val="none"/>
        </w:rPr>
        <w:t>Leadership: Theory and practice</w:t>
      </w:r>
      <w:r w:rsidRPr="00DD0C9D">
        <w:rPr>
          <w:rFonts w:ascii="Times New Roman" w:eastAsia="Times New Roman" w:hAnsi="Times New Roman" w:cs="Times New Roman"/>
          <w:kern w:val="0"/>
          <w:sz w:val="24"/>
          <w:szCs w:val="24"/>
          <w14:ligatures w14:val="none"/>
        </w:rPr>
        <w:t xml:space="preserve"> (8th ed.). Sage Publications.</w:t>
      </w:r>
    </w:p>
    <w:p w14:paraId="4F6986A4" w14:textId="4BD8E389"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Podsakoff, P. M., MacKenzie, S. B., Moorman, R. H., &amp; Fetter, R. (1996). Transformational leader behaviors and their effects on followers' trust in leader, satisfaction, and organizational citizenship behaviors. </w:t>
      </w:r>
      <w:r w:rsidRPr="00DD0C9D">
        <w:rPr>
          <w:rFonts w:ascii="Times New Roman" w:eastAsia="Times New Roman" w:hAnsi="Times New Roman" w:cs="Times New Roman"/>
          <w:i/>
          <w:iCs/>
          <w:kern w:val="0"/>
          <w:sz w:val="24"/>
          <w:szCs w:val="24"/>
          <w14:ligatures w14:val="none"/>
        </w:rPr>
        <w:t>The Leadership Quarterly</w:t>
      </w:r>
      <w:r w:rsidRPr="00DD0C9D">
        <w:rPr>
          <w:rFonts w:ascii="Times New Roman" w:eastAsia="Times New Roman" w:hAnsi="Times New Roman" w:cs="Times New Roman"/>
          <w:kern w:val="0"/>
          <w:sz w:val="24"/>
          <w:szCs w:val="24"/>
          <w14:ligatures w14:val="none"/>
        </w:rPr>
        <w:t>, 1(2), 107–142.</w:t>
      </w:r>
    </w:p>
    <w:p w14:paraId="1E5F0EC2" w14:textId="034F203F" w:rsidR="00DD0C9D" w:rsidRPr="00DD0C9D" w:rsidRDefault="00DD0C9D" w:rsidP="00DD0C9D">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DD0C9D">
        <w:rPr>
          <w:rFonts w:ascii="Times New Roman" w:eastAsia="Times New Roman" w:hAnsi="Times New Roman" w:cs="Times New Roman"/>
          <w:kern w:val="0"/>
          <w:sz w:val="24"/>
          <w:szCs w:val="24"/>
          <w14:ligatures w14:val="none"/>
        </w:rPr>
        <w:t xml:space="preserve">Yukl, G. (2013). </w:t>
      </w:r>
      <w:r w:rsidRPr="00DD0C9D">
        <w:rPr>
          <w:rFonts w:ascii="Times New Roman" w:eastAsia="Times New Roman" w:hAnsi="Times New Roman" w:cs="Times New Roman"/>
          <w:i/>
          <w:iCs/>
          <w:kern w:val="0"/>
          <w:sz w:val="24"/>
          <w:szCs w:val="24"/>
          <w14:ligatures w14:val="none"/>
        </w:rPr>
        <w:t>Leadership in organizations</w:t>
      </w:r>
      <w:r w:rsidRPr="00DD0C9D">
        <w:rPr>
          <w:rFonts w:ascii="Times New Roman" w:eastAsia="Times New Roman" w:hAnsi="Times New Roman" w:cs="Times New Roman"/>
          <w:kern w:val="0"/>
          <w:sz w:val="24"/>
          <w:szCs w:val="24"/>
          <w14:ligatures w14:val="none"/>
        </w:rPr>
        <w:t xml:space="preserve"> (8th ed.). Pearson Education.</w:t>
      </w:r>
    </w:p>
    <w:p w14:paraId="17B42F01" w14:textId="77777777" w:rsidR="00DD0C9D" w:rsidRPr="00FC6F6E" w:rsidRDefault="00DD0C9D" w:rsidP="00DD0C9D">
      <w:pPr>
        <w:bidi w:val="0"/>
        <w:spacing w:before="100" w:beforeAutospacing="1" w:after="100" w:afterAutospacing="1" w:line="240" w:lineRule="auto"/>
        <w:ind w:left="360"/>
        <w:rPr>
          <w:rFonts w:ascii="Times New Roman" w:eastAsia="Times New Roman" w:hAnsi="Times New Roman" w:cs="Times New Roman"/>
          <w:kern w:val="0"/>
          <w:sz w:val="24"/>
          <w:szCs w:val="24"/>
          <w14:ligatures w14:val="none"/>
        </w:rPr>
      </w:pPr>
    </w:p>
    <w:sectPr w:rsidR="00DD0C9D" w:rsidRPr="00FC6F6E" w:rsidSect="00877AAC">
      <w:footerReference w:type="default" r:id="rId1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2B64AF" w14:textId="77777777" w:rsidR="001F6172" w:rsidRDefault="001F6172" w:rsidP="009125CE">
      <w:pPr>
        <w:spacing w:after="0" w:line="240" w:lineRule="auto"/>
      </w:pPr>
      <w:r>
        <w:separator/>
      </w:r>
    </w:p>
  </w:endnote>
  <w:endnote w:type="continuationSeparator" w:id="0">
    <w:p w14:paraId="4A4F0102" w14:textId="77777777" w:rsidR="001F6172" w:rsidRDefault="001F617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entaur">
    <w:panose1 w:val="02030504050205020304"/>
    <w:charset w:val="00"/>
    <w:family w:val="roman"/>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6015995"/>
      <w:docPartObj>
        <w:docPartGallery w:val="Page Numbers (Bottom of Page)"/>
        <w:docPartUnique/>
      </w:docPartObj>
    </w:sdtPr>
    <w:sdtEndPr>
      <w:rPr>
        <w:color w:val="7F7F7F" w:themeColor="background1" w:themeShade="7F"/>
        <w:spacing w:val="60"/>
      </w:rPr>
    </w:sdtEndPr>
    <w:sdtContent>
      <w:p w14:paraId="60CD3F4E" w14:textId="2184E4A0" w:rsidR="001F6172" w:rsidRDefault="001F6172">
        <w:pPr>
          <w:pStyle w:val="Footer"/>
          <w:pBdr>
            <w:top w:val="single" w:sz="4" w:space="1" w:color="D9D9D9" w:themeColor="background1" w:themeShade="D9"/>
          </w:pBdr>
          <w:jc w:val="right"/>
        </w:pPr>
        <w:r>
          <w:fldChar w:fldCharType="begin"/>
        </w:r>
        <w:r>
          <w:instrText xml:space="preserve"> PAGE   \* MERGEFORMAT </w:instrText>
        </w:r>
        <w:r>
          <w:fldChar w:fldCharType="separate"/>
        </w:r>
        <w:r w:rsidR="00A206D8">
          <w:rPr>
            <w:noProof/>
            <w:rtl/>
          </w:rPr>
          <w:t>2</w:t>
        </w:r>
        <w:r>
          <w:rPr>
            <w:noProof/>
          </w:rPr>
          <w:fldChar w:fldCharType="end"/>
        </w:r>
        <w:r>
          <w:t xml:space="preserve"> | </w:t>
        </w:r>
        <w:r>
          <w:rPr>
            <w:color w:val="7F7F7F" w:themeColor="background1" w:themeShade="7F"/>
            <w:spacing w:val="60"/>
          </w:rPr>
          <w:t>Page</w:t>
        </w:r>
      </w:p>
    </w:sdtContent>
  </w:sdt>
  <w:p w14:paraId="038680C7" w14:textId="77777777" w:rsidR="001F6172" w:rsidRDefault="001F61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6FD7DB" w14:textId="77777777" w:rsidR="001F6172" w:rsidRDefault="001F6172" w:rsidP="009125CE">
      <w:pPr>
        <w:spacing w:after="0" w:line="240" w:lineRule="auto"/>
      </w:pPr>
      <w:r>
        <w:separator/>
      </w:r>
    </w:p>
  </w:footnote>
  <w:footnote w:type="continuationSeparator" w:id="0">
    <w:p w14:paraId="305B3757" w14:textId="77777777" w:rsidR="001F6172" w:rsidRDefault="001F6172"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75747"/>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8E2FC2"/>
    <w:multiLevelType w:val="hybridMultilevel"/>
    <w:tmpl w:val="D92E62F0"/>
    <w:lvl w:ilvl="0" w:tplc="0226C900">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561027"/>
    <w:multiLevelType w:val="hybridMultilevel"/>
    <w:tmpl w:val="9B0EEED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ACF6500"/>
    <w:multiLevelType w:val="multilevel"/>
    <w:tmpl w:val="D9A41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C3B76A8"/>
    <w:multiLevelType w:val="multilevel"/>
    <w:tmpl w:val="D1960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E613C8"/>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210A87"/>
    <w:multiLevelType w:val="multilevel"/>
    <w:tmpl w:val="07F225CE"/>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9D11CC9"/>
    <w:multiLevelType w:val="hybridMultilevel"/>
    <w:tmpl w:val="0C5A38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4533AE9"/>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D141C8C"/>
    <w:multiLevelType w:val="multilevel"/>
    <w:tmpl w:val="BBE85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8334F7"/>
    <w:multiLevelType w:val="hybridMultilevel"/>
    <w:tmpl w:val="64BCECB2"/>
    <w:lvl w:ilvl="0" w:tplc="C5E68C5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3CFB2051"/>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E241B69"/>
    <w:multiLevelType w:val="multilevel"/>
    <w:tmpl w:val="7FB2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FC52517"/>
    <w:multiLevelType w:val="hybridMultilevel"/>
    <w:tmpl w:val="5688F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5D8234D"/>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8645A4"/>
    <w:multiLevelType w:val="multilevel"/>
    <w:tmpl w:val="B8DA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091250"/>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41B35C6"/>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ACD16D6"/>
    <w:multiLevelType w:val="multilevel"/>
    <w:tmpl w:val="8DD49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AC20B8"/>
    <w:multiLevelType w:val="multilevel"/>
    <w:tmpl w:val="E99E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2323283"/>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27E0E6B"/>
    <w:multiLevelType w:val="multilevel"/>
    <w:tmpl w:val="C7408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54526D7"/>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797A2313"/>
    <w:multiLevelType w:val="multilevel"/>
    <w:tmpl w:val="9A509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C6F7529"/>
    <w:multiLevelType w:val="multilevel"/>
    <w:tmpl w:val="F7F87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D697ABB"/>
    <w:multiLevelType w:val="multilevel"/>
    <w:tmpl w:val="69FA2FF0"/>
    <w:lvl w:ilvl="0">
      <w:start w:val="1"/>
      <w:numFmt w:val="bullet"/>
      <w:lvlText w:val=""/>
      <w:lvlJc w:val="left"/>
      <w:pPr>
        <w:tabs>
          <w:tab w:val="num" w:pos="720"/>
        </w:tabs>
        <w:ind w:left="720" w:hanging="360"/>
      </w:pPr>
      <w:rPr>
        <w:rFonts w:ascii="Symbol" w:hAnsi="Symbol" w:hint="default"/>
      </w:rPr>
    </w:lvl>
    <w:lvl w:ilvl="1">
      <w:numFmt w:val="bullet"/>
      <w:lvlText w:val=""/>
      <w:lvlJc w:val="left"/>
      <w:pPr>
        <w:ind w:left="1440" w:hanging="360"/>
      </w:pPr>
      <w:rPr>
        <w:rFonts w:ascii="Symbol" w:eastAsia="Times New Roman" w:hAnsi="Symbol"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16"/>
  </w:num>
  <w:num w:numId="4">
    <w:abstractNumId w:val="0"/>
  </w:num>
  <w:num w:numId="5">
    <w:abstractNumId w:val="14"/>
  </w:num>
  <w:num w:numId="6">
    <w:abstractNumId w:val="17"/>
  </w:num>
  <w:num w:numId="7">
    <w:abstractNumId w:val="11"/>
  </w:num>
  <w:num w:numId="8">
    <w:abstractNumId w:val="8"/>
  </w:num>
  <w:num w:numId="9">
    <w:abstractNumId w:val="20"/>
  </w:num>
  <w:num w:numId="10">
    <w:abstractNumId w:val="5"/>
  </w:num>
  <w:num w:numId="11">
    <w:abstractNumId w:val="25"/>
  </w:num>
  <w:num w:numId="12">
    <w:abstractNumId w:val="22"/>
  </w:num>
  <w:num w:numId="13">
    <w:abstractNumId w:val="3"/>
  </w:num>
  <w:num w:numId="14">
    <w:abstractNumId w:val="13"/>
  </w:num>
  <w:num w:numId="15">
    <w:abstractNumId w:val="4"/>
  </w:num>
  <w:num w:numId="16">
    <w:abstractNumId w:val="2"/>
  </w:num>
  <w:num w:numId="17">
    <w:abstractNumId w:val="9"/>
  </w:num>
  <w:num w:numId="18">
    <w:abstractNumId w:val="19"/>
  </w:num>
  <w:num w:numId="19">
    <w:abstractNumId w:val="15"/>
  </w:num>
  <w:num w:numId="20">
    <w:abstractNumId w:val="23"/>
  </w:num>
  <w:num w:numId="21">
    <w:abstractNumId w:val="12"/>
  </w:num>
  <w:num w:numId="22">
    <w:abstractNumId w:val="21"/>
  </w:num>
  <w:num w:numId="23">
    <w:abstractNumId w:val="24"/>
  </w:num>
  <w:num w:numId="24">
    <w:abstractNumId w:val="18"/>
  </w:num>
  <w:num w:numId="25">
    <w:abstractNumId w:val="7"/>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43819"/>
    <w:rsid w:val="000F44B4"/>
    <w:rsid w:val="0014284E"/>
    <w:rsid w:val="001902DB"/>
    <w:rsid w:val="001B6F30"/>
    <w:rsid w:val="001C2162"/>
    <w:rsid w:val="001F6172"/>
    <w:rsid w:val="00235FBA"/>
    <w:rsid w:val="00243324"/>
    <w:rsid w:val="002E36E2"/>
    <w:rsid w:val="00313907"/>
    <w:rsid w:val="003759C3"/>
    <w:rsid w:val="00406C75"/>
    <w:rsid w:val="00495D11"/>
    <w:rsid w:val="004B1C53"/>
    <w:rsid w:val="00554819"/>
    <w:rsid w:val="00590B27"/>
    <w:rsid w:val="005F53DC"/>
    <w:rsid w:val="0062761F"/>
    <w:rsid w:val="00627DBE"/>
    <w:rsid w:val="006948DE"/>
    <w:rsid w:val="00713B59"/>
    <w:rsid w:val="0074636D"/>
    <w:rsid w:val="00773CA6"/>
    <w:rsid w:val="007B0E54"/>
    <w:rsid w:val="007E3A20"/>
    <w:rsid w:val="00877AAC"/>
    <w:rsid w:val="008B4917"/>
    <w:rsid w:val="008F1EAE"/>
    <w:rsid w:val="009125CE"/>
    <w:rsid w:val="009B6888"/>
    <w:rsid w:val="009C0161"/>
    <w:rsid w:val="009D108D"/>
    <w:rsid w:val="009E1436"/>
    <w:rsid w:val="009E5668"/>
    <w:rsid w:val="009F4782"/>
    <w:rsid w:val="00A206D8"/>
    <w:rsid w:val="00A36FDC"/>
    <w:rsid w:val="00A74F76"/>
    <w:rsid w:val="00A828BE"/>
    <w:rsid w:val="00AA79E9"/>
    <w:rsid w:val="00AB0A70"/>
    <w:rsid w:val="00B561F5"/>
    <w:rsid w:val="00B63B0F"/>
    <w:rsid w:val="00B7678A"/>
    <w:rsid w:val="00C71E18"/>
    <w:rsid w:val="00CA2152"/>
    <w:rsid w:val="00D22171"/>
    <w:rsid w:val="00D5233E"/>
    <w:rsid w:val="00DD0C9D"/>
    <w:rsid w:val="00E71C79"/>
    <w:rsid w:val="00EA6B5D"/>
    <w:rsid w:val="00EE19F6"/>
    <w:rsid w:val="00F546CE"/>
    <w:rsid w:val="00FC6F6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5F53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53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FC6F6E"/>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D5233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5233E"/>
    <w:rPr>
      <w:i/>
      <w:iCs/>
    </w:rPr>
  </w:style>
  <w:style w:type="character" w:styleId="Hyperlink">
    <w:name w:val="Hyperlink"/>
    <w:basedOn w:val="DefaultParagraphFont"/>
    <w:uiPriority w:val="99"/>
    <w:unhideWhenUsed/>
    <w:rsid w:val="00D5233E"/>
    <w:rPr>
      <w:color w:val="0000FF"/>
      <w:u w:val="single"/>
    </w:rPr>
  </w:style>
  <w:style w:type="paragraph" w:styleId="ListParagraph">
    <w:name w:val="List Paragraph"/>
    <w:basedOn w:val="Normal"/>
    <w:uiPriority w:val="34"/>
    <w:qFormat/>
    <w:rsid w:val="009F4782"/>
    <w:pPr>
      <w:ind w:left="720"/>
      <w:contextualSpacing/>
    </w:pPr>
  </w:style>
  <w:style w:type="character" w:customStyle="1" w:styleId="Heading3Char">
    <w:name w:val="Heading 3 Char"/>
    <w:basedOn w:val="DefaultParagraphFont"/>
    <w:link w:val="Heading3"/>
    <w:uiPriority w:val="9"/>
    <w:rsid w:val="00FC6F6E"/>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FC6F6E"/>
    <w:rPr>
      <w:b/>
      <w:bCs/>
    </w:rPr>
  </w:style>
  <w:style w:type="character" w:customStyle="1" w:styleId="Heading1Char">
    <w:name w:val="Heading 1 Char"/>
    <w:basedOn w:val="DefaultParagraphFont"/>
    <w:link w:val="Heading1"/>
    <w:uiPriority w:val="9"/>
    <w:rsid w:val="005F53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53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561F5"/>
    <w:pPr>
      <w:bidi w:val="0"/>
      <w:outlineLvl w:val="9"/>
    </w:pPr>
    <w:rPr>
      <w:kern w:val="0"/>
      <w14:ligatures w14:val="none"/>
    </w:rPr>
  </w:style>
  <w:style w:type="paragraph" w:styleId="TOC1">
    <w:name w:val="toc 1"/>
    <w:basedOn w:val="Normal"/>
    <w:next w:val="Normal"/>
    <w:autoRedefine/>
    <w:uiPriority w:val="39"/>
    <w:unhideWhenUsed/>
    <w:rsid w:val="00B561F5"/>
    <w:pPr>
      <w:spacing w:after="100"/>
    </w:pPr>
  </w:style>
  <w:style w:type="paragraph" w:styleId="TOC2">
    <w:name w:val="toc 2"/>
    <w:basedOn w:val="Normal"/>
    <w:next w:val="Normal"/>
    <w:autoRedefine/>
    <w:uiPriority w:val="39"/>
    <w:unhideWhenUsed/>
    <w:rsid w:val="00B561F5"/>
    <w:pPr>
      <w:spacing w:after="100"/>
      <w:ind w:left="220"/>
    </w:pPr>
  </w:style>
  <w:style w:type="paragraph" w:styleId="TOC3">
    <w:name w:val="toc 3"/>
    <w:basedOn w:val="Normal"/>
    <w:next w:val="Normal"/>
    <w:autoRedefine/>
    <w:uiPriority w:val="39"/>
    <w:unhideWhenUsed/>
    <w:rsid w:val="00773CA6"/>
    <w:pPr>
      <w:spacing w:after="100"/>
      <w:ind w:left="440"/>
    </w:pPr>
  </w:style>
  <w:style w:type="paragraph" w:styleId="NoSpacing">
    <w:name w:val="No Spacing"/>
    <w:uiPriority w:val="1"/>
    <w:qFormat/>
    <w:rsid w:val="00773CA6"/>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7861479">
      <w:bodyDiv w:val="1"/>
      <w:marLeft w:val="0"/>
      <w:marRight w:val="0"/>
      <w:marTop w:val="0"/>
      <w:marBottom w:val="0"/>
      <w:divBdr>
        <w:top w:val="none" w:sz="0" w:space="0" w:color="auto"/>
        <w:left w:val="none" w:sz="0" w:space="0" w:color="auto"/>
        <w:bottom w:val="none" w:sz="0" w:space="0" w:color="auto"/>
        <w:right w:val="none" w:sz="0" w:space="0" w:color="auto"/>
      </w:divBdr>
    </w:div>
    <w:div w:id="246840597">
      <w:bodyDiv w:val="1"/>
      <w:marLeft w:val="0"/>
      <w:marRight w:val="0"/>
      <w:marTop w:val="0"/>
      <w:marBottom w:val="0"/>
      <w:divBdr>
        <w:top w:val="none" w:sz="0" w:space="0" w:color="auto"/>
        <w:left w:val="none" w:sz="0" w:space="0" w:color="auto"/>
        <w:bottom w:val="none" w:sz="0" w:space="0" w:color="auto"/>
        <w:right w:val="none" w:sz="0" w:space="0" w:color="auto"/>
      </w:divBdr>
    </w:div>
    <w:div w:id="305088122">
      <w:bodyDiv w:val="1"/>
      <w:marLeft w:val="0"/>
      <w:marRight w:val="0"/>
      <w:marTop w:val="0"/>
      <w:marBottom w:val="0"/>
      <w:divBdr>
        <w:top w:val="none" w:sz="0" w:space="0" w:color="auto"/>
        <w:left w:val="none" w:sz="0" w:space="0" w:color="auto"/>
        <w:bottom w:val="none" w:sz="0" w:space="0" w:color="auto"/>
        <w:right w:val="none" w:sz="0" w:space="0" w:color="auto"/>
      </w:divBdr>
    </w:div>
    <w:div w:id="471562221">
      <w:bodyDiv w:val="1"/>
      <w:marLeft w:val="0"/>
      <w:marRight w:val="0"/>
      <w:marTop w:val="0"/>
      <w:marBottom w:val="0"/>
      <w:divBdr>
        <w:top w:val="none" w:sz="0" w:space="0" w:color="auto"/>
        <w:left w:val="none" w:sz="0" w:space="0" w:color="auto"/>
        <w:bottom w:val="none" w:sz="0" w:space="0" w:color="auto"/>
        <w:right w:val="none" w:sz="0" w:space="0" w:color="auto"/>
      </w:divBdr>
    </w:div>
    <w:div w:id="619922071">
      <w:bodyDiv w:val="1"/>
      <w:marLeft w:val="0"/>
      <w:marRight w:val="0"/>
      <w:marTop w:val="0"/>
      <w:marBottom w:val="0"/>
      <w:divBdr>
        <w:top w:val="none" w:sz="0" w:space="0" w:color="auto"/>
        <w:left w:val="none" w:sz="0" w:space="0" w:color="auto"/>
        <w:bottom w:val="none" w:sz="0" w:space="0" w:color="auto"/>
        <w:right w:val="none" w:sz="0" w:space="0" w:color="auto"/>
      </w:divBdr>
    </w:div>
    <w:div w:id="766194324">
      <w:bodyDiv w:val="1"/>
      <w:marLeft w:val="0"/>
      <w:marRight w:val="0"/>
      <w:marTop w:val="0"/>
      <w:marBottom w:val="0"/>
      <w:divBdr>
        <w:top w:val="none" w:sz="0" w:space="0" w:color="auto"/>
        <w:left w:val="none" w:sz="0" w:space="0" w:color="auto"/>
        <w:bottom w:val="none" w:sz="0" w:space="0" w:color="auto"/>
        <w:right w:val="none" w:sz="0" w:space="0" w:color="auto"/>
      </w:divBdr>
    </w:div>
    <w:div w:id="871504412">
      <w:bodyDiv w:val="1"/>
      <w:marLeft w:val="0"/>
      <w:marRight w:val="0"/>
      <w:marTop w:val="0"/>
      <w:marBottom w:val="0"/>
      <w:divBdr>
        <w:top w:val="none" w:sz="0" w:space="0" w:color="auto"/>
        <w:left w:val="none" w:sz="0" w:space="0" w:color="auto"/>
        <w:bottom w:val="none" w:sz="0" w:space="0" w:color="auto"/>
        <w:right w:val="none" w:sz="0" w:space="0" w:color="auto"/>
      </w:divBdr>
    </w:div>
    <w:div w:id="973753518">
      <w:bodyDiv w:val="1"/>
      <w:marLeft w:val="0"/>
      <w:marRight w:val="0"/>
      <w:marTop w:val="0"/>
      <w:marBottom w:val="0"/>
      <w:divBdr>
        <w:top w:val="none" w:sz="0" w:space="0" w:color="auto"/>
        <w:left w:val="none" w:sz="0" w:space="0" w:color="auto"/>
        <w:bottom w:val="none" w:sz="0" w:space="0" w:color="auto"/>
        <w:right w:val="none" w:sz="0" w:space="0" w:color="auto"/>
      </w:divBdr>
    </w:div>
    <w:div w:id="981277322">
      <w:bodyDiv w:val="1"/>
      <w:marLeft w:val="0"/>
      <w:marRight w:val="0"/>
      <w:marTop w:val="0"/>
      <w:marBottom w:val="0"/>
      <w:divBdr>
        <w:top w:val="none" w:sz="0" w:space="0" w:color="auto"/>
        <w:left w:val="none" w:sz="0" w:space="0" w:color="auto"/>
        <w:bottom w:val="none" w:sz="0" w:space="0" w:color="auto"/>
        <w:right w:val="none" w:sz="0" w:space="0" w:color="auto"/>
      </w:divBdr>
    </w:div>
    <w:div w:id="1262371636">
      <w:bodyDiv w:val="1"/>
      <w:marLeft w:val="0"/>
      <w:marRight w:val="0"/>
      <w:marTop w:val="0"/>
      <w:marBottom w:val="0"/>
      <w:divBdr>
        <w:top w:val="none" w:sz="0" w:space="0" w:color="auto"/>
        <w:left w:val="none" w:sz="0" w:space="0" w:color="auto"/>
        <w:bottom w:val="none" w:sz="0" w:space="0" w:color="auto"/>
        <w:right w:val="none" w:sz="0" w:space="0" w:color="auto"/>
      </w:divBdr>
    </w:div>
    <w:div w:id="1296175005">
      <w:bodyDiv w:val="1"/>
      <w:marLeft w:val="0"/>
      <w:marRight w:val="0"/>
      <w:marTop w:val="0"/>
      <w:marBottom w:val="0"/>
      <w:divBdr>
        <w:top w:val="none" w:sz="0" w:space="0" w:color="auto"/>
        <w:left w:val="none" w:sz="0" w:space="0" w:color="auto"/>
        <w:bottom w:val="none" w:sz="0" w:space="0" w:color="auto"/>
        <w:right w:val="none" w:sz="0" w:space="0" w:color="auto"/>
      </w:divBdr>
      <w:divsChild>
        <w:div w:id="683365097">
          <w:marLeft w:val="0"/>
          <w:marRight w:val="0"/>
          <w:marTop w:val="0"/>
          <w:marBottom w:val="0"/>
          <w:divBdr>
            <w:top w:val="none" w:sz="0" w:space="0" w:color="auto"/>
            <w:left w:val="none" w:sz="0" w:space="0" w:color="auto"/>
            <w:bottom w:val="none" w:sz="0" w:space="0" w:color="auto"/>
            <w:right w:val="none" w:sz="0" w:space="0" w:color="auto"/>
          </w:divBdr>
          <w:divsChild>
            <w:div w:id="706640008">
              <w:marLeft w:val="0"/>
              <w:marRight w:val="0"/>
              <w:marTop w:val="0"/>
              <w:marBottom w:val="0"/>
              <w:divBdr>
                <w:top w:val="none" w:sz="0" w:space="0" w:color="auto"/>
                <w:left w:val="none" w:sz="0" w:space="0" w:color="auto"/>
                <w:bottom w:val="none" w:sz="0" w:space="0" w:color="auto"/>
                <w:right w:val="none" w:sz="0" w:space="0" w:color="auto"/>
              </w:divBdr>
              <w:divsChild>
                <w:div w:id="479425031">
                  <w:marLeft w:val="0"/>
                  <w:marRight w:val="0"/>
                  <w:marTop w:val="0"/>
                  <w:marBottom w:val="0"/>
                  <w:divBdr>
                    <w:top w:val="none" w:sz="0" w:space="0" w:color="auto"/>
                    <w:left w:val="none" w:sz="0" w:space="0" w:color="auto"/>
                    <w:bottom w:val="none" w:sz="0" w:space="0" w:color="auto"/>
                    <w:right w:val="none" w:sz="0" w:space="0" w:color="auto"/>
                  </w:divBdr>
                  <w:divsChild>
                    <w:div w:id="199972507">
                      <w:marLeft w:val="0"/>
                      <w:marRight w:val="0"/>
                      <w:marTop w:val="0"/>
                      <w:marBottom w:val="0"/>
                      <w:divBdr>
                        <w:top w:val="none" w:sz="0" w:space="0" w:color="auto"/>
                        <w:left w:val="none" w:sz="0" w:space="0" w:color="auto"/>
                        <w:bottom w:val="none" w:sz="0" w:space="0" w:color="auto"/>
                        <w:right w:val="none" w:sz="0" w:space="0" w:color="auto"/>
                      </w:divBdr>
                      <w:divsChild>
                        <w:div w:id="1687633241">
                          <w:marLeft w:val="0"/>
                          <w:marRight w:val="0"/>
                          <w:marTop w:val="0"/>
                          <w:marBottom w:val="0"/>
                          <w:divBdr>
                            <w:top w:val="none" w:sz="0" w:space="0" w:color="auto"/>
                            <w:left w:val="none" w:sz="0" w:space="0" w:color="auto"/>
                            <w:bottom w:val="none" w:sz="0" w:space="0" w:color="auto"/>
                            <w:right w:val="none" w:sz="0" w:space="0" w:color="auto"/>
                          </w:divBdr>
                          <w:divsChild>
                            <w:div w:id="196553567">
                              <w:marLeft w:val="0"/>
                              <w:marRight w:val="0"/>
                              <w:marTop w:val="0"/>
                              <w:marBottom w:val="0"/>
                              <w:divBdr>
                                <w:top w:val="none" w:sz="0" w:space="0" w:color="auto"/>
                                <w:left w:val="none" w:sz="0" w:space="0" w:color="auto"/>
                                <w:bottom w:val="none" w:sz="0" w:space="0" w:color="auto"/>
                                <w:right w:val="none" w:sz="0" w:space="0" w:color="auto"/>
                              </w:divBdr>
                              <w:divsChild>
                                <w:div w:id="1471748405">
                                  <w:marLeft w:val="0"/>
                                  <w:marRight w:val="0"/>
                                  <w:marTop w:val="0"/>
                                  <w:marBottom w:val="0"/>
                                  <w:divBdr>
                                    <w:top w:val="none" w:sz="0" w:space="0" w:color="auto"/>
                                    <w:left w:val="none" w:sz="0" w:space="0" w:color="auto"/>
                                    <w:bottom w:val="none" w:sz="0" w:space="0" w:color="auto"/>
                                    <w:right w:val="none" w:sz="0" w:space="0" w:color="auto"/>
                                  </w:divBdr>
                                  <w:divsChild>
                                    <w:div w:id="897712901">
                                      <w:marLeft w:val="0"/>
                                      <w:marRight w:val="0"/>
                                      <w:marTop w:val="0"/>
                                      <w:marBottom w:val="0"/>
                                      <w:divBdr>
                                        <w:top w:val="none" w:sz="0" w:space="0" w:color="auto"/>
                                        <w:left w:val="none" w:sz="0" w:space="0" w:color="auto"/>
                                        <w:bottom w:val="none" w:sz="0" w:space="0" w:color="auto"/>
                                        <w:right w:val="none" w:sz="0" w:space="0" w:color="auto"/>
                                      </w:divBdr>
                                      <w:divsChild>
                                        <w:div w:id="1274900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8921137">
      <w:bodyDiv w:val="1"/>
      <w:marLeft w:val="0"/>
      <w:marRight w:val="0"/>
      <w:marTop w:val="0"/>
      <w:marBottom w:val="0"/>
      <w:divBdr>
        <w:top w:val="none" w:sz="0" w:space="0" w:color="auto"/>
        <w:left w:val="none" w:sz="0" w:space="0" w:color="auto"/>
        <w:bottom w:val="none" w:sz="0" w:space="0" w:color="auto"/>
        <w:right w:val="none" w:sz="0" w:space="0" w:color="auto"/>
      </w:divBdr>
    </w:div>
    <w:div w:id="1359618157">
      <w:bodyDiv w:val="1"/>
      <w:marLeft w:val="0"/>
      <w:marRight w:val="0"/>
      <w:marTop w:val="0"/>
      <w:marBottom w:val="0"/>
      <w:divBdr>
        <w:top w:val="none" w:sz="0" w:space="0" w:color="auto"/>
        <w:left w:val="none" w:sz="0" w:space="0" w:color="auto"/>
        <w:bottom w:val="none" w:sz="0" w:space="0" w:color="auto"/>
        <w:right w:val="none" w:sz="0" w:space="0" w:color="auto"/>
      </w:divBdr>
    </w:div>
    <w:div w:id="1561096279">
      <w:bodyDiv w:val="1"/>
      <w:marLeft w:val="0"/>
      <w:marRight w:val="0"/>
      <w:marTop w:val="0"/>
      <w:marBottom w:val="0"/>
      <w:divBdr>
        <w:top w:val="none" w:sz="0" w:space="0" w:color="auto"/>
        <w:left w:val="none" w:sz="0" w:space="0" w:color="auto"/>
        <w:bottom w:val="none" w:sz="0" w:space="0" w:color="auto"/>
        <w:right w:val="none" w:sz="0" w:space="0" w:color="auto"/>
      </w:divBdr>
    </w:div>
    <w:div w:id="1852602047">
      <w:bodyDiv w:val="1"/>
      <w:marLeft w:val="0"/>
      <w:marRight w:val="0"/>
      <w:marTop w:val="0"/>
      <w:marBottom w:val="0"/>
      <w:divBdr>
        <w:top w:val="none" w:sz="0" w:space="0" w:color="auto"/>
        <w:left w:val="none" w:sz="0" w:space="0" w:color="auto"/>
        <w:bottom w:val="none" w:sz="0" w:space="0" w:color="auto"/>
        <w:right w:val="none" w:sz="0" w:space="0" w:color="auto"/>
      </w:divBdr>
    </w:div>
    <w:div w:id="1923833013">
      <w:bodyDiv w:val="1"/>
      <w:marLeft w:val="0"/>
      <w:marRight w:val="0"/>
      <w:marTop w:val="0"/>
      <w:marBottom w:val="0"/>
      <w:divBdr>
        <w:top w:val="none" w:sz="0" w:space="0" w:color="auto"/>
        <w:left w:val="none" w:sz="0" w:space="0" w:color="auto"/>
        <w:bottom w:val="none" w:sz="0" w:space="0" w:color="auto"/>
        <w:right w:val="none" w:sz="0" w:space="0" w:color="auto"/>
      </w:divBdr>
    </w:div>
    <w:div w:id="2031561227">
      <w:bodyDiv w:val="1"/>
      <w:marLeft w:val="0"/>
      <w:marRight w:val="0"/>
      <w:marTop w:val="0"/>
      <w:marBottom w:val="0"/>
      <w:divBdr>
        <w:top w:val="none" w:sz="0" w:space="0" w:color="auto"/>
        <w:left w:val="none" w:sz="0" w:space="0" w:color="auto"/>
        <w:bottom w:val="none" w:sz="0" w:space="0" w:color="auto"/>
        <w:right w:val="none" w:sz="0" w:space="0" w:color="auto"/>
      </w:divBdr>
      <w:divsChild>
        <w:div w:id="527111619">
          <w:marLeft w:val="0"/>
          <w:marRight w:val="0"/>
          <w:marTop w:val="0"/>
          <w:marBottom w:val="0"/>
          <w:divBdr>
            <w:top w:val="none" w:sz="0" w:space="0" w:color="auto"/>
            <w:left w:val="none" w:sz="0" w:space="0" w:color="auto"/>
            <w:bottom w:val="none" w:sz="0" w:space="0" w:color="auto"/>
            <w:right w:val="none" w:sz="0" w:space="0" w:color="auto"/>
          </w:divBdr>
          <w:divsChild>
            <w:div w:id="1338578102">
              <w:marLeft w:val="0"/>
              <w:marRight w:val="0"/>
              <w:marTop w:val="0"/>
              <w:marBottom w:val="0"/>
              <w:divBdr>
                <w:top w:val="none" w:sz="0" w:space="0" w:color="auto"/>
                <w:left w:val="none" w:sz="0" w:space="0" w:color="auto"/>
                <w:bottom w:val="none" w:sz="0" w:space="0" w:color="auto"/>
                <w:right w:val="none" w:sz="0" w:space="0" w:color="auto"/>
              </w:divBdr>
              <w:divsChild>
                <w:div w:id="1350257895">
                  <w:marLeft w:val="0"/>
                  <w:marRight w:val="0"/>
                  <w:marTop w:val="0"/>
                  <w:marBottom w:val="0"/>
                  <w:divBdr>
                    <w:top w:val="none" w:sz="0" w:space="0" w:color="auto"/>
                    <w:left w:val="none" w:sz="0" w:space="0" w:color="auto"/>
                    <w:bottom w:val="none" w:sz="0" w:space="0" w:color="auto"/>
                    <w:right w:val="none" w:sz="0" w:space="0" w:color="auto"/>
                  </w:divBdr>
                  <w:divsChild>
                    <w:div w:id="197159762">
                      <w:marLeft w:val="0"/>
                      <w:marRight w:val="0"/>
                      <w:marTop w:val="0"/>
                      <w:marBottom w:val="0"/>
                      <w:divBdr>
                        <w:top w:val="none" w:sz="0" w:space="0" w:color="auto"/>
                        <w:left w:val="none" w:sz="0" w:space="0" w:color="auto"/>
                        <w:bottom w:val="none" w:sz="0" w:space="0" w:color="auto"/>
                        <w:right w:val="none" w:sz="0" w:space="0" w:color="auto"/>
                      </w:divBdr>
                      <w:divsChild>
                        <w:div w:id="910114704">
                          <w:marLeft w:val="0"/>
                          <w:marRight w:val="0"/>
                          <w:marTop w:val="0"/>
                          <w:marBottom w:val="0"/>
                          <w:divBdr>
                            <w:top w:val="none" w:sz="0" w:space="0" w:color="auto"/>
                            <w:left w:val="none" w:sz="0" w:space="0" w:color="auto"/>
                            <w:bottom w:val="none" w:sz="0" w:space="0" w:color="auto"/>
                            <w:right w:val="none" w:sz="0" w:space="0" w:color="auto"/>
                          </w:divBdr>
                          <w:divsChild>
                            <w:div w:id="1485124029">
                              <w:marLeft w:val="0"/>
                              <w:marRight w:val="0"/>
                              <w:marTop w:val="0"/>
                              <w:marBottom w:val="0"/>
                              <w:divBdr>
                                <w:top w:val="none" w:sz="0" w:space="0" w:color="auto"/>
                                <w:left w:val="none" w:sz="0" w:space="0" w:color="auto"/>
                                <w:bottom w:val="none" w:sz="0" w:space="0" w:color="auto"/>
                                <w:right w:val="none" w:sz="0" w:space="0" w:color="auto"/>
                              </w:divBdr>
                              <w:divsChild>
                                <w:div w:id="1347244537">
                                  <w:marLeft w:val="0"/>
                                  <w:marRight w:val="0"/>
                                  <w:marTop w:val="0"/>
                                  <w:marBottom w:val="0"/>
                                  <w:divBdr>
                                    <w:top w:val="none" w:sz="0" w:space="0" w:color="auto"/>
                                    <w:left w:val="none" w:sz="0" w:space="0" w:color="auto"/>
                                    <w:bottom w:val="none" w:sz="0" w:space="0" w:color="auto"/>
                                    <w:right w:val="none" w:sz="0" w:space="0" w:color="auto"/>
                                  </w:divBdr>
                                  <w:divsChild>
                                    <w:div w:id="227304930">
                                      <w:marLeft w:val="0"/>
                                      <w:marRight w:val="0"/>
                                      <w:marTop w:val="0"/>
                                      <w:marBottom w:val="0"/>
                                      <w:divBdr>
                                        <w:top w:val="none" w:sz="0" w:space="0" w:color="auto"/>
                                        <w:left w:val="none" w:sz="0" w:space="0" w:color="auto"/>
                                        <w:bottom w:val="none" w:sz="0" w:space="0" w:color="auto"/>
                                        <w:right w:val="none" w:sz="0" w:space="0" w:color="auto"/>
                                      </w:divBdr>
                                      <w:divsChild>
                                        <w:div w:id="152139558">
                                          <w:marLeft w:val="0"/>
                                          <w:marRight w:val="0"/>
                                          <w:marTop w:val="0"/>
                                          <w:marBottom w:val="0"/>
                                          <w:divBdr>
                                            <w:top w:val="none" w:sz="0" w:space="0" w:color="auto"/>
                                            <w:left w:val="none" w:sz="0" w:space="0" w:color="auto"/>
                                            <w:bottom w:val="none" w:sz="0" w:space="0" w:color="auto"/>
                                            <w:right w:val="none" w:sz="0" w:space="0" w:color="auto"/>
                                          </w:divBdr>
                                          <w:divsChild>
                                            <w:div w:id="857353936">
                                              <w:marLeft w:val="0"/>
                                              <w:marRight w:val="0"/>
                                              <w:marTop w:val="0"/>
                                              <w:marBottom w:val="0"/>
                                              <w:divBdr>
                                                <w:top w:val="none" w:sz="0" w:space="0" w:color="auto"/>
                                                <w:left w:val="none" w:sz="0" w:space="0" w:color="auto"/>
                                                <w:bottom w:val="none" w:sz="0" w:space="0" w:color="auto"/>
                                                <w:right w:val="none" w:sz="0" w:space="0" w:color="auto"/>
                                              </w:divBdr>
                                              <w:divsChild>
                                                <w:div w:id="655885740">
                                                  <w:marLeft w:val="0"/>
                                                  <w:marRight w:val="0"/>
                                                  <w:marTop w:val="0"/>
                                                  <w:marBottom w:val="0"/>
                                                  <w:divBdr>
                                                    <w:top w:val="none" w:sz="0" w:space="0" w:color="auto"/>
                                                    <w:left w:val="none" w:sz="0" w:space="0" w:color="auto"/>
                                                    <w:bottom w:val="none" w:sz="0" w:space="0" w:color="auto"/>
                                                    <w:right w:val="none" w:sz="0" w:space="0" w:color="auto"/>
                                                  </w:divBdr>
                                                  <w:divsChild>
                                                    <w:div w:id="8665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0440858">
                                      <w:marLeft w:val="0"/>
                                      <w:marRight w:val="0"/>
                                      <w:marTop w:val="0"/>
                                      <w:marBottom w:val="0"/>
                                      <w:divBdr>
                                        <w:top w:val="none" w:sz="0" w:space="0" w:color="auto"/>
                                        <w:left w:val="none" w:sz="0" w:space="0" w:color="auto"/>
                                        <w:bottom w:val="none" w:sz="0" w:space="0" w:color="auto"/>
                                        <w:right w:val="none" w:sz="0" w:space="0" w:color="auto"/>
                                      </w:divBdr>
                                      <w:divsChild>
                                        <w:div w:id="7422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72297">
          <w:marLeft w:val="0"/>
          <w:marRight w:val="0"/>
          <w:marTop w:val="0"/>
          <w:marBottom w:val="0"/>
          <w:divBdr>
            <w:top w:val="none" w:sz="0" w:space="0" w:color="auto"/>
            <w:left w:val="none" w:sz="0" w:space="0" w:color="auto"/>
            <w:bottom w:val="none" w:sz="0" w:space="0" w:color="auto"/>
            <w:right w:val="none" w:sz="0" w:space="0" w:color="auto"/>
          </w:divBdr>
          <w:divsChild>
            <w:div w:id="1596160656">
              <w:marLeft w:val="0"/>
              <w:marRight w:val="0"/>
              <w:marTop w:val="0"/>
              <w:marBottom w:val="0"/>
              <w:divBdr>
                <w:top w:val="none" w:sz="0" w:space="0" w:color="auto"/>
                <w:left w:val="none" w:sz="0" w:space="0" w:color="auto"/>
                <w:bottom w:val="none" w:sz="0" w:space="0" w:color="auto"/>
                <w:right w:val="none" w:sz="0" w:space="0" w:color="auto"/>
              </w:divBdr>
              <w:divsChild>
                <w:div w:id="1909998516">
                  <w:marLeft w:val="0"/>
                  <w:marRight w:val="0"/>
                  <w:marTop w:val="0"/>
                  <w:marBottom w:val="0"/>
                  <w:divBdr>
                    <w:top w:val="none" w:sz="0" w:space="0" w:color="auto"/>
                    <w:left w:val="none" w:sz="0" w:space="0" w:color="auto"/>
                    <w:bottom w:val="none" w:sz="0" w:space="0" w:color="auto"/>
                    <w:right w:val="none" w:sz="0" w:space="0" w:color="auto"/>
                  </w:divBdr>
                  <w:divsChild>
                    <w:div w:id="311645636">
                      <w:marLeft w:val="0"/>
                      <w:marRight w:val="0"/>
                      <w:marTop w:val="0"/>
                      <w:marBottom w:val="0"/>
                      <w:divBdr>
                        <w:top w:val="none" w:sz="0" w:space="0" w:color="auto"/>
                        <w:left w:val="none" w:sz="0" w:space="0" w:color="auto"/>
                        <w:bottom w:val="none" w:sz="0" w:space="0" w:color="auto"/>
                        <w:right w:val="none" w:sz="0" w:space="0" w:color="auto"/>
                      </w:divBdr>
                      <w:divsChild>
                        <w:div w:id="2024743929">
                          <w:marLeft w:val="0"/>
                          <w:marRight w:val="0"/>
                          <w:marTop w:val="0"/>
                          <w:marBottom w:val="0"/>
                          <w:divBdr>
                            <w:top w:val="none" w:sz="0" w:space="0" w:color="auto"/>
                            <w:left w:val="none" w:sz="0" w:space="0" w:color="auto"/>
                            <w:bottom w:val="none" w:sz="0" w:space="0" w:color="auto"/>
                            <w:right w:val="none" w:sz="0" w:space="0" w:color="auto"/>
                          </w:divBdr>
                          <w:divsChild>
                            <w:div w:id="1257906255">
                              <w:marLeft w:val="0"/>
                              <w:marRight w:val="0"/>
                              <w:marTop w:val="0"/>
                              <w:marBottom w:val="0"/>
                              <w:divBdr>
                                <w:top w:val="none" w:sz="0" w:space="0" w:color="auto"/>
                                <w:left w:val="none" w:sz="0" w:space="0" w:color="auto"/>
                                <w:bottom w:val="none" w:sz="0" w:space="0" w:color="auto"/>
                                <w:right w:val="none" w:sz="0" w:space="0" w:color="auto"/>
                              </w:divBdr>
                              <w:divsChild>
                                <w:div w:id="35275602">
                                  <w:marLeft w:val="0"/>
                                  <w:marRight w:val="0"/>
                                  <w:marTop w:val="0"/>
                                  <w:marBottom w:val="0"/>
                                  <w:divBdr>
                                    <w:top w:val="none" w:sz="0" w:space="0" w:color="auto"/>
                                    <w:left w:val="none" w:sz="0" w:space="0" w:color="auto"/>
                                    <w:bottom w:val="none" w:sz="0" w:space="0" w:color="auto"/>
                                    <w:right w:val="none" w:sz="0" w:space="0" w:color="auto"/>
                                  </w:divBdr>
                                  <w:divsChild>
                                    <w:div w:id="1556895293">
                                      <w:marLeft w:val="0"/>
                                      <w:marRight w:val="0"/>
                                      <w:marTop w:val="0"/>
                                      <w:marBottom w:val="0"/>
                                      <w:divBdr>
                                        <w:top w:val="none" w:sz="0" w:space="0" w:color="auto"/>
                                        <w:left w:val="none" w:sz="0" w:space="0" w:color="auto"/>
                                        <w:bottom w:val="none" w:sz="0" w:space="0" w:color="auto"/>
                                        <w:right w:val="none" w:sz="0" w:space="0" w:color="auto"/>
                                      </w:divBdr>
                                      <w:divsChild>
                                        <w:div w:id="169873378">
                                          <w:marLeft w:val="0"/>
                                          <w:marRight w:val="0"/>
                                          <w:marTop w:val="0"/>
                                          <w:marBottom w:val="0"/>
                                          <w:divBdr>
                                            <w:top w:val="none" w:sz="0" w:space="0" w:color="auto"/>
                                            <w:left w:val="none" w:sz="0" w:space="0" w:color="auto"/>
                                            <w:bottom w:val="none" w:sz="0" w:space="0" w:color="auto"/>
                                            <w:right w:val="none" w:sz="0" w:space="0" w:color="auto"/>
                                          </w:divBdr>
                                          <w:divsChild>
                                            <w:div w:id="124391522">
                                              <w:marLeft w:val="0"/>
                                              <w:marRight w:val="0"/>
                                              <w:marTop w:val="0"/>
                                              <w:marBottom w:val="0"/>
                                              <w:divBdr>
                                                <w:top w:val="none" w:sz="0" w:space="0" w:color="auto"/>
                                                <w:left w:val="none" w:sz="0" w:space="0" w:color="auto"/>
                                                <w:bottom w:val="none" w:sz="0" w:space="0" w:color="auto"/>
                                                <w:right w:val="none" w:sz="0" w:space="0" w:color="auto"/>
                                              </w:divBdr>
                                              <w:divsChild>
                                                <w:div w:id="166863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76291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vision2030.gov.sa"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09364F-14B2-4F78-A113-BF685DAB1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10669</Words>
  <Characters>60819</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dcterms:created xsi:type="dcterms:W3CDTF">2025-07-17T22:29:00Z</dcterms:created>
  <dcterms:modified xsi:type="dcterms:W3CDTF">2025-07-17T22:29:00Z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