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6A479AAD" w:rsidR="00D32F52" w:rsidRPr="009A3EF4" w:rsidRDefault="00FA5AFD" w:rsidP="00FA5AFD">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9A3EF4">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15AA8FA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9A3EF4">
        <w:rPr>
          <w:rFonts w:ascii="Sakkal Majalla" w:eastAsia="Calibri" w:hAnsi="Sakkal Majalla" w:cs="Sakkal Majalla"/>
          <w:b/>
          <w:bCs/>
          <w:color w:val="000000" w:themeColor="text1"/>
          <w:sz w:val="32"/>
          <w:szCs w:val="32"/>
          <w:rtl/>
          <w:lang w:bidi="ar-EG"/>
        </w:rPr>
        <w:t xml:space="preserve">جامعة ميدأوشن </w:t>
      </w:r>
    </w:p>
    <w:p w14:paraId="1D708D32" w14:textId="09B11A38" w:rsidR="00D32F52" w:rsidRPr="009A3EF4" w:rsidRDefault="00D32F52" w:rsidP="00FA5AF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A3EF4">
        <w:rPr>
          <w:rFonts w:ascii="Sakkal Majalla" w:eastAsia="Calibri" w:hAnsi="Sakkal Majalla" w:cs="Sakkal Majalla"/>
          <w:b/>
          <w:bCs/>
          <w:color w:val="000000" w:themeColor="text1"/>
          <w:sz w:val="32"/>
          <w:szCs w:val="32"/>
          <w:rtl/>
          <w:lang w:bidi="ar-EG"/>
        </w:rPr>
        <w:t xml:space="preserve">كلية الإدارة </w:t>
      </w:r>
    </w:p>
    <w:p w14:paraId="01E57895" w14:textId="67F0B1D0" w:rsidR="00D32F52" w:rsidRPr="009A3EF4" w:rsidRDefault="00D32F52" w:rsidP="00FA5AF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A3EF4">
        <w:rPr>
          <w:rFonts w:ascii="Sakkal Majalla" w:eastAsia="Calibri" w:hAnsi="Sakkal Majalla" w:cs="Sakkal Majalla"/>
          <w:b/>
          <w:bCs/>
          <w:color w:val="000000" w:themeColor="text1"/>
          <w:sz w:val="32"/>
          <w:szCs w:val="32"/>
          <w:rtl/>
          <w:lang w:bidi="ar-EG"/>
        </w:rPr>
        <w:t>قسم / تخصص إدارة م</w:t>
      </w:r>
      <w:r w:rsidR="007B6EBB" w:rsidRPr="009A3EF4">
        <w:rPr>
          <w:rFonts w:ascii="Sakkal Majalla" w:eastAsia="Calibri" w:hAnsi="Sakkal Majalla" w:cs="Sakkal Majalla"/>
          <w:b/>
          <w:bCs/>
          <w:color w:val="000000" w:themeColor="text1"/>
          <w:sz w:val="32"/>
          <w:szCs w:val="32"/>
          <w:rtl/>
          <w:lang w:bidi="ar-EG"/>
        </w:rPr>
        <w:t>خاطر</w:t>
      </w:r>
    </w:p>
    <w:p w14:paraId="5B4F8F32" w14:textId="77777777" w:rsidR="00D32F52" w:rsidRPr="009A3EF4" w:rsidRDefault="00D32F52" w:rsidP="00FA5AF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145B7DE" w14:textId="48ECB32F" w:rsidR="00D32F52" w:rsidRPr="009A3EF4" w:rsidRDefault="006C1EE8" w:rsidP="00FA5AFD">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9A3EF4">
        <w:rPr>
          <w:rFonts w:ascii="Sakkal Majalla" w:eastAsia="Calibri" w:hAnsi="Sakkal Majalla" w:cs="Sakkal Majalla"/>
          <w:b/>
          <w:bCs/>
          <w:color w:val="000000" w:themeColor="text1"/>
          <w:sz w:val="40"/>
          <w:szCs w:val="40"/>
          <w:rtl/>
        </w:rPr>
        <w:t>أثر مستوى النضج المؤسسي في إدارة المخاطر على كفاءة مراقبة الأداء: دراسة ميدانية على المنشآت الصحية السعودية</w:t>
      </w:r>
    </w:p>
    <w:p w14:paraId="3AAB7D3D" w14:textId="217D2458" w:rsidR="00D32F52" w:rsidRPr="009A3EF4" w:rsidRDefault="00D32F52" w:rsidP="00F6343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A3EF4">
        <w:rPr>
          <w:rFonts w:ascii="Sakkal Majalla" w:eastAsia="Calibri" w:hAnsi="Sakkal Majalla" w:cs="Sakkal Majalla"/>
          <w:b/>
          <w:bCs/>
          <w:color w:val="000000" w:themeColor="text1"/>
          <w:sz w:val="36"/>
          <w:szCs w:val="36"/>
          <w:rtl/>
          <w:lang w:bidi="ar-EG"/>
        </w:rPr>
        <w:t>إعداد الطالب/</w:t>
      </w:r>
    </w:p>
    <w:p w14:paraId="649BD494" w14:textId="16C63D6D" w:rsidR="007B6EBB" w:rsidRPr="009A3EF4" w:rsidRDefault="007B6EBB" w:rsidP="00F6343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A3EF4">
        <w:rPr>
          <w:rFonts w:ascii="Sakkal Majalla" w:eastAsia="Calibri" w:hAnsi="Sakkal Majalla" w:cs="Sakkal Majalla"/>
          <w:b/>
          <w:bCs/>
          <w:color w:val="000000" w:themeColor="text1"/>
          <w:sz w:val="36"/>
          <w:szCs w:val="36"/>
          <w:rtl/>
          <w:lang w:bidi="ar-EG"/>
        </w:rPr>
        <w:t>حمدان يحيى حمدان اليامي</w:t>
      </w:r>
    </w:p>
    <w:p w14:paraId="5FF072D6" w14:textId="36FCAEAF" w:rsidR="00D32F52" w:rsidRPr="009A3EF4" w:rsidRDefault="007B6EBB" w:rsidP="00F6343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A3EF4">
        <w:rPr>
          <w:rFonts w:ascii="Sakkal Majalla" w:eastAsia="Calibri" w:hAnsi="Sakkal Majalla" w:cs="Sakkal Majalla"/>
          <w:b/>
          <w:bCs/>
          <w:color w:val="000000" w:themeColor="text1"/>
          <w:sz w:val="36"/>
          <w:szCs w:val="36"/>
          <w:rtl/>
          <w:lang w:bidi="ar-EG"/>
        </w:rPr>
        <w:t>251002397</w:t>
      </w:r>
    </w:p>
    <w:p w14:paraId="7470BEA2" w14:textId="77777777" w:rsidR="00D32F52" w:rsidRPr="009A3EF4" w:rsidRDefault="00D32F52" w:rsidP="00F6343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A3EF4">
        <w:rPr>
          <w:rFonts w:ascii="Sakkal Majalla" w:eastAsia="Calibri" w:hAnsi="Sakkal Majalla" w:cs="Sakkal Majalla"/>
          <w:b/>
          <w:bCs/>
          <w:color w:val="000000" w:themeColor="text1"/>
          <w:sz w:val="36"/>
          <w:szCs w:val="36"/>
          <w:rtl/>
          <w:lang w:bidi="ar-EG"/>
        </w:rPr>
        <w:t>إشراف/</w:t>
      </w:r>
    </w:p>
    <w:p w14:paraId="244E5200" w14:textId="77777777" w:rsidR="00D32F52" w:rsidRPr="009A3EF4" w:rsidRDefault="00D32F52" w:rsidP="00F6343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A3EF4">
        <w:rPr>
          <w:rFonts w:ascii="Sakkal Majalla" w:eastAsia="Calibri" w:hAnsi="Sakkal Majalla" w:cs="Sakkal Majalla"/>
          <w:b/>
          <w:bCs/>
          <w:color w:val="000000" w:themeColor="text1"/>
          <w:sz w:val="36"/>
          <w:szCs w:val="36"/>
          <w:rtl/>
          <w:lang w:bidi="ar-EG"/>
        </w:rPr>
        <w:t>د. الفيصل عبد الحميد محمد حسن</w:t>
      </w:r>
    </w:p>
    <w:p w14:paraId="6BAC9B4B" w14:textId="7CEC7522" w:rsidR="00D32F52" w:rsidRPr="009A3EF4" w:rsidRDefault="00F63434" w:rsidP="00F6343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A3EF4">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9A3EF4" w:rsidRDefault="00D32F52" w:rsidP="00F6343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A3EF4">
        <w:rPr>
          <w:rFonts w:ascii="Sakkal Majalla" w:eastAsia="Calibri" w:hAnsi="Sakkal Majalla" w:cs="Sakkal Majalla"/>
          <w:b/>
          <w:bCs/>
          <w:color w:val="000000" w:themeColor="text1"/>
          <w:sz w:val="36"/>
          <w:szCs w:val="36"/>
          <w:rtl/>
          <w:lang w:bidi="ar-EG"/>
        </w:rPr>
        <w:t>العام الدراسي:</w:t>
      </w:r>
    </w:p>
    <w:p w14:paraId="1DC918AE" w14:textId="77777777" w:rsidR="00F63434" w:rsidRPr="009A3EF4" w:rsidRDefault="00F63434" w:rsidP="00F6343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F63434" w:rsidRPr="009A3EF4" w:rsidSect="00F63434">
          <w:footerReference w:type="default" r:id="rId9"/>
          <w:type w:val="continuous"/>
          <w:pgSz w:w="11907" w:h="16840" w:code="9"/>
          <w:pgMar w:top="1440" w:right="1985" w:bottom="1440" w:left="1418" w:header="720" w:footer="720" w:gutter="567"/>
          <w:pgNumType w:fmt="arabicAbjad" w:start="1"/>
          <w:cols w:space="708"/>
          <w:bidi/>
          <w:rtlGutter/>
          <w:docGrid w:linePitch="360"/>
        </w:sectPr>
      </w:pPr>
      <w:r w:rsidRPr="009A3EF4">
        <w:rPr>
          <w:rFonts w:ascii="Sakkal Majalla" w:eastAsia="Calibri" w:hAnsi="Sakkal Majalla" w:cs="Sakkal Majalla" w:hint="cs"/>
          <w:b/>
          <w:bCs/>
          <w:color w:val="000000" w:themeColor="text1"/>
          <w:sz w:val="36"/>
          <w:szCs w:val="36"/>
          <w:rtl/>
          <w:lang w:bidi="ar-EG"/>
        </w:rPr>
        <w:t xml:space="preserve">1447 </w:t>
      </w:r>
      <w:r w:rsidRPr="009A3EF4">
        <w:rPr>
          <w:rFonts w:ascii="Sakkal Majalla" w:eastAsia="Calibri" w:hAnsi="Sakkal Majalla" w:cs="Sakkal Majalla"/>
          <w:b/>
          <w:bCs/>
          <w:color w:val="000000" w:themeColor="text1"/>
          <w:sz w:val="36"/>
          <w:szCs w:val="36"/>
          <w:rtl/>
          <w:lang w:bidi="ar-EG"/>
        </w:rPr>
        <w:t>–</w:t>
      </w:r>
      <w:r w:rsidRPr="009A3EF4">
        <w:rPr>
          <w:rFonts w:ascii="Sakkal Majalla" w:eastAsia="Calibri" w:hAnsi="Sakkal Majalla" w:cs="Sakkal Majalla" w:hint="cs"/>
          <w:b/>
          <w:bCs/>
          <w:color w:val="000000" w:themeColor="text1"/>
          <w:sz w:val="36"/>
          <w:szCs w:val="36"/>
          <w:rtl/>
          <w:lang w:bidi="ar-EG"/>
        </w:rPr>
        <w:t xml:space="preserve"> 2025</w:t>
      </w:r>
    </w:p>
    <w:p w14:paraId="6CC8E431" w14:textId="130004AE" w:rsidR="004B74FD" w:rsidRPr="009A3EF4" w:rsidRDefault="004B74FD" w:rsidP="004B74FD">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869361"/>
      <w:r w:rsidRPr="009A3EF4">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02C049FA" w14:textId="4C4ABF72" w:rsidR="004B74FD" w:rsidRPr="009A3EF4" w:rsidRDefault="004B74FD" w:rsidP="004B74FD">
      <w:pPr>
        <w:bidi/>
        <w:spacing w:before="100" w:beforeAutospacing="1" w:after="100" w:afterAutospacing="1" w:line="360" w:lineRule="auto"/>
        <w:outlineLvl w:val="1"/>
        <w:rPr>
          <w:rFonts w:ascii="Sakkal Majalla" w:eastAsia="Calibri" w:hAnsi="Sakkal Majalla" w:cs="Sakkal Majalla"/>
          <w:b/>
          <w:bCs/>
          <w:color w:val="000000" w:themeColor="text1"/>
          <w:sz w:val="36"/>
          <w:szCs w:val="36"/>
          <w:rtl/>
          <w:lang w:bidi="ar-EG"/>
        </w:rPr>
      </w:pPr>
      <w:bookmarkStart w:id="1" w:name="_Toc211869362"/>
      <w:r w:rsidRPr="009A3EF4">
        <w:rPr>
          <w:rFonts w:ascii="Sakkal Majalla" w:eastAsia="Calibri" w:hAnsi="Sakkal Majalla" w:cs="Sakkal Majalla" w:hint="cs"/>
          <w:b/>
          <w:bCs/>
          <w:color w:val="000000" w:themeColor="text1"/>
          <w:sz w:val="36"/>
          <w:szCs w:val="36"/>
          <w:rtl/>
          <w:lang w:bidi="ar-EG"/>
        </w:rPr>
        <w:t>1.1 المقدمة</w:t>
      </w:r>
      <w:bookmarkEnd w:id="1"/>
    </w:p>
    <w:p w14:paraId="5ABFA580" w14:textId="0841ABAB"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تُعدّ إدارة المخاطر ركنًا أساسيًا من أركان بيئة الأعمال المعاصرة، إذ تُسهم بشكل مباشر في تعزيز قدرة المؤسسات على تحقيق أهدافها الاستراتيجية والحد من التعرض للتهديدات المحتملة التي قد تُعيق عملياتها. وفي هذا السياق، يبرز مفهوم "النضج المؤسسي" كعنصر أساسي في تحديد فعالية وكفاءة إدارة المخاطر. فكلما ارتفع مستوى النضج المؤسسي، زادت قدرة المؤسسة على دمج مبادئ الحوكمة وإدارة المخاطر في عملياتها التشغيلية والإدارية. وهذا يُحسّن جودة القرارات، ويُعزز ثقافة التنبؤ بالمخاطر ومعالجتها بشكل استباقي</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(ربيع، 2021)</w:t>
      </w:r>
    </w:p>
    <w:p w14:paraId="114CF83A" w14:textId="1A939B9D"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يعكس النضج المؤسسي تطور أنظمة الحوكمة والهيكل المؤسسي للمؤسسة، بما في ذلك وضوح الهياكل التنظيمية، ووجود سياسات وإجراءات مُحكمة، وتوافر أنظمة معلومات داعمة، ومستوى وعي الموظفين بالممارسات المهنية. ويتجاوز هذا النضج الجانب الإداري؛ ليشمل أيضًا تكامل أنظمة الرقابة الداخلية وفعالية أنظمة الرصد والتقييم، وهي عناصر تؤثر بشكل مباشر على جودة أداء المؤسسة واستدامته. عندما تصل المؤسسة إلى مستوى عالٍ من النضج، تصبح قادرة على استيعاب وتطبيق أطر إدارة المخاطر المتقدمة، مثل إطار</w:t>
      </w:r>
      <w:r w:rsidRPr="009A3EF4">
        <w:rPr>
          <w:rFonts w:ascii="Sakkal Majalla" w:eastAsia="Calibri" w:hAnsi="Sakkal Majalla" w:cs="Sakkal Majalla"/>
          <w:color w:val="000000" w:themeColor="text1"/>
          <w:sz w:val="28"/>
          <w:szCs w:val="28"/>
          <w:lang w:bidi="ar-EG"/>
        </w:rPr>
        <w:t xml:space="preserve"> COSO </w:t>
      </w:r>
      <w:r w:rsidRPr="009A3EF4">
        <w:rPr>
          <w:rFonts w:ascii="Sakkal Majalla" w:eastAsia="Calibri" w:hAnsi="Sakkal Majalla" w:cs="Sakkal Majalla"/>
          <w:color w:val="000000" w:themeColor="text1"/>
          <w:sz w:val="28"/>
          <w:szCs w:val="28"/>
          <w:rtl/>
          <w:lang w:bidi="ar-EG"/>
        </w:rPr>
        <w:t>أو</w:t>
      </w:r>
      <w:r w:rsidRPr="009A3EF4">
        <w:rPr>
          <w:rFonts w:ascii="Sakkal Majalla" w:eastAsia="Calibri" w:hAnsi="Sakkal Majalla" w:cs="Sakkal Majalla"/>
          <w:color w:val="000000" w:themeColor="text1"/>
          <w:sz w:val="28"/>
          <w:szCs w:val="28"/>
          <w:lang w:bidi="ar-EG"/>
        </w:rPr>
        <w:t xml:space="preserve"> ISO 31000. </w:t>
      </w:r>
      <w:r w:rsidRPr="009A3EF4">
        <w:rPr>
          <w:rFonts w:ascii="Sakkal Majalla" w:eastAsia="Calibri" w:hAnsi="Sakkal Majalla" w:cs="Sakkal Majalla"/>
          <w:color w:val="000000" w:themeColor="text1"/>
          <w:sz w:val="28"/>
          <w:szCs w:val="28"/>
          <w:rtl/>
          <w:lang w:bidi="ar-EG"/>
        </w:rPr>
        <w:t>وهذا يعكس رؤية استراتيجية شاملة ودقة في معالجة التهديدات والفرص</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(العازمي، 2019)</w:t>
      </w:r>
    </w:p>
    <w:p w14:paraId="0F515804" w14:textId="3CFFD57E"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من ناحية أخرى، تتطلب مراقبة الأداء الفعالة بيئة تنظيمية قائمة على التقييم المستمر، والاعتماد على مؤشرات أداء واضحة، والقدرة على تفسير هذه المؤشرات بدقة لاتخاذ القرارات المناسبة. وهنا يتجلى تأثير النضج المؤسسي على إدارة المخاطر. تُمكّن مستويات النضج المتقدمة المؤسسات من ربط نتائج تقييم الأداء بمصادر وأسباب المخاطر، مما يُحوّل المراقبة إلى أداة استراتيجية بدلاً من مجرد عملية تقييم لاحقة. كلما زادت فعالية إدارة المخاطر، زادت دقة المراقبة، ويمكن تعديل السياسات والخطط التشغيلية في ضوء التحليلات القائمة على البيانات</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(الكلس، 2019)</w:t>
      </w:r>
    </w:p>
    <w:p w14:paraId="04A4AE7A" w14:textId="3B92C72F"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lastRenderedPageBreak/>
        <w:t>لذلك، فإن العلاقة بين النضج المؤسسي في إدارة المخاطر ومراقبة الأداء مُتكاملة، حيث يُعدّ الأول شرطًا أساسيًا للتنفيذ الفعال للأخير. غالبًا ما يؤدي نقص النضج المؤسسي إلى ضعف فهم المخاطر أو التقليل من شأنها، مما يؤثر سلبًا على الأداء ويؤدي إلى قرارات غير مدروسة أو متأخرة. في المقابل، يُسهم نظام إدارة المخاطر المؤسسي الناضج والمتطور في بناء بيئة عمل أكثر قدرة على التكيف مع التغيرات وأكثر دقة في رصد أداء الأفراد والعمليات والنتائج. وهذا بدوره يُعزز تنافسية المؤسسة واستدامتها في بيئة عمل ديناميكية.</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(مصطفى، 2019)</w:t>
      </w:r>
    </w:p>
    <w:p w14:paraId="63F4F6B4" w14:textId="7DF5FD0F"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يُعد النضج المؤسسي مفهومًا محوريًا في عالم الإدارة الحديثة. فهو يشير إلى الهيكل التنظيمي للمنظمة، ومستوى تكامل عملياتها، وكفاءة أنظمتها الإدارية، واستعدادها لتبني ممارسات الحوكمة الرشيدة. ويعكس قدرة المنظمة على إدارة مواردها البشرية والمادية والمعرفية بشكل منسق ومنهجي، بما يضمن تحقيق أهدافها بكفاءة وفعالية. ولا يقتصر النضج المؤسسي على وجود أنظمة وإجراءات مكتوبة فحسب، بل يمتد إلى ثقافة المنظمة، ووعي الموظفين، والانضباط المؤسسي، وقدرة المنظمة على التعلم والتطوير المستمر</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(أحمد، 2020)</w:t>
      </w:r>
    </w:p>
    <w:p w14:paraId="45981F24" w14:textId="42F7D203"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لا يحدث النضج المؤسسي دفعة واحدة، بل يمر بمراحل تدريجية، بدءًا من مرحلة التأسيس، حيث لا تُوثق العمليات بشكل كافٍ وتعتمد على الأفراد أكثر من النظام. ثم ينتقل إلى مراحل أكثر تنظيمًا واحترافية، حيث تُوثق السياسات، وتُحدد المسؤوليات بوضوح، وتُستخدم أدوات القياس والتحليل، ويرتبط الأداء بالأهداف الاستراتيجية للمنظمة. في المراحل المتقدمة من النضج، تصبح المنظمة قادرة على استباق التحديات، والتعامل بمرونة مع التغيرات البيئية والداخلية، وتطبيق مبادئ إدارة الجودة والابتكار والاستدامة في جميع أنشطتها</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(الزواهرة، 2020)</w:t>
      </w:r>
    </w:p>
    <w:p w14:paraId="3C436FEE" w14:textId="1773BE6B"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ويتجلى النضج المؤسسي أيضًا في اعتماد المنظمة على بيانات ومعلومات دقيقة في صنع القرار، وفي وجود أنظمة رقابة داخلية قوية، وآليات مساءلة شفافة، ومؤشرات أداء رئيسية تُستخدم لتوجيه العمل وتقييم النتائج. تُبنى المنظمة الناضجة على أسس من الوضوح التنظيمي، والحوكمة الفعالة، والتكامل بين الوحدات الإدارية، مما يعزز قدرتها على التفاعل مع أصحاب المصلحة، وتحقيق التوازن بين الأهداف الاقتصادية والاجتماعية والتنظيمية</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(هزيم، 2020)</w:t>
      </w:r>
    </w:p>
    <w:p w14:paraId="7C653713" w14:textId="6E89BBAC"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في ظل التحديات المتسارعة التي تواجهها المنظمات اليوم - سواءً أكانت تقنية أم اقتصادية أم تنافسية - لم يعد النضج المؤسسي خيارًا؛ بل أصبح ضرورة استراتيجية لضمان استمرارية الأعمال وتحقيق القيمة المضافة. وكلما ارتفع مستوى النضج، زادت قدرة المنظمة على إدارة المخاطر، وتحقيق التميز التشغيلي، وتعزيز تنافسيتها في السوق. ومن هنا فإن الاستثمار في تعزيز النضج المؤسسي يعد من أهم عناصر نجاح المنظمات في البيئة الحديثة ويشكل ركيزة أساسية لتحسين الأداء التنظيمي وتحقيق التنمية المستدامة.</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(رضوان، 2019)</w:t>
      </w:r>
    </w:p>
    <w:p w14:paraId="44040F80" w14:textId="1FC71934"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تُعدّ إدارة المخاطر ركيزةً أساسيةً من ركائز الإدارة الحديثة، إذ تلعب دورًا أساسيًا في تمكين المؤسسات من مواجهة التحديات المحتملة التي قد تعيق تحقيق أهدافها أو تؤثر على استمراريتها. وتُعدّ المخاطر، بطبيعتها، جزءًا لا يتجزأ من بيئة الأعمال، سواءً أكانت ناتجة عن عوامل داخلية كضعف العمليات أو الموارد، أم عن عوامل خارجية كالتغيرات الاقتصادية والقوانين واللوائح، أو الكوارث الطبيعية والتكنولوجية. لذا، برزت الحاجة إلى اعتماد إطار عمل منهجي ومنظم لتحديد هذه المخاطر وتقييمها ومعالجتها بفعالية، بهدف التخفيف من آثارها السلبية أو تحويلها إلى فرص واعدة</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(بيات &amp; بعيليش، 2019)</w:t>
      </w:r>
    </w:p>
    <w:p w14:paraId="4F4EFD58" w14:textId="79B9BE10"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تعتمد إدارة المخاطر على عدة خطوات مترابطة، تبدأ بـتحديد المخاطر من خلال مراجعة شاملة للبيئة الداخلية والخارجية للمؤسسة، يليها تحليل وتقييم تلك المخاطر من حيث احتمالية حدوثها وتأثيرها المحتمل على الأهداف الاستراتيجية والتشغيلية. وبناءً على هذا التقييم، تُتخذ القرارات بشأن أفضل السبل لمواجهتها، سواءً بتجنبها أو تخفيف آثارها أو نقلها إلى جهة أخرى أو قبولها مع وضع خطط للتعامل معها في حال حدوثها. لا تقتصر إدارة المخاطر على التدابير الوقائية فحسب، بل تشمل أيضًا القدرة على الاستجابة الفعالة للأزمات والتعافي منها بسرعة، مما يُسهم في تعزيز قدرة المؤسسة على الصمود في وجه التحديات</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(الشمري، 2019)</w:t>
      </w:r>
    </w:p>
    <w:p w14:paraId="2B34B052" w14:textId="4F63AB30"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تتطلب إدارة المخاطر الفعّالة هيكلًا تنظيميًا متينًا، وسياسات واضحة، وأدوارًا ومسؤوليات محددة، وتوافر معلومات دقيقة وفي الوقت المناسب. كما تعتمد على مشاركة جميع أصحاب المصلحة، من الإدارة العليا إلى الموظفين على جميع المستويات. لا يمكن حصر إدارة المخاطر في وحدة أو قسم محدد؛ بل يجب أن تكون جزءًا لا يتجزأ من ثقافة المؤسسة وسلوكها اليومي. في هذا السياق، تُعدّ الشفافية والتواصل الفعال والمراقبة المستمرة للأداء عوامل أساسية لنجاح إدارة المخاطر، مما يُمكّن المؤسسة من توقع التهديدات المحتملة واتخاذ قرارات مدروسة بناءً على بيانات وتحليلات واقعية</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tl/>
        </w:rPr>
        <w:t xml:space="preserve"> </w:t>
      </w:r>
      <w:r w:rsidR="00C05AE1" w:rsidRPr="009A3EF4">
        <w:rPr>
          <w:rFonts w:ascii="Sakkal Majalla" w:eastAsia="Calibri" w:hAnsi="Sakkal Majalla" w:cs="Sakkal Majalla"/>
          <w:color w:val="000000" w:themeColor="text1"/>
          <w:sz w:val="28"/>
          <w:szCs w:val="28"/>
          <w:rtl/>
          <w:lang w:bidi="ar-EG"/>
        </w:rPr>
        <w:t>(عجباني، 2019)</w:t>
      </w:r>
    </w:p>
    <w:p w14:paraId="5C7FFBBE" w14:textId="7047DFCE"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في ظل التغيرات المتسارعة التي يشهدها العالم اليوم - سواء في التكنولوجيا أو البيئة أو الجغرافيا السياسية - أصبحت إدارة المخاطر ضرورة استراتيجية لا غنى عنها، بدلًا من كونها إجراءً إداريًا تقليديًا. إن المؤسسات التي تُدمج إدارة المخاطر في خططها الاستراتيجية وتربطها بالأداء العام تكون أكثر قدرة على البقاء والتطور وتحقيق التميز المؤسسي. وبالتالي، لم تعد إدارة المخاطر مجرد استجابة للأزمات، بل أصبحت أداة استراتيجية فعّالة تُسهم في تحسين الحوكمة، وتعزيز الثقة بين المؤسسة وأصحاب المصلحة، وتحقيق أهداف التنمية المستدامة طويلة الأمد.</w:t>
      </w:r>
      <w:r w:rsidR="00C05AE1" w:rsidRPr="009A3EF4">
        <w:rPr>
          <w:rFonts w:ascii="Sakkal Majalla" w:eastAsia="Calibri" w:hAnsi="Sakkal Majalla" w:cs="Sakkal Majalla"/>
          <w:color w:val="000000" w:themeColor="text1"/>
          <w:sz w:val="28"/>
          <w:szCs w:val="28"/>
          <w:rtl/>
          <w:lang w:bidi="ar-EG"/>
        </w:rPr>
        <w:t xml:space="preserve"> (</w:t>
      </w:r>
      <w:r w:rsidR="00C05AE1" w:rsidRPr="009A3EF4">
        <w:rPr>
          <w:rFonts w:ascii="Sakkal Majalla" w:hAnsi="Sakkal Majalla" w:cs="Sakkal Majalla"/>
          <w:color w:val="000000" w:themeColor="text1"/>
          <w:sz w:val="28"/>
          <w:szCs w:val="28"/>
        </w:rPr>
        <w:t xml:space="preserve"> </w:t>
      </w:r>
      <w:r w:rsidR="00C05AE1" w:rsidRPr="009A3EF4">
        <w:rPr>
          <w:rFonts w:ascii="Sakkal Majalla" w:eastAsia="Calibri" w:hAnsi="Sakkal Majalla" w:cs="Sakkal Majalla"/>
          <w:color w:val="000000" w:themeColor="text1"/>
          <w:sz w:val="28"/>
          <w:szCs w:val="28"/>
          <w:lang w:bidi="ar-EG"/>
        </w:rPr>
        <w:t>(Ali, 2019</w:t>
      </w:r>
    </w:p>
    <w:p w14:paraId="17331195" w14:textId="28CAEEE1"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تُعدّ مراقبة الأداء وظيفة إدارية أساسية لا غنى عنها لأي مؤسسة تسعى إلى تحقيق الكفاءة والفعالية في عملياتها وأهدافها الاستراتيجية. وهي عملية مستمرة تهدف إلى تتبع تقدم العمل ومقارنة النتائج الفعلية بالأهداف والمعايير المحددة مسبقًا، بهدف تحديد الانحرافات واتخاذ الإجراءات التصحيحية اللازمة في الوقت المناسب. وتُعدّ مراقبة الأداء أداةً حيويةً لضمان التوازن بين التخطيط والتنفيذ والتقييم، حيث تربط ما هو مُخطط له نظريًا بما يُنجز فعليًا على أرض الواقع، مما يُسهم في تحسين جودة الأداء العام وتوجيه الموارد نحو الاستخدام الأمثل</w:t>
      </w:r>
      <w:r w:rsidR="00C05AE1" w:rsidRPr="009A3EF4">
        <w:rPr>
          <w:rFonts w:ascii="Sakkal Majalla" w:eastAsia="Calibri" w:hAnsi="Sakkal Majalla" w:cs="Sakkal Majalla"/>
          <w:color w:val="000000" w:themeColor="text1"/>
          <w:sz w:val="28"/>
          <w:szCs w:val="28"/>
          <w:rtl/>
          <w:lang w:bidi="ar-EG"/>
        </w:rPr>
        <w:t xml:space="preserve"> (</w:t>
      </w:r>
      <w:r w:rsidRPr="009A3EF4">
        <w:rPr>
          <w:rFonts w:ascii="Sakkal Majalla" w:eastAsia="Calibri" w:hAnsi="Sakkal Majalla" w:cs="Sakkal Majalla"/>
          <w:color w:val="000000" w:themeColor="text1"/>
          <w:sz w:val="28"/>
          <w:szCs w:val="28"/>
          <w:lang w:bidi="ar-EG"/>
        </w:rPr>
        <w:t>.</w:t>
      </w:r>
      <w:r w:rsidR="00C05AE1" w:rsidRPr="009A3EF4">
        <w:rPr>
          <w:rFonts w:ascii="Sakkal Majalla" w:hAnsi="Sakkal Majalla" w:cs="Sakkal Majalla"/>
          <w:color w:val="000000" w:themeColor="text1"/>
          <w:sz w:val="28"/>
          <w:szCs w:val="28"/>
        </w:rPr>
        <w:t xml:space="preserve"> </w:t>
      </w:r>
      <w:r w:rsidR="00C05AE1" w:rsidRPr="009A3EF4">
        <w:rPr>
          <w:rFonts w:ascii="Sakkal Majalla" w:eastAsia="Calibri" w:hAnsi="Sakkal Majalla" w:cs="Sakkal Majalla"/>
          <w:color w:val="000000" w:themeColor="text1"/>
          <w:sz w:val="28"/>
          <w:szCs w:val="28"/>
          <w:lang w:bidi="ar-EG"/>
        </w:rPr>
        <w:t>(Nimr, 2019</w:t>
      </w:r>
    </w:p>
    <w:p w14:paraId="42539E14" w14:textId="72B59117"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تستند مراقبة الأداء إلى مجموعة من المعايير والمؤشرات الكمية والنوعية المستخدمة لقياس مدى تقدم المؤسسة في تحقيق أهدافها. وتشمل هذه المؤشرات مستويات الإنتاجية، وجودة الخدمة أو المنتج، ورضا العملاء، وكفاءة استخدام الموارد، وفعالية الفريق، وغيرها. تكمن أهمية هذه المؤشرات في قدرتها على تزويد صانعي القرار برؤية شاملة وواضحة لواقع المؤسسة، مما يُمكّنهم من تحديد نقاط القوة التي يجب تعزيزها ونقاط الضعف التي يجب معالجتها، مما يُحفّز التحسين المستمر على مختلف المستويات</w:t>
      </w:r>
      <w:r w:rsidRPr="009A3EF4">
        <w:rPr>
          <w:rFonts w:ascii="Sakkal Majalla" w:eastAsia="Calibri" w:hAnsi="Sakkal Majalla" w:cs="Sakkal Majalla"/>
          <w:color w:val="000000" w:themeColor="text1"/>
          <w:sz w:val="28"/>
          <w:szCs w:val="28"/>
          <w:lang w:bidi="ar-EG"/>
        </w:rPr>
        <w:t>.</w:t>
      </w:r>
      <w:r w:rsidR="00C05AE1" w:rsidRPr="009A3EF4">
        <w:rPr>
          <w:rFonts w:ascii="Sakkal Majalla" w:eastAsia="Calibri" w:hAnsi="Sakkal Majalla" w:cs="Sakkal Majalla"/>
          <w:color w:val="000000" w:themeColor="text1"/>
          <w:sz w:val="28"/>
          <w:szCs w:val="28"/>
          <w:rtl/>
          <w:lang w:bidi="ar-EG"/>
        </w:rPr>
        <w:t xml:space="preserve"> (</w:t>
      </w:r>
      <w:r w:rsidR="00C05AE1" w:rsidRPr="009A3EF4">
        <w:rPr>
          <w:rFonts w:ascii="Sakkal Majalla" w:eastAsia="Calibri" w:hAnsi="Sakkal Majalla" w:cs="Sakkal Majalla"/>
          <w:color w:val="000000" w:themeColor="text1"/>
          <w:sz w:val="28"/>
          <w:szCs w:val="28"/>
          <w:lang w:bidi="ar-EG"/>
        </w:rPr>
        <w:t>Al-Shara'a, 2019</w:t>
      </w:r>
      <w:r w:rsidR="00C05AE1" w:rsidRPr="009A3EF4">
        <w:rPr>
          <w:rFonts w:ascii="Sakkal Majalla" w:eastAsia="Calibri" w:hAnsi="Sakkal Majalla" w:cs="Sakkal Majalla"/>
          <w:color w:val="000000" w:themeColor="text1"/>
          <w:sz w:val="28"/>
          <w:szCs w:val="28"/>
          <w:rtl/>
          <w:lang w:bidi="ar-EG"/>
        </w:rPr>
        <w:t>)</w:t>
      </w:r>
    </w:p>
    <w:p w14:paraId="79983486" w14:textId="56B51B68"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لا يقتصر رصد الأداء على الجوانب التشغيلية فحسب، بل يمتد ليشمل الأداء المالي والإداري وأداء الموارد البشرية والأداء الفني، مما يجعله أداة استراتيجية شاملة تُسهم في رسم السياسات المستقبلية. ومن خلال دمج تقنيات التحليل والتقارير، مثل تقارير الأداء ولوحات المعلومات الرقمية، أصبح رصد الأداء أكثر دقة وسرعة وتفاعلية، مما يُمكّن المؤسسات من اتخاذ قرارات مبنية على بيانات حقيقية وتحليلية بدلاً من التقدير أو الحدس. وفي المؤسسات المتقدمة، يرتبط نظام رصد الأداء بمصفوفة الأهداف الاستراتيجية ضمن إطار إدارة الأداء المؤسسي، مما يضمن توافق الجهود الفردية والجماعية مع الرؤية العامة للمؤسسة</w:t>
      </w:r>
      <w:r w:rsidRPr="009A3EF4">
        <w:rPr>
          <w:rFonts w:ascii="Sakkal Majalla" w:eastAsia="Calibri" w:hAnsi="Sakkal Majalla" w:cs="Sakkal Majalla"/>
          <w:color w:val="000000" w:themeColor="text1"/>
          <w:sz w:val="28"/>
          <w:szCs w:val="28"/>
          <w:lang w:bidi="ar-EG"/>
        </w:rPr>
        <w:t>.</w:t>
      </w:r>
      <w:r w:rsidR="00C05AE1" w:rsidRPr="009A3EF4">
        <w:rPr>
          <w:rFonts w:ascii="Sakkal Majalla" w:eastAsia="Calibri" w:hAnsi="Sakkal Majalla" w:cs="Sakkal Majalla"/>
          <w:color w:val="000000" w:themeColor="text1"/>
          <w:sz w:val="28"/>
          <w:szCs w:val="28"/>
          <w:rtl/>
          <w:lang w:bidi="ar-EG"/>
        </w:rPr>
        <w:t xml:space="preserve"> (</w:t>
      </w:r>
      <w:r w:rsidR="00C05AE1" w:rsidRPr="009A3EF4">
        <w:rPr>
          <w:rFonts w:ascii="Sakkal Majalla" w:eastAsia="Calibri" w:hAnsi="Sakkal Majalla" w:cs="Sakkal Majalla"/>
          <w:color w:val="000000" w:themeColor="text1"/>
          <w:sz w:val="28"/>
          <w:szCs w:val="28"/>
          <w:lang w:bidi="ar-EG"/>
        </w:rPr>
        <w:t>Muslih, 2022</w:t>
      </w:r>
      <w:r w:rsidR="00C05AE1" w:rsidRPr="009A3EF4">
        <w:rPr>
          <w:rFonts w:ascii="Sakkal Majalla" w:eastAsia="Calibri" w:hAnsi="Sakkal Majalla" w:cs="Sakkal Majalla"/>
          <w:color w:val="000000" w:themeColor="text1"/>
          <w:sz w:val="28"/>
          <w:szCs w:val="28"/>
          <w:rtl/>
          <w:lang w:bidi="ar-EG"/>
        </w:rPr>
        <w:t>)</w:t>
      </w:r>
    </w:p>
    <w:p w14:paraId="7FFBFFD8" w14:textId="629A19EF"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كما يتطلب رصد الأداء الناجح بيئة مؤسسية داعمة تتسم بالشفافية والمساءلة، وثقافة مؤسسية تُشجع على التطوير والتحسين، بدلاً من العقاب والتجريم. عندما يُنظر إلى مراقبة الأداء كأداة تطويرية بدلاً من الرقابة التقليدية، فإنها تُهيئ مناخاً من الثقة والمساءلة بين الموظفين، مما يحفزهم على تحسين أدائهم. وهذا يجعلها عنصراً أساسياً في بناء مؤسسات فعّالة وتنافسية في بيئات عمل متغيرة ومعقدة</w:t>
      </w:r>
      <w:r w:rsidRPr="009A3EF4">
        <w:rPr>
          <w:rFonts w:ascii="Sakkal Majalla" w:eastAsia="Calibri" w:hAnsi="Sakkal Majalla" w:cs="Sakkal Majalla"/>
          <w:color w:val="000000" w:themeColor="text1"/>
          <w:sz w:val="28"/>
          <w:szCs w:val="28"/>
          <w:lang w:bidi="ar-EG"/>
        </w:rPr>
        <w:t>.</w:t>
      </w:r>
    </w:p>
    <w:p w14:paraId="2D9B2F49" w14:textId="06711B96" w:rsidR="006C1EE8" w:rsidRPr="009A3EF4" w:rsidRDefault="006C1EE8"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في نهاية المطاف، لا تقتصر مراقبة الأداء على مجرد عملية تقنية لقياس النتائج، بل هي نظام متكامل يعكس فلسفة إدارية حديثة قائمة على التخطيط القائم على البيانات، والتنفيذ المنضبط، والتقييم الموضوعي، والتعلم المستمر. وهي تُمثل ركيزة أساسية للحوكمة الرشيدة، والإدارة الاستراتيجية، والنجاح المستدام لأي مؤسسة تطمح إلى التفوق وتحقيق قيمة مضافة في عالم يتسم بالديناميكية والتحديات المتزايدة.</w:t>
      </w:r>
      <w:r w:rsidR="00C05AE1" w:rsidRPr="009A3EF4">
        <w:rPr>
          <w:rFonts w:ascii="Sakkal Majalla" w:eastAsia="Calibri" w:hAnsi="Sakkal Majalla" w:cs="Sakkal Majalla"/>
          <w:color w:val="000000" w:themeColor="text1"/>
          <w:sz w:val="28"/>
          <w:szCs w:val="28"/>
          <w:rtl/>
          <w:lang w:bidi="ar-EG"/>
        </w:rPr>
        <w:t xml:space="preserve"> (</w:t>
      </w:r>
      <w:r w:rsidR="00C05AE1" w:rsidRPr="009A3EF4">
        <w:rPr>
          <w:rFonts w:ascii="Sakkal Majalla" w:eastAsia="Calibri" w:hAnsi="Sakkal Majalla" w:cs="Sakkal Majalla"/>
          <w:color w:val="000000" w:themeColor="text1"/>
          <w:sz w:val="28"/>
          <w:szCs w:val="28"/>
          <w:lang w:bidi="ar-EG"/>
        </w:rPr>
        <w:t>Abdulhaq, 2019</w:t>
      </w:r>
      <w:r w:rsidR="00C05AE1" w:rsidRPr="009A3EF4">
        <w:rPr>
          <w:rFonts w:ascii="Sakkal Majalla" w:eastAsia="Calibri" w:hAnsi="Sakkal Majalla" w:cs="Sakkal Majalla"/>
          <w:color w:val="000000" w:themeColor="text1"/>
          <w:sz w:val="28"/>
          <w:szCs w:val="28"/>
          <w:rtl/>
          <w:lang w:bidi="ar-EG"/>
        </w:rPr>
        <w:t>)</w:t>
      </w:r>
    </w:p>
    <w:p w14:paraId="5AE95B83" w14:textId="2A4ECAE7" w:rsidR="006B10E4" w:rsidRPr="009A3EF4" w:rsidRDefault="004B74FD" w:rsidP="004B74F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869363"/>
      <w:r w:rsidRPr="009A3EF4">
        <w:rPr>
          <w:rFonts w:ascii="Sakkal Majalla" w:eastAsia="Calibri" w:hAnsi="Sakkal Majalla" w:cs="Sakkal Majalla" w:hint="cs"/>
          <w:b/>
          <w:bCs/>
          <w:color w:val="000000" w:themeColor="text1"/>
          <w:sz w:val="36"/>
          <w:szCs w:val="36"/>
          <w:rtl/>
          <w:lang w:bidi="ar-EG"/>
        </w:rPr>
        <w:t xml:space="preserve">2.1 </w:t>
      </w:r>
      <w:r w:rsidR="006B10E4" w:rsidRPr="009A3EF4">
        <w:rPr>
          <w:rFonts w:ascii="Sakkal Majalla" w:eastAsia="Calibri" w:hAnsi="Sakkal Majalla" w:cs="Sakkal Majalla"/>
          <w:b/>
          <w:bCs/>
          <w:color w:val="000000" w:themeColor="text1"/>
          <w:sz w:val="36"/>
          <w:szCs w:val="36"/>
          <w:rtl/>
          <w:lang w:bidi="ar-EG"/>
        </w:rPr>
        <w:t>مشكلة الدراسة</w:t>
      </w:r>
      <w:bookmarkEnd w:id="2"/>
    </w:p>
    <w:p w14:paraId="5F6C3881" w14:textId="0F0C5E29" w:rsidR="001F42A2" w:rsidRPr="009A3EF4" w:rsidRDefault="001F42A2"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تتمثل مشكلة هذه الدراسة بشكل خاص في ظل تزايد التعقيد والتحديات التي تواجه المشهد الإداري، والتي تتطلب درجة عالية من التكيف والاحترافية في الممارسات المؤسسية. ففي بيئة تتسم بعدم الاستقرار وتزايد المخاطر بمختلف أنواعها، لا يقتصر دور المؤسسات على تحديد المخاطر المحتملة فحسب، بل يشمل أيضًا إدارتها بشكل منهجي استنادًا إلى معايير وأطر عمل ناضجة تتكامل مع أنظمتها الإدارية الأخرى، وأبرزها نظام رصد الأداء</w:t>
      </w:r>
      <w:r w:rsidRPr="009A3EF4">
        <w:rPr>
          <w:rFonts w:ascii="Sakkal Majalla" w:eastAsia="Calibri" w:hAnsi="Sakkal Majalla" w:cs="Sakkal Majalla"/>
          <w:color w:val="000000" w:themeColor="text1"/>
          <w:sz w:val="28"/>
          <w:szCs w:val="28"/>
          <w:lang w:bidi="ar-EG"/>
        </w:rPr>
        <w:t>.</w:t>
      </w:r>
    </w:p>
    <w:p w14:paraId="1F269095" w14:textId="6884F4B4" w:rsidR="001F42A2" w:rsidRPr="009A3EF4" w:rsidRDefault="001F42A2"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على الرغم من تزايد الاعتراف بأهمية إدارة المخاطر ومراقبة الأداء كركيزتين أساسيتين لتحسين كفاءة المؤسسة وضمان استمراريتها، إلا أن الواقع العملي يُظهر أن العديد من المؤسسات، وخاصة في الدول النامية، لا تزال تعاني من ضعف التكامل بين هذين الجانبين. فكثيرًا ما تُعامل إدارة المخاطر كوظيفة مستقلة لا ترتبط مباشرة برصد الأداء، أو تُمارس بطريقة تقليدية لا تستند إلى أسس علمية واضحة، نظرًا لانخفاض مستوى النضج المؤسسي في هذا المجال. كما توجد فجوة واضحة في الصلة بين نتائج إدارة المخاطر وتأثيرها على كفاءة الأداء المؤسسي. يؤدي هذا إلى قرارات إدارية غير دقيقة أو متأخرة، مما قد يتسبب في خسائر استراتيجية يصعب تعويضها</w:t>
      </w:r>
      <w:r w:rsidRPr="009A3EF4">
        <w:rPr>
          <w:rFonts w:ascii="Sakkal Majalla" w:eastAsia="Calibri" w:hAnsi="Sakkal Majalla" w:cs="Sakkal Majalla"/>
          <w:color w:val="000000" w:themeColor="text1"/>
          <w:sz w:val="28"/>
          <w:szCs w:val="28"/>
          <w:lang w:bidi="ar-EG"/>
        </w:rPr>
        <w:t>.</w:t>
      </w:r>
    </w:p>
    <w:p w14:paraId="5A20E5D3" w14:textId="09861A41" w:rsidR="001F42A2" w:rsidRPr="009A3EF4" w:rsidRDefault="001F42A2"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في هذا السياق، تتمثل الفجوة البحثية التي تتناولها هذه الدراسة في نقص الدراسات الكافية التي تبحث في العلاقة التفاعلية بين النضج المؤسسي في إدارة المخاطر وفعالية مراقبة الأداء. تفتقر العديد من المؤسسات إلى آليات تربط أدوات تقييم الأداء بنتائج إدارة المخاطر، مما يؤدي إلى غياب الرؤية الاستراتيجية وتفكك نظام صنع القرار. يُقيّم الأداء أحيانًا بناءً على مؤشرات تقليدية دون مراعاة العوامل المتعلقة بالمخاطر أو السياق المتغير الذي تعمل فيه المؤسسة</w:t>
      </w:r>
      <w:r w:rsidRPr="009A3EF4">
        <w:rPr>
          <w:rFonts w:ascii="Sakkal Majalla" w:eastAsia="Calibri" w:hAnsi="Sakkal Majalla" w:cs="Sakkal Majalla"/>
          <w:color w:val="000000" w:themeColor="text1"/>
          <w:sz w:val="28"/>
          <w:szCs w:val="28"/>
          <w:lang w:bidi="ar-EG"/>
        </w:rPr>
        <w:t>.</w:t>
      </w:r>
    </w:p>
    <w:p w14:paraId="292BF303" w14:textId="3DD0F61C" w:rsidR="001F42A2" w:rsidRPr="009A3EF4" w:rsidRDefault="001F42A2"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من ناحية أخرى، لا ينعكس النضج المؤسسي في إدارة المخاطر في قدرة المؤسسة على تجنب الخسائر أو مواجهة التهديدات فحسب، بل يؤثر أيضًا على تصميم أنظمة المراقبة والتقييم، ومرونتها في الاستجابة للتغيرات، وفعاليتها في إعداد تقارير دقيقة تستند إلى تحليلات شاملة للمخاطر المحتملة. وهنا تتضح أهمية المشكلة، حيث تشير الملاحظات الأولية في بعض المؤسسات إلى حالات أداء غير مرضية.</w:t>
      </w:r>
    </w:p>
    <w:p w14:paraId="4E5FD95F" w14:textId="6D0B1C40" w:rsidR="004B74FD" w:rsidRPr="009A3EF4" w:rsidRDefault="004B74FD" w:rsidP="004B74F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869364"/>
      <w:r w:rsidRPr="009A3EF4">
        <w:rPr>
          <w:rFonts w:ascii="Sakkal Majalla" w:eastAsia="Calibri" w:hAnsi="Sakkal Majalla" w:cs="Sakkal Majalla"/>
          <w:b/>
          <w:bCs/>
          <w:color w:val="000000" w:themeColor="text1"/>
          <w:sz w:val="36"/>
          <w:szCs w:val="36"/>
          <w:rtl/>
          <w:lang w:bidi="ar-EG"/>
        </w:rPr>
        <w:t>3.1 أهمية الدراسة</w:t>
      </w:r>
      <w:bookmarkEnd w:id="3"/>
    </w:p>
    <w:p w14:paraId="34FF5DF5" w14:textId="77777777" w:rsidR="00A94E52" w:rsidRPr="009A3EF4" w:rsidRDefault="00A94E52" w:rsidP="004B74F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A3EF4">
        <w:rPr>
          <w:rFonts w:ascii="Sakkal Majalla" w:eastAsia="Calibri" w:hAnsi="Sakkal Majalla" w:cs="Sakkal Majalla"/>
          <w:b/>
          <w:bCs/>
          <w:color w:val="000000" w:themeColor="text1"/>
          <w:sz w:val="32"/>
          <w:szCs w:val="32"/>
          <w:rtl/>
          <w:lang w:bidi="ar-EG"/>
        </w:rPr>
        <w:t>الأهمية النظرية</w:t>
      </w:r>
    </w:p>
    <w:p w14:paraId="692D806A" w14:textId="635DF77F" w:rsidR="005E2427" w:rsidRPr="009A3EF4" w:rsidRDefault="005E2427" w:rsidP="004B74FD">
      <w:pPr>
        <w:pStyle w:val="a6"/>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9A3EF4">
        <w:rPr>
          <w:rFonts w:ascii="Sakkal Majalla" w:eastAsia="Calibri" w:hAnsi="Sakkal Majalla" w:cs="Sakkal Majalla"/>
          <w:color w:val="000000" w:themeColor="text1"/>
          <w:sz w:val="28"/>
          <w:szCs w:val="28"/>
          <w:rtl/>
          <w:lang w:bidi="ar-EG"/>
        </w:rPr>
        <w:t>إثراء الأدبيات العلمية في مجال إدارة المخاطر المؤسسية من خلال دراسة العلاقة بين مستوى النضج المؤسسي في إدارة المخاطر وفعالية مراقبة الأداء داخل المنشآت الصحية، خصوصًا في بيئات عمل معقدة تتسم بتعدد الأنشطة والمخاطر التشغيلية كقطاع الرعاية الصحية.</w:t>
      </w:r>
    </w:p>
    <w:p w14:paraId="6957BE34" w14:textId="58175313" w:rsidR="005E2427" w:rsidRPr="009A3EF4" w:rsidRDefault="005E2427" w:rsidP="004B74FD">
      <w:pPr>
        <w:pStyle w:val="a6"/>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9A3EF4">
        <w:rPr>
          <w:rFonts w:ascii="Sakkal Majalla" w:eastAsia="Calibri" w:hAnsi="Sakkal Majalla" w:cs="Sakkal Majalla"/>
          <w:color w:val="000000" w:themeColor="text1"/>
          <w:sz w:val="28"/>
          <w:szCs w:val="28"/>
          <w:rtl/>
          <w:lang w:bidi="ar-EG"/>
        </w:rPr>
        <w:t>تقديم إطار نظري متكامل يربط بين أبعاد النضج المؤسسي في إدارة المخاطر (كالتخطيط الاستراتيجي للمخاطر، الثقافة المؤسسية، نظم الإنذار المبكر، وآليات الاستجابة) وبين مخرجات نظام مراقبة الأداء مثل دقة مؤشرات الأداء، سرعة اكتشاف الانحرافات، وكفاءة الاستجابة التصحيحية.</w:t>
      </w:r>
    </w:p>
    <w:p w14:paraId="42E545B0" w14:textId="44D2401C" w:rsidR="005E2427" w:rsidRPr="009A3EF4" w:rsidRDefault="005E2427" w:rsidP="004B74FD">
      <w:pPr>
        <w:pStyle w:val="a6"/>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9A3EF4">
        <w:rPr>
          <w:rFonts w:ascii="Sakkal Majalla" w:eastAsia="Calibri" w:hAnsi="Sakkal Majalla" w:cs="Sakkal Majalla"/>
          <w:color w:val="000000" w:themeColor="text1"/>
          <w:sz w:val="28"/>
          <w:szCs w:val="28"/>
          <w:rtl/>
          <w:lang w:bidi="ar-EG"/>
        </w:rPr>
        <w:t>سد فجوة معرفية في الأدبيات العربية المتعلقة بقطاع الصحة، حيث لم تُتناول بعمق العلاقة التفاعلية بين تطور ممارسات إدارة المخاطر ونمو مستوى كفاءة الرقابة على الأداء المؤسسي في المنشآت الصحية.</w:t>
      </w:r>
    </w:p>
    <w:p w14:paraId="2DF0C86B" w14:textId="70AF5BDC" w:rsidR="001F42A2" w:rsidRPr="009A3EF4" w:rsidRDefault="005E2427" w:rsidP="004B74FD">
      <w:pPr>
        <w:pStyle w:val="a6"/>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المساهمة في تطوير أدوات تقييم كمية ونوعية يمكن استخدامها لاحقًا لقياس مستوى نضج إدارة المخاطر في المنشآت الصحية السعودية، وتقدير مدى تأثير هذا النضج على تحسين أداء الإدارات الرقابية والتنفيذية.</w:t>
      </w:r>
    </w:p>
    <w:p w14:paraId="38360832" w14:textId="72979F8E" w:rsidR="002B3AFE" w:rsidRPr="009A3EF4" w:rsidRDefault="002B3AFE" w:rsidP="00FA5AF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A3EF4">
        <w:rPr>
          <w:rFonts w:ascii="Sakkal Majalla" w:eastAsia="Calibri" w:hAnsi="Sakkal Majalla" w:cs="Sakkal Majalla"/>
          <w:b/>
          <w:bCs/>
          <w:color w:val="000000" w:themeColor="text1"/>
          <w:sz w:val="32"/>
          <w:szCs w:val="32"/>
          <w:rtl/>
          <w:lang w:bidi="ar-EG"/>
        </w:rPr>
        <w:t>الأهمية ال</w:t>
      </w:r>
      <w:r w:rsidR="001F42A2" w:rsidRPr="009A3EF4">
        <w:rPr>
          <w:rFonts w:ascii="Sakkal Majalla" w:eastAsia="Calibri" w:hAnsi="Sakkal Majalla" w:cs="Sakkal Majalla"/>
          <w:b/>
          <w:bCs/>
          <w:color w:val="000000" w:themeColor="text1"/>
          <w:sz w:val="32"/>
          <w:szCs w:val="32"/>
          <w:rtl/>
          <w:lang w:bidi="ar-EG"/>
        </w:rPr>
        <w:t>تطبيقية</w:t>
      </w:r>
    </w:p>
    <w:p w14:paraId="77ECC201" w14:textId="48139F58" w:rsidR="005E2427" w:rsidRPr="009A3EF4" w:rsidRDefault="005E2427" w:rsidP="004B74FD">
      <w:pPr>
        <w:pStyle w:val="a6"/>
        <w:numPr>
          <w:ilvl w:val="0"/>
          <w:numId w:val="1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9A3EF4">
        <w:rPr>
          <w:rFonts w:ascii="Sakkal Majalla" w:eastAsia="Calibri" w:hAnsi="Sakkal Majalla" w:cs="Sakkal Majalla"/>
          <w:color w:val="000000" w:themeColor="text1"/>
          <w:sz w:val="28"/>
          <w:szCs w:val="28"/>
          <w:rtl/>
          <w:lang w:bidi="ar-EG"/>
        </w:rPr>
        <w:t>دعم صُنّاع القرار في القطاع الصحي بمؤشرات دقيقة تساعدهم في قياس مستوى النضج المؤسسي في إدارة المخاطر، وتحديد تأثيره المباشر وغير المباشر على فعالية مراقبة الأداء، بما يعزز من جودة الخدمات الصحية المقدمة.</w:t>
      </w:r>
    </w:p>
    <w:p w14:paraId="141BF2E4" w14:textId="4A50DBD1" w:rsidR="005E2427" w:rsidRPr="009A3EF4" w:rsidRDefault="005E2427" w:rsidP="004B74FD">
      <w:pPr>
        <w:pStyle w:val="a6"/>
        <w:numPr>
          <w:ilvl w:val="0"/>
          <w:numId w:val="1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9A3EF4">
        <w:rPr>
          <w:rFonts w:ascii="Sakkal Majalla" w:eastAsia="Calibri" w:hAnsi="Sakkal Majalla" w:cs="Sakkal Majalla"/>
          <w:color w:val="000000" w:themeColor="text1"/>
          <w:sz w:val="28"/>
          <w:szCs w:val="28"/>
          <w:rtl/>
          <w:lang w:bidi="ar-EG"/>
        </w:rPr>
        <w:t>تقديم توصيات عملية قائمة على نتائج ميدانية تعزز التكامل بين ممارسات إدارة المخاطر وأنظمة الرقابة، وتساعد على تحسين قدرة المنشآت الصحية على مواجهة الأزمات وضبط الانحرافات الإدارية والمالية والتشغيلية.</w:t>
      </w:r>
    </w:p>
    <w:p w14:paraId="6CCA662F" w14:textId="390B829A" w:rsidR="005E2427" w:rsidRPr="009A3EF4" w:rsidRDefault="005E2427" w:rsidP="004B74FD">
      <w:pPr>
        <w:pStyle w:val="a6"/>
        <w:numPr>
          <w:ilvl w:val="0"/>
          <w:numId w:val="1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9A3EF4">
        <w:rPr>
          <w:rFonts w:ascii="Sakkal Majalla" w:eastAsia="Calibri" w:hAnsi="Sakkal Majalla" w:cs="Sakkal Majalla"/>
          <w:color w:val="000000" w:themeColor="text1"/>
          <w:sz w:val="28"/>
          <w:szCs w:val="28"/>
          <w:rtl/>
          <w:lang w:bidi="ar-EG"/>
        </w:rPr>
        <w:t>رفع كفاءة الكوادر الإدارية والتنفيذية في القطاع الصحي، عبر تسليط الضوء على أهمية تعزيز ثقافة إدارة المخاطر، وتفعيل أدوات الحوكمة الرشيدة، بما يدعم قدرة المنشآت على مراقبة وتحسين الأداء بشكل منهجي ومستدام.</w:t>
      </w:r>
    </w:p>
    <w:p w14:paraId="05C00713" w14:textId="2BBEFBD5" w:rsidR="00BE77E5" w:rsidRPr="009A3EF4" w:rsidRDefault="005E2427" w:rsidP="004B74FD">
      <w:pPr>
        <w:pStyle w:val="a6"/>
        <w:numPr>
          <w:ilvl w:val="0"/>
          <w:numId w:val="1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تحقيق وفورات تشغيلية وإدارية من خلال تحسين التنسيق بين وحدات الرقابة وإدارة المخاطر، وتقليل التكاليف الناتجة عن الأخطاء التشغيلية أو القرارات غير المدروسة، مما ينعكس إيجابيًا على الاستدامة المالية والخدمة الصحية المقدمة للمجتمع.</w:t>
      </w:r>
    </w:p>
    <w:p w14:paraId="418043FC" w14:textId="767D0A44" w:rsidR="004B74FD" w:rsidRPr="009A3EF4" w:rsidRDefault="004B74FD" w:rsidP="004B74F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869365"/>
      <w:r w:rsidRPr="009A3EF4">
        <w:rPr>
          <w:rFonts w:ascii="Sakkal Majalla" w:eastAsia="Calibri" w:hAnsi="Sakkal Majalla" w:cs="Sakkal Majalla"/>
          <w:b/>
          <w:bCs/>
          <w:color w:val="000000" w:themeColor="text1"/>
          <w:sz w:val="36"/>
          <w:szCs w:val="36"/>
          <w:rtl/>
          <w:lang w:bidi="ar-EG"/>
        </w:rPr>
        <w:t>4.1 اهداف الدراسة</w:t>
      </w:r>
      <w:bookmarkEnd w:id="4"/>
    </w:p>
    <w:p w14:paraId="5A7D4325" w14:textId="67206380" w:rsidR="00BE77E5" w:rsidRPr="009A3EF4" w:rsidRDefault="004D572F"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تهدف الدراسة إلى معرفة مدى أثر مستوى النضج المؤسسي في إدارة المخاطر على كفاءة مراقبة الأداء</w:t>
      </w:r>
      <w:r w:rsidR="003363AB" w:rsidRPr="009A3EF4">
        <w:rPr>
          <w:rFonts w:ascii="Sakkal Majalla" w:eastAsia="Calibri" w:hAnsi="Sakkal Majalla" w:cs="Sakkal Majalla"/>
          <w:color w:val="000000" w:themeColor="text1"/>
          <w:sz w:val="28"/>
          <w:szCs w:val="28"/>
          <w:rtl/>
          <w:lang w:bidi="ar-EG"/>
        </w:rPr>
        <w:t xml:space="preserve"> </w:t>
      </w:r>
      <w:bookmarkStart w:id="5" w:name="_Hlk201672794"/>
      <w:r w:rsidR="003363AB" w:rsidRPr="009A3EF4">
        <w:rPr>
          <w:rFonts w:ascii="Sakkal Majalla" w:eastAsia="Calibri" w:hAnsi="Sakkal Majalla" w:cs="Sakkal Majalla"/>
          <w:color w:val="000000" w:themeColor="text1"/>
          <w:sz w:val="28"/>
          <w:szCs w:val="28"/>
          <w:rtl/>
          <w:lang w:bidi="ar-EG"/>
        </w:rPr>
        <w:t>(</w:t>
      </w:r>
      <w:bookmarkStart w:id="6" w:name="_Hlk201675875"/>
      <w:r w:rsidR="003363AB" w:rsidRPr="009A3EF4">
        <w:rPr>
          <w:rFonts w:ascii="Sakkal Majalla" w:eastAsia="Calibri" w:hAnsi="Sakkal Majalla" w:cs="Sakkal Majalla"/>
          <w:color w:val="000000" w:themeColor="text1"/>
          <w:sz w:val="28"/>
          <w:szCs w:val="28"/>
          <w:rtl/>
          <w:lang w:bidi="ar-EG"/>
        </w:rPr>
        <w:t>دقة قياس الأداء - جودة البيانات المستخدمة في التقييم - فعالية التقارير الرقابية</w:t>
      </w:r>
      <w:bookmarkEnd w:id="6"/>
      <w:r w:rsidR="003363AB" w:rsidRPr="009A3EF4">
        <w:rPr>
          <w:rFonts w:ascii="Sakkal Majalla" w:eastAsia="Calibri" w:hAnsi="Sakkal Majalla" w:cs="Sakkal Majalla"/>
          <w:color w:val="000000" w:themeColor="text1"/>
          <w:sz w:val="28"/>
          <w:szCs w:val="28"/>
          <w:rtl/>
          <w:lang w:bidi="ar-EG"/>
        </w:rPr>
        <w:t>)</w:t>
      </w:r>
      <w:bookmarkEnd w:id="5"/>
      <w:r w:rsidR="008B4A5D" w:rsidRPr="009A3EF4">
        <w:rPr>
          <w:rFonts w:ascii="Sakkal Majalla" w:eastAsia="Calibri" w:hAnsi="Sakkal Majalla" w:cs="Sakkal Majalla"/>
          <w:color w:val="000000" w:themeColor="text1"/>
          <w:sz w:val="28"/>
          <w:szCs w:val="28"/>
          <w:rtl/>
          <w:lang w:bidi="ar-EG"/>
        </w:rPr>
        <w:t xml:space="preserve"> وذلك بالتطبيق على المنشآت الصحية السعودية</w:t>
      </w:r>
      <w:r w:rsidRPr="009A3EF4">
        <w:rPr>
          <w:rFonts w:ascii="Sakkal Majalla" w:eastAsia="Calibri" w:hAnsi="Sakkal Majalla" w:cs="Sakkal Majalla"/>
          <w:color w:val="000000" w:themeColor="text1"/>
          <w:sz w:val="28"/>
          <w:szCs w:val="28"/>
          <w:rtl/>
          <w:lang w:bidi="ar-EG"/>
        </w:rPr>
        <w:t xml:space="preserve"> ويتفرع منه مجموعة من الأهداف الفرعية:</w:t>
      </w:r>
    </w:p>
    <w:p w14:paraId="2D9FA441" w14:textId="4EB94088" w:rsidR="004D572F" w:rsidRPr="009A3EF4" w:rsidRDefault="003363AB" w:rsidP="004B74FD">
      <w:pPr>
        <w:pStyle w:val="a6"/>
        <w:numPr>
          <w:ilvl w:val="0"/>
          <w:numId w:val="1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7" w:name="_Hlk201672817"/>
      <w:r w:rsidRPr="009A3EF4">
        <w:rPr>
          <w:rFonts w:ascii="Sakkal Majalla" w:eastAsia="Calibri" w:hAnsi="Sakkal Majalla" w:cs="Sakkal Majalla"/>
          <w:color w:val="000000" w:themeColor="text1"/>
          <w:sz w:val="28"/>
          <w:szCs w:val="28"/>
          <w:rtl/>
          <w:lang w:bidi="ar-EG"/>
        </w:rPr>
        <w:t>التعرف على مدى تأثير مستوى النضج المؤسسي في إدارة المخاطر على دقة قياس الأداء.</w:t>
      </w:r>
    </w:p>
    <w:p w14:paraId="36D7C5FE" w14:textId="58576EAC" w:rsidR="003363AB" w:rsidRPr="009A3EF4" w:rsidRDefault="003363AB" w:rsidP="004B74FD">
      <w:pPr>
        <w:pStyle w:val="a6"/>
        <w:numPr>
          <w:ilvl w:val="0"/>
          <w:numId w:val="1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التعرف على مدى تأثير مستوى النضج المؤسسي في إدارة المخاطر على جودة البيانات المستخدمة في التقييم.</w:t>
      </w:r>
    </w:p>
    <w:p w14:paraId="33404BD6" w14:textId="13AA3F38" w:rsidR="003363AB" w:rsidRPr="009A3EF4" w:rsidRDefault="003363AB" w:rsidP="004B74FD">
      <w:pPr>
        <w:pStyle w:val="a6"/>
        <w:numPr>
          <w:ilvl w:val="0"/>
          <w:numId w:val="1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التعرف على مدى تأثير مستوى النضج المؤسسي في إدارة المخاطر على فعالية التقارير الرقابية.</w:t>
      </w:r>
    </w:p>
    <w:p w14:paraId="1ABACD13" w14:textId="2EA01871" w:rsidR="004B74FD" w:rsidRPr="009A3EF4" w:rsidRDefault="004B74FD" w:rsidP="004B74F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1869366"/>
      <w:bookmarkEnd w:id="7"/>
      <w:r w:rsidRPr="009A3EF4">
        <w:rPr>
          <w:rFonts w:ascii="Sakkal Majalla" w:eastAsia="Calibri" w:hAnsi="Sakkal Majalla" w:cs="Sakkal Majalla"/>
          <w:b/>
          <w:bCs/>
          <w:color w:val="000000" w:themeColor="text1"/>
          <w:sz w:val="36"/>
          <w:szCs w:val="36"/>
          <w:rtl/>
          <w:lang w:bidi="ar-EG"/>
        </w:rPr>
        <w:t>5.1 تساؤلات الدراسة</w:t>
      </w:r>
      <w:bookmarkEnd w:id="8"/>
    </w:p>
    <w:p w14:paraId="650CEADB" w14:textId="5DBF2C8F" w:rsidR="003363AB" w:rsidRPr="009A3EF4" w:rsidRDefault="003363AB" w:rsidP="004B74F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السؤال الرئيسي الأول: ما أثر تطبيق مستوى النضج المؤسسي في إدارة المخاطر على كفاءة مراقبة الأداء (دقة قياس الأداء - جودة البيانات المستخدمة في التقييم - فعالية التقارير الرقابية)</w:t>
      </w:r>
      <w:r w:rsidR="008B4A5D" w:rsidRPr="009A3EF4">
        <w:rPr>
          <w:rFonts w:ascii="Sakkal Majalla" w:eastAsia="Calibri" w:hAnsi="Sakkal Majalla" w:cs="Sakkal Majalla"/>
          <w:color w:val="000000" w:themeColor="text1"/>
          <w:sz w:val="28"/>
          <w:szCs w:val="28"/>
          <w:rtl/>
          <w:lang w:bidi="ar-EG"/>
        </w:rPr>
        <w:t xml:space="preserve"> وذلك بالتطبيق على المنشآت الصحية السعودية </w:t>
      </w:r>
      <w:r w:rsidRPr="009A3EF4">
        <w:rPr>
          <w:rFonts w:ascii="Sakkal Majalla" w:eastAsia="Calibri" w:hAnsi="Sakkal Majalla" w:cs="Sakkal Majalla"/>
          <w:color w:val="000000" w:themeColor="text1"/>
          <w:sz w:val="28"/>
          <w:szCs w:val="28"/>
          <w:rtl/>
          <w:lang w:bidi="ar-EG"/>
        </w:rPr>
        <w:t>، وتتفرع منه عدة أسئلة فرعية كالتالي:</w:t>
      </w:r>
    </w:p>
    <w:p w14:paraId="0936B21A" w14:textId="5614EAFD" w:rsidR="003363AB" w:rsidRPr="009A3EF4" w:rsidRDefault="003363AB" w:rsidP="004B74FD">
      <w:pPr>
        <w:pStyle w:val="a6"/>
        <w:numPr>
          <w:ilvl w:val="0"/>
          <w:numId w:val="1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إلى أي مدى يؤثر مستوى النضج المؤسسي في إدارة المخاطر على دقة قياس الأداء.</w:t>
      </w:r>
    </w:p>
    <w:p w14:paraId="125B3A3C" w14:textId="08A4609F" w:rsidR="003363AB" w:rsidRPr="009A3EF4" w:rsidRDefault="003363AB" w:rsidP="004B74FD">
      <w:pPr>
        <w:pStyle w:val="a6"/>
        <w:numPr>
          <w:ilvl w:val="0"/>
          <w:numId w:val="1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إلى أي مدى يؤثر مستوى النضج المؤسسي في إدارة المخاطر على جودة البيانات المستخدمة في التقييم.</w:t>
      </w:r>
    </w:p>
    <w:p w14:paraId="50D5B868" w14:textId="3D7381ED" w:rsidR="003363AB" w:rsidRPr="009A3EF4" w:rsidRDefault="003363AB" w:rsidP="004B74FD">
      <w:pPr>
        <w:pStyle w:val="a6"/>
        <w:numPr>
          <w:ilvl w:val="0"/>
          <w:numId w:val="1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إلى أي مدى يؤثر مستوى النضج المؤسسي في إدارة المخاطر على فعالية التقارير الرقابية.</w:t>
      </w:r>
    </w:p>
    <w:p w14:paraId="63BF4570" w14:textId="6B3F7A53" w:rsidR="004B74FD" w:rsidRPr="009A3EF4" w:rsidRDefault="004B74FD" w:rsidP="004B74FD">
      <w:pPr>
        <w:bidi/>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9" w:name="_Toc211869367"/>
      <w:bookmarkStart w:id="10" w:name="_Toc169790499"/>
      <w:r w:rsidRPr="009A3EF4">
        <w:rPr>
          <w:rFonts w:ascii="Sakkal Majalla" w:eastAsia="Times New Roman" w:hAnsi="Sakkal Majalla" w:cs="Sakkal Majalla"/>
          <w:b/>
          <w:bCs/>
          <w:color w:val="000000" w:themeColor="text1"/>
          <w:kern w:val="0"/>
          <w:sz w:val="36"/>
          <w:szCs w:val="36"/>
          <w:rtl/>
          <w14:ligatures w14:val="none"/>
        </w:rPr>
        <w:t>6.1 فروض الدراسة:</w:t>
      </w:r>
      <w:bookmarkEnd w:id="9"/>
    </w:p>
    <w:p w14:paraId="622FD832" w14:textId="77777777" w:rsidR="003363AB" w:rsidRPr="009A3EF4" w:rsidRDefault="003363AB" w:rsidP="004B74FD">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rtl/>
          <w:lang w:bidi="ar-JO"/>
          <w14:ligatures w14:val="none"/>
        </w:rPr>
      </w:pPr>
      <w:r w:rsidRPr="009A3EF4">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9A3EF4">
        <w:rPr>
          <w:rFonts w:ascii="Sakkal Majalla" w:eastAsia="Times New Roman" w:hAnsi="Sakkal Majalla" w:cs="Sakkal Majalla"/>
          <w:color w:val="000000" w:themeColor="text1"/>
          <w:kern w:val="0"/>
          <w:sz w:val="28"/>
          <w:szCs w:val="28"/>
          <w:rtl/>
          <w:lang w:bidi="ar-JO"/>
          <w14:ligatures w14:val="none"/>
        </w:rPr>
        <w:t xml:space="preserve"> </w:t>
      </w:r>
      <w:r w:rsidRPr="009A3EF4">
        <w:rPr>
          <w:rFonts w:ascii="Sakkal Majalla" w:eastAsia="Times New Roman" w:hAnsi="Sakkal Majalla" w:cs="Sakkal Majalla"/>
          <w:color w:val="000000" w:themeColor="text1"/>
          <w:kern w:val="0"/>
          <w:sz w:val="28"/>
          <w:szCs w:val="28"/>
          <w:rtl/>
          <w14:ligatures w14:val="none"/>
        </w:rPr>
        <w:t>الفرضيات التالية:</w:t>
      </w:r>
    </w:p>
    <w:p w14:paraId="2C763999" w14:textId="6A8DD206" w:rsidR="003363AB" w:rsidRPr="009A3EF4" w:rsidRDefault="003363AB" w:rsidP="004B74FD">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rtl/>
          <w14:ligatures w14:val="none"/>
        </w:rPr>
      </w:pPr>
      <w:r w:rsidRPr="009A3EF4">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9A3EF4">
        <w:rPr>
          <w:rFonts w:ascii="Sakkal Majalla" w:eastAsia="Times New Roman" w:hAnsi="Sakkal Majalla" w:cs="Sakkal Majalla"/>
          <w:b/>
          <w:bCs/>
          <w:color w:val="000000" w:themeColor="text1"/>
          <w:kern w:val="0"/>
          <w:sz w:val="28"/>
          <w:szCs w:val="28"/>
          <w:rtl/>
          <w:lang w:bidi="ar-JO"/>
          <w14:ligatures w14:val="none"/>
        </w:rPr>
        <w:t>الأول</w:t>
      </w:r>
      <w:r w:rsidRPr="009A3EF4">
        <w:rPr>
          <w:rFonts w:ascii="Sakkal Majalla" w:eastAsia="Times New Roman" w:hAnsi="Sakkal Majalla" w:cs="Sakkal Majalla"/>
          <w:color w:val="000000" w:themeColor="text1"/>
          <w:kern w:val="0"/>
          <w:sz w:val="28"/>
          <w:szCs w:val="28"/>
          <w:rtl/>
          <w:lang w:bidi="ar-JO"/>
          <w14:ligatures w14:val="none"/>
        </w:rPr>
        <w:t>:</w:t>
      </w:r>
      <w:r w:rsidRPr="009A3EF4">
        <w:rPr>
          <w:rFonts w:ascii="Sakkal Majalla" w:eastAsia="Times New Roman" w:hAnsi="Sakkal Majalla" w:cs="Sakkal Majalla"/>
          <w:color w:val="000000" w:themeColor="text1"/>
          <w:kern w:val="0"/>
          <w:sz w:val="28"/>
          <w:szCs w:val="28"/>
          <w:rtl/>
          <w14:ligatures w14:val="none"/>
        </w:rPr>
        <w:t xml:space="preserve"> لا يوجد أثر ذو دلالة إحصائية لتطبيق </w:t>
      </w:r>
      <w:bookmarkStart w:id="11" w:name="_Hlk201675948"/>
      <w:r w:rsidRPr="009A3EF4">
        <w:rPr>
          <w:rFonts w:ascii="Sakkal Majalla" w:eastAsia="Times New Roman" w:hAnsi="Sakkal Majalla" w:cs="Sakkal Majalla"/>
          <w:color w:val="000000" w:themeColor="text1"/>
          <w:kern w:val="0"/>
          <w:sz w:val="28"/>
          <w:szCs w:val="28"/>
          <w:rtl/>
          <w14:ligatures w14:val="none"/>
        </w:rPr>
        <w:t xml:space="preserve">مستوى النضج المؤسسي في إدارة المخاطر على كفاءة مراقبة </w:t>
      </w:r>
      <w:bookmarkStart w:id="12" w:name="_Hlk201673108"/>
      <w:bookmarkEnd w:id="11"/>
      <w:r w:rsidRPr="009A3EF4">
        <w:rPr>
          <w:rFonts w:ascii="Sakkal Majalla" w:eastAsia="Times New Roman" w:hAnsi="Sakkal Majalla" w:cs="Sakkal Majalla"/>
          <w:color w:val="000000" w:themeColor="text1"/>
          <w:kern w:val="0"/>
          <w:sz w:val="28"/>
          <w:szCs w:val="28"/>
          <w:rtl/>
          <w14:ligatures w14:val="none"/>
        </w:rPr>
        <w:t>(دقة قياس الأداء - جودة البيانات المستخدمة في التقييم - فعالية التقارير الرقابية)</w:t>
      </w:r>
      <w:r w:rsidR="008B4A5D" w:rsidRPr="009A3EF4">
        <w:rPr>
          <w:rFonts w:ascii="Sakkal Majalla" w:eastAsia="Calibri" w:hAnsi="Sakkal Majalla" w:cs="Sakkal Majalla"/>
          <w:color w:val="000000" w:themeColor="text1"/>
          <w:sz w:val="28"/>
          <w:szCs w:val="28"/>
          <w:rtl/>
          <w:lang w:bidi="ar-EG"/>
        </w:rPr>
        <w:t xml:space="preserve"> </w:t>
      </w:r>
      <w:r w:rsidR="008B4A5D" w:rsidRPr="009A3EF4">
        <w:rPr>
          <w:rFonts w:ascii="Sakkal Majalla" w:eastAsia="Times New Roman" w:hAnsi="Sakkal Majalla" w:cs="Sakkal Majalla"/>
          <w:color w:val="000000" w:themeColor="text1"/>
          <w:kern w:val="0"/>
          <w:sz w:val="28"/>
          <w:szCs w:val="28"/>
          <w:rtl/>
          <w:lang w:bidi="ar-EG"/>
          <w14:ligatures w14:val="none"/>
        </w:rPr>
        <w:t>وذلك بالتطبيق على المنشآت الصحية السعودية</w:t>
      </w:r>
      <w:r w:rsidRPr="009A3EF4">
        <w:rPr>
          <w:rFonts w:ascii="Sakkal Majalla" w:eastAsia="Times New Roman" w:hAnsi="Sakkal Majalla" w:cs="Sakkal Majalla"/>
          <w:color w:val="000000" w:themeColor="text1"/>
          <w:kern w:val="0"/>
          <w:sz w:val="28"/>
          <w:szCs w:val="28"/>
          <w:rtl/>
          <w14:ligatures w14:val="none"/>
        </w:rPr>
        <w:t>.</w:t>
      </w:r>
      <w:bookmarkEnd w:id="12"/>
    </w:p>
    <w:p w14:paraId="0A557359" w14:textId="55D0205B" w:rsidR="003363AB" w:rsidRPr="009A3EF4" w:rsidRDefault="003363AB" w:rsidP="004B74FD">
      <w:pPr>
        <w:bidi/>
        <w:spacing w:before="100" w:beforeAutospacing="1" w:after="100" w:afterAutospacing="1" w:line="360" w:lineRule="auto"/>
        <w:ind w:firstLine="707"/>
        <w:jc w:val="both"/>
        <w:rPr>
          <w:rFonts w:ascii="Sakkal Majalla" w:eastAsia="Times New Roman" w:hAnsi="Sakkal Majalla" w:cs="Sakkal Majalla"/>
          <w:b/>
          <w:bCs/>
          <w:color w:val="000000" w:themeColor="text1"/>
          <w:kern w:val="0"/>
          <w:sz w:val="28"/>
          <w:szCs w:val="28"/>
          <w:rtl/>
          <w14:ligatures w14:val="none"/>
        </w:rPr>
      </w:pPr>
      <w:r w:rsidRPr="009A3EF4">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الثلاث التالية:</w:t>
      </w:r>
    </w:p>
    <w:p w14:paraId="694F5C4F" w14:textId="2FAC694E" w:rsidR="003363AB" w:rsidRPr="009A3EF4" w:rsidRDefault="003363AB" w:rsidP="004B74FD">
      <w:pPr>
        <w:numPr>
          <w:ilvl w:val="0"/>
          <w:numId w:val="18"/>
        </w:numPr>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9A3EF4">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464CC" w:rsidRPr="009A3EF4">
        <w:rPr>
          <w:rFonts w:ascii="Sakkal Majalla" w:eastAsia="Times New Roman" w:hAnsi="Sakkal Majalla" w:cs="Sakkal Majalla"/>
          <w:color w:val="000000" w:themeColor="text1"/>
          <w:kern w:val="0"/>
          <w:sz w:val="28"/>
          <w:szCs w:val="28"/>
          <w:rtl/>
          <w14:ligatures w14:val="none"/>
        </w:rPr>
        <w:t>ل</w:t>
      </w:r>
      <w:r w:rsidRPr="009A3EF4">
        <w:rPr>
          <w:rFonts w:ascii="Sakkal Majalla" w:eastAsia="Times New Roman" w:hAnsi="Sakkal Majalla" w:cs="Sakkal Majalla"/>
          <w:color w:val="000000" w:themeColor="text1"/>
          <w:kern w:val="0"/>
          <w:sz w:val="28"/>
          <w:szCs w:val="28"/>
          <w:rtl/>
          <w14:ligatures w14:val="none"/>
        </w:rPr>
        <w:t>مستوى النضج المؤسسي في إدارة المخاطر على دقة قياس الأداء.</w:t>
      </w:r>
    </w:p>
    <w:p w14:paraId="136F45A0" w14:textId="4EC2AE1B" w:rsidR="000464CC" w:rsidRPr="009A3EF4" w:rsidRDefault="003363AB" w:rsidP="004B74FD">
      <w:pPr>
        <w:pStyle w:val="a6"/>
        <w:numPr>
          <w:ilvl w:val="0"/>
          <w:numId w:val="18"/>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9A3EF4">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464CC" w:rsidRPr="009A3EF4">
        <w:rPr>
          <w:rFonts w:ascii="Sakkal Majalla" w:eastAsia="Times New Roman" w:hAnsi="Sakkal Majalla" w:cs="Sakkal Majalla"/>
          <w:color w:val="000000" w:themeColor="text1"/>
          <w:kern w:val="0"/>
          <w:sz w:val="28"/>
          <w:szCs w:val="28"/>
          <w:rtl/>
          <w14:ligatures w14:val="none"/>
        </w:rPr>
        <w:t>لمستوى النضج المؤسسي في إدارة المخاطر على جودة البيانات المستخدمة في التقييم</w:t>
      </w:r>
      <w:r w:rsidR="000464CC" w:rsidRPr="009A3EF4">
        <w:rPr>
          <w:rFonts w:ascii="Sakkal Majalla" w:eastAsia="Times New Roman" w:hAnsi="Sakkal Majalla" w:cs="Sakkal Majalla"/>
          <w:color w:val="000000" w:themeColor="text1"/>
          <w:kern w:val="0"/>
          <w:sz w:val="28"/>
          <w:szCs w:val="28"/>
          <w14:ligatures w14:val="none"/>
        </w:rPr>
        <w:t>.</w:t>
      </w:r>
    </w:p>
    <w:p w14:paraId="7A1E0A7B" w14:textId="43623066" w:rsidR="000464CC" w:rsidRPr="009A3EF4" w:rsidRDefault="003363AB" w:rsidP="004B74FD">
      <w:pPr>
        <w:pStyle w:val="a6"/>
        <w:numPr>
          <w:ilvl w:val="0"/>
          <w:numId w:val="18"/>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9A3EF4">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0"/>
      <w:r w:rsidR="000464CC" w:rsidRPr="009A3EF4">
        <w:rPr>
          <w:rFonts w:ascii="Sakkal Majalla" w:eastAsia="Times New Roman" w:hAnsi="Sakkal Majalla" w:cs="Sakkal Majalla"/>
          <w:color w:val="000000" w:themeColor="text1"/>
          <w:kern w:val="0"/>
          <w:sz w:val="28"/>
          <w:szCs w:val="28"/>
          <w:rtl/>
          <w14:ligatures w14:val="none"/>
        </w:rPr>
        <w:t>لمستوى النضج المؤسسي في إدارة المخاطر على فعالية التقارير الرقابية.</w:t>
      </w:r>
    </w:p>
    <w:p w14:paraId="75A23B0B" w14:textId="57645E53" w:rsidR="00C05AE1" w:rsidRPr="009A3EF4" w:rsidRDefault="004B74FD" w:rsidP="004B74F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3" w:name="_Toc211869368"/>
      <w:bookmarkStart w:id="14" w:name="_Toc201352816"/>
      <w:r w:rsidRPr="009A3EF4">
        <w:rPr>
          <w:rFonts w:ascii="Sakkal Majalla" w:eastAsia="Calibri" w:hAnsi="Sakkal Majalla" w:cs="Sakkal Majalla"/>
          <w:b/>
          <w:bCs/>
          <w:color w:val="000000" w:themeColor="text1"/>
          <w:sz w:val="36"/>
          <w:szCs w:val="36"/>
          <w:rtl/>
        </w:rPr>
        <w:t>7.1 نموذج الدراسة:</w:t>
      </w:r>
      <w:bookmarkEnd w:id="13"/>
    </w:p>
    <w:bookmarkEnd w:id="14"/>
    <w:p w14:paraId="5F4F4AC1" w14:textId="77777777" w:rsidR="008B4A5D" w:rsidRPr="009A3EF4" w:rsidRDefault="002F60B8" w:rsidP="004B74FD">
      <w:pPr>
        <w:pStyle w:val="a6"/>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b/>
          <w:bCs/>
          <w:color w:val="000000" w:themeColor="text1"/>
          <w:sz w:val="28"/>
          <w:szCs w:val="28"/>
          <w:rtl/>
          <w:lang w:bidi="ar-EG"/>
        </w:rPr>
        <w:t>المتغير المستقل</w:t>
      </w:r>
      <w:r w:rsidRPr="009A3EF4">
        <w:rPr>
          <w:rFonts w:ascii="Sakkal Majalla" w:eastAsia="Calibri" w:hAnsi="Sakkal Majalla" w:cs="Sakkal Majalla"/>
          <w:color w:val="000000" w:themeColor="text1"/>
          <w:sz w:val="28"/>
          <w:szCs w:val="28"/>
          <w:rtl/>
          <w:lang w:bidi="ar-EG"/>
        </w:rPr>
        <w:t xml:space="preserve">: </w:t>
      </w:r>
      <w:r w:rsidR="008B4A5D" w:rsidRPr="009A3EF4">
        <w:rPr>
          <w:rFonts w:ascii="Sakkal Majalla" w:eastAsia="Calibri" w:hAnsi="Sakkal Majalla" w:cs="Sakkal Majalla"/>
          <w:color w:val="000000" w:themeColor="text1"/>
          <w:sz w:val="28"/>
          <w:szCs w:val="28"/>
          <w:rtl/>
          <w:lang w:bidi="ar-EG"/>
        </w:rPr>
        <w:t>النضج المؤسسي</w:t>
      </w:r>
    </w:p>
    <w:p w14:paraId="06A08273" w14:textId="77777777" w:rsidR="008B4A5D" w:rsidRPr="009A3EF4" w:rsidRDefault="002F60B8" w:rsidP="004B74FD">
      <w:pPr>
        <w:pStyle w:val="a6"/>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b/>
          <w:bCs/>
          <w:color w:val="000000" w:themeColor="text1"/>
          <w:sz w:val="28"/>
          <w:szCs w:val="28"/>
          <w:rtl/>
          <w:lang w:bidi="ar-EG"/>
        </w:rPr>
        <w:t>المتغير التابع</w:t>
      </w:r>
      <w:r w:rsidRPr="009A3EF4">
        <w:rPr>
          <w:rFonts w:ascii="Sakkal Majalla" w:eastAsia="Calibri" w:hAnsi="Sakkal Majalla" w:cs="Sakkal Majalla"/>
          <w:color w:val="000000" w:themeColor="text1"/>
          <w:sz w:val="28"/>
          <w:szCs w:val="28"/>
          <w:rtl/>
          <w:lang w:bidi="ar-EG"/>
        </w:rPr>
        <w:t xml:space="preserve">: </w:t>
      </w:r>
      <w:r w:rsidR="008B4A5D" w:rsidRPr="009A3EF4">
        <w:rPr>
          <w:rFonts w:ascii="Sakkal Majalla" w:eastAsia="Calibri" w:hAnsi="Sakkal Majalla" w:cs="Sakkal Majalla"/>
          <w:color w:val="000000" w:themeColor="text1"/>
          <w:sz w:val="28"/>
          <w:szCs w:val="28"/>
          <w:rtl/>
          <w:lang w:bidi="ar-EG"/>
        </w:rPr>
        <w:t xml:space="preserve">مراقبة الاداء بأبعادها المجمعة المتماثلة في (دقة قياس الأداء - </w:t>
      </w:r>
      <w:bookmarkStart w:id="15" w:name="_Hlk201673198"/>
      <w:r w:rsidR="008B4A5D" w:rsidRPr="009A3EF4">
        <w:rPr>
          <w:rFonts w:ascii="Sakkal Majalla" w:eastAsia="Calibri" w:hAnsi="Sakkal Majalla" w:cs="Sakkal Majalla"/>
          <w:color w:val="000000" w:themeColor="text1"/>
          <w:sz w:val="28"/>
          <w:szCs w:val="28"/>
          <w:rtl/>
          <w:lang w:bidi="ar-EG"/>
        </w:rPr>
        <w:t xml:space="preserve">جودة البيانات المستخدمة في التقييم </w:t>
      </w:r>
      <w:bookmarkEnd w:id="15"/>
      <w:r w:rsidR="008B4A5D" w:rsidRPr="009A3EF4">
        <w:rPr>
          <w:rFonts w:ascii="Sakkal Majalla" w:eastAsia="Calibri" w:hAnsi="Sakkal Majalla" w:cs="Sakkal Majalla"/>
          <w:color w:val="000000" w:themeColor="text1"/>
          <w:sz w:val="28"/>
          <w:szCs w:val="28"/>
          <w:rtl/>
          <w:lang w:bidi="ar-EG"/>
        </w:rPr>
        <w:t xml:space="preserve">- </w:t>
      </w:r>
      <w:bookmarkStart w:id="16" w:name="_Hlk201673230"/>
      <w:r w:rsidR="008B4A5D" w:rsidRPr="009A3EF4">
        <w:rPr>
          <w:rFonts w:ascii="Sakkal Majalla" w:eastAsia="Calibri" w:hAnsi="Sakkal Majalla" w:cs="Sakkal Majalla"/>
          <w:color w:val="000000" w:themeColor="text1"/>
          <w:sz w:val="28"/>
          <w:szCs w:val="28"/>
          <w:rtl/>
          <w:lang w:bidi="ar-EG"/>
        </w:rPr>
        <w:t xml:space="preserve">فعالية التقارير الرقابية </w:t>
      </w:r>
      <w:bookmarkEnd w:id="16"/>
      <w:r w:rsidR="008B4A5D" w:rsidRPr="009A3EF4">
        <w:rPr>
          <w:rFonts w:ascii="Sakkal Majalla" w:eastAsia="Calibri" w:hAnsi="Sakkal Majalla" w:cs="Sakkal Majalla"/>
          <w:color w:val="000000" w:themeColor="text1"/>
          <w:sz w:val="28"/>
          <w:szCs w:val="28"/>
          <w:rtl/>
          <w:lang w:bidi="ar-EG"/>
        </w:rPr>
        <w:t>- وضوح ودقة وتكامل تقارير الأداء).</w:t>
      </w:r>
    </w:p>
    <w:p w14:paraId="55AB7069" w14:textId="0C7A5685" w:rsidR="004B74FD" w:rsidRPr="009A3EF4" w:rsidRDefault="004B74FD">
      <w:pPr>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br w:type="page"/>
      </w:r>
    </w:p>
    <w:p w14:paraId="4C55F66C" w14:textId="66500A82" w:rsidR="002F60B8" w:rsidRPr="009A3EF4" w:rsidRDefault="004B74FD" w:rsidP="004B74FD">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9A3EF4">
        <w:rPr>
          <w:rFonts w:ascii="Sakkal Majalla" w:eastAsia="Calibri" w:hAnsi="Sakkal Majalla" w:cs="Sakkal Majalla" w:hint="cs"/>
          <w:b/>
          <w:bCs/>
          <w:color w:val="000000" w:themeColor="text1"/>
          <w:sz w:val="28"/>
          <w:szCs w:val="28"/>
          <w:rtl/>
          <w:lang w:bidi="ar-EG"/>
        </w:rPr>
        <w:t>الشكل رقم (1) نموذج الدراسة</w:t>
      </w:r>
    </w:p>
    <w:p w14:paraId="2D043E0B" w14:textId="77777777" w:rsidR="00D6040F" w:rsidRPr="009A3EF4" w:rsidRDefault="00410DB9" w:rsidP="004B74F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73B810DD">
                <wp:simplePos x="0" y="0"/>
                <wp:positionH relativeFrom="margin">
                  <wp:align>left</wp:align>
                </wp:positionH>
                <wp:positionV relativeFrom="paragraph">
                  <wp:posOffset>8255</wp:posOffset>
                </wp:positionV>
                <wp:extent cx="4464050" cy="2476500"/>
                <wp:effectExtent l="0" t="0" r="12700" b="19050"/>
                <wp:wrapNone/>
                <wp:docPr id="1871407117" name="Group 5"/>
                <wp:cNvGraphicFramePr/>
                <a:graphic xmlns:a="http://schemas.openxmlformats.org/drawingml/2006/main">
                  <a:graphicData uri="http://schemas.microsoft.com/office/word/2010/wordprocessingGroup">
                    <wpg:wgp>
                      <wpg:cNvGrpSpPr/>
                      <wpg:grpSpPr>
                        <a:xfrm>
                          <a:off x="0" y="0"/>
                          <a:ext cx="4464050" cy="2476500"/>
                          <a:chOff x="9525" y="381667"/>
                          <a:chExt cx="5302250" cy="2311400"/>
                        </a:xfrm>
                      </wpg:grpSpPr>
                      <wps:wsp>
                        <wps:cNvPr id="1170575606" name="Text Box 2"/>
                        <wps:cNvSpPr txBox="1"/>
                        <wps:spPr>
                          <a:xfrm>
                            <a:off x="3387725" y="936346"/>
                            <a:ext cx="1924050" cy="1224531"/>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55869CD8" w14:textId="77777777" w:rsidR="00FB50A3" w:rsidRPr="00806716" w:rsidRDefault="00FB50A3" w:rsidP="004B74FD">
                              <w:pPr>
                                <w:bidi/>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6A8FA1A0" w14:textId="01DD44BA" w:rsidR="00FB50A3" w:rsidRPr="008B4A5D" w:rsidRDefault="00FB50A3" w:rsidP="004B74FD">
                              <w:pPr>
                                <w:bidi/>
                                <w:jc w:val="center"/>
                                <w:rPr>
                                  <w:rFonts w:ascii="Traditional Arabic" w:hAnsi="Traditional Arabic" w:cs="Traditional Arabic"/>
                                  <w:b/>
                                  <w:bCs/>
                                  <w:sz w:val="28"/>
                                  <w:szCs w:val="28"/>
                                </w:rPr>
                              </w:pPr>
                              <w:r w:rsidRPr="008B4A5D">
                                <w:rPr>
                                  <w:rFonts w:ascii="Traditional Arabic" w:hAnsi="Traditional Arabic" w:cs="Traditional Arabic" w:hint="cs"/>
                                  <w:b/>
                                  <w:bCs/>
                                  <w:sz w:val="28"/>
                                  <w:szCs w:val="28"/>
                                  <w:rtl/>
                                </w:rPr>
                                <w:t>النضج المؤسسي</w:t>
                              </w:r>
                            </w:p>
                            <w:p w14:paraId="283BF47E" w14:textId="23386D10" w:rsidR="00FB50A3" w:rsidRPr="00806716" w:rsidRDefault="00FB50A3" w:rsidP="002F60B8">
                              <w:pPr>
                                <w:jc w:val="center"/>
                                <w:rPr>
                                  <w:rFonts w:ascii="Traditional Arabic" w:hAnsi="Traditional Arabic" w:cs="Traditional Arabic"/>
                                  <w:b/>
                                  <w:bCs/>
                                  <w:sz w:val="28"/>
                                  <w:szCs w:val="28"/>
                                  <w:rtl/>
                                </w:rPr>
                              </w:pPr>
                            </w:p>
                            <w:p w14:paraId="1A3E00BC" w14:textId="2B203309" w:rsidR="00FB50A3" w:rsidRPr="008B4A5D" w:rsidRDefault="00FB50A3" w:rsidP="008B4A5D">
                              <w:pPr>
                                <w:bidi/>
                                <w:spacing w:line="259" w:lineRule="auto"/>
                                <w:rPr>
                                  <w:rFonts w:ascii="Traditional Arabic" w:hAnsi="Traditional Arabic" w:cs="Traditional Arab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9525" y="381667"/>
                            <a:ext cx="2255153" cy="231140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264E7349" w14:textId="45101105" w:rsidR="00FB50A3" w:rsidRDefault="00FB50A3" w:rsidP="004B74FD">
                              <w:pPr>
                                <w:bidi/>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 xml:space="preserve">تابع: </w:t>
                              </w:r>
                              <w:r w:rsidRPr="008B4A5D">
                                <w:rPr>
                                  <w:rFonts w:ascii="Traditional Arabic" w:hAnsi="Traditional Arabic" w:cs="Traditional Arabic" w:hint="cs"/>
                                  <w:b/>
                                  <w:bCs/>
                                  <w:sz w:val="28"/>
                                  <w:szCs w:val="28"/>
                                  <w:rtl/>
                                </w:rPr>
                                <w:t xml:space="preserve">مراقبة </w:t>
                              </w:r>
                              <w:r>
                                <w:rPr>
                                  <w:rFonts w:ascii="Traditional Arabic" w:hAnsi="Traditional Arabic" w:cs="Traditional Arabic" w:hint="cs"/>
                                  <w:b/>
                                  <w:bCs/>
                                  <w:sz w:val="28"/>
                                  <w:szCs w:val="28"/>
                                  <w:rtl/>
                                </w:rPr>
                                <w:t>الأداء</w:t>
                              </w:r>
                            </w:p>
                            <w:p w14:paraId="2DA6A560" w14:textId="77777777" w:rsidR="00FB50A3" w:rsidRPr="008B4A5D" w:rsidRDefault="00FB50A3" w:rsidP="004B74FD">
                              <w:pPr>
                                <w:numPr>
                                  <w:ilvl w:val="0"/>
                                  <w:numId w:val="5"/>
                                </w:numPr>
                                <w:bidi/>
                                <w:jc w:val="both"/>
                                <w:rPr>
                                  <w:rFonts w:ascii="Traditional Arabic" w:hAnsi="Traditional Arabic" w:cs="Traditional Arabic"/>
                                  <w:b/>
                                  <w:bCs/>
                                  <w:sz w:val="28"/>
                                  <w:szCs w:val="28"/>
                                </w:rPr>
                              </w:pPr>
                              <w:r w:rsidRPr="008B4A5D">
                                <w:rPr>
                                  <w:rFonts w:ascii="Traditional Arabic" w:hAnsi="Traditional Arabic" w:cs="Traditional Arabic" w:hint="cs"/>
                                  <w:b/>
                                  <w:bCs/>
                                  <w:sz w:val="28"/>
                                  <w:szCs w:val="28"/>
                                  <w:rtl/>
                                </w:rPr>
                                <w:t xml:space="preserve"> </w:t>
                              </w:r>
                              <w:r w:rsidRPr="008B4A5D">
                                <w:rPr>
                                  <w:rFonts w:ascii="Traditional Arabic" w:hAnsi="Traditional Arabic" w:cs="Traditional Arabic"/>
                                  <w:b/>
                                  <w:bCs/>
                                  <w:sz w:val="28"/>
                                  <w:szCs w:val="28"/>
                                  <w:rtl/>
                                </w:rPr>
                                <w:t xml:space="preserve">دقة قياس الأداء </w:t>
                              </w:r>
                            </w:p>
                            <w:p w14:paraId="6D231A9B" w14:textId="77777777" w:rsidR="00FB50A3" w:rsidRPr="008B4A5D" w:rsidRDefault="00FB50A3" w:rsidP="004B74FD">
                              <w:pPr>
                                <w:numPr>
                                  <w:ilvl w:val="0"/>
                                  <w:numId w:val="5"/>
                                </w:numPr>
                                <w:bidi/>
                                <w:jc w:val="both"/>
                                <w:rPr>
                                  <w:rFonts w:ascii="Traditional Arabic" w:hAnsi="Traditional Arabic" w:cs="Traditional Arabic"/>
                                  <w:b/>
                                  <w:bCs/>
                                  <w:sz w:val="28"/>
                                  <w:szCs w:val="28"/>
                                </w:rPr>
                              </w:pPr>
                              <w:r w:rsidRPr="008B4A5D">
                                <w:rPr>
                                  <w:rFonts w:ascii="Traditional Arabic" w:hAnsi="Traditional Arabic" w:cs="Traditional Arabic"/>
                                  <w:b/>
                                  <w:bCs/>
                                  <w:sz w:val="28"/>
                                  <w:szCs w:val="28"/>
                                  <w:rtl/>
                                </w:rPr>
                                <w:t xml:space="preserve">جودة البيانات المستخدمة في التقييم </w:t>
                              </w:r>
                            </w:p>
                            <w:p w14:paraId="76C09821" w14:textId="77777777" w:rsidR="00FB50A3" w:rsidRPr="008B4A5D" w:rsidRDefault="00FB50A3" w:rsidP="004B74FD">
                              <w:pPr>
                                <w:numPr>
                                  <w:ilvl w:val="0"/>
                                  <w:numId w:val="5"/>
                                </w:numPr>
                                <w:bidi/>
                                <w:jc w:val="both"/>
                                <w:rPr>
                                  <w:rFonts w:ascii="Traditional Arabic" w:hAnsi="Traditional Arabic" w:cs="Traditional Arabic"/>
                                  <w:b/>
                                  <w:bCs/>
                                  <w:sz w:val="28"/>
                                  <w:szCs w:val="28"/>
                                </w:rPr>
                              </w:pPr>
                              <w:r w:rsidRPr="008B4A5D">
                                <w:rPr>
                                  <w:rFonts w:ascii="Traditional Arabic" w:hAnsi="Traditional Arabic" w:cs="Traditional Arabic"/>
                                  <w:b/>
                                  <w:bCs/>
                                  <w:sz w:val="28"/>
                                  <w:szCs w:val="28"/>
                                  <w:rtl/>
                                </w:rPr>
                                <w:t>فعالية التقارير الرقابية</w:t>
                              </w:r>
                            </w:p>
                            <w:p w14:paraId="48F707FE" w14:textId="55991283" w:rsidR="00FB50A3" w:rsidRPr="008B4A5D" w:rsidRDefault="00FB50A3" w:rsidP="008B4A5D">
                              <w:pPr>
                                <w:jc w:val="center"/>
                                <w:rPr>
                                  <w:rFonts w:ascii="Traditional Arabic" w:hAnsi="Traditional Arabic" w:cs="Traditional Arabic"/>
                                  <w:b/>
                                  <w:bCs/>
                                  <w:sz w:val="28"/>
                                  <w:szCs w:val="28"/>
                                  <w:rtl/>
                                </w:rPr>
                              </w:pPr>
                            </w:p>
                            <w:p w14:paraId="5B2C2E3F" w14:textId="77777777" w:rsidR="00FB50A3" w:rsidRPr="00806716" w:rsidRDefault="00FB50A3" w:rsidP="002F60B8">
                              <w:pPr>
                                <w:jc w:val="center"/>
                                <w:rPr>
                                  <w:rFonts w:ascii="Traditional Arabic" w:hAnsi="Traditional Arabic" w:cs="Traditional Arabic"/>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65pt;width:351.5pt;height:195pt;z-index:251661312;mso-position-horizontal:left;mso-position-horizontal-relative:margin;mso-width-relative:margin;mso-height-relative:margin" coordorigin="95,3816" coordsize="53022,23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">
                <v:shapetype id="_x0000_t202" coordsize="21600,21600" o:spt="202" path="m,l,21600r21600,l21600,xe">
                  <v:stroke joinstyle="miter"/>
                  <v:path gradientshapeok="t" o:connecttype="rect"/>
                </v:shapetype>
                <v:shape id="Text Box 2" o:spid="_x0000_s1027" type="#_x0000_t202" style="position:absolute;left:33877;top:9363;width:19240;height:1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Vo5MgA&#10;AADjAAAADwAAAGRycy9kb3ducmV2LnhtbERPzUrDQBC+C77DMoI3u9tqUondFhEUL4KpWq9jdpoE&#10;s7MhOzbRp3cLgsf5/me1mXynDjTENrCF+cyAIq6Ca7m28Ppyf3ENKgqywy4wWfimCJv16ckKCxdG&#10;LumwlVqlEI4FWmhE+kLrWDXkMc5CT5y4fRg8SjqHWrsBxxTuO70wJtceW04NDfZ011D1uf3yFt52&#10;z7uPsKi793JfPozZ5dOV/Ii152fT7Q0ooUn+xX/uR5fmz5cmW2a5yeH4UwJAr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9WjkyAAAAOMAAAAPAAAAAAAAAAAAAAAAAJgCAABk&#10;cnMvZG93bnJldi54bWxQSwUGAAAAAAQABAD1AAAAjQMAAAAA&#10;" fillcolor="white [3201]" strokecolor="#a5a5a5 [3206]" strokeweight="1pt">
                  <v:textbox>
                    <w:txbxContent>
                      <w:p w14:paraId="55869CD8" w14:textId="77777777" w:rsidR="00FB50A3" w:rsidRPr="00806716" w:rsidRDefault="00FB50A3" w:rsidP="004B74FD">
                        <w:pPr>
                          <w:bidi/>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6A8FA1A0" w14:textId="01DD44BA" w:rsidR="00FB50A3" w:rsidRPr="008B4A5D" w:rsidRDefault="00FB50A3" w:rsidP="004B74FD">
                        <w:pPr>
                          <w:bidi/>
                          <w:jc w:val="center"/>
                          <w:rPr>
                            <w:rFonts w:ascii="Traditional Arabic" w:hAnsi="Traditional Arabic" w:cs="Traditional Arabic"/>
                            <w:b/>
                            <w:bCs/>
                            <w:sz w:val="28"/>
                            <w:szCs w:val="28"/>
                          </w:rPr>
                        </w:pPr>
                        <w:r w:rsidRPr="008B4A5D">
                          <w:rPr>
                            <w:rFonts w:ascii="Traditional Arabic" w:hAnsi="Traditional Arabic" w:cs="Traditional Arabic" w:hint="cs"/>
                            <w:b/>
                            <w:bCs/>
                            <w:sz w:val="28"/>
                            <w:szCs w:val="28"/>
                            <w:rtl/>
                          </w:rPr>
                          <w:t>النضج المؤسسي</w:t>
                        </w:r>
                      </w:p>
                      <w:p w14:paraId="283BF47E" w14:textId="23386D10" w:rsidR="00FB50A3" w:rsidRPr="00806716" w:rsidRDefault="00FB50A3" w:rsidP="002F60B8">
                        <w:pPr>
                          <w:jc w:val="center"/>
                          <w:rPr>
                            <w:rFonts w:ascii="Traditional Arabic" w:hAnsi="Traditional Arabic" w:cs="Traditional Arabic"/>
                            <w:b/>
                            <w:bCs/>
                            <w:sz w:val="28"/>
                            <w:szCs w:val="28"/>
                            <w:rtl/>
                          </w:rPr>
                        </w:pPr>
                      </w:p>
                      <w:p w14:paraId="1A3E00BC" w14:textId="2B203309" w:rsidR="00FB50A3" w:rsidRPr="008B4A5D" w:rsidRDefault="00FB50A3" w:rsidP="008B4A5D">
                        <w:pPr>
                          <w:bidi/>
                          <w:spacing w:line="259" w:lineRule="auto"/>
                          <w:rPr>
                            <w:rFonts w:ascii="Traditional Arabic" w:hAnsi="Traditional Arabic" w:cs="Traditional Arabic"/>
                            <w:sz w:val="28"/>
                            <w:szCs w:val="28"/>
                          </w:rPr>
                        </w:pPr>
                      </w:p>
                    </w:txbxContent>
                  </v:textbox>
                </v:shape>
                <v:shape id="Text Box 2" o:spid="_x0000_s1028" type="#_x0000_t202" style="position:absolute;left:95;top:3816;width:22551;height:23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gGycsA&#10;AADiAAAADwAAAGRycy9kb3ducmV2LnhtbESPQUvDQBSE74L/YXmCN7sxNdbEbosIihehqbVen9nX&#10;JJh9G7LPJvrrXUHwOMzMN8xyPblOHWkIrWcDl7MEFHHlbcu1gd3Lw8UNqCDIFjvPZOCLAqxXpydL&#10;LKwfuaTjVmoVIRwKNNCI9IXWoWrIYZj5njh6Bz84lCiHWtsBxwh3nU6T5Fo7bDkuNNjTfUPVx/bT&#10;GXjdb/bvPq27t/JQPo7Z/PlKvsWY87Pp7haU0CT/4b/2kzWQz9M0y7NFDr+X4h3Qqx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baAbJywAAAOIAAAAPAAAAAAAAAAAAAAAAAJgC&#10;AABkcnMvZG93bnJldi54bWxQSwUGAAAAAAQABAD1AAAAkAMAAAAA&#10;" fillcolor="white [3201]" strokecolor="#a5a5a5 [3206]" strokeweight="1pt">
                  <v:textbox>
                    <w:txbxContent>
                      <w:p w14:paraId="264E7349" w14:textId="45101105" w:rsidR="00FB50A3" w:rsidRDefault="00FB50A3" w:rsidP="004B74FD">
                        <w:pPr>
                          <w:bidi/>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 xml:space="preserve">تابع: </w:t>
                        </w:r>
                        <w:r w:rsidRPr="008B4A5D">
                          <w:rPr>
                            <w:rFonts w:ascii="Traditional Arabic" w:hAnsi="Traditional Arabic" w:cs="Traditional Arabic" w:hint="cs"/>
                            <w:b/>
                            <w:bCs/>
                            <w:sz w:val="28"/>
                            <w:szCs w:val="28"/>
                            <w:rtl/>
                          </w:rPr>
                          <w:t xml:space="preserve">مراقبة </w:t>
                        </w:r>
                        <w:r>
                          <w:rPr>
                            <w:rFonts w:ascii="Traditional Arabic" w:hAnsi="Traditional Arabic" w:cs="Traditional Arabic" w:hint="cs"/>
                            <w:b/>
                            <w:bCs/>
                            <w:sz w:val="28"/>
                            <w:szCs w:val="28"/>
                            <w:rtl/>
                          </w:rPr>
                          <w:t>الأداء</w:t>
                        </w:r>
                      </w:p>
                      <w:p w14:paraId="2DA6A560" w14:textId="77777777" w:rsidR="00FB50A3" w:rsidRPr="008B4A5D" w:rsidRDefault="00FB50A3" w:rsidP="004B74FD">
                        <w:pPr>
                          <w:numPr>
                            <w:ilvl w:val="0"/>
                            <w:numId w:val="5"/>
                          </w:numPr>
                          <w:bidi/>
                          <w:jc w:val="both"/>
                          <w:rPr>
                            <w:rFonts w:ascii="Traditional Arabic" w:hAnsi="Traditional Arabic" w:cs="Traditional Arabic"/>
                            <w:b/>
                            <w:bCs/>
                            <w:sz w:val="28"/>
                            <w:szCs w:val="28"/>
                          </w:rPr>
                        </w:pPr>
                        <w:r w:rsidRPr="008B4A5D">
                          <w:rPr>
                            <w:rFonts w:ascii="Traditional Arabic" w:hAnsi="Traditional Arabic" w:cs="Traditional Arabic" w:hint="cs"/>
                            <w:b/>
                            <w:bCs/>
                            <w:sz w:val="28"/>
                            <w:szCs w:val="28"/>
                            <w:rtl/>
                          </w:rPr>
                          <w:t xml:space="preserve"> </w:t>
                        </w:r>
                        <w:r w:rsidRPr="008B4A5D">
                          <w:rPr>
                            <w:rFonts w:ascii="Traditional Arabic" w:hAnsi="Traditional Arabic" w:cs="Traditional Arabic"/>
                            <w:b/>
                            <w:bCs/>
                            <w:sz w:val="28"/>
                            <w:szCs w:val="28"/>
                            <w:rtl/>
                          </w:rPr>
                          <w:t xml:space="preserve">دقة قياس الأداء </w:t>
                        </w:r>
                      </w:p>
                      <w:p w14:paraId="6D231A9B" w14:textId="77777777" w:rsidR="00FB50A3" w:rsidRPr="008B4A5D" w:rsidRDefault="00FB50A3" w:rsidP="004B74FD">
                        <w:pPr>
                          <w:numPr>
                            <w:ilvl w:val="0"/>
                            <w:numId w:val="5"/>
                          </w:numPr>
                          <w:bidi/>
                          <w:jc w:val="both"/>
                          <w:rPr>
                            <w:rFonts w:ascii="Traditional Arabic" w:hAnsi="Traditional Arabic" w:cs="Traditional Arabic"/>
                            <w:b/>
                            <w:bCs/>
                            <w:sz w:val="28"/>
                            <w:szCs w:val="28"/>
                          </w:rPr>
                        </w:pPr>
                        <w:r w:rsidRPr="008B4A5D">
                          <w:rPr>
                            <w:rFonts w:ascii="Traditional Arabic" w:hAnsi="Traditional Arabic" w:cs="Traditional Arabic"/>
                            <w:b/>
                            <w:bCs/>
                            <w:sz w:val="28"/>
                            <w:szCs w:val="28"/>
                            <w:rtl/>
                          </w:rPr>
                          <w:t xml:space="preserve">جودة البيانات المستخدمة في التقييم </w:t>
                        </w:r>
                      </w:p>
                      <w:p w14:paraId="76C09821" w14:textId="77777777" w:rsidR="00FB50A3" w:rsidRPr="008B4A5D" w:rsidRDefault="00FB50A3" w:rsidP="004B74FD">
                        <w:pPr>
                          <w:numPr>
                            <w:ilvl w:val="0"/>
                            <w:numId w:val="5"/>
                          </w:numPr>
                          <w:bidi/>
                          <w:jc w:val="both"/>
                          <w:rPr>
                            <w:rFonts w:ascii="Traditional Arabic" w:hAnsi="Traditional Arabic" w:cs="Traditional Arabic"/>
                            <w:b/>
                            <w:bCs/>
                            <w:sz w:val="28"/>
                            <w:szCs w:val="28"/>
                          </w:rPr>
                        </w:pPr>
                        <w:r w:rsidRPr="008B4A5D">
                          <w:rPr>
                            <w:rFonts w:ascii="Traditional Arabic" w:hAnsi="Traditional Arabic" w:cs="Traditional Arabic"/>
                            <w:b/>
                            <w:bCs/>
                            <w:sz w:val="28"/>
                            <w:szCs w:val="28"/>
                            <w:rtl/>
                          </w:rPr>
                          <w:t>فعالية التقارير الرقابية</w:t>
                        </w:r>
                      </w:p>
                      <w:p w14:paraId="48F707FE" w14:textId="55991283" w:rsidR="00FB50A3" w:rsidRPr="008B4A5D" w:rsidRDefault="00FB50A3" w:rsidP="008B4A5D">
                        <w:pPr>
                          <w:jc w:val="center"/>
                          <w:rPr>
                            <w:rFonts w:ascii="Traditional Arabic" w:hAnsi="Traditional Arabic" w:cs="Traditional Arabic"/>
                            <w:b/>
                            <w:bCs/>
                            <w:sz w:val="28"/>
                            <w:szCs w:val="28"/>
                            <w:rtl/>
                          </w:rPr>
                        </w:pPr>
                      </w:p>
                      <w:p w14:paraId="5B2C2E3F" w14:textId="77777777" w:rsidR="00FB50A3" w:rsidRPr="00806716" w:rsidRDefault="00FB50A3" w:rsidP="002F60B8">
                        <w:pPr>
                          <w:jc w:val="center"/>
                          <w:rPr>
                            <w:rFonts w:ascii="Traditional Arabic" w:hAnsi="Traditional Arabic" w:cs="Traditional Arabic"/>
                            <w:b/>
                            <w:bCs/>
                            <w:sz w:val="28"/>
                            <w:szCs w:val="28"/>
                          </w:rPr>
                        </w:pPr>
                      </w:p>
                    </w:txbxContent>
                  </v:textbox>
                </v:shape>
                <w10:wrap anchorx="margin"/>
              </v:group>
            </w:pict>
          </mc:Fallback>
        </mc:AlternateContent>
      </w:r>
    </w:p>
    <w:p w14:paraId="16CCF3EE" w14:textId="77777777" w:rsidR="00D6040F" w:rsidRPr="009A3EF4" w:rsidRDefault="00D6040F" w:rsidP="00FA5AF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9A3EF4" w:rsidRDefault="00D6040F" w:rsidP="00FA5AF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7E0A852" w14:textId="77777777" w:rsidR="00D6040F" w:rsidRPr="009A3EF4" w:rsidRDefault="00D6040F" w:rsidP="00FA5AF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302FD8B" w14:textId="77777777" w:rsidR="004B74FD" w:rsidRPr="009A3EF4" w:rsidRDefault="004B74FD" w:rsidP="004B74FD">
      <w:pPr>
        <w:bidi/>
        <w:spacing w:before="100" w:beforeAutospacing="1" w:after="100" w:afterAutospacing="1" w:line="360" w:lineRule="auto"/>
        <w:jc w:val="both"/>
        <w:rPr>
          <w:rFonts w:ascii="Sakkal Majalla" w:eastAsia="Calibri" w:hAnsi="Sakkal Majalla" w:cs="Sakkal Majalla"/>
          <w:color w:val="000000" w:themeColor="text1"/>
          <w:sz w:val="8"/>
          <w:szCs w:val="8"/>
          <w:rtl/>
          <w:lang w:bidi="ar-EG"/>
        </w:rPr>
      </w:pPr>
    </w:p>
    <w:p w14:paraId="40A61B38" w14:textId="7EF2C620" w:rsidR="00D6040F" w:rsidRPr="009A3EF4" w:rsidRDefault="004B74FD" w:rsidP="004B74F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11869369"/>
      <w:r w:rsidRPr="009A3EF4">
        <w:rPr>
          <w:rFonts w:ascii="Sakkal Majalla" w:eastAsia="Calibri" w:hAnsi="Sakkal Majalla" w:cs="Sakkal Majalla"/>
          <w:b/>
          <w:bCs/>
          <w:color w:val="000000" w:themeColor="text1"/>
          <w:sz w:val="36"/>
          <w:szCs w:val="36"/>
          <w:rtl/>
          <w:lang w:bidi="ar-EG"/>
        </w:rPr>
        <w:t>8.1 دراسات سابقة</w:t>
      </w:r>
      <w:bookmarkEnd w:id="17"/>
    </w:p>
    <w:p w14:paraId="10A3B552" w14:textId="6FA7BC43" w:rsidR="00B77447" w:rsidRPr="009A3EF4" w:rsidRDefault="00B77447" w:rsidP="004B74FD">
      <w:pPr>
        <w:pStyle w:val="a6"/>
        <w:numPr>
          <w:ilvl w:val="0"/>
          <w:numId w:val="1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9A3EF4">
        <w:rPr>
          <w:rFonts w:ascii="Sakkal Majalla" w:eastAsia="Calibri" w:hAnsi="Sakkal Majalla" w:cs="Sakkal Majalla"/>
          <w:b/>
          <w:bCs/>
          <w:color w:val="000000" w:themeColor="text1"/>
          <w:sz w:val="28"/>
          <w:szCs w:val="28"/>
          <w:rtl/>
          <w:lang w:bidi="ar-EG"/>
        </w:rPr>
        <w:t>دراسة (الزواهرة، 2020) بعنوان:</w:t>
      </w:r>
      <w:r w:rsidR="004B74FD" w:rsidRPr="009A3EF4">
        <w:rPr>
          <w:rFonts w:ascii="Sakkal Majalla" w:eastAsia="Calibri" w:hAnsi="Sakkal Majalla" w:cs="Sakkal Majalla" w:hint="cs"/>
          <w:b/>
          <w:bCs/>
          <w:color w:val="000000" w:themeColor="text1"/>
          <w:sz w:val="28"/>
          <w:szCs w:val="28"/>
          <w:rtl/>
          <w:lang w:bidi="ar-EG"/>
        </w:rPr>
        <w:t xml:space="preserve"> </w:t>
      </w:r>
      <w:r w:rsidRPr="009A3EF4">
        <w:rPr>
          <w:rFonts w:ascii="Sakkal Majalla" w:eastAsia="Calibri" w:hAnsi="Sakkal Majalla" w:cs="Sakkal Majalla"/>
          <w:b/>
          <w:bCs/>
          <w:color w:val="000000" w:themeColor="text1"/>
          <w:sz w:val="28"/>
          <w:szCs w:val="28"/>
          <w:rtl/>
          <w:lang w:bidi="ar-EG"/>
        </w:rPr>
        <w:t>تقييم مستوى تطبيق الرقابة الإدارية في بلدية الزرقاء الكبرى</w:t>
      </w:r>
    </w:p>
    <w:p w14:paraId="02F6F085" w14:textId="2C6CB70C" w:rsidR="00B77447" w:rsidRPr="009A3EF4" w:rsidRDefault="00B77447" w:rsidP="004B74FD">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هدفت هذه الدراسة إلى التعرف على مستوى تطبيق الرقابة الإدارية بأبعادها (تحديد معايير الأداء، قياس الأداء الفعلي، مقارنة الأداء بالمعايير، تصحيح الأخطاء والانحرافات) في بلدية الزرقاء الكبرى. ولتحقيق أهداف الدراسة، تم استخدام المنهج الوصفي التحليلي. قام الباحث بتوزيع (500) استبانة، وتم استرجاع (425) استبانة. وبعد مراجعة الاستبانات، تبين وجود (16) استبانة غير صالحة للتحليل الإحصائي. وبناءً على ذلك، تكونت عينة الدراسة من (409) موظفًا وموظفة تم اختيارهم بطريقة عشوائية. وتم استخدام الاستبانة لجمع البيانات، وبرنامج (</w:t>
      </w:r>
      <w:r w:rsidRPr="009A3EF4">
        <w:rPr>
          <w:rFonts w:ascii="Sakkal Majalla" w:eastAsia="Calibri" w:hAnsi="Sakkal Majalla" w:cs="Sakkal Majalla"/>
          <w:color w:val="000000" w:themeColor="text1"/>
          <w:sz w:val="28"/>
          <w:szCs w:val="28"/>
          <w:lang w:bidi="ar-EG"/>
        </w:rPr>
        <w:t>SPSS</w:t>
      </w:r>
      <w:r w:rsidRPr="009A3EF4">
        <w:rPr>
          <w:rFonts w:ascii="Sakkal Majalla" w:eastAsia="Calibri" w:hAnsi="Sakkal Majalla" w:cs="Sakkal Majalla"/>
          <w:color w:val="000000" w:themeColor="text1"/>
          <w:sz w:val="28"/>
          <w:szCs w:val="28"/>
          <w:rtl/>
          <w:lang w:bidi="ar-EG"/>
        </w:rPr>
        <w:t xml:space="preserve">) لتحليل بيانات الدراسة. وقد أظهرت الدراسة عدة نتائج، منها: وجود مستوى مرتفع لعملية الرقابة الإدارية فيما يتعلق بقياس الأداء الفعلي في بلدية الزرقاء من وجهة نظر موظفيها. وجود مستوى متوسط </w:t>
      </w:r>
      <w:r w:rsidRPr="009A3EF4">
        <w:rPr>
          <w:rFonts w:ascii="Times New Roman" w:eastAsia="Calibri" w:hAnsi="Times New Roman" w:cs="Times New Roman" w:hint="cs"/>
          <w:color w:val="000000" w:themeColor="text1"/>
          <w:sz w:val="28"/>
          <w:szCs w:val="28"/>
          <w:rtl/>
          <w:lang w:bidi="ar-EG"/>
        </w:rPr>
        <w:t>​​</w:t>
      </w:r>
      <w:r w:rsidRPr="009A3EF4">
        <w:rPr>
          <w:rFonts w:ascii="Sakkal Majalla" w:eastAsia="Calibri" w:hAnsi="Sakkal Majalla" w:cs="Sakkal Majalla"/>
          <w:color w:val="000000" w:themeColor="text1"/>
          <w:sz w:val="28"/>
          <w:szCs w:val="28"/>
          <w:rtl/>
          <w:lang w:bidi="ar-EG"/>
        </w:rPr>
        <w:t xml:space="preserve">لعملية الرقابة الإدارية فيما يتعلق بقياس الأداء الفعلي في بلدية الزرقاء من وجهة نظر موظفيها. يوجد مستوى متوسط </w:t>
      </w:r>
      <w:r w:rsidRPr="009A3EF4">
        <w:rPr>
          <w:rFonts w:ascii="Times New Roman" w:eastAsia="Calibri" w:hAnsi="Times New Roman" w:cs="Times New Roman" w:hint="cs"/>
          <w:color w:val="000000" w:themeColor="text1"/>
          <w:sz w:val="28"/>
          <w:szCs w:val="28"/>
          <w:rtl/>
          <w:lang w:bidi="ar-EG"/>
        </w:rPr>
        <w:t>​​</w:t>
      </w:r>
      <w:r w:rsidRPr="009A3EF4">
        <w:rPr>
          <w:rFonts w:ascii="Sakkal Majalla" w:eastAsia="Calibri" w:hAnsi="Sakkal Majalla" w:cs="Sakkal Majalla"/>
          <w:color w:val="000000" w:themeColor="text1"/>
          <w:sz w:val="28"/>
          <w:szCs w:val="28"/>
          <w:rtl/>
          <w:lang w:bidi="ar-EG"/>
        </w:rPr>
        <w:t>لعملية الرقابة الإدارية فيما يتعلق بقياس الأداء الفعلي في بلدية الزرقاء من وجهة نظر موظفيها. وأوصت الدراسة بمجموعة من التوصيات، أبرزها: ضرورة تصميم أنظمة رقابة داخلية لضمان استمرارية عمليات الرقابة كجزء من العمليات الداخلية في البلدية، وزيادة الاهتمام بإعداد الخطط. استراتيجية ذات أثر إيجابي على معايير الأداء في بلدية الزرقاء.</w:t>
      </w:r>
    </w:p>
    <w:p w14:paraId="095B2BC4" w14:textId="2569C0ED" w:rsidR="00B77447" w:rsidRPr="009A3EF4" w:rsidRDefault="00B77447" w:rsidP="004B74FD">
      <w:pPr>
        <w:pStyle w:val="a6"/>
        <w:numPr>
          <w:ilvl w:val="0"/>
          <w:numId w:val="1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9A3EF4">
        <w:rPr>
          <w:rFonts w:ascii="Sakkal Majalla" w:eastAsia="Calibri" w:hAnsi="Sakkal Majalla" w:cs="Sakkal Majalla"/>
          <w:b/>
          <w:bCs/>
          <w:color w:val="000000" w:themeColor="text1"/>
          <w:sz w:val="28"/>
          <w:szCs w:val="28"/>
          <w:rtl/>
          <w:lang w:bidi="ar-EG"/>
        </w:rPr>
        <w:t>دراسة (هزيم، 2020) بعنوان:</w:t>
      </w:r>
      <w:r w:rsidR="004B74FD" w:rsidRPr="009A3EF4">
        <w:rPr>
          <w:rFonts w:ascii="Sakkal Majalla" w:eastAsia="Calibri" w:hAnsi="Sakkal Majalla" w:cs="Sakkal Majalla" w:hint="cs"/>
          <w:b/>
          <w:bCs/>
          <w:color w:val="000000" w:themeColor="text1"/>
          <w:sz w:val="28"/>
          <w:szCs w:val="28"/>
          <w:rtl/>
          <w:lang w:bidi="ar-EG"/>
        </w:rPr>
        <w:t xml:space="preserve"> </w:t>
      </w:r>
      <w:r w:rsidRPr="009A3EF4">
        <w:rPr>
          <w:rFonts w:ascii="Sakkal Majalla" w:eastAsia="Calibri" w:hAnsi="Sakkal Majalla" w:cs="Sakkal Majalla"/>
          <w:b/>
          <w:bCs/>
          <w:color w:val="000000" w:themeColor="text1"/>
          <w:sz w:val="28"/>
          <w:szCs w:val="28"/>
          <w:rtl/>
          <w:lang w:bidi="ar-EG"/>
        </w:rPr>
        <w:t>أثر توفير مكونات الرقابة الداخلية على التدقيق التشغيلي في شركات التأمين المساهمة الأردنية</w:t>
      </w:r>
    </w:p>
    <w:p w14:paraId="0E7088AB" w14:textId="24D668D1" w:rsidR="00B77447" w:rsidRPr="009A3EF4" w:rsidRDefault="00B77447" w:rsidP="004B74FD">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هدفت الدراسة إلى التعرف على اثر توفر مكونات الرقابة الداخلية والتي تشمل (بيئة الرقابة، تقييم المخاطر، الأنشطة الرقابية، المعلومات والاتصالات، المراقبة) وفق مقررات اللجنة الراعية (</w:t>
      </w:r>
      <w:r w:rsidRPr="009A3EF4">
        <w:rPr>
          <w:rFonts w:ascii="Sakkal Majalla" w:eastAsia="Calibri" w:hAnsi="Sakkal Majalla" w:cs="Sakkal Majalla"/>
          <w:color w:val="000000" w:themeColor="text1"/>
          <w:sz w:val="28"/>
          <w:szCs w:val="28"/>
          <w:lang w:bidi="ar-EG"/>
        </w:rPr>
        <w:t>COSO</w:t>
      </w:r>
      <w:r w:rsidRPr="009A3EF4">
        <w:rPr>
          <w:rFonts w:ascii="Sakkal Majalla" w:eastAsia="Calibri" w:hAnsi="Sakkal Majalla" w:cs="Sakkal Majalla"/>
          <w:color w:val="000000" w:themeColor="text1"/>
          <w:sz w:val="28"/>
          <w:szCs w:val="28"/>
          <w:rtl/>
          <w:lang w:bidi="ar-EG"/>
        </w:rPr>
        <w:t xml:space="preserve">) على التدقيق التشغيلي في شركات التأمين المساهمة الأردنية والبالغ عددها (25) شركة، حيث قام الباحث بجمع البيانات الأولية من مجتمع الدراسة المكون من شركات التأمين المساهمة الأردنية، من خلال استبيان أجاب عليه العاملين في وحدات التدقيق والرقابة في تلك الشركات، أما البيانات الثانونية فقد تم الحصول عليها من الكتب والدراسات السابقة، واستخدم الباحث الأسلوب التحليلي والوصفي، كما استخدم أساليب الإحصاء الوصفية وتحليل الانحدار في تحليل لبيانات واختبار الفرضيات. توصلت الدراسة إلى توفر مكونات الرقابة الداخلية بجميع أبعادها، وكذلك توفر ممارسات التدقيق التشغيلي وان هناك أثر لكل مكون من مكونات الرقابة الداخلية على التدقيق التشغيلي، حيث كان هناك أثر لكل من (بيئة الرقابة، تقييم المخاطر، الأنشطة الرقابية، المعلومات والاتصالات، المراقبة) على التدقيق التشغيلي في شركات التأمين المساهمة الأردنية. أوصت الدراسة بحث الإدارات في شركات التأمين المساهمة الأردنية بالعمل على مراجعة وتقييم مستوى توفر مكونات الرقابة الداخلية، والعمل على رفع مستواها لتتناسب مع المتطلبات الحديثة الواجب توفرها وفق الإطار العام للجنة المنظمات الراعية </w:t>
      </w:r>
      <w:r w:rsidRPr="009A3EF4">
        <w:rPr>
          <w:rFonts w:ascii="Sakkal Majalla" w:eastAsia="Calibri" w:hAnsi="Sakkal Majalla" w:cs="Sakkal Majalla"/>
          <w:color w:val="000000" w:themeColor="text1"/>
          <w:sz w:val="28"/>
          <w:szCs w:val="28"/>
          <w:lang w:bidi="ar-EG"/>
        </w:rPr>
        <w:t>COSO</w:t>
      </w:r>
      <w:r w:rsidRPr="009A3EF4">
        <w:rPr>
          <w:rFonts w:ascii="Sakkal Majalla" w:eastAsia="Calibri" w:hAnsi="Sakkal Majalla" w:cs="Sakkal Majalla"/>
          <w:color w:val="000000" w:themeColor="text1"/>
          <w:sz w:val="28"/>
          <w:szCs w:val="28"/>
          <w:rtl/>
          <w:lang w:bidi="ar-EG"/>
        </w:rPr>
        <w:t>، وتشجيع المدققين الداخليين لتقديم مقترحات تعمل على تحسين إدراك الإدارات العليا في شركات التأمين المساهمة الأردنية، بأهمية ممارسة التدقيق التشغيلي، وان يتم إدراجه ضمن مهامهم التدقيقية، وعدم تركيز وحصر مهامهم في التدقيق المالي.</w:t>
      </w:r>
    </w:p>
    <w:p w14:paraId="47371C04" w14:textId="149E1B41" w:rsidR="00B77447" w:rsidRPr="009A3EF4" w:rsidRDefault="00B77447" w:rsidP="004B74FD">
      <w:pPr>
        <w:pStyle w:val="a6"/>
        <w:numPr>
          <w:ilvl w:val="0"/>
          <w:numId w:val="1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9A3EF4">
        <w:rPr>
          <w:rFonts w:ascii="Sakkal Majalla" w:eastAsia="Calibri" w:hAnsi="Sakkal Majalla" w:cs="Sakkal Majalla"/>
          <w:b/>
          <w:bCs/>
          <w:color w:val="000000" w:themeColor="text1"/>
          <w:sz w:val="28"/>
          <w:szCs w:val="28"/>
          <w:rtl/>
          <w:lang w:bidi="ar-EG"/>
        </w:rPr>
        <w:t>دراسة (بيات، 2019) بعنوان:</w:t>
      </w:r>
      <w:r w:rsidR="004B74FD" w:rsidRPr="009A3EF4">
        <w:rPr>
          <w:rFonts w:ascii="Sakkal Majalla" w:eastAsia="Calibri" w:hAnsi="Sakkal Majalla" w:cs="Sakkal Majalla" w:hint="cs"/>
          <w:b/>
          <w:bCs/>
          <w:color w:val="000000" w:themeColor="text1"/>
          <w:sz w:val="28"/>
          <w:szCs w:val="28"/>
          <w:rtl/>
          <w:lang w:bidi="ar-EG"/>
        </w:rPr>
        <w:t xml:space="preserve"> </w:t>
      </w:r>
      <w:r w:rsidRPr="009A3EF4">
        <w:rPr>
          <w:rFonts w:ascii="Sakkal Majalla" w:eastAsia="Calibri" w:hAnsi="Sakkal Majalla" w:cs="Sakkal Majalla"/>
          <w:b/>
          <w:bCs/>
          <w:color w:val="000000" w:themeColor="text1"/>
          <w:sz w:val="28"/>
          <w:szCs w:val="28"/>
          <w:rtl/>
          <w:lang w:bidi="ar-EG"/>
        </w:rPr>
        <w:t xml:space="preserve">فعالية التصريح الالكتروني على الأداء الجبائي في المؤسسات الاقتصادية: دراسة حالة المؤسسة الوطنية لخدمات الآبار </w:t>
      </w:r>
      <w:r w:rsidRPr="009A3EF4">
        <w:rPr>
          <w:rFonts w:ascii="Sakkal Majalla" w:eastAsia="Calibri" w:hAnsi="Sakkal Majalla" w:cs="Sakkal Majalla"/>
          <w:b/>
          <w:bCs/>
          <w:color w:val="000000" w:themeColor="text1"/>
          <w:sz w:val="28"/>
          <w:szCs w:val="28"/>
          <w:lang w:bidi="ar-EG"/>
        </w:rPr>
        <w:t>ENSP</w:t>
      </w:r>
    </w:p>
    <w:p w14:paraId="7817A2E9" w14:textId="77777777" w:rsidR="00B77447" w:rsidRPr="009A3EF4" w:rsidRDefault="00B77447" w:rsidP="004B74FD">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9A3EF4">
        <w:rPr>
          <w:rFonts w:ascii="Sakkal Majalla" w:eastAsia="Calibri" w:hAnsi="Sakkal Majalla" w:cs="Sakkal Majalla"/>
          <w:color w:val="000000" w:themeColor="text1"/>
          <w:sz w:val="28"/>
          <w:szCs w:val="28"/>
          <w:rtl/>
          <w:lang w:bidi="ar-EG"/>
        </w:rPr>
        <w:t xml:space="preserve">هدفت هذه الدراسة إلى توضيح فعالية الإقرار الإلكتروني على الأداء الضريبي في المؤسسة الوطنية لخدمات الآبار للفترة من 2013 إلى 2017. حلّلت الدراسة الوضع الضريبي، وتناولت إجراءات الإقرار الإلكتروني للمؤسسة، واستخدمت مؤشرات ضريبية، بما في ذلك الالتزامات الضريبية والرسوم. وخلصت الدراسة إلى اعتماد المؤسسة كليًا على الإقرار الإلكتروني في جميع التزاماتها الضريبية. كما خلصت إلى تحسن الأداء الضريبي للمؤسسة على مدار سنوات الدراسة، حيث تمكنت من رصد وتقدير العبء الضريبي والاستفادة من الخيارات التي يوفرها النظام الضريبي. </w:t>
      </w:r>
    </w:p>
    <w:p w14:paraId="757D9A91" w14:textId="2ABD127C" w:rsidR="00B77447" w:rsidRPr="009A3EF4" w:rsidRDefault="00B77447" w:rsidP="004B74FD">
      <w:pPr>
        <w:pStyle w:val="a6"/>
        <w:numPr>
          <w:ilvl w:val="0"/>
          <w:numId w:val="1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9A3EF4">
        <w:rPr>
          <w:rFonts w:ascii="Sakkal Majalla" w:eastAsia="Calibri" w:hAnsi="Sakkal Majalla" w:cs="Sakkal Majalla"/>
          <w:b/>
          <w:bCs/>
          <w:color w:val="000000" w:themeColor="text1"/>
          <w:sz w:val="28"/>
          <w:szCs w:val="28"/>
          <w:rtl/>
          <w:lang w:bidi="ar-EG"/>
        </w:rPr>
        <w:t xml:space="preserve">دراسة (مصلح، 2020) بعنوان: </w:t>
      </w:r>
    </w:p>
    <w:p w14:paraId="31C2189D" w14:textId="3B135EBD" w:rsidR="00B77447" w:rsidRPr="009A3EF4" w:rsidRDefault="00B77447" w:rsidP="004B74FD">
      <w:pPr>
        <w:spacing w:before="100" w:beforeAutospacing="1" w:after="100" w:afterAutospacing="1" w:line="360" w:lineRule="auto"/>
        <w:ind w:right="702" w:firstLine="709"/>
        <w:jc w:val="both"/>
        <w:rPr>
          <w:rFonts w:ascii="Sakkal Majalla" w:eastAsia="Calibri" w:hAnsi="Sakkal Majalla" w:cs="Sakkal Majalla"/>
          <w:b/>
          <w:bCs/>
          <w:color w:val="000000" w:themeColor="text1"/>
          <w:sz w:val="28"/>
          <w:szCs w:val="28"/>
          <w:rtl/>
          <w:lang w:bidi="ar-EG"/>
        </w:rPr>
      </w:pPr>
      <w:r w:rsidRPr="009A3EF4">
        <w:rPr>
          <w:rFonts w:ascii="Sakkal Majalla" w:eastAsia="Calibri" w:hAnsi="Sakkal Majalla" w:cs="Sakkal Majalla"/>
          <w:b/>
          <w:bCs/>
          <w:color w:val="000000" w:themeColor="text1"/>
          <w:sz w:val="28"/>
          <w:szCs w:val="28"/>
          <w:lang w:bidi="ar-EG"/>
        </w:rPr>
        <w:t>Application of Earned Value Management "EVM" Technique on Measurement the Performance, Monitoring and Forecast Assessment of Construction Projects in Gaza Strip</w:t>
      </w:r>
    </w:p>
    <w:p w14:paraId="2D6BEC89" w14:textId="065D366D" w:rsidR="00C05AE1" w:rsidRPr="009A3EF4" w:rsidRDefault="000765C4" w:rsidP="004B74FD">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تهدف الدراسة إلى تقييم مدى تطبيق تقنية إدارة القيمة المكتسبة (</w:t>
      </w:r>
      <w:r w:rsidRPr="009A3EF4">
        <w:rPr>
          <w:rFonts w:ascii="Sakkal Majalla" w:eastAsia="Calibri" w:hAnsi="Sakkal Majalla" w:cs="Sakkal Majalla"/>
          <w:color w:val="000000" w:themeColor="text1"/>
          <w:sz w:val="28"/>
          <w:szCs w:val="28"/>
          <w:lang w:bidi="ar-EG"/>
        </w:rPr>
        <w:t>EVM</w:t>
      </w:r>
      <w:r w:rsidRPr="009A3EF4">
        <w:rPr>
          <w:rFonts w:ascii="Sakkal Majalla" w:eastAsia="Calibri" w:hAnsi="Sakkal Majalla" w:cs="Sakkal Majalla"/>
          <w:color w:val="000000" w:themeColor="text1"/>
          <w:sz w:val="28"/>
          <w:szCs w:val="28"/>
          <w:rtl/>
          <w:lang w:bidi="ar-EG"/>
        </w:rPr>
        <w:t>) في قياس الأداء ورصده وتقييمه في قطاع مشاريع البناء في قطاع غزة. ولتحقيق هذا الهدف، تم تحديد أهداف فرعية أخرى، وهي: تقييم العلاقة بين تقنية إدارة القيمة المكتسبة وأداء مشاريع البناء في قطاع غزة، ودراسة العوامل التي تعزز تطبيقها في قطاع غزة، وتحديد العوامل التي تعيق وتمنع استخدام وتطبيق تقنية إدارة القيمة المكتسبة في قطاع غزة. ويتحقق ذلك من خلال جمع المعلومات الأساسية من مديري المشاريع والمهندسين المعماريين والمهندسين والاستشاريين والخبراء، وتحليل آرائهم حول تطبيق تقنية إدارة القيمة المكتسبة (</w:t>
      </w:r>
      <w:r w:rsidRPr="009A3EF4">
        <w:rPr>
          <w:rFonts w:ascii="Sakkal Majalla" w:eastAsia="Calibri" w:hAnsi="Sakkal Majalla" w:cs="Sakkal Majalla"/>
          <w:color w:val="000000" w:themeColor="text1"/>
          <w:sz w:val="28"/>
          <w:szCs w:val="28"/>
          <w:lang w:bidi="ar-EG"/>
        </w:rPr>
        <w:t>EVM</w:t>
      </w:r>
      <w:r w:rsidRPr="009A3EF4">
        <w:rPr>
          <w:rFonts w:ascii="Sakkal Majalla" w:eastAsia="Calibri" w:hAnsi="Sakkal Majalla" w:cs="Sakkal Majalla"/>
          <w:color w:val="000000" w:themeColor="text1"/>
          <w:sz w:val="28"/>
          <w:szCs w:val="28"/>
          <w:rtl/>
          <w:lang w:bidi="ar-EG"/>
        </w:rPr>
        <w:t>) في قياس أداء مشاريع البناء في قطاع غزة.</w:t>
      </w:r>
    </w:p>
    <w:p w14:paraId="6CE948D7" w14:textId="7BA5E42E" w:rsidR="000765C4" w:rsidRPr="009A3EF4" w:rsidRDefault="000765C4" w:rsidP="004B74FD">
      <w:pPr>
        <w:pStyle w:val="a6"/>
        <w:numPr>
          <w:ilvl w:val="0"/>
          <w:numId w:val="1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9A3EF4">
        <w:rPr>
          <w:rFonts w:ascii="Sakkal Majalla" w:eastAsia="Calibri" w:hAnsi="Sakkal Majalla" w:cs="Sakkal Majalla"/>
          <w:b/>
          <w:bCs/>
          <w:color w:val="000000" w:themeColor="text1"/>
          <w:sz w:val="28"/>
          <w:szCs w:val="28"/>
          <w:rtl/>
          <w:lang w:bidi="ar-EG"/>
        </w:rPr>
        <w:t>دراسة (الشرعة، 2019) بعنوان:</w:t>
      </w:r>
    </w:p>
    <w:p w14:paraId="10F24E08" w14:textId="543F455F" w:rsidR="000765C4" w:rsidRPr="009A3EF4" w:rsidRDefault="000765C4" w:rsidP="00FA5AFD">
      <w:pPr>
        <w:spacing w:before="100" w:beforeAutospacing="1" w:after="100" w:afterAutospacing="1" w:line="360" w:lineRule="auto"/>
        <w:ind w:right="702"/>
        <w:jc w:val="both"/>
        <w:rPr>
          <w:rFonts w:ascii="Sakkal Majalla" w:eastAsia="Calibri" w:hAnsi="Sakkal Majalla" w:cs="Sakkal Majalla"/>
          <w:b/>
          <w:bCs/>
          <w:color w:val="000000" w:themeColor="text1"/>
          <w:sz w:val="28"/>
          <w:szCs w:val="28"/>
          <w:rtl/>
          <w:lang w:bidi="ar-EG"/>
        </w:rPr>
      </w:pPr>
      <w:r w:rsidRPr="009A3EF4">
        <w:rPr>
          <w:rFonts w:ascii="Sakkal Majalla" w:eastAsia="Calibri" w:hAnsi="Sakkal Majalla" w:cs="Sakkal Majalla"/>
          <w:b/>
          <w:bCs/>
          <w:color w:val="000000" w:themeColor="text1"/>
          <w:sz w:val="28"/>
          <w:szCs w:val="28"/>
          <w:lang w:bidi="ar-EG"/>
        </w:rPr>
        <w:t>Modeling Learning Curves for Constructional Work Activities in Jordan</w:t>
      </w:r>
    </w:p>
    <w:p w14:paraId="51156AE2" w14:textId="6CC2F33E" w:rsidR="000765C4" w:rsidRPr="009A3EF4" w:rsidRDefault="000765C4" w:rsidP="004B74FD">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 xml:space="preserve">هدفت الدراسة إلى قياس تحسن إنتاجية العمال في عمليات البناء المتكررة، بالإضافة إلى تحديد منحنى التعلم لعدد من الأنشطة المختارة. كان من الضروري توضيح العوامل المؤثرة على إنتاجية العمال. تم استخدام استراتيجيتين بحثيتين في هذه الدراسة. كانت الأولى مسحًا ميدانيًا، باختيار موقعين للدراسة وخمس مهام عمل. تم قياس الوقت اللازم لإنجاز كل مهمة لحساب إنتاجية العامل لكل مهمة، ثم حساب متوسط </w:t>
      </w:r>
      <w:r w:rsidRPr="009A3EF4">
        <w:rPr>
          <w:rFonts w:ascii="Times New Roman" w:eastAsia="Calibri" w:hAnsi="Times New Roman" w:cs="Times New Roman" w:hint="cs"/>
          <w:color w:val="000000" w:themeColor="text1"/>
          <w:sz w:val="28"/>
          <w:szCs w:val="28"/>
          <w:rtl/>
          <w:lang w:bidi="ar-EG"/>
        </w:rPr>
        <w:t>​​</w:t>
      </w:r>
      <w:r w:rsidRPr="009A3EF4">
        <w:rPr>
          <w:rFonts w:ascii="Sakkal Majalla" w:eastAsia="Calibri" w:hAnsi="Sakkal Majalla" w:cs="Sakkal Majalla"/>
          <w:color w:val="000000" w:themeColor="text1"/>
          <w:sz w:val="28"/>
          <w:szCs w:val="28"/>
          <w:rtl/>
          <w:lang w:bidi="ar-EG"/>
        </w:rPr>
        <w:t>الوقت اللازم لإنجازها. تم تحقيق ذلك من خلال مراقبة أداء العمال باستخدام ساعة توقيت. كما أجريت مقابلات مع عدد من المتخصصين في إدارة المشاريع والمهندسين والمقاولين. تضمنت الاستراتيجية الثانية تطوير استبيان تم توزيعه على 140 مهندسًا في وزارتي الأشغال العامة والإسكان والشؤون البلدية. تم الحصول على 104 ردود بشأن العوامل الأكثر تأثيرًا على إنتاجية العامل في الموقع. توصلت الدراسة إلى أن معدل التعلم تراوح بين (1.801 و2.486)% لأعمال الأعمدة، و(3.842 و6.122)% لأعمال الحجر، و(3.94 و9.7)% لأعمال البلاط، و(4.42 و3.64)% لأعمال التجصيص، و(5.867 و11.25)% لأعمال الدهانات. ويعود سبب التباين في النسب إلى توفر المواد في الوقت المناسب، والظروف الجوية ودرجة الحرارة والرطوبة كأكثر العوامل تأثيرًا. لذا، من الضروري توثيق الوقت اللازم لإنجاز المهام لإنشاء قاعدة بيانات مستقرة للمقارنة، بالإضافة إلى التوسع في دراسة عدد أكبر من مهام أعمال البناء والعوامل المؤثرة فيها.</w:t>
      </w:r>
    </w:p>
    <w:p w14:paraId="20F9C99B" w14:textId="1B12501C" w:rsidR="00D91E20" w:rsidRPr="009A3EF4" w:rsidRDefault="00D91E20" w:rsidP="00D91E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8" w:name="_Toc211869370"/>
      <w:r w:rsidRPr="009A3EF4">
        <w:rPr>
          <w:rFonts w:ascii="Sakkal Majalla" w:eastAsia="Calibri" w:hAnsi="Sakkal Majalla" w:cs="Sakkal Majalla"/>
          <w:b/>
          <w:bCs/>
          <w:color w:val="000000" w:themeColor="text1"/>
          <w:sz w:val="36"/>
          <w:szCs w:val="36"/>
          <w:rtl/>
          <w:lang w:bidi="ar-EG"/>
        </w:rPr>
        <w:t>9.1 الفجوة البحثية</w:t>
      </w:r>
      <w:bookmarkEnd w:id="18"/>
    </w:p>
    <w:p w14:paraId="761C62AE" w14:textId="60706850" w:rsidR="0015698D" w:rsidRPr="009A3EF4" w:rsidRDefault="0015698D"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hint="cs"/>
          <w:color w:val="000000" w:themeColor="text1"/>
          <w:sz w:val="28"/>
          <w:szCs w:val="28"/>
          <w:rtl/>
          <w:lang w:bidi="ar-EG"/>
        </w:rPr>
        <w:t>تُظهر مراجعة الدراسات السابقة المذكورة أعلاه جهودًا بحثية متقدمة في مجالات الرقابة الإدارية، والتدقيق، والإقرارات الضريبية، وأداء المشاريع، ومنحنيات التعلم في بيئة العمل. ومع ذلك، تتناول معظم هذه الدراسات مواضيع متخصصة ضمن سياقات مؤسسية أو قطاعية محددة، وتفتقر إلى نهج شامل ومتكامل يجمع بين مستوى النضج المؤسسي في إدارة المخاطر وكفاءة مراقبة الأداء. وينطبق هذا بشكل خاص على قطاع الصحة السعودي، الذي يتميز بخصوصيات تنظيمية وتحديات تشغيلية غير موجودة في قطاعات أخرى</w:t>
      </w:r>
      <w:r w:rsidRPr="009A3EF4">
        <w:rPr>
          <w:rFonts w:ascii="Sakkal Majalla" w:eastAsia="Calibri" w:hAnsi="Sakkal Majalla" w:cs="Sakkal Majalla" w:hint="cs"/>
          <w:color w:val="000000" w:themeColor="text1"/>
          <w:sz w:val="28"/>
          <w:szCs w:val="28"/>
          <w:lang w:bidi="ar-EG"/>
        </w:rPr>
        <w:t>.</w:t>
      </w:r>
    </w:p>
    <w:p w14:paraId="11AA055E" w14:textId="535EA592" w:rsidR="0015698D" w:rsidRPr="009A3EF4" w:rsidRDefault="0015698D"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hint="cs"/>
          <w:color w:val="000000" w:themeColor="text1"/>
          <w:sz w:val="28"/>
          <w:szCs w:val="28"/>
          <w:rtl/>
          <w:lang w:bidi="ar-EG"/>
        </w:rPr>
        <w:t>على سبيل المثال، ركزت دراسة الزواهرة (2020) على تقييم الرقابة الإدارية في بلدية الزرقاء، مع التركيز على الأبعاد التقليدية كوضع المعايير، وقياس الأداء، وتصحيح الانحرافات. ومع ذلك، لم تتناول الدراسة النضج المؤسسي أو إدارة المخاطر كمحددات لفعالية هذه الرقابة. كما تناولت الدراسة قطاع البلديات في الأردن، الذي يختلف تنظيميًا وإداريًا عن بيئة مرافق الرعاية الصحية، سواء من حيث طبيعة الخدمات المقدمة أو التحديات التشغيلية. وهذا يُبرز الفجوة المتمثلة في عدم وجود صلة بين مستوى نضج المؤسسة في إدارة المخاطر ومستوى مراقبة الأداء. تناولت دراسة حازم (2020) موضوع الرقابة الداخلية ومكوناتها وتأثيرها على التدقيق التشغيلي في شركات التأمين، استنادًا إلى إطار</w:t>
      </w:r>
      <w:r w:rsidRPr="009A3EF4">
        <w:rPr>
          <w:rFonts w:ascii="Sakkal Majalla" w:eastAsia="Calibri" w:hAnsi="Sakkal Majalla" w:cs="Sakkal Majalla" w:hint="cs"/>
          <w:color w:val="000000" w:themeColor="text1"/>
          <w:sz w:val="28"/>
          <w:szCs w:val="28"/>
          <w:lang w:bidi="ar-EG"/>
        </w:rPr>
        <w:t xml:space="preserve"> COSO. </w:t>
      </w:r>
      <w:r w:rsidRPr="009A3EF4">
        <w:rPr>
          <w:rFonts w:ascii="Sakkal Majalla" w:eastAsia="Calibri" w:hAnsi="Sakkal Majalla" w:cs="Sakkal Majalla" w:hint="cs"/>
          <w:color w:val="000000" w:themeColor="text1"/>
          <w:sz w:val="28"/>
          <w:szCs w:val="28"/>
          <w:rtl/>
          <w:lang w:bidi="ar-EG"/>
        </w:rPr>
        <w:t>ترتبط هذه الدراسة جزئيًا بإدارة المخاطر، إلا أنها تناولت جانبًا محددًا من العلاقة - وهو التأثير على التدقيق فقط - دون التطرق إلى مراقبة الأداء على نطاق أوسع. علاوة على ذلك، تتناول الدراسة القطاع المالي، الذي تختلف ترتيباته التنظيمية والتشريعية اختلافًا جذريًا عن قطاع الرعاية الصحية. تكمن الفجوة هنا في أن الدراسة لم تتناول العلاقة من منظور شامل للنضج المؤسسي، ولم تدمج بُعد المخاطر مع كفاءة الأداء المؤسسي بمعناها الكامل</w:t>
      </w:r>
      <w:r w:rsidRPr="009A3EF4">
        <w:rPr>
          <w:rFonts w:ascii="Sakkal Majalla" w:eastAsia="Calibri" w:hAnsi="Sakkal Majalla" w:cs="Sakkal Majalla" w:hint="cs"/>
          <w:color w:val="000000" w:themeColor="text1"/>
          <w:sz w:val="28"/>
          <w:szCs w:val="28"/>
          <w:lang w:bidi="ar-EG"/>
        </w:rPr>
        <w:t>.</w:t>
      </w:r>
    </w:p>
    <w:p w14:paraId="0D54D8C2" w14:textId="7102B7B7" w:rsidR="0015698D" w:rsidRPr="009A3EF4" w:rsidRDefault="0015698D"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hint="cs"/>
          <w:color w:val="000000" w:themeColor="text1"/>
          <w:sz w:val="28"/>
          <w:szCs w:val="28"/>
          <w:rtl/>
          <w:lang w:bidi="ar-EG"/>
        </w:rPr>
        <w:t>بالانتقال إلى دراسة بيات (2019)، فقد ركزت على تأثير التقديم الإلكتروني للضرائب على الأداء الضريبي في المؤسسات الاقتصادية، مما يجعلها أقرب إلى موضوع تكنولوجيا الضرائب. ليس لها صلة مباشرة بمفهوم النضج المؤسسي، أو إدارة المخاطر، أو مراقبة الأداء كوظيفة تنظيمية شاملة. تتجلى الفجوة هنا بوضوح من حيث التخصص والسياق، إذ لا تُقدم الدراسة أي معالجة للعلاقات الهيكلية بين عناصر الإدارة الداخلية للمؤسسة</w:t>
      </w:r>
      <w:r w:rsidRPr="009A3EF4">
        <w:rPr>
          <w:rFonts w:ascii="Sakkal Majalla" w:eastAsia="Calibri" w:hAnsi="Sakkal Majalla" w:cs="Sakkal Majalla" w:hint="cs"/>
          <w:color w:val="000000" w:themeColor="text1"/>
          <w:sz w:val="28"/>
          <w:szCs w:val="28"/>
          <w:lang w:bidi="ar-EG"/>
        </w:rPr>
        <w:t>.</w:t>
      </w:r>
    </w:p>
    <w:p w14:paraId="6E8978A1" w14:textId="104ED3FB" w:rsidR="0015698D" w:rsidRPr="009A3EF4" w:rsidRDefault="0015698D"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hint="cs"/>
          <w:color w:val="000000" w:themeColor="text1"/>
          <w:sz w:val="28"/>
          <w:szCs w:val="28"/>
          <w:rtl/>
          <w:lang w:bidi="ar-EG"/>
        </w:rPr>
        <w:t>تناولت الدراسة (مصلح، ٢٠٢٠) قياس الأداء في سياق مشاريع البناء باستخدام تقنية إدارة القيمة المكتسبة</w:t>
      </w:r>
      <w:r w:rsidRPr="009A3EF4">
        <w:rPr>
          <w:rFonts w:ascii="Sakkal Majalla" w:eastAsia="Calibri" w:hAnsi="Sakkal Majalla" w:cs="Sakkal Majalla" w:hint="cs"/>
          <w:color w:val="000000" w:themeColor="text1"/>
          <w:sz w:val="28"/>
          <w:szCs w:val="28"/>
          <w:lang w:bidi="ar-EG"/>
        </w:rPr>
        <w:t xml:space="preserve"> (EVM). </w:t>
      </w:r>
      <w:r w:rsidRPr="009A3EF4">
        <w:rPr>
          <w:rFonts w:ascii="Sakkal Majalla" w:eastAsia="Calibri" w:hAnsi="Sakkal Majalla" w:cs="Sakkal Majalla" w:hint="cs"/>
          <w:color w:val="000000" w:themeColor="text1"/>
          <w:sz w:val="28"/>
          <w:szCs w:val="28"/>
          <w:rtl/>
          <w:lang w:bidi="ar-EG"/>
        </w:rPr>
        <w:t>وترتكز هذه الدراسة على أسس تقنية، وتُركز على أدوات مُحددة لرصد وقت المشروع والأداء المالي. ورغم أهميتها في قياس الأداء، إلا أنها لا تُعالج الجوانب المؤسسية أو الإدارية من حيث النضج التنظيمي أو تكامل أنظمة إدارة المخاطر. كما أنها لا تُركز بشكل أساسي على أنظمة مراقبة الأداء المؤسسي أو العلاقة بينها وبين النضج الإداري. وتكمن الفجوة في هذه الدراسة في تركيزها على تقنية واحدة دون ارتباط أوسع بنظام الرقابة المؤسسي</w:t>
      </w:r>
      <w:r w:rsidRPr="009A3EF4">
        <w:rPr>
          <w:rFonts w:ascii="Sakkal Majalla" w:eastAsia="Calibri" w:hAnsi="Sakkal Majalla" w:cs="Sakkal Majalla" w:hint="cs"/>
          <w:color w:val="000000" w:themeColor="text1"/>
          <w:sz w:val="28"/>
          <w:szCs w:val="28"/>
          <w:lang w:bidi="ar-EG"/>
        </w:rPr>
        <w:t>.</w:t>
      </w:r>
    </w:p>
    <w:p w14:paraId="4A38CCA1" w14:textId="3B26F842" w:rsidR="0015698D" w:rsidRPr="009A3EF4" w:rsidRDefault="0015698D"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تناولت الدراسة (الشرع، ٢٠١٩) الإنتاجية ومنحنيات التعلم في قطاع البناء، مُركزةً على العوامل المؤثرة على الأداء الفردي من منظور ميداني خاص بالموقع، مثل توافر المواد، والطقس، والظروف البيئية. على الرغم من دقة معلوماتها التحليلية حول الأداء، إلا أنها بعيدة كل البعد عن مفهوم مراقبة الأداء المؤسسي كنظام إداري قائم على معايير ومؤشرات. كما أنها لا تتناول النضج المؤسسي أو إدارة المخاطر، مما يعكس فجوة منهجية ومفاهيمية في الدراسة الحالية</w:t>
      </w:r>
      <w:r w:rsidRPr="009A3EF4">
        <w:rPr>
          <w:rFonts w:ascii="Sakkal Majalla" w:eastAsia="Calibri" w:hAnsi="Sakkal Majalla" w:cs="Sakkal Majalla"/>
          <w:color w:val="000000" w:themeColor="text1"/>
          <w:sz w:val="28"/>
          <w:szCs w:val="28"/>
          <w:lang w:bidi="ar-EG"/>
        </w:rPr>
        <w:t>.</w:t>
      </w:r>
    </w:p>
    <w:p w14:paraId="1223B8C8" w14:textId="000F27A4" w:rsidR="00410DB9" w:rsidRPr="009A3EF4" w:rsidRDefault="0015698D"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في ضوء ما سبق، تتمثل الفجوة البحثية التي تسعى هذه الدراسة إلى معالجتها في نقص الدراسات التي تربط النضج المؤسسي في إدارة المخاطر بكفاءة مراقبة الأداء في مؤسسات الرعاية الصحية السعودية. تقدم هذه الدراسة منظورًا تحليليًا شاملاً يبحث في العلاقة السببية بين هذين المتغيرين في سياق تنظيمي معقد وديناميكي. علاوة على ذلك، لم توضح الدراسات السابقة بوضوح كيف يؤثر النضج المؤسسي - من حيث الأنظمة والسياسات والوعي الإداري - على فعالية أنظمة الرقابة ونتائج الأداء المؤسسي.</w:t>
      </w:r>
    </w:p>
    <w:p w14:paraId="414905E0" w14:textId="6DDC3C74" w:rsidR="00D91E20" w:rsidRPr="009A3EF4" w:rsidRDefault="00D91E20" w:rsidP="00D91E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9" w:name="_Toc211869371"/>
      <w:r w:rsidRPr="009A3EF4">
        <w:rPr>
          <w:rFonts w:ascii="Sakkal Majalla" w:eastAsia="Calibri" w:hAnsi="Sakkal Majalla" w:cs="Sakkal Majalla"/>
          <w:b/>
          <w:bCs/>
          <w:color w:val="000000" w:themeColor="text1"/>
          <w:sz w:val="36"/>
          <w:szCs w:val="36"/>
          <w:rtl/>
          <w:lang w:bidi="ar-EG"/>
        </w:rPr>
        <w:t>10.1 المنطلقات النظرية للدراسة</w:t>
      </w:r>
      <w:bookmarkEnd w:id="19"/>
    </w:p>
    <w:p w14:paraId="3C193358" w14:textId="332C6E4E" w:rsidR="00D37E3B" w:rsidRPr="009A3EF4" w:rsidRDefault="00D37E3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ترتكز الدراسة الحالية، المعنونة "أثر مستوى النضج المؤسسي في إدارة المخاطر على كفاءة مراقبة الأداء"، على عدة فرضيات نظرية مترابطة تُشكل أساسًا لفهم العلاقات المفترضة بين مفاهيم النضج المؤسسي وإدارة المخاطر ومراقبة الأداء داخل المنظمات. يتسم هذا الارتباط بطابع استراتيجي، يعكس التوجهات الحديثة في الفكر الإداري التي تنظر إلى فعالية المنظمة من منظور تكامل الأطر الإدارية المختلفة، بدلًا من التعامل معها كعناصر منفصلة</w:t>
      </w:r>
      <w:r w:rsidRPr="009A3EF4">
        <w:rPr>
          <w:rFonts w:ascii="Sakkal Majalla" w:eastAsia="Calibri" w:hAnsi="Sakkal Majalla" w:cs="Sakkal Majalla"/>
          <w:color w:val="000000" w:themeColor="text1"/>
          <w:sz w:val="28"/>
          <w:szCs w:val="28"/>
          <w:lang w:bidi="ar-EG"/>
        </w:rPr>
        <w:t>.</w:t>
      </w:r>
    </w:p>
    <w:p w14:paraId="26871C78" w14:textId="4A906679" w:rsidR="00D37E3B" w:rsidRPr="009A3EF4" w:rsidRDefault="00D37E3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ينبثق الأساس النظري الأول من مفهوم النضج المؤسسي، الذي يُعبر عن مدى التطور الذي وصلت إليه المنظمة في تبني وتطبيق العمليات والممارسات الإدارية وفق معايير مهنية واضحة قائمة على التحسين المستمر والحوكمة. ويتطور النضج عبر مراحل تبدأ بالمرحلة العشوائية أو غير المنظمة، مرورًا بالمرحلة المعيارية والتكاملية، وصولًا إلى مستوى القيادة والنضج الكامل، الذي يُجسد قدرة المنظمة على التوقع والتعلم والتطوير الذاتي. نشأ هذا المفهوم لأول مرة في مجالات تكنولوجيا المعلومات</w:t>
      </w:r>
      <w:r w:rsidRPr="009A3EF4">
        <w:rPr>
          <w:rFonts w:ascii="Sakkal Majalla" w:eastAsia="Calibri" w:hAnsi="Sakkal Majalla" w:cs="Sakkal Majalla"/>
          <w:color w:val="000000" w:themeColor="text1"/>
          <w:sz w:val="28"/>
          <w:szCs w:val="28"/>
          <w:lang w:bidi="ar-EG"/>
        </w:rPr>
        <w:t xml:space="preserve"> (</w:t>
      </w:r>
      <w:r w:rsidRPr="009A3EF4">
        <w:rPr>
          <w:rFonts w:ascii="Sakkal Majalla" w:eastAsia="Calibri" w:hAnsi="Sakkal Majalla" w:cs="Sakkal Majalla"/>
          <w:color w:val="000000" w:themeColor="text1"/>
          <w:sz w:val="28"/>
          <w:szCs w:val="28"/>
          <w:rtl/>
          <w:lang w:bidi="ar-EG"/>
        </w:rPr>
        <w:t>مثل نموذج</w:t>
      </w:r>
      <w:r w:rsidRPr="009A3EF4">
        <w:rPr>
          <w:rFonts w:ascii="Sakkal Majalla" w:eastAsia="Calibri" w:hAnsi="Sakkal Majalla" w:cs="Sakkal Majalla"/>
          <w:color w:val="000000" w:themeColor="text1"/>
          <w:sz w:val="28"/>
          <w:szCs w:val="28"/>
          <w:lang w:bidi="ar-EG"/>
        </w:rPr>
        <w:t xml:space="preserve"> CMMI)</w:t>
      </w:r>
      <w:r w:rsidRPr="009A3EF4">
        <w:rPr>
          <w:rFonts w:ascii="Sakkal Majalla" w:eastAsia="Calibri" w:hAnsi="Sakkal Majalla" w:cs="Sakkal Majalla"/>
          <w:color w:val="000000" w:themeColor="text1"/>
          <w:sz w:val="28"/>
          <w:szCs w:val="28"/>
          <w:rtl/>
          <w:lang w:bidi="ar-EG"/>
        </w:rPr>
        <w:t>، ثم توسع ليشمل إدارة المخاطر، والعمليات، والموارد البشرية، وغيرها من المجالات الحيوية داخل المؤسسات</w:t>
      </w:r>
      <w:r w:rsidRPr="009A3EF4">
        <w:rPr>
          <w:rFonts w:ascii="Sakkal Majalla" w:eastAsia="Calibri" w:hAnsi="Sakkal Majalla" w:cs="Sakkal Majalla"/>
          <w:color w:val="000000" w:themeColor="text1"/>
          <w:sz w:val="28"/>
          <w:szCs w:val="28"/>
          <w:lang w:bidi="ar-EG"/>
        </w:rPr>
        <w:t>.</w:t>
      </w:r>
    </w:p>
    <w:p w14:paraId="6C4575C7" w14:textId="20B81C61" w:rsidR="00D37E3B" w:rsidRPr="009A3EF4" w:rsidRDefault="00D37E3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الفرضية الثانية هي نظرية إدارة مخاطر المؤسسة</w:t>
      </w:r>
      <w:r w:rsidRPr="009A3EF4">
        <w:rPr>
          <w:rFonts w:ascii="Sakkal Majalla" w:eastAsia="Calibri" w:hAnsi="Sakkal Majalla" w:cs="Sakkal Majalla"/>
          <w:color w:val="000000" w:themeColor="text1"/>
          <w:sz w:val="28"/>
          <w:szCs w:val="28"/>
          <w:lang w:bidi="ar-EG"/>
        </w:rPr>
        <w:t xml:space="preserve"> (ERM)</w:t>
      </w:r>
      <w:r w:rsidRPr="009A3EF4">
        <w:rPr>
          <w:rFonts w:ascii="Sakkal Majalla" w:eastAsia="Calibri" w:hAnsi="Sakkal Majalla" w:cs="Sakkal Majalla"/>
          <w:color w:val="000000" w:themeColor="text1"/>
          <w:sz w:val="28"/>
          <w:szCs w:val="28"/>
          <w:rtl/>
          <w:lang w:bidi="ar-EG"/>
        </w:rPr>
        <w:t>، التي تقترح أن المؤسسات الناجحة تتبنى نهجًا شاملًا ومتكاملًا لإدارة المخاطر، سواءً كانت تشغيلية أو مالية أو استراتيجية أو قانونية. وتجادل هذه النظرية بأن نضج ممارسات إدارة المخاطر يتجاوز مجرد تحديد التهديدات، بل يشمل أيضًا دمج هذه الممارسات في جوهر قرارات الإدارة والتخطيط الاستراتيجي، مما يُمكّن المؤسسة من توقع الأحداث واحتوائها وتحويلها إلى فرص للنمو والتحسين. كما تفترض النظرية أنه كلما طورت المؤسسة نضجها الإداري في هذا المجال، زادت قدرتها على الاستجابة بفعالية وتحقيق أهدافها بأقل قدر من التهديدات</w:t>
      </w:r>
      <w:r w:rsidRPr="009A3EF4">
        <w:rPr>
          <w:rFonts w:ascii="Sakkal Majalla" w:eastAsia="Calibri" w:hAnsi="Sakkal Majalla" w:cs="Sakkal Majalla"/>
          <w:color w:val="000000" w:themeColor="text1"/>
          <w:sz w:val="28"/>
          <w:szCs w:val="28"/>
          <w:lang w:bidi="ar-EG"/>
        </w:rPr>
        <w:t>.</w:t>
      </w:r>
    </w:p>
    <w:p w14:paraId="698D6343" w14:textId="522588B5" w:rsidR="00D37E3B" w:rsidRPr="009A3EF4" w:rsidRDefault="00D37E3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الفرضية الثالثة تنبع من نظرية الرقابة الإدارية، التي تفترض أن مراقبة الأداء لا يمكن أن تكون فعالة إلا إذا استندت إلى معلومات موثوقة وفي الوقت المناسب وخطط استجابة واضحة. تُعدّ أنظمة الرقابة بمثابة "العيون" التي تعتمد عليها الإدارة لتقييم مدى الالتزام بالخطط والبرامج، وتحديد الانحرافات، واتخاذ الإجراءات التصحيحية في الوقت المناسب. ونظرًا لأن المخاطر قد تعيق دقة القياس أو تُشوّه النتائج، فإن نظام إدارة المخاطر الناضج يُصبح عنصرًا مُمكّنًا لجعل مراقبة الأداء أكثر كفاءة وموضوعية</w:t>
      </w:r>
      <w:r w:rsidRPr="009A3EF4">
        <w:rPr>
          <w:rFonts w:ascii="Sakkal Majalla" w:eastAsia="Calibri" w:hAnsi="Sakkal Majalla" w:cs="Sakkal Majalla"/>
          <w:color w:val="000000" w:themeColor="text1"/>
          <w:sz w:val="28"/>
          <w:szCs w:val="28"/>
          <w:lang w:bidi="ar-EG"/>
        </w:rPr>
        <w:t>.</w:t>
      </w:r>
    </w:p>
    <w:p w14:paraId="7D41213A" w14:textId="04FA6EEF" w:rsidR="00D37E3B" w:rsidRPr="009A3EF4" w:rsidRDefault="00D37E3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تعتمد هذه الدراسة أيضًا على نظرية النظم المفتوحة، التي تُؤكد أن المؤسسات ليست كيانات مغلقة، بل تتأثر ببيئتها الداخلية والخارجية وتتفاعل معها. لذلك، يعتمد نجاح نظام الرقابة في المؤسسة على قدرتها على التكيف مع التغيرات والمخاطر البيئية. وهنا، يبرز دور مستوى النضج في إدارة المخاطر كمُحدد رئيسي لنجاح المؤسسة في تنظيم معلوماتها وتحليلها، ومراقبة مؤشرات الأداء المتعلقة بالمخاطر بطريقة ديناميكية ومرنة</w:t>
      </w:r>
      <w:r w:rsidRPr="009A3EF4">
        <w:rPr>
          <w:rFonts w:ascii="Sakkal Majalla" w:eastAsia="Calibri" w:hAnsi="Sakkal Majalla" w:cs="Sakkal Majalla"/>
          <w:color w:val="000000" w:themeColor="text1"/>
          <w:sz w:val="28"/>
          <w:szCs w:val="28"/>
          <w:lang w:bidi="ar-EG"/>
        </w:rPr>
        <w:t>.</w:t>
      </w:r>
    </w:p>
    <w:p w14:paraId="11F2A10D" w14:textId="46A49672" w:rsidR="00410DB9" w:rsidRPr="009A3EF4" w:rsidRDefault="00D37E3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t>في ضوء هذه الفرضيات النظرية، تسعى الدراسة إلى إثبات العلاقة المفترضة بين مستوى نضج إدارة المخاطر داخل المؤسسة وكفاءة نظام مراقبة الأداء، من خلال تقديم نموذج تطبيقي يختبر صحة هذه الفرضية في السياق المؤسسي المحلي. كما تسعى إلى تسليط الضوء على أهمية التحول من ممارسات الرقابة والمخاطر التقليدية إلى نماذج أكثر تكاملاً ونضجاً تواكب متطلبات الحوكمة والشفافية وتحقيق الأداء المؤسسي الفعال.</w:t>
      </w:r>
    </w:p>
    <w:p w14:paraId="787F436F" w14:textId="705DC766" w:rsidR="00D91E20" w:rsidRPr="009A3EF4" w:rsidRDefault="00D91E20" w:rsidP="00D91E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0" w:name="_Toc211869372"/>
      <w:r w:rsidRPr="009A3EF4">
        <w:rPr>
          <w:rFonts w:ascii="Sakkal Majalla" w:eastAsia="Calibri" w:hAnsi="Sakkal Majalla" w:cs="Sakkal Majalla"/>
          <w:b/>
          <w:bCs/>
          <w:color w:val="000000" w:themeColor="text1"/>
          <w:sz w:val="36"/>
          <w:szCs w:val="36"/>
          <w:rtl/>
        </w:rPr>
        <w:t>11.1 المنهجية وطرق البحث:</w:t>
      </w:r>
      <w:bookmarkEnd w:id="20"/>
    </w:p>
    <w:p w14:paraId="75A43376" w14:textId="77777777" w:rsidR="00086EC7" w:rsidRPr="009A3EF4" w:rsidRDefault="00086EC7" w:rsidP="00D91E2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9A3EF4" w:rsidRDefault="00086EC7" w:rsidP="00FA5AF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A630C3F" w14:textId="433C5F44" w:rsidR="00D91E20" w:rsidRPr="009A3EF4" w:rsidRDefault="00D91E20" w:rsidP="00D91E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1" w:name="_Toc211869373"/>
      <w:r w:rsidRPr="009A3EF4">
        <w:rPr>
          <w:rFonts w:ascii="Sakkal Majalla" w:eastAsia="Calibri" w:hAnsi="Sakkal Majalla" w:cs="Sakkal Majalla"/>
          <w:b/>
          <w:bCs/>
          <w:color w:val="000000" w:themeColor="text1"/>
          <w:sz w:val="36"/>
          <w:szCs w:val="36"/>
          <w:rtl/>
        </w:rPr>
        <w:t>12.1 مصادر جمع البيانات</w:t>
      </w:r>
      <w:bookmarkEnd w:id="21"/>
    </w:p>
    <w:p w14:paraId="24EAFAC4" w14:textId="77777777" w:rsidR="00086EC7" w:rsidRPr="009A3EF4" w:rsidRDefault="00086EC7" w:rsidP="00D91E20">
      <w:pPr>
        <w:numPr>
          <w:ilvl w:val="0"/>
          <w:numId w:val="1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b/>
          <w:bCs/>
          <w:color w:val="000000" w:themeColor="text1"/>
          <w:sz w:val="28"/>
          <w:szCs w:val="28"/>
          <w:rtl/>
        </w:rPr>
        <w:t>المصادر الثانوية</w:t>
      </w:r>
      <w:r w:rsidRPr="009A3EF4">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9A3EF4" w:rsidRDefault="00086EC7" w:rsidP="00D91E20">
      <w:pPr>
        <w:numPr>
          <w:ilvl w:val="0"/>
          <w:numId w:val="1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b/>
          <w:bCs/>
          <w:color w:val="000000" w:themeColor="text1"/>
          <w:sz w:val="28"/>
          <w:szCs w:val="28"/>
          <w:rtl/>
        </w:rPr>
        <w:t>المصادر الأولية</w:t>
      </w:r>
      <w:r w:rsidRPr="009A3EF4">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9A3EF4">
        <w:rPr>
          <w:rFonts w:ascii="Sakkal Majalla" w:eastAsia="Calibri" w:hAnsi="Sakkal Majalla" w:cs="Sakkal Majalla"/>
          <w:color w:val="000000" w:themeColor="text1"/>
          <w:sz w:val="28"/>
          <w:szCs w:val="28"/>
        </w:rPr>
        <w:t>Google Forms</w:t>
      </w:r>
      <w:r w:rsidRPr="009A3EF4">
        <w:rPr>
          <w:rFonts w:ascii="Sakkal Majalla" w:eastAsia="Calibri" w:hAnsi="Sakkal Majalla" w:cs="Sakkal Majalla"/>
          <w:color w:val="000000" w:themeColor="text1"/>
          <w:sz w:val="28"/>
          <w:szCs w:val="28"/>
          <w:rtl/>
        </w:rPr>
        <w:t xml:space="preserve"> وإرسال رابطها إلى مجتمع البحث.</w:t>
      </w:r>
    </w:p>
    <w:p w14:paraId="0827B71E" w14:textId="6B10A130" w:rsidR="00D91E20" w:rsidRPr="009A3EF4" w:rsidRDefault="00D91E20" w:rsidP="00D91E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2" w:name="_Toc211869374"/>
      <w:r w:rsidRPr="009A3EF4">
        <w:rPr>
          <w:rFonts w:ascii="Sakkal Majalla" w:eastAsia="Calibri" w:hAnsi="Sakkal Majalla" w:cs="Sakkal Majalla"/>
          <w:b/>
          <w:bCs/>
          <w:color w:val="000000" w:themeColor="text1"/>
          <w:sz w:val="36"/>
          <w:szCs w:val="36"/>
          <w:rtl/>
        </w:rPr>
        <w:t>13.1 أدوات الدراسة:</w:t>
      </w:r>
      <w:bookmarkEnd w:id="22"/>
    </w:p>
    <w:p w14:paraId="2F8C394A" w14:textId="77777777" w:rsidR="00086EC7" w:rsidRPr="009A3EF4" w:rsidRDefault="00086EC7" w:rsidP="00D91E2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9A3EF4" w:rsidRDefault="00086EC7"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9A3EF4">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9A3EF4" w:rsidRDefault="00086EC7" w:rsidP="00D91E20">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b/>
          <w:bCs/>
          <w:color w:val="000000" w:themeColor="text1"/>
          <w:sz w:val="28"/>
          <w:szCs w:val="28"/>
          <w:rtl/>
        </w:rPr>
        <w:t>القسم الأول</w:t>
      </w:r>
      <w:r w:rsidRPr="009A3EF4">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9A3EF4" w:rsidRDefault="00086EC7" w:rsidP="00D91E20">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9A3EF4">
        <w:rPr>
          <w:rFonts w:ascii="Sakkal Majalla" w:eastAsia="Calibri" w:hAnsi="Sakkal Majalla" w:cs="Sakkal Majalla"/>
          <w:b/>
          <w:bCs/>
          <w:color w:val="000000" w:themeColor="text1"/>
          <w:sz w:val="28"/>
          <w:szCs w:val="28"/>
          <w:rtl/>
        </w:rPr>
        <w:t>القسم الثاني</w:t>
      </w:r>
      <w:r w:rsidRPr="009A3EF4">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4B6FA479" w14:textId="7F0BEE6B" w:rsidR="00D91E20" w:rsidRPr="009A3EF4" w:rsidRDefault="00D91E20" w:rsidP="00D91E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3" w:name="_Toc211869375"/>
      <w:r w:rsidRPr="009A3EF4">
        <w:rPr>
          <w:rFonts w:ascii="Sakkal Majalla" w:eastAsia="Calibri" w:hAnsi="Sakkal Majalla" w:cs="Sakkal Majalla"/>
          <w:b/>
          <w:bCs/>
          <w:color w:val="000000" w:themeColor="text1"/>
          <w:sz w:val="36"/>
          <w:szCs w:val="36"/>
          <w:rtl/>
        </w:rPr>
        <w:t>14.1 الأساليب الإحصائية المستخدمة</w:t>
      </w:r>
      <w:bookmarkEnd w:id="23"/>
    </w:p>
    <w:p w14:paraId="57815DFF" w14:textId="77777777" w:rsidR="00086EC7" w:rsidRPr="009A3EF4" w:rsidRDefault="00086EC7"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تم استخدام الأساليب الإحصائية التالية لتحقيق أهداف الدراسة:</w:t>
      </w:r>
    </w:p>
    <w:p w14:paraId="18FFE3F8" w14:textId="0DD605C2" w:rsidR="00086EC7" w:rsidRPr="009A3EF4" w:rsidRDefault="00086EC7" w:rsidP="00D91E20">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4" w:name="_Hlk162514366"/>
      <w:r w:rsidRPr="009A3EF4">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w:t>
      </w:r>
      <w:r w:rsidR="00D37E3B" w:rsidRPr="009A3EF4">
        <w:rPr>
          <w:rFonts w:ascii="Sakkal Majalla" w:eastAsia="Calibri" w:hAnsi="Sakkal Majalla" w:cs="Sakkal Majalla"/>
          <w:color w:val="000000" w:themeColor="text1"/>
          <w:sz w:val="28"/>
          <w:szCs w:val="28"/>
          <w:rtl/>
        </w:rPr>
        <w:t>بيرسون لقياس</w:t>
      </w:r>
      <w:r w:rsidRPr="009A3EF4">
        <w:rPr>
          <w:rFonts w:ascii="Sakkal Majalla" w:eastAsia="Calibri" w:hAnsi="Sakkal Majalla" w:cs="Sakkal Majalla"/>
          <w:color w:val="000000" w:themeColor="text1"/>
          <w:sz w:val="28"/>
          <w:szCs w:val="28"/>
          <w:rtl/>
        </w:rPr>
        <w:t xml:space="preserve"> صدق أداة الدراسة والعلاقة بين المتغيرات </w:t>
      </w:r>
    </w:p>
    <w:bookmarkEnd w:id="24"/>
    <w:p w14:paraId="2BD95CE3" w14:textId="77777777" w:rsidR="00086EC7" w:rsidRPr="009A3EF4" w:rsidRDefault="00086EC7" w:rsidP="00D91E20">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9A3EF4" w:rsidRDefault="00086EC7" w:rsidP="00D91E20">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7EE3079B" w14:textId="42A651F4" w:rsidR="00D91E20" w:rsidRPr="009A3EF4" w:rsidRDefault="00D91E20" w:rsidP="00D91E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5" w:name="_Toc211869376"/>
      <w:r w:rsidRPr="009A3EF4">
        <w:rPr>
          <w:rFonts w:ascii="Sakkal Majalla" w:eastAsia="Calibri" w:hAnsi="Sakkal Majalla" w:cs="Sakkal Majalla"/>
          <w:b/>
          <w:bCs/>
          <w:color w:val="000000" w:themeColor="text1"/>
          <w:sz w:val="36"/>
          <w:szCs w:val="36"/>
          <w:rtl/>
        </w:rPr>
        <w:t>15.1 أداة الدراسة</w:t>
      </w:r>
      <w:bookmarkEnd w:id="25"/>
    </w:p>
    <w:p w14:paraId="75EAB8F5" w14:textId="77777777" w:rsidR="00086EC7" w:rsidRPr="009A3EF4" w:rsidRDefault="00086EC7"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526A995E" w:rsidR="00086EC7" w:rsidRPr="009A3EF4" w:rsidRDefault="00086EC7" w:rsidP="00D91E20">
      <w:pPr>
        <w:pStyle w:val="a6"/>
        <w:numPr>
          <w:ilvl w:val="0"/>
          <w:numId w:val="48"/>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b/>
          <w:bCs/>
          <w:color w:val="000000" w:themeColor="text1"/>
          <w:sz w:val="28"/>
          <w:szCs w:val="28"/>
          <w:rtl/>
        </w:rPr>
        <w:t>القسم الأول</w:t>
      </w:r>
      <w:r w:rsidRPr="009A3EF4">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58D4B00D" w:rsidR="00086EC7" w:rsidRPr="009A3EF4" w:rsidRDefault="00086EC7" w:rsidP="00D91E20">
      <w:pPr>
        <w:pStyle w:val="a6"/>
        <w:numPr>
          <w:ilvl w:val="0"/>
          <w:numId w:val="4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b/>
          <w:bCs/>
          <w:color w:val="000000" w:themeColor="text1"/>
          <w:sz w:val="28"/>
          <w:szCs w:val="28"/>
          <w:rtl/>
        </w:rPr>
        <w:t>القسم الثاني</w:t>
      </w:r>
      <w:r w:rsidRPr="009A3EF4">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7CB043F4" w:rsidR="00086EC7" w:rsidRPr="009A3EF4" w:rsidRDefault="00086EC7" w:rsidP="00D91E20">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14:ligatures w14:val="none"/>
        </w:rPr>
      </w:pPr>
      <w:r w:rsidRPr="009A3EF4">
        <w:rPr>
          <w:rFonts w:ascii="Sakkal Majalla" w:eastAsia="Times New Roman" w:hAnsi="Sakkal Majalla" w:cs="Sakkal Majalla"/>
          <w:b/>
          <w:bCs/>
          <w:color w:val="000000" w:themeColor="text1"/>
          <w:kern w:val="0"/>
          <w:sz w:val="28"/>
          <w:szCs w:val="28"/>
          <w:rtl/>
          <w14:ligatures w14:val="none"/>
        </w:rPr>
        <w:t xml:space="preserve">أولًا: المتغير المستقل – </w:t>
      </w:r>
      <w:r w:rsidR="00D37E3B" w:rsidRPr="009A3EF4">
        <w:rPr>
          <w:rFonts w:ascii="Sakkal Majalla" w:eastAsia="Times New Roman" w:hAnsi="Sakkal Majalla" w:cs="Sakkal Majalla"/>
          <w:b/>
          <w:bCs/>
          <w:color w:val="000000" w:themeColor="text1"/>
          <w:kern w:val="0"/>
          <w:sz w:val="28"/>
          <w:szCs w:val="28"/>
          <w:rtl/>
          <w14:ligatures w14:val="none"/>
        </w:rPr>
        <w:t>مراقبة الاداء</w:t>
      </w:r>
      <w:r w:rsidRPr="009A3EF4">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9A3EF4">
        <w:rPr>
          <w:rFonts w:ascii="Sakkal Majalla" w:eastAsia="Times New Roman" w:hAnsi="Sakkal Majalla" w:cs="Sakkal Majalla"/>
          <w:color w:val="000000" w:themeColor="text1"/>
          <w:kern w:val="0"/>
          <w:sz w:val="28"/>
          <w:szCs w:val="28"/>
          <w:rtl/>
          <w14:ligatures w14:val="none"/>
        </w:rPr>
        <w:t>مقسمة أربعة</w:t>
      </w:r>
      <w:r w:rsidRPr="009A3EF4">
        <w:rPr>
          <w:rFonts w:ascii="Sakkal Majalla" w:eastAsia="Times New Roman" w:hAnsi="Sakkal Majalla" w:cs="Sakkal Majalla"/>
          <w:color w:val="000000" w:themeColor="text1"/>
          <w:kern w:val="0"/>
          <w:sz w:val="28"/>
          <w:szCs w:val="28"/>
          <w:rtl/>
          <w14:ligatures w14:val="none"/>
        </w:rPr>
        <w:t xml:space="preserve"> أبعاد رئيسية</w:t>
      </w:r>
      <w:r w:rsidRPr="009A3EF4">
        <w:rPr>
          <w:rFonts w:ascii="Sakkal Majalla" w:eastAsia="Times New Roman" w:hAnsi="Sakkal Majalla" w:cs="Sakkal Majalla"/>
          <w:color w:val="000000" w:themeColor="text1"/>
          <w:kern w:val="0"/>
          <w:sz w:val="28"/>
          <w:szCs w:val="28"/>
          <w14:ligatures w14:val="none"/>
        </w:rPr>
        <w:t>:</w:t>
      </w:r>
    </w:p>
    <w:p w14:paraId="46B5CC6A" w14:textId="77777777" w:rsidR="00D37E3B" w:rsidRPr="009A3EF4" w:rsidRDefault="00D37E3B" w:rsidP="00D91E20">
      <w:pPr>
        <w:numPr>
          <w:ilvl w:val="0"/>
          <w:numId w:val="12"/>
        </w:numPr>
        <w:tabs>
          <w:tab w:val="clear" w:pos="720"/>
          <w:tab w:val="num" w:pos="424"/>
        </w:tabs>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9A3EF4">
        <w:rPr>
          <w:rFonts w:ascii="Sakkal Majalla" w:eastAsia="Times New Roman" w:hAnsi="Sakkal Majalla" w:cs="Sakkal Majalla"/>
          <w:color w:val="000000" w:themeColor="text1"/>
          <w:kern w:val="0"/>
          <w:sz w:val="28"/>
          <w:szCs w:val="28"/>
          <w:rtl/>
          <w14:ligatures w14:val="none"/>
        </w:rPr>
        <w:t>دقة قياس الأداء</w:t>
      </w:r>
    </w:p>
    <w:p w14:paraId="08F095BB" w14:textId="77777777" w:rsidR="00D37E3B" w:rsidRPr="009A3EF4" w:rsidRDefault="00D37E3B" w:rsidP="00D91E20">
      <w:pPr>
        <w:numPr>
          <w:ilvl w:val="0"/>
          <w:numId w:val="12"/>
        </w:numPr>
        <w:tabs>
          <w:tab w:val="clear" w:pos="720"/>
          <w:tab w:val="num" w:pos="424"/>
        </w:tabs>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9A3EF4">
        <w:rPr>
          <w:rFonts w:ascii="Sakkal Majalla" w:eastAsia="Times New Roman" w:hAnsi="Sakkal Majalla" w:cs="Sakkal Majalla"/>
          <w:color w:val="000000" w:themeColor="text1"/>
          <w:kern w:val="0"/>
          <w:sz w:val="28"/>
          <w:szCs w:val="28"/>
          <w:rtl/>
          <w14:ligatures w14:val="none"/>
        </w:rPr>
        <w:t>جودة البيانات المستخدمة في التقييم</w:t>
      </w:r>
    </w:p>
    <w:p w14:paraId="7B9E9C9B" w14:textId="77777777" w:rsidR="00D37E3B" w:rsidRPr="009A3EF4" w:rsidRDefault="00D37E3B" w:rsidP="00D91E20">
      <w:pPr>
        <w:numPr>
          <w:ilvl w:val="0"/>
          <w:numId w:val="12"/>
        </w:numPr>
        <w:tabs>
          <w:tab w:val="clear" w:pos="720"/>
          <w:tab w:val="num" w:pos="424"/>
        </w:tabs>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9A3EF4">
        <w:rPr>
          <w:rFonts w:ascii="Sakkal Majalla" w:eastAsia="Times New Roman" w:hAnsi="Sakkal Majalla" w:cs="Sakkal Majalla"/>
          <w:color w:val="000000" w:themeColor="text1"/>
          <w:kern w:val="0"/>
          <w:sz w:val="28"/>
          <w:szCs w:val="28"/>
          <w:rtl/>
          <w14:ligatures w14:val="none"/>
        </w:rPr>
        <w:t>فعالية التقارير الرقابية</w:t>
      </w:r>
    </w:p>
    <w:p w14:paraId="5C422556" w14:textId="503AD232" w:rsidR="00D37E3B" w:rsidRPr="009A3EF4" w:rsidRDefault="00D37E3B" w:rsidP="00D91E20">
      <w:pPr>
        <w:numPr>
          <w:ilvl w:val="0"/>
          <w:numId w:val="12"/>
        </w:numPr>
        <w:tabs>
          <w:tab w:val="clear" w:pos="720"/>
          <w:tab w:val="num" w:pos="424"/>
        </w:tabs>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9A3EF4">
        <w:rPr>
          <w:rFonts w:ascii="Sakkal Majalla" w:eastAsia="Times New Roman" w:hAnsi="Sakkal Majalla" w:cs="Sakkal Majalla"/>
          <w:color w:val="000000" w:themeColor="text1"/>
          <w:kern w:val="0"/>
          <w:sz w:val="28"/>
          <w:szCs w:val="28"/>
          <w:rtl/>
          <w14:ligatures w14:val="none"/>
        </w:rPr>
        <w:t xml:space="preserve">وضوح ودقة وتكامل تقارير الأداء </w:t>
      </w:r>
    </w:p>
    <w:p w14:paraId="1FDE48E0" w14:textId="4675A23C" w:rsidR="00086EC7" w:rsidRPr="009A3EF4" w:rsidRDefault="00086EC7"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9A3EF4">
        <w:rPr>
          <w:rFonts w:ascii="Sakkal Majalla" w:eastAsia="Calibri" w:hAnsi="Sakkal Majalla" w:cs="Sakkal Majalla"/>
          <w:b/>
          <w:bCs/>
          <w:color w:val="000000" w:themeColor="text1"/>
          <w:sz w:val="28"/>
          <w:szCs w:val="28"/>
          <w:rtl/>
        </w:rPr>
        <w:t xml:space="preserve">ثانيًا: المتغير التابع – </w:t>
      </w:r>
      <w:r w:rsidR="00D37E3B" w:rsidRPr="009A3EF4">
        <w:rPr>
          <w:rFonts w:ascii="Sakkal Majalla" w:eastAsia="Calibri" w:hAnsi="Sakkal Majalla" w:cs="Sakkal Majalla"/>
          <w:b/>
          <w:bCs/>
          <w:color w:val="000000" w:themeColor="text1"/>
          <w:sz w:val="28"/>
          <w:szCs w:val="28"/>
          <w:rtl/>
        </w:rPr>
        <w:t>النضج المؤسسي</w:t>
      </w:r>
      <w:r w:rsidRPr="009A3EF4">
        <w:rPr>
          <w:rFonts w:ascii="Sakkal Majalla" w:eastAsia="Calibri" w:hAnsi="Sakkal Majalla" w:cs="Sakkal Majalla"/>
          <w:b/>
          <w:bCs/>
          <w:color w:val="000000" w:themeColor="text1"/>
          <w:sz w:val="28"/>
          <w:szCs w:val="28"/>
          <w:rtl/>
        </w:rPr>
        <w:t>، ويُقاس من خلال (10) فقرة موزعة.</w:t>
      </w:r>
    </w:p>
    <w:p w14:paraId="2B691FEC" w14:textId="45C1D4BC" w:rsidR="00D91E20" w:rsidRPr="009A3EF4" w:rsidRDefault="00D91E20" w:rsidP="00D91E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6" w:name="_Toc211869377"/>
      <w:r w:rsidRPr="009A3EF4">
        <w:rPr>
          <w:rFonts w:ascii="Sakkal Majalla" w:eastAsia="Calibri" w:hAnsi="Sakkal Majalla" w:cs="Sakkal Majalla"/>
          <w:b/>
          <w:bCs/>
          <w:color w:val="000000" w:themeColor="text1"/>
          <w:sz w:val="36"/>
          <w:szCs w:val="36"/>
          <w:rtl/>
        </w:rPr>
        <w:t>16.1 حدود الدراسة:</w:t>
      </w:r>
      <w:bookmarkEnd w:id="26"/>
    </w:p>
    <w:p w14:paraId="31F7E67A" w14:textId="239D6F7A" w:rsidR="00086EC7" w:rsidRPr="009A3EF4" w:rsidRDefault="00086EC7" w:rsidP="00D91E20">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b/>
          <w:bCs/>
          <w:color w:val="000000" w:themeColor="text1"/>
          <w:sz w:val="28"/>
          <w:szCs w:val="28"/>
          <w:rtl/>
        </w:rPr>
        <w:t>حدود موضوعية</w:t>
      </w:r>
      <w:r w:rsidRPr="009A3EF4">
        <w:rPr>
          <w:rFonts w:ascii="Sakkal Majalla" w:eastAsia="Calibri" w:hAnsi="Sakkal Majalla" w:cs="Sakkal Majalla"/>
          <w:color w:val="000000" w:themeColor="text1"/>
          <w:sz w:val="28"/>
          <w:szCs w:val="28"/>
          <w:rtl/>
        </w:rPr>
        <w:t xml:space="preserve"> : تقتصر الدراسة على تحليل أثر تطبيق </w:t>
      </w:r>
      <w:r w:rsidR="00D37E3B" w:rsidRPr="009A3EF4">
        <w:rPr>
          <w:rFonts w:ascii="Sakkal Majalla" w:eastAsia="Calibri" w:hAnsi="Sakkal Majalla" w:cs="Sakkal Majalla"/>
          <w:color w:val="000000" w:themeColor="text1"/>
          <w:sz w:val="28"/>
          <w:szCs w:val="28"/>
          <w:rtl/>
        </w:rPr>
        <w:t xml:space="preserve">مستوى النضج المؤسسي في إدارة المخاطر على كفاءة مراقبة الأداء وذلك بالتطبيق على المنشآت الصحية السعودية </w:t>
      </w:r>
      <w:r w:rsidRPr="009A3EF4">
        <w:rPr>
          <w:rFonts w:ascii="Sakkal Majalla" w:eastAsia="Calibri" w:hAnsi="Sakkal Majalla" w:cs="Sakkal Majalla"/>
          <w:color w:val="000000" w:themeColor="text1"/>
          <w:sz w:val="28"/>
          <w:szCs w:val="28"/>
          <w:rtl/>
        </w:rPr>
        <w:t>(</w:t>
      </w:r>
      <w:r w:rsidR="00D37E3B" w:rsidRPr="009A3EF4">
        <w:rPr>
          <w:rFonts w:ascii="Sakkal Majalla" w:eastAsia="Calibri" w:hAnsi="Sakkal Majalla" w:cs="Sakkal Majalla"/>
          <w:color w:val="000000" w:themeColor="text1"/>
          <w:sz w:val="28"/>
          <w:szCs w:val="28"/>
          <w:rtl/>
        </w:rPr>
        <w:t>دقة قياس الأداء - جودة البيانات المستخدمة في التقييم - فعالية التقارير الرقابية</w:t>
      </w:r>
      <w:r w:rsidRPr="009A3EF4">
        <w:rPr>
          <w:rFonts w:ascii="Sakkal Majalla" w:eastAsia="Calibri" w:hAnsi="Sakkal Majalla" w:cs="Sakkal Majalla"/>
          <w:color w:val="000000" w:themeColor="text1"/>
          <w:sz w:val="28"/>
          <w:szCs w:val="28"/>
          <w:rtl/>
        </w:rPr>
        <w:t xml:space="preserve">) </w:t>
      </w:r>
    </w:p>
    <w:p w14:paraId="0E519D05" w14:textId="5232578A" w:rsidR="00086EC7" w:rsidRPr="009A3EF4" w:rsidRDefault="00086EC7" w:rsidP="00D91E20">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b/>
          <w:bCs/>
          <w:color w:val="000000" w:themeColor="text1"/>
          <w:sz w:val="28"/>
          <w:szCs w:val="28"/>
          <w:rtl/>
        </w:rPr>
        <w:t>حدود مكانية</w:t>
      </w:r>
      <w:r w:rsidRPr="009A3EF4">
        <w:rPr>
          <w:rFonts w:ascii="Sakkal Majalla" w:eastAsia="Calibri" w:hAnsi="Sakkal Majalla" w:cs="Sakkal Majalla"/>
          <w:color w:val="000000" w:themeColor="text1"/>
          <w:sz w:val="28"/>
          <w:szCs w:val="28"/>
          <w:rtl/>
        </w:rPr>
        <w:t xml:space="preserve">: تُجرى الدراسة على </w:t>
      </w:r>
      <w:r w:rsidR="00D37E3B" w:rsidRPr="009A3EF4">
        <w:rPr>
          <w:rFonts w:ascii="Sakkal Majalla" w:eastAsia="Calibri" w:hAnsi="Sakkal Majalla" w:cs="Sakkal Majalla"/>
          <w:color w:val="000000" w:themeColor="text1"/>
          <w:sz w:val="28"/>
          <w:szCs w:val="28"/>
          <w:rtl/>
        </w:rPr>
        <w:t>المنشآت الصحية السعودية</w:t>
      </w:r>
    </w:p>
    <w:p w14:paraId="70A97DA4" w14:textId="77777777" w:rsidR="00D91E20" w:rsidRPr="009A3EF4" w:rsidRDefault="00086EC7" w:rsidP="00D91E20">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9A3EF4">
        <w:rPr>
          <w:rFonts w:ascii="Sakkal Majalla" w:eastAsia="Calibri" w:hAnsi="Sakkal Majalla" w:cs="Sakkal Majalla"/>
          <w:b/>
          <w:bCs/>
          <w:color w:val="000000" w:themeColor="text1"/>
          <w:sz w:val="28"/>
          <w:szCs w:val="28"/>
          <w:rtl/>
        </w:rPr>
        <w:t>حدود زمانية</w:t>
      </w:r>
      <w:r w:rsidRPr="009A3EF4">
        <w:rPr>
          <w:rFonts w:ascii="Sakkal Majalla" w:eastAsia="Calibri" w:hAnsi="Sakkal Majalla" w:cs="Sakkal Majalla"/>
          <w:color w:val="000000" w:themeColor="text1"/>
          <w:sz w:val="28"/>
          <w:szCs w:val="28"/>
          <w:rtl/>
        </w:rPr>
        <w:t xml:space="preserve"> : تم إعداد الدراسة في عام 2025.</w:t>
      </w:r>
    </w:p>
    <w:p w14:paraId="3B70001F" w14:textId="3145ECE6" w:rsidR="00D37E3B" w:rsidRPr="009A3EF4" w:rsidRDefault="00086EC7" w:rsidP="00D91E20">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tl/>
        </w:rPr>
      </w:pPr>
      <w:r w:rsidRPr="009A3EF4">
        <w:rPr>
          <w:rFonts w:ascii="Sakkal Majalla" w:eastAsia="Calibri" w:hAnsi="Sakkal Majalla" w:cs="Sakkal Majalla"/>
          <w:b/>
          <w:bCs/>
          <w:color w:val="000000" w:themeColor="text1"/>
          <w:sz w:val="28"/>
          <w:szCs w:val="28"/>
          <w:rtl/>
        </w:rPr>
        <w:t>حدود بشرية</w:t>
      </w:r>
      <w:r w:rsidRPr="009A3EF4">
        <w:rPr>
          <w:rFonts w:ascii="Sakkal Majalla" w:eastAsia="Calibri" w:hAnsi="Sakkal Majalla" w:cs="Sakkal Majalla"/>
          <w:color w:val="000000" w:themeColor="text1"/>
          <w:sz w:val="28"/>
          <w:szCs w:val="28"/>
          <w:rtl/>
        </w:rPr>
        <w:t xml:space="preserve">: تقتصر الحدود البشرية لهذه الدراسة على العاملين في </w:t>
      </w:r>
      <w:r w:rsidR="00D37E3B" w:rsidRPr="009A3EF4">
        <w:rPr>
          <w:rFonts w:ascii="Sakkal Majalla" w:eastAsia="Calibri" w:hAnsi="Sakkal Majalla" w:cs="Sakkal Majalla"/>
          <w:color w:val="000000" w:themeColor="text1"/>
          <w:sz w:val="28"/>
          <w:szCs w:val="28"/>
          <w:rtl/>
        </w:rPr>
        <w:t>المنشآت الصحية السعودية</w:t>
      </w:r>
      <w:r w:rsidRPr="009A3EF4">
        <w:rPr>
          <w:rFonts w:ascii="Sakkal Majalla" w:eastAsia="Calibri" w:hAnsi="Sakkal Majalla" w:cs="Sakkal Majalla"/>
          <w:color w:val="000000" w:themeColor="text1"/>
          <w:sz w:val="28"/>
          <w:szCs w:val="28"/>
          <w:rtl/>
        </w:rPr>
        <w:t xml:space="preserve">، ممن لديهم ارتباط مباشر </w:t>
      </w:r>
      <w:r w:rsidR="00B76880" w:rsidRPr="009A3EF4">
        <w:rPr>
          <w:rFonts w:ascii="Sakkal Majalla" w:eastAsia="Calibri" w:hAnsi="Sakkal Majalla" w:cs="Sakkal Majalla"/>
          <w:color w:val="000000" w:themeColor="text1"/>
          <w:sz w:val="28"/>
          <w:szCs w:val="28"/>
          <w:rtl/>
        </w:rPr>
        <w:t>بالأعمال الحكومية</w:t>
      </w:r>
      <w:bookmarkStart w:id="27" w:name="_Toc201352826"/>
    </w:p>
    <w:p w14:paraId="17C40A4E" w14:textId="77777777" w:rsidR="00D37E3B" w:rsidRPr="009A3EF4" w:rsidRDefault="00D37E3B" w:rsidP="00FA5AF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46461BF4" w14:textId="77777777" w:rsidR="00D91E20" w:rsidRPr="009A3EF4" w:rsidRDefault="00D91E20">
      <w:pPr>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br w:type="page"/>
      </w:r>
    </w:p>
    <w:p w14:paraId="0AAB495E" w14:textId="35D9FC9C" w:rsidR="00D91E20" w:rsidRPr="009A3EF4" w:rsidRDefault="00D91E20" w:rsidP="00D91E20">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8" w:name="_Toc211869378"/>
      <w:r w:rsidRPr="009A3EF4">
        <w:rPr>
          <w:rFonts w:ascii="Sakkal Majalla" w:eastAsia="Calibri" w:hAnsi="Sakkal Majalla" w:cs="Sakkal Majalla" w:hint="cs"/>
          <w:b/>
          <w:bCs/>
          <w:color w:val="000000" w:themeColor="text1"/>
          <w:sz w:val="40"/>
          <w:szCs w:val="40"/>
          <w:rtl/>
        </w:rPr>
        <w:t>الفصل الثاني: الإطار النظري</w:t>
      </w:r>
      <w:bookmarkEnd w:id="28"/>
    </w:p>
    <w:p w14:paraId="5D5038A0" w14:textId="65F36A69" w:rsidR="00C121AB" w:rsidRPr="009A3EF4" w:rsidRDefault="00C121AB" w:rsidP="00D91E2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29" w:name="_Toc211869379"/>
      <w:r w:rsidRPr="009A3EF4">
        <w:rPr>
          <w:rFonts w:ascii="Sakkal Majalla" w:eastAsia="Calibri" w:hAnsi="Sakkal Majalla" w:cs="Sakkal Majalla"/>
          <w:b/>
          <w:bCs/>
          <w:color w:val="000000" w:themeColor="text1"/>
          <w:sz w:val="36"/>
          <w:szCs w:val="36"/>
          <w:rtl/>
        </w:rPr>
        <w:t>المبحث الأول: مفهوم النضج المؤسسي في إدارة المخاطر</w:t>
      </w:r>
      <w:r w:rsidRPr="009A3EF4">
        <w:rPr>
          <w:rFonts w:ascii="Sakkal Majalla" w:eastAsia="Calibri" w:hAnsi="Sakkal Majalla" w:cs="Sakkal Majalla"/>
          <w:b/>
          <w:bCs/>
          <w:color w:val="000000" w:themeColor="text1"/>
          <w:sz w:val="36"/>
          <w:szCs w:val="36"/>
        </w:rPr>
        <w:t>.</w:t>
      </w:r>
      <w:bookmarkEnd w:id="29"/>
    </w:p>
    <w:p w14:paraId="280556B9" w14:textId="4AB6FEAD" w:rsidR="00C121AB"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0" w:name="_Toc211869380"/>
      <w:r w:rsidRPr="009A3EF4">
        <w:rPr>
          <w:rFonts w:ascii="Sakkal Majalla" w:eastAsia="Calibri" w:hAnsi="Sakkal Majalla" w:cs="Sakkal Majalla" w:hint="cs"/>
          <w:b/>
          <w:bCs/>
          <w:color w:val="000000" w:themeColor="text1"/>
          <w:sz w:val="32"/>
          <w:szCs w:val="32"/>
          <w:rtl/>
        </w:rPr>
        <w:t xml:space="preserve">1.1.2 </w:t>
      </w:r>
      <w:r w:rsidR="00C121AB" w:rsidRPr="009A3EF4">
        <w:rPr>
          <w:rFonts w:ascii="Sakkal Majalla" w:eastAsia="Calibri" w:hAnsi="Sakkal Majalla" w:cs="Sakkal Majalla"/>
          <w:b/>
          <w:bCs/>
          <w:color w:val="000000" w:themeColor="text1"/>
          <w:sz w:val="32"/>
          <w:szCs w:val="32"/>
          <w:rtl/>
        </w:rPr>
        <w:t>التمهيد</w:t>
      </w:r>
      <w:bookmarkEnd w:id="30"/>
    </w:p>
    <w:p w14:paraId="6FDCC0C9" w14:textId="17BD35C0"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يُعدّ مفهوم النضج المؤسسي في إدارة المخاطر من المفاهيم الإدارية الحديثة التي اكتسبت أهمية متزايدة في ظل بيئات العمل المعقدة والمتغيرة، إذ أصبح مدى نضج المؤسسة في تعاملها مع المخاطر أحد المؤشرات الرئيسة على قدرتها في تحقيق أهدافها بكفاءة واستدامة، لاسيما في القطاعات الحيوية كقطاع الصحة، حيث تتشابك العوامل التشغيلية والتنظيمية والتقنية وتنعكس مباشرة على جودة الخدمات وسلامة المستفيدين، ويرتبط هذا المفهوم بمدى قدرة المؤسسة على بناء ثقافة إدارية ناضجة تتعامل مع المخاطر بشكل استباقي، وتعتمد على أنظمة مؤسسية متكاملة في التنبؤ بالمخاطر وقياسها والاستجابة لها بفاعلية</w:t>
      </w:r>
      <w:r w:rsidRPr="009A3EF4">
        <w:rPr>
          <w:rFonts w:ascii="Sakkal Majalla" w:eastAsia="Calibri" w:hAnsi="Sakkal Majalla" w:cs="Sakkal Majalla"/>
          <w:color w:val="000000" w:themeColor="text1"/>
          <w:sz w:val="28"/>
          <w:szCs w:val="28"/>
        </w:rPr>
        <w:t>.</w:t>
      </w:r>
    </w:p>
    <w:p w14:paraId="00E5DF13"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 xml:space="preserve">إن النضج المؤسسي لا يعني فقط وجود سياسات وإجراءات مكتوبة لإدارة المخاطر، بل يتجاوز ذلك إلى ترسيخ منهج إداري متكامل في جميع مستويات المنظمة، يربط بين الحوكمة، والتخطيط، والعمليات، والتكنولوجيا، والموارد البشرية. </w:t>
      </w:r>
    </w:p>
    <w:p w14:paraId="02DCC719" w14:textId="50C3C192"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ومن هذا المنطلق، تبرز الحاجة إلى تقييم درجة النضج المؤسسي في إدارة المخاطر داخل المنشآت الصحية السعودية، باعتبارها مؤسسات تقدم خدمات حساسة تتأثر مباشرة بمستوى الجاهزية التنظيمية والاستراتيجية لمواجهة المخاطر التشغيلية والسريرية والتقنية</w:t>
      </w:r>
      <w:r w:rsidRPr="009A3EF4">
        <w:rPr>
          <w:rFonts w:ascii="Sakkal Majalla" w:eastAsia="Calibri" w:hAnsi="Sakkal Majalla" w:cs="Sakkal Majalla"/>
          <w:color w:val="000000" w:themeColor="text1"/>
          <w:sz w:val="28"/>
          <w:szCs w:val="28"/>
        </w:rPr>
        <w:t>.</w:t>
      </w:r>
    </w:p>
    <w:p w14:paraId="1A0594B6" w14:textId="4AD400ED" w:rsidR="00C121AB"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1" w:name="_Toc211869381"/>
      <w:r w:rsidRPr="009A3EF4">
        <w:rPr>
          <w:rFonts w:ascii="Sakkal Majalla" w:eastAsia="Calibri" w:hAnsi="Sakkal Majalla" w:cs="Sakkal Majalla" w:hint="cs"/>
          <w:b/>
          <w:bCs/>
          <w:color w:val="000000" w:themeColor="text1"/>
          <w:sz w:val="32"/>
          <w:szCs w:val="32"/>
          <w:rtl/>
        </w:rPr>
        <w:t xml:space="preserve">2.1.2 </w:t>
      </w:r>
      <w:r w:rsidR="00C121AB" w:rsidRPr="009A3EF4">
        <w:rPr>
          <w:rFonts w:ascii="Sakkal Majalla" w:eastAsia="Calibri" w:hAnsi="Sakkal Majalla" w:cs="Sakkal Majalla"/>
          <w:b/>
          <w:bCs/>
          <w:color w:val="000000" w:themeColor="text1"/>
          <w:sz w:val="32"/>
          <w:szCs w:val="32"/>
          <w:rtl/>
        </w:rPr>
        <w:t>مفهوم النضج المؤسسي في إدارة المخاطر</w:t>
      </w:r>
      <w:bookmarkEnd w:id="31"/>
    </w:p>
    <w:p w14:paraId="6326BF64"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يُعد النضج المؤسسي في إدارة المخاطر مفهومًا تطوريًا يشير إلى مدى تطور المؤسسة في بناء منظومة شاملة لإدارة المخاطر تتسم بالاتساق والفاعلية والاستدامة. ويرتبط هذا النضج بمدى تكامل الممارسات والسياسات والإجراءات التي تتبناها المنظمة لإدارة المخاطر عبر مستوياتها المختلفة</w:t>
      </w:r>
      <w:r w:rsidRPr="009A3EF4">
        <w:rPr>
          <w:rFonts w:ascii="Sakkal Majalla" w:eastAsia="Calibri" w:hAnsi="Sakkal Majalla" w:cs="Sakkal Majalla"/>
          <w:color w:val="000000" w:themeColor="text1"/>
          <w:sz w:val="28"/>
          <w:szCs w:val="28"/>
        </w:rPr>
        <w:t>.</w:t>
      </w:r>
    </w:p>
    <w:p w14:paraId="60893EC9"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عرّف عيد</w:t>
      </w:r>
      <w:r w:rsidRPr="009A3EF4">
        <w:rPr>
          <w:rFonts w:ascii="Sakkal Majalla" w:eastAsia="Calibri" w:hAnsi="Sakkal Majalla" w:cs="Sakkal Majalla"/>
          <w:color w:val="000000" w:themeColor="text1"/>
          <w:sz w:val="28"/>
          <w:szCs w:val="28"/>
        </w:rPr>
        <w:t xml:space="preserve"> (2021) </w:t>
      </w:r>
      <w:r w:rsidRPr="009A3EF4">
        <w:rPr>
          <w:rFonts w:ascii="Sakkal Majalla" w:eastAsia="Calibri" w:hAnsi="Sakkal Majalla" w:cs="Sakkal Majalla"/>
          <w:color w:val="000000" w:themeColor="text1"/>
          <w:sz w:val="28"/>
          <w:szCs w:val="28"/>
          <w:rtl/>
        </w:rPr>
        <w:t>النضج المؤسسي بأنه مرحلة متقدمة من التطور التنظيمي تعبّر عن قدرة المؤسسة على التحول من الممارسات الإدارية العفوية إلى ممارسات مؤسسية منهجية قائمة على التعلم والتحسين المستمر، بما يمكّنها من تحقيق المناعة التنظيمية والاستجابة الفاعلة للتحديات. ويرى أن النضج المؤسسي في إدارة المخاطر يُعد انعكاسًا لمدى توافر نظم واضحة للحوكمة، وآليات فعالة للتقييم والمراجعة الدورية للمخاطر، ومستويات عالية من الوعي الإداري تجاهها</w:t>
      </w:r>
      <w:r w:rsidRPr="009A3EF4">
        <w:rPr>
          <w:rFonts w:ascii="Sakkal Majalla" w:eastAsia="Calibri" w:hAnsi="Sakkal Majalla" w:cs="Sakkal Majalla"/>
          <w:color w:val="000000" w:themeColor="text1"/>
          <w:sz w:val="28"/>
          <w:szCs w:val="28"/>
        </w:rPr>
        <w:t>.</w:t>
      </w:r>
    </w:p>
    <w:p w14:paraId="0C3A8E99"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بينما أوضحت حباكة</w:t>
      </w:r>
      <w:r w:rsidRPr="009A3EF4">
        <w:rPr>
          <w:rFonts w:ascii="Sakkal Majalla" w:eastAsia="Calibri" w:hAnsi="Sakkal Majalla" w:cs="Sakkal Majalla"/>
          <w:color w:val="000000" w:themeColor="text1"/>
          <w:sz w:val="28"/>
          <w:szCs w:val="28"/>
        </w:rPr>
        <w:t xml:space="preserve"> (2022) </w:t>
      </w:r>
      <w:r w:rsidRPr="009A3EF4">
        <w:rPr>
          <w:rFonts w:ascii="Sakkal Majalla" w:eastAsia="Calibri" w:hAnsi="Sakkal Majalla" w:cs="Sakkal Majalla"/>
          <w:color w:val="000000" w:themeColor="text1"/>
          <w:sz w:val="28"/>
          <w:szCs w:val="28"/>
          <w:rtl/>
        </w:rPr>
        <w:t>أن النضج المؤسسي هو حالة من التكامل التنظيمي التي يتم من خلالها تطوير القدرات المؤسسية وتوحيد الممارسات القيادية والإجرائية بما يضمن التميز الإداري. وترى أن تحقيق النضج المؤسسي في إدارة المخاطر يتطلب وجود ثقافة مؤسسية داعمة للتعلم التنظيمي، واستخدام أدوات تقييم معيارية تسهم في تحديد الفجوات وتطوير الأداء المؤسسي</w:t>
      </w:r>
      <w:r w:rsidRPr="009A3EF4">
        <w:rPr>
          <w:rFonts w:ascii="Sakkal Majalla" w:eastAsia="Calibri" w:hAnsi="Sakkal Majalla" w:cs="Sakkal Majalla"/>
          <w:color w:val="000000" w:themeColor="text1"/>
          <w:sz w:val="28"/>
          <w:szCs w:val="28"/>
        </w:rPr>
        <w:t>.</w:t>
      </w:r>
    </w:p>
    <w:p w14:paraId="3D7D3470"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وأشار اليامي</w:t>
      </w:r>
      <w:r w:rsidRPr="009A3EF4">
        <w:rPr>
          <w:rFonts w:ascii="Sakkal Majalla" w:eastAsia="Calibri" w:hAnsi="Sakkal Majalla" w:cs="Sakkal Majalla"/>
          <w:color w:val="000000" w:themeColor="text1"/>
          <w:sz w:val="28"/>
          <w:szCs w:val="28"/>
        </w:rPr>
        <w:t xml:space="preserve"> (2024) </w:t>
      </w:r>
      <w:r w:rsidRPr="009A3EF4">
        <w:rPr>
          <w:rFonts w:ascii="Sakkal Majalla" w:eastAsia="Calibri" w:hAnsi="Sakkal Majalla" w:cs="Sakkal Majalla"/>
          <w:color w:val="000000" w:themeColor="text1"/>
          <w:sz w:val="28"/>
          <w:szCs w:val="28"/>
          <w:rtl/>
        </w:rPr>
        <w:t>إلى أن النضج المؤسسي هو عملية تقييم مستمرة لمدى تقدم المؤسسة في تطبيق أنظمة إدارة المعرفة وإدارة المخاطر بما ينسجم مع الأهداف الاستراتيجية، موضحة أن النضج المؤسسي يقاس من خلال قدرة المنظمة على تحويل الممارسات الفردية إلى إجراءات معيارية قابلة للقياس والتحسين</w:t>
      </w:r>
      <w:r w:rsidRPr="009A3EF4">
        <w:rPr>
          <w:rFonts w:ascii="Sakkal Majalla" w:eastAsia="Calibri" w:hAnsi="Sakkal Majalla" w:cs="Sakkal Majalla"/>
          <w:color w:val="000000" w:themeColor="text1"/>
          <w:sz w:val="28"/>
          <w:szCs w:val="28"/>
        </w:rPr>
        <w:t>.</w:t>
      </w:r>
    </w:p>
    <w:p w14:paraId="4CC39D14" w14:textId="76615232"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rPr>
        <w:t>أما عبده وسعد</w:t>
      </w:r>
      <w:r w:rsidRPr="009A3EF4">
        <w:rPr>
          <w:rFonts w:ascii="Sakkal Majalla" w:eastAsia="Calibri" w:hAnsi="Sakkal Majalla" w:cs="Sakkal Majalla"/>
          <w:color w:val="000000" w:themeColor="text1"/>
          <w:sz w:val="28"/>
          <w:szCs w:val="28"/>
        </w:rPr>
        <w:t xml:space="preserve"> (2024) </w:t>
      </w:r>
      <w:r w:rsidRPr="009A3EF4">
        <w:rPr>
          <w:rFonts w:ascii="Sakkal Majalla" w:eastAsia="Calibri" w:hAnsi="Sakkal Majalla" w:cs="Sakkal Majalla"/>
          <w:color w:val="000000" w:themeColor="text1"/>
          <w:sz w:val="28"/>
          <w:szCs w:val="28"/>
          <w:rtl/>
        </w:rPr>
        <w:t>فقد قدّما منظورًا ديناميكيًا للمفهوم، حيث اعتبرا أن النضج المؤسسي في إدارة المخاطر يمثل انتقال المؤسسة من مرحلة ردّ الفعل إلى مرحلة المبادرة في التعامل مع المخاطر، بما يحقق التوازن بين المرونة والضبط الإداري، ويسهم في تعزيز البراعة التنظيمية.</w:t>
      </w:r>
    </w:p>
    <w:p w14:paraId="5A5B607A" w14:textId="076DE2B5"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lang w:bidi="ar-EG"/>
        </w:rPr>
        <w:t>و</w:t>
      </w:r>
      <w:r w:rsidRPr="009A3EF4">
        <w:rPr>
          <w:rFonts w:ascii="Sakkal Majalla" w:eastAsia="Calibri" w:hAnsi="Sakkal Majalla" w:cs="Sakkal Majalla"/>
          <w:color w:val="000000" w:themeColor="text1"/>
          <w:sz w:val="28"/>
          <w:szCs w:val="28"/>
          <w:rtl/>
        </w:rPr>
        <w:t xml:space="preserve"> أشار </w:t>
      </w:r>
      <w:r w:rsidRPr="009A3EF4">
        <w:rPr>
          <w:rFonts w:ascii="Sakkal Majalla" w:eastAsia="Calibri" w:hAnsi="Sakkal Majalla" w:cs="Sakkal Majalla"/>
          <w:color w:val="000000" w:themeColor="text1"/>
          <w:sz w:val="28"/>
          <w:szCs w:val="28"/>
        </w:rPr>
        <w:t xml:space="preserve">Dellana et al. (2022) </w:t>
      </w:r>
      <w:r w:rsidRPr="009A3EF4">
        <w:rPr>
          <w:rFonts w:ascii="Sakkal Majalla" w:eastAsia="Calibri" w:hAnsi="Sakkal Majalla" w:cs="Sakkal Majalla"/>
          <w:color w:val="000000" w:themeColor="text1"/>
          <w:sz w:val="28"/>
          <w:szCs w:val="28"/>
          <w:rtl/>
        </w:rPr>
        <w:t>إلى أن النضج المؤسسي في إدارة المخاطر هو مقياس لقدرة المنظمة على دمج إدارة المخاطر في جميع عملياتها ووظائفها، ويُعبّر عن تطور أنظمة المراقبة والتحليل والاتصال المؤسسي بما يتيح إدارة المخاطر بطريقة متكاملة واستباقية</w:t>
      </w:r>
      <w:r w:rsidRPr="009A3EF4">
        <w:rPr>
          <w:rFonts w:ascii="Sakkal Majalla" w:eastAsia="Calibri" w:hAnsi="Sakkal Majalla" w:cs="Sakkal Majalla"/>
          <w:color w:val="000000" w:themeColor="text1"/>
          <w:sz w:val="28"/>
          <w:szCs w:val="28"/>
        </w:rPr>
        <w:t>.</w:t>
      </w:r>
    </w:p>
    <w:p w14:paraId="7E910FCB"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أما </w:t>
      </w:r>
      <w:r w:rsidRPr="009A3EF4">
        <w:rPr>
          <w:rFonts w:ascii="Sakkal Majalla" w:eastAsia="Calibri" w:hAnsi="Sakkal Majalla" w:cs="Sakkal Majalla"/>
          <w:color w:val="000000" w:themeColor="text1"/>
          <w:sz w:val="28"/>
          <w:szCs w:val="28"/>
        </w:rPr>
        <w:t xml:space="preserve">Mahama et al. (2022) </w:t>
      </w:r>
      <w:r w:rsidRPr="009A3EF4">
        <w:rPr>
          <w:rFonts w:ascii="Sakkal Majalla" w:eastAsia="Calibri" w:hAnsi="Sakkal Majalla" w:cs="Sakkal Majalla"/>
          <w:color w:val="000000" w:themeColor="text1"/>
          <w:sz w:val="28"/>
          <w:szCs w:val="28"/>
          <w:rtl/>
        </w:rPr>
        <w:t>فيرون أن النضج المؤسسي في إدارة المخاطر هو حالة من التمكّن الإداري تُبنى عبر الوقت من خلال الممارسة والخبرة والتعلم المؤسسي، وتُظهر قدرة المنظمة على التنبؤ بالمخاطر قبل حدوثها، وتكييف استراتيجياتها التشغيلية لمواجهتها بفعالية</w:t>
      </w:r>
      <w:r w:rsidRPr="009A3EF4">
        <w:rPr>
          <w:rFonts w:ascii="Sakkal Majalla" w:eastAsia="Calibri" w:hAnsi="Sakkal Majalla" w:cs="Sakkal Majalla"/>
          <w:color w:val="000000" w:themeColor="text1"/>
          <w:sz w:val="28"/>
          <w:szCs w:val="28"/>
        </w:rPr>
        <w:t>.</w:t>
      </w:r>
    </w:p>
    <w:p w14:paraId="1E17D908"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كما أوضح </w:t>
      </w:r>
      <w:r w:rsidRPr="009A3EF4">
        <w:rPr>
          <w:rFonts w:ascii="Sakkal Majalla" w:eastAsia="Calibri" w:hAnsi="Sakkal Majalla" w:cs="Sakkal Majalla"/>
          <w:color w:val="000000" w:themeColor="text1"/>
          <w:sz w:val="28"/>
          <w:szCs w:val="28"/>
        </w:rPr>
        <w:t xml:space="preserve">Kawtar &amp; Khadija (2025) </w:t>
      </w:r>
      <w:r w:rsidRPr="009A3EF4">
        <w:rPr>
          <w:rFonts w:ascii="Sakkal Majalla" w:eastAsia="Calibri" w:hAnsi="Sakkal Majalla" w:cs="Sakkal Majalla"/>
          <w:color w:val="000000" w:themeColor="text1"/>
          <w:sz w:val="28"/>
          <w:szCs w:val="28"/>
          <w:rtl/>
        </w:rPr>
        <w:t>أن النضج المؤسسي في إدارة المخاطر يتجسد في قدرة المؤسسة على تحقيق الكفاءة التنظيمية من خلال تكامل نظم الحوكمة وسلاسل الإمداد والمعلومات، مشيرين إلى أن المؤسسات الناضجة تتسم بقدرتها على الربط بين تقييم المخاطر والأداء المؤسسي بصورة مباشرة</w:t>
      </w:r>
      <w:r w:rsidRPr="009A3EF4">
        <w:rPr>
          <w:rFonts w:ascii="Sakkal Majalla" w:eastAsia="Calibri" w:hAnsi="Sakkal Majalla" w:cs="Sakkal Majalla"/>
          <w:color w:val="000000" w:themeColor="text1"/>
          <w:sz w:val="28"/>
          <w:szCs w:val="28"/>
        </w:rPr>
        <w:t>.</w:t>
      </w:r>
    </w:p>
    <w:p w14:paraId="348EAE54"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يرى الباحث أن النضج المؤسسي في إدارة المخاطر يمثل الإطار الإداري الذي يعكس مدى تطور المؤسسة في ترسيخ مبادئ الحوكمة وإدارة الأداء، من خلال بناء منظومة شاملة تتكامل فيها الأدوار والعمليات والثقافة التنظيمية</w:t>
      </w:r>
      <w:r w:rsidRPr="009A3EF4">
        <w:rPr>
          <w:rFonts w:ascii="Sakkal Majalla" w:eastAsia="Calibri" w:hAnsi="Sakkal Majalla" w:cs="Sakkal Majalla"/>
          <w:color w:val="000000" w:themeColor="text1"/>
          <w:sz w:val="28"/>
          <w:szCs w:val="28"/>
        </w:rPr>
        <w:t xml:space="preserve">. </w:t>
      </w:r>
    </w:p>
    <w:p w14:paraId="7DCE7119" w14:textId="46932638" w:rsidR="00C121AB"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2" w:name="_Toc211869382"/>
      <w:r w:rsidRPr="009A3EF4">
        <w:rPr>
          <w:rFonts w:ascii="Sakkal Majalla" w:eastAsia="Calibri" w:hAnsi="Sakkal Majalla" w:cs="Sakkal Majalla" w:hint="cs"/>
          <w:b/>
          <w:bCs/>
          <w:color w:val="000000" w:themeColor="text1"/>
          <w:sz w:val="32"/>
          <w:szCs w:val="32"/>
          <w:rtl/>
        </w:rPr>
        <w:t xml:space="preserve">3.1.2 </w:t>
      </w:r>
      <w:r w:rsidR="00C121AB" w:rsidRPr="009A3EF4">
        <w:rPr>
          <w:rFonts w:ascii="Sakkal Majalla" w:eastAsia="Calibri" w:hAnsi="Sakkal Majalla" w:cs="Sakkal Majalla"/>
          <w:b/>
          <w:bCs/>
          <w:color w:val="000000" w:themeColor="text1"/>
          <w:sz w:val="32"/>
          <w:szCs w:val="32"/>
          <w:rtl/>
        </w:rPr>
        <w:t xml:space="preserve"> أهمية النضج المؤسسي في إدارة المخاطر</w:t>
      </w:r>
      <w:bookmarkEnd w:id="32"/>
    </w:p>
    <w:p w14:paraId="691F7FE4" w14:textId="12D4D735"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تبرز أهمية النضج المؤسسي في إدارة المخاطر من كونه يمثل الإطار المنهجي الذي يمكّن المؤسسات من الانتقال من التعامل العشوائي أو الاستجابي مع المخاطر إلى منهج إداري استباقي قائم على التنبؤ والتحليل والتحكم. فكلما ارتفع مستوى النضج، ازدادت قدرة المؤسسة على استيعاب المخاطر المحتملة والتعامل معها بفعالية، بما يعزز كفاءة الأداء ويحد من الخسائر التشغيلية والمالية</w:t>
      </w:r>
      <w:r w:rsidR="00D91E20" w:rsidRPr="009A3EF4">
        <w:rPr>
          <w:rFonts w:ascii="Sakkal Majalla" w:eastAsia="Calibri" w:hAnsi="Sakkal Majalla" w:cs="Sakkal Majalla"/>
          <w:color w:val="000000" w:themeColor="text1"/>
          <w:sz w:val="28"/>
          <w:szCs w:val="28"/>
        </w:rPr>
        <w:t>.</w:t>
      </w:r>
    </w:p>
    <w:p w14:paraId="72E97399"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يشير عيد</w:t>
      </w:r>
      <w:r w:rsidRPr="009A3EF4">
        <w:rPr>
          <w:rFonts w:ascii="Sakkal Majalla" w:eastAsia="Calibri" w:hAnsi="Sakkal Majalla" w:cs="Sakkal Majalla"/>
          <w:color w:val="000000" w:themeColor="text1"/>
          <w:sz w:val="28"/>
          <w:szCs w:val="28"/>
        </w:rPr>
        <w:t xml:space="preserve"> (2021) </w:t>
      </w:r>
      <w:r w:rsidRPr="009A3EF4">
        <w:rPr>
          <w:rFonts w:ascii="Sakkal Majalla" w:eastAsia="Calibri" w:hAnsi="Sakkal Majalla" w:cs="Sakkal Majalla"/>
          <w:color w:val="000000" w:themeColor="text1"/>
          <w:sz w:val="28"/>
          <w:szCs w:val="28"/>
          <w:rtl/>
        </w:rPr>
        <w:t>إلى أن أهمية النضج المؤسسي في إدارة المخاطر تكمن في قدرته على تحويل ثقافة المؤسسة من رد الفعل إلى التفاعل والتخطيط المسبق، إذ يسهم في</w:t>
      </w:r>
      <w:r w:rsidRPr="009A3EF4">
        <w:rPr>
          <w:rFonts w:ascii="Sakkal Majalla" w:eastAsia="Calibri" w:hAnsi="Sakkal Majalla" w:cs="Sakkal Majalla"/>
          <w:color w:val="000000" w:themeColor="text1"/>
          <w:sz w:val="28"/>
          <w:szCs w:val="28"/>
        </w:rPr>
        <w:t>:</w:t>
      </w:r>
    </w:p>
    <w:p w14:paraId="0104A43B" w14:textId="77777777" w:rsidR="00C121AB" w:rsidRPr="009A3EF4" w:rsidRDefault="00C121AB" w:rsidP="00D91E2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تحسين جودة القرارات الإدارية من خلال توفير بيانات دقيقة وآليات تحليل منضبطة تساعد في التنبؤ بالمخاطر وتقدير آثارها المحتملة</w:t>
      </w:r>
      <w:r w:rsidRPr="009A3EF4">
        <w:rPr>
          <w:rFonts w:ascii="Sakkal Majalla" w:eastAsia="Calibri" w:hAnsi="Sakkal Majalla" w:cs="Sakkal Majalla"/>
          <w:color w:val="000000" w:themeColor="text1"/>
          <w:sz w:val="28"/>
          <w:szCs w:val="28"/>
        </w:rPr>
        <w:t>.</w:t>
      </w:r>
    </w:p>
    <w:p w14:paraId="2A1D285A" w14:textId="77777777" w:rsidR="00C121AB" w:rsidRPr="009A3EF4" w:rsidRDefault="00C121AB" w:rsidP="00D91E2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تعزيز المرونة التنظيمية، حيث يسمح النضج المؤسسي بتبني نماذج تشغيلية مرنة تستجيب بسرعة للتغيرات المفاجئة أو الأزمات دون فقدان السيطرة الإدارية</w:t>
      </w:r>
      <w:r w:rsidRPr="009A3EF4">
        <w:rPr>
          <w:rFonts w:ascii="Sakkal Majalla" w:eastAsia="Calibri" w:hAnsi="Sakkal Majalla" w:cs="Sakkal Majalla"/>
          <w:color w:val="000000" w:themeColor="text1"/>
          <w:sz w:val="28"/>
          <w:szCs w:val="28"/>
        </w:rPr>
        <w:t>.</w:t>
      </w:r>
    </w:p>
    <w:p w14:paraId="3BA1D206" w14:textId="77777777" w:rsidR="00C121AB" w:rsidRPr="009A3EF4" w:rsidRDefault="00C121AB" w:rsidP="00D91E2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تحقيق الاستدامة المؤسسية عبر ترسيخ ثقافة الوعي بالمخاطر وإدماجها في كافة العمليات التشغيلية والمالية، بما يضمن بقاء المؤسسة قادرة على تحقيق أهدافها طويلة الأجل رغم التحديات البيئية</w:t>
      </w:r>
      <w:r w:rsidRPr="009A3EF4">
        <w:rPr>
          <w:rFonts w:ascii="Sakkal Majalla" w:eastAsia="Calibri" w:hAnsi="Sakkal Majalla" w:cs="Sakkal Majalla"/>
          <w:color w:val="000000" w:themeColor="text1"/>
          <w:sz w:val="28"/>
          <w:szCs w:val="28"/>
        </w:rPr>
        <w:t>.</w:t>
      </w:r>
    </w:p>
    <w:p w14:paraId="4A03008A"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ويرى عبده وسعد</w:t>
      </w:r>
      <w:r w:rsidRPr="009A3EF4">
        <w:rPr>
          <w:rFonts w:ascii="Sakkal Majalla" w:eastAsia="Calibri" w:hAnsi="Sakkal Majalla" w:cs="Sakkal Majalla"/>
          <w:color w:val="000000" w:themeColor="text1"/>
          <w:sz w:val="28"/>
          <w:szCs w:val="28"/>
        </w:rPr>
        <w:t xml:space="preserve"> (2024) </w:t>
      </w:r>
      <w:r w:rsidRPr="009A3EF4">
        <w:rPr>
          <w:rFonts w:ascii="Sakkal Majalla" w:eastAsia="Calibri" w:hAnsi="Sakkal Majalla" w:cs="Sakkal Majalla"/>
          <w:color w:val="000000" w:themeColor="text1"/>
          <w:sz w:val="28"/>
          <w:szCs w:val="28"/>
          <w:rtl/>
        </w:rPr>
        <w:t>أن النضج المؤسسي في إدارة المخاطر يمثل أحد الأعمدة الرئيسة لتعزيز البراعة التنظيمية، موضحين أن أهميته لا تقتصر على تقليل احتمالات وقوع الأخطاء أو الخسائر، بل تمتد إلى تمكين المؤسسة من التعلم من المخاطر السابقة، وتطوير قدراتها الاستراتيجية على التحسين المستمر. وتكمن أهمية النضج المؤسسي لديهم في</w:t>
      </w:r>
      <w:r w:rsidRPr="009A3EF4">
        <w:rPr>
          <w:rFonts w:ascii="Sakkal Majalla" w:eastAsia="Calibri" w:hAnsi="Sakkal Majalla" w:cs="Sakkal Majalla"/>
          <w:color w:val="000000" w:themeColor="text1"/>
          <w:sz w:val="28"/>
          <w:szCs w:val="28"/>
        </w:rPr>
        <w:t>:</w:t>
      </w:r>
    </w:p>
    <w:p w14:paraId="703893E2" w14:textId="77777777" w:rsidR="00C121AB" w:rsidRPr="009A3EF4" w:rsidRDefault="00C121AB" w:rsidP="00D91E2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تحقيق التوازن بين الانضباط الإداري والمرونة التشغيلية، مما يعزز القدرة على الابتكار في بيئة تتسم بعدم اليقين</w:t>
      </w:r>
      <w:r w:rsidRPr="009A3EF4">
        <w:rPr>
          <w:rFonts w:ascii="Sakkal Majalla" w:eastAsia="Calibri" w:hAnsi="Sakkal Majalla" w:cs="Sakkal Majalla"/>
          <w:color w:val="000000" w:themeColor="text1"/>
          <w:sz w:val="28"/>
          <w:szCs w:val="28"/>
        </w:rPr>
        <w:t>.</w:t>
      </w:r>
    </w:p>
    <w:p w14:paraId="458E3891" w14:textId="77777777" w:rsidR="00C121AB" w:rsidRPr="009A3EF4" w:rsidRDefault="00C121AB" w:rsidP="00D91E2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رفع كفاءة نظم المراقبة الداخلية التي تعتمد على بيانات تحليلية دقيقة ومؤشرات أداء متكاملة، الأمر الذي يرفع جودة التقارير الرقابية</w:t>
      </w:r>
      <w:r w:rsidRPr="009A3EF4">
        <w:rPr>
          <w:rFonts w:ascii="Sakkal Majalla" w:eastAsia="Calibri" w:hAnsi="Sakkal Majalla" w:cs="Sakkal Majalla"/>
          <w:color w:val="000000" w:themeColor="text1"/>
          <w:sz w:val="28"/>
          <w:szCs w:val="28"/>
        </w:rPr>
        <w:t>.</w:t>
      </w:r>
    </w:p>
    <w:p w14:paraId="7C1CE911" w14:textId="77777777" w:rsidR="00C121AB" w:rsidRPr="009A3EF4" w:rsidRDefault="00C121AB" w:rsidP="00D91E2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تمكين القيادة من توجيه الموارد بكفاءة نحو المجالات ذات الأولوية في إدارة المخاطر، مما ينعكس إيجابًا على كفاءة الأداء الكلي للمؤسسة</w:t>
      </w:r>
      <w:r w:rsidRPr="009A3EF4">
        <w:rPr>
          <w:rFonts w:ascii="Sakkal Majalla" w:eastAsia="Calibri" w:hAnsi="Sakkal Majalla" w:cs="Sakkal Majalla"/>
          <w:color w:val="000000" w:themeColor="text1"/>
          <w:sz w:val="28"/>
          <w:szCs w:val="28"/>
        </w:rPr>
        <w:t>.</w:t>
      </w:r>
    </w:p>
    <w:p w14:paraId="2A6B22DB"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يشير </w:t>
      </w:r>
      <w:r w:rsidRPr="009A3EF4">
        <w:rPr>
          <w:rFonts w:ascii="Sakkal Majalla" w:eastAsia="Calibri" w:hAnsi="Sakkal Majalla" w:cs="Sakkal Majalla"/>
          <w:color w:val="000000" w:themeColor="text1"/>
          <w:sz w:val="28"/>
          <w:szCs w:val="28"/>
        </w:rPr>
        <w:t xml:space="preserve">Dellana et al. (2022) </w:t>
      </w:r>
      <w:r w:rsidRPr="009A3EF4">
        <w:rPr>
          <w:rFonts w:ascii="Sakkal Majalla" w:eastAsia="Calibri" w:hAnsi="Sakkal Majalla" w:cs="Sakkal Majalla"/>
          <w:color w:val="000000" w:themeColor="text1"/>
          <w:sz w:val="28"/>
          <w:szCs w:val="28"/>
          <w:rtl/>
        </w:rPr>
        <w:t>إلى أن أهمية النضج المؤسسي في إدارة المخاطر تنبع من كونه أداة لقياس مدى كفاءة التكامل بين عمليات المؤسسة ونظام إدارة المخاطر. فالمؤسسات التي تمتلك مستوى نضج مرتفع قادرة على ربط أهدافها التشغيلية بأطر الحوكمة وإجراءات الرقابة، بما يؤدي إلى</w:t>
      </w:r>
      <w:r w:rsidRPr="009A3EF4">
        <w:rPr>
          <w:rFonts w:ascii="Sakkal Majalla" w:eastAsia="Calibri" w:hAnsi="Sakkal Majalla" w:cs="Sakkal Majalla"/>
          <w:color w:val="000000" w:themeColor="text1"/>
          <w:sz w:val="28"/>
          <w:szCs w:val="28"/>
        </w:rPr>
        <w:t>:</w:t>
      </w:r>
    </w:p>
    <w:p w14:paraId="6B24FB5B" w14:textId="77777777" w:rsidR="00C121AB" w:rsidRPr="009A3EF4" w:rsidRDefault="00C121AB" w:rsidP="00D91E2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تحسين كفاءة استخدام الموارد من خلال التخصيص الذكي للموارد بناءً على تقييم المخاطر</w:t>
      </w:r>
      <w:r w:rsidRPr="009A3EF4">
        <w:rPr>
          <w:rFonts w:ascii="Sakkal Majalla" w:eastAsia="Calibri" w:hAnsi="Sakkal Majalla" w:cs="Sakkal Majalla"/>
          <w:color w:val="000000" w:themeColor="text1"/>
          <w:sz w:val="28"/>
          <w:szCs w:val="28"/>
        </w:rPr>
        <w:t>.</w:t>
      </w:r>
    </w:p>
    <w:p w14:paraId="04CBBD0F" w14:textId="77777777" w:rsidR="00C121AB" w:rsidRPr="009A3EF4" w:rsidRDefault="00C121AB" w:rsidP="00D91E2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رفع جودة نظم المراقبة والتحليل التي تسمح برصد المخاطر في مراحل مبكرة قبل أن تتحول إلى أزمات</w:t>
      </w:r>
      <w:r w:rsidRPr="009A3EF4">
        <w:rPr>
          <w:rFonts w:ascii="Sakkal Majalla" w:eastAsia="Calibri" w:hAnsi="Sakkal Majalla" w:cs="Sakkal Majalla"/>
          <w:color w:val="000000" w:themeColor="text1"/>
          <w:sz w:val="28"/>
          <w:szCs w:val="28"/>
        </w:rPr>
        <w:t>.</w:t>
      </w:r>
    </w:p>
    <w:p w14:paraId="1720AA9D" w14:textId="77777777" w:rsidR="00C121AB" w:rsidRPr="009A3EF4" w:rsidRDefault="00C121AB" w:rsidP="00D91E2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تعزيز الثقة المؤسسية لدى أصحاب المصلحة عبر إظهار قدرة المنظمة على التحكم في بيئتها التشغيلية</w:t>
      </w:r>
      <w:r w:rsidRPr="009A3EF4">
        <w:rPr>
          <w:rFonts w:ascii="Sakkal Majalla" w:eastAsia="Calibri" w:hAnsi="Sakkal Majalla" w:cs="Sakkal Majalla"/>
          <w:color w:val="000000" w:themeColor="text1"/>
          <w:sz w:val="28"/>
          <w:szCs w:val="28"/>
        </w:rPr>
        <w:t>.</w:t>
      </w:r>
    </w:p>
    <w:p w14:paraId="5B3E0B6C" w14:textId="77777777" w:rsidR="00C121AB" w:rsidRPr="009A3EF4" w:rsidRDefault="00C121AB" w:rsidP="00D91E2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ويرى </w:t>
      </w:r>
      <w:r w:rsidRPr="009A3EF4">
        <w:rPr>
          <w:rFonts w:ascii="Sakkal Majalla" w:eastAsia="Calibri" w:hAnsi="Sakkal Majalla" w:cs="Sakkal Majalla"/>
          <w:color w:val="000000" w:themeColor="text1"/>
          <w:sz w:val="28"/>
          <w:szCs w:val="28"/>
        </w:rPr>
        <w:t xml:space="preserve">Mahama et al. (2022) </w:t>
      </w:r>
      <w:r w:rsidRPr="009A3EF4">
        <w:rPr>
          <w:rFonts w:ascii="Sakkal Majalla" w:eastAsia="Calibri" w:hAnsi="Sakkal Majalla" w:cs="Sakkal Majalla"/>
          <w:color w:val="000000" w:themeColor="text1"/>
          <w:sz w:val="28"/>
          <w:szCs w:val="28"/>
          <w:rtl/>
        </w:rPr>
        <w:t>أن النضج المؤسسي في إدارة المخاطر يمثل شرطًا أساسيًا لتحقيق الكفاءة في القطاع العام، إذ يؤدي إلى ترسيخ ثقافة وقائية داخل المؤسسات الحكومية. وتتمثل أهميته لديهم في</w:t>
      </w:r>
      <w:r w:rsidRPr="009A3EF4">
        <w:rPr>
          <w:rFonts w:ascii="Sakkal Majalla" w:eastAsia="Calibri" w:hAnsi="Sakkal Majalla" w:cs="Sakkal Majalla"/>
          <w:color w:val="000000" w:themeColor="text1"/>
          <w:sz w:val="28"/>
          <w:szCs w:val="28"/>
        </w:rPr>
        <w:t>:</w:t>
      </w:r>
    </w:p>
    <w:p w14:paraId="76490586" w14:textId="77777777" w:rsidR="00C121AB" w:rsidRPr="009A3EF4" w:rsidRDefault="00C121AB" w:rsidP="00D91E2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تمكين المؤسسات من بناء استراتيجيات استباقية تتعامل مع المخاطر كفرص للتحسين لا كمشكلات طارئة</w:t>
      </w:r>
      <w:r w:rsidRPr="009A3EF4">
        <w:rPr>
          <w:rFonts w:ascii="Sakkal Majalla" w:eastAsia="Calibri" w:hAnsi="Sakkal Majalla" w:cs="Sakkal Majalla"/>
          <w:color w:val="000000" w:themeColor="text1"/>
          <w:sz w:val="28"/>
          <w:szCs w:val="28"/>
        </w:rPr>
        <w:t>.</w:t>
      </w:r>
    </w:p>
    <w:p w14:paraId="6A65D6F8" w14:textId="77777777" w:rsidR="00C121AB" w:rsidRPr="009A3EF4" w:rsidRDefault="00C121AB" w:rsidP="00D91E2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تحسين مستوى التنسيق بين الإدارات من خلال تطوير قنوات اتصال مؤسسية فعّالة تتيح تبادل المعلومات عن المخاطر المحتملة</w:t>
      </w:r>
      <w:r w:rsidRPr="009A3EF4">
        <w:rPr>
          <w:rFonts w:ascii="Sakkal Majalla" w:eastAsia="Calibri" w:hAnsi="Sakkal Majalla" w:cs="Sakkal Majalla"/>
          <w:color w:val="000000" w:themeColor="text1"/>
          <w:sz w:val="28"/>
          <w:szCs w:val="28"/>
        </w:rPr>
        <w:t>.</w:t>
      </w:r>
    </w:p>
    <w:p w14:paraId="5FF4DA82" w14:textId="77777777" w:rsidR="00C121AB" w:rsidRPr="009A3EF4" w:rsidRDefault="00C121AB" w:rsidP="00D91E2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رفع القدرة على الاستجابة السريعة للأزمات من خلال نظم تحليل وتقييم قائمة على المعرفة المؤسسية المتراكمة</w:t>
      </w:r>
      <w:r w:rsidRPr="009A3EF4">
        <w:rPr>
          <w:rFonts w:ascii="Sakkal Majalla" w:eastAsia="Calibri" w:hAnsi="Sakkal Majalla" w:cs="Sakkal Majalla"/>
          <w:color w:val="000000" w:themeColor="text1"/>
          <w:sz w:val="28"/>
          <w:szCs w:val="28"/>
        </w:rPr>
        <w:t>.</w:t>
      </w:r>
    </w:p>
    <w:p w14:paraId="00B5EA81" w14:textId="28C563D8"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يرى الباحث أن أهمية النضج المؤسسي في إدارة المخاطر تتجاوز فكرة الامتثال أو ضبط الإجراءات، لتصبح ركيزة استراتيجية تسهم في بناء مؤسسات قادرة على الاستدامة والابتكار في آن واحد، فكلما ارتفع مستوى النضج المؤسسي، أصبحت المؤسسة أكثر وعيًا بالمخاطر وأكثر قدرة على التعامل معها بمرونة وحكمة</w:t>
      </w:r>
      <w:r w:rsidRPr="009A3EF4">
        <w:rPr>
          <w:rFonts w:ascii="Sakkal Majalla" w:eastAsia="Calibri" w:hAnsi="Sakkal Majalla" w:cs="Sakkal Majalla"/>
          <w:color w:val="000000" w:themeColor="text1"/>
          <w:sz w:val="28"/>
          <w:szCs w:val="28"/>
        </w:rPr>
        <w:t>.</w:t>
      </w:r>
    </w:p>
    <w:p w14:paraId="4EFF86C3" w14:textId="10EA7411" w:rsidR="00C121AB"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1869383"/>
      <w:r w:rsidRPr="009A3EF4">
        <w:rPr>
          <w:rFonts w:ascii="Sakkal Majalla" w:eastAsia="Calibri" w:hAnsi="Sakkal Majalla" w:cs="Sakkal Majalla" w:hint="cs"/>
          <w:b/>
          <w:bCs/>
          <w:color w:val="000000" w:themeColor="text1"/>
          <w:sz w:val="32"/>
          <w:szCs w:val="32"/>
          <w:rtl/>
        </w:rPr>
        <w:t>4.1.2</w:t>
      </w:r>
      <w:r w:rsidR="00C121AB" w:rsidRPr="009A3EF4">
        <w:rPr>
          <w:rFonts w:ascii="Sakkal Majalla" w:eastAsia="Calibri" w:hAnsi="Sakkal Majalla" w:cs="Sakkal Majalla"/>
          <w:b/>
          <w:bCs/>
          <w:color w:val="000000" w:themeColor="text1"/>
          <w:sz w:val="32"/>
          <w:szCs w:val="32"/>
          <w:rtl/>
        </w:rPr>
        <w:t xml:space="preserve"> أهداف النضج المؤسسي في إدارة المخاطر</w:t>
      </w:r>
      <w:bookmarkEnd w:id="33"/>
    </w:p>
    <w:p w14:paraId="5E5EE83E" w14:textId="574972C3"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يُعد تحديد الأهداف الواضحة للنضج المؤسسي في إدارة المخاطر خطوة أساسية لترجمة هذا المفهوم من إطار نظري إلى ممارسة عملية داخل المؤسسات، فالمؤسسات التي تسعى إلى تطوير مستوى نضجها في إدارة المخاطر تضع أمامها مجموعة من الغايات الاستراتيجية التي تهدف إلى رفع كفاءة أنظمتها الإدارية، وتعزيز قدرتها على التنبؤ بالمخاطر والتعامل معها بأسلوب متكامل ومنهجي.</w:t>
      </w:r>
    </w:p>
    <w:p w14:paraId="7A008A55" w14:textId="6F5E5751" w:rsidR="00C121AB" w:rsidRPr="009A3EF4" w:rsidRDefault="00C121AB" w:rsidP="00FA5AFD">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6892BF4E"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يشير عيد</w:t>
      </w:r>
      <w:r w:rsidRPr="009A3EF4">
        <w:rPr>
          <w:rFonts w:ascii="Sakkal Majalla" w:eastAsia="Calibri" w:hAnsi="Sakkal Majalla" w:cs="Sakkal Majalla"/>
          <w:color w:val="000000" w:themeColor="text1"/>
          <w:sz w:val="28"/>
          <w:szCs w:val="28"/>
        </w:rPr>
        <w:t xml:space="preserve"> (2021) </w:t>
      </w:r>
      <w:r w:rsidRPr="009A3EF4">
        <w:rPr>
          <w:rFonts w:ascii="Sakkal Majalla" w:eastAsia="Calibri" w:hAnsi="Sakkal Majalla" w:cs="Sakkal Majalla"/>
          <w:color w:val="000000" w:themeColor="text1"/>
          <w:sz w:val="28"/>
          <w:szCs w:val="28"/>
          <w:rtl/>
        </w:rPr>
        <w:t>إلى أن الهدف الرئيس للنضج المؤسسي يتمثل في تحويل إدارة المخاطر من نشاط إداري محدود إلى نظام مؤسسي شامل يدمج في جميع مستويات المنظمة. ويرى أن الأهداف الجوهرية للنضج المؤسسي تشمل</w:t>
      </w:r>
      <w:r w:rsidRPr="009A3EF4">
        <w:rPr>
          <w:rFonts w:ascii="Sakkal Majalla" w:eastAsia="Calibri" w:hAnsi="Sakkal Majalla" w:cs="Sakkal Majalla"/>
          <w:color w:val="000000" w:themeColor="text1"/>
          <w:sz w:val="28"/>
          <w:szCs w:val="28"/>
        </w:rPr>
        <w:t>:</w:t>
      </w:r>
    </w:p>
    <w:p w14:paraId="60C21244" w14:textId="77777777" w:rsidR="00C121AB" w:rsidRPr="009A3EF4" w:rsidRDefault="00C121AB" w:rsidP="00D91E20">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تعزيز كفاءة نظم الحوكمة المؤسسية عبر توفير إطار متكامل لتحديد المخاطر وتحليلها ومراقبتها ضمن عمليات التخطيط والتنفيذ والتقويم</w:t>
      </w:r>
      <w:r w:rsidRPr="009A3EF4">
        <w:rPr>
          <w:rFonts w:ascii="Sakkal Majalla" w:eastAsia="Calibri" w:hAnsi="Sakkal Majalla" w:cs="Sakkal Majalla"/>
          <w:color w:val="000000" w:themeColor="text1"/>
          <w:sz w:val="28"/>
          <w:szCs w:val="28"/>
        </w:rPr>
        <w:t>.</w:t>
      </w:r>
    </w:p>
    <w:p w14:paraId="1043A002" w14:textId="77777777" w:rsidR="00C121AB" w:rsidRPr="009A3EF4" w:rsidRDefault="00C121AB" w:rsidP="00D91E20">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إرساء ثقافة تنظيمية قائمة على الوعي بالمخاطر، بحيث يصبح التعامل مع المخاطر جزءًا من التفكير اليومي للعاملين والإدارة العليا</w:t>
      </w:r>
      <w:r w:rsidRPr="009A3EF4">
        <w:rPr>
          <w:rFonts w:ascii="Sakkal Majalla" w:eastAsia="Calibri" w:hAnsi="Sakkal Majalla" w:cs="Sakkal Majalla"/>
          <w:color w:val="000000" w:themeColor="text1"/>
          <w:sz w:val="28"/>
          <w:szCs w:val="28"/>
        </w:rPr>
        <w:t>.</w:t>
      </w:r>
    </w:p>
    <w:p w14:paraId="0D5E3662" w14:textId="77777777" w:rsidR="00C121AB" w:rsidRPr="009A3EF4" w:rsidRDefault="00C121AB" w:rsidP="00D91E20">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تحقيق الاستباقية في إدارة المخاطر، من خلال تطوير قدرات المؤسسة على رصد الإشارات المبكرة للمخاطر وتحليل الاتجاهات المستقبلية لتفادي الأزمات</w:t>
      </w:r>
      <w:r w:rsidRPr="009A3EF4">
        <w:rPr>
          <w:rFonts w:ascii="Sakkal Majalla" w:eastAsia="Calibri" w:hAnsi="Sakkal Majalla" w:cs="Sakkal Majalla"/>
          <w:color w:val="000000" w:themeColor="text1"/>
          <w:sz w:val="28"/>
          <w:szCs w:val="28"/>
        </w:rPr>
        <w:t>.</w:t>
      </w:r>
    </w:p>
    <w:p w14:paraId="334CDC44"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يؤكد </w:t>
      </w:r>
      <w:r w:rsidRPr="009A3EF4">
        <w:rPr>
          <w:rFonts w:ascii="Sakkal Majalla" w:eastAsia="Calibri" w:hAnsi="Sakkal Majalla" w:cs="Sakkal Majalla"/>
          <w:color w:val="000000" w:themeColor="text1"/>
          <w:sz w:val="28"/>
          <w:szCs w:val="28"/>
        </w:rPr>
        <w:t xml:space="preserve">Dellana et al. (2022) </w:t>
      </w:r>
      <w:r w:rsidRPr="009A3EF4">
        <w:rPr>
          <w:rFonts w:ascii="Sakkal Majalla" w:eastAsia="Calibri" w:hAnsi="Sakkal Majalla" w:cs="Sakkal Majalla"/>
          <w:color w:val="000000" w:themeColor="text1"/>
          <w:sz w:val="28"/>
          <w:szCs w:val="28"/>
          <w:rtl/>
        </w:rPr>
        <w:t>أن الهدف من النضج المؤسسي في إدارة المخاطر هو الوصول إلى مستوى من التكامل يجعل من إدارة المخاطر جزءًا من منظومة القرارات الاستراتيجية، وليس وظيفة منفصلة. وتتمثل الأهداف الجوهرية في</w:t>
      </w:r>
      <w:r w:rsidRPr="009A3EF4">
        <w:rPr>
          <w:rFonts w:ascii="Sakkal Majalla" w:eastAsia="Calibri" w:hAnsi="Sakkal Majalla" w:cs="Sakkal Majalla"/>
          <w:color w:val="000000" w:themeColor="text1"/>
          <w:sz w:val="28"/>
          <w:szCs w:val="28"/>
        </w:rPr>
        <w:t>:</w:t>
      </w:r>
    </w:p>
    <w:p w14:paraId="26AAFAD1" w14:textId="77777777" w:rsidR="00C121AB" w:rsidRPr="009A3EF4" w:rsidRDefault="00C121AB" w:rsidP="00D91E20">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تحسين موثوقية المعلومات المستخدمة في اتخاذ القرار عبر بناء أنظمة تحليلية دقيقة لرصد وتقييم المخاطر</w:t>
      </w:r>
      <w:r w:rsidRPr="009A3EF4">
        <w:rPr>
          <w:rFonts w:ascii="Sakkal Majalla" w:eastAsia="Calibri" w:hAnsi="Sakkal Majalla" w:cs="Sakkal Majalla"/>
          <w:color w:val="000000" w:themeColor="text1"/>
          <w:sz w:val="28"/>
          <w:szCs w:val="28"/>
        </w:rPr>
        <w:t>.</w:t>
      </w:r>
    </w:p>
    <w:p w14:paraId="0864DCCD" w14:textId="77777777" w:rsidR="00C121AB" w:rsidRPr="009A3EF4" w:rsidRDefault="00C121AB" w:rsidP="00D91E20">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تعزيز التواصل المؤسسي بين الإدارات لضمان مشاركة المعرفة المتعلقة بالمخاطر بشكل فعال</w:t>
      </w:r>
      <w:r w:rsidRPr="009A3EF4">
        <w:rPr>
          <w:rFonts w:ascii="Sakkal Majalla" w:eastAsia="Calibri" w:hAnsi="Sakkal Majalla" w:cs="Sakkal Majalla"/>
          <w:color w:val="000000" w:themeColor="text1"/>
          <w:sz w:val="28"/>
          <w:szCs w:val="28"/>
        </w:rPr>
        <w:t>.</w:t>
      </w:r>
    </w:p>
    <w:p w14:paraId="207752C8" w14:textId="77777777" w:rsidR="00C121AB" w:rsidRPr="009A3EF4" w:rsidRDefault="00C121AB" w:rsidP="00D91E20">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تحقيق الكفاءة التشغيلية عبر تقليل الهدر الناجم عن سوء تقدير المخاطر أو ضعف الاستجابة لها</w:t>
      </w:r>
      <w:r w:rsidRPr="009A3EF4">
        <w:rPr>
          <w:rFonts w:ascii="Sakkal Majalla" w:eastAsia="Calibri" w:hAnsi="Sakkal Majalla" w:cs="Sakkal Majalla"/>
          <w:color w:val="000000" w:themeColor="text1"/>
          <w:sz w:val="28"/>
          <w:szCs w:val="28"/>
        </w:rPr>
        <w:t>.</w:t>
      </w:r>
    </w:p>
    <w:p w14:paraId="1CAF7FE0"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ويرى </w:t>
      </w:r>
      <w:r w:rsidRPr="009A3EF4">
        <w:rPr>
          <w:rFonts w:ascii="Sakkal Majalla" w:eastAsia="Calibri" w:hAnsi="Sakkal Majalla" w:cs="Sakkal Majalla"/>
          <w:color w:val="000000" w:themeColor="text1"/>
          <w:sz w:val="28"/>
          <w:szCs w:val="28"/>
        </w:rPr>
        <w:t xml:space="preserve">Mahama et al. (2022) </w:t>
      </w:r>
      <w:r w:rsidRPr="009A3EF4">
        <w:rPr>
          <w:rFonts w:ascii="Sakkal Majalla" w:eastAsia="Calibri" w:hAnsi="Sakkal Majalla" w:cs="Sakkal Majalla"/>
          <w:color w:val="000000" w:themeColor="text1"/>
          <w:sz w:val="28"/>
          <w:szCs w:val="28"/>
          <w:rtl/>
        </w:rPr>
        <w:t>أن الأهداف تمتد لتشمل تعزيز جاهزية المؤسسات العامة والخاصة في مواجهة الأزمات المحتملة، حيث يسهم النضج المؤسسي في إدارة المخاطر في بناء أنظمة تحكم إداري مرنة قادرة على التكيف مع التغيرات البيئية. ويضيفان أن الأهداف الرئيسة تتضمن</w:t>
      </w:r>
      <w:r w:rsidRPr="009A3EF4">
        <w:rPr>
          <w:rFonts w:ascii="Sakkal Majalla" w:eastAsia="Calibri" w:hAnsi="Sakkal Majalla" w:cs="Sakkal Majalla"/>
          <w:color w:val="000000" w:themeColor="text1"/>
          <w:sz w:val="28"/>
          <w:szCs w:val="28"/>
        </w:rPr>
        <w:t>:</w:t>
      </w:r>
    </w:p>
    <w:p w14:paraId="13C97737" w14:textId="77777777" w:rsidR="00C121AB" w:rsidRPr="009A3EF4" w:rsidRDefault="00C121AB" w:rsidP="00D91E20">
      <w:pPr>
        <w:numPr>
          <w:ilvl w:val="0"/>
          <w:numId w:val="2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تحسين استدامة العمليات المؤسسية من خلال إدماج تقييم المخاطر في دورة التخطيط والتنفيذ</w:t>
      </w:r>
      <w:r w:rsidRPr="009A3EF4">
        <w:rPr>
          <w:rFonts w:ascii="Sakkal Majalla" w:eastAsia="Calibri" w:hAnsi="Sakkal Majalla" w:cs="Sakkal Majalla"/>
          <w:color w:val="000000" w:themeColor="text1"/>
          <w:sz w:val="28"/>
          <w:szCs w:val="28"/>
        </w:rPr>
        <w:t>.</w:t>
      </w:r>
    </w:p>
    <w:p w14:paraId="32EF2D5B" w14:textId="77777777" w:rsidR="00C121AB" w:rsidRPr="009A3EF4" w:rsidRDefault="00C121AB" w:rsidP="00D91E20">
      <w:pPr>
        <w:numPr>
          <w:ilvl w:val="0"/>
          <w:numId w:val="2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رفع كفاءة استخدام الموارد عبر توجيهها نحو المجالات ذات الأولوية القصوى في ضوء تقييم المخاطر</w:t>
      </w:r>
      <w:r w:rsidRPr="009A3EF4">
        <w:rPr>
          <w:rFonts w:ascii="Sakkal Majalla" w:eastAsia="Calibri" w:hAnsi="Sakkal Majalla" w:cs="Sakkal Majalla"/>
          <w:color w:val="000000" w:themeColor="text1"/>
          <w:sz w:val="28"/>
          <w:szCs w:val="28"/>
        </w:rPr>
        <w:t>.</w:t>
      </w:r>
    </w:p>
    <w:p w14:paraId="1CABD4A0" w14:textId="77777777" w:rsidR="00C121AB" w:rsidRPr="009A3EF4" w:rsidRDefault="00C121AB" w:rsidP="00D91E20">
      <w:pPr>
        <w:numPr>
          <w:ilvl w:val="0"/>
          <w:numId w:val="2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تعزيز ثقافة المساءلة من خلال وضوح الأدوار والمسؤوليات في إدارة المخاطر</w:t>
      </w:r>
      <w:r w:rsidRPr="009A3EF4">
        <w:rPr>
          <w:rFonts w:ascii="Sakkal Majalla" w:eastAsia="Calibri" w:hAnsi="Sakkal Majalla" w:cs="Sakkal Majalla"/>
          <w:color w:val="000000" w:themeColor="text1"/>
          <w:sz w:val="28"/>
          <w:szCs w:val="28"/>
        </w:rPr>
        <w:t>.</w:t>
      </w:r>
    </w:p>
    <w:p w14:paraId="0708CC6E"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أما </w:t>
      </w:r>
      <w:r w:rsidRPr="009A3EF4">
        <w:rPr>
          <w:rFonts w:ascii="Sakkal Majalla" w:eastAsia="Calibri" w:hAnsi="Sakkal Majalla" w:cs="Sakkal Majalla"/>
          <w:color w:val="000000" w:themeColor="text1"/>
          <w:sz w:val="28"/>
          <w:szCs w:val="28"/>
        </w:rPr>
        <w:t xml:space="preserve">Kawtar &amp; Khadija (2025) </w:t>
      </w:r>
      <w:r w:rsidRPr="009A3EF4">
        <w:rPr>
          <w:rFonts w:ascii="Sakkal Majalla" w:eastAsia="Calibri" w:hAnsi="Sakkal Majalla" w:cs="Sakkal Majalla"/>
          <w:color w:val="000000" w:themeColor="text1"/>
          <w:sz w:val="28"/>
          <w:szCs w:val="28"/>
          <w:rtl/>
        </w:rPr>
        <w:t>فيريان أن النضج المؤسسي في إدارة المخاطر يهدف إلى تحقيق الكفاءة التنظيمية الشاملة، حيث يساعد على تقليص الفجوة بين الأداء الفعلي والمستهدف من خلال توجيه الموارد وتحسين جودة البيانات التشغيلية. كما يهدف إلى تحقيق التكامل بين إدارة المخاطر وسلسلة الإمداد التنظيمية، بحيث تصبح عمليات اتخاذ القرار مبنية على معلومات دقيقة ومحدثة، مما يرفع من القدرة على المنافسة والاستدامة</w:t>
      </w:r>
      <w:r w:rsidRPr="009A3EF4">
        <w:rPr>
          <w:rFonts w:ascii="Sakkal Majalla" w:eastAsia="Calibri" w:hAnsi="Sakkal Majalla" w:cs="Sakkal Majalla"/>
          <w:color w:val="000000" w:themeColor="text1"/>
          <w:sz w:val="28"/>
          <w:szCs w:val="28"/>
        </w:rPr>
        <w:t>.</w:t>
      </w:r>
    </w:p>
    <w:p w14:paraId="7ABF2C45"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يرى الباحث أن الأهداف الرئيسة للنضج المؤسسي في إدارة المخاطر تتجاوز الإطار الإجرائي إلى الأبعاد الاستراتيجية التي تضمن للمؤسسة الاستقرار والاستمرارية. ويمكن تلخيصها في أربع غايات مترابطة</w:t>
      </w:r>
      <w:r w:rsidRPr="009A3EF4">
        <w:rPr>
          <w:rFonts w:ascii="Sakkal Majalla" w:eastAsia="Calibri" w:hAnsi="Sakkal Majalla" w:cs="Sakkal Majalla"/>
          <w:color w:val="000000" w:themeColor="text1"/>
          <w:sz w:val="28"/>
          <w:szCs w:val="28"/>
        </w:rPr>
        <w:t>:</w:t>
      </w:r>
    </w:p>
    <w:p w14:paraId="13125166" w14:textId="77777777" w:rsidR="00C121AB" w:rsidRPr="009A3EF4" w:rsidRDefault="00C121AB" w:rsidP="00D91E20">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تحقيق الوعي المؤسسي بالمخاطر عبر بناء ثقافة شاملة تجعل من إدارة المخاطر مسؤولية جماعية وليست مقتصرة على وحدة إدارية محددة</w:t>
      </w:r>
      <w:r w:rsidRPr="009A3EF4">
        <w:rPr>
          <w:rFonts w:ascii="Sakkal Majalla" w:eastAsia="Calibri" w:hAnsi="Sakkal Majalla" w:cs="Sakkal Majalla"/>
          <w:color w:val="000000" w:themeColor="text1"/>
          <w:sz w:val="28"/>
          <w:szCs w:val="28"/>
        </w:rPr>
        <w:t>.</w:t>
      </w:r>
    </w:p>
    <w:p w14:paraId="40C97E83" w14:textId="77777777" w:rsidR="00C121AB" w:rsidRPr="009A3EF4" w:rsidRDefault="00C121AB" w:rsidP="00D91E20">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تعزيز فاعلية نظم المتابعة والتقييم بما يتيح ربط مؤشرات المخاطر بمؤشرات الأداء المؤسسي، وبالتالي تحسين دقة مراقبة الأداء</w:t>
      </w:r>
      <w:r w:rsidRPr="009A3EF4">
        <w:rPr>
          <w:rFonts w:ascii="Sakkal Majalla" w:eastAsia="Calibri" w:hAnsi="Sakkal Majalla" w:cs="Sakkal Majalla"/>
          <w:color w:val="000000" w:themeColor="text1"/>
          <w:sz w:val="28"/>
          <w:szCs w:val="28"/>
        </w:rPr>
        <w:t>.</w:t>
      </w:r>
    </w:p>
    <w:p w14:paraId="0D0733DF" w14:textId="77777777" w:rsidR="00C121AB" w:rsidRPr="009A3EF4" w:rsidRDefault="00C121AB" w:rsidP="00D91E20">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تحقيق التوازن بين الاستجابة السريعة والاستدامة طويلة الأجل، بحيث لا تكون معالجة المخاطر مجرد حلول آنية بل جزءًا من استراتيجية التحسين المستمر</w:t>
      </w:r>
      <w:r w:rsidRPr="009A3EF4">
        <w:rPr>
          <w:rFonts w:ascii="Sakkal Majalla" w:eastAsia="Calibri" w:hAnsi="Sakkal Majalla" w:cs="Sakkal Majalla"/>
          <w:color w:val="000000" w:themeColor="text1"/>
          <w:sz w:val="28"/>
          <w:szCs w:val="28"/>
        </w:rPr>
        <w:t>.</w:t>
      </w:r>
    </w:p>
    <w:p w14:paraId="685DA20A" w14:textId="77777777" w:rsidR="00C121AB" w:rsidRPr="009A3EF4" w:rsidRDefault="00C121AB" w:rsidP="00FA5AFD">
      <w:pPr>
        <w:numPr>
          <w:ilvl w:val="0"/>
          <w:numId w:val="30"/>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تحقيق التميز المؤسسي في القطاع الصحي عبر بناء نظام ناضج لإدارة المخاطر يسهم في حماية المرضى وضمان جودة الخدمات الطبية</w:t>
      </w:r>
      <w:r w:rsidRPr="009A3EF4">
        <w:rPr>
          <w:rFonts w:ascii="Sakkal Majalla" w:eastAsia="Calibri" w:hAnsi="Sakkal Majalla" w:cs="Sakkal Majalla"/>
          <w:color w:val="000000" w:themeColor="text1"/>
          <w:sz w:val="28"/>
          <w:szCs w:val="28"/>
        </w:rPr>
        <w:t>.</w:t>
      </w:r>
    </w:p>
    <w:p w14:paraId="424D9DF4" w14:textId="0A5D9B47" w:rsidR="00C121AB"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1869384"/>
      <w:r w:rsidRPr="009A3EF4">
        <w:rPr>
          <w:rFonts w:ascii="Sakkal Majalla" w:eastAsia="Calibri" w:hAnsi="Sakkal Majalla" w:cs="Sakkal Majalla" w:hint="cs"/>
          <w:b/>
          <w:bCs/>
          <w:color w:val="000000" w:themeColor="text1"/>
          <w:sz w:val="32"/>
          <w:szCs w:val="32"/>
          <w:rtl/>
        </w:rPr>
        <w:t xml:space="preserve">5.1.2 </w:t>
      </w:r>
      <w:r w:rsidR="00C121AB" w:rsidRPr="009A3EF4">
        <w:rPr>
          <w:rFonts w:ascii="Sakkal Majalla" w:eastAsia="Calibri" w:hAnsi="Sakkal Majalla" w:cs="Sakkal Majalla"/>
          <w:b/>
          <w:bCs/>
          <w:color w:val="000000" w:themeColor="text1"/>
          <w:sz w:val="32"/>
          <w:szCs w:val="32"/>
          <w:rtl/>
        </w:rPr>
        <w:t>محددات تحقيق النضج المؤسسي في إدارة المخاطر</w:t>
      </w:r>
      <w:bookmarkEnd w:id="34"/>
    </w:p>
    <w:p w14:paraId="4FA2171D" w14:textId="36936468"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تحقيق النضج المؤسسي في إدارة المخاطر لا يتم صدفة، بل يعتمد على مجموعة من المحددات والعوامل التنظيمية التي تشكل الأساس لنجاح المؤسسة في تطوير قدراتها المؤسسية،  فالنضج لا يعني فقط تطبيق سياسات مكتوبة، بل يتطلب بيئة داخلية تتوافر فيها القيادة الواعية، والثقافة التنظيمية الداعمة، والأنظمة التقنية المتكاملة، والكوادر المؤهلة القادرة على تنفيذ عمليات إدارة المخاطر وفق معايير احترافية،و وتبرز أهمية هذه المحددات في المنشآت الصحية السعودية لما تتسم به من بيئات عمل معقدة تتداخل فيها القرارات الطبية والإدارية والتقنية، مما يجعل وجود منظومة ناضجة لإدارة المخاطر ضرورة استراتيجية وليست خيارًا إداريًا</w:t>
      </w:r>
      <w:r w:rsidRPr="009A3EF4">
        <w:rPr>
          <w:rFonts w:ascii="Sakkal Majalla" w:eastAsia="Calibri" w:hAnsi="Sakkal Majalla" w:cs="Sakkal Majalla"/>
          <w:color w:val="000000" w:themeColor="text1"/>
          <w:sz w:val="28"/>
          <w:szCs w:val="28"/>
        </w:rPr>
        <w:t>.</w:t>
      </w:r>
    </w:p>
    <w:p w14:paraId="4F2EEA7B" w14:textId="77777777" w:rsidR="00C121AB" w:rsidRPr="009A3EF4" w:rsidRDefault="00C121AB"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A3EF4">
        <w:rPr>
          <w:rFonts w:ascii="Sakkal Majalla" w:eastAsia="Calibri" w:hAnsi="Sakkal Majalla" w:cs="Sakkal Majalla"/>
          <w:b/>
          <w:bCs/>
          <w:color w:val="000000" w:themeColor="text1"/>
          <w:sz w:val="28"/>
          <w:szCs w:val="28"/>
          <w:rtl/>
        </w:rPr>
        <w:t>أولاً: القيادة والدعم الإداري</w:t>
      </w:r>
    </w:p>
    <w:p w14:paraId="7889A6DD" w14:textId="77777777" w:rsidR="00D91E20"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تعد القيادة الواعية الداعم الأول لتحقيق النضج المؤسسي في إدارة المخاطر، إذ تمثل نقطة الانطلاق نحو بناء بيئة تنظيمية مسؤولة وموجهة نحو الاستدامة. أشار عيد</w:t>
      </w:r>
      <w:r w:rsidRPr="009A3EF4">
        <w:rPr>
          <w:rFonts w:ascii="Sakkal Majalla" w:eastAsia="Calibri" w:hAnsi="Sakkal Majalla" w:cs="Sakkal Majalla"/>
          <w:color w:val="000000" w:themeColor="text1"/>
          <w:sz w:val="28"/>
          <w:szCs w:val="28"/>
        </w:rPr>
        <w:t xml:space="preserve"> (2021) </w:t>
      </w:r>
      <w:r w:rsidRPr="009A3EF4">
        <w:rPr>
          <w:rFonts w:ascii="Sakkal Majalla" w:eastAsia="Calibri" w:hAnsi="Sakkal Majalla" w:cs="Sakkal Majalla"/>
          <w:color w:val="000000" w:themeColor="text1"/>
          <w:sz w:val="28"/>
          <w:szCs w:val="28"/>
          <w:rtl/>
        </w:rPr>
        <w:t>إلى أن القيادة العليا حين تؤمن بأهمية إدارة المخاطر وتدمجها ضمن رؤيتها الاستراتيجية، تخلق ثقافة مؤسسية تتعامل مع المخاطر بوصفها فرصة للتطوير لا تهديدًا للعمل،  فالنضج المؤسسي يبدأ من التزام القيادة، مرورًا بتخصيص الموارد الكافية، وانتهاءً بمتابعة تطبيق سياسات إدارة المخاطر على أرض الواقع</w:t>
      </w:r>
      <w:r w:rsidR="00D91E20" w:rsidRPr="009A3EF4">
        <w:rPr>
          <w:rFonts w:ascii="Sakkal Majalla" w:eastAsia="Calibri" w:hAnsi="Sakkal Majalla" w:cs="Sakkal Majalla"/>
          <w:color w:val="000000" w:themeColor="text1"/>
          <w:sz w:val="28"/>
          <w:szCs w:val="28"/>
        </w:rPr>
        <w:t>.</w:t>
      </w:r>
    </w:p>
    <w:p w14:paraId="01580ABD" w14:textId="08674A45"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كما أن الدعم الإداري المستمر يسهم في إزالة المعوقات البيروقراطية، وتيسير انسيابية القرارات، وضمان انسجام الأنشطة التنفيذية مع الخطط الاستراتيجية، مما يجعل النظام الإداري أكثر قدرة على التنبؤ بالمخاطر والاستجابة لها بشكل منظم</w:t>
      </w:r>
      <w:r w:rsidRPr="009A3EF4">
        <w:rPr>
          <w:rFonts w:ascii="Sakkal Majalla" w:eastAsia="Calibri" w:hAnsi="Sakkal Majalla" w:cs="Sakkal Majalla"/>
          <w:color w:val="000000" w:themeColor="text1"/>
          <w:sz w:val="28"/>
          <w:szCs w:val="28"/>
        </w:rPr>
        <w:t>.</w:t>
      </w:r>
    </w:p>
    <w:p w14:paraId="29A0B70C" w14:textId="77777777" w:rsidR="00C121AB" w:rsidRPr="009A3EF4" w:rsidRDefault="00C121AB"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A3EF4">
        <w:rPr>
          <w:rFonts w:ascii="Sakkal Majalla" w:eastAsia="Calibri" w:hAnsi="Sakkal Majalla" w:cs="Sakkal Majalla"/>
          <w:b/>
          <w:bCs/>
          <w:color w:val="000000" w:themeColor="text1"/>
          <w:sz w:val="28"/>
          <w:szCs w:val="28"/>
          <w:rtl/>
        </w:rPr>
        <w:t>ثانيًا: الثقافة التنظيمية والوعي بالمخاطر</w:t>
      </w:r>
    </w:p>
    <w:p w14:paraId="5E32C09B" w14:textId="77777777" w:rsidR="00D91E20"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ترى حباكة</w:t>
      </w:r>
      <w:r w:rsidRPr="009A3EF4">
        <w:rPr>
          <w:rFonts w:ascii="Sakkal Majalla" w:eastAsia="Calibri" w:hAnsi="Sakkal Majalla" w:cs="Sakkal Majalla"/>
          <w:color w:val="000000" w:themeColor="text1"/>
          <w:sz w:val="28"/>
          <w:szCs w:val="28"/>
        </w:rPr>
        <w:t xml:space="preserve"> (2022) </w:t>
      </w:r>
      <w:r w:rsidRPr="009A3EF4">
        <w:rPr>
          <w:rFonts w:ascii="Sakkal Majalla" w:eastAsia="Calibri" w:hAnsi="Sakkal Majalla" w:cs="Sakkal Majalla"/>
          <w:color w:val="000000" w:themeColor="text1"/>
          <w:sz w:val="28"/>
          <w:szCs w:val="28"/>
          <w:rtl/>
        </w:rPr>
        <w:t>أن بناء ثقافة تنظيمية قائمة على إدراك أهمية المخاطر يمثل محددًا أساسيًا لبلوغ النضج المؤسسي، فالممارسات الإدارية لا يمكن أن تتطور في بيئة لا تؤمن بالمخاطر بوصفها جزءًا طبيعيًا من النشاط المؤسسي. والثقافة الناضجة لا تُنشأ بالقرارات، بل من خلال التواصل الداخلي والتدريب المستمر وتحفيز العاملين على الإبلاغ عن المخاطر دون خوف من المساءلة</w:t>
      </w:r>
      <w:r w:rsidR="00D91E20" w:rsidRPr="009A3EF4">
        <w:rPr>
          <w:rFonts w:ascii="Sakkal Majalla" w:eastAsia="Calibri" w:hAnsi="Sakkal Majalla" w:cs="Sakkal Majalla"/>
          <w:color w:val="000000" w:themeColor="text1"/>
          <w:sz w:val="28"/>
          <w:szCs w:val="28"/>
        </w:rPr>
        <w:t>.</w:t>
      </w:r>
    </w:p>
    <w:p w14:paraId="7AF3C318" w14:textId="6A0CA7F1"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وفي المنشآت الصحية تحديدًا، تسهم الثقافة الوقائية في الحد من الأخطاء التشغيلية والطبية، وتزيد من وعي الكوادر بأهمية تقييم المخاطر ضمن إجراءات العمل اليومية، ما يعزز الاستجابة الجماعية ويدعم الأداء المؤسسي العام</w:t>
      </w:r>
      <w:r w:rsidRPr="009A3EF4">
        <w:rPr>
          <w:rFonts w:ascii="Sakkal Majalla" w:eastAsia="Calibri" w:hAnsi="Sakkal Majalla" w:cs="Sakkal Majalla"/>
          <w:color w:val="000000" w:themeColor="text1"/>
          <w:sz w:val="28"/>
          <w:szCs w:val="28"/>
        </w:rPr>
        <w:t>.</w:t>
      </w:r>
    </w:p>
    <w:p w14:paraId="749070C8" w14:textId="77777777" w:rsidR="00C121AB" w:rsidRPr="009A3EF4" w:rsidRDefault="00C121AB"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A3EF4">
        <w:rPr>
          <w:rFonts w:ascii="Sakkal Majalla" w:eastAsia="Calibri" w:hAnsi="Sakkal Majalla" w:cs="Sakkal Majalla"/>
          <w:b/>
          <w:bCs/>
          <w:color w:val="000000" w:themeColor="text1"/>
          <w:sz w:val="28"/>
          <w:szCs w:val="28"/>
          <w:rtl/>
        </w:rPr>
        <w:t>ثالثًا: الكفاءة البشرية وتطوير القدرات</w:t>
      </w:r>
    </w:p>
    <w:p w14:paraId="0214798D" w14:textId="77777777" w:rsidR="00D91E20"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تشير اليامي</w:t>
      </w:r>
      <w:r w:rsidRPr="009A3EF4">
        <w:rPr>
          <w:rFonts w:ascii="Sakkal Majalla" w:eastAsia="Calibri" w:hAnsi="Sakkal Majalla" w:cs="Sakkal Majalla"/>
          <w:color w:val="000000" w:themeColor="text1"/>
          <w:sz w:val="28"/>
          <w:szCs w:val="28"/>
        </w:rPr>
        <w:t xml:space="preserve"> (2024) </w:t>
      </w:r>
      <w:r w:rsidRPr="009A3EF4">
        <w:rPr>
          <w:rFonts w:ascii="Sakkal Majalla" w:eastAsia="Calibri" w:hAnsi="Sakkal Majalla" w:cs="Sakkal Majalla"/>
          <w:color w:val="000000" w:themeColor="text1"/>
          <w:sz w:val="28"/>
          <w:szCs w:val="28"/>
          <w:rtl/>
        </w:rPr>
        <w:t>إلى أن الموارد البشرية تشكل المحرك الرئيس لتحقيق النضج المؤسسي، فمهارة العاملين في تحليل المخاطر وتقدير احتمالاتها تحدد مدى نضج المؤسسة إداريًا. ومن دون تأهيل متواصل، تبقى إدارة المخاطر ممارسة شكلية لا تحقق أهدافها</w:t>
      </w:r>
      <w:r w:rsidR="00D91E20" w:rsidRPr="009A3EF4">
        <w:rPr>
          <w:rFonts w:ascii="Sakkal Majalla" w:eastAsia="Calibri" w:hAnsi="Sakkal Majalla" w:cs="Sakkal Majalla"/>
          <w:color w:val="000000" w:themeColor="text1"/>
          <w:sz w:val="28"/>
          <w:szCs w:val="28"/>
        </w:rPr>
        <w:t>.</w:t>
      </w:r>
    </w:p>
    <w:p w14:paraId="0F1FBACC" w14:textId="7E097408"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ويقتضي النضج المؤسسي توافر فرق عمل متعددة التخصصات، تمتلك القدرة على استخدام الأدوات التحليلية، والتفكير المنهجي، والعمل التشاركي في تقييم المخاطر ووضع الحلول الوقائية، كما أن استثمار المؤسسات في رأس المال المعرفي يضمن الاستفادة من الخبرات السابقة ويحوّل التعلم التنظيمي إلى رافد مستمر لتطوير الأداء</w:t>
      </w:r>
      <w:r w:rsidRPr="009A3EF4">
        <w:rPr>
          <w:rFonts w:ascii="Sakkal Majalla" w:eastAsia="Calibri" w:hAnsi="Sakkal Majalla" w:cs="Sakkal Majalla"/>
          <w:color w:val="000000" w:themeColor="text1"/>
          <w:sz w:val="28"/>
          <w:szCs w:val="28"/>
        </w:rPr>
        <w:t>.</w:t>
      </w:r>
    </w:p>
    <w:p w14:paraId="4F4DE43F" w14:textId="77777777" w:rsidR="00C121AB" w:rsidRPr="009A3EF4" w:rsidRDefault="00C121AB"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A3EF4">
        <w:rPr>
          <w:rFonts w:ascii="Sakkal Majalla" w:eastAsia="Calibri" w:hAnsi="Sakkal Majalla" w:cs="Sakkal Majalla"/>
          <w:b/>
          <w:bCs/>
          <w:color w:val="000000" w:themeColor="text1"/>
          <w:sz w:val="28"/>
          <w:szCs w:val="28"/>
          <w:rtl/>
        </w:rPr>
        <w:t>رابعًا: البنية التنظيمية والحوكمة</w:t>
      </w:r>
    </w:p>
    <w:p w14:paraId="5E57E5D2" w14:textId="77777777" w:rsidR="00D91E20"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يشير </w:t>
      </w:r>
      <w:r w:rsidRPr="009A3EF4">
        <w:rPr>
          <w:rFonts w:ascii="Sakkal Majalla" w:eastAsia="Calibri" w:hAnsi="Sakkal Majalla" w:cs="Sakkal Majalla"/>
          <w:color w:val="000000" w:themeColor="text1"/>
          <w:sz w:val="28"/>
          <w:szCs w:val="28"/>
        </w:rPr>
        <w:t xml:space="preserve">Dellana et al. (2022) </w:t>
      </w:r>
      <w:r w:rsidRPr="009A3EF4">
        <w:rPr>
          <w:rFonts w:ascii="Sakkal Majalla" w:eastAsia="Calibri" w:hAnsi="Sakkal Majalla" w:cs="Sakkal Majalla"/>
          <w:color w:val="000000" w:themeColor="text1"/>
          <w:sz w:val="28"/>
          <w:szCs w:val="28"/>
          <w:rtl/>
        </w:rPr>
        <w:t>إلى أن وضوح البنية التنظيمية يعد من المحددات الجوهرية للنضج المؤسسي، إذ يحدد توزيع المسؤوليات والصلاحيات في إدارة المخاطر، ويمنع التداخل بين الأدوار، مما يسهم في سرعة اتخاذ القرار ودقته، كما أن الحوكمة الفعالة تضمن المساءلة وتدعم الشفافية، ما يرفع من مصداقية المؤسسة داخليًا وخارجيًا</w:t>
      </w:r>
      <w:r w:rsidR="00D91E20" w:rsidRPr="009A3EF4">
        <w:rPr>
          <w:rFonts w:ascii="Sakkal Majalla" w:eastAsia="Calibri" w:hAnsi="Sakkal Majalla" w:cs="Sakkal Majalla"/>
          <w:color w:val="000000" w:themeColor="text1"/>
          <w:sz w:val="28"/>
          <w:szCs w:val="28"/>
        </w:rPr>
        <w:t>.</w:t>
      </w:r>
    </w:p>
    <w:p w14:paraId="2582772C" w14:textId="79780AF2"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وفي المؤسسات الصحية، ينعكس وجود بنية تنظيمية محكمة على وضوح التسلسل الإداري في إدارة الأزمات، وتكامل الجهود بين الأقسام السريرية والإدارية، بما يعزز قدرة المؤسسة على مواجهة المخاطر التشغيلية والطبية بكفاءة</w:t>
      </w:r>
      <w:r w:rsidRPr="009A3EF4">
        <w:rPr>
          <w:rFonts w:ascii="Sakkal Majalla" w:eastAsia="Calibri" w:hAnsi="Sakkal Majalla" w:cs="Sakkal Majalla"/>
          <w:color w:val="000000" w:themeColor="text1"/>
          <w:sz w:val="28"/>
          <w:szCs w:val="28"/>
        </w:rPr>
        <w:t>.</w:t>
      </w:r>
    </w:p>
    <w:p w14:paraId="192293F3" w14:textId="77777777" w:rsidR="00C121AB" w:rsidRPr="009A3EF4" w:rsidRDefault="00C121AB"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A3EF4">
        <w:rPr>
          <w:rFonts w:ascii="Sakkal Majalla" w:eastAsia="Calibri" w:hAnsi="Sakkal Majalla" w:cs="Sakkal Majalla"/>
          <w:b/>
          <w:bCs/>
          <w:color w:val="000000" w:themeColor="text1"/>
          <w:sz w:val="28"/>
          <w:szCs w:val="28"/>
          <w:rtl/>
        </w:rPr>
        <w:t>خامسًا: البنية التقنية والتحول الرقمي</w:t>
      </w:r>
    </w:p>
    <w:p w14:paraId="62925E51" w14:textId="77777777" w:rsidR="00D91E20"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يرى </w:t>
      </w:r>
      <w:r w:rsidRPr="009A3EF4">
        <w:rPr>
          <w:rFonts w:ascii="Sakkal Majalla" w:eastAsia="Calibri" w:hAnsi="Sakkal Majalla" w:cs="Sakkal Majalla"/>
          <w:color w:val="000000" w:themeColor="text1"/>
          <w:sz w:val="28"/>
          <w:szCs w:val="28"/>
        </w:rPr>
        <w:t xml:space="preserve">Kawtar &amp; Khadija (2025) </w:t>
      </w:r>
      <w:r w:rsidRPr="009A3EF4">
        <w:rPr>
          <w:rFonts w:ascii="Sakkal Majalla" w:eastAsia="Calibri" w:hAnsi="Sakkal Majalla" w:cs="Sakkal Majalla"/>
          <w:color w:val="000000" w:themeColor="text1"/>
          <w:sz w:val="28"/>
          <w:szCs w:val="28"/>
          <w:rtl/>
        </w:rPr>
        <w:t>أن التكنولوجيا الحديثة أصبحت أحد المحددات الأساسية للنضج المؤسسي في إدارة المخاطر، إذ تمكّن المؤسسات من بناء نظم رصد وتحليل متطورة تساعد على اتخاذ قرارات دقيقة وفي الوقت المناسب، فالاعتماد على قواعد بيانات موثوقة وأنظمة ذكاء اصطناعي وتحليل تنبئي يرفع من دقة التقييم ويحد من الخطأ البشري</w:t>
      </w:r>
    </w:p>
    <w:p w14:paraId="5E929742" w14:textId="243938EC" w:rsidR="00C121AB" w:rsidRPr="009A3EF4" w:rsidRDefault="00D91E20"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Pr>
        <w:t xml:space="preserve">. </w:t>
      </w:r>
      <w:r w:rsidR="00C121AB" w:rsidRPr="009A3EF4">
        <w:rPr>
          <w:rFonts w:ascii="Sakkal Majalla" w:eastAsia="Calibri" w:hAnsi="Sakkal Majalla" w:cs="Sakkal Majalla"/>
          <w:color w:val="000000" w:themeColor="text1"/>
          <w:sz w:val="28"/>
          <w:szCs w:val="28"/>
          <w:rtl/>
        </w:rPr>
        <w:t>وفي بيئة المنشآت الصحية، يسهم التحول الرقمي في تحسين مراقبة مؤشرات الأداء، وتكامل نظم المعلومات الطبية والإدارية، بما يجعل إدارة المخاطر عملية مستمرة ومتكاملة مع الأداء العام للمؤسسة</w:t>
      </w:r>
      <w:r w:rsidR="00C121AB" w:rsidRPr="009A3EF4">
        <w:rPr>
          <w:rFonts w:ascii="Sakkal Majalla" w:eastAsia="Calibri" w:hAnsi="Sakkal Majalla" w:cs="Sakkal Majalla"/>
          <w:color w:val="000000" w:themeColor="text1"/>
          <w:sz w:val="28"/>
          <w:szCs w:val="28"/>
        </w:rPr>
        <w:t>.</w:t>
      </w:r>
    </w:p>
    <w:p w14:paraId="5E93AE4B" w14:textId="77777777" w:rsidR="00D91E20" w:rsidRPr="009A3EF4" w:rsidRDefault="00D91E20">
      <w:pPr>
        <w:rPr>
          <w:rFonts w:ascii="Sakkal Majalla" w:eastAsia="Calibri" w:hAnsi="Sakkal Majalla" w:cs="Sakkal Majalla"/>
          <w:color w:val="000000" w:themeColor="text1"/>
          <w:sz w:val="28"/>
          <w:szCs w:val="28"/>
          <w:rtl/>
          <w:lang w:bidi="ar-EG"/>
        </w:rPr>
      </w:pPr>
      <w:r w:rsidRPr="009A3EF4">
        <w:rPr>
          <w:rFonts w:ascii="Sakkal Majalla" w:eastAsia="Calibri" w:hAnsi="Sakkal Majalla" w:cs="Sakkal Majalla"/>
          <w:color w:val="000000" w:themeColor="text1"/>
          <w:sz w:val="28"/>
          <w:szCs w:val="28"/>
          <w:rtl/>
          <w:lang w:bidi="ar-EG"/>
        </w:rPr>
        <w:br w:type="page"/>
      </w:r>
    </w:p>
    <w:p w14:paraId="3300F37B" w14:textId="67DE84A5" w:rsidR="00C121AB" w:rsidRPr="009A3EF4" w:rsidRDefault="00C121AB" w:rsidP="00D91E2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5" w:name="_Toc211869385"/>
      <w:r w:rsidRPr="009A3EF4">
        <w:rPr>
          <w:rFonts w:ascii="Sakkal Majalla" w:eastAsia="Calibri" w:hAnsi="Sakkal Majalla" w:cs="Sakkal Majalla"/>
          <w:b/>
          <w:bCs/>
          <w:color w:val="000000" w:themeColor="text1"/>
          <w:sz w:val="36"/>
          <w:szCs w:val="36"/>
          <w:rtl/>
        </w:rPr>
        <w:t>المبحث الثاني: كفاءة مراقبة الأداء</w:t>
      </w:r>
      <w:bookmarkEnd w:id="35"/>
    </w:p>
    <w:p w14:paraId="468971C7" w14:textId="41E3C894" w:rsidR="00C121AB"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6" w:name="_Toc211869386"/>
      <w:r w:rsidRPr="009A3EF4">
        <w:rPr>
          <w:rFonts w:ascii="Sakkal Majalla" w:eastAsia="Calibri" w:hAnsi="Sakkal Majalla" w:cs="Sakkal Majalla" w:hint="cs"/>
          <w:b/>
          <w:bCs/>
          <w:color w:val="000000" w:themeColor="text1"/>
          <w:sz w:val="32"/>
          <w:szCs w:val="32"/>
          <w:rtl/>
        </w:rPr>
        <w:t xml:space="preserve">1.2.2 </w:t>
      </w:r>
      <w:r w:rsidR="00C121AB" w:rsidRPr="009A3EF4">
        <w:rPr>
          <w:rFonts w:ascii="Sakkal Majalla" w:eastAsia="Calibri" w:hAnsi="Sakkal Majalla" w:cs="Sakkal Majalla"/>
          <w:b/>
          <w:bCs/>
          <w:color w:val="000000" w:themeColor="text1"/>
          <w:sz w:val="32"/>
          <w:szCs w:val="32"/>
          <w:rtl/>
        </w:rPr>
        <w:t>تمهيد</w:t>
      </w:r>
      <w:bookmarkEnd w:id="36"/>
    </w:p>
    <w:p w14:paraId="21DEACB2"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تُعد كفاءة مراقبة الأداء من الركائز الأساسية التي تحدد مدى قدرة المؤسسة على تحقيق أهدافها الاستراتيجية وضمان الاستخدام الأمثل لمواردها. فهي تمثل النظام الإداري الذي يربط بين التخطيط والتنفيذ والتقويم من خلال أدوات رقابية دقيقة تساعد الإدارة في تتبع الأداء وقياس نتائجه ومقارنتها بالمستهدفات الموضوعة. وتأتي هذه الكفاءة انعكاسًا لمدى نضج المؤسسة في بناء أنظمة متابعة قائمة على الدقة والموضوعية والشفافية</w:t>
      </w:r>
      <w:r w:rsidRPr="009A3EF4">
        <w:rPr>
          <w:rFonts w:ascii="Sakkal Majalla" w:eastAsia="Calibri" w:hAnsi="Sakkal Majalla" w:cs="Sakkal Majalla"/>
          <w:color w:val="000000" w:themeColor="text1"/>
          <w:sz w:val="28"/>
          <w:szCs w:val="28"/>
        </w:rPr>
        <w:t>.</w:t>
      </w:r>
    </w:p>
    <w:p w14:paraId="7693F47D" w14:textId="42436324"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وفي المؤسسات الصحية، تكتسب مراقبة الأداء أهمية مضاعفة نظرًا لما تتسم به بيئة العمل من تعقيد وتعدد في الأنشطة التشغيلية والخدمات المقدمة. فسلامة المرضى وجودة الرعاية الصحية تعتمد بشكل مباشر على فعالية أنظمة الرقابة، وقدرة الإدارة على تحليل مؤشرات الأداء واكتشاف الانحرافات في الوقت المناسب، كما تمثل كفاءة مراقبة الأداء وسيلة لتقويم كفاءة العاملين والإدارات الطبية والإدارية، وضمان الامتثال للمعايير الوطنية والدولية الخاصة بالجودة والسلامة</w:t>
      </w:r>
      <w:r w:rsidRPr="009A3EF4">
        <w:rPr>
          <w:rFonts w:ascii="Sakkal Majalla" w:eastAsia="Calibri" w:hAnsi="Sakkal Majalla" w:cs="Sakkal Majalla"/>
          <w:color w:val="000000" w:themeColor="text1"/>
          <w:sz w:val="28"/>
          <w:szCs w:val="28"/>
        </w:rPr>
        <w:t>.</w:t>
      </w:r>
    </w:p>
    <w:p w14:paraId="40209521" w14:textId="3B9A47FD" w:rsidR="00C121AB"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1869387"/>
      <w:r w:rsidRPr="009A3EF4">
        <w:rPr>
          <w:rFonts w:ascii="Sakkal Majalla" w:eastAsia="Calibri" w:hAnsi="Sakkal Majalla" w:cs="Sakkal Majalla" w:hint="cs"/>
          <w:b/>
          <w:bCs/>
          <w:color w:val="000000" w:themeColor="text1"/>
          <w:sz w:val="32"/>
          <w:szCs w:val="32"/>
          <w:rtl/>
        </w:rPr>
        <w:t xml:space="preserve">2.2.2 </w:t>
      </w:r>
      <w:r w:rsidR="00C121AB" w:rsidRPr="009A3EF4">
        <w:rPr>
          <w:rFonts w:ascii="Sakkal Majalla" w:eastAsia="Calibri" w:hAnsi="Sakkal Majalla" w:cs="Sakkal Majalla"/>
          <w:b/>
          <w:bCs/>
          <w:color w:val="000000" w:themeColor="text1"/>
          <w:sz w:val="32"/>
          <w:szCs w:val="32"/>
          <w:rtl/>
        </w:rPr>
        <w:t xml:space="preserve"> مفهوم كفاءة مراقبة الأداء</w:t>
      </w:r>
      <w:bookmarkEnd w:id="37"/>
    </w:p>
    <w:p w14:paraId="736C4A6C" w14:textId="77777777" w:rsidR="00D91E20"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تُعد كفاءة مراقبة الأداء من المفاهيم الإدارية التي تبلورت مع تطور الفكر الرقابي الحديث، حيث لم تعد الرقابة وظيفة لاحقة لعملية التنفيذ، بل أصبحت جزءًا جوهريًا من دورة الإدارة المتكاملة، تهدف إلى تحسين الأداء المؤسسي وضمان تحقيق الأهداف بكفاءة</w:t>
      </w:r>
      <w:r w:rsidR="00D91E20" w:rsidRPr="009A3EF4">
        <w:rPr>
          <w:rFonts w:ascii="Sakkal Majalla" w:eastAsia="Calibri" w:hAnsi="Sakkal Majalla" w:cs="Sakkal Majalla"/>
          <w:color w:val="000000" w:themeColor="text1"/>
          <w:sz w:val="28"/>
          <w:szCs w:val="28"/>
        </w:rPr>
        <w:t>.</w:t>
      </w:r>
    </w:p>
    <w:p w14:paraId="242257CE" w14:textId="1C700886"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يشير الزواهرة والجوازنة</w:t>
      </w:r>
      <w:r w:rsidRPr="009A3EF4">
        <w:rPr>
          <w:rFonts w:ascii="Sakkal Majalla" w:eastAsia="Calibri" w:hAnsi="Sakkal Majalla" w:cs="Sakkal Majalla"/>
          <w:color w:val="000000" w:themeColor="text1"/>
          <w:sz w:val="28"/>
          <w:szCs w:val="28"/>
        </w:rPr>
        <w:t xml:space="preserve"> (2020) </w:t>
      </w:r>
      <w:r w:rsidRPr="009A3EF4">
        <w:rPr>
          <w:rFonts w:ascii="Sakkal Majalla" w:eastAsia="Calibri" w:hAnsi="Sakkal Majalla" w:cs="Sakkal Majalla"/>
          <w:color w:val="000000" w:themeColor="text1"/>
          <w:sz w:val="28"/>
          <w:szCs w:val="28"/>
          <w:rtl/>
        </w:rPr>
        <w:t xml:space="preserve">إلى أن كفاءة مراقبة الأداء هي قدرة المؤسسة على تنظيم عمليات التقييم الداخلي بحيث تعكس مؤشرات الأداء الواقع الفعلي بدقة، بما يتيح اكتشاف الانحرافات ومعالجتها قبل أن تتحول إلى مشكلات هيكلية. </w:t>
      </w:r>
    </w:p>
    <w:p w14:paraId="548F4CB5" w14:textId="4B2F1E3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أما الشمري وعباد</w:t>
      </w:r>
      <w:r w:rsidRPr="009A3EF4">
        <w:rPr>
          <w:rFonts w:ascii="Sakkal Majalla" w:eastAsia="Calibri" w:hAnsi="Sakkal Majalla" w:cs="Sakkal Majalla"/>
          <w:color w:val="000000" w:themeColor="text1"/>
          <w:sz w:val="28"/>
          <w:szCs w:val="28"/>
        </w:rPr>
        <w:t xml:space="preserve"> (2019) </w:t>
      </w:r>
      <w:r w:rsidRPr="009A3EF4">
        <w:rPr>
          <w:rFonts w:ascii="Sakkal Majalla" w:eastAsia="Calibri" w:hAnsi="Sakkal Majalla" w:cs="Sakkal Majalla"/>
          <w:color w:val="000000" w:themeColor="text1"/>
          <w:sz w:val="28"/>
          <w:szCs w:val="28"/>
          <w:rtl/>
        </w:rPr>
        <w:t xml:space="preserve">فقد عرّفا كفاءة مراقبة الأداء بأنها منظومة متكاملة تهدف إلى ضمان تنفيذ الخطط بكفاءة، من خلال استخدام أدوات قياس كمية ونوعية تساعد الإدارة على تقويم مستوى الإنجاز ومقارنته بالمستهدفات، وبذلك تُعد الرقابة وسيلة لتقويم فاعلية النظام الإداري ككل. </w:t>
      </w:r>
    </w:p>
    <w:p w14:paraId="187E918D"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ويرى بيات وبعيليش</w:t>
      </w:r>
      <w:r w:rsidRPr="009A3EF4">
        <w:rPr>
          <w:rFonts w:ascii="Sakkal Majalla" w:eastAsia="Calibri" w:hAnsi="Sakkal Majalla" w:cs="Sakkal Majalla"/>
          <w:color w:val="000000" w:themeColor="text1"/>
          <w:sz w:val="28"/>
          <w:szCs w:val="28"/>
        </w:rPr>
        <w:t xml:space="preserve"> (2019) </w:t>
      </w:r>
      <w:r w:rsidRPr="009A3EF4">
        <w:rPr>
          <w:rFonts w:ascii="Sakkal Majalla" w:eastAsia="Calibri" w:hAnsi="Sakkal Majalla" w:cs="Sakkal Majalla"/>
          <w:color w:val="000000" w:themeColor="text1"/>
          <w:sz w:val="28"/>
          <w:szCs w:val="28"/>
          <w:rtl/>
        </w:rPr>
        <w:t>أن مفهوم كفاءة مراقبة الأداء يرتبط بقدرة المؤسسة على بناء نظام معلومات رقابي متكامل، يوفّر بيانات دقيقة في الوقت المناسب لدعم اتخاذ القرار. فالكفاءة هنا تقاس بمدى دقة البيانات وشمولية التحليل، لا بعدد التقارير الصادرة أو تكرار المراجعة. ويركزان على أن المراقبة الكفؤة توازن بين الرقابة الوقائية والرقابة التصحيحية بما يحافظ على استمرارية العمليات دون تعطيل</w:t>
      </w:r>
      <w:r w:rsidRPr="009A3EF4">
        <w:rPr>
          <w:rFonts w:ascii="Sakkal Majalla" w:eastAsia="Calibri" w:hAnsi="Sakkal Majalla" w:cs="Sakkal Majalla"/>
          <w:color w:val="000000" w:themeColor="text1"/>
          <w:sz w:val="28"/>
          <w:szCs w:val="28"/>
        </w:rPr>
        <w:t>.</w:t>
      </w:r>
    </w:p>
    <w:p w14:paraId="4AA280E0"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ويعرّف </w:t>
      </w:r>
      <w:r w:rsidRPr="009A3EF4">
        <w:rPr>
          <w:rFonts w:ascii="Sakkal Majalla" w:eastAsia="Calibri" w:hAnsi="Sakkal Majalla" w:cs="Sakkal Majalla"/>
          <w:color w:val="000000" w:themeColor="text1"/>
          <w:sz w:val="28"/>
          <w:szCs w:val="28"/>
        </w:rPr>
        <w:t xml:space="preserve">Ben Zaid &amp; Nimr (2019) </w:t>
      </w:r>
      <w:r w:rsidRPr="009A3EF4">
        <w:rPr>
          <w:rFonts w:ascii="Sakkal Majalla" w:eastAsia="Calibri" w:hAnsi="Sakkal Majalla" w:cs="Sakkal Majalla"/>
          <w:color w:val="000000" w:themeColor="text1"/>
          <w:sz w:val="28"/>
          <w:szCs w:val="28"/>
          <w:rtl/>
        </w:rPr>
        <w:t>كفاءة مراقبة الأداء بأنها مستوى فاعلية نظام المتابعة المؤسسي في تحويل البيانات التشغيلية إلى مؤشرات أداء تساعد في تحسين الأداء المالي والإداري. فالمؤسسات التي تمتلك آليات رقابة كمية دقيقة قادرة على بناء استجابات سريعة للانحرافات التشغيلية، ما يجعل المراقبة جزءًا من عملية التحسين المستمر</w:t>
      </w:r>
      <w:r w:rsidRPr="009A3EF4">
        <w:rPr>
          <w:rFonts w:ascii="Sakkal Majalla" w:eastAsia="Calibri" w:hAnsi="Sakkal Majalla" w:cs="Sakkal Majalla"/>
          <w:color w:val="000000" w:themeColor="text1"/>
          <w:sz w:val="28"/>
          <w:szCs w:val="28"/>
        </w:rPr>
        <w:t>.</w:t>
      </w:r>
    </w:p>
    <w:p w14:paraId="5736E31F"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بينما يوضح </w:t>
      </w:r>
      <w:r w:rsidRPr="009A3EF4">
        <w:rPr>
          <w:rFonts w:ascii="Sakkal Majalla" w:eastAsia="Calibri" w:hAnsi="Sakkal Majalla" w:cs="Sakkal Majalla"/>
          <w:color w:val="000000" w:themeColor="text1"/>
          <w:sz w:val="28"/>
          <w:szCs w:val="28"/>
        </w:rPr>
        <w:t xml:space="preserve">Muslih &amp; Tayeh (2022) </w:t>
      </w:r>
      <w:r w:rsidRPr="009A3EF4">
        <w:rPr>
          <w:rFonts w:ascii="Sakkal Majalla" w:eastAsia="Calibri" w:hAnsi="Sakkal Majalla" w:cs="Sakkal Majalla"/>
          <w:color w:val="000000" w:themeColor="text1"/>
          <w:sz w:val="28"/>
          <w:szCs w:val="28"/>
          <w:rtl/>
        </w:rPr>
        <w:t>أن كفاءة مراقبة الأداء هي قدرة الإدارة على تطبيق أدوات قياس فعّالة تعتمد على مؤشرات كمية واضحة وقابلة للقياس، بحيث تسمح بتقييم مدى تقدم الأداء في ضوء الأهداف المحددة مسبقًا. ويضيفان أن الكفاءة تتحقق عندما تُستخدم المراقبة كأداة للتعلم التنظيمي وليس فقط للمحاسبة</w:t>
      </w:r>
      <w:r w:rsidRPr="009A3EF4">
        <w:rPr>
          <w:rFonts w:ascii="Sakkal Majalla" w:eastAsia="Calibri" w:hAnsi="Sakkal Majalla" w:cs="Sakkal Majalla"/>
          <w:color w:val="000000" w:themeColor="text1"/>
          <w:sz w:val="28"/>
          <w:szCs w:val="28"/>
        </w:rPr>
        <w:t>.</w:t>
      </w:r>
    </w:p>
    <w:p w14:paraId="6FB3FC9E"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ويرى </w:t>
      </w:r>
      <w:r w:rsidRPr="009A3EF4">
        <w:rPr>
          <w:rFonts w:ascii="Sakkal Majalla" w:eastAsia="Calibri" w:hAnsi="Sakkal Majalla" w:cs="Sakkal Majalla"/>
          <w:color w:val="000000" w:themeColor="text1"/>
          <w:sz w:val="28"/>
          <w:szCs w:val="28"/>
        </w:rPr>
        <w:t xml:space="preserve">Egiyi &amp; Eze (2022) </w:t>
      </w:r>
      <w:r w:rsidRPr="009A3EF4">
        <w:rPr>
          <w:rFonts w:ascii="Sakkal Majalla" w:eastAsia="Calibri" w:hAnsi="Sakkal Majalla" w:cs="Sakkal Majalla"/>
          <w:color w:val="000000" w:themeColor="text1"/>
          <w:sz w:val="28"/>
          <w:szCs w:val="28"/>
          <w:rtl/>
        </w:rPr>
        <w:t>أن كفاءة مراقبة الأداء تمثل درجة نضج المؤسسة في توظيف نظم تقييم الأداء من أجل تعزيز الكفاءة التشغيلية، حيث ترتبط الكفاءة الرقابية بمدى جودة البيانات وسرعة تحليلها وقدرة النظام على إصدار تقارير دقيقة تُسهم في تحسين الأداء المؤسسي</w:t>
      </w:r>
      <w:r w:rsidRPr="009A3EF4">
        <w:rPr>
          <w:rFonts w:ascii="Sakkal Majalla" w:eastAsia="Calibri" w:hAnsi="Sakkal Majalla" w:cs="Sakkal Majalla"/>
          <w:color w:val="000000" w:themeColor="text1"/>
          <w:sz w:val="28"/>
          <w:szCs w:val="28"/>
        </w:rPr>
        <w:t>.</w:t>
      </w:r>
    </w:p>
    <w:p w14:paraId="4B557B9E" w14:textId="77777777" w:rsidR="00C121AB" w:rsidRPr="009A3EF4" w:rsidRDefault="00C121AB"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يرى الباحث أن كفاءة مراقبة الأداء تمثل إطارًا إداريًا متكاملًا يُمكّن المؤسسات من متابعة عملياتها التشغيلية والإدارية بدقة، وتحويل المراقبة من أداة تقويم إلى أداة تطوير وتحسين مستمر. فالكفاءة لا تتحقق إلا عندما تُبنى أنظمة المراقبة على أسس علمية تشمل وضوح المؤشرات، ودقة البيانات، وفاعلية التحليل، وتكامل التقارير الرقابية مع عملية اتخاذ القرار</w:t>
      </w:r>
      <w:r w:rsidRPr="009A3EF4">
        <w:rPr>
          <w:rFonts w:ascii="Sakkal Majalla" w:eastAsia="Calibri" w:hAnsi="Sakkal Majalla" w:cs="Sakkal Majalla"/>
          <w:color w:val="000000" w:themeColor="text1"/>
          <w:sz w:val="28"/>
          <w:szCs w:val="28"/>
        </w:rPr>
        <w:t>.</w:t>
      </w:r>
    </w:p>
    <w:p w14:paraId="7F93932E" w14:textId="2807D36C" w:rsidR="001B7D4F"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8" w:name="_Toc211869388"/>
      <w:r w:rsidRPr="009A3EF4">
        <w:rPr>
          <w:rFonts w:ascii="Sakkal Majalla" w:eastAsia="Calibri" w:hAnsi="Sakkal Majalla" w:cs="Sakkal Majalla" w:hint="cs"/>
          <w:b/>
          <w:bCs/>
          <w:color w:val="000000" w:themeColor="text1"/>
          <w:sz w:val="32"/>
          <w:szCs w:val="32"/>
          <w:rtl/>
        </w:rPr>
        <w:t>3.2.2</w:t>
      </w:r>
      <w:r w:rsidR="001B7D4F" w:rsidRPr="009A3EF4">
        <w:rPr>
          <w:rFonts w:ascii="Sakkal Majalla" w:eastAsia="Calibri" w:hAnsi="Sakkal Majalla" w:cs="Sakkal Majalla"/>
          <w:b/>
          <w:bCs/>
          <w:color w:val="000000" w:themeColor="text1"/>
          <w:sz w:val="32"/>
          <w:szCs w:val="32"/>
          <w:rtl/>
        </w:rPr>
        <w:t xml:space="preserve"> أهمية كفاءة مراقبة الأداء</w:t>
      </w:r>
      <w:bookmarkEnd w:id="38"/>
    </w:p>
    <w:p w14:paraId="413F0022" w14:textId="77777777" w:rsidR="00D91E20"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تُعد كفاءة مراقبة الأداء من الركائز الحيوية التي يعتمد عليها نجاح المؤسسات في تحقيق أهدافها الاستراتيجية وضمان استدامة مواردها. فالمؤسسات الحديثة لم تعد تنظر إلى الرقابة بوصفها وظيفة لاحقة أو شكلية، بل كعملية ديناميكية مستمرة تهدف إلى تقييم الأداء وتحسينه في ضوء معايير موضوعية. وتكمن أهميتها في قدرتها على تحويل البيانات والملاحظات التشغيلية إلى قرارات واقعية تسهم في تعزيز الكفاءة المؤسسية، وتطوير العمليات، وتحقيق الشفافية والحوكمة</w:t>
      </w:r>
      <w:r w:rsidR="00D91E20" w:rsidRPr="009A3EF4">
        <w:rPr>
          <w:rFonts w:ascii="Sakkal Majalla" w:eastAsia="Calibri" w:hAnsi="Sakkal Majalla" w:cs="Sakkal Majalla"/>
          <w:color w:val="000000" w:themeColor="text1"/>
          <w:sz w:val="28"/>
          <w:szCs w:val="28"/>
        </w:rPr>
        <w:t>.</w:t>
      </w:r>
    </w:p>
    <w:p w14:paraId="1C1974E7" w14:textId="5A68F789"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وفي المنشآت الصحية، تزداد أهمية كفاءة مراقبة الأداء نظرًا لارتباطها المباشر بجودة الرعاية وسلامة المرضى، إذ تُسهم المراقبة الدقيقة في الكشف المبكر عن الانحرافات التشغيلية والطبية، وتحسين استخدام الموارد البشرية والمادية بما يضمن كفاءة الخدمات الصحية واستمراريتها</w:t>
      </w:r>
      <w:r w:rsidRPr="009A3EF4">
        <w:rPr>
          <w:rFonts w:ascii="Sakkal Majalla" w:eastAsia="Calibri" w:hAnsi="Sakkal Majalla" w:cs="Sakkal Majalla"/>
          <w:color w:val="000000" w:themeColor="text1"/>
          <w:sz w:val="28"/>
          <w:szCs w:val="28"/>
        </w:rPr>
        <w:t>.</w:t>
      </w:r>
    </w:p>
    <w:p w14:paraId="5DB70AA4" w14:textId="17A679F8"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ويرى </w:t>
      </w:r>
      <w:r w:rsidRPr="009A3EF4">
        <w:rPr>
          <w:rFonts w:ascii="Sakkal Majalla" w:eastAsia="Calibri" w:hAnsi="Sakkal Majalla" w:cs="Sakkal Majalla"/>
          <w:color w:val="000000" w:themeColor="text1"/>
          <w:sz w:val="28"/>
          <w:szCs w:val="28"/>
        </w:rPr>
        <w:t xml:space="preserve">Ben Zaid &amp; Nimr (2019) </w:t>
      </w:r>
      <w:r w:rsidRPr="009A3EF4">
        <w:rPr>
          <w:rFonts w:ascii="Sakkal Majalla" w:eastAsia="Calibri" w:hAnsi="Sakkal Majalla" w:cs="Sakkal Majalla"/>
          <w:color w:val="000000" w:themeColor="text1"/>
          <w:sz w:val="28"/>
          <w:szCs w:val="28"/>
          <w:rtl/>
        </w:rPr>
        <w:t>أن أهمية كفاءة مراقبة الأداء تتمثل في دورها المحوري في تحقيق التوازن بين الرقابة والمرونة التشغيلية، فهي تضمن التزام الإدارات بالخطط مع السماح بقدر من المرونة لمواجهة المتغيرات البيئية. كما تسهم في تحسين الأداء المالي والتشغيلي من خلال تتبع مؤشرات الكفاءة والإنتاجية بصورة مستمرة، مما يعزز استدامة المؤسسة</w:t>
      </w:r>
      <w:r w:rsidRPr="009A3EF4">
        <w:rPr>
          <w:rFonts w:ascii="Sakkal Majalla" w:eastAsia="Calibri" w:hAnsi="Sakkal Majalla" w:cs="Sakkal Majalla"/>
          <w:color w:val="000000" w:themeColor="text1"/>
          <w:sz w:val="28"/>
          <w:szCs w:val="28"/>
        </w:rPr>
        <w:t>.</w:t>
      </w:r>
    </w:p>
    <w:p w14:paraId="52201A35" w14:textId="77777777"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ويؤكد </w:t>
      </w:r>
      <w:r w:rsidRPr="009A3EF4">
        <w:rPr>
          <w:rFonts w:ascii="Sakkal Majalla" w:eastAsia="Calibri" w:hAnsi="Sakkal Majalla" w:cs="Sakkal Majalla"/>
          <w:color w:val="000000" w:themeColor="text1"/>
          <w:sz w:val="28"/>
          <w:szCs w:val="28"/>
        </w:rPr>
        <w:t xml:space="preserve">Muslih &amp; Tayeh (2022) </w:t>
      </w:r>
      <w:r w:rsidRPr="009A3EF4">
        <w:rPr>
          <w:rFonts w:ascii="Sakkal Majalla" w:eastAsia="Calibri" w:hAnsi="Sakkal Majalla" w:cs="Sakkal Majalla"/>
          <w:color w:val="000000" w:themeColor="text1"/>
          <w:sz w:val="28"/>
          <w:szCs w:val="28"/>
          <w:rtl/>
        </w:rPr>
        <w:t>أن كفاءة المراقبة تعد أداة استراتيجية تساعد المؤسسات على تحقيق التوافق بين الأهداف والمخرجات الفعلية، حيث تمكّن الإدارة من تحليل نتائج الأداء في الوقت المناسب، واتخاذ إجراءات تصحيحية دقيقة. كما يشيران إلى أن أهمية المراقبة تكمن في دعم عمليات التعلم التنظيمي، من خلال تحليل الأخطاء السابقة وتحويلها إلى خبرات مؤسسية تُحسن كفاءة العمل المستقبلي</w:t>
      </w:r>
      <w:r w:rsidRPr="009A3EF4">
        <w:rPr>
          <w:rFonts w:ascii="Sakkal Majalla" w:eastAsia="Calibri" w:hAnsi="Sakkal Majalla" w:cs="Sakkal Majalla"/>
          <w:color w:val="000000" w:themeColor="text1"/>
          <w:sz w:val="28"/>
          <w:szCs w:val="28"/>
        </w:rPr>
        <w:t>.</w:t>
      </w:r>
    </w:p>
    <w:p w14:paraId="594DC8E1" w14:textId="68A1CD79" w:rsidR="00C121AB"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 xml:space="preserve">أما </w:t>
      </w:r>
      <w:r w:rsidRPr="009A3EF4">
        <w:rPr>
          <w:rFonts w:ascii="Sakkal Majalla" w:eastAsia="Calibri" w:hAnsi="Sakkal Majalla" w:cs="Sakkal Majalla"/>
          <w:color w:val="000000" w:themeColor="text1"/>
          <w:sz w:val="28"/>
          <w:szCs w:val="28"/>
        </w:rPr>
        <w:t xml:space="preserve">Egiyi &amp; Eze (2022) </w:t>
      </w:r>
      <w:r w:rsidRPr="009A3EF4">
        <w:rPr>
          <w:rFonts w:ascii="Sakkal Majalla" w:eastAsia="Calibri" w:hAnsi="Sakkal Majalla" w:cs="Sakkal Majalla"/>
          <w:color w:val="000000" w:themeColor="text1"/>
          <w:sz w:val="28"/>
          <w:szCs w:val="28"/>
          <w:rtl/>
        </w:rPr>
        <w:t xml:space="preserve">فيوضحان أن كفاءة مراقبة الأداء تمثل عنصرًا أساسيًا في تعزيز الحوكمة المؤسسية، إذ تساعد على رفع مستوى الشفافية في عرض النتائج وتقويم الأداء الإداري بشكل موضوعي. </w:t>
      </w:r>
    </w:p>
    <w:p w14:paraId="129B060A" w14:textId="017C72FB" w:rsidR="001B7D4F" w:rsidRPr="009A3EF4" w:rsidRDefault="00D91E20" w:rsidP="00D91E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11869389"/>
      <w:r w:rsidRPr="009A3EF4">
        <w:rPr>
          <w:rFonts w:ascii="Sakkal Majalla" w:eastAsia="Calibri" w:hAnsi="Sakkal Majalla" w:cs="Sakkal Majalla"/>
          <w:b/>
          <w:bCs/>
          <w:color w:val="000000" w:themeColor="text1"/>
          <w:sz w:val="32"/>
          <w:szCs w:val="32"/>
        </w:rPr>
        <w:t>4.2.2</w:t>
      </w:r>
      <w:r w:rsidR="001B7D4F" w:rsidRPr="009A3EF4">
        <w:rPr>
          <w:rFonts w:ascii="Sakkal Majalla" w:eastAsia="Calibri" w:hAnsi="Sakkal Majalla" w:cs="Sakkal Majalla"/>
          <w:b/>
          <w:bCs/>
          <w:color w:val="000000" w:themeColor="text1"/>
          <w:sz w:val="32"/>
          <w:szCs w:val="32"/>
          <w:rtl/>
        </w:rPr>
        <w:t xml:space="preserve"> أبعاد كفاءة مراقبة الأداء</w:t>
      </w:r>
      <w:bookmarkEnd w:id="39"/>
    </w:p>
    <w:p w14:paraId="149AD937" w14:textId="2B8F8D56"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تم تحديد أبعاد كفاءة مراقبة الأداء في هذه الدراسة استنادًا إلى ما ورد في دراسات </w:t>
      </w:r>
      <w:r w:rsidRPr="009A3EF4">
        <w:rPr>
          <w:rFonts w:ascii="Sakkal Majalla" w:eastAsia="Calibri" w:hAnsi="Sakkal Majalla" w:cs="Sakkal Majalla"/>
          <w:color w:val="000000" w:themeColor="text1"/>
          <w:sz w:val="28"/>
          <w:szCs w:val="28"/>
        </w:rPr>
        <w:t>Muslih &amp; Tayeh (2022)</w:t>
      </w:r>
      <w:r w:rsidRPr="009A3EF4">
        <w:rPr>
          <w:rFonts w:ascii="Sakkal Majalla" w:eastAsia="Calibri" w:hAnsi="Sakkal Majalla" w:cs="Sakkal Majalla"/>
          <w:color w:val="000000" w:themeColor="text1"/>
          <w:sz w:val="28"/>
          <w:szCs w:val="28"/>
          <w:rtl/>
        </w:rPr>
        <w:t xml:space="preserve">، </w:t>
      </w:r>
      <w:r w:rsidRPr="009A3EF4">
        <w:rPr>
          <w:rFonts w:ascii="Sakkal Majalla" w:eastAsia="Calibri" w:hAnsi="Sakkal Majalla" w:cs="Sakkal Majalla"/>
          <w:color w:val="000000" w:themeColor="text1"/>
          <w:sz w:val="28"/>
          <w:szCs w:val="28"/>
        </w:rPr>
        <w:t>Egiyi &amp; Eze (2022)</w:t>
      </w:r>
      <w:r w:rsidRPr="009A3EF4">
        <w:rPr>
          <w:rFonts w:ascii="Sakkal Majalla" w:eastAsia="Calibri" w:hAnsi="Sakkal Majalla" w:cs="Sakkal Majalla"/>
          <w:color w:val="000000" w:themeColor="text1"/>
          <w:sz w:val="28"/>
          <w:szCs w:val="28"/>
          <w:rtl/>
        </w:rPr>
        <w:t>، و</w:t>
      </w:r>
      <w:r w:rsidRPr="009A3EF4">
        <w:rPr>
          <w:rFonts w:ascii="Sakkal Majalla" w:eastAsia="Calibri" w:hAnsi="Sakkal Majalla" w:cs="Sakkal Majalla"/>
          <w:color w:val="000000" w:themeColor="text1"/>
          <w:sz w:val="28"/>
          <w:szCs w:val="28"/>
        </w:rPr>
        <w:t>Ben Zaid &amp; Nimr (2019)</w:t>
      </w:r>
      <w:r w:rsidRPr="009A3EF4">
        <w:rPr>
          <w:rFonts w:ascii="Sakkal Majalla" w:eastAsia="Calibri" w:hAnsi="Sakkal Majalla" w:cs="Sakkal Majalla"/>
          <w:color w:val="000000" w:themeColor="text1"/>
          <w:sz w:val="28"/>
          <w:szCs w:val="28"/>
          <w:rtl/>
        </w:rPr>
        <w:t>، التي تناولت مفهوم المراقبة المؤسسية بوصفها نظامًا متكاملًا يتكون من ثلاثة أبعاد رئيسة هي</w:t>
      </w:r>
      <w:r w:rsidRPr="009A3EF4">
        <w:rPr>
          <w:rFonts w:ascii="Sakkal Majalla" w:eastAsia="Calibri" w:hAnsi="Sakkal Majalla" w:cs="Sakkal Majalla"/>
          <w:color w:val="000000" w:themeColor="text1"/>
          <w:sz w:val="28"/>
          <w:szCs w:val="28"/>
        </w:rPr>
        <w:t xml:space="preserve">: </w:t>
      </w:r>
      <w:r w:rsidRPr="009A3EF4">
        <w:rPr>
          <w:rFonts w:ascii="Sakkal Majalla" w:eastAsia="Calibri" w:hAnsi="Sakkal Majalla" w:cs="Sakkal Majalla"/>
          <w:color w:val="000000" w:themeColor="text1"/>
          <w:sz w:val="28"/>
          <w:szCs w:val="28"/>
          <w:rtl/>
        </w:rPr>
        <w:t>دقة قياس الأداء، وجودة البيانات المستخدمة في التقييم، وفعالية التقارير الرقابية،</w:t>
      </w:r>
      <w:r w:rsidRPr="009A3EF4">
        <w:rPr>
          <w:rFonts w:ascii="Sakkal Majalla" w:eastAsia="Calibri" w:hAnsi="Sakkal Majalla" w:cs="Sakkal Majalla"/>
          <w:color w:val="000000" w:themeColor="text1"/>
          <w:sz w:val="28"/>
          <w:szCs w:val="28"/>
        </w:rPr>
        <w:t xml:space="preserve"> </w:t>
      </w:r>
      <w:r w:rsidRPr="009A3EF4">
        <w:rPr>
          <w:rFonts w:ascii="Sakkal Majalla" w:eastAsia="Calibri" w:hAnsi="Sakkal Majalla" w:cs="Sakkal Majalla"/>
          <w:color w:val="000000" w:themeColor="text1"/>
          <w:sz w:val="28"/>
          <w:szCs w:val="28"/>
          <w:rtl/>
        </w:rPr>
        <w:t>وتمثل هذه الأبعاد الأساس الذي تُبنى عليه كفاءة النظام الرقابي داخل المؤسسات الصحية، حيث تسهم في تحقيق الاتساق بين التقييم الموضوعي والقرارات الإدارية الفعّالة</w:t>
      </w:r>
      <w:r w:rsidR="00D91E20" w:rsidRPr="009A3EF4">
        <w:rPr>
          <w:rFonts w:ascii="Sakkal Majalla" w:eastAsia="Calibri" w:hAnsi="Sakkal Majalla" w:cs="Sakkal Majalla"/>
          <w:color w:val="000000" w:themeColor="text1"/>
          <w:sz w:val="28"/>
          <w:szCs w:val="28"/>
        </w:rPr>
        <w:t>.</w:t>
      </w:r>
    </w:p>
    <w:p w14:paraId="138BDF69" w14:textId="77777777" w:rsidR="001B7D4F" w:rsidRPr="009A3EF4" w:rsidRDefault="001B7D4F"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A3EF4">
        <w:rPr>
          <w:rFonts w:ascii="Sakkal Majalla" w:eastAsia="Calibri" w:hAnsi="Sakkal Majalla" w:cs="Sakkal Majalla"/>
          <w:b/>
          <w:bCs/>
          <w:color w:val="000000" w:themeColor="text1"/>
          <w:sz w:val="28"/>
          <w:szCs w:val="28"/>
          <w:rtl/>
        </w:rPr>
        <w:t>أولًا: دقة قياس الأداء</w:t>
      </w:r>
    </w:p>
    <w:p w14:paraId="47B6CF62" w14:textId="77777777" w:rsidR="00D91E20"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تُعد دقة قياس الأداء البعد الأول لكفاءة المراقبة، إذ تمثل الأساس الذي يُبنى عليه الحكم على جودة العمل المؤسسي. فالدقة لا تعني فقط استخدام أدوات قياس رقمية أو إحصائية، بل تعني مدى قدرة مؤشرات الأداء على عكس الواقع التشغيلي للمؤسسة دون انحراف أو تحيّز، وقد أوضح </w:t>
      </w:r>
      <w:r w:rsidRPr="009A3EF4">
        <w:rPr>
          <w:rFonts w:ascii="Sakkal Majalla" w:eastAsia="Calibri" w:hAnsi="Sakkal Majalla" w:cs="Sakkal Majalla"/>
          <w:color w:val="000000" w:themeColor="text1"/>
          <w:sz w:val="28"/>
          <w:szCs w:val="28"/>
        </w:rPr>
        <w:t xml:space="preserve">Ben Zaid &amp; Nimr (2019) </w:t>
      </w:r>
      <w:r w:rsidRPr="009A3EF4">
        <w:rPr>
          <w:rFonts w:ascii="Sakkal Majalla" w:eastAsia="Calibri" w:hAnsi="Sakkal Majalla" w:cs="Sakkal Majalla"/>
          <w:color w:val="000000" w:themeColor="text1"/>
          <w:sz w:val="28"/>
          <w:szCs w:val="28"/>
          <w:rtl/>
        </w:rPr>
        <w:t>أن المؤسسات التي تمتلك مؤشرات قياس دقيقة تكون أكثر قدرة على تحديد الانحرافات التشغيلية والمالية، مما يتيح لها اتخاذ قرارات تصحيحية مبكرة تدعم الأداء العام</w:t>
      </w:r>
      <w:r w:rsidR="00D91E20" w:rsidRPr="009A3EF4">
        <w:rPr>
          <w:rFonts w:ascii="Sakkal Majalla" w:eastAsia="Calibri" w:hAnsi="Sakkal Majalla" w:cs="Sakkal Majalla"/>
          <w:color w:val="000000" w:themeColor="text1"/>
          <w:sz w:val="28"/>
          <w:szCs w:val="28"/>
        </w:rPr>
        <w:t>.</w:t>
      </w:r>
    </w:p>
    <w:p w14:paraId="2BFA7D54" w14:textId="56C89D13"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وتتجلى أهمية هذا البعد في كونه يربط بين الأداء الفعلي والمستهدف، بحيث تُترجم الأهداف الاستراتيجية إلى مؤشرات كمية قابلة للقياس والمقارنة،  فالدقة في القياس تعني وجود نظام موحد للمعايير، وتحديد واضح للمدخلات والمخرجات، واستخدام أدوات تحليلية تضمن سلامة النتائج. وفي المنشآت الصحية، تسهم دقة القياس في تقييم كفاءة الأقسام الطبية والإدارية، وقياس جودة الخدمة المقدمة للمرضى، ورصد مدى الالتزام بمعايير الجودة والاعتماد الصحي، كما أن غياب الدقة يؤدي إلى قرارات إدارية مضللة، ويضعف من كفاءة المتابعة المؤسسية ويقلل من مصداقية التقارير الرقابية</w:t>
      </w:r>
      <w:r w:rsidRPr="009A3EF4">
        <w:rPr>
          <w:rFonts w:ascii="Sakkal Majalla" w:eastAsia="Calibri" w:hAnsi="Sakkal Majalla" w:cs="Sakkal Majalla"/>
          <w:color w:val="000000" w:themeColor="text1"/>
          <w:sz w:val="28"/>
          <w:szCs w:val="28"/>
        </w:rPr>
        <w:t>.</w:t>
      </w:r>
    </w:p>
    <w:p w14:paraId="43A6D78E" w14:textId="77777777" w:rsidR="001B7D4F" w:rsidRPr="009A3EF4" w:rsidRDefault="001B7D4F"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A3EF4">
        <w:rPr>
          <w:rFonts w:ascii="Sakkal Majalla" w:eastAsia="Calibri" w:hAnsi="Sakkal Majalla" w:cs="Sakkal Majalla"/>
          <w:b/>
          <w:bCs/>
          <w:color w:val="000000" w:themeColor="text1"/>
          <w:sz w:val="28"/>
          <w:szCs w:val="28"/>
          <w:rtl/>
        </w:rPr>
        <w:t>ثانيًا: جودة البيانات المستخدمة في التقييم</w:t>
      </w:r>
    </w:p>
    <w:p w14:paraId="56CBE050" w14:textId="77777777" w:rsidR="00D91E20"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تمثل جودة البيانات الركيزة الثانية التي تُبنى عليها كفاءة مراقبة الأداء، إذ لا يمكن لأي نظام رقابي أن يحقق فعاليته في ظل بيانات ناقصة أو غير دقيقة، ويرى </w:t>
      </w:r>
      <w:r w:rsidRPr="009A3EF4">
        <w:rPr>
          <w:rFonts w:ascii="Sakkal Majalla" w:eastAsia="Calibri" w:hAnsi="Sakkal Majalla" w:cs="Sakkal Majalla"/>
          <w:color w:val="000000" w:themeColor="text1"/>
          <w:sz w:val="28"/>
          <w:szCs w:val="28"/>
        </w:rPr>
        <w:t xml:space="preserve">Egiyi &amp; Eze (2022) </w:t>
      </w:r>
      <w:r w:rsidRPr="009A3EF4">
        <w:rPr>
          <w:rFonts w:ascii="Sakkal Majalla" w:eastAsia="Calibri" w:hAnsi="Sakkal Majalla" w:cs="Sakkal Majalla"/>
          <w:color w:val="000000" w:themeColor="text1"/>
          <w:sz w:val="28"/>
          <w:szCs w:val="28"/>
          <w:rtl/>
        </w:rPr>
        <w:t>أن جودة البيانات تُقاس بمدى صحتها، وتكاملها، وحداثتها، وقدرتها على تمثيل الواقع التنظيمي، فكلما كانت البيانات موثوقة وشاملة، ازدادت قدرة الإدارة على استخلاص مؤشرات دقيقة تُعبّر عن الأداء الحقيقي</w:t>
      </w:r>
      <w:r w:rsidR="00D91E20" w:rsidRPr="009A3EF4">
        <w:rPr>
          <w:rFonts w:ascii="Sakkal Majalla" w:eastAsia="Calibri" w:hAnsi="Sakkal Majalla" w:cs="Sakkal Majalla"/>
          <w:color w:val="000000" w:themeColor="text1"/>
          <w:sz w:val="28"/>
          <w:szCs w:val="28"/>
        </w:rPr>
        <w:t>.</w:t>
      </w:r>
    </w:p>
    <w:p w14:paraId="3D9876F3" w14:textId="78955618"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وفي البيئة الصحية، تُعد جودة البيانات عاملًا حاسمًا في مراقبة الأداء، إذ يعتمد تقييم كفاءة الخدمات على مؤشرات مثل معدلات الأخطاء الطبية، ووقت الاستجابة، ونسبة رضا المستفيدين ، فإن أي قصور في دقة أو موثوقية البيانات يؤدي إلى ضعف في التحليل الرقابي، كما أن توفر قواعد بيانات مترابطة بين الإدارات المختلفة يسهم في بناء صورة شاملة عن الأداء المؤسسي، ويدعم القرارات الاستراتيجية. ومن هذا المنطلق، تُعتبر جودة البيانات عنصرًا جوهريًا في تحقيق التكامل بين نظم المعلومات الصحية والإدارية، وتعزيز الشفافية في عرض النتائج المؤسسية</w:t>
      </w:r>
      <w:r w:rsidRPr="009A3EF4">
        <w:rPr>
          <w:rFonts w:ascii="Sakkal Majalla" w:eastAsia="Calibri" w:hAnsi="Sakkal Majalla" w:cs="Sakkal Majalla"/>
          <w:color w:val="000000" w:themeColor="text1"/>
          <w:sz w:val="28"/>
          <w:szCs w:val="28"/>
        </w:rPr>
        <w:t>.</w:t>
      </w:r>
    </w:p>
    <w:p w14:paraId="1D180D97" w14:textId="77777777" w:rsidR="001B7D4F" w:rsidRPr="009A3EF4" w:rsidRDefault="001B7D4F" w:rsidP="00FA5AF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A3EF4">
        <w:rPr>
          <w:rFonts w:ascii="Sakkal Majalla" w:eastAsia="Calibri" w:hAnsi="Sakkal Majalla" w:cs="Sakkal Majalla"/>
          <w:b/>
          <w:bCs/>
          <w:color w:val="000000" w:themeColor="text1"/>
          <w:sz w:val="28"/>
          <w:szCs w:val="28"/>
          <w:rtl/>
        </w:rPr>
        <w:t>ثالثًا: فعالية التقارير الرقابية</w:t>
      </w:r>
    </w:p>
    <w:p w14:paraId="1C8DA3DC" w14:textId="77777777" w:rsidR="00D91E20"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تُعد فعالية التقارير الرقابية البعد الثالث في منظومة كفاءة مراقبة الأداء، وهي تمثل المخرجات النهائية للعمل الرقابي. فالتقرير الرقابي ليس مجرد عرضٍ للبيانات، بل هو أداة تحليلية تساعد الإدارة في اتخاذ قرارات مبنية على الأدلة، وقد أشار </w:t>
      </w:r>
      <w:r w:rsidRPr="009A3EF4">
        <w:rPr>
          <w:rFonts w:ascii="Sakkal Majalla" w:eastAsia="Calibri" w:hAnsi="Sakkal Majalla" w:cs="Sakkal Majalla"/>
          <w:color w:val="000000" w:themeColor="text1"/>
          <w:sz w:val="28"/>
          <w:szCs w:val="28"/>
        </w:rPr>
        <w:t xml:space="preserve">Muslih &amp; Tayeh (2022) </w:t>
      </w:r>
      <w:r w:rsidRPr="009A3EF4">
        <w:rPr>
          <w:rFonts w:ascii="Sakkal Majalla" w:eastAsia="Calibri" w:hAnsi="Sakkal Majalla" w:cs="Sakkal Majalla"/>
          <w:color w:val="000000" w:themeColor="text1"/>
          <w:sz w:val="28"/>
          <w:szCs w:val="28"/>
          <w:rtl/>
        </w:rPr>
        <w:t>إلى أن فعالية التقارير تقاس بمدى وضوحها وشمولها وقدرتها على توجيه الانتباه إلى القضايا الجوهرية، مع تقديم توصيات عملية قابلة للتنفيذ</w:t>
      </w:r>
      <w:r w:rsidR="00D91E20" w:rsidRPr="009A3EF4">
        <w:rPr>
          <w:rFonts w:ascii="Sakkal Majalla" w:eastAsia="Calibri" w:hAnsi="Sakkal Majalla" w:cs="Sakkal Majalla"/>
          <w:color w:val="000000" w:themeColor="text1"/>
          <w:sz w:val="28"/>
          <w:szCs w:val="28"/>
        </w:rPr>
        <w:t>.</w:t>
      </w:r>
    </w:p>
    <w:p w14:paraId="1AAC1701" w14:textId="77777777" w:rsidR="00D91E20"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ويتحقق هذا البعد عندما تُصاغ التقارير بطريقة تحليلية تعتمد على عرض النتائج ومقارنتها بالمعايير المسبقة، مع تقديم تفسير منطقي للانحرافات واقتراح إجراءات تصحيحية مناسبة. كما أن التوقيت المناسب لإصدار التقارير يمثل عاملًا حاسمًا في فعالية المراقبة، لأن التأخير في عرض النتائج يفقدها قيمتها الإدارية</w:t>
      </w:r>
      <w:r w:rsidR="00D91E20" w:rsidRPr="009A3EF4">
        <w:rPr>
          <w:rFonts w:ascii="Sakkal Majalla" w:eastAsia="Calibri" w:hAnsi="Sakkal Majalla" w:cs="Sakkal Majalla"/>
          <w:color w:val="000000" w:themeColor="text1"/>
          <w:sz w:val="28"/>
          <w:szCs w:val="28"/>
        </w:rPr>
        <w:t>.</w:t>
      </w:r>
    </w:p>
    <w:p w14:paraId="3ECE0E02" w14:textId="56FB44F3"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وفي المنشآت الصحية، تمثل فعالية التقارير الرقابية أداة استراتيجية لضمان استدامة التحسين، حيث تساعد في تحديد الأقسام ذات الأداء المنخفض، ومتابعة تنفيذ خطط التطوير، وضمان الامتثال للمعايير الوطنية للجودة والسلامة. فالتقرير الرقابي الكفء يختصر الجهد الإداري، ويوفّر معلومات دقيقة ومركزة تتيح للقيادة اتخاذ قرارات فورية، مما يعزز من كفاءة النظام الصحي العام</w:t>
      </w:r>
      <w:r w:rsidRPr="009A3EF4">
        <w:rPr>
          <w:rFonts w:ascii="Sakkal Majalla" w:eastAsia="Calibri" w:hAnsi="Sakkal Majalla" w:cs="Sakkal Majalla"/>
          <w:color w:val="000000" w:themeColor="text1"/>
          <w:sz w:val="28"/>
          <w:szCs w:val="28"/>
        </w:rPr>
        <w:t>.</w:t>
      </w:r>
    </w:p>
    <w:p w14:paraId="2A1B888F" w14:textId="77777777"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t>يرى الباحث أن الأبعاد الثلاثة  دقة القياس، وجودة البيانات، وفعالية التقارير – تمثل منظومة مترابطة لا يمكن فصل أحدها عن الآخر، إذ يشكل كل منها حلقة في سلسلة المراقبة الفعالة. فالدقة في القياس تضمن مصداقية المؤشرات، وجودة البيانات تمنح القوة التحليلية، بينما فعالية التقارير تترجم الجهود الرقابية إلى قرارات عملية.</w:t>
      </w:r>
    </w:p>
    <w:p w14:paraId="215BB817" w14:textId="2BF9D2DF" w:rsidR="001B7D4F" w:rsidRPr="009A3EF4" w:rsidRDefault="001B7D4F" w:rsidP="00D91E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A3EF4">
        <w:rPr>
          <w:rFonts w:ascii="Sakkal Majalla" w:eastAsia="Calibri" w:hAnsi="Sakkal Majalla" w:cs="Sakkal Majalla"/>
          <w:color w:val="000000" w:themeColor="text1"/>
          <w:sz w:val="28"/>
          <w:szCs w:val="28"/>
          <w:rtl/>
        </w:rPr>
        <w:t xml:space="preserve"> وفي المنشآت الصحية السعودية، يعكس توازن هذه الأبعاد مستوى النضج الإداري للمؤسسة، وقدرتها على تحقيق التكامل بين التقييم الكمي والتحليل النوعي، بما يسهم في تحسين الأداء المؤسسي وضمان جودة الخدمات في إطار الحوكمة الحديثة ورؤية المملكة 2030</w:t>
      </w:r>
      <w:r w:rsidRPr="009A3EF4">
        <w:rPr>
          <w:rFonts w:ascii="Sakkal Majalla" w:eastAsia="Calibri" w:hAnsi="Sakkal Majalla" w:cs="Sakkal Majalla"/>
          <w:color w:val="000000" w:themeColor="text1"/>
          <w:sz w:val="28"/>
          <w:szCs w:val="28"/>
        </w:rPr>
        <w:t>.</w:t>
      </w:r>
    </w:p>
    <w:p w14:paraId="3F5CE8AC" w14:textId="77777777" w:rsidR="00D91E20" w:rsidRPr="009A3EF4" w:rsidRDefault="00D91E20">
      <w:pPr>
        <w:rPr>
          <w:rFonts w:ascii="Sakkal Majalla" w:eastAsia="Calibri" w:hAnsi="Sakkal Majalla" w:cs="Sakkal Majalla"/>
          <w:color w:val="000000" w:themeColor="text1"/>
          <w:sz w:val="28"/>
          <w:szCs w:val="28"/>
          <w:rtl/>
        </w:rPr>
      </w:pPr>
      <w:r w:rsidRPr="009A3EF4">
        <w:rPr>
          <w:rFonts w:ascii="Sakkal Majalla" w:eastAsia="Calibri" w:hAnsi="Sakkal Majalla" w:cs="Sakkal Majalla"/>
          <w:color w:val="000000" w:themeColor="text1"/>
          <w:sz w:val="28"/>
          <w:szCs w:val="28"/>
          <w:rtl/>
        </w:rPr>
        <w:br w:type="page"/>
      </w:r>
    </w:p>
    <w:bookmarkEnd w:id="27"/>
    <w:p w14:paraId="148E6BCA" w14:textId="7F70C3E6" w:rsidR="00DE7C69" w:rsidRPr="009A3EF4" w:rsidRDefault="00DE7C69" w:rsidP="00BF00A8">
      <w:pPr>
        <w:bidi/>
        <w:spacing w:before="100" w:beforeAutospacing="1" w:after="100" w:afterAutospacing="1"/>
        <w:ind w:left="720"/>
        <w:jc w:val="center"/>
        <w:rPr>
          <w:rFonts w:cs="Sakkal Majalla"/>
          <w:b/>
          <w:bCs/>
          <w:color w:val="000000" w:themeColor="text1"/>
          <w:sz w:val="28"/>
          <w:szCs w:val="32"/>
        </w:rPr>
        <w:sectPr w:rsidR="00DE7C69" w:rsidRPr="009A3EF4" w:rsidSect="004B74FD">
          <w:footerReference w:type="default" r:id="rId10"/>
          <w:pgSz w:w="11907" w:h="16840" w:code="9"/>
          <w:pgMar w:top="1440" w:right="1985" w:bottom="1440" w:left="1418" w:header="720" w:footer="720" w:gutter="567"/>
          <w:pgNumType w:start="1"/>
          <w:cols w:space="708"/>
          <w:bidi/>
          <w:rtlGutter/>
          <w:docGrid w:linePitch="360"/>
        </w:sectPr>
      </w:pPr>
    </w:p>
    <w:p w14:paraId="0400CABE" w14:textId="77777777" w:rsidR="007B6EBB" w:rsidRPr="009A3EF4" w:rsidRDefault="007B6EBB" w:rsidP="00FA5AF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A3EF4">
        <w:rPr>
          <w:rFonts w:ascii="Sakkal Majalla" w:eastAsia="Calibri" w:hAnsi="Sakkal Majalla" w:cs="Sakkal Majalla"/>
          <w:b/>
          <w:bCs/>
          <w:noProof/>
          <w:color w:val="000000" w:themeColor="text1"/>
          <w:sz w:val="32"/>
          <w:szCs w:val="32"/>
        </w:rPr>
        <w:drawing>
          <wp:anchor distT="0" distB="0" distL="114300" distR="114300" simplePos="0" relativeHeight="251663360" behindDoc="1" locked="0" layoutInCell="1" allowOverlap="1" wp14:anchorId="1F68F9C5" wp14:editId="6048281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A3EF4">
        <w:rPr>
          <w:rFonts w:ascii="Sakkal Majalla" w:eastAsia="Calibri" w:hAnsi="Sakkal Majalla" w:cs="Sakkal Majalla"/>
          <w:b/>
          <w:bCs/>
          <w:color w:val="000000" w:themeColor="text1"/>
          <w:kern w:val="0"/>
          <w:sz w:val="32"/>
          <w:szCs w:val="32"/>
          <w:lang w:bidi="ar-EG"/>
          <w14:ligatures w14:val="none"/>
        </w:rPr>
        <w:t>Mid-Ocean University</w:t>
      </w:r>
    </w:p>
    <w:p w14:paraId="2D6E7DA4" w14:textId="77777777" w:rsidR="007B6EBB" w:rsidRPr="009A3EF4" w:rsidRDefault="007B6EBB" w:rsidP="00FA5AF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A3EF4">
        <w:rPr>
          <w:rFonts w:ascii="Sakkal Majalla" w:eastAsia="Calibri" w:hAnsi="Sakkal Majalla" w:cs="Sakkal Majalla"/>
          <w:b/>
          <w:bCs/>
          <w:color w:val="000000" w:themeColor="text1"/>
          <w:kern w:val="0"/>
          <w:sz w:val="32"/>
          <w:szCs w:val="32"/>
          <w:lang w:bidi="ar-EG"/>
          <w14:ligatures w14:val="none"/>
        </w:rPr>
        <w:t>College of Management</w:t>
      </w:r>
    </w:p>
    <w:p w14:paraId="02D6D346" w14:textId="3FB147F5" w:rsidR="007B6EBB" w:rsidRPr="009A3EF4" w:rsidRDefault="007B6EBB" w:rsidP="00FA5AF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9A3EF4">
        <w:rPr>
          <w:rFonts w:ascii="Sakkal Majalla" w:eastAsia="Calibri" w:hAnsi="Sakkal Majalla" w:cs="Sakkal Majalla"/>
          <w:b/>
          <w:bCs/>
          <w:color w:val="000000" w:themeColor="text1"/>
          <w:kern w:val="0"/>
          <w:sz w:val="32"/>
          <w:szCs w:val="32"/>
          <w:lang w:bidi="ar-EG"/>
          <w14:ligatures w14:val="none"/>
        </w:rPr>
        <w:t xml:space="preserve">Department of </w:t>
      </w:r>
      <w:r w:rsidRPr="009A3EF4">
        <w:rPr>
          <w:rFonts w:ascii="Sakkal Majalla" w:eastAsia="Calibri" w:hAnsi="Sakkal Majalla" w:cs="Sakkal Majalla"/>
          <w:b/>
          <w:bCs/>
          <w:color w:val="000000" w:themeColor="text1"/>
          <w:kern w:val="0"/>
          <w:sz w:val="32"/>
          <w:szCs w:val="32"/>
          <w14:ligatures w14:val="none"/>
        </w:rPr>
        <w:t>risk Management</w:t>
      </w:r>
    </w:p>
    <w:p w14:paraId="0673DDFA" w14:textId="77777777" w:rsidR="007B6EBB" w:rsidRPr="009A3EF4" w:rsidRDefault="007B6EBB" w:rsidP="00FA5AF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6F8EF22A" w14:textId="2E9F702A" w:rsidR="007B6EBB" w:rsidRPr="009A3EF4" w:rsidRDefault="007B6EBB" w:rsidP="00DE7C69">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9A3EF4">
        <w:rPr>
          <w:rFonts w:ascii="Sakkal Majalla" w:eastAsia="Calibri" w:hAnsi="Sakkal Majalla" w:cs="Sakkal Majalla"/>
          <w:b/>
          <w:bCs/>
          <w:color w:val="000000" w:themeColor="text1"/>
          <w:kern w:val="0"/>
          <w:sz w:val="40"/>
          <w:szCs w:val="40"/>
          <w:lang w:bidi="ar-EG"/>
          <w14:ligatures w14:val="none"/>
        </w:rPr>
        <w:t>The Impact of Organizational Risk Management Maturity Level on the Efficiency of Performance Monitoring: A Field Study on Healthcare Institutions in Saudi Arabia</w:t>
      </w:r>
    </w:p>
    <w:p w14:paraId="59ED2FE0" w14:textId="77777777" w:rsidR="007B6EBB" w:rsidRPr="009A3EF4" w:rsidRDefault="007B6EBB" w:rsidP="00DE7C6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A3EF4">
        <w:rPr>
          <w:rFonts w:ascii="Sakkal Majalla" w:eastAsia="Calibri" w:hAnsi="Sakkal Majalla" w:cs="Sakkal Majalla"/>
          <w:b/>
          <w:bCs/>
          <w:color w:val="000000" w:themeColor="text1"/>
          <w:kern w:val="0"/>
          <w:sz w:val="36"/>
          <w:szCs w:val="36"/>
          <w:lang w:bidi="ar-EG"/>
          <w14:ligatures w14:val="none"/>
        </w:rPr>
        <w:t>Preparation</w:t>
      </w:r>
      <w:r w:rsidRPr="009A3EF4">
        <w:rPr>
          <w:rFonts w:ascii="Sakkal Majalla" w:eastAsia="Calibri" w:hAnsi="Sakkal Majalla" w:cs="Sakkal Majalla"/>
          <w:b/>
          <w:bCs/>
          <w:color w:val="000000" w:themeColor="text1"/>
          <w:kern w:val="0"/>
          <w:sz w:val="36"/>
          <w:szCs w:val="36"/>
          <w:rtl/>
          <w:lang w:bidi="ar-EG"/>
          <w14:ligatures w14:val="none"/>
        </w:rPr>
        <w:t>:</w:t>
      </w:r>
    </w:p>
    <w:p w14:paraId="1227DF40" w14:textId="77777777" w:rsidR="007B6EBB" w:rsidRPr="009A3EF4" w:rsidRDefault="007B6EBB" w:rsidP="00DE7C6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A3EF4">
        <w:rPr>
          <w:rFonts w:ascii="Sakkal Majalla" w:eastAsia="Calibri" w:hAnsi="Sakkal Majalla" w:cs="Sakkal Majalla"/>
          <w:b/>
          <w:bCs/>
          <w:color w:val="000000" w:themeColor="text1"/>
          <w:kern w:val="0"/>
          <w:sz w:val="36"/>
          <w:szCs w:val="36"/>
          <w:lang w:bidi="ar-EG"/>
          <w14:ligatures w14:val="none"/>
        </w:rPr>
        <w:t>HAMDAN YAHYA HAMDAN ALYAMI</w:t>
      </w:r>
    </w:p>
    <w:p w14:paraId="7B529B48" w14:textId="530C2BCB" w:rsidR="007B6EBB" w:rsidRPr="009A3EF4" w:rsidRDefault="007B6EBB" w:rsidP="00DE7C6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A3EF4">
        <w:rPr>
          <w:rFonts w:ascii="Sakkal Majalla" w:eastAsia="Calibri" w:hAnsi="Sakkal Majalla" w:cs="Sakkal Majalla"/>
          <w:b/>
          <w:bCs/>
          <w:color w:val="000000" w:themeColor="text1"/>
          <w:kern w:val="0"/>
          <w:sz w:val="36"/>
          <w:szCs w:val="36"/>
          <w:lang w:bidi="ar-EG"/>
          <w14:ligatures w14:val="none"/>
        </w:rPr>
        <w:t>251002397</w:t>
      </w:r>
    </w:p>
    <w:p w14:paraId="7189BEC8" w14:textId="77777777" w:rsidR="007B6EBB" w:rsidRPr="009A3EF4" w:rsidRDefault="007B6EBB" w:rsidP="00DE7C6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A3EF4">
        <w:rPr>
          <w:rFonts w:ascii="Sakkal Majalla" w:eastAsia="Calibri" w:hAnsi="Sakkal Majalla" w:cs="Sakkal Majalla"/>
          <w:b/>
          <w:bCs/>
          <w:color w:val="000000" w:themeColor="text1"/>
          <w:kern w:val="0"/>
          <w:sz w:val="36"/>
          <w:szCs w:val="36"/>
          <w:lang w:bidi="ar-EG"/>
          <w14:ligatures w14:val="none"/>
        </w:rPr>
        <w:t>Supervision:</w:t>
      </w:r>
    </w:p>
    <w:p w14:paraId="4C68F917" w14:textId="77777777" w:rsidR="007B6EBB" w:rsidRPr="009A3EF4" w:rsidRDefault="007B6EBB" w:rsidP="00DE7C6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A3EF4">
        <w:rPr>
          <w:rFonts w:ascii="Sakkal Majalla" w:eastAsia="Calibri" w:hAnsi="Sakkal Majalla" w:cs="Sakkal Majalla"/>
          <w:b/>
          <w:bCs/>
          <w:color w:val="000000" w:themeColor="text1"/>
          <w:kern w:val="0"/>
          <w:sz w:val="36"/>
          <w:szCs w:val="36"/>
          <w:lang w:bidi="ar-EG"/>
          <w14:ligatures w14:val="none"/>
        </w:rPr>
        <w:t>Dr. Al-Faisal Abdelhamid Mohamed Hassan</w:t>
      </w:r>
    </w:p>
    <w:p w14:paraId="288D49F2" w14:textId="043FCF5E" w:rsidR="00DE7C69" w:rsidRPr="009A3EF4" w:rsidRDefault="00DE7C69" w:rsidP="00DE7C6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A3EF4">
        <w:rPr>
          <w:rFonts w:ascii="Sakkal Majalla" w:eastAsia="Calibri" w:hAnsi="Sakkal Majalla" w:cs="Sakkal Majalla"/>
          <w:b/>
          <w:bCs/>
          <w:color w:val="000000" w:themeColor="text1"/>
          <w:kern w:val="0"/>
          <w:sz w:val="36"/>
          <w:szCs w:val="36"/>
          <w:lang w:bidi="ar-EG"/>
          <w14:ligatures w14:val="none"/>
        </w:rPr>
        <w:t>Dr. Fayez Grad</w:t>
      </w:r>
    </w:p>
    <w:p w14:paraId="6590EDD4" w14:textId="4FF8BF6D" w:rsidR="007B6EBB" w:rsidRPr="009A3EF4" w:rsidRDefault="00DE7C69" w:rsidP="00DE7C6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A3EF4">
        <w:rPr>
          <w:rFonts w:ascii="Sakkal Majalla" w:eastAsia="Calibri" w:hAnsi="Sakkal Majalla" w:cs="Sakkal Majalla"/>
          <w:b/>
          <w:bCs/>
          <w:color w:val="000000" w:themeColor="text1"/>
          <w:kern w:val="0"/>
          <w:sz w:val="36"/>
          <w:szCs w:val="36"/>
          <w:lang w:bidi="ar-EG"/>
          <w14:ligatures w14:val="none"/>
        </w:rPr>
        <w:t>1447 – 2025</w:t>
      </w:r>
    </w:p>
    <w:sectPr w:rsidR="007B6EBB" w:rsidRPr="009A3EF4" w:rsidSect="004B74FD">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A8C2C" w14:textId="77777777" w:rsidR="00CE747A" w:rsidRDefault="00CE747A" w:rsidP="00F63434">
      <w:pPr>
        <w:spacing w:after="0" w:line="240" w:lineRule="auto"/>
      </w:pPr>
      <w:r>
        <w:separator/>
      </w:r>
    </w:p>
  </w:endnote>
  <w:endnote w:type="continuationSeparator" w:id="0">
    <w:p w14:paraId="0F0AD94B" w14:textId="77777777" w:rsidR="00CE747A" w:rsidRDefault="00CE747A" w:rsidP="00F63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00"/>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565910"/>
      <w:docPartObj>
        <w:docPartGallery w:val="Page Numbers (Bottom of Page)"/>
        <w:docPartUnique/>
      </w:docPartObj>
    </w:sdtPr>
    <w:sdtEndPr>
      <w:rPr>
        <w:rFonts w:ascii="Sakkal Majalla" w:hAnsi="Sakkal Majalla" w:cs="Sakkal Majalla"/>
        <w:b/>
        <w:bCs/>
      </w:rPr>
    </w:sdtEndPr>
    <w:sdtContent>
      <w:p w14:paraId="153F0F70" w14:textId="4A8E467A" w:rsidR="00FB50A3" w:rsidRDefault="00FB50A3">
        <w:pPr>
          <w:pStyle w:val="ac"/>
          <w:jc w:val="center"/>
        </w:pPr>
      </w:p>
      <w:p w14:paraId="6CC8A87E" w14:textId="0F8A2110" w:rsidR="00FB50A3" w:rsidRPr="00F63434" w:rsidRDefault="00000000" w:rsidP="00F63434">
        <w:pPr>
          <w:pStyle w:val="ac"/>
          <w:jc w:val="center"/>
          <w:rPr>
            <w:rFonts w:ascii="Sakkal Majalla" w:hAnsi="Sakkal Majalla" w:cs="Sakkal Majalla"/>
            <w:b/>
            <w:bCs/>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3250260"/>
      <w:docPartObj>
        <w:docPartGallery w:val="Page Numbers (Bottom of Page)"/>
        <w:docPartUnique/>
      </w:docPartObj>
    </w:sdtPr>
    <w:sdtEndPr>
      <w:rPr>
        <w:rFonts w:ascii="Sakkal Majalla" w:hAnsi="Sakkal Majalla" w:cs="Sakkal Majalla"/>
        <w:b/>
        <w:bCs/>
      </w:rPr>
    </w:sdtEndPr>
    <w:sdtContent>
      <w:p w14:paraId="5054CFB6" w14:textId="77777777" w:rsidR="00FB50A3" w:rsidRDefault="00FB50A3">
        <w:pPr>
          <w:pStyle w:val="ac"/>
          <w:jc w:val="center"/>
        </w:pPr>
        <w:r>
          <w:rPr>
            <w:noProof/>
          </w:rPr>
          <mc:AlternateContent>
            <mc:Choice Requires="wps">
              <w:drawing>
                <wp:inline distT="0" distB="0" distL="0" distR="0" wp14:anchorId="0C38C4A8" wp14:editId="78DD116F">
                  <wp:extent cx="5467350" cy="45085"/>
                  <wp:effectExtent l="0"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BD7DEE0"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BtKVqe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60B1488A" w14:textId="77777777" w:rsidR="00FB50A3" w:rsidRPr="00F63434" w:rsidRDefault="00FB50A3" w:rsidP="00F63434">
        <w:pPr>
          <w:pStyle w:val="ac"/>
          <w:jc w:val="center"/>
          <w:rPr>
            <w:rFonts w:ascii="Sakkal Majalla" w:hAnsi="Sakkal Majalla" w:cs="Sakkal Majalla"/>
            <w:b/>
            <w:bCs/>
          </w:rPr>
        </w:pPr>
        <w:r w:rsidRPr="00F63434">
          <w:rPr>
            <w:rFonts w:ascii="Sakkal Majalla" w:hAnsi="Sakkal Majalla" w:cs="Sakkal Majalla"/>
            <w:b/>
            <w:bCs/>
          </w:rPr>
          <w:fldChar w:fldCharType="begin"/>
        </w:r>
        <w:r w:rsidRPr="00F63434">
          <w:rPr>
            <w:rFonts w:ascii="Sakkal Majalla" w:hAnsi="Sakkal Majalla" w:cs="Sakkal Majalla"/>
            <w:b/>
            <w:bCs/>
          </w:rPr>
          <w:instrText xml:space="preserve"> PAGE    \* MERGEFORMAT </w:instrText>
        </w:r>
        <w:r w:rsidRPr="00F63434">
          <w:rPr>
            <w:rFonts w:ascii="Sakkal Majalla" w:hAnsi="Sakkal Majalla" w:cs="Sakkal Majalla"/>
            <w:b/>
            <w:bCs/>
          </w:rPr>
          <w:fldChar w:fldCharType="separate"/>
        </w:r>
        <w:r w:rsidR="00BF00A8">
          <w:rPr>
            <w:rFonts w:ascii="Sakkal Majalla" w:hAnsi="Sakkal Majalla" w:cs="Sakkal Majalla"/>
            <w:b/>
            <w:bCs/>
            <w:noProof/>
          </w:rPr>
          <w:t>35</w:t>
        </w:r>
        <w:r w:rsidRPr="00F63434">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625460"/>
      <w:docPartObj>
        <w:docPartGallery w:val="Page Numbers (Bottom of Page)"/>
        <w:docPartUnique/>
      </w:docPartObj>
    </w:sdtPr>
    <w:sdtEndPr>
      <w:rPr>
        <w:rFonts w:ascii="Sakkal Majalla" w:hAnsi="Sakkal Majalla" w:cs="Sakkal Majalla"/>
        <w:b/>
        <w:bCs/>
      </w:rPr>
    </w:sdtEndPr>
    <w:sdtContent>
      <w:p w14:paraId="01B926E9" w14:textId="679D4FBA" w:rsidR="00DE7C69" w:rsidRDefault="00DE7C69">
        <w:pPr>
          <w:pStyle w:val="ac"/>
          <w:jc w:val="center"/>
        </w:pPr>
      </w:p>
      <w:p w14:paraId="37165724" w14:textId="5E63B4A7" w:rsidR="00DE7C69" w:rsidRPr="00F63434" w:rsidRDefault="00000000" w:rsidP="00F63434">
        <w:pPr>
          <w:pStyle w:val="ac"/>
          <w:jc w:val="center"/>
          <w:rPr>
            <w:rFonts w:ascii="Sakkal Majalla" w:hAnsi="Sakkal Majalla" w:cs="Sakkal Majalla"/>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C8DA9" w14:textId="77777777" w:rsidR="00CE747A" w:rsidRDefault="00CE747A" w:rsidP="00F63434">
      <w:pPr>
        <w:spacing w:after="0" w:line="240" w:lineRule="auto"/>
      </w:pPr>
      <w:r>
        <w:separator/>
      </w:r>
    </w:p>
  </w:footnote>
  <w:footnote w:type="continuationSeparator" w:id="0">
    <w:p w14:paraId="0516E6C9" w14:textId="77777777" w:rsidR="00CE747A" w:rsidRDefault="00CE747A" w:rsidP="00F63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37E"/>
    <w:multiLevelType w:val="multilevel"/>
    <w:tmpl w:val="45E25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6641B"/>
    <w:multiLevelType w:val="hybridMultilevel"/>
    <w:tmpl w:val="02C46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5A5E45"/>
    <w:multiLevelType w:val="hybridMultilevel"/>
    <w:tmpl w:val="7B668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CF0098"/>
    <w:multiLevelType w:val="multilevel"/>
    <w:tmpl w:val="F6D4E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6137A"/>
    <w:multiLevelType w:val="hybridMultilevel"/>
    <w:tmpl w:val="B162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A42A72"/>
    <w:multiLevelType w:val="multilevel"/>
    <w:tmpl w:val="4B100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164476"/>
    <w:multiLevelType w:val="hybridMultilevel"/>
    <w:tmpl w:val="632C23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B1020"/>
    <w:multiLevelType w:val="multilevel"/>
    <w:tmpl w:val="9BFCA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5D154D"/>
    <w:multiLevelType w:val="hybridMultilevel"/>
    <w:tmpl w:val="C7463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6A0499"/>
    <w:multiLevelType w:val="multilevel"/>
    <w:tmpl w:val="43408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435BCC"/>
    <w:multiLevelType w:val="multilevel"/>
    <w:tmpl w:val="E072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63587E"/>
    <w:multiLevelType w:val="multilevel"/>
    <w:tmpl w:val="3C5AA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C5D33E3"/>
    <w:multiLevelType w:val="multilevel"/>
    <w:tmpl w:val="7128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7B1838"/>
    <w:multiLevelType w:val="multilevel"/>
    <w:tmpl w:val="9F667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C8448D"/>
    <w:multiLevelType w:val="multilevel"/>
    <w:tmpl w:val="182C9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D1575E"/>
    <w:multiLevelType w:val="multilevel"/>
    <w:tmpl w:val="D666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0D1940"/>
    <w:multiLevelType w:val="hybridMultilevel"/>
    <w:tmpl w:val="430E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A048E9"/>
    <w:multiLevelType w:val="hybridMultilevel"/>
    <w:tmpl w:val="DE982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3B7531"/>
    <w:multiLevelType w:val="multilevel"/>
    <w:tmpl w:val="6F5A6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4678D8"/>
    <w:multiLevelType w:val="multilevel"/>
    <w:tmpl w:val="AB9C0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C306FC"/>
    <w:multiLevelType w:val="multilevel"/>
    <w:tmpl w:val="5E102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1C5EC0"/>
    <w:multiLevelType w:val="hybridMultilevel"/>
    <w:tmpl w:val="910E2B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9178C4"/>
    <w:multiLevelType w:val="hybridMultilevel"/>
    <w:tmpl w:val="906E61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A05C95"/>
    <w:multiLevelType w:val="multilevel"/>
    <w:tmpl w:val="334A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A56ACF"/>
    <w:multiLevelType w:val="multilevel"/>
    <w:tmpl w:val="CAC0D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B479DE"/>
    <w:multiLevelType w:val="hybridMultilevel"/>
    <w:tmpl w:val="02C46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5E4014"/>
    <w:multiLevelType w:val="hybridMultilevel"/>
    <w:tmpl w:val="12D02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302565"/>
    <w:multiLevelType w:val="multilevel"/>
    <w:tmpl w:val="A92A1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B929A5"/>
    <w:multiLevelType w:val="multilevel"/>
    <w:tmpl w:val="B7FA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CA85D47"/>
    <w:multiLevelType w:val="multilevel"/>
    <w:tmpl w:val="73A02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CF6BD8"/>
    <w:multiLevelType w:val="multilevel"/>
    <w:tmpl w:val="17F44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F650EC"/>
    <w:multiLevelType w:val="multilevel"/>
    <w:tmpl w:val="4268E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3" w15:restartNumberingAfterBreak="0">
    <w:nsid w:val="6A1155C5"/>
    <w:multiLevelType w:val="hybridMultilevel"/>
    <w:tmpl w:val="3F5881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734587"/>
    <w:multiLevelType w:val="multilevel"/>
    <w:tmpl w:val="FA924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2AC05B8"/>
    <w:multiLevelType w:val="hybridMultilevel"/>
    <w:tmpl w:val="1C901A84"/>
    <w:lvl w:ilvl="0" w:tplc="06B83980">
      <w:start w:val="1"/>
      <w:numFmt w:val="bullet"/>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47" w15:restartNumberingAfterBreak="0">
    <w:nsid w:val="77095356"/>
    <w:multiLevelType w:val="multilevel"/>
    <w:tmpl w:val="9F18E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5576468">
    <w:abstractNumId w:val="38"/>
  </w:num>
  <w:num w:numId="2" w16cid:durableId="709308322">
    <w:abstractNumId w:val="36"/>
  </w:num>
  <w:num w:numId="3" w16cid:durableId="548152290">
    <w:abstractNumId w:val="44"/>
  </w:num>
  <w:num w:numId="4" w16cid:durableId="286814808">
    <w:abstractNumId w:val="10"/>
  </w:num>
  <w:num w:numId="5" w16cid:durableId="2045251784">
    <w:abstractNumId w:val="30"/>
  </w:num>
  <w:num w:numId="6" w16cid:durableId="145820987">
    <w:abstractNumId w:val="34"/>
  </w:num>
  <w:num w:numId="7" w16cid:durableId="41834660">
    <w:abstractNumId w:val="9"/>
  </w:num>
  <w:num w:numId="8" w16cid:durableId="163404037">
    <w:abstractNumId w:val="17"/>
  </w:num>
  <w:num w:numId="9" w16cid:durableId="1056464978">
    <w:abstractNumId w:val="48"/>
  </w:num>
  <w:num w:numId="10" w16cid:durableId="995382786">
    <w:abstractNumId w:val="14"/>
  </w:num>
  <w:num w:numId="11" w16cid:durableId="1389721672">
    <w:abstractNumId w:val="18"/>
  </w:num>
  <w:num w:numId="12" w16cid:durableId="1081297743">
    <w:abstractNumId w:val="5"/>
  </w:num>
  <w:num w:numId="13" w16cid:durableId="312106465">
    <w:abstractNumId w:val="2"/>
  </w:num>
  <w:num w:numId="14" w16cid:durableId="1273826329">
    <w:abstractNumId w:val="4"/>
  </w:num>
  <w:num w:numId="15" w16cid:durableId="397244604">
    <w:abstractNumId w:val="7"/>
  </w:num>
  <w:num w:numId="16" w16cid:durableId="1269656819">
    <w:abstractNumId w:val="29"/>
  </w:num>
  <w:num w:numId="17" w16cid:durableId="1077482592">
    <w:abstractNumId w:val="28"/>
  </w:num>
  <w:num w:numId="18" w16cid:durableId="870798651">
    <w:abstractNumId w:val="15"/>
  </w:num>
  <w:num w:numId="19" w16cid:durableId="753939140">
    <w:abstractNumId w:val="24"/>
  </w:num>
  <w:num w:numId="20" w16cid:durableId="97725803">
    <w:abstractNumId w:val="23"/>
  </w:num>
  <w:num w:numId="21" w16cid:durableId="777914881">
    <w:abstractNumId w:val="13"/>
  </w:num>
  <w:num w:numId="22" w16cid:durableId="1482236875">
    <w:abstractNumId w:val="39"/>
  </w:num>
  <w:num w:numId="23" w16cid:durableId="979842953">
    <w:abstractNumId w:val="32"/>
  </w:num>
  <w:num w:numId="24" w16cid:durableId="189337976">
    <w:abstractNumId w:val="21"/>
  </w:num>
  <w:num w:numId="25" w16cid:durableId="506793495">
    <w:abstractNumId w:val="20"/>
  </w:num>
  <w:num w:numId="26" w16cid:durableId="1253514452">
    <w:abstractNumId w:val="6"/>
  </w:num>
  <w:num w:numId="27" w16cid:durableId="699283554">
    <w:abstractNumId w:val="8"/>
  </w:num>
  <w:num w:numId="28" w16cid:durableId="1424106746">
    <w:abstractNumId w:val="35"/>
  </w:num>
  <w:num w:numId="29" w16cid:durableId="1551188400">
    <w:abstractNumId w:val="0"/>
  </w:num>
  <w:num w:numId="30" w16cid:durableId="106126707">
    <w:abstractNumId w:val="27"/>
  </w:num>
  <w:num w:numId="31" w16cid:durableId="257255161">
    <w:abstractNumId w:val="41"/>
  </w:num>
  <w:num w:numId="32" w16cid:durableId="297732328">
    <w:abstractNumId w:val="25"/>
  </w:num>
  <w:num w:numId="33" w16cid:durableId="1104426156">
    <w:abstractNumId w:val="19"/>
  </w:num>
  <w:num w:numId="34" w16cid:durableId="1669285097">
    <w:abstractNumId w:val="37"/>
  </w:num>
  <w:num w:numId="35" w16cid:durableId="1101025896">
    <w:abstractNumId w:val="40"/>
  </w:num>
  <w:num w:numId="36" w16cid:durableId="67580464">
    <w:abstractNumId w:val="45"/>
  </w:num>
  <w:num w:numId="37" w16cid:durableId="821430478">
    <w:abstractNumId w:val="12"/>
  </w:num>
  <w:num w:numId="38" w16cid:durableId="282538699">
    <w:abstractNumId w:val="11"/>
  </w:num>
  <w:num w:numId="39" w16cid:durableId="478890199">
    <w:abstractNumId w:val="47"/>
  </w:num>
  <w:num w:numId="40" w16cid:durableId="154494815">
    <w:abstractNumId w:val="22"/>
  </w:num>
  <w:num w:numId="41" w16cid:durableId="899563450">
    <w:abstractNumId w:val="26"/>
  </w:num>
  <w:num w:numId="42" w16cid:durableId="1898084687">
    <w:abstractNumId w:val="31"/>
  </w:num>
  <w:num w:numId="43" w16cid:durableId="1248732240">
    <w:abstractNumId w:val="3"/>
  </w:num>
  <w:num w:numId="44" w16cid:durableId="876358216">
    <w:abstractNumId w:val="33"/>
  </w:num>
  <w:num w:numId="45" w16cid:durableId="230120960">
    <w:abstractNumId w:val="16"/>
  </w:num>
  <w:num w:numId="46" w16cid:durableId="1444618675">
    <w:abstractNumId w:val="42"/>
  </w:num>
  <w:num w:numId="47" w16cid:durableId="1246497993">
    <w:abstractNumId w:val="43"/>
  </w:num>
  <w:num w:numId="48" w16cid:durableId="123619832">
    <w:abstractNumId w:val="46"/>
  </w:num>
  <w:num w:numId="49" w16cid:durableId="1594900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464CC"/>
    <w:rsid w:val="00075ED8"/>
    <w:rsid w:val="000765C4"/>
    <w:rsid w:val="00086EC7"/>
    <w:rsid w:val="000B388F"/>
    <w:rsid w:val="00107D6F"/>
    <w:rsid w:val="0015698D"/>
    <w:rsid w:val="001676EA"/>
    <w:rsid w:val="001B0A36"/>
    <w:rsid w:val="001B7D4F"/>
    <w:rsid w:val="001F42A2"/>
    <w:rsid w:val="002B3AFE"/>
    <w:rsid w:val="002E762B"/>
    <w:rsid w:val="002F60B8"/>
    <w:rsid w:val="003363AB"/>
    <w:rsid w:val="00377082"/>
    <w:rsid w:val="00410DB9"/>
    <w:rsid w:val="00431C8C"/>
    <w:rsid w:val="004B352F"/>
    <w:rsid w:val="004B74FD"/>
    <w:rsid w:val="004D572F"/>
    <w:rsid w:val="0057194E"/>
    <w:rsid w:val="005E2427"/>
    <w:rsid w:val="006276FC"/>
    <w:rsid w:val="006817A4"/>
    <w:rsid w:val="006B10E4"/>
    <w:rsid w:val="006C1EE8"/>
    <w:rsid w:val="006E7E89"/>
    <w:rsid w:val="00731023"/>
    <w:rsid w:val="00755C2B"/>
    <w:rsid w:val="007B6EBB"/>
    <w:rsid w:val="00810CDC"/>
    <w:rsid w:val="008877D4"/>
    <w:rsid w:val="008B4A5D"/>
    <w:rsid w:val="00953064"/>
    <w:rsid w:val="009A3EF4"/>
    <w:rsid w:val="009D0E1C"/>
    <w:rsid w:val="00A05B09"/>
    <w:rsid w:val="00A94E52"/>
    <w:rsid w:val="00AA3314"/>
    <w:rsid w:val="00AD5B79"/>
    <w:rsid w:val="00B05D1D"/>
    <w:rsid w:val="00B76880"/>
    <w:rsid w:val="00B77447"/>
    <w:rsid w:val="00BB088E"/>
    <w:rsid w:val="00BB7F8F"/>
    <w:rsid w:val="00BC04F1"/>
    <w:rsid w:val="00BE77E5"/>
    <w:rsid w:val="00BF00A8"/>
    <w:rsid w:val="00C05AE1"/>
    <w:rsid w:val="00C121AB"/>
    <w:rsid w:val="00C77FB1"/>
    <w:rsid w:val="00CE5461"/>
    <w:rsid w:val="00CE747A"/>
    <w:rsid w:val="00D32F52"/>
    <w:rsid w:val="00D37E3B"/>
    <w:rsid w:val="00D6040F"/>
    <w:rsid w:val="00D91E20"/>
    <w:rsid w:val="00DE7C69"/>
    <w:rsid w:val="00EA3037"/>
    <w:rsid w:val="00F07788"/>
    <w:rsid w:val="00F63434"/>
    <w:rsid w:val="00F83178"/>
    <w:rsid w:val="00FA5AFD"/>
    <w:rsid w:val="00FB50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43456A79-DFA1-4593-BB8C-8B2B576A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character" w:customStyle="1" w:styleId="11">
    <w:name w:val="إشارة لم يتم حلها1"/>
    <w:basedOn w:val="a0"/>
    <w:uiPriority w:val="99"/>
    <w:semiHidden/>
    <w:unhideWhenUsed/>
    <w:rsid w:val="008B4A5D"/>
    <w:rPr>
      <w:color w:val="605E5C"/>
      <w:shd w:val="clear" w:color="auto" w:fill="E1DFDD"/>
    </w:rPr>
  </w:style>
  <w:style w:type="paragraph" w:styleId="ab">
    <w:name w:val="header"/>
    <w:basedOn w:val="a"/>
    <w:link w:val="Char4"/>
    <w:uiPriority w:val="99"/>
    <w:unhideWhenUsed/>
    <w:rsid w:val="00F63434"/>
    <w:pPr>
      <w:tabs>
        <w:tab w:val="center" w:pos="4513"/>
        <w:tab w:val="right" w:pos="9026"/>
      </w:tabs>
      <w:spacing w:after="0" w:line="240" w:lineRule="auto"/>
    </w:pPr>
  </w:style>
  <w:style w:type="character" w:customStyle="1" w:styleId="Char4">
    <w:name w:val="رأس الصفحة Char"/>
    <w:basedOn w:val="a0"/>
    <w:link w:val="ab"/>
    <w:uiPriority w:val="99"/>
    <w:rsid w:val="00F63434"/>
  </w:style>
  <w:style w:type="paragraph" w:styleId="ac">
    <w:name w:val="footer"/>
    <w:basedOn w:val="a"/>
    <w:link w:val="Char5"/>
    <w:uiPriority w:val="99"/>
    <w:unhideWhenUsed/>
    <w:rsid w:val="00F63434"/>
    <w:pPr>
      <w:tabs>
        <w:tab w:val="center" w:pos="4513"/>
        <w:tab w:val="right" w:pos="9026"/>
      </w:tabs>
      <w:spacing w:after="0" w:line="240" w:lineRule="auto"/>
    </w:pPr>
  </w:style>
  <w:style w:type="character" w:customStyle="1" w:styleId="Char5">
    <w:name w:val="تذييل الصفحة Char"/>
    <w:basedOn w:val="a0"/>
    <w:link w:val="ac"/>
    <w:uiPriority w:val="99"/>
    <w:rsid w:val="00F63434"/>
  </w:style>
  <w:style w:type="table" w:styleId="ad">
    <w:name w:val="Table Grid"/>
    <w:basedOn w:val="a1"/>
    <w:uiPriority w:val="39"/>
    <w:rsid w:val="004B7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4B74F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3">
    <w:name w:val="Grid Table 6 Colorful Accent 3"/>
    <w:basedOn w:val="a1"/>
    <w:uiPriority w:val="51"/>
    <w:rsid w:val="004B74F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9A3EF4"/>
    <w:pPr>
      <w:spacing w:after="100"/>
      <w:ind w:left="240"/>
    </w:pPr>
  </w:style>
  <w:style w:type="paragraph" w:styleId="30">
    <w:name w:val="toc 3"/>
    <w:basedOn w:val="a"/>
    <w:next w:val="a"/>
    <w:autoRedefine/>
    <w:uiPriority w:val="39"/>
    <w:unhideWhenUsed/>
    <w:rsid w:val="009A3EF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45846">
      <w:bodyDiv w:val="1"/>
      <w:marLeft w:val="0"/>
      <w:marRight w:val="0"/>
      <w:marTop w:val="0"/>
      <w:marBottom w:val="0"/>
      <w:divBdr>
        <w:top w:val="none" w:sz="0" w:space="0" w:color="auto"/>
        <w:left w:val="none" w:sz="0" w:space="0" w:color="auto"/>
        <w:bottom w:val="none" w:sz="0" w:space="0" w:color="auto"/>
        <w:right w:val="none" w:sz="0" w:space="0" w:color="auto"/>
      </w:divBdr>
    </w:div>
    <w:div w:id="132213518">
      <w:bodyDiv w:val="1"/>
      <w:marLeft w:val="0"/>
      <w:marRight w:val="0"/>
      <w:marTop w:val="0"/>
      <w:marBottom w:val="0"/>
      <w:divBdr>
        <w:top w:val="none" w:sz="0" w:space="0" w:color="auto"/>
        <w:left w:val="none" w:sz="0" w:space="0" w:color="auto"/>
        <w:bottom w:val="none" w:sz="0" w:space="0" w:color="auto"/>
        <w:right w:val="none" w:sz="0" w:space="0" w:color="auto"/>
      </w:divBdr>
    </w:div>
    <w:div w:id="135727990">
      <w:bodyDiv w:val="1"/>
      <w:marLeft w:val="0"/>
      <w:marRight w:val="0"/>
      <w:marTop w:val="0"/>
      <w:marBottom w:val="0"/>
      <w:divBdr>
        <w:top w:val="none" w:sz="0" w:space="0" w:color="auto"/>
        <w:left w:val="none" w:sz="0" w:space="0" w:color="auto"/>
        <w:bottom w:val="none" w:sz="0" w:space="0" w:color="auto"/>
        <w:right w:val="none" w:sz="0" w:space="0" w:color="auto"/>
      </w:divBdr>
      <w:divsChild>
        <w:div w:id="483203708">
          <w:marLeft w:val="0"/>
          <w:marRight w:val="0"/>
          <w:marTop w:val="0"/>
          <w:marBottom w:val="0"/>
          <w:divBdr>
            <w:top w:val="none" w:sz="0" w:space="0" w:color="auto"/>
            <w:left w:val="none" w:sz="0" w:space="0" w:color="auto"/>
            <w:bottom w:val="none" w:sz="0" w:space="0" w:color="auto"/>
            <w:right w:val="none" w:sz="0" w:space="0" w:color="auto"/>
          </w:divBdr>
          <w:divsChild>
            <w:div w:id="1898323334">
              <w:marLeft w:val="0"/>
              <w:marRight w:val="0"/>
              <w:marTop w:val="0"/>
              <w:marBottom w:val="0"/>
              <w:divBdr>
                <w:top w:val="none" w:sz="0" w:space="0" w:color="auto"/>
                <w:left w:val="none" w:sz="0" w:space="0" w:color="auto"/>
                <w:bottom w:val="none" w:sz="0" w:space="0" w:color="auto"/>
                <w:right w:val="none" w:sz="0" w:space="0" w:color="auto"/>
              </w:divBdr>
            </w:div>
          </w:divsChild>
        </w:div>
        <w:div w:id="739332871">
          <w:marLeft w:val="0"/>
          <w:marRight w:val="0"/>
          <w:marTop w:val="0"/>
          <w:marBottom w:val="0"/>
          <w:divBdr>
            <w:top w:val="none" w:sz="0" w:space="0" w:color="auto"/>
            <w:left w:val="none" w:sz="0" w:space="0" w:color="auto"/>
            <w:bottom w:val="none" w:sz="0" w:space="0" w:color="auto"/>
            <w:right w:val="none" w:sz="0" w:space="0" w:color="auto"/>
          </w:divBdr>
          <w:divsChild>
            <w:div w:id="1500345697">
              <w:marLeft w:val="0"/>
              <w:marRight w:val="0"/>
              <w:marTop w:val="0"/>
              <w:marBottom w:val="0"/>
              <w:divBdr>
                <w:top w:val="none" w:sz="0" w:space="0" w:color="auto"/>
                <w:left w:val="none" w:sz="0" w:space="0" w:color="auto"/>
                <w:bottom w:val="none" w:sz="0" w:space="0" w:color="auto"/>
                <w:right w:val="none" w:sz="0" w:space="0" w:color="auto"/>
              </w:divBdr>
            </w:div>
          </w:divsChild>
        </w:div>
        <w:div w:id="244191710">
          <w:marLeft w:val="0"/>
          <w:marRight w:val="0"/>
          <w:marTop w:val="0"/>
          <w:marBottom w:val="0"/>
          <w:divBdr>
            <w:top w:val="none" w:sz="0" w:space="0" w:color="auto"/>
            <w:left w:val="none" w:sz="0" w:space="0" w:color="auto"/>
            <w:bottom w:val="none" w:sz="0" w:space="0" w:color="auto"/>
            <w:right w:val="none" w:sz="0" w:space="0" w:color="auto"/>
          </w:divBdr>
          <w:divsChild>
            <w:div w:id="553001640">
              <w:marLeft w:val="0"/>
              <w:marRight w:val="0"/>
              <w:marTop w:val="0"/>
              <w:marBottom w:val="0"/>
              <w:divBdr>
                <w:top w:val="none" w:sz="0" w:space="0" w:color="auto"/>
                <w:left w:val="none" w:sz="0" w:space="0" w:color="auto"/>
                <w:bottom w:val="none" w:sz="0" w:space="0" w:color="auto"/>
                <w:right w:val="none" w:sz="0" w:space="0" w:color="auto"/>
              </w:divBdr>
            </w:div>
          </w:divsChild>
        </w:div>
        <w:div w:id="730537306">
          <w:marLeft w:val="0"/>
          <w:marRight w:val="0"/>
          <w:marTop w:val="0"/>
          <w:marBottom w:val="0"/>
          <w:divBdr>
            <w:top w:val="none" w:sz="0" w:space="0" w:color="auto"/>
            <w:left w:val="none" w:sz="0" w:space="0" w:color="auto"/>
            <w:bottom w:val="none" w:sz="0" w:space="0" w:color="auto"/>
            <w:right w:val="none" w:sz="0" w:space="0" w:color="auto"/>
          </w:divBdr>
          <w:divsChild>
            <w:div w:id="117730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251108">
      <w:bodyDiv w:val="1"/>
      <w:marLeft w:val="0"/>
      <w:marRight w:val="0"/>
      <w:marTop w:val="0"/>
      <w:marBottom w:val="0"/>
      <w:divBdr>
        <w:top w:val="none" w:sz="0" w:space="0" w:color="auto"/>
        <w:left w:val="none" w:sz="0" w:space="0" w:color="auto"/>
        <w:bottom w:val="none" w:sz="0" w:space="0" w:color="auto"/>
        <w:right w:val="none" w:sz="0" w:space="0" w:color="auto"/>
      </w:divBdr>
    </w:div>
    <w:div w:id="322048538">
      <w:bodyDiv w:val="1"/>
      <w:marLeft w:val="0"/>
      <w:marRight w:val="0"/>
      <w:marTop w:val="0"/>
      <w:marBottom w:val="0"/>
      <w:divBdr>
        <w:top w:val="none" w:sz="0" w:space="0" w:color="auto"/>
        <w:left w:val="none" w:sz="0" w:space="0" w:color="auto"/>
        <w:bottom w:val="none" w:sz="0" w:space="0" w:color="auto"/>
        <w:right w:val="none" w:sz="0" w:space="0" w:color="auto"/>
      </w:divBdr>
    </w:div>
    <w:div w:id="431516300">
      <w:bodyDiv w:val="1"/>
      <w:marLeft w:val="0"/>
      <w:marRight w:val="0"/>
      <w:marTop w:val="0"/>
      <w:marBottom w:val="0"/>
      <w:divBdr>
        <w:top w:val="none" w:sz="0" w:space="0" w:color="auto"/>
        <w:left w:val="none" w:sz="0" w:space="0" w:color="auto"/>
        <w:bottom w:val="none" w:sz="0" w:space="0" w:color="auto"/>
        <w:right w:val="none" w:sz="0" w:space="0" w:color="auto"/>
      </w:divBdr>
      <w:divsChild>
        <w:div w:id="1614708403">
          <w:marLeft w:val="0"/>
          <w:marRight w:val="0"/>
          <w:marTop w:val="0"/>
          <w:marBottom w:val="0"/>
          <w:divBdr>
            <w:top w:val="none" w:sz="0" w:space="0" w:color="auto"/>
            <w:left w:val="none" w:sz="0" w:space="0" w:color="auto"/>
            <w:bottom w:val="none" w:sz="0" w:space="0" w:color="auto"/>
            <w:right w:val="none" w:sz="0" w:space="0" w:color="auto"/>
          </w:divBdr>
          <w:divsChild>
            <w:div w:id="134239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206842">
      <w:bodyDiv w:val="1"/>
      <w:marLeft w:val="0"/>
      <w:marRight w:val="0"/>
      <w:marTop w:val="0"/>
      <w:marBottom w:val="0"/>
      <w:divBdr>
        <w:top w:val="none" w:sz="0" w:space="0" w:color="auto"/>
        <w:left w:val="none" w:sz="0" w:space="0" w:color="auto"/>
        <w:bottom w:val="none" w:sz="0" w:space="0" w:color="auto"/>
        <w:right w:val="none" w:sz="0" w:space="0" w:color="auto"/>
      </w:divBdr>
    </w:div>
    <w:div w:id="445197662">
      <w:bodyDiv w:val="1"/>
      <w:marLeft w:val="0"/>
      <w:marRight w:val="0"/>
      <w:marTop w:val="0"/>
      <w:marBottom w:val="0"/>
      <w:divBdr>
        <w:top w:val="none" w:sz="0" w:space="0" w:color="auto"/>
        <w:left w:val="none" w:sz="0" w:space="0" w:color="auto"/>
        <w:bottom w:val="none" w:sz="0" w:space="0" w:color="auto"/>
        <w:right w:val="none" w:sz="0" w:space="0" w:color="auto"/>
      </w:divBdr>
      <w:divsChild>
        <w:div w:id="614096918">
          <w:marLeft w:val="0"/>
          <w:marRight w:val="0"/>
          <w:marTop w:val="0"/>
          <w:marBottom w:val="0"/>
          <w:divBdr>
            <w:top w:val="none" w:sz="0" w:space="0" w:color="auto"/>
            <w:left w:val="none" w:sz="0" w:space="0" w:color="auto"/>
            <w:bottom w:val="none" w:sz="0" w:space="0" w:color="auto"/>
            <w:right w:val="none" w:sz="0" w:space="0" w:color="auto"/>
          </w:divBdr>
          <w:divsChild>
            <w:div w:id="97845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428839">
      <w:bodyDiv w:val="1"/>
      <w:marLeft w:val="0"/>
      <w:marRight w:val="0"/>
      <w:marTop w:val="0"/>
      <w:marBottom w:val="0"/>
      <w:divBdr>
        <w:top w:val="none" w:sz="0" w:space="0" w:color="auto"/>
        <w:left w:val="none" w:sz="0" w:space="0" w:color="auto"/>
        <w:bottom w:val="none" w:sz="0" w:space="0" w:color="auto"/>
        <w:right w:val="none" w:sz="0" w:space="0" w:color="auto"/>
      </w:divBdr>
    </w:div>
    <w:div w:id="512113636">
      <w:bodyDiv w:val="1"/>
      <w:marLeft w:val="0"/>
      <w:marRight w:val="0"/>
      <w:marTop w:val="0"/>
      <w:marBottom w:val="0"/>
      <w:divBdr>
        <w:top w:val="none" w:sz="0" w:space="0" w:color="auto"/>
        <w:left w:val="none" w:sz="0" w:space="0" w:color="auto"/>
        <w:bottom w:val="none" w:sz="0" w:space="0" w:color="auto"/>
        <w:right w:val="none" w:sz="0" w:space="0" w:color="auto"/>
      </w:divBdr>
    </w:div>
    <w:div w:id="546140025">
      <w:bodyDiv w:val="1"/>
      <w:marLeft w:val="0"/>
      <w:marRight w:val="0"/>
      <w:marTop w:val="0"/>
      <w:marBottom w:val="0"/>
      <w:divBdr>
        <w:top w:val="none" w:sz="0" w:space="0" w:color="auto"/>
        <w:left w:val="none" w:sz="0" w:space="0" w:color="auto"/>
        <w:bottom w:val="none" w:sz="0" w:space="0" w:color="auto"/>
        <w:right w:val="none" w:sz="0" w:space="0" w:color="auto"/>
      </w:divBdr>
    </w:div>
    <w:div w:id="584723362">
      <w:bodyDiv w:val="1"/>
      <w:marLeft w:val="0"/>
      <w:marRight w:val="0"/>
      <w:marTop w:val="0"/>
      <w:marBottom w:val="0"/>
      <w:divBdr>
        <w:top w:val="none" w:sz="0" w:space="0" w:color="auto"/>
        <w:left w:val="none" w:sz="0" w:space="0" w:color="auto"/>
        <w:bottom w:val="none" w:sz="0" w:space="0" w:color="auto"/>
        <w:right w:val="none" w:sz="0" w:space="0" w:color="auto"/>
      </w:divBdr>
    </w:div>
    <w:div w:id="608053895">
      <w:bodyDiv w:val="1"/>
      <w:marLeft w:val="0"/>
      <w:marRight w:val="0"/>
      <w:marTop w:val="0"/>
      <w:marBottom w:val="0"/>
      <w:divBdr>
        <w:top w:val="none" w:sz="0" w:space="0" w:color="auto"/>
        <w:left w:val="none" w:sz="0" w:space="0" w:color="auto"/>
        <w:bottom w:val="none" w:sz="0" w:space="0" w:color="auto"/>
        <w:right w:val="none" w:sz="0" w:space="0" w:color="auto"/>
      </w:divBdr>
    </w:div>
    <w:div w:id="771434552">
      <w:bodyDiv w:val="1"/>
      <w:marLeft w:val="0"/>
      <w:marRight w:val="0"/>
      <w:marTop w:val="0"/>
      <w:marBottom w:val="0"/>
      <w:divBdr>
        <w:top w:val="none" w:sz="0" w:space="0" w:color="auto"/>
        <w:left w:val="none" w:sz="0" w:space="0" w:color="auto"/>
        <w:bottom w:val="none" w:sz="0" w:space="0" w:color="auto"/>
        <w:right w:val="none" w:sz="0" w:space="0" w:color="auto"/>
      </w:divBdr>
      <w:divsChild>
        <w:div w:id="11955265">
          <w:marLeft w:val="0"/>
          <w:marRight w:val="0"/>
          <w:marTop w:val="0"/>
          <w:marBottom w:val="0"/>
          <w:divBdr>
            <w:top w:val="none" w:sz="0" w:space="0" w:color="auto"/>
            <w:left w:val="none" w:sz="0" w:space="0" w:color="auto"/>
            <w:bottom w:val="none" w:sz="0" w:space="0" w:color="auto"/>
            <w:right w:val="none" w:sz="0" w:space="0" w:color="auto"/>
          </w:divBdr>
          <w:divsChild>
            <w:div w:id="91555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731774">
      <w:bodyDiv w:val="1"/>
      <w:marLeft w:val="0"/>
      <w:marRight w:val="0"/>
      <w:marTop w:val="0"/>
      <w:marBottom w:val="0"/>
      <w:divBdr>
        <w:top w:val="none" w:sz="0" w:space="0" w:color="auto"/>
        <w:left w:val="none" w:sz="0" w:space="0" w:color="auto"/>
        <w:bottom w:val="none" w:sz="0" w:space="0" w:color="auto"/>
        <w:right w:val="none" w:sz="0" w:space="0" w:color="auto"/>
      </w:divBdr>
    </w:div>
    <w:div w:id="992946932">
      <w:bodyDiv w:val="1"/>
      <w:marLeft w:val="0"/>
      <w:marRight w:val="0"/>
      <w:marTop w:val="0"/>
      <w:marBottom w:val="0"/>
      <w:divBdr>
        <w:top w:val="none" w:sz="0" w:space="0" w:color="auto"/>
        <w:left w:val="none" w:sz="0" w:space="0" w:color="auto"/>
        <w:bottom w:val="none" w:sz="0" w:space="0" w:color="auto"/>
        <w:right w:val="none" w:sz="0" w:space="0" w:color="auto"/>
      </w:divBdr>
    </w:div>
    <w:div w:id="1058552475">
      <w:bodyDiv w:val="1"/>
      <w:marLeft w:val="0"/>
      <w:marRight w:val="0"/>
      <w:marTop w:val="0"/>
      <w:marBottom w:val="0"/>
      <w:divBdr>
        <w:top w:val="none" w:sz="0" w:space="0" w:color="auto"/>
        <w:left w:val="none" w:sz="0" w:space="0" w:color="auto"/>
        <w:bottom w:val="none" w:sz="0" w:space="0" w:color="auto"/>
        <w:right w:val="none" w:sz="0" w:space="0" w:color="auto"/>
      </w:divBdr>
    </w:div>
    <w:div w:id="1080910510">
      <w:bodyDiv w:val="1"/>
      <w:marLeft w:val="0"/>
      <w:marRight w:val="0"/>
      <w:marTop w:val="0"/>
      <w:marBottom w:val="0"/>
      <w:divBdr>
        <w:top w:val="none" w:sz="0" w:space="0" w:color="auto"/>
        <w:left w:val="none" w:sz="0" w:space="0" w:color="auto"/>
        <w:bottom w:val="none" w:sz="0" w:space="0" w:color="auto"/>
        <w:right w:val="none" w:sz="0" w:space="0" w:color="auto"/>
      </w:divBdr>
    </w:div>
    <w:div w:id="1132669936">
      <w:bodyDiv w:val="1"/>
      <w:marLeft w:val="0"/>
      <w:marRight w:val="0"/>
      <w:marTop w:val="0"/>
      <w:marBottom w:val="0"/>
      <w:divBdr>
        <w:top w:val="none" w:sz="0" w:space="0" w:color="auto"/>
        <w:left w:val="none" w:sz="0" w:space="0" w:color="auto"/>
        <w:bottom w:val="none" w:sz="0" w:space="0" w:color="auto"/>
        <w:right w:val="none" w:sz="0" w:space="0" w:color="auto"/>
      </w:divBdr>
    </w:div>
    <w:div w:id="1160847411">
      <w:bodyDiv w:val="1"/>
      <w:marLeft w:val="0"/>
      <w:marRight w:val="0"/>
      <w:marTop w:val="0"/>
      <w:marBottom w:val="0"/>
      <w:divBdr>
        <w:top w:val="none" w:sz="0" w:space="0" w:color="auto"/>
        <w:left w:val="none" w:sz="0" w:space="0" w:color="auto"/>
        <w:bottom w:val="none" w:sz="0" w:space="0" w:color="auto"/>
        <w:right w:val="none" w:sz="0" w:space="0" w:color="auto"/>
      </w:divBdr>
      <w:divsChild>
        <w:div w:id="2134588816">
          <w:marLeft w:val="0"/>
          <w:marRight w:val="0"/>
          <w:marTop w:val="0"/>
          <w:marBottom w:val="0"/>
          <w:divBdr>
            <w:top w:val="none" w:sz="0" w:space="0" w:color="auto"/>
            <w:left w:val="none" w:sz="0" w:space="0" w:color="auto"/>
            <w:bottom w:val="none" w:sz="0" w:space="0" w:color="auto"/>
            <w:right w:val="none" w:sz="0" w:space="0" w:color="auto"/>
          </w:divBdr>
          <w:divsChild>
            <w:div w:id="1464956963">
              <w:marLeft w:val="0"/>
              <w:marRight w:val="0"/>
              <w:marTop w:val="0"/>
              <w:marBottom w:val="0"/>
              <w:divBdr>
                <w:top w:val="none" w:sz="0" w:space="0" w:color="auto"/>
                <w:left w:val="none" w:sz="0" w:space="0" w:color="auto"/>
                <w:bottom w:val="none" w:sz="0" w:space="0" w:color="auto"/>
                <w:right w:val="none" w:sz="0" w:space="0" w:color="auto"/>
              </w:divBdr>
            </w:div>
          </w:divsChild>
        </w:div>
        <w:div w:id="1356423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4652774">
      <w:bodyDiv w:val="1"/>
      <w:marLeft w:val="0"/>
      <w:marRight w:val="0"/>
      <w:marTop w:val="0"/>
      <w:marBottom w:val="0"/>
      <w:divBdr>
        <w:top w:val="none" w:sz="0" w:space="0" w:color="auto"/>
        <w:left w:val="none" w:sz="0" w:space="0" w:color="auto"/>
        <w:bottom w:val="none" w:sz="0" w:space="0" w:color="auto"/>
        <w:right w:val="none" w:sz="0" w:space="0" w:color="auto"/>
      </w:divBdr>
      <w:divsChild>
        <w:div w:id="275140339">
          <w:marLeft w:val="0"/>
          <w:marRight w:val="0"/>
          <w:marTop w:val="0"/>
          <w:marBottom w:val="0"/>
          <w:divBdr>
            <w:top w:val="none" w:sz="0" w:space="0" w:color="auto"/>
            <w:left w:val="none" w:sz="0" w:space="0" w:color="auto"/>
            <w:bottom w:val="none" w:sz="0" w:space="0" w:color="auto"/>
            <w:right w:val="none" w:sz="0" w:space="0" w:color="auto"/>
          </w:divBdr>
          <w:divsChild>
            <w:div w:id="196203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664343">
      <w:bodyDiv w:val="1"/>
      <w:marLeft w:val="0"/>
      <w:marRight w:val="0"/>
      <w:marTop w:val="0"/>
      <w:marBottom w:val="0"/>
      <w:divBdr>
        <w:top w:val="none" w:sz="0" w:space="0" w:color="auto"/>
        <w:left w:val="none" w:sz="0" w:space="0" w:color="auto"/>
        <w:bottom w:val="none" w:sz="0" w:space="0" w:color="auto"/>
        <w:right w:val="none" w:sz="0" w:space="0" w:color="auto"/>
      </w:divBdr>
      <w:divsChild>
        <w:div w:id="42561746">
          <w:marLeft w:val="0"/>
          <w:marRight w:val="0"/>
          <w:marTop w:val="0"/>
          <w:marBottom w:val="0"/>
          <w:divBdr>
            <w:top w:val="none" w:sz="0" w:space="0" w:color="auto"/>
            <w:left w:val="none" w:sz="0" w:space="0" w:color="auto"/>
            <w:bottom w:val="none" w:sz="0" w:space="0" w:color="auto"/>
            <w:right w:val="none" w:sz="0" w:space="0" w:color="auto"/>
          </w:divBdr>
          <w:divsChild>
            <w:div w:id="214051596">
              <w:marLeft w:val="0"/>
              <w:marRight w:val="0"/>
              <w:marTop w:val="0"/>
              <w:marBottom w:val="0"/>
              <w:divBdr>
                <w:top w:val="none" w:sz="0" w:space="0" w:color="auto"/>
                <w:left w:val="none" w:sz="0" w:space="0" w:color="auto"/>
                <w:bottom w:val="none" w:sz="0" w:space="0" w:color="auto"/>
                <w:right w:val="none" w:sz="0" w:space="0" w:color="auto"/>
              </w:divBdr>
            </w:div>
          </w:divsChild>
        </w:div>
        <w:div w:id="1146120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4873985">
      <w:bodyDiv w:val="1"/>
      <w:marLeft w:val="0"/>
      <w:marRight w:val="0"/>
      <w:marTop w:val="0"/>
      <w:marBottom w:val="0"/>
      <w:divBdr>
        <w:top w:val="none" w:sz="0" w:space="0" w:color="auto"/>
        <w:left w:val="none" w:sz="0" w:space="0" w:color="auto"/>
        <w:bottom w:val="none" w:sz="0" w:space="0" w:color="auto"/>
        <w:right w:val="none" w:sz="0" w:space="0" w:color="auto"/>
      </w:divBdr>
    </w:div>
    <w:div w:id="1372537944">
      <w:bodyDiv w:val="1"/>
      <w:marLeft w:val="0"/>
      <w:marRight w:val="0"/>
      <w:marTop w:val="0"/>
      <w:marBottom w:val="0"/>
      <w:divBdr>
        <w:top w:val="none" w:sz="0" w:space="0" w:color="auto"/>
        <w:left w:val="none" w:sz="0" w:space="0" w:color="auto"/>
        <w:bottom w:val="none" w:sz="0" w:space="0" w:color="auto"/>
        <w:right w:val="none" w:sz="0" w:space="0" w:color="auto"/>
      </w:divBdr>
    </w:div>
    <w:div w:id="1376274075">
      <w:bodyDiv w:val="1"/>
      <w:marLeft w:val="0"/>
      <w:marRight w:val="0"/>
      <w:marTop w:val="0"/>
      <w:marBottom w:val="0"/>
      <w:divBdr>
        <w:top w:val="none" w:sz="0" w:space="0" w:color="auto"/>
        <w:left w:val="none" w:sz="0" w:space="0" w:color="auto"/>
        <w:bottom w:val="none" w:sz="0" w:space="0" w:color="auto"/>
        <w:right w:val="none" w:sz="0" w:space="0" w:color="auto"/>
      </w:divBdr>
    </w:div>
    <w:div w:id="1420520571">
      <w:bodyDiv w:val="1"/>
      <w:marLeft w:val="0"/>
      <w:marRight w:val="0"/>
      <w:marTop w:val="0"/>
      <w:marBottom w:val="0"/>
      <w:divBdr>
        <w:top w:val="none" w:sz="0" w:space="0" w:color="auto"/>
        <w:left w:val="none" w:sz="0" w:space="0" w:color="auto"/>
        <w:bottom w:val="none" w:sz="0" w:space="0" w:color="auto"/>
        <w:right w:val="none" w:sz="0" w:space="0" w:color="auto"/>
      </w:divBdr>
    </w:div>
    <w:div w:id="1443570141">
      <w:bodyDiv w:val="1"/>
      <w:marLeft w:val="0"/>
      <w:marRight w:val="0"/>
      <w:marTop w:val="0"/>
      <w:marBottom w:val="0"/>
      <w:divBdr>
        <w:top w:val="none" w:sz="0" w:space="0" w:color="auto"/>
        <w:left w:val="none" w:sz="0" w:space="0" w:color="auto"/>
        <w:bottom w:val="none" w:sz="0" w:space="0" w:color="auto"/>
        <w:right w:val="none" w:sz="0" w:space="0" w:color="auto"/>
      </w:divBdr>
    </w:div>
    <w:div w:id="1646662645">
      <w:bodyDiv w:val="1"/>
      <w:marLeft w:val="0"/>
      <w:marRight w:val="0"/>
      <w:marTop w:val="0"/>
      <w:marBottom w:val="0"/>
      <w:divBdr>
        <w:top w:val="none" w:sz="0" w:space="0" w:color="auto"/>
        <w:left w:val="none" w:sz="0" w:space="0" w:color="auto"/>
        <w:bottom w:val="none" w:sz="0" w:space="0" w:color="auto"/>
        <w:right w:val="none" w:sz="0" w:space="0" w:color="auto"/>
      </w:divBdr>
    </w:div>
    <w:div w:id="1851992915">
      <w:bodyDiv w:val="1"/>
      <w:marLeft w:val="0"/>
      <w:marRight w:val="0"/>
      <w:marTop w:val="0"/>
      <w:marBottom w:val="0"/>
      <w:divBdr>
        <w:top w:val="none" w:sz="0" w:space="0" w:color="auto"/>
        <w:left w:val="none" w:sz="0" w:space="0" w:color="auto"/>
        <w:bottom w:val="none" w:sz="0" w:space="0" w:color="auto"/>
        <w:right w:val="none" w:sz="0" w:space="0" w:color="auto"/>
      </w:divBdr>
    </w:div>
    <w:div w:id="1943609631">
      <w:bodyDiv w:val="1"/>
      <w:marLeft w:val="0"/>
      <w:marRight w:val="0"/>
      <w:marTop w:val="0"/>
      <w:marBottom w:val="0"/>
      <w:divBdr>
        <w:top w:val="none" w:sz="0" w:space="0" w:color="auto"/>
        <w:left w:val="none" w:sz="0" w:space="0" w:color="auto"/>
        <w:bottom w:val="none" w:sz="0" w:space="0" w:color="auto"/>
        <w:right w:val="none" w:sz="0" w:space="0" w:color="auto"/>
      </w:divBdr>
    </w:div>
    <w:div w:id="1994985552">
      <w:bodyDiv w:val="1"/>
      <w:marLeft w:val="0"/>
      <w:marRight w:val="0"/>
      <w:marTop w:val="0"/>
      <w:marBottom w:val="0"/>
      <w:divBdr>
        <w:top w:val="none" w:sz="0" w:space="0" w:color="auto"/>
        <w:left w:val="none" w:sz="0" w:space="0" w:color="auto"/>
        <w:bottom w:val="none" w:sz="0" w:space="0" w:color="auto"/>
        <w:right w:val="none" w:sz="0" w:space="0" w:color="auto"/>
      </w:divBdr>
    </w:div>
    <w:div w:id="208826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65FDE-79C4-4C34-8426-97F46DC9D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7861</Words>
  <Characters>44809</Characters>
  <Application>Microsoft Office Word</Application>
  <DocSecurity>0</DocSecurity>
  <Lines>373</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MG</cp:lastModifiedBy>
  <cp:revision>2</cp:revision>
  <cp:lastPrinted>2025-10-20T13:18:00Z</cp:lastPrinted>
  <dcterms:created xsi:type="dcterms:W3CDTF">2025-11-07T00:32:00Z</dcterms:created>
  <dcterms:modified xsi:type="dcterms:W3CDTF">2025-11-07T00:32:00Z</dcterms:modified>
</cp:coreProperties>
</file>