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B80C26" w:rsidRDefault="00264677" w:rsidP="00553DC2">
      <w:pPr>
        <w:bidi/>
        <w:spacing w:line="360" w:lineRule="auto"/>
        <w:ind w:hanging="283"/>
        <w:jc w:val="both"/>
        <w:rPr>
          <w:rFonts w:ascii="Traditional Arabic" w:hAnsi="Traditional Arabic" w:cs="Traditional Arabic"/>
          <w:b/>
          <w:bCs/>
          <w:color w:val="548DD4" w:themeColor="text2" w:themeTint="99"/>
          <w:sz w:val="32"/>
          <w:szCs w:val="32"/>
          <w:highlight w:val="yellow"/>
          <w:rtl/>
        </w:rPr>
      </w:pPr>
      <w:r w:rsidRPr="00B80C26">
        <w:rPr>
          <w:rFonts w:ascii="Traditional Arabic" w:hAnsi="Traditional Arabic" w:cs="Traditional Arabic"/>
          <w:b/>
          <w:noProof/>
          <w:sz w:val="32"/>
          <w:szCs w:val="32"/>
          <w:highlight w:val="yellow"/>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5D08DB" w:rsidRDefault="00C472D8" w:rsidP="00553DC2">
      <w:pPr>
        <w:bidi/>
        <w:spacing w:line="240" w:lineRule="auto"/>
        <w:jc w:val="both"/>
        <w:rPr>
          <w:rFonts w:ascii="Traditional Arabic" w:hAnsi="Traditional Arabic" w:cs="Traditional Arabic"/>
          <w:b/>
          <w:bCs/>
          <w:color w:val="548DD4" w:themeColor="text2" w:themeTint="99"/>
          <w:sz w:val="32"/>
          <w:szCs w:val="32"/>
          <w:rtl/>
        </w:rPr>
      </w:pPr>
    </w:p>
    <w:p w14:paraId="741BE16F" w14:textId="1DE0EBDA" w:rsidR="001C7DB2" w:rsidRPr="005D08DB" w:rsidRDefault="001C7DB2" w:rsidP="00553DC2">
      <w:pPr>
        <w:pStyle w:val="a8"/>
        <w:bidi/>
        <w:spacing w:before="0" w:beforeAutospacing="0" w:after="0" w:afterAutospacing="0"/>
        <w:ind w:right="-270"/>
        <w:jc w:val="both"/>
        <w:rPr>
          <w:rFonts w:ascii="Traditional Arabic" w:hAnsi="Traditional Arabic" w:cs="Traditional Arabic"/>
          <w:b/>
          <w:bCs/>
          <w:color w:val="0000FF"/>
          <w:sz w:val="32"/>
          <w:szCs w:val="32"/>
        </w:rPr>
      </w:pPr>
    </w:p>
    <w:p w14:paraId="4B92B79E" w14:textId="3941B4C2" w:rsidR="00395E1F" w:rsidRPr="00D05340" w:rsidRDefault="00395E1F" w:rsidP="00553DC2">
      <w:pPr>
        <w:bidi/>
        <w:spacing w:line="240" w:lineRule="auto"/>
        <w:jc w:val="center"/>
        <w:rPr>
          <w:rFonts w:ascii="Traditional Arabic" w:hAnsi="Traditional Arabic" w:cs="Traditional Arabic"/>
          <w:b/>
          <w:bCs/>
          <w:sz w:val="40"/>
          <w:szCs w:val="40"/>
          <w:rtl/>
        </w:rPr>
      </w:pPr>
      <w:r w:rsidRPr="00D05340">
        <w:rPr>
          <w:rFonts w:ascii="Traditional Arabic" w:hAnsi="Traditional Arabic" w:cs="Traditional Arabic"/>
          <w:b/>
          <w:bCs/>
          <w:sz w:val="40"/>
          <w:szCs w:val="40"/>
          <w:rtl/>
        </w:rPr>
        <w:t>نموذج</w:t>
      </w:r>
    </w:p>
    <w:p w14:paraId="1A9CD56B" w14:textId="200159FA" w:rsidR="007A31DC" w:rsidRPr="00D05340" w:rsidRDefault="00C11026" w:rsidP="00553DC2">
      <w:pPr>
        <w:bidi/>
        <w:spacing w:line="240" w:lineRule="auto"/>
        <w:jc w:val="center"/>
        <w:rPr>
          <w:rFonts w:ascii="Traditional Arabic" w:hAnsi="Traditional Arabic" w:cs="Traditional Arabic"/>
          <w:b/>
          <w:bCs/>
          <w:sz w:val="40"/>
          <w:szCs w:val="40"/>
          <w:rtl/>
        </w:rPr>
      </w:pPr>
      <w:r w:rsidRPr="00D05340">
        <w:rPr>
          <w:rFonts w:ascii="Traditional Arabic" w:hAnsi="Traditional Arabic" w:cs="Traditional Arabic"/>
          <w:b/>
          <w:bCs/>
          <w:sz w:val="40"/>
          <w:szCs w:val="40"/>
          <w:rtl/>
        </w:rPr>
        <w:t xml:space="preserve">مشروع </w:t>
      </w:r>
      <w:r w:rsidR="007A31DC" w:rsidRPr="00D05340">
        <w:rPr>
          <w:rFonts w:ascii="Traditional Arabic" w:hAnsi="Traditional Arabic" w:cs="Traditional Arabic"/>
          <w:b/>
          <w:bCs/>
          <w:sz w:val="40"/>
          <w:szCs w:val="40"/>
          <w:rtl/>
        </w:rPr>
        <w:t xml:space="preserve">خطة </w:t>
      </w:r>
      <w:r w:rsidR="00BE609B" w:rsidRPr="00D05340">
        <w:rPr>
          <w:rFonts w:ascii="Traditional Arabic" w:hAnsi="Traditional Arabic" w:cs="Traditional Arabic"/>
          <w:b/>
          <w:bCs/>
          <w:sz w:val="40"/>
          <w:szCs w:val="40"/>
          <w:rtl/>
        </w:rPr>
        <w:t xml:space="preserve">أطروحة </w:t>
      </w:r>
      <w:r w:rsidR="002D3349" w:rsidRPr="00D05340">
        <w:rPr>
          <w:rFonts w:ascii="Traditional Arabic" w:hAnsi="Traditional Arabic" w:cs="Traditional Arabic"/>
          <w:b/>
          <w:bCs/>
          <w:sz w:val="40"/>
          <w:szCs w:val="40"/>
          <w:rtl/>
        </w:rPr>
        <w:t>ل</w:t>
      </w:r>
      <w:r w:rsidR="007A31DC" w:rsidRPr="00D05340">
        <w:rPr>
          <w:rFonts w:ascii="Traditional Arabic" w:hAnsi="Traditional Arabic" w:cs="Traditional Arabic"/>
          <w:b/>
          <w:bCs/>
          <w:sz w:val="40"/>
          <w:szCs w:val="40"/>
          <w:rtl/>
        </w:rPr>
        <w:t xml:space="preserve">لتسجيل </w:t>
      </w:r>
      <w:r w:rsidR="00395E1F" w:rsidRPr="00D05340">
        <w:rPr>
          <w:rFonts w:ascii="Traditional Arabic" w:hAnsi="Traditional Arabic" w:cs="Traditional Arabic"/>
          <w:b/>
          <w:bCs/>
          <w:sz w:val="40"/>
          <w:szCs w:val="40"/>
          <w:rtl/>
        </w:rPr>
        <w:t>ل</w:t>
      </w:r>
      <w:r w:rsidR="007A31DC" w:rsidRPr="00D05340">
        <w:rPr>
          <w:rFonts w:ascii="Traditional Arabic" w:hAnsi="Traditional Arabic" w:cs="Traditional Arabic"/>
          <w:b/>
          <w:bCs/>
          <w:sz w:val="40"/>
          <w:szCs w:val="40"/>
          <w:rtl/>
        </w:rPr>
        <w:t>درجة الدكتوراه</w:t>
      </w:r>
    </w:p>
    <w:p w14:paraId="2CA46BFA" w14:textId="77777777" w:rsidR="007A31DC" w:rsidRPr="00D05340" w:rsidRDefault="007A31DC" w:rsidP="00553DC2">
      <w:pPr>
        <w:pStyle w:val="a8"/>
        <w:bidi/>
        <w:spacing w:before="0" w:beforeAutospacing="0" w:after="0" w:afterAutospacing="0"/>
        <w:ind w:right="-270"/>
        <w:jc w:val="center"/>
        <w:rPr>
          <w:rFonts w:ascii="Traditional Arabic" w:hAnsi="Traditional Arabic" w:cs="Traditional Arabic"/>
          <w:b/>
          <w:bCs/>
          <w:color w:val="0000FF"/>
          <w:sz w:val="40"/>
          <w:szCs w:val="40"/>
          <w:rtl/>
          <w:lang w:bidi="ar-JO"/>
        </w:rPr>
      </w:pPr>
    </w:p>
    <w:p w14:paraId="01841FD3" w14:textId="564A529A" w:rsidR="005D08DB" w:rsidRPr="00D05340" w:rsidRDefault="00BE609B" w:rsidP="006C635A">
      <w:pPr>
        <w:spacing w:line="240" w:lineRule="auto"/>
        <w:jc w:val="center"/>
        <w:rPr>
          <w:rFonts w:ascii="Traditional Arabic" w:hAnsi="Traditional Arabic" w:cs="Traditional Arabic"/>
          <w:b/>
          <w:bCs/>
          <w:noProof/>
          <w:sz w:val="40"/>
          <w:szCs w:val="40"/>
          <w:rtl/>
          <w:lang w:bidi="ar-AE"/>
        </w:rPr>
      </w:pPr>
      <w:r w:rsidRPr="00D05340">
        <w:rPr>
          <w:rFonts w:ascii="Traditional Arabic" w:hAnsi="Traditional Arabic" w:cs="Traditional Arabic"/>
          <w:b/>
          <w:bCs/>
          <w:noProof/>
          <w:sz w:val="40"/>
          <w:szCs w:val="40"/>
          <w:rtl/>
        </w:rPr>
        <w:t>العنوان باللغة العربية:</w:t>
      </w:r>
    </w:p>
    <w:p w14:paraId="56EEC7C8" w14:textId="79459161" w:rsidR="005D08DB" w:rsidRPr="00D05340" w:rsidRDefault="005D08DB" w:rsidP="005D08DB">
      <w:pPr>
        <w:spacing w:line="240" w:lineRule="auto"/>
        <w:ind w:left="533"/>
        <w:jc w:val="center"/>
        <w:rPr>
          <w:rFonts w:ascii="Traditional Arabic" w:eastAsia="Times New Roman" w:hAnsi="Traditional Arabic" w:cs="Traditional Arabic"/>
          <w:b/>
          <w:bCs/>
          <w:color w:val="0070C0"/>
          <w:sz w:val="44"/>
          <w:szCs w:val="44"/>
          <w:rtl/>
        </w:rPr>
      </w:pPr>
      <w:r w:rsidRPr="00D05340">
        <w:rPr>
          <w:rFonts w:ascii="Traditional Arabic" w:eastAsia="Times New Roman" w:hAnsi="Traditional Arabic" w:cs="Traditional Arabic" w:hint="cs"/>
          <w:b/>
          <w:bCs/>
          <w:color w:val="0070C0"/>
          <w:sz w:val="44"/>
          <w:szCs w:val="44"/>
          <w:rtl/>
        </w:rPr>
        <w:t>ا</w:t>
      </w:r>
      <w:r w:rsidRPr="00D05340">
        <w:rPr>
          <w:rFonts w:ascii="Traditional Arabic" w:eastAsia="Times New Roman" w:hAnsi="Traditional Arabic" w:cs="Traditional Arabic"/>
          <w:b/>
          <w:bCs/>
          <w:color w:val="0070C0"/>
          <w:sz w:val="44"/>
          <w:szCs w:val="44"/>
          <w:rtl/>
        </w:rPr>
        <w:t>ثر التخطيط الاستراتيجي للموارد البشرية على البراعة التنظيمية</w:t>
      </w:r>
      <w:r w:rsidR="006C635A" w:rsidRPr="00D05340">
        <w:rPr>
          <w:rFonts w:ascii="Traditional Arabic" w:eastAsia="Times New Roman" w:hAnsi="Traditional Arabic" w:cs="Traditional Arabic" w:hint="cs"/>
          <w:b/>
          <w:bCs/>
          <w:color w:val="0070C0"/>
          <w:sz w:val="44"/>
          <w:szCs w:val="44"/>
          <w:rtl/>
        </w:rPr>
        <w:t xml:space="preserve">: </w:t>
      </w:r>
      <w:r w:rsidR="006C635A" w:rsidRPr="00D05340">
        <w:rPr>
          <w:rFonts w:ascii="Traditional Arabic" w:eastAsia="Times New Roman" w:hAnsi="Traditional Arabic" w:cs="Traditional Arabic"/>
          <w:b/>
          <w:bCs/>
          <w:color w:val="0070C0"/>
          <w:sz w:val="44"/>
          <w:szCs w:val="44"/>
          <w:rtl/>
        </w:rPr>
        <w:t>دراسة ميدانية على وزارة الإعلام بالمملكة العربية السعودية</w:t>
      </w:r>
    </w:p>
    <w:p w14:paraId="761253CF" w14:textId="1ACBB8D0" w:rsidR="00BE609B" w:rsidRPr="00D05340" w:rsidRDefault="00BE609B" w:rsidP="00553DC2">
      <w:pPr>
        <w:spacing w:line="240" w:lineRule="auto"/>
        <w:ind w:left="533"/>
        <w:jc w:val="center"/>
        <w:rPr>
          <w:rFonts w:ascii="Traditional Arabic" w:hAnsi="Traditional Arabic" w:cs="Traditional Arabic"/>
          <w:noProof/>
          <w:sz w:val="40"/>
          <w:szCs w:val="40"/>
          <w:rtl/>
        </w:rPr>
      </w:pPr>
    </w:p>
    <w:p w14:paraId="44C587B7" w14:textId="68F45BCF" w:rsidR="005D08DB" w:rsidRPr="00D05340" w:rsidRDefault="00BE609B" w:rsidP="005D08DB">
      <w:pPr>
        <w:spacing w:line="240" w:lineRule="auto"/>
        <w:ind w:left="534" w:hanging="340"/>
        <w:jc w:val="center"/>
        <w:rPr>
          <w:rFonts w:ascii="Traditional Arabic" w:hAnsi="Traditional Arabic" w:cs="Traditional Arabic"/>
          <w:b/>
          <w:bCs/>
          <w:noProof/>
          <w:sz w:val="40"/>
          <w:szCs w:val="40"/>
          <w:rtl/>
        </w:rPr>
      </w:pPr>
      <w:r w:rsidRPr="00D05340">
        <w:rPr>
          <w:rFonts w:ascii="Traditional Arabic" w:hAnsi="Traditional Arabic" w:cs="Traditional Arabic"/>
          <w:b/>
          <w:bCs/>
          <w:noProof/>
          <w:sz w:val="40"/>
          <w:szCs w:val="40"/>
          <w:rtl/>
        </w:rPr>
        <w:t>ب. العنوان باللغة الإنجليزية:</w:t>
      </w:r>
    </w:p>
    <w:p w14:paraId="19D581CC" w14:textId="77777777" w:rsidR="006C635A" w:rsidRPr="00D05340" w:rsidRDefault="006C635A" w:rsidP="006C635A">
      <w:pPr>
        <w:pStyle w:val="a8"/>
        <w:bidi/>
        <w:spacing w:before="0" w:beforeAutospacing="0" w:after="0" w:afterAutospacing="0"/>
        <w:ind w:right="-270"/>
        <w:jc w:val="center"/>
        <w:rPr>
          <w:rFonts w:ascii="Traditional Arabic" w:hAnsi="Traditional Arabic" w:cs="Traditional Arabic"/>
          <w:b/>
          <w:bCs/>
          <w:color w:val="0070C0"/>
          <w:sz w:val="40"/>
          <w:szCs w:val="40"/>
        </w:rPr>
      </w:pPr>
      <w:r w:rsidRPr="00D05340">
        <w:rPr>
          <w:rFonts w:ascii="Traditional Arabic" w:hAnsi="Traditional Arabic" w:cs="Traditional Arabic"/>
          <w:b/>
          <w:bCs/>
          <w:color w:val="0070C0"/>
          <w:sz w:val="40"/>
          <w:szCs w:val="40"/>
        </w:rPr>
        <w:t>"The Impact of Strategic Human Resource Planning on Organizational Agility: A Field Study on the Ministry of Media in the Kingdom of Saudi Arabia"</w:t>
      </w:r>
    </w:p>
    <w:p w14:paraId="2166D849" w14:textId="77777777" w:rsidR="005D08DB" w:rsidRPr="00D05340" w:rsidRDefault="005D08DB" w:rsidP="005D08DB">
      <w:pPr>
        <w:pStyle w:val="a8"/>
        <w:bidi/>
        <w:spacing w:before="0" w:beforeAutospacing="0" w:after="0" w:afterAutospacing="0"/>
        <w:ind w:right="-270"/>
        <w:jc w:val="center"/>
        <w:rPr>
          <w:rFonts w:ascii="Traditional Arabic" w:hAnsi="Traditional Arabic" w:cs="Traditional Arabic"/>
          <w:b/>
          <w:bCs/>
          <w:color w:val="0070C0"/>
          <w:sz w:val="32"/>
          <w:szCs w:val="32"/>
          <w:rtl/>
        </w:rPr>
      </w:pPr>
    </w:p>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rsidRPr="00D05340" w14:paraId="42F9CBE0" w14:textId="4104E405" w:rsidTr="009B00D4">
        <w:trPr>
          <w:jc w:val="center"/>
        </w:trPr>
        <w:tc>
          <w:tcPr>
            <w:tcW w:w="1763" w:type="dxa"/>
          </w:tcPr>
          <w:p w14:paraId="4059763A" w14:textId="6A53FEA7" w:rsidR="004B484B" w:rsidRPr="00D05340"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D05340">
              <w:rPr>
                <w:rFonts w:ascii="Traditional Arabic" w:hAnsi="Traditional Arabic" w:cs="Traditional Arabic"/>
                <w:b/>
                <w:bCs/>
                <w:color w:val="000000" w:themeColor="text1"/>
                <w:sz w:val="32"/>
                <w:szCs w:val="32"/>
                <w:rtl/>
              </w:rPr>
              <w:t>اسم الباحث</w:t>
            </w:r>
          </w:p>
        </w:tc>
        <w:tc>
          <w:tcPr>
            <w:tcW w:w="252" w:type="dxa"/>
          </w:tcPr>
          <w:p w14:paraId="43197712" w14:textId="0CFEB903" w:rsidR="004B484B" w:rsidRPr="00D05340"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D05340">
              <w:rPr>
                <w:rFonts w:ascii="Traditional Arabic" w:hAnsi="Traditional Arabic" w:cs="Traditional Arabic"/>
                <w:b/>
                <w:bCs/>
                <w:color w:val="000000" w:themeColor="text1"/>
                <w:sz w:val="32"/>
                <w:szCs w:val="32"/>
                <w:rtl/>
              </w:rPr>
              <w:t>:</w:t>
            </w:r>
          </w:p>
        </w:tc>
        <w:tc>
          <w:tcPr>
            <w:tcW w:w="5778" w:type="dxa"/>
          </w:tcPr>
          <w:p w14:paraId="73AC6230" w14:textId="4374FBB6" w:rsidR="004B484B" w:rsidRPr="00D05340" w:rsidRDefault="008163F3" w:rsidP="00553DC2">
            <w:pPr>
              <w:pStyle w:val="a8"/>
              <w:tabs>
                <w:tab w:val="left" w:pos="560"/>
              </w:tabs>
              <w:bidi/>
              <w:spacing w:before="0" w:beforeAutospacing="0" w:after="0" w:afterAutospacing="0"/>
              <w:ind w:right="-270"/>
              <w:jc w:val="both"/>
              <w:rPr>
                <w:rFonts w:ascii="Traditional Arabic" w:hAnsi="Traditional Arabic" w:cs="Traditional Arabic" w:hint="cs"/>
                <w:b/>
                <w:bCs/>
                <w:color w:val="0000FF"/>
                <w:sz w:val="32"/>
                <w:szCs w:val="32"/>
                <w:rtl/>
              </w:rPr>
            </w:pPr>
            <w:r>
              <w:rPr>
                <w:rFonts w:ascii="Traditional Arabic" w:hAnsi="Traditional Arabic" w:cs="Traditional Arabic" w:hint="cs"/>
                <w:b/>
                <w:bCs/>
                <w:color w:val="0000FF"/>
                <w:sz w:val="32"/>
                <w:szCs w:val="32"/>
                <w:rtl/>
              </w:rPr>
              <w:t>شليويح هديريس المطيري</w:t>
            </w:r>
          </w:p>
        </w:tc>
      </w:tr>
      <w:tr w:rsidR="004B484B" w:rsidRPr="00D05340" w14:paraId="6FA7B4A8" w14:textId="02E32D0F" w:rsidTr="009B00D4">
        <w:trPr>
          <w:jc w:val="center"/>
        </w:trPr>
        <w:tc>
          <w:tcPr>
            <w:tcW w:w="1763" w:type="dxa"/>
          </w:tcPr>
          <w:p w14:paraId="040F1E28" w14:textId="335D4647" w:rsidR="004B484B" w:rsidRPr="00D05340" w:rsidRDefault="00395E1F"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D05340">
              <w:rPr>
                <w:rFonts w:ascii="Traditional Arabic" w:hAnsi="Traditional Arabic" w:cs="Traditional Arabic"/>
                <w:b/>
                <w:bCs/>
                <w:color w:val="000000" w:themeColor="text1"/>
                <w:sz w:val="32"/>
                <w:szCs w:val="32"/>
                <w:rtl/>
              </w:rPr>
              <w:t>الرقم الاكاديمي</w:t>
            </w:r>
          </w:p>
        </w:tc>
        <w:tc>
          <w:tcPr>
            <w:tcW w:w="252" w:type="dxa"/>
          </w:tcPr>
          <w:p w14:paraId="53048679" w14:textId="235E86A8" w:rsidR="004B484B" w:rsidRPr="00D05340"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D05340">
              <w:rPr>
                <w:rFonts w:ascii="Traditional Arabic" w:hAnsi="Traditional Arabic" w:cs="Traditional Arabic"/>
                <w:b/>
                <w:bCs/>
                <w:color w:val="000000" w:themeColor="text1"/>
                <w:sz w:val="32"/>
                <w:szCs w:val="32"/>
                <w:rtl/>
              </w:rPr>
              <w:t>:</w:t>
            </w:r>
          </w:p>
        </w:tc>
        <w:tc>
          <w:tcPr>
            <w:tcW w:w="5778" w:type="dxa"/>
          </w:tcPr>
          <w:p w14:paraId="60443D63" w14:textId="5E4CE4A3" w:rsidR="00BE609B" w:rsidRPr="00D05340" w:rsidRDefault="008163F3" w:rsidP="00553DC2">
            <w:pPr>
              <w:pStyle w:val="a8"/>
              <w:bidi/>
              <w:spacing w:before="0" w:beforeAutospacing="0" w:after="0" w:afterAutospacing="0"/>
              <w:ind w:right="-270"/>
              <w:jc w:val="both"/>
              <w:rPr>
                <w:rFonts w:ascii="Traditional Arabic" w:hAnsi="Traditional Arabic" w:cs="Traditional Arabic"/>
                <w:b/>
                <w:bCs/>
                <w:color w:val="0000FF"/>
                <w:sz w:val="32"/>
                <w:szCs w:val="32"/>
                <w:rtl/>
              </w:rPr>
            </w:pPr>
            <w:r>
              <w:rPr>
                <w:rFonts w:ascii="Traditional Arabic" w:hAnsi="Traditional Arabic" w:cs="Traditional Arabic" w:hint="cs"/>
                <w:b/>
                <w:bCs/>
                <w:color w:val="0000FF"/>
                <w:sz w:val="32"/>
                <w:szCs w:val="32"/>
                <w:rtl/>
              </w:rPr>
              <w:t>24</w:t>
            </w:r>
            <w:r w:rsidR="00F80355">
              <w:rPr>
                <w:rFonts w:ascii="Traditional Arabic" w:hAnsi="Traditional Arabic" w:cs="Traditional Arabic" w:hint="cs"/>
                <w:b/>
                <w:bCs/>
                <w:color w:val="0000FF"/>
                <w:sz w:val="32"/>
                <w:szCs w:val="32"/>
                <w:rtl/>
              </w:rPr>
              <w:t>2001490</w:t>
            </w:r>
          </w:p>
        </w:tc>
      </w:tr>
      <w:tr w:rsidR="004B484B" w:rsidRPr="00D05340" w14:paraId="627B39DB" w14:textId="0373C5D2" w:rsidTr="009B00D4">
        <w:trPr>
          <w:jc w:val="center"/>
        </w:trPr>
        <w:tc>
          <w:tcPr>
            <w:tcW w:w="1763" w:type="dxa"/>
          </w:tcPr>
          <w:p w14:paraId="0FCA9608" w14:textId="2B6BE0D9" w:rsidR="004B484B" w:rsidRPr="00D05340" w:rsidRDefault="00BE609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D05340">
              <w:rPr>
                <w:rFonts w:ascii="Traditional Arabic" w:hAnsi="Traditional Arabic" w:cs="Traditional Arabic"/>
                <w:b/>
                <w:bCs/>
                <w:color w:val="000000" w:themeColor="text1"/>
                <w:sz w:val="32"/>
                <w:szCs w:val="32"/>
                <w:rtl/>
              </w:rPr>
              <w:t xml:space="preserve">الكلية                    </w:t>
            </w:r>
          </w:p>
        </w:tc>
        <w:tc>
          <w:tcPr>
            <w:tcW w:w="252" w:type="dxa"/>
          </w:tcPr>
          <w:p w14:paraId="69EA7444" w14:textId="2B4C85B0" w:rsidR="004B484B" w:rsidRPr="00D05340" w:rsidRDefault="00BE609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D05340">
              <w:rPr>
                <w:rFonts w:ascii="Traditional Arabic" w:hAnsi="Traditional Arabic" w:cs="Traditional Arabic"/>
                <w:b/>
                <w:bCs/>
                <w:color w:val="000000" w:themeColor="text1"/>
                <w:sz w:val="32"/>
                <w:szCs w:val="32"/>
                <w:rtl/>
              </w:rPr>
              <w:t>:</w:t>
            </w:r>
          </w:p>
        </w:tc>
        <w:tc>
          <w:tcPr>
            <w:tcW w:w="5778" w:type="dxa"/>
          </w:tcPr>
          <w:p w14:paraId="0B78AAB6" w14:textId="3AC65D62" w:rsidR="004B484B" w:rsidRPr="00D05340" w:rsidRDefault="00F80355" w:rsidP="00553DC2">
            <w:pPr>
              <w:pStyle w:val="a8"/>
              <w:bidi/>
              <w:spacing w:before="0" w:beforeAutospacing="0" w:after="0" w:afterAutospacing="0"/>
              <w:ind w:right="-270"/>
              <w:jc w:val="both"/>
              <w:rPr>
                <w:rFonts w:ascii="Traditional Arabic" w:hAnsi="Traditional Arabic" w:cs="Traditional Arabic"/>
                <w:b/>
                <w:bCs/>
                <w:color w:val="0000FF"/>
                <w:sz w:val="32"/>
                <w:szCs w:val="32"/>
                <w:rtl/>
              </w:rPr>
            </w:pPr>
            <w:r>
              <w:rPr>
                <w:rFonts w:ascii="Traditional Arabic" w:hAnsi="Traditional Arabic" w:cs="Traditional Arabic" w:hint="cs"/>
                <w:b/>
                <w:bCs/>
                <w:color w:val="0000FF"/>
                <w:sz w:val="32"/>
                <w:szCs w:val="32"/>
                <w:rtl/>
              </w:rPr>
              <w:t>كلية الإدارة</w:t>
            </w:r>
          </w:p>
        </w:tc>
      </w:tr>
      <w:tr w:rsidR="004B484B" w:rsidRPr="00D05340" w14:paraId="51860AEF" w14:textId="0FB5AA02" w:rsidTr="009B00D4">
        <w:trPr>
          <w:jc w:val="center"/>
        </w:trPr>
        <w:tc>
          <w:tcPr>
            <w:tcW w:w="1763" w:type="dxa"/>
          </w:tcPr>
          <w:p w14:paraId="2C6768A4" w14:textId="49EB9922" w:rsidR="004B484B" w:rsidRPr="00D05340"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p>
        </w:tc>
        <w:tc>
          <w:tcPr>
            <w:tcW w:w="252" w:type="dxa"/>
          </w:tcPr>
          <w:p w14:paraId="16262C81" w14:textId="42441BCF" w:rsidR="004B484B" w:rsidRPr="00D05340"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p>
        </w:tc>
        <w:tc>
          <w:tcPr>
            <w:tcW w:w="5778" w:type="dxa"/>
          </w:tcPr>
          <w:p w14:paraId="4747D229" w14:textId="77777777" w:rsidR="004B484B" w:rsidRPr="00D05340" w:rsidRDefault="004B484B" w:rsidP="00553DC2">
            <w:pPr>
              <w:pStyle w:val="a8"/>
              <w:bidi/>
              <w:spacing w:before="0" w:beforeAutospacing="0" w:after="0" w:afterAutospacing="0"/>
              <w:ind w:right="-270"/>
              <w:jc w:val="both"/>
              <w:rPr>
                <w:rFonts w:ascii="Traditional Arabic" w:hAnsi="Traditional Arabic" w:cs="Traditional Arabic"/>
                <w:b/>
                <w:bCs/>
                <w:color w:val="0000FF"/>
                <w:sz w:val="32"/>
                <w:szCs w:val="32"/>
                <w:rtl/>
              </w:rPr>
            </w:pPr>
          </w:p>
        </w:tc>
      </w:tr>
    </w:tbl>
    <w:p w14:paraId="35CE0815" w14:textId="0C913542" w:rsidR="00AD783C" w:rsidRPr="00D05340" w:rsidRDefault="00883E09" w:rsidP="00E17706">
      <w:pPr>
        <w:bidi/>
        <w:spacing w:line="240" w:lineRule="auto"/>
        <w:rPr>
          <w:rFonts w:ascii="Traditional Arabic" w:hAnsi="Traditional Arabic" w:cs="Traditional Arabic"/>
          <w:b/>
          <w:bCs/>
          <w:color w:val="FF0000"/>
          <w:sz w:val="32"/>
          <w:szCs w:val="32"/>
          <w:rtl/>
        </w:rPr>
      </w:pPr>
      <w:r w:rsidRPr="00D05340">
        <w:rPr>
          <w:rFonts w:ascii="Traditional Arabic" w:hAnsi="Traditional Arabic" w:cs="Traditional Arabic"/>
          <w:b/>
          <w:bCs/>
          <w:color w:val="548DD4" w:themeColor="text2" w:themeTint="99"/>
          <w:sz w:val="32"/>
          <w:szCs w:val="32"/>
          <w:rtl/>
        </w:rPr>
        <w:t xml:space="preserve">       </w:t>
      </w:r>
      <w:r w:rsidR="00C472D8" w:rsidRPr="00D05340">
        <w:rPr>
          <w:rFonts w:ascii="Traditional Arabic" w:hAnsi="Traditional Arabic" w:cs="Traditional Arabic"/>
          <w:b/>
          <w:bCs/>
          <w:color w:val="FF0000"/>
          <w:sz w:val="32"/>
          <w:szCs w:val="32"/>
          <w:rtl/>
        </w:rPr>
        <w:t xml:space="preserve"> </w:t>
      </w:r>
      <w:r w:rsidRPr="00D05340">
        <w:rPr>
          <w:rFonts w:ascii="Traditional Arabic" w:hAnsi="Traditional Arabic" w:cs="Traditional Arabic"/>
          <w:b/>
          <w:bCs/>
          <w:color w:val="FF0000"/>
          <w:sz w:val="32"/>
          <w:szCs w:val="32"/>
          <w:rtl/>
        </w:rPr>
        <w:t>14</w:t>
      </w:r>
      <w:r w:rsidR="001D6C2D" w:rsidRPr="00D05340">
        <w:rPr>
          <w:rFonts w:ascii="Traditional Arabic" w:hAnsi="Traditional Arabic" w:cs="Traditional Arabic"/>
          <w:b/>
          <w:bCs/>
          <w:color w:val="FF0000"/>
          <w:sz w:val="32"/>
          <w:szCs w:val="32"/>
          <w:rtl/>
        </w:rPr>
        <w:t>47</w:t>
      </w:r>
      <w:r w:rsidR="00E17706">
        <w:rPr>
          <w:rFonts w:ascii="Traditional Arabic" w:hAnsi="Traditional Arabic" w:cs="Traditional Arabic" w:hint="cs"/>
          <w:b/>
          <w:bCs/>
          <w:color w:val="FF0000"/>
          <w:sz w:val="32"/>
          <w:szCs w:val="32"/>
          <w:rtl/>
        </w:rPr>
        <w:t>ه</w:t>
      </w:r>
      <w:r w:rsidRPr="00D05340">
        <w:rPr>
          <w:rFonts w:ascii="Traditional Arabic" w:hAnsi="Traditional Arabic" w:cs="Traditional Arabic"/>
          <w:b/>
          <w:bCs/>
          <w:color w:val="FF0000"/>
          <w:sz w:val="32"/>
          <w:szCs w:val="32"/>
          <w:rtl/>
        </w:rPr>
        <w:t xml:space="preserve"> -</w:t>
      </w:r>
      <w:r w:rsidR="00E17706">
        <w:rPr>
          <w:rFonts w:ascii="Traditional Arabic" w:hAnsi="Traditional Arabic" w:cs="Traditional Arabic" w:hint="cs"/>
          <w:b/>
          <w:bCs/>
          <w:color w:val="FF0000"/>
          <w:sz w:val="32"/>
          <w:szCs w:val="32"/>
          <w:rtl/>
        </w:rPr>
        <w:t xml:space="preserve"> </w:t>
      </w:r>
      <w:r w:rsidR="00C472D8" w:rsidRPr="00D05340">
        <w:rPr>
          <w:rFonts w:ascii="Traditional Arabic" w:hAnsi="Traditional Arabic" w:cs="Traditional Arabic"/>
          <w:b/>
          <w:bCs/>
          <w:color w:val="FF0000"/>
          <w:sz w:val="32"/>
          <w:szCs w:val="32"/>
          <w:rtl/>
        </w:rPr>
        <w:t>20</w:t>
      </w:r>
      <w:r w:rsidR="001D6C2D" w:rsidRPr="00D05340">
        <w:rPr>
          <w:rFonts w:ascii="Traditional Arabic" w:hAnsi="Traditional Arabic" w:cs="Traditional Arabic"/>
          <w:b/>
          <w:bCs/>
          <w:color w:val="FF0000"/>
          <w:sz w:val="32"/>
          <w:szCs w:val="32"/>
          <w:rtl/>
        </w:rPr>
        <w:t>25</w:t>
      </w:r>
      <w:r w:rsidR="00C472D8" w:rsidRPr="00D05340">
        <w:rPr>
          <w:rFonts w:ascii="Traditional Arabic" w:hAnsi="Traditional Arabic" w:cs="Traditional Arabic"/>
          <w:b/>
          <w:bCs/>
          <w:color w:val="FF0000"/>
          <w:sz w:val="32"/>
          <w:szCs w:val="32"/>
          <w:rtl/>
        </w:rPr>
        <w:t>م</w:t>
      </w:r>
      <w:r w:rsidR="00C472D8" w:rsidRPr="00D05340">
        <w:rPr>
          <w:rFonts w:ascii="Traditional Arabic" w:hAnsi="Traditional Arabic" w:cs="Traditional Arabic"/>
          <w:b/>
          <w:bCs/>
          <w:color w:val="FF0000"/>
          <w:sz w:val="32"/>
          <w:szCs w:val="32"/>
          <w:rtl/>
        </w:rPr>
        <w:br/>
      </w:r>
    </w:p>
    <w:p w14:paraId="76F9D557" w14:textId="35BEDB28" w:rsidR="0059243E" w:rsidRPr="00D05340" w:rsidRDefault="00C11026" w:rsidP="00553DC2">
      <w:pPr>
        <w:bidi/>
        <w:spacing w:after="200" w:line="360" w:lineRule="auto"/>
        <w:jc w:val="both"/>
        <w:rPr>
          <w:rFonts w:ascii="Traditional Arabic" w:hAnsi="Traditional Arabic" w:cs="Traditional Arabic"/>
          <w:b/>
          <w:bCs/>
          <w:color w:val="00B0F0"/>
          <w:sz w:val="32"/>
          <w:szCs w:val="32"/>
          <w:u w:val="single"/>
          <w:rtl/>
          <w:lang w:bidi="ar-JO"/>
        </w:rPr>
      </w:pPr>
      <w:r w:rsidRPr="00D05340">
        <w:rPr>
          <w:rFonts w:ascii="Traditional Arabic" w:hAnsi="Traditional Arabic" w:cs="Traditional Arabic"/>
          <w:b/>
          <w:bCs/>
          <w:color w:val="00B0F0"/>
          <w:sz w:val="32"/>
          <w:szCs w:val="32"/>
          <w:u w:val="single"/>
          <w:rtl/>
        </w:rPr>
        <w:lastRenderedPageBreak/>
        <w:t>مقدمة الدراسة</w:t>
      </w:r>
    </w:p>
    <w:p w14:paraId="6F59C095" w14:textId="7D9D9BD8" w:rsidR="006C635A" w:rsidRPr="00D05340" w:rsidRDefault="006C635A" w:rsidP="006C635A">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في ظل التغيرات المتسارعة التي تشهدها بيئة الأعمال المعاصرة، أصبحت قدرة المؤسسات على التكيف والاستجابة السريعة للمتغيرات شرطًا أساسيًا للاستمرارية والنجاح. وتعدّ البراعة التنظيمية من المفاهيم الحديثة التي تعكس قدرة المؤسسة على التفاعل بمرونة مع المتغيرات البيئية، واغتنام الفرص، والتعامل مع التحديات المعقدة، بما يسهم في تعزيز تنافسيتها واستدامتها (</w:t>
      </w:r>
      <w:r w:rsidRPr="00D05340">
        <w:rPr>
          <w:rFonts w:ascii="Traditional Arabic" w:eastAsia="Times New Roman" w:hAnsi="Traditional Arabic" w:cs="Traditional Arabic"/>
          <w:sz w:val="32"/>
          <w:szCs w:val="32"/>
        </w:rPr>
        <w:t>Wang &amp; Regua, 2024</w:t>
      </w:r>
      <w:r w:rsidRPr="00D05340">
        <w:rPr>
          <w:rFonts w:ascii="Traditional Arabic" w:eastAsia="Times New Roman" w:hAnsi="Traditional Arabic" w:cs="Traditional Arabic"/>
          <w:sz w:val="32"/>
          <w:szCs w:val="32"/>
          <w:rtl/>
        </w:rPr>
        <w:t>).</w:t>
      </w:r>
    </w:p>
    <w:p w14:paraId="2034FD11" w14:textId="72F323EF" w:rsidR="007F4090" w:rsidRPr="00D05340" w:rsidRDefault="006C635A" w:rsidP="007F4090">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في هذا السياق، برز التخطيط الاستراتيجي للموارد البشرية كأحد الأدوات الفعّالة التي تُمكن المؤسسات من بناء قاعدة بشرية مرنة ومؤهلة، تسهم في تحقيق هذه البراعة، عبر تعزيز الابتكار، وتسريع الاستجابة، وتحفيز الأداء الفعّال (</w:t>
      </w:r>
      <w:r w:rsidRPr="00D05340">
        <w:rPr>
          <w:rFonts w:ascii="Traditional Arabic" w:eastAsia="Times New Roman" w:hAnsi="Traditional Arabic" w:cs="Traditional Arabic"/>
          <w:sz w:val="32"/>
          <w:szCs w:val="32"/>
        </w:rPr>
        <w:t>Asfahani, 2021; Mekuri-Ndimele, 2025</w:t>
      </w:r>
      <w:r w:rsidRPr="00D05340">
        <w:rPr>
          <w:rFonts w:ascii="Traditional Arabic" w:eastAsia="Times New Roman" w:hAnsi="Traditional Arabic" w:cs="Traditional Arabic"/>
          <w:sz w:val="32"/>
          <w:szCs w:val="32"/>
          <w:rtl/>
        </w:rPr>
        <w:t>). فالتخطيط الفعّال للقوى العاملة لا يقتصر على سد الفجوات في الاحتياجات البشرية، بل يشمل أيضًا بناء رؤى مستقبلية تضمن مواءمة قدرات العاملين مع التوجهات الاستراتيجية للمؤسسة (</w:t>
      </w:r>
      <w:r w:rsidRPr="00D05340">
        <w:rPr>
          <w:rFonts w:ascii="Traditional Arabic" w:eastAsia="Times New Roman" w:hAnsi="Traditional Arabic" w:cs="Traditional Arabic"/>
          <w:sz w:val="32"/>
          <w:szCs w:val="32"/>
        </w:rPr>
        <w:t>Alqarnin et al., 2023</w:t>
      </w:r>
      <w:r w:rsidRPr="00D05340">
        <w:rPr>
          <w:rFonts w:ascii="Traditional Arabic" w:eastAsia="Times New Roman" w:hAnsi="Traditional Arabic" w:cs="Traditional Arabic"/>
          <w:sz w:val="32"/>
          <w:szCs w:val="32"/>
          <w:rtl/>
        </w:rPr>
        <w:t>).</w:t>
      </w:r>
    </w:p>
    <w:p w14:paraId="60B65162" w14:textId="7AE0EDB9" w:rsidR="006C635A" w:rsidRPr="00D05340" w:rsidRDefault="006C635A" w:rsidP="00B443F1">
      <w:pPr>
        <w:bidi/>
        <w:spacing w:after="200" w:line="360" w:lineRule="auto"/>
        <w:jc w:val="both"/>
        <w:rPr>
          <w:rFonts w:ascii="Traditional Arabic" w:eastAsia="Times New Roman" w:hAnsi="Traditional Arabic" w:cs="Traditional Arabic"/>
          <w:sz w:val="32"/>
          <w:szCs w:val="32"/>
          <w:rtl/>
        </w:rPr>
      </w:pPr>
      <w:r w:rsidRPr="00D05340">
        <w:rPr>
          <w:rFonts w:ascii="Traditional Arabic" w:eastAsia="Times New Roman" w:hAnsi="Traditional Arabic" w:cs="Traditional Arabic"/>
          <w:sz w:val="32"/>
          <w:szCs w:val="32"/>
          <w:rtl/>
        </w:rPr>
        <w:t xml:space="preserve">اهتمت أدبيات الإدارة الحديثة بدراسة العلاقة بين إدارة الموارد البشرية الاستراتيجية والبراعة التنظيمية، حيث أظهرت عدة دراسات أن تبني ممارسات استراتيجية—مثل التوظيف المدروس، التدريب المستمر، وتقييم الأداء الفعّال—يسهم بشكل مباشر في رفع مستوى البراعة التنظيمية (أبو زيد، 2021؛ </w:t>
      </w:r>
      <w:r w:rsidRPr="00D05340">
        <w:rPr>
          <w:rFonts w:ascii="Traditional Arabic" w:eastAsia="Times New Roman" w:hAnsi="Traditional Arabic" w:cs="Traditional Arabic"/>
          <w:sz w:val="32"/>
          <w:szCs w:val="32"/>
        </w:rPr>
        <w:t>Hamidianpour et al., 2016</w:t>
      </w:r>
      <w:r w:rsidRPr="00D05340">
        <w:rPr>
          <w:rFonts w:ascii="Traditional Arabic" w:eastAsia="Times New Roman" w:hAnsi="Traditional Arabic" w:cs="Traditional Arabic"/>
          <w:sz w:val="32"/>
          <w:szCs w:val="32"/>
          <w:rtl/>
        </w:rPr>
        <w:t>). كما كشفت دراسات أخرى أن هذه العلاقة قد تتعزز من خلال متغيرات وسيطة مثل الثقافة التنظيمية (أبو زيد، 2021)، أو التوجه الاستراتيجي للمؤسسة (الحسن، 2022)، أو تبني أنظمة إلكترونية لإدارة الموارد البشرية (</w:t>
      </w:r>
      <w:r w:rsidRPr="00D05340">
        <w:rPr>
          <w:rFonts w:ascii="Traditional Arabic" w:eastAsia="Times New Roman" w:hAnsi="Traditional Arabic" w:cs="Traditional Arabic"/>
          <w:sz w:val="32"/>
          <w:szCs w:val="32"/>
        </w:rPr>
        <w:t>Almagharbeh, 2024</w:t>
      </w:r>
      <w:r w:rsidRPr="00D05340">
        <w:rPr>
          <w:rFonts w:ascii="Traditional Arabic" w:eastAsia="Times New Roman" w:hAnsi="Traditional Arabic" w:cs="Traditional Arabic"/>
          <w:sz w:val="32"/>
          <w:szCs w:val="32"/>
          <w:rtl/>
        </w:rPr>
        <w:t>).</w:t>
      </w:r>
    </w:p>
    <w:p w14:paraId="5E538181" w14:textId="3B1529F6" w:rsidR="007F4090" w:rsidRPr="00D05340" w:rsidRDefault="006C635A" w:rsidP="006C635A">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lastRenderedPageBreak/>
        <w:t>رغم اتساع نطاق البحوث في هذا المجال، إلا أن معظمها ركّز على القطاعات التعليمية أو الفندقية أو الصناعية، بينما لا تزال الدراسات التطبيقية على القطاع الحكومي – خصوصًا في وزارات الإعلام – محدودة (</w:t>
      </w:r>
      <w:r w:rsidRPr="00D05340">
        <w:rPr>
          <w:rFonts w:ascii="Traditional Arabic" w:eastAsia="Times New Roman" w:hAnsi="Traditional Arabic" w:cs="Traditional Arabic"/>
          <w:sz w:val="32"/>
          <w:szCs w:val="32"/>
        </w:rPr>
        <w:t>Marhoon &amp; Omar, 2024</w:t>
      </w:r>
      <w:r w:rsidRPr="00D05340">
        <w:rPr>
          <w:rFonts w:ascii="Traditional Arabic" w:eastAsia="Times New Roman" w:hAnsi="Traditional Arabic" w:cs="Traditional Arabic"/>
          <w:sz w:val="32"/>
          <w:szCs w:val="32"/>
          <w:rtl/>
        </w:rPr>
        <w:t>). من هنا، تنبع أهمية هذه الدراسة التي تسعى إلى سد هذه الفجوة، من خلال تحليل أثر التخطيط الاستراتيجي للموارد البشرية على البراعة التنظيمية داخل وزارة الإعلام في المملكة العربية السعودية، كمثال على مؤسسات القطاع العام التي تواجه تحديات رقمية وتنظيمية متزايدة.</w:t>
      </w:r>
    </w:p>
    <w:p w14:paraId="46713693" w14:textId="0FC8247F" w:rsidR="0059243E" w:rsidRPr="00D05340" w:rsidRDefault="00883E09" w:rsidP="00553DC2">
      <w:pPr>
        <w:bidi/>
        <w:spacing w:after="200" w:line="360" w:lineRule="auto"/>
        <w:jc w:val="both"/>
        <w:rPr>
          <w:rFonts w:ascii="Traditional Arabic" w:hAnsi="Traditional Arabic" w:cs="Traditional Arabic"/>
          <w:b/>
          <w:bCs/>
          <w:color w:val="002060"/>
          <w:sz w:val="32"/>
          <w:szCs w:val="32"/>
          <w:rtl/>
          <w:lang w:bidi="ar-JO"/>
        </w:rPr>
      </w:pPr>
      <w:r w:rsidRPr="00D05340">
        <w:rPr>
          <w:rFonts w:ascii="Traditional Arabic" w:hAnsi="Traditional Arabic" w:cs="Traditional Arabic"/>
          <w:b/>
          <w:bCs/>
          <w:color w:val="00B0F0"/>
          <w:sz w:val="32"/>
          <w:szCs w:val="32"/>
          <w:u w:val="single"/>
          <w:rtl/>
        </w:rPr>
        <w:t>مشكلة الدراسة</w:t>
      </w:r>
      <w:r w:rsidR="00231AB1" w:rsidRPr="00D05340">
        <w:rPr>
          <w:rFonts w:ascii="Traditional Arabic" w:hAnsi="Traditional Arabic" w:cs="Traditional Arabic"/>
          <w:b/>
          <w:bCs/>
          <w:color w:val="00B0F0"/>
          <w:sz w:val="32"/>
          <w:szCs w:val="32"/>
          <w:u w:val="single"/>
          <w:rtl/>
        </w:rPr>
        <w:t xml:space="preserve"> وأسئلتها</w:t>
      </w:r>
      <w:r w:rsidR="00436B59" w:rsidRPr="00D05340">
        <w:rPr>
          <w:rFonts w:ascii="Traditional Arabic" w:hAnsi="Traditional Arabic" w:cs="Traditional Arabic"/>
          <w:b/>
          <w:bCs/>
          <w:color w:val="00B0F0"/>
          <w:sz w:val="32"/>
          <w:szCs w:val="32"/>
          <w:u w:val="single"/>
          <w:rtl/>
        </w:rPr>
        <w:t>:</w:t>
      </w:r>
      <w:r w:rsidR="00436B59" w:rsidRPr="00D05340">
        <w:rPr>
          <w:rFonts w:ascii="Traditional Arabic" w:hAnsi="Traditional Arabic" w:cs="Traditional Arabic"/>
          <w:b/>
          <w:bCs/>
          <w:color w:val="00B0F0"/>
          <w:sz w:val="32"/>
          <w:szCs w:val="32"/>
          <w:rtl/>
        </w:rPr>
        <w:t xml:space="preserve"> </w:t>
      </w:r>
      <w:r w:rsidR="007F4183" w:rsidRPr="00D05340">
        <w:rPr>
          <w:rFonts w:ascii="Traditional Arabic" w:hAnsi="Traditional Arabic" w:cs="Traditional Arabic"/>
          <w:b/>
          <w:bCs/>
          <w:color w:val="00B0F0"/>
          <w:sz w:val="32"/>
          <w:szCs w:val="32"/>
          <w:rtl/>
        </w:rPr>
        <w:t xml:space="preserve">  </w:t>
      </w:r>
    </w:p>
    <w:p w14:paraId="6D2E083C" w14:textId="3829788A" w:rsidR="007F4090" w:rsidRPr="00D05340" w:rsidRDefault="006C635A" w:rsidP="007F4090">
      <w:pPr>
        <w:bidi/>
        <w:spacing w:after="200" w:line="360" w:lineRule="auto"/>
        <w:jc w:val="both"/>
        <w:rPr>
          <w:rFonts w:ascii="Traditional Arabic" w:eastAsia="Times New Roman" w:hAnsi="Traditional Arabic" w:cs="Traditional Arabic"/>
          <w:sz w:val="32"/>
          <w:szCs w:val="32"/>
          <w:rtl/>
          <w:lang w:bidi="ar-JO"/>
        </w:rPr>
      </w:pPr>
      <w:r w:rsidRPr="00D05340">
        <w:rPr>
          <w:rFonts w:ascii="Traditional Arabic" w:eastAsia="Times New Roman" w:hAnsi="Traditional Arabic" w:cs="Traditional Arabic"/>
          <w:sz w:val="32"/>
          <w:szCs w:val="32"/>
          <w:rtl/>
        </w:rPr>
        <w:t>في ضوء التحولات المتسارعة التي تشهدها بيئة العمل، لا سيما في القطاع الحكومي، تواجه المؤسسات تحديات متزايدة تتطلب منها أن تكون أكثر مرونة وابتكارًا واستجابة للتغيير، وهي ما يُطلق عليه البراعة التنظيمية. وبالرغم من الأهمية المتنامية لهذا المفهوم، تشير الأدبيات إلى أن الكثير من المؤسسات، خاصة في القطاع العام، لا تزال تعاني من ضعف في تحقيق مستويات كافية من البراعة التنظيمية، نتيجة لغياب ممارسات استراتيجية فاعلة في إدارة الموارد البشرية (</w:t>
      </w:r>
      <w:r w:rsidRPr="00D05340">
        <w:rPr>
          <w:rFonts w:ascii="Traditional Arabic" w:eastAsia="Times New Roman" w:hAnsi="Traditional Arabic" w:cs="Traditional Arabic"/>
          <w:sz w:val="32"/>
          <w:szCs w:val="32"/>
        </w:rPr>
        <w:t>Hamid, 2021</w:t>
      </w:r>
      <w:r w:rsidRPr="00D05340">
        <w:rPr>
          <w:rFonts w:ascii="Traditional Arabic" w:eastAsia="Times New Roman" w:hAnsi="Traditional Arabic" w:cs="Traditional Arabic"/>
          <w:sz w:val="32"/>
          <w:szCs w:val="32"/>
          <w:rtl/>
        </w:rPr>
        <w:t xml:space="preserve">؛ عبد طوفان والجنابي، 2022؛ </w:t>
      </w:r>
      <w:r w:rsidRPr="00D05340">
        <w:rPr>
          <w:rFonts w:ascii="Traditional Arabic" w:eastAsia="Times New Roman" w:hAnsi="Traditional Arabic" w:cs="Traditional Arabic"/>
          <w:sz w:val="32"/>
          <w:szCs w:val="32"/>
        </w:rPr>
        <w:t>Marhoon &amp; Omar, 2024</w:t>
      </w:r>
      <w:r w:rsidRPr="00D05340">
        <w:rPr>
          <w:rFonts w:ascii="Traditional Arabic" w:eastAsia="Times New Roman" w:hAnsi="Traditional Arabic" w:cs="Traditional Arabic"/>
          <w:sz w:val="32"/>
          <w:szCs w:val="32"/>
          <w:rtl/>
        </w:rPr>
        <w:t>).</w:t>
      </w:r>
    </w:p>
    <w:p w14:paraId="1699F423" w14:textId="77777777" w:rsidR="006C635A" w:rsidRPr="00D05340" w:rsidRDefault="006C635A" w:rsidP="006C635A">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تعزز بعض الدراسات، مثل دراسة (</w:t>
      </w:r>
      <w:r w:rsidRPr="00D05340">
        <w:rPr>
          <w:rFonts w:ascii="Traditional Arabic" w:eastAsia="Times New Roman" w:hAnsi="Traditional Arabic" w:cs="Traditional Arabic"/>
          <w:sz w:val="32"/>
          <w:szCs w:val="32"/>
        </w:rPr>
        <w:t>Wang &amp; Regua, 2024</w:t>
      </w:r>
      <w:r w:rsidRPr="00D05340">
        <w:rPr>
          <w:rFonts w:ascii="Traditional Arabic" w:eastAsia="Times New Roman" w:hAnsi="Traditional Arabic" w:cs="Traditional Arabic"/>
          <w:sz w:val="32"/>
          <w:szCs w:val="32"/>
          <w:rtl/>
        </w:rPr>
        <w:t>)، أن وجود تخطيط استراتيجي فعّال للموارد البشرية يسهم بشكل مباشر في تعزيز البراعة التنظيمية، من خلال التوظيف الاستراتيجي، وتطوير الكفاءات، والتقييم المنتظم للأداء، وتمكين الموظفين. بينما تشير نتائج دراسة (</w:t>
      </w:r>
      <w:r w:rsidRPr="00D05340">
        <w:rPr>
          <w:rFonts w:ascii="Traditional Arabic" w:eastAsia="Times New Roman" w:hAnsi="Traditional Arabic" w:cs="Traditional Arabic"/>
          <w:sz w:val="32"/>
          <w:szCs w:val="32"/>
        </w:rPr>
        <w:t>Mekuri-Ndimele, 2025</w:t>
      </w:r>
      <w:r w:rsidRPr="00D05340">
        <w:rPr>
          <w:rFonts w:ascii="Traditional Arabic" w:eastAsia="Times New Roman" w:hAnsi="Traditional Arabic" w:cs="Traditional Arabic"/>
          <w:sz w:val="32"/>
          <w:szCs w:val="32"/>
          <w:rtl/>
        </w:rPr>
        <w:t xml:space="preserve">) إلى أن التخطيط المدروس للموارد البشرية يساعد المؤسسات الصناعية على </w:t>
      </w:r>
      <w:r w:rsidRPr="00D05340">
        <w:rPr>
          <w:rFonts w:ascii="Traditional Arabic" w:eastAsia="Times New Roman" w:hAnsi="Traditional Arabic" w:cs="Traditional Arabic"/>
          <w:sz w:val="32"/>
          <w:szCs w:val="32"/>
          <w:rtl/>
        </w:rPr>
        <w:lastRenderedPageBreak/>
        <w:t>مواجهة تقلبات السوق، مما يطرح تساؤلًا حول إمكانية تطبيق هذا النهج بنجاح في مؤسسات القطاع الحكومي، وبخاصة في الوزارات ذات الطابع الإعلامي.</w:t>
      </w:r>
    </w:p>
    <w:p w14:paraId="2B37A0C2" w14:textId="77777777" w:rsidR="006C635A" w:rsidRPr="00D05340" w:rsidRDefault="006C635A" w:rsidP="006C635A">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رغم أن بعض الدراسات العربية قد تناولت العلاقة بين ممارسات الموارد البشرية والبراعة التنظيمية، إلا أن معظمها تركز على بيئات مثل التعليم (الازوري، 2022)، أو الصناعة (حسن وآخرون، 2021)، أو السياحة (أبو زيد، 2021)، بينما تندر الدراسات التي استكشفت هذه العلاقة داخل وزارات حيوية كوزارة الإعلام، التي تُعد في قلب معادلة التحول الرقمي والتأثير المجتمعي.</w:t>
      </w:r>
    </w:p>
    <w:p w14:paraId="101EF53E" w14:textId="77777777" w:rsidR="006C635A" w:rsidRPr="00D05340" w:rsidRDefault="006C635A" w:rsidP="006C635A">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وبناءً على ما سبق، تتمثل مشكلة الدراسة في التساؤل الآتي:</w:t>
      </w:r>
    </w:p>
    <w:p w14:paraId="0EB2F8EF" w14:textId="77777777" w:rsidR="006C635A" w:rsidRPr="00D05340" w:rsidRDefault="006C635A" w:rsidP="006C635A">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"ما أثر التخطيط الاستراتيجي للموارد البشرية على البراعة التنظيمية في وزارة الإعلام في المملكة العربية السعودية؟"</w:t>
      </w:r>
    </w:p>
    <w:p w14:paraId="03049F27" w14:textId="77777777" w:rsidR="006C635A" w:rsidRPr="00D05340" w:rsidRDefault="006C635A" w:rsidP="006C635A">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وينبثق من هذا التساؤل الرئيس عدد من الأسئلة الفرعية:</w:t>
      </w:r>
    </w:p>
    <w:p w14:paraId="007F5309" w14:textId="77777777" w:rsidR="006C635A" w:rsidRPr="00D05340" w:rsidRDefault="006C635A" w:rsidP="006C635A">
      <w:pPr>
        <w:pStyle w:val="a3"/>
        <w:numPr>
          <w:ilvl w:val="0"/>
          <w:numId w:val="25"/>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ما مدى تأثير تخطيط الموارد البشرية على مستوى البراعة التنظيمية؟</w:t>
      </w:r>
    </w:p>
    <w:p w14:paraId="0186B297" w14:textId="77777777" w:rsidR="006C635A" w:rsidRPr="00D05340" w:rsidRDefault="006C635A" w:rsidP="006C635A">
      <w:pPr>
        <w:pStyle w:val="a3"/>
        <w:numPr>
          <w:ilvl w:val="0"/>
          <w:numId w:val="25"/>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ما أثر تطوير رأس المال البشري على البراعة التنظيمية؟</w:t>
      </w:r>
    </w:p>
    <w:p w14:paraId="4DE12D78" w14:textId="77777777" w:rsidR="006C635A" w:rsidRPr="00D05340" w:rsidRDefault="006C635A" w:rsidP="006C635A">
      <w:pPr>
        <w:pStyle w:val="a3"/>
        <w:numPr>
          <w:ilvl w:val="0"/>
          <w:numId w:val="25"/>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هل يسهم تقييم الأداء في تعزيز البراعة التنظيمية؟</w:t>
      </w:r>
    </w:p>
    <w:p w14:paraId="13B7EC6E" w14:textId="77777777" w:rsidR="006C635A" w:rsidRPr="00D05340" w:rsidRDefault="006C635A" w:rsidP="006C635A">
      <w:pPr>
        <w:pStyle w:val="a3"/>
        <w:numPr>
          <w:ilvl w:val="0"/>
          <w:numId w:val="25"/>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ما العلاقة بين صيانة الموارد البشرية والبراعة التنظيمية؟</w:t>
      </w:r>
    </w:p>
    <w:p w14:paraId="4E2DC600" w14:textId="6673D97D" w:rsidR="007F4090" w:rsidRPr="00D05340" w:rsidRDefault="006C635A" w:rsidP="006C635A">
      <w:pPr>
        <w:pStyle w:val="a3"/>
        <w:numPr>
          <w:ilvl w:val="0"/>
          <w:numId w:val="25"/>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هل يؤدي تطوير الكفاءات إلى تحسين مستوى البراعة التنظيمية في وزارة الإعلام؟</w:t>
      </w:r>
    </w:p>
    <w:p w14:paraId="056B7CFC" w14:textId="77777777" w:rsidR="006C635A" w:rsidRPr="00D05340" w:rsidRDefault="006C635A" w:rsidP="006C635A">
      <w:pPr>
        <w:bidi/>
        <w:spacing w:after="200" w:line="360" w:lineRule="auto"/>
        <w:jc w:val="both"/>
        <w:rPr>
          <w:rFonts w:ascii="Traditional Arabic" w:eastAsia="Times New Roman" w:hAnsi="Traditional Arabic" w:cs="Traditional Arabic"/>
          <w:sz w:val="32"/>
          <w:szCs w:val="32"/>
          <w:rtl/>
        </w:rPr>
      </w:pPr>
    </w:p>
    <w:p w14:paraId="5F280F1C" w14:textId="77777777" w:rsidR="006C635A" w:rsidRPr="00D05340" w:rsidRDefault="006C635A" w:rsidP="006C635A">
      <w:pPr>
        <w:bidi/>
        <w:spacing w:after="200" w:line="360" w:lineRule="auto"/>
        <w:jc w:val="both"/>
        <w:rPr>
          <w:rFonts w:ascii="Traditional Arabic" w:eastAsia="Times New Roman" w:hAnsi="Traditional Arabic" w:cs="Traditional Arabic"/>
          <w:sz w:val="32"/>
          <w:szCs w:val="32"/>
          <w:rtl/>
        </w:rPr>
      </w:pPr>
    </w:p>
    <w:p w14:paraId="05D6E478" w14:textId="42903362" w:rsidR="007F4090" w:rsidRPr="00D05340" w:rsidRDefault="00C11026" w:rsidP="007F4090">
      <w:pPr>
        <w:bidi/>
        <w:spacing w:after="200" w:line="360" w:lineRule="auto"/>
        <w:jc w:val="both"/>
        <w:rPr>
          <w:rFonts w:ascii="Traditional Arabic" w:hAnsi="Traditional Arabic" w:cs="Traditional Arabic"/>
          <w:b/>
          <w:bCs/>
          <w:color w:val="00B0F0"/>
          <w:sz w:val="32"/>
          <w:szCs w:val="32"/>
          <w:u w:val="single"/>
          <w:rtl/>
          <w:lang w:bidi="ar-JO"/>
        </w:rPr>
      </w:pPr>
      <w:r w:rsidRPr="00D05340">
        <w:rPr>
          <w:rFonts w:ascii="Traditional Arabic" w:hAnsi="Traditional Arabic" w:cs="Traditional Arabic"/>
          <w:b/>
          <w:bCs/>
          <w:color w:val="00B0F0"/>
          <w:sz w:val="32"/>
          <w:szCs w:val="32"/>
          <w:u w:val="single"/>
          <w:rtl/>
        </w:rPr>
        <w:lastRenderedPageBreak/>
        <w:t>أهمية الدراسة (</w:t>
      </w:r>
      <w:r w:rsidR="000A1E46" w:rsidRPr="00D05340">
        <w:rPr>
          <w:rFonts w:ascii="Traditional Arabic" w:hAnsi="Traditional Arabic" w:cs="Traditional Arabic"/>
          <w:b/>
          <w:bCs/>
          <w:color w:val="00B0F0"/>
          <w:sz w:val="32"/>
          <w:szCs w:val="32"/>
          <w:u w:val="single"/>
          <w:rtl/>
        </w:rPr>
        <w:t>النظرية والتطبيقية</w:t>
      </w:r>
      <w:r w:rsidRPr="00D05340">
        <w:rPr>
          <w:rFonts w:ascii="Traditional Arabic" w:hAnsi="Traditional Arabic" w:cs="Traditional Arabic"/>
          <w:b/>
          <w:bCs/>
          <w:color w:val="00B0F0"/>
          <w:sz w:val="32"/>
          <w:szCs w:val="32"/>
          <w:u w:val="single"/>
          <w:rtl/>
        </w:rPr>
        <w:t>)</w:t>
      </w:r>
      <w:r w:rsidR="00883E09" w:rsidRPr="00D05340">
        <w:rPr>
          <w:rFonts w:ascii="Traditional Arabic" w:hAnsi="Traditional Arabic" w:cs="Traditional Arabic"/>
          <w:b/>
          <w:bCs/>
          <w:color w:val="00B0F0"/>
          <w:sz w:val="32"/>
          <w:szCs w:val="32"/>
          <w:u w:val="single"/>
          <w:rtl/>
        </w:rPr>
        <w:t>:</w:t>
      </w:r>
    </w:p>
    <w:p w14:paraId="200788B1" w14:textId="77777777" w:rsidR="007F4090" w:rsidRPr="00D05340" w:rsidRDefault="007F4090" w:rsidP="007F4090">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أولًا: الأهمية النظرية</w:t>
      </w:r>
      <w:r w:rsidRPr="00D05340">
        <w:rPr>
          <w:rFonts w:ascii="Traditional Arabic" w:eastAsia="Times New Roman" w:hAnsi="Traditional Arabic" w:cs="Traditional Arabic"/>
          <w:sz w:val="32"/>
          <w:szCs w:val="32"/>
        </w:rPr>
        <w:t>:</w:t>
      </w:r>
    </w:p>
    <w:p w14:paraId="5C13B183" w14:textId="77777777" w:rsidR="007F4090" w:rsidRPr="00D05340" w:rsidRDefault="007F4090" w:rsidP="007F4090">
      <w:pPr>
        <w:numPr>
          <w:ilvl w:val="0"/>
          <w:numId w:val="1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الإسهام في إثراء الأدبيات العلمية المتعلقة بموضوع العلاقة بين ممارسات إدارة الموارد البشرية الاستراتيجية والبراعة التنظيمية، وخاصة في السياق الحكومي العربي، الذي لم يحظَ بعد بالاهتمام البحثي الكافي مقارنة بالقطاع الخاص أو مؤسسات التعليم العالي</w:t>
      </w:r>
      <w:r w:rsidRPr="00D05340">
        <w:rPr>
          <w:rFonts w:ascii="Traditional Arabic" w:eastAsia="Times New Roman" w:hAnsi="Traditional Arabic" w:cs="Traditional Arabic"/>
          <w:sz w:val="32"/>
          <w:szCs w:val="32"/>
        </w:rPr>
        <w:t>.</w:t>
      </w:r>
    </w:p>
    <w:p w14:paraId="7A8DC5CE" w14:textId="77777777" w:rsidR="007F4090" w:rsidRPr="00D05340" w:rsidRDefault="007F4090" w:rsidP="007F4090">
      <w:pPr>
        <w:numPr>
          <w:ilvl w:val="0"/>
          <w:numId w:val="1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دمج مفاهيم متعددة ضمن نموذج متكامل، حيث تتناول الدراسة خمسة أبعاد رئيسة لإدارة الموارد البشرية الاستراتيجية، وتربطها بمفهوم البراعة التنظيمية بوصفه متغيرًا مركبًا، مما يسهم في تطوير نماذج تحليلية أكثر شمولًا تفيد الباحثين والمهتمين في مجالات الإدارة العامة والموارد البشرية</w:t>
      </w:r>
      <w:r w:rsidRPr="00D05340">
        <w:rPr>
          <w:rFonts w:ascii="Traditional Arabic" w:eastAsia="Times New Roman" w:hAnsi="Traditional Arabic" w:cs="Traditional Arabic"/>
          <w:sz w:val="32"/>
          <w:szCs w:val="32"/>
        </w:rPr>
        <w:t>.</w:t>
      </w:r>
    </w:p>
    <w:p w14:paraId="2BEA5A29" w14:textId="62D6A1F5" w:rsidR="007F4090" w:rsidRPr="00D05340" w:rsidRDefault="007F4090" w:rsidP="00B443F1">
      <w:pPr>
        <w:numPr>
          <w:ilvl w:val="0"/>
          <w:numId w:val="1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سد فجوة معرفية أشار إليها باحثون مثل</w:t>
      </w:r>
      <w:r w:rsidRPr="00D05340">
        <w:rPr>
          <w:rFonts w:ascii="Traditional Arabic" w:eastAsia="Times New Roman" w:hAnsi="Traditional Arabic" w:cs="Traditional Arabic"/>
          <w:sz w:val="32"/>
          <w:szCs w:val="32"/>
        </w:rPr>
        <w:t xml:space="preserve"> (Marhoon &amp; Omar, 2024) </w:t>
      </w:r>
      <w:r w:rsidRPr="00D05340">
        <w:rPr>
          <w:rFonts w:ascii="Traditional Arabic" w:eastAsia="Times New Roman" w:hAnsi="Traditional Arabic" w:cs="Traditional Arabic"/>
          <w:sz w:val="32"/>
          <w:szCs w:val="32"/>
          <w:rtl/>
        </w:rPr>
        <w:t>و</w:t>
      </w:r>
      <w:r w:rsidRPr="00D05340">
        <w:rPr>
          <w:rFonts w:ascii="Traditional Arabic" w:eastAsia="Times New Roman" w:hAnsi="Traditional Arabic" w:cs="Traditional Arabic"/>
          <w:sz w:val="32"/>
          <w:szCs w:val="32"/>
        </w:rPr>
        <w:t>(Wang &amp; Regua, 2024)</w:t>
      </w:r>
      <w:r w:rsidRPr="00D05340">
        <w:rPr>
          <w:rFonts w:ascii="Traditional Arabic" w:eastAsia="Times New Roman" w:hAnsi="Traditional Arabic" w:cs="Traditional Arabic"/>
          <w:sz w:val="32"/>
          <w:szCs w:val="32"/>
          <w:rtl/>
        </w:rPr>
        <w:t>، بشأن الحاجة إلى مزيد من الدراسات التطبيقية التي تدرس دور</w:t>
      </w:r>
      <w:r w:rsidRPr="00D05340">
        <w:rPr>
          <w:rFonts w:ascii="Traditional Arabic" w:eastAsia="Times New Roman" w:hAnsi="Traditional Arabic" w:cs="Traditional Arabic"/>
          <w:sz w:val="32"/>
          <w:szCs w:val="32"/>
        </w:rPr>
        <w:t xml:space="preserve"> </w:t>
      </w:r>
      <w:r w:rsidR="00B443F1" w:rsidRPr="00B443F1">
        <w:rPr>
          <w:rFonts w:ascii="Traditional Arabic" w:eastAsia="Times New Roman" w:hAnsi="Traditional Arabic" w:cs="Traditional Arabic"/>
          <w:sz w:val="32"/>
          <w:szCs w:val="32"/>
          <w:rtl/>
        </w:rPr>
        <w:t>إدارة الموارد البشرية الاستراتيجية</w:t>
      </w:r>
      <w:r w:rsidRPr="00D05340">
        <w:rPr>
          <w:rFonts w:ascii="Traditional Arabic" w:eastAsia="Times New Roman" w:hAnsi="Traditional Arabic" w:cs="Traditional Arabic"/>
          <w:sz w:val="32"/>
          <w:szCs w:val="32"/>
        </w:rPr>
        <w:t xml:space="preserve"> </w:t>
      </w:r>
      <w:r w:rsidRPr="00D05340">
        <w:rPr>
          <w:rFonts w:ascii="Traditional Arabic" w:eastAsia="Times New Roman" w:hAnsi="Traditional Arabic" w:cs="Traditional Arabic"/>
          <w:sz w:val="32"/>
          <w:szCs w:val="32"/>
          <w:rtl/>
        </w:rPr>
        <w:t>في تعزيز البراعة التنظيمية ضمن بيئة القطاع العام، خاصة في الدول النامية</w:t>
      </w:r>
      <w:r w:rsidRPr="00D05340">
        <w:rPr>
          <w:rFonts w:ascii="Traditional Arabic" w:eastAsia="Times New Roman" w:hAnsi="Traditional Arabic" w:cs="Traditional Arabic"/>
          <w:sz w:val="32"/>
          <w:szCs w:val="32"/>
        </w:rPr>
        <w:t>.</w:t>
      </w:r>
    </w:p>
    <w:p w14:paraId="5891A724" w14:textId="77777777" w:rsidR="007F4090" w:rsidRDefault="007F4090" w:rsidP="007F4090">
      <w:pPr>
        <w:numPr>
          <w:ilvl w:val="0"/>
          <w:numId w:val="1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توفير أساس نظري حديث يمكن البناء عليه في دراسات لاحقة، سواء في القطاعات الحكومية الأخرى بالمملكة العربية السعودية، أو في بلدان عربية تمر بتجارب تحول مشابهة</w:t>
      </w:r>
      <w:r w:rsidRPr="00D05340">
        <w:rPr>
          <w:rFonts w:ascii="Traditional Arabic" w:eastAsia="Times New Roman" w:hAnsi="Traditional Arabic" w:cs="Traditional Arabic"/>
          <w:sz w:val="32"/>
          <w:szCs w:val="32"/>
        </w:rPr>
        <w:t>.</w:t>
      </w:r>
    </w:p>
    <w:p w14:paraId="072EDC06" w14:textId="77777777" w:rsidR="004A5E36" w:rsidRDefault="004A5E36" w:rsidP="004A5E36">
      <w:pPr>
        <w:bidi/>
        <w:spacing w:after="200" w:line="360" w:lineRule="auto"/>
        <w:jc w:val="both"/>
        <w:rPr>
          <w:rFonts w:ascii="Traditional Arabic" w:eastAsia="Times New Roman" w:hAnsi="Traditional Arabic" w:cs="Traditional Arabic"/>
          <w:sz w:val="32"/>
          <w:szCs w:val="32"/>
        </w:rPr>
      </w:pPr>
    </w:p>
    <w:p w14:paraId="2BBB740D" w14:textId="77777777" w:rsidR="004A5E36" w:rsidRPr="00D05340" w:rsidRDefault="004A5E36" w:rsidP="004A5E36">
      <w:pPr>
        <w:bidi/>
        <w:spacing w:after="200" w:line="360" w:lineRule="auto"/>
        <w:jc w:val="both"/>
        <w:rPr>
          <w:rFonts w:ascii="Traditional Arabic" w:eastAsia="Times New Roman" w:hAnsi="Traditional Arabic" w:cs="Traditional Arabic"/>
          <w:sz w:val="32"/>
          <w:szCs w:val="32"/>
        </w:rPr>
      </w:pPr>
    </w:p>
    <w:p w14:paraId="66C5FE85" w14:textId="77777777" w:rsidR="007F4090" w:rsidRPr="00D05340" w:rsidRDefault="007F4090" w:rsidP="007F4090">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lastRenderedPageBreak/>
        <w:t>ثانيًا: الأهمية التطبيقية</w:t>
      </w:r>
      <w:r w:rsidRPr="00D05340">
        <w:rPr>
          <w:rFonts w:ascii="Traditional Arabic" w:eastAsia="Times New Roman" w:hAnsi="Traditional Arabic" w:cs="Traditional Arabic"/>
          <w:sz w:val="32"/>
          <w:szCs w:val="32"/>
        </w:rPr>
        <w:t>:</w:t>
      </w:r>
    </w:p>
    <w:p w14:paraId="54C22A7A" w14:textId="77777777" w:rsidR="007F4090" w:rsidRPr="00D05340" w:rsidRDefault="007F4090" w:rsidP="007F4090">
      <w:pPr>
        <w:numPr>
          <w:ilvl w:val="0"/>
          <w:numId w:val="12"/>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تقديم توصيات عملية قابلة للتنفيذ لصانعي القرار في وزارة الإعلام بالمملكة العربية السعودية حول كيفية تفعيل ممارسات إدارة الموارد البشرية الاستراتيجية بما يسهم في رفع كفاءة الأداء وتحقيق الاستجابة التنظيمية السريعة للتغيرات</w:t>
      </w:r>
      <w:r w:rsidRPr="00D05340">
        <w:rPr>
          <w:rFonts w:ascii="Traditional Arabic" w:eastAsia="Times New Roman" w:hAnsi="Traditional Arabic" w:cs="Traditional Arabic"/>
          <w:sz w:val="32"/>
          <w:szCs w:val="32"/>
        </w:rPr>
        <w:t>.</w:t>
      </w:r>
    </w:p>
    <w:p w14:paraId="37E47552" w14:textId="77777777" w:rsidR="007F4090" w:rsidRPr="00D05340" w:rsidRDefault="007F4090" w:rsidP="007F4090">
      <w:pPr>
        <w:numPr>
          <w:ilvl w:val="0"/>
          <w:numId w:val="12"/>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دعم التحول المؤسسي والإصلاح الإداري من خلال تسليط الضوء على الأدوات البشرية الاستراتيجية التي تساعد الوزارة على تحقيق التكيف والابتكار في بيئة عمل متغيرة ومليئة بالتحديات التكنولوجية والمجتمعية</w:t>
      </w:r>
      <w:r w:rsidRPr="00D05340">
        <w:rPr>
          <w:rFonts w:ascii="Traditional Arabic" w:eastAsia="Times New Roman" w:hAnsi="Traditional Arabic" w:cs="Traditional Arabic"/>
          <w:sz w:val="32"/>
          <w:szCs w:val="32"/>
        </w:rPr>
        <w:t>.</w:t>
      </w:r>
    </w:p>
    <w:p w14:paraId="52758CF3" w14:textId="77777777" w:rsidR="007F4090" w:rsidRPr="00D05340" w:rsidRDefault="007F4090" w:rsidP="007F4090">
      <w:pPr>
        <w:numPr>
          <w:ilvl w:val="0"/>
          <w:numId w:val="12"/>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تقييم واقع الموارد البشرية في الوزارة، وقياس مدى انعكاس سياساتها الحالية على مستوى البراعة التنظيمية، وهو ما يساعد في كشف الثغرات واقتراح برامج تدريب وتطوير تلائم أولويات المرحلة الراهنة</w:t>
      </w:r>
      <w:r w:rsidRPr="00D05340">
        <w:rPr>
          <w:rFonts w:ascii="Traditional Arabic" w:eastAsia="Times New Roman" w:hAnsi="Traditional Arabic" w:cs="Traditional Arabic"/>
          <w:sz w:val="32"/>
          <w:szCs w:val="32"/>
        </w:rPr>
        <w:t>.</w:t>
      </w:r>
    </w:p>
    <w:p w14:paraId="7A8D5123" w14:textId="4AA9B7AB" w:rsidR="004A5E36" w:rsidRDefault="007F4090" w:rsidP="004A5E36">
      <w:pPr>
        <w:numPr>
          <w:ilvl w:val="0"/>
          <w:numId w:val="12"/>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إفادة المؤسسات الحكومية الأخرى، حيث يمكن تعميم نتائج الدراسة على وزارات وهيئات مماثلة في المملكة، خاصة تلك المنخرطة في عمليات التحول الرقمي، بما يعزز من كفاءة الإدارة العامة ككل</w:t>
      </w:r>
      <w:r w:rsidRPr="00D05340">
        <w:rPr>
          <w:rFonts w:ascii="Traditional Arabic" w:eastAsia="Times New Roman" w:hAnsi="Traditional Arabic" w:cs="Traditional Arabic"/>
          <w:sz w:val="32"/>
          <w:szCs w:val="32"/>
        </w:rPr>
        <w:t>.</w:t>
      </w:r>
    </w:p>
    <w:p w14:paraId="6BF7F9FA" w14:textId="77777777" w:rsidR="004A5E36" w:rsidRPr="004A5E36" w:rsidRDefault="004A5E36" w:rsidP="004A5E36">
      <w:pPr>
        <w:bidi/>
        <w:spacing w:after="200" w:line="360" w:lineRule="auto"/>
        <w:ind w:left="720"/>
        <w:jc w:val="both"/>
        <w:rPr>
          <w:rFonts w:ascii="Traditional Arabic" w:eastAsia="Times New Roman" w:hAnsi="Traditional Arabic" w:cs="Traditional Arabic"/>
          <w:sz w:val="32"/>
          <w:szCs w:val="32"/>
        </w:rPr>
      </w:pPr>
    </w:p>
    <w:p w14:paraId="5D229165" w14:textId="77777777" w:rsidR="006C66D0" w:rsidRPr="00D05340" w:rsidRDefault="00C11026" w:rsidP="004A5E36">
      <w:pPr>
        <w:bidi/>
        <w:spacing w:after="200" w:line="360" w:lineRule="auto"/>
        <w:jc w:val="both"/>
        <w:rPr>
          <w:rFonts w:ascii="Traditional Arabic" w:hAnsi="Traditional Arabic" w:cs="Traditional Arabic"/>
          <w:b/>
          <w:bCs/>
          <w:sz w:val="32"/>
          <w:szCs w:val="32"/>
          <w:u w:val="single"/>
          <w:rtl/>
          <w:lang w:bidi="ar-JO"/>
        </w:rPr>
      </w:pPr>
      <w:r w:rsidRPr="00D05340">
        <w:rPr>
          <w:rFonts w:ascii="Traditional Arabic" w:hAnsi="Traditional Arabic" w:cs="Traditional Arabic"/>
          <w:b/>
          <w:bCs/>
          <w:color w:val="00B0F0"/>
          <w:sz w:val="32"/>
          <w:szCs w:val="32"/>
          <w:u w:val="single"/>
          <w:rtl/>
        </w:rPr>
        <w:t>أ</w:t>
      </w:r>
      <w:r w:rsidR="00A16E60" w:rsidRPr="00D05340">
        <w:rPr>
          <w:rFonts w:ascii="Traditional Arabic" w:hAnsi="Traditional Arabic" w:cs="Traditional Arabic"/>
          <w:b/>
          <w:bCs/>
          <w:color w:val="00B0F0"/>
          <w:sz w:val="32"/>
          <w:szCs w:val="32"/>
          <w:u w:val="single"/>
          <w:rtl/>
        </w:rPr>
        <w:t>هد</w:t>
      </w:r>
      <w:r w:rsidRPr="00D05340">
        <w:rPr>
          <w:rFonts w:ascii="Traditional Arabic" w:hAnsi="Traditional Arabic" w:cs="Traditional Arabic"/>
          <w:b/>
          <w:bCs/>
          <w:color w:val="00B0F0"/>
          <w:sz w:val="32"/>
          <w:szCs w:val="32"/>
          <w:u w:val="single"/>
          <w:rtl/>
        </w:rPr>
        <w:t>ا</w:t>
      </w:r>
      <w:r w:rsidR="00A16E60" w:rsidRPr="00D05340">
        <w:rPr>
          <w:rFonts w:ascii="Traditional Arabic" w:hAnsi="Traditional Arabic" w:cs="Traditional Arabic"/>
          <w:b/>
          <w:bCs/>
          <w:color w:val="00B0F0"/>
          <w:sz w:val="32"/>
          <w:szCs w:val="32"/>
          <w:u w:val="single"/>
          <w:rtl/>
        </w:rPr>
        <w:t>ف الدراسة:</w:t>
      </w:r>
    </w:p>
    <w:p w14:paraId="59683864" w14:textId="1230B3CC" w:rsidR="00AD721B" w:rsidRPr="00D05340" w:rsidRDefault="00553DC2" w:rsidP="006C66D0">
      <w:pPr>
        <w:bidi/>
        <w:spacing w:after="200" w:line="360" w:lineRule="auto"/>
        <w:jc w:val="both"/>
        <w:rPr>
          <w:rFonts w:ascii="Traditional Arabic" w:hAnsi="Traditional Arabic" w:cs="Traditional Arabic"/>
          <w:b/>
          <w:bCs/>
          <w:sz w:val="32"/>
          <w:szCs w:val="32"/>
          <w:u w:val="single"/>
        </w:rPr>
      </w:pPr>
      <w:r w:rsidRPr="00D05340">
        <w:rPr>
          <w:rFonts w:ascii="Traditional Arabic" w:hAnsi="Traditional Arabic" w:cs="Traditional Arabic" w:hint="cs"/>
          <w:sz w:val="32"/>
          <w:szCs w:val="32"/>
          <w:rtl/>
        </w:rPr>
        <w:t xml:space="preserve">بناء على ما سبق، فان </w:t>
      </w:r>
      <w:r w:rsidR="00AD721B" w:rsidRPr="00D05340">
        <w:rPr>
          <w:rFonts w:ascii="Traditional Arabic" w:hAnsi="Traditional Arabic" w:cs="Traditional Arabic"/>
          <w:sz w:val="32"/>
          <w:szCs w:val="32"/>
          <w:rtl/>
        </w:rPr>
        <w:t>الهدف الرئيسي للدراسة</w:t>
      </w:r>
      <w:r w:rsidRPr="00D05340">
        <w:rPr>
          <w:rFonts w:ascii="Traditional Arabic" w:hAnsi="Traditional Arabic" w:cs="Traditional Arabic" w:hint="cs"/>
          <w:sz w:val="32"/>
          <w:szCs w:val="32"/>
          <w:rtl/>
        </w:rPr>
        <w:t xml:space="preserve"> هو التالي:</w:t>
      </w:r>
    </w:p>
    <w:p w14:paraId="0E4841A7" w14:textId="76212792" w:rsidR="00AD721B" w:rsidRPr="00D05340" w:rsidRDefault="00553DC2" w:rsidP="006C66D0">
      <w:p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hint="cs"/>
          <w:b/>
          <w:bCs/>
          <w:sz w:val="32"/>
          <w:szCs w:val="32"/>
          <w:rtl/>
        </w:rPr>
        <w:t>"</w:t>
      </w:r>
      <w:r w:rsidR="006C66D0" w:rsidRPr="00D05340">
        <w:rPr>
          <w:rFonts w:ascii="Traditional Arabic" w:hAnsi="Traditional Arabic" w:cs="Traditional Arabic"/>
          <w:b/>
          <w:bCs/>
          <w:sz w:val="32"/>
          <w:szCs w:val="32"/>
          <w:rtl/>
        </w:rPr>
        <w:t>تحليل أثر ممارسات إدارة الموارد البشرية الاستراتيجية على البراعة التنظيمية</w:t>
      </w:r>
      <w:r w:rsidRPr="00D05340">
        <w:rPr>
          <w:rFonts w:ascii="Traditional Arabic" w:hAnsi="Traditional Arabic" w:cs="Traditional Arabic" w:hint="cs"/>
          <w:b/>
          <w:bCs/>
          <w:sz w:val="32"/>
          <w:szCs w:val="32"/>
          <w:rtl/>
        </w:rPr>
        <w:t>"</w:t>
      </w:r>
      <w:r w:rsidR="00AD721B" w:rsidRPr="00D05340">
        <w:rPr>
          <w:rFonts w:ascii="Traditional Arabic" w:hAnsi="Traditional Arabic" w:cs="Traditional Arabic"/>
          <w:b/>
          <w:bCs/>
          <w:sz w:val="32"/>
          <w:szCs w:val="32"/>
        </w:rPr>
        <w:t>.</w:t>
      </w:r>
    </w:p>
    <w:p w14:paraId="050B57AC" w14:textId="3BB12901" w:rsidR="00AD721B" w:rsidRPr="00D05340" w:rsidRDefault="00553DC2" w:rsidP="00553DC2">
      <w:p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hint="cs"/>
          <w:sz w:val="32"/>
          <w:szCs w:val="32"/>
          <w:rtl/>
        </w:rPr>
        <w:lastRenderedPageBreak/>
        <w:t xml:space="preserve">يتفرع منه </w:t>
      </w:r>
      <w:r w:rsidR="00AD721B" w:rsidRPr="00D05340">
        <w:rPr>
          <w:rFonts w:ascii="Traditional Arabic" w:hAnsi="Traditional Arabic" w:cs="Traditional Arabic"/>
          <w:sz w:val="32"/>
          <w:szCs w:val="32"/>
          <w:rtl/>
        </w:rPr>
        <w:t>الأهداف الفرعية</w:t>
      </w:r>
      <w:r w:rsidR="002B5C49" w:rsidRPr="00D05340">
        <w:rPr>
          <w:rFonts w:ascii="Traditional Arabic" w:hAnsi="Traditional Arabic" w:cs="Traditional Arabic" w:hint="cs"/>
          <w:sz w:val="32"/>
          <w:szCs w:val="32"/>
          <w:rtl/>
        </w:rPr>
        <w:t xml:space="preserve"> التالية:</w:t>
      </w:r>
    </w:p>
    <w:p w14:paraId="56C2F4C8" w14:textId="77777777" w:rsidR="006C66D0" w:rsidRPr="00D05340" w:rsidRDefault="006C66D0" w:rsidP="006C66D0">
      <w:pPr>
        <w:pStyle w:val="a3"/>
        <w:numPr>
          <w:ilvl w:val="0"/>
          <w:numId w:val="13"/>
        </w:num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sz w:val="32"/>
          <w:szCs w:val="32"/>
          <w:rtl/>
        </w:rPr>
        <w:t>تحديد أثر تخطيط الموارد البشرية على مستوى البراعة التنظيمية</w:t>
      </w:r>
      <w:r w:rsidRPr="00D05340">
        <w:rPr>
          <w:rFonts w:ascii="Traditional Arabic" w:hAnsi="Traditional Arabic" w:cs="Traditional Arabic"/>
          <w:sz w:val="32"/>
          <w:szCs w:val="32"/>
        </w:rPr>
        <w:t>.</w:t>
      </w:r>
    </w:p>
    <w:p w14:paraId="64ECDC44" w14:textId="77777777" w:rsidR="006C66D0" w:rsidRPr="00D05340" w:rsidRDefault="006C66D0" w:rsidP="006C66D0">
      <w:pPr>
        <w:pStyle w:val="a3"/>
        <w:numPr>
          <w:ilvl w:val="0"/>
          <w:numId w:val="13"/>
        </w:num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sz w:val="32"/>
          <w:szCs w:val="32"/>
          <w:rtl/>
        </w:rPr>
        <w:t>دراسة تأثير تطوير رأس المال البشري على البراعة التنظيمية</w:t>
      </w:r>
      <w:r w:rsidRPr="00D05340">
        <w:rPr>
          <w:rFonts w:ascii="Traditional Arabic" w:hAnsi="Traditional Arabic" w:cs="Traditional Arabic"/>
          <w:sz w:val="32"/>
          <w:szCs w:val="32"/>
        </w:rPr>
        <w:t>.</w:t>
      </w:r>
    </w:p>
    <w:p w14:paraId="583645A9" w14:textId="77777777" w:rsidR="006C66D0" w:rsidRPr="00D05340" w:rsidRDefault="006C66D0" w:rsidP="006C66D0">
      <w:pPr>
        <w:pStyle w:val="a3"/>
        <w:numPr>
          <w:ilvl w:val="0"/>
          <w:numId w:val="13"/>
        </w:num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sz w:val="32"/>
          <w:szCs w:val="32"/>
          <w:rtl/>
        </w:rPr>
        <w:t>معرفة مدى مساهمة تقييم الأداء في تعزيز البراعة التنظيمية</w:t>
      </w:r>
      <w:r w:rsidRPr="00D05340">
        <w:rPr>
          <w:rFonts w:ascii="Traditional Arabic" w:hAnsi="Traditional Arabic" w:cs="Traditional Arabic"/>
          <w:sz w:val="32"/>
          <w:szCs w:val="32"/>
        </w:rPr>
        <w:t>.</w:t>
      </w:r>
    </w:p>
    <w:p w14:paraId="03FFDEFC" w14:textId="77777777" w:rsidR="006C66D0" w:rsidRPr="00D05340" w:rsidRDefault="006C66D0" w:rsidP="006C66D0">
      <w:pPr>
        <w:pStyle w:val="a3"/>
        <w:numPr>
          <w:ilvl w:val="0"/>
          <w:numId w:val="13"/>
        </w:num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sz w:val="32"/>
          <w:szCs w:val="32"/>
          <w:rtl/>
        </w:rPr>
        <w:t>تحليل العلاقة بين صيانة الموارد البشرية والبراعة التنظيمية</w:t>
      </w:r>
      <w:r w:rsidRPr="00D05340">
        <w:rPr>
          <w:rFonts w:ascii="Traditional Arabic" w:hAnsi="Traditional Arabic" w:cs="Traditional Arabic"/>
          <w:sz w:val="32"/>
          <w:szCs w:val="32"/>
        </w:rPr>
        <w:t>.</w:t>
      </w:r>
    </w:p>
    <w:p w14:paraId="3619352A" w14:textId="153C0A63" w:rsidR="00263F0A" w:rsidRPr="00D05340" w:rsidRDefault="006C66D0" w:rsidP="00B443F1">
      <w:pPr>
        <w:pStyle w:val="a3"/>
        <w:numPr>
          <w:ilvl w:val="0"/>
          <w:numId w:val="13"/>
        </w:num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sz w:val="32"/>
          <w:szCs w:val="32"/>
          <w:rtl/>
        </w:rPr>
        <w:t>تقييم أثر تطوير الكفاءات ف</w:t>
      </w:r>
      <w:r w:rsidR="00B443F1">
        <w:rPr>
          <w:rFonts w:ascii="Traditional Arabic" w:hAnsi="Traditional Arabic" w:cs="Traditional Arabic"/>
          <w:sz w:val="32"/>
          <w:szCs w:val="32"/>
          <w:rtl/>
        </w:rPr>
        <w:t>ي تحسين مستوى البراعة التنظيمية</w:t>
      </w:r>
      <w:r w:rsidR="00B443F1">
        <w:rPr>
          <w:rFonts w:ascii="Traditional Arabic" w:hAnsi="Traditional Arabic" w:cs="Traditional Arabic" w:hint="cs"/>
          <w:sz w:val="32"/>
          <w:szCs w:val="32"/>
          <w:rtl/>
        </w:rPr>
        <w:t>.</w:t>
      </w:r>
    </w:p>
    <w:p w14:paraId="7A0E94A8" w14:textId="77777777" w:rsidR="004A5E36" w:rsidRDefault="004A5E36" w:rsidP="00553DC2">
      <w:pPr>
        <w:bidi/>
        <w:spacing w:after="200" w:line="360" w:lineRule="auto"/>
        <w:jc w:val="both"/>
        <w:rPr>
          <w:rFonts w:ascii="Traditional Arabic" w:hAnsi="Traditional Arabic" w:cs="Traditional Arabic"/>
          <w:b/>
          <w:bCs/>
          <w:color w:val="00B0F0"/>
          <w:sz w:val="32"/>
          <w:szCs w:val="32"/>
          <w:u w:val="single"/>
        </w:rPr>
      </w:pPr>
    </w:p>
    <w:p w14:paraId="5623D284" w14:textId="74E6DC6F" w:rsidR="00C339B3" w:rsidRPr="00D05340" w:rsidRDefault="00A16E60" w:rsidP="004A5E36">
      <w:pPr>
        <w:bidi/>
        <w:spacing w:after="200" w:line="360" w:lineRule="auto"/>
        <w:jc w:val="both"/>
        <w:rPr>
          <w:rFonts w:ascii="Traditional Arabic" w:hAnsi="Traditional Arabic" w:cs="Traditional Arabic"/>
          <w:b/>
          <w:bCs/>
          <w:color w:val="00B0F0"/>
          <w:sz w:val="32"/>
          <w:szCs w:val="32"/>
          <w:u w:val="single"/>
          <w:rtl/>
        </w:rPr>
      </w:pPr>
      <w:r w:rsidRPr="00D05340">
        <w:rPr>
          <w:rFonts w:ascii="Traditional Arabic" w:hAnsi="Traditional Arabic" w:cs="Traditional Arabic"/>
          <w:b/>
          <w:bCs/>
          <w:color w:val="00B0F0"/>
          <w:sz w:val="32"/>
          <w:szCs w:val="32"/>
          <w:u w:val="single"/>
          <w:rtl/>
        </w:rPr>
        <w:t>فرضيات الدراسة:</w:t>
      </w:r>
    </w:p>
    <w:p w14:paraId="6C98CB9A" w14:textId="00E1DB28" w:rsidR="006C66D0" w:rsidRDefault="006C66D0" w:rsidP="00B443F1">
      <w:pPr>
        <w:bidi/>
        <w:spacing w:after="200" w:line="360" w:lineRule="auto"/>
        <w:jc w:val="both"/>
        <w:rPr>
          <w:rFonts w:ascii="Traditional Arabic" w:hAnsi="Traditional Arabic" w:cs="Traditional Arabic"/>
          <w:sz w:val="32"/>
          <w:szCs w:val="32"/>
          <w:lang w:val="en-GB"/>
        </w:rPr>
      </w:pPr>
      <w:r w:rsidRPr="00D05340">
        <w:rPr>
          <w:rFonts w:ascii="Traditional Arabic" w:hAnsi="Traditional Arabic" w:cs="Traditional Arabic"/>
          <w:sz w:val="32"/>
          <w:szCs w:val="32"/>
          <w:rtl/>
        </w:rPr>
        <w:t>انطلاقًا من مراجعة الأدبيات والدراسات السابقة، تم بناء نموذج الدراسة لفحص أثر ممارسات إدارة الموارد البشرية الاستراتيجية</w:t>
      </w:r>
      <w:r w:rsidRPr="00D05340">
        <w:rPr>
          <w:rFonts w:ascii="Traditional Arabic" w:hAnsi="Traditional Arabic" w:cs="Traditional Arabic"/>
          <w:sz w:val="32"/>
          <w:szCs w:val="32"/>
          <w:lang w:val="en-GB"/>
        </w:rPr>
        <w:t xml:space="preserve">  </w:t>
      </w:r>
      <w:r w:rsidRPr="00D05340">
        <w:rPr>
          <w:rFonts w:ascii="Traditional Arabic" w:hAnsi="Traditional Arabic" w:cs="Traditional Arabic"/>
          <w:sz w:val="32"/>
          <w:szCs w:val="32"/>
          <w:rtl/>
        </w:rPr>
        <w:t>ع</w:t>
      </w:r>
      <w:r w:rsidR="00B443F1">
        <w:rPr>
          <w:rFonts w:ascii="Traditional Arabic" w:hAnsi="Traditional Arabic" w:cs="Traditional Arabic"/>
          <w:sz w:val="32"/>
          <w:szCs w:val="32"/>
          <w:rtl/>
        </w:rPr>
        <w:t>لى البراعة التنظيمية</w:t>
      </w:r>
      <w:r w:rsidRPr="00D05340">
        <w:rPr>
          <w:rFonts w:ascii="Traditional Arabic" w:hAnsi="Traditional Arabic" w:cs="Traditional Arabic"/>
          <w:sz w:val="32"/>
          <w:szCs w:val="32"/>
          <w:rtl/>
        </w:rPr>
        <w:t>. وتشمل ممارسات</w:t>
      </w:r>
      <w:r w:rsidRPr="00D05340">
        <w:rPr>
          <w:rFonts w:ascii="Traditional Arabic" w:hAnsi="Traditional Arabic" w:cs="Traditional Arabic"/>
          <w:sz w:val="32"/>
          <w:szCs w:val="32"/>
          <w:lang w:val="en-GB"/>
        </w:rPr>
        <w:t xml:space="preserve"> </w:t>
      </w:r>
      <w:r w:rsidR="00B443F1" w:rsidRPr="00B443F1">
        <w:rPr>
          <w:rFonts w:ascii="Traditional Arabic" w:hAnsi="Traditional Arabic" w:cs="Traditional Arabic"/>
          <w:sz w:val="32"/>
          <w:szCs w:val="32"/>
          <w:rtl/>
          <w:lang w:val="en-GB"/>
        </w:rPr>
        <w:t>إدارة الموارد البشرية الاستراتيجية</w:t>
      </w:r>
      <w:r w:rsidRPr="00D05340">
        <w:rPr>
          <w:rFonts w:ascii="Traditional Arabic" w:hAnsi="Traditional Arabic" w:cs="Traditional Arabic"/>
          <w:sz w:val="32"/>
          <w:szCs w:val="32"/>
          <w:lang w:val="en-GB"/>
        </w:rPr>
        <w:t xml:space="preserve"> </w:t>
      </w:r>
      <w:r w:rsidRPr="00D05340">
        <w:rPr>
          <w:rFonts w:ascii="Traditional Arabic" w:hAnsi="Traditional Arabic" w:cs="Traditional Arabic"/>
          <w:sz w:val="32"/>
          <w:szCs w:val="32"/>
          <w:rtl/>
        </w:rPr>
        <w:t>خمسة أبعاد رئيسية، في حين تُقاس البراعة التنظيمية كمفهوم مركب يتكون من أربعة أبعاد فرعية. وبناءً على ذلك، تم صياغة الفرضيات التالية</w:t>
      </w:r>
      <w:r w:rsidRPr="00D05340">
        <w:rPr>
          <w:rFonts w:ascii="Traditional Arabic" w:hAnsi="Traditional Arabic" w:cs="Traditional Arabic"/>
          <w:sz w:val="32"/>
          <w:szCs w:val="32"/>
          <w:lang w:val="en-GB"/>
        </w:rPr>
        <w:t>:</w:t>
      </w:r>
    </w:p>
    <w:p w14:paraId="4629B1CB" w14:textId="77777777" w:rsidR="004A5E36" w:rsidRPr="00D05340" w:rsidRDefault="004A5E36" w:rsidP="004A5E36">
      <w:pPr>
        <w:bidi/>
        <w:spacing w:after="200" w:line="360" w:lineRule="auto"/>
        <w:jc w:val="both"/>
        <w:rPr>
          <w:rFonts w:ascii="Traditional Arabic" w:hAnsi="Traditional Arabic" w:cs="Traditional Arabic"/>
          <w:b/>
          <w:bCs/>
          <w:sz w:val="32"/>
          <w:szCs w:val="32"/>
          <w:rtl/>
          <w:lang w:bidi="ar-AE"/>
        </w:rPr>
      </w:pPr>
    </w:p>
    <w:p w14:paraId="2299D65C" w14:textId="7CFC47B2" w:rsidR="006C66D0" w:rsidRPr="00D05340" w:rsidRDefault="00AD721B" w:rsidP="009D5B9E">
      <w:pPr>
        <w:bidi/>
        <w:spacing w:after="200" w:line="360" w:lineRule="auto"/>
        <w:jc w:val="both"/>
        <w:rPr>
          <w:rFonts w:ascii="Traditional Arabic" w:hAnsi="Traditional Arabic" w:cs="Traditional Arabic"/>
          <w:sz w:val="32"/>
          <w:szCs w:val="32"/>
          <w:rtl/>
        </w:rPr>
      </w:pPr>
      <w:r w:rsidRPr="00D05340">
        <w:rPr>
          <w:rFonts w:ascii="Traditional Arabic" w:hAnsi="Traditional Arabic" w:cs="Traditional Arabic"/>
          <w:b/>
          <w:bCs/>
          <w:sz w:val="32"/>
          <w:szCs w:val="32"/>
          <w:lang w:bidi="ar-AE"/>
        </w:rPr>
        <w:t>:</w:t>
      </w:r>
      <w:r w:rsidRPr="00D05340">
        <w:rPr>
          <w:rFonts w:ascii="Traditional Arabic" w:hAnsi="Traditional Arabic" w:cs="Traditional Arabic"/>
          <w:b/>
          <w:bCs/>
          <w:sz w:val="32"/>
          <w:szCs w:val="32"/>
        </w:rPr>
        <w:t>H1</w:t>
      </w:r>
      <w:r w:rsidRPr="00D05340">
        <w:rPr>
          <w:rFonts w:ascii="Traditional Arabic" w:hAnsi="Traditional Arabic" w:cs="Traditional Arabic"/>
          <w:sz w:val="32"/>
          <w:szCs w:val="32"/>
          <w:rtl/>
        </w:rPr>
        <w:t xml:space="preserve"> </w:t>
      </w:r>
      <w:r w:rsidR="009D5B9E" w:rsidRPr="009D5B9E">
        <w:rPr>
          <w:rFonts w:ascii="Traditional Arabic" w:hAnsi="Traditional Arabic" w:cs="Traditional Arabic"/>
          <w:b/>
          <w:bCs/>
          <w:sz w:val="32"/>
          <w:szCs w:val="32"/>
          <w:rtl/>
        </w:rPr>
        <w:t>هناك أثر إيجابي ذو دلالة إحصائية للتخطيط الاستراتيجي للموارد البشرية على البراعة التنظيمية عند مستوى دلالة (</w:t>
      </w:r>
      <w:r w:rsidR="009D5B9E" w:rsidRPr="009D5B9E">
        <w:rPr>
          <w:rFonts w:ascii="Times New Roman" w:hAnsi="Times New Roman" w:cs="Times New Roman"/>
          <w:b/>
          <w:bCs/>
          <w:sz w:val="32"/>
          <w:szCs w:val="32"/>
        </w:rPr>
        <w:t>α</w:t>
      </w:r>
      <w:r w:rsidR="009D5B9E" w:rsidRPr="009D5B9E">
        <w:rPr>
          <w:rFonts w:ascii="Traditional Arabic" w:hAnsi="Traditional Arabic" w:cs="Traditional Arabic"/>
          <w:b/>
          <w:bCs/>
          <w:sz w:val="32"/>
          <w:szCs w:val="32"/>
        </w:rPr>
        <w:t xml:space="preserve"> </w:t>
      </w:r>
      <w:r w:rsidR="009D5B9E" w:rsidRPr="009D5B9E">
        <w:rPr>
          <w:rFonts w:ascii="Times New Roman" w:hAnsi="Times New Roman" w:cs="Times New Roman"/>
          <w:b/>
          <w:bCs/>
          <w:sz w:val="32"/>
          <w:szCs w:val="32"/>
        </w:rPr>
        <w:t>≤</w:t>
      </w:r>
      <w:r w:rsidR="009D5B9E" w:rsidRPr="009D5B9E">
        <w:rPr>
          <w:rFonts w:ascii="Traditional Arabic" w:hAnsi="Traditional Arabic" w:cs="Traditional Arabic"/>
          <w:b/>
          <w:bCs/>
          <w:sz w:val="32"/>
          <w:szCs w:val="32"/>
        </w:rPr>
        <w:t xml:space="preserve"> 0.05</w:t>
      </w:r>
      <w:r w:rsidR="009D5B9E" w:rsidRPr="009D5B9E">
        <w:rPr>
          <w:rFonts w:ascii="Traditional Arabic" w:hAnsi="Traditional Arabic" w:cs="Traditional Arabic"/>
          <w:b/>
          <w:bCs/>
          <w:sz w:val="32"/>
          <w:szCs w:val="32"/>
          <w:rtl/>
        </w:rPr>
        <w:t>).</w:t>
      </w:r>
    </w:p>
    <w:p w14:paraId="48968B3E" w14:textId="77777777" w:rsidR="004A5E36" w:rsidRDefault="004A5E36" w:rsidP="006C66D0">
      <w:pPr>
        <w:bidi/>
        <w:spacing w:after="200" w:line="360" w:lineRule="auto"/>
        <w:jc w:val="both"/>
        <w:rPr>
          <w:rFonts w:ascii="Traditional Arabic" w:hAnsi="Traditional Arabic" w:cs="Traditional Arabic"/>
          <w:sz w:val="32"/>
          <w:szCs w:val="32"/>
        </w:rPr>
      </w:pPr>
    </w:p>
    <w:p w14:paraId="585B7D00" w14:textId="5268A2D6" w:rsidR="00AD721B" w:rsidRPr="00D05340" w:rsidRDefault="00AD721B" w:rsidP="004A5E36">
      <w:pPr>
        <w:bidi/>
        <w:spacing w:after="200" w:line="360" w:lineRule="auto"/>
        <w:jc w:val="both"/>
        <w:rPr>
          <w:rFonts w:ascii="Traditional Arabic" w:hAnsi="Traditional Arabic" w:cs="Traditional Arabic"/>
          <w:sz w:val="32"/>
          <w:szCs w:val="32"/>
          <w:rtl/>
        </w:rPr>
      </w:pPr>
      <w:r w:rsidRPr="00D05340">
        <w:rPr>
          <w:rFonts w:ascii="Traditional Arabic" w:hAnsi="Traditional Arabic" w:cs="Traditional Arabic"/>
          <w:sz w:val="32"/>
          <w:szCs w:val="32"/>
          <w:rtl/>
        </w:rPr>
        <w:t>يتفرع منها كل من الفرضيات الفرعية التالية:</w:t>
      </w:r>
    </w:p>
    <w:p w14:paraId="1BCE9BCD" w14:textId="49C45C45" w:rsidR="006C66D0" w:rsidRPr="00D05340" w:rsidRDefault="006C66D0" w:rsidP="009D5B9E">
      <w:pPr>
        <w:bidi/>
        <w:spacing w:after="200" w:line="360" w:lineRule="auto"/>
        <w:jc w:val="both"/>
        <w:rPr>
          <w:rFonts w:ascii="Traditional Arabic" w:eastAsia="Times New Roman" w:hAnsi="Traditional Arabic" w:cs="Traditional Arabic"/>
          <w:sz w:val="32"/>
          <w:szCs w:val="32"/>
          <w:rtl/>
        </w:rPr>
      </w:pPr>
      <w:r w:rsidRPr="00D05340">
        <w:rPr>
          <w:rFonts w:ascii="Traditional Arabic" w:eastAsia="Times New Roman" w:hAnsi="Traditional Arabic" w:cs="Traditional Arabic"/>
          <w:sz w:val="32"/>
          <w:szCs w:val="32"/>
        </w:rPr>
        <w:lastRenderedPageBreak/>
        <w:t>:H1.1</w:t>
      </w:r>
      <w:r w:rsidR="00454375" w:rsidRPr="00D05340">
        <w:rPr>
          <w:rFonts w:ascii="Traditional Arabic" w:eastAsia="Times New Roman" w:hAnsi="Traditional Arabic" w:cs="Traditional Arabic"/>
          <w:sz w:val="32"/>
          <w:szCs w:val="32"/>
          <w:rtl/>
        </w:rPr>
        <w:t xml:space="preserve"> </w:t>
      </w:r>
      <w:r w:rsidR="009D5B9E" w:rsidRPr="009D5B9E">
        <w:rPr>
          <w:rFonts w:ascii="Traditional Arabic" w:eastAsia="Times New Roman" w:hAnsi="Traditional Arabic" w:cs="Traditional Arabic"/>
          <w:sz w:val="32"/>
          <w:szCs w:val="32"/>
          <w:rtl/>
        </w:rPr>
        <w:t>هناك أثر إيجابي ذو دلالة إحصائية لتخطيط الموارد البشرية على البراعة التنظيمية عند مستوى دلالة (</w:t>
      </w:r>
      <w:r w:rsidR="009D5B9E" w:rsidRPr="009D5B9E">
        <w:rPr>
          <w:rFonts w:ascii="Times New Roman" w:eastAsia="Times New Roman" w:hAnsi="Times New Roman" w:cs="Times New Roman"/>
          <w:sz w:val="32"/>
          <w:szCs w:val="32"/>
        </w:rPr>
        <w:t>α</w:t>
      </w:r>
      <w:r w:rsidR="009D5B9E" w:rsidRPr="009D5B9E">
        <w:rPr>
          <w:rFonts w:ascii="Traditional Arabic" w:eastAsia="Times New Roman" w:hAnsi="Traditional Arabic" w:cs="Traditional Arabic"/>
          <w:sz w:val="32"/>
          <w:szCs w:val="32"/>
        </w:rPr>
        <w:t xml:space="preserve"> </w:t>
      </w:r>
      <w:r w:rsidR="009D5B9E" w:rsidRPr="009D5B9E">
        <w:rPr>
          <w:rFonts w:ascii="Times New Roman" w:eastAsia="Times New Roman" w:hAnsi="Times New Roman" w:cs="Times New Roman"/>
          <w:sz w:val="32"/>
          <w:szCs w:val="32"/>
        </w:rPr>
        <w:t>≤</w:t>
      </w:r>
      <w:r w:rsidR="009D5B9E" w:rsidRPr="009D5B9E">
        <w:rPr>
          <w:rFonts w:ascii="Traditional Arabic" w:eastAsia="Times New Roman" w:hAnsi="Traditional Arabic" w:cs="Traditional Arabic"/>
          <w:sz w:val="32"/>
          <w:szCs w:val="32"/>
        </w:rPr>
        <w:t xml:space="preserve"> 0.05</w:t>
      </w:r>
      <w:r w:rsidR="009D5B9E" w:rsidRPr="009D5B9E">
        <w:rPr>
          <w:rFonts w:ascii="Traditional Arabic" w:eastAsia="Times New Roman" w:hAnsi="Traditional Arabic" w:cs="Traditional Arabic"/>
          <w:sz w:val="32"/>
          <w:szCs w:val="32"/>
          <w:rtl/>
        </w:rPr>
        <w:t>).</w:t>
      </w:r>
    </w:p>
    <w:p w14:paraId="71656C95" w14:textId="64E01828" w:rsidR="006C66D0" w:rsidRPr="00D05340" w:rsidRDefault="006C66D0" w:rsidP="009D5B9E">
      <w:pPr>
        <w:bidi/>
        <w:spacing w:after="200" w:line="360" w:lineRule="auto"/>
        <w:jc w:val="both"/>
        <w:rPr>
          <w:rFonts w:ascii="Traditional Arabic" w:eastAsia="Times New Roman" w:hAnsi="Traditional Arabic" w:cs="Traditional Arabic"/>
          <w:sz w:val="32"/>
          <w:szCs w:val="32"/>
          <w:rtl/>
        </w:rPr>
      </w:pPr>
      <w:r w:rsidRPr="00D05340">
        <w:rPr>
          <w:rFonts w:ascii="Traditional Arabic" w:eastAsia="Times New Roman" w:hAnsi="Traditional Arabic" w:cs="Traditional Arabic"/>
          <w:sz w:val="32"/>
          <w:szCs w:val="32"/>
        </w:rPr>
        <w:t>H1.2</w:t>
      </w:r>
      <w:r w:rsidRPr="00D05340">
        <w:rPr>
          <w:rFonts w:ascii="Traditional Arabic" w:eastAsia="Times New Roman" w:hAnsi="Traditional Arabic" w:cs="Traditional Arabic"/>
          <w:sz w:val="32"/>
          <w:szCs w:val="32"/>
          <w:rtl/>
        </w:rPr>
        <w:t xml:space="preserve"> : </w:t>
      </w:r>
      <w:r w:rsidR="009D5B9E" w:rsidRPr="009D5B9E">
        <w:rPr>
          <w:rFonts w:ascii="Traditional Arabic" w:eastAsia="Times New Roman" w:hAnsi="Traditional Arabic" w:cs="Traditional Arabic"/>
          <w:sz w:val="32"/>
          <w:szCs w:val="32"/>
          <w:rtl/>
        </w:rPr>
        <w:t>هناك أثر إيجابي ذو دلالة إحصائية لتطوير رأس المال البشري على البراعة التنظيمية عند مستوى دلالة (</w:t>
      </w:r>
      <w:r w:rsidR="009D5B9E" w:rsidRPr="009D5B9E">
        <w:rPr>
          <w:rFonts w:ascii="Times New Roman" w:eastAsia="Times New Roman" w:hAnsi="Times New Roman" w:cs="Times New Roman"/>
          <w:sz w:val="32"/>
          <w:szCs w:val="32"/>
        </w:rPr>
        <w:t>α</w:t>
      </w:r>
      <w:r w:rsidR="009D5B9E" w:rsidRPr="009D5B9E">
        <w:rPr>
          <w:rFonts w:ascii="Traditional Arabic" w:eastAsia="Times New Roman" w:hAnsi="Traditional Arabic" w:cs="Traditional Arabic"/>
          <w:sz w:val="32"/>
          <w:szCs w:val="32"/>
        </w:rPr>
        <w:t xml:space="preserve"> </w:t>
      </w:r>
      <w:r w:rsidR="009D5B9E" w:rsidRPr="009D5B9E">
        <w:rPr>
          <w:rFonts w:ascii="Times New Roman" w:eastAsia="Times New Roman" w:hAnsi="Times New Roman" w:cs="Times New Roman"/>
          <w:sz w:val="32"/>
          <w:szCs w:val="32"/>
        </w:rPr>
        <w:t>≤</w:t>
      </w:r>
      <w:r w:rsidR="009D5B9E" w:rsidRPr="009D5B9E">
        <w:rPr>
          <w:rFonts w:ascii="Traditional Arabic" w:eastAsia="Times New Roman" w:hAnsi="Traditional Arabic" w:cs="Traditional Arabic"/>
          <w:sz w:val="32"/>
          <w:szCs w:val="32"/>
        </w:rPr>
        <w:t xml:space="preserve"> 0.05</w:t>
      </w:r>
      <w:r w:rsidR="009D5B9E" w:rsidRPr="009D5B9E">
        <w:rPr>
          <w:rFonts w:ascii="Traditional Arabic" w:eastAsia="Times New Roman" w:hAnsi="Traditional Arabic" w:cs="Traditional Arabic"/>
          <w:sz w:val="32"/>
          <w:szCs w:val="32"/>
          <w:rtl/>
        </w:rPr>
        <w:t>).</w:t>
      </w:r>
    </w:p>
    <w:p w14:paraId="2E978EBC" w14:textId="199EDFCB" w:rsidR="006C66D0" w:rsidRPr="00D05340" w:rsidRDefault="006C66D0" w:rsidP="009D5B9E">
      <w:pPr>
        <w:bidi/>
        <w:spacing w:after="200" w:line="360" w:lineRule="auto"/>
        <w:jc w:val="both"/>
        <w:rPr>
          <w:rFonts w:ascii="Traditional Arabic" w:eastAsia="Times New Roman" w:hAnsi="Traditional Arabic" w:cs="Traditional Arabic"/>
          <w:sz w:val="32"/>
          <w:szCs w:val="32"/>
          <w:rtl/>
        </w:rPr>
      </w:pPr>
      <w:r w:rsidRPr="00D05340">
        <w:rPr>
          <w:rFonts w:ascii="Traditional Arabic" w:eastAsia="Times New Roman" w:hAnsi="Traditional Arabic" w:cs="Traditional Arabic"/>
          <w:sz w:val="32"/>
          <w:szCs w:val="32"/>
        </w:rPr>
        <w:t>:H1.3</w:t>
      </w:r>
      <w:r w:rsidRPr="00D05340">
        <w:rPr>
          <w:rFonts w:ascii="Traditional Arabic" w:eastAsia="Times New Roman" w:hAnsi="Traditional Arabic" w:cs="Traditional Arabic"/>
          <w:sz w:val="32"/>
          <w:szCs w:val="32"/>
          <w:rtl/>
        </w:rPr>
        <w:t xml:space="preserve"> </w:t>
      </w:r>
      <w:r w:rsidR="009D5B9E" w:rsidRPr="009D5B9E">
        <w:rPr>
          <w:rFonts w:ascii="Traditional Arabic" w:eastAsia="Times New Roman" w:hAnsi="Traditional Arabic" w:cs="Traditional Arabic"/>
          <w:sz w:val="32"/>
          <w:szCs w:val="32"/>
          <w:rtl/>
        </w:rPr>
        <w:t>هناك أثر إيجابي ذو دلالة إحصائية لتقييم الأداء على البراعة التنظيمية عند مستوى دلالة (</w:t>
      </w:r>
      <w:r w:rsidR="009D5B9E" w:rsidRPr="009D5B9E">
        <w:rPr>
          <w:rFonts w:ascii="Times New Roman" w:eastAsia="Times New Roman" w:hAnsi="Times New Roman" w:cs="Times New Roman"/>
          <w:sz w:val="32"/>
          <w:szCs w:val="32"/>
        </w:rPr>
        <w:t>α</w:t>
      </w:r>
      <w:r w:rsidR="009D5B9E" w:rsidRPr="009D5B9E">
        <w:rPr>
          <w:rFonts w:ascii="Traditional Arabic" w:eastAsia="Times New Roman" w:hAnsi="Traditional Arabic" w:cs="Traditional Arabic"/>
          <w:sz w:val="32"/>
          <w:szCs w:val="32"/>
        </w:rPr>
        <w:t xml:space="preserve"> </w:t>
      </w:r>
      <w:r w:rsidR="009D5B9E" w:rsidRPr="009D5B9E">
        <w:rPr>
          <w:rFonts w:ascii="Times New Roman" w:eastAsia="Times New Roman" w:hAnsi="Times New Roman" w:cs="Times New Roman"/>
          <w:sz w:val="32"/>
          <w:szCs w:val="32"/>
        </w:rPr>
        <w:t>≤</w:t>
      </w:r>
      <w:r w:rsidR="009D5B9E" w:rsidRPr="009D5B9E">
        <w:rPr>
          <w:rFonts w:ascii="Traditional Arabic" w:eastAsia="Times New Roman" w:hAnsi="Traditional Arabic" w:cs="Traditional Arabic"/>
          <w:sz w:val="32"/>
          <w:szCs w:val="32"/>
        </w:rPr>
        <w:t xml:space="preserve"> 0.05).</w:t>
      </w:r>
      <w:r w:rsidRPr="00D05340">
        <w:rPr>
          <w:rFonts w:ascii="Traditional Arabic" w:eastAsia="Times New Roman" w:hAnsi="Traditional Arabic" w:cs="Traditional Arabic"/>
          <w:sz w:val="32"/>
          <w:szCs w:val="32"/>
        </w:rPr>
        <w:t>.</w:t>
      </w:r>
    </w:p>
    <w:p w14:paraId="7B7253B8" w14:textId="690C75F0" w:rsidR="006C66D0" w:rsidRPr="00D05340" w:rsidRDefault="006C66D0" w:rsidP="009D5B9E">
      <w:pPr>
        <w:bidi/>
        <w:spacing w:after="200" w:line="360" w:lineRule="auto"/>
        <w:jc w:val="both"/>
        <w:rPr>
          <w:rFonts w:ascii="Traditional Arabic" w:eastAsia="Times New Roman" w:hAnsi="Traditional Arabic" w:cs="Traditional Arabic"/>
          <w:sz w:val="32"/>
          <w:szCs w:val="32"/>
          <w:rtl/>
        </w:rPr>
      </w:pPr>
      <w:r w:rsidRPr="00D05340">
        <w:rPr>
          <w:rFonts w:ascii="Traditional Arabic" w:eastAsia="Times New Roman" w:hAnsi="Traditional Arabic" w:cs="Traditional Arabic"/>
          <w:sz w:val="32"/>
          <w:szCs w:val="32"/>
        </w:rPr>
        <w:t>:H1.4</w:t>
      </w:r>
      <w:r w:rsidRPr="00D05340">
        <w:rPr>
          <w:rFonts w:ascii="Traditional Arabic" w:eastAsia="Times New Roman" w:hAnsi="Traditional Arabic" w:cs="Traditional Arabic"/>
          <w:sz w:val="32"/>
          <w:szCs w:val="32"/>
          <w:rtl/>
        </w:rPr>
        <w:t xml:space="preserve"> </w:t>
      </w:r>
      <w:r w:rsidR="009D5B9E" w:rsidRPr="009D5B9E">
        <w:rPr>
          <w:rFonts w:ascii="Traditional Arabic" w:eastAsia="Times New Roman" w:hAnsi="Traditional Arabic" w:cs="Traditional Arabic"/>
          <w:sz w:val="32"/>
          <w:szCs w:val="32"/>
          <w:rtl/>
        </w:rPr>
        <w:t>هناك أثر إيجابي ذو دلالة إحصائية لصيانة الموارد البشرية على البراعة التنظيمية عند مستوى دلالة (</w:t>
      </w:r>
      <w:r w:rsidR="009D5B9E" w:rsidRPr="009D5B9E">
        <w:rPr>
          <w:rFonts w:ascii="Times New Roman" w:eastAsia="Times New Roman" w:hAnsi="Times New Roman" w:cs="Times New Roman"/>
          <w:sz w:val="32"/>
          <w:szCs w:val="32"/>
        </w:rPr>
        <w:t>α</w:t>
      </w:r>
      <w:r w:rsidR="009D5B9E" w:rsidRPr="009D5B9E">
        <w:rPr>
          <w:rFonts w:ascii="Traditional Arabic" w:eastAsia="Times New Roman" w:hAnsi="Traditional Arabic" w:cs="Traditional Arabic"/>
          <w:sz w:val="32"/>
          <w:szCs w:val="32"/>
        </w:rPr>
        <w:t xml:space="preserve"> </w:t>
      </w:r>
      <w:r w:rsidR="009D5B9E" w:rsidRPr="009D5B9E">
        <w:rPr>
          <w:rFonts w:ascii="Times New Roman" w:eastAsia="Times New Roman" w:hAnsi="Times New Roman" w:cs="Times New Roman"/>
          <w:sz w:val="32"/>
          <w:szCs w:val="32"/>
        </w:rPr>
        <w:t>≤</w:t>
      </w:r>
      <w:r w:rsidR="009D5B9E" w:rsidRPr="009D5B9E">
        <w:rPr>
          <w:rFonts w:ascii="Traditional Arabic" w:eastAsia="Times New Roman" w:hAnsi="Traditional Arabic" w:cs="Traditional Arabic"/>
          <w:sz w:val="32"/>
          <w:szCs w:val="32"/>
        </w:rPr>
        <w:t xml:space="preserve"> 0.05</w:t>
      </w:r>
      <w:r w:rsidR="009D5B9E" w:rsidRPr="009D5B9E">
        <w:rPr>
          <w:rFonts w:ascii="Traditional Arabic" w:eastAsia="Times New Roman" w:hAnsi="Traditional Arabic" w:cs="Traditional Arabic"/>
          <w:sz w:val="32"/>
          <w:szCs w:val="32"/>
          <w:rtl/>
        </w:rPr>
        <w:t>).</w:t>
      </w:r>
    </w:p>
    <w:p w14:paraId="551237C1" w14:textId="36F1D5DC" w:rsidR="004A5E36" w:rsidRDefault="006C66D0" w:rsidP="004A5E36">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Pr>
        <w:t>H1.5</w:t>
      </w:r>
      <w:r w:rsidRPr="00D05340">
        <w:rPr>
          <w:rFonts w:ascii="Traditional Arabic" w:eastAsia="Times New Roman" w:hAnsi="Traditional Arabic" w:cs="Traditional Arabic"/>
          <w:sz w:val="32"/>
          <w:szCs w:val="32"/>
          <w:rtl/>
        </w:rPr>
        <w:t xml:space="preserve">: </w:t>
      </w:r>
      <w:r w:rsidR="009D5B9E" w:rsidRPr="009D5B9E">
        <w:rPr>
          <w:rFonts w:ascii="Traditional Arabic" w:eastAsia="Times New Roman" w:hAnsi="Traditional Arabic" w:cs="Traditional Arabic"/>
          <w:sz w:val="32"/>
          <w:szCs w:val="32"/>
          <w:rtl/>
        </w:rPr>
        <w:t>هناك أثر إيجابي ذو دلالة إحصائية لتطوير الكفاءات على البراعة التنظيمية عند مستوى دلالة (</w:t>
      </w:r>
      <w:r w:rsidR="009D5B9E" w:rsidRPr="009D5B9E">
        <w:rPr>
          <w:rFonts w:ascii="Times New Roman" w:eastAsia="Times New Roman" w:hAnsi="Times New Roman" w:cs="Times New Roman"/>
          <w:sz w:val="32"/>
          <w:szCs w:val="32"/>
        </w:rPr>
        <w:t>α</w:t>
      </w:r>
      <w:r w:rsidR="009D5B9E" w:rsidRPr="009D5B9E">
        <w:rPr>
          <w:rFonts w:ascii="Traditional Arabic" w:eastAsia="Times New Roman" w:hAnsi="Traditional Arabic" w:cs="Traditional Arabic"/>
          <w:sz w:val="32"/>
          <w:szCs w:val="32"/>
        </w:rPr>
        <w:t xml:space="preserve"> </w:t>
      </w:r>
      <w:r w:rsidR="009D5B9E" w:rsidRPr="009D5B9E">
        <w:rPr>
          <w:rFonts w:ascii="Times New Roman" w:eastAsia="Times New Roman" w:hAnsi="Times New Roman" w:cs="Times New Roman"/>
          <w:sz w:val="32"/>
          <w:szCs w:val="32"/>
        </w:rPr>
        <w:t>≤</w:t>
      </w:r>
      <w:r w:rsidR="009D5B9E" w:rsidRPr="009D5B9E">
        <w:rPr>
          <w:rFonts w:ascii="Traditional Arabic" w:eastAsia="Times New Roman" w:hAnsi="Traditional Arabic" w:cs="Traditional Arabic"/>
          <w:sz w:val="32"/>
          <w:szCs w:val="32"/>
        </w:rPr>
        <w:t xml:space="preserve"> 0.05</w:t>
      </w:r>
      <w:r w:rsidR="009D5B9E" w:rsidRPr="009D5B9E">
        <w:rPr>
          <w:rFonts w:ascii="Traditional Arabic" w:eastAsia="Times New Roman" w:hAnsi="Traditional Arabic" w:cs="Traditional Arabic"/>
          <w:sz w:val="32"/>
          <w:szCs w:val="32"/>
          <w:rtl/>
        </w:rPr>
        <w:t>)</w:t>
      </w:r>
      <w:r w:rsidRPr="00D05340">
        <w:rPr>
          <w:rFonts w:ascii="Traditional Arabic" w:eastAsia="Times New Roman" w:hAnsi="Traditional Arabic" w:cs="Traditional Arabic"/>
          <w:sz w:val="32"/>
          <w:szCs w:val="32"/>
          <w:rtl/>
        </w:rPr>
        <w:t>.</w:t>
      </w:r>
    </w:p>
    <w:p w14:paraId="133BD95E" w14:textId="77777777" w:rsidR="004A5E36" w:rsidRDefault="004A5E36" w:rsidP="004A5E36">
      <w:pPr>
        <w:bidi/>
        <w:spacing w:after="200" w:line="360" w:lineRule="auto"/>
        <w:jc w:val="both"/>
        <w:rPr>
          <w:rFonts w:ascii="Traditional Arabic" w:eastAsia="Times New Roman" w:hAnsi="Traditional Arabic" w:cs="Traditional Arabic"/>
          <w:sz w:val="32"/>
          <w:szCs w:val="32"/>
        </w:rPr>
      </w:pPr>
    </w:p>
    <w:p w14:paraId="1C69E300" w14:textId="77777777" w:rsidR="004A5E36" w:rsidRDefault="004A5E36" w:rsidP="004A5E36">
      <w:pPr>
        <w:bidi/>
        <w:spacing w:after="200" w:line="360" w:lineRule="auto"/>
        <w:jc w:val="both"/>
        <w:rPr>
          <w:rFonts w:ascii="Traditional Arabic" w:eastAsia="Times New Roman" w:hAnsi="Traditional Arabic" w:cs="Traditional Arabic"/>
          <w:sz w:val="32"/>
          <w:szCs w:val="32"/>
        </w:rPr>
      </w:pPr>
    </w:p>
    <w:p w14:paraId="2536351E" w14:textId="77777777" w:rsidR="004A5E36" w:rsidRDefault="004A5E36" w:rsidP="004A5E36">
      <w:pPr>
        <w:bidi/>
        <w:spacing w:after="200" w:line="360" w:lineRule="auto"/>
        <w:jc w:val="both"/>
        <w:rPr>
          <w:rFonts w:ascii="Traditional Arabic" w:eastAsia="Times New Roman" w:hAnsi="Traditional Arabic" w:cs="Traditional Arabic"/>
          <w:sz w:val="32"/>
          <w:szCs w:val="32"/>
        </w:rPr>
      </w:pPr>
    </w:p>
    <w:p w14:paraId="2BA089A1" w14:textId="77777777" w:rsidR="004A5E36" w:rsidRDefault="004A5E36" w:rsidP="004A5E36">
      <w:pPr>
        <w:bidi/>
        <w:spacing w:after="200" w:line="360" w:lineRule="auto"/>
        <w:jc w:val="both"/>
        <w:rPr>
          <w:rFonts w:ascii="Traditional Arabic" w:eastAsia="Times New Roman" w:hAnsi="Traditional Arabic" w:cs="Traditional Arabic"/>
          <w:sz w:val="32"/>
          <w:szCs w:val="32"/>
        </w:rPr>
      </w:pPr>
    </w:p>
    <w:p w14:paraId="48CCB523" w14:textId="77777777" w:rsidR="004A5E36" w:rsidRPr="00C923DD" w:rsidRDefault="004A5E36" w:rsidP="004A5E36">
      <w:pPr>
        <w:bidi/>
        <w:spacing w:after="200" w:line="360" w:lineRule="auto"/>
        <w:jc w:val="both"/>
        <w:rPr>
          <w:rFonts w:ascii="Traditional Arabic" w:eastAsia="Times New Roman" w:hAnsi="Traditional Arabic" w:cs="Traditional Arabic"/>
          <w:sz w:val="32"/>
          <w:szCs w:val="32"/>
        </w:rPr>
      </w:pPr>
    </w:p>
    <w:p w14:paraId="761B88B2" w14:textId="77777777" w:rsidR="004A5E36" w:rsidRPr="00B62BCE" w:rsidRDefault="004A5E36" w:rsidP="004A5E36">
      <w:pPr>
        <w:bidi/>
        <w:spacing w:after="200" w:line="360" w:lineRule="auto"/>
        <w:jc w:val="both"/>
        <w:rPr>
          <w:rFonts w:ascii="Traditional Arabic" w:eastAsia="Times New Roman" w:hAnsi="Traditional Arabic" w:cs="Traditional Arabic"/>
          <w:sz w:val="32"/>
          <w:szCs w:val="32"/>
          <w:rtl/>
        </w:rPr>
      </w:pPr>
    </w:p>
    <w:p w14:paraId="2655F583" w14:textId="1EC2C1DF" w:rsidR="00F27EBE" w:rsidRDefault="000755B1" w:rsidP="006A16C7">
      <w:pPr>
        <w:bidi/>
        <w:spacing w:after="200" w:line="360" w:lineRule="auto"/>
        <w:jc w:val="both"/>
        <w:rPr>
          <w:rFonts w:ascii="Traditional Arabic" w:hAnsi="Traditional Arabic" w:cs="Traditional Arabic"/>
          <w:b/>
          <w:bCs/>
          <w:color w:val="00B0F0"/>
          <w:sz w:val="32"/>
          <w:szCs w:val="32"/>
          <w:u w:val="single"/>
          <w:rtl/>
        </w:rPr>
      </w:pPr>
      <w:r>
        <w:rPr>
          <w:rFonts w:ascii="Traditional Arabic" w:hAnsi="Traditional Arabic" w:cs="Traditional Arabic" w:hint="cs"/>
          <w:b/>
          <w:bCs/>
          <w:color w:val="00B0F0"/>
          <w:sz w:val="32"/>
          <w:szCs w:val="32"/>
          <w:u w:val="single"/>
          <w:rtl/>
        </w:rPr>
        <w:lastRenderedPageBreak/>
        <w:t>ن</w:t>
      </w:r>
      <w:r w:rsidR="00AD783C" w:rsidRPr="00D05340">
        <w:rPr>
          <w:rFonts w:ascii="Traditional Arabic" w:hAnsi="Traditional Arabic" w:cs="Traditional Arabic"/>
          <w:b/>
          <w:bCs/>
          <w:color w:val="00B0F0"/>
          <w:sz w:val="32"/>
          <w:szCs w:val="32"/>
          <w:u w:val="single"/>
          <w:rtl/>
        </w:rPr>
        <w:t>مو</w:t>
      </w:r>
      <w:r>
        <w:rPr>
          <w:rFonts w:ascii="Traditional Arabic" w:hAnsi="Traditional Arabic" w:cs="Traditional Arabic" w:hint="cs"/>
          <w:b/>
          <w:bCs/>
          <w:color w:val="00B0F0"/>
          <w:sz w:val="32"/>
          <w:szCs w:val="32"/>
          <w:u w:val="single"/>
          <w:rtl/>
        </w:rPr>
        <w:t>ذ</w:t>
      </w:r>
      <w:r w:rsidR="00AD783C" w:rsidRPr="00D05340">
        <w:rPr>
          <w:rFonts w:ascii="Traditional Arabic" w:hAnsi="Traditional Arabic" w:cs="Traditional Arabic"/>
          <w:b/>
          <w:bCs/>
          <w:color w:val="00B0F0"/>
          <w:sz w:val="32"/>
          <w:szCs w:val="32"/>
          <w:u w:val="single"/>
          <w:rtl/>
        </w:rPr>
        <w:t>ج الدراسة</w:t>
      </w:r>
    </w:p>
    <w:p w14:paraId="2DAE1D06" w14:textId="43D3C93E" w:rsidR="006A16C7" w:rsidRDefault="006A16C7" w:rsidP="006A16C7">
      <w:pPr>
        <w:bidi/>
        <w:spacing w:after="200" w:line="360" w:lineRule="auto"/>
        <w:jc w:val="center"/>
        <w:rPr>
          <w:rFonts w:ascii="Traditional Arabic" w:hAnsi="Traditional Arabic" w:cs="Traditional Arabic"/>
          <w:sz w:val="28"/>
          <w:szCs w:val="28"/>
          <w:rtl/>
        </w:rPr>
      </w:pPr>
    </w:p>
    <w:p w14:paraId="0B9C2F06" w14:textId="2A624DB6" w:rsidR="006A16C7" w:rsidRDefault="000755B1" w:rsidP="006A16C7">
      <w:pPr>
        <w:bidi/>
        <w:spacing w:after="200" w:line="360" w:lineRule="auto"/>
        <w:jc w:val="center"/>
        <w:rPr>
          <w:rFonts w:ascii="Traditional Arabic" w:hAnsi="Traditional Arabic" w:cs="Traditional Arabic"/>
          <w:sz w:val="28"/>
          <w:szCs w:val="28"/>
          <w:rtl/>
        </w:rPr>
      </w:pPr>
      <w:r>
        <w:rPr>
          <w:noProof/>
        </w:rPr>
        <mc:AlternateContent>
          <mc:Choice Requires="wpg">
            <w:drawing>
              <wp:anchor distT="0" distB="0" distL="114300" distR="114300" simplePos="0" relativeHeight="251661824" behindDoc="0" locked="0" layoutInCell="1" allowOverlap="1" wp14:anchorId="184C0B19" wp14:editId="3852789A">
                <wp:simplePos x="0" y="0"/>
                <wp:positionH relativeFrom="column">
                  <wp:posOffset>76200</wp:posOffset>
                </wp:positionH>
                <wp:positionV relativeFrom="paragraph">
                  <wp:posOffset>68580</wp:posOffset>
                </wp:positionV>
                <wp:extent cx="5349240" cy="2739390"/>
                <wp:effectExtent l="0" t="0" r="22860" b="22860"/>
                <wp:wrapNone/>
                <wp:docPr id="2024668141" name="مجموعة 2024668141"/>
                <wp:cNvGraphicFramePr/>
                <a:graphic xmlns:a="http://schemas.openxmlformats.org/drawingml/2006/main">
                  <a:graphicData uri="http://schemas.microsoft.com/office/word/2010/wordprocessingGroup">
                    <wpg:wgp>
                      <wpg:cNvGrpSpPr/>
                      <wpg:grpSpPr>
                        <a:xfrm>
                          <a:off x="0" y="0"/>
                          <a:ext cx="5349240" cy="2739390"/>
                          <a:chOff x="0" y="0"/>
                          <a:chExt cx="5349240" cy="2739390"/>
                        </a:xfrm>
                      </wpg:grpSpPr>
                      <wpg:grpSp>
                        <wpg:cNvPr id="2024668142" name="مجموعة 2024668142"/>
                        <wpg:cNvGrpSpPr/>
                        <wpg:grpSpPr>
                          <a:xfrm>
                            <a:off x="0" y="0"/>
                            <a:ext cx="5349240" cy="2739390"/>
                            <a:chOff x="0" y="0"/>
                            <a:chExt cx="5349240" cy="2739390"/>
                          </a:xfrm>
                        </wpg:grpSpPr>
                        <wps:wsp>
                          <wps:cNvPr id="2024668144" name="مستطيل 2024668144"/>
                          <wps:cNvSpPr/>
                          <wps:spPr>
                            <a:xfrm>
                              <a:off x="3314700" y="285750"/>
                              <a:ext cx="2034540" cy="2453640"/>
                            </a:xfrm>
                            <a:prstGeom prst="rect">
                              <a:avLst/>
                            </a:prstGeom>
                          </wps:spPr>
                          <wps:style>
                            <a:lnRef idx="2">
                              <a:schemeClr val="dk1"/>
                            </a:lnRef>
                            <a:fillRef idx="1">
                              <a:schemeClr val="lt1"/>
                            </a:fillRef>
                            <a:effectRef idx="0">
                              <a:schemeClr val="dk1"/>
                            </a:effectRef>
                            <a:fontRef idx="minor">
                              <a:schemeClr val="dk1"/>
                            </a:fontRef>
                          </wps:style>
                          <wps:txbx>
                            <w:txbxContent>
                              <w:p w14:paraId="749468F6" w14:textId="77777777" w:rsidR="00C41CBC" w:rsidRPr="006179AE" w:rsidRDefault="00C41CBC" w:rsidP="000755B1">
                                <w:pPr>
                                  <w:jc w:val="center"/>
                                  <w:rPr>
                                    <w:rFonts w:asciiTheme="majorBidi" w:hAnsiTheme="majorBidi" w:cstheme="majorBidi"/>
                                    <w:b/>
                                    <w:bCs/>
                                    <w:sz w:val="28"/>
                                    <w:szCs w:val="28"/>
                                    <w:rtl/>
                                  </w:rPr>
                                </w:pPr>
                                <w:r w:rsidRPr="006179AE">
                                  <w:rPr>
                                    <w:rFonts w:asciiTheme="majorBidi" w:hAnsiTheme="majorBidi" w:cstheme="majorBidi"/>
                                    <w:b/>
                                    <w:bCs/>
                                    <w:sz w:val="28"/>
                                    <w:szCs w:val="28"/>
                                    <w:rtl/>
                                  </w:rPr>
                                  <w:t>ممارسات إدارة الموارد البشرية الاستراتيجية</w:t>
                                </w:r>
                              </w:p>
                              <w:p w14:paraId="7C8B97A1" w14:textId="77777777" w:rsidR="00C41CBC"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heme="majorBidi" w:hAnsiTheme="majorBidi" w:cstheme="majorBidi"/>
                                    <w:sz w:val="24"/>
                                    <w:szCs w:val="24"/>
                                    <w:rtl/>
                                  </w:rPr>
                                  <w:t>تخطيط الموارد البشرية</w:t>
                                </w:r>
                              </w:p>
                              <w:p w14:paraId="1244FBD8" w14:textId="77777777" w:rsidR="00C41CBC"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heme="majorBidi" w:hAnsiTheme="majorBidi" w:cstheme="majorBidi"/>
                                    <w:sz w:val="24"/>
                                    <w:szCs w:val="24"/>
                                    <w:rtl/>
                                  </w:rPr>
                                  <w:t>تطوير رأس المال البشري</w:t>
                                </w:r>
                              </w:p>
                              <w:p w14:paraId="7B7E46C9" w14:textId="77777777" w:rsidR="00C41CBC" w:rsidRPr="006179AE"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imes New Roman" w:eastAsia="Times New Roman" w:hAnsi="Symbol" w:cs="Times New Roman"/>
                                    <w:sz w:val="24"/>
                                    <w:szCs w:val="24"/>
                                    <w:rtl/>
                                  </w:rPr>
                                  <w:t>تقييم الأداء</w:t>
                                </w:r>
                              </w:p>
                              <w:p w14:paraId="366E8B80" w14:textId="77777777" w:rsidR="00C41CBC" w:rsidRPr="006179AE"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imes New Roman" w:eastAsia="Times New Roman" w:hAnsi="Symbol" w:cs="Times New Roman"/>
                                    <w:sz w:val="24"/>
                                    <w:szCs w:val="24"/>
                                    <w:rtl/>
                                  </w:rPr>
                                  <w:t>صيانة الموارد البشرية</w:t>
                                </w:r>
                              </w:p>
                              <w:p w14:paraId="49EA785A" w14:textId="77777777" w:rsidR="00C41CBC" w:rsidRPr="006179AE"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imes New Roman" w:eastAsia="Times New Roman" w:hAnsi="Symbol" w:cs="Times New Roman"/>
                                    <w:sz w:val="24"/>
                                    <w:szCs w:val="24"/>
                                    <w:rtl/>
                                  </w:rPr>
                                  <w:t>تطوير الكفاءات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4668145" name="مستطيل 2024668145"/>
                          <wps:cNvSpPr/>
                          <wps:spPr>
                            <a:xfrm>
                              <a:off x="0" y="285750"/>
                              <a:ext cx="1682750" cy="2453640"/>
                            </a:xfrm>
                            <a:prstGeom prst="rect">
                              <a:avLst/>
                            </a:prstGeom>
                          </wps:spPr>
                          <wps:style>
                            <a:lnRef idx="2">
                              <a:schemeClr val="dk1"/>
                            </a:lnRef>
                            <a:fillRef idx="1">
                              <a:schemeClr val="lt1"/>
                            </a:fillRef>
                            <a:effectRef idx="0">
                              <a:schemeClr val="dk1"/>
                            </a:effectRef>
                            <a:fontRef idx="minor">
                              <a:schemeClr val="dk1"/>
                            </a:fontRef>
                          </wps:style>
                          <wps:txbx>
                            <w:txbxContent>
                              <w:p w14:paraId="43180025" w14:textId="77777777" w:rsidR="00C41CBC" w:rsidRPr="006179AE" w:rsidRDefault="00C41CBC" w:rsidP="000755B1">
                                <w:pPr>
                                  <w:bidi/>
                                  <w:jc w:val="center"/>
                                  <w:rPr>
                                    <w:rFonts w:asciiTheme="majorBidi" w:hAnsiTheme="majorBidi" w:cstheme="majorBidi"/>
                                    <w:b/>
                                    <w:bCs/>
                                    <w:sz w:val="28"/>
                                    <w:szCs w:val="28"/>
                                    <w:rtl/>
                                  </w:rPr>
                                </w:pPr>
                                <w:r w:rsidRPr="006179AE">
                                  <w:rPr>
                                    <w:rFonts w:asciiTheme="majorBidi" w:hAnsiTheme="majorBidi" w:cstheme="majorBidi"/>
                                    <w:b/>
                                    <w:bCs/>
                                    <w:sz w:val="28"/>
                                    <w:szCs w:val="28"/>
                                    <w:rtl/>
                                  </w:rPr>
                                  <w:t>البراعة التنظيمية</w:t>
                                </w:r>
                              </w:p>
                              <w:p w14:paraId="0ACA510E" w14:textId="77777777" w:rsidR="00C41CBC" w:rsidRPr="006179AE" w:rsidRDefault="00C41CBC" w:rsidP="000755B1">
                                <w:pPr>
                                  <w:pStyle w:val="a3"/>
                                  <w:numPr>
                                    <w:ilvl w:val="0"/>
                                    <w:numId w:val="29"/>
                                  </w:numPr>
                                  <w:bidi/>
                                  <w:spacing w:after="200" w:line="480" w:lineRule="auto"/>
                                  <w:rPr>
                                    <w:rFonts w:asciiTheme="majorBidi" w:hAnsiTheme="majorBidi" w:cstheme="majorBidi"/>
                                    <w:sz w:val="24"/>
                                    <w:szCs w:val="24"/>
                                    <w:lang w:bidi="ar-JO"/>
                                  </w:rPr>
                                </w:pPr>
                                <w:r w:rsidRPr="006179AE">
                                  <w:rPr>
                                    <w:rFonts w:asciiTheme="majorBidi" w:hAnsiTheme="majorBidi" w:cstheme="majorBidi" w:hint="cs"/>
                                    <w:sz w:val="24"/>
                                    <w:szCs w:val="24"/>
                                    <w:rtl/>
                                    <w:lang w:bidi="ar-JO"/>
                                  </w:rPr>
                                  <w:t>المرونة</w:t>
                                </w:r>
                              </w:p>
                              <w:p w14:paraId="0E942FC0" w14:textId="77777777" w:rsidR="00C41CBC" w:rsidRPr="006179AE" w:rsidRDefault="00C41CBC" w:rsidP="000755B1">
                                <w:pPr>
                                  <w:pStyle w:val="a3"/>
                                  <w:numPr>
                                    <w:ilvl w:val="0"/>
                                    <w:numId w:val="29"/>
                                  </w:numPr>
                                  <w:bidi/>
                                  <w:spacing w:after="200" w:line="480" w:lineRule="auto"/>
                                  <w:rPr>
                                    <w:rFonts w:asciiTheme="majorBidi" w:hAnsiTheme="majorBidi" w:cstheme="majorBidi"/>
                                    <w:sz w:val="24"/>
                                    <w:szCs w:val="24"/>
                                    <w:lang w:bidi="ar-JO"/>
                                  </w:rPr>
                                </w:pPr>
                                <w:r w:rsidRPr="006179AE">
                                  <w:rPr>
                                    <w:rFonts w:asciiTheme="majorBidi" w:hAnsiTheme="majorBidi" w:cstheme="majorBidi" w:hint="cs"/>
                                    <w:sz w:val="24"/>
                                    <w:szCs w:val="24"/>
                                    <w:rtl/>
                                    <w:lang w:bidi="ar-JO"/>
                                  </w:rPr>
                                  <w:t>التكيف</w:t>
                                </w:r>
                              </w:p>
                              <w:p w14:paraId="65F88BED" w14:textId="77777777" w:rsidR="00C41CBC" w:rsidRPr="006179AE" w:rsidRDefault="00C41CBC" w:rsidP="000755B1">
                                <w:pPr>
                                  <w:pStyle w:val="a3"/>
                                  <w:numPr>
                                    <w:ilvl w:val="0"/>
                                    <w:numId w:val="29"/>
                                  </w:numPr>
                                  <w:bidi/>
                                  <w:spacing w:after="200" w:line="480" w:lineRule="auto"/>
                                  <w:rPr>
                                    <w:rFonts w:asciiTheme="majorBidi" w:hAnsiTheme="majorBidi" w:cstheme="majorBidi"/>
                                    <w:sz w:val="24"/>
                                    <w:szCs w:val="24"/>
                                    <w:lang w:bidi="ar-JO"/>
                                  </w:rPr>
                                </w:pPr>
                                <w:r w:rsidRPr="006179AE">
                                  <w:rPr>
                                    <w:rFonts w:asciiTheme="majorBidi" w:hAnsiTheme="majorBidi" w:cstheme="majorBidi" w:hint="cs"/>
                                    <w:sz w:val="24"/>
                                    <w:szCs w:val="24"/>
                                    <w:rtl/>
                                    <w:lang w:bidi="ar-JO"/>
                                  </w:rPr>
                                  <w:t>سرعة الاستجابة</w:t>
                                </w:r>
                              </w:p>
                              <w:p w14:paraId="0B1CDF43" w14:textId="77777777" w:rsidR="00C41CBC" w:rsidRPr="006179AE" w:rsidRDefault="00C41CBC" w:rsidP="000755B1">
                                <w:pPr>
                                  <w:pStyle w:val="a3"/>
                                  <w:numPr>
                                    <w:ilvl w:val="0"/>
                                    <w:numId w:val="29"/>
                                  </w:numPr>
                                  <w:bidi/>
                                  <w:spacing w:after="200" w:line="480" w:lineRule="auto"/>
                                  <w:rPr>
                                    <w:rFonts w:asciiTheme="majorBidi" w:hAnsiTheme="majorBidi" w:cstheme="majorBidi"/>
                                    <w:sz w:val="24"/>
                                    <w:szCs w:val="24"/>
                                    <w:rtl/>
                                    <w:lang w:bidi="ar-JO"/>
                                  </w:rPr>
                                </w:pPr>
                                <w:r w:rsidRPr="006179AE">
                                  <w:rPr>
                                    <w:rFonts w:asciiTheme="majorBidi" w:hAnsiTheme="majorBidi" w:cstheme="majorBidi" w:hint="cs"/>
                                    <w:sz w:val="24"/>
                                    <w:szCs w:val="24"/>
                                    <w:rtl/>
                                    <w:lang w:bidi="ar-JO"/>
                                  </w:rPr>
                                  <w:t>الابتكار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4668146" name="رابط كسهم مستقيم 2024668146"/>
                          <wps:cNvCnPr/>
                          <wps:spPr>
                            <a:xfrm flipH="1" flipV="1">
                              <a:off x="1685925" y="381000"/>
                              <a:ext cx="1635125" cy="254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wps:wsp>
                          <wps:cNvPr id="2024668147" name="Oval 2024668143"/>
                          <wps:cNvSpPr/>
                          <wps:spPr>
                            <a:xfrm>
                              <a:off x="2266950" y="0"/>
                              <a:ext cx="624840" cy="350520"/>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6DADD0D9" w14:textId="77777777" w:rsidR="00C41CBC" w:rsidRPr="000C6E91" w:rsidRDefault="00C41CBC" w:rsidP="000755B1">
                                <w:pPr>
                                  <w:rPr>
                                    <w:rFonts w:ascii="Times New Roman" w:hAnsi="Times New Roman" w:cs="Times New Roman"/>
                                    <w:lang w:bidi="ar-JO"/>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Pr="00564C77">
                                  <w:rPr>
                                    <w:rFonts w:ascii="Times New Roman" w:hAnsi="Times New Roman" w:cs="Times New Roman" w:hint="cs"/>
                                    <w:b/>
                                    <w:bCs/>
                                    <w:rtl/>
                                    <w:lang w:bidi="ar-JO"/>
                                    <w14:textOutline w14:w="9525" w14:cap="rnd" w14:cmpd="sng" w14:algn="ctr">
                                      <w14:solidFill>
                                        <w14:srgbClr w14:val="000000"/>
                                      </w14:solidFill>
                                      <w14:prstDash w14:val="solid"/>
                                      <w14:bevel/>
                                    </w14:textOutline>
                                  </w:rPr>
                                  <w:t>1</w:t>
                                </w:r>
                                <w:r w:rsidRPr="000C6E91">
                                  <w:rPr>
                                    <w:rFonts w:ascii="Times New Roman" w:hAnsi="Times New Roman" w:cs="Times New Roman" w:hint="cs"/>
                                    <w:rtl/>
                                    <w:lang w:bidi="ar-JO"/>
                                    <w14:textOutline w14:w="9525" w14:cap="rnd" w14:cmpd="sng" w14:algn="ctr">
                                      <w14:solidFill>
                                        <w14:srgbClr w14:val="000000"/>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24668148" name="مجموعة 2024668148"/>
                        <wpg:cNvGrpSpPr/>
                        <wpg:grpSpPr>
                          <a:xfrm>
                            <a:off x="1685925" y="752475"/>
                            <a:ext cx="2520950" cy="1733550"/>
                            <a:chOff x="0" y="0"/>
                            <a:chExt cx="2520950" cy="1733550"/>
                          </a:xfrm>
                        </wpg:grpSpPr>
                        <wps:wsp>
                          <wps:cNvPr id="2024668149" name="رابط كسهم مستقيم 2024668149"/>
                          <wps:cNvCnPr/>
                          <wps:spPr>
                            <a:xfrm flipH="1">
                              <a:off x="0" y="295275"/>
                              <a:ext cx="191071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024668150" name="رابط كسهم مستقيم 2024668150"/>
                          <wps:cNvCnPr/>
                          <wps:spPr>
                            <a:xfrm flipH="1">
                              <a:off x="0" y="657225"/>
                              <a:ext cx="1811020" cy="508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024668151" name="رابط كسهم مستقيم 2024668151"/>
                          <wps:cNvCnPr/>
                          <wps:spPr>
                            <a:xfrm flipH="1" flipV="1">
                              <a:off x="0" y="1019175"/>
                              <a:ext cx="2520950" cy="1206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024668152" name="رابط كسهم مستقيم 2024668152"/>
                          <wps:cNvCnPr/>
                          <wps:spPr>
                            <a:xfrm flipH="1">
                              <a:off x="0" y="1381125"/>
                              <a:ext cx="190881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024668153" name="Oval 2024668143"/>
                          <wps:cNvSpPr/>
                          <wps:spPr>
                            <a:xfrm>
                              <a:off x="1038225" y="0"/>
                              <a:ext cx="561975" cy="283845"/>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403207EC"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4668154" name="Oval 2024668143"/>
                          <wps:cNvSpPr/>
                          <wps:spPr>
                            <a:xfrm>
                              <a:off x="790575" y="333375"/>
                              <a:ext cx="624840" cy="289560"/>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5A66C292"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4668155" name="Oval 2024668143"/>
                          <wps:cNvSpPr/>
                          <wps:spPr>
                            <a:xfrm>
                              <a:off x="466725" y="714375"/>
                              <a:ext cx="624840" cy="289560"/>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33435313"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4668156" name="Oval 2024668143"/>
                          <wps:cNvSpPr/>
                          <wps:spPr>
                            <a:xfrm>
                              <a:off x="209550" y="1076325"/>
                              <a:ext cx="609600" cy="289560"/>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38D6D94B"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4668157" name="رابط كسهم مستقيم 2024668157"/>
                          <wps:cNvCnPr/>
                          <wps:spPr>
                            <a:xfrm flipH="1">
                              <a:off x="0" y="1733550"/>
                              <a:ext cx="232727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024668158" name="Oval 2024668143"/>
                          <wps:cNvSpPr/>
                          <wps:spPr>
                            <a:xfrm>
                              <a:off x="38100" y="1428750"/>
                              <a:ext cx="588645" cy="289560"/>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255AE079"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84C0B19" id="مجموعة 2024668141" o:spid="_x0000_s1026" style="position:absolute;left:0;text-align:left;margin-left:6pt;margin-top:5.4pt;width:421.2pt;height:215.7pt;z-index:251661824" coordsize="53492,27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">
                <v:group id="مجموعة 2024668142" o:spid="_x0000_s1027" style="position:absolute;width:53492;height:27393" coordsize="53492,27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">
                  <v:rect id="مستطيل 2024668144" o:spid="_x0000_s1028" style="position:absolute;left:33147;top:2857;width:20345;height:2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" fillcolor="white [3201]" strokecolor="black [3200]" strokeweight="2pt">
                    <v:textbox>
                      <w:txbxContent>
                        <w:p w14:paraId="749468F6" w14:textId="77777777" w:rsidR="00C41CBC" w:rsidRPr="006179AE" w:rsidRDefault="00C41CBC" w:rsidP="000755B1">
                          <w:pPr>
                            <w:jc w:val="center"/>
                            <w:rPr>
                              <w:rFonts w:asciiTheme="majorBidi" w:hAnsiTheme="majorBidi" w:cstheme="majorBidi"/>
                              <w:b/>
                              <w:bCs/>
                              <w:sz w:val="28"/>
                              <w:szCs w:val="28"/>
                              <w:rtl/>
                            </w:rPr>
                          </w:pPr>
                          <w:r w:rsidRPr="006179AE">
                            <w:rPr>
                              <w:rFonts w:asciiTheme="majorBidi" w:hAnsiTheme="majorBidi" w:cstheme="majorBidi"/>
                              <w:b/>
                              <w:bCs/>
                              <w:sz w:val="28"/>
                              <w:szCs w:val="28"/>
                              <w:rtl/>
                            </w:rPr>
                            <w:t>ممارسات إدارة الموارد البشرية الاستراتيجية</w:t>
                          </w:r>
                        </w:p>
                        <w:p w14:paraId="7C8B97A1" w14:textId="77777777" w:rsidR="00C41CBC"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heme="majorBidi" w:hAnsiTheme="majorBidi" w:cstheme="majorBidi"/>
                              <w:sz w:val="24"/>
                              <w:szCs w:val="24"/>
                              <w:rtl/>
                            </w:rPr>
                            <w:t>تخطيط الموارد البشرية</w:t>
                          </w:r>
                        </w:p>
                        <w:p w14:paraId="1244FBD8" w14:textId="77777777" w:rsidR="00C41CBC"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heme="majorBidi" w:hAnsiTheme="majorBidi" w:cstheme="majorBidi"/>
                              <w:sz w:val="24"/>
                              <w:szCs w:val="24"/>
                              <w:rtl/>
                            </w:rPr>
                            <w:t>تطوير رأس المال البشري</w:t>
                          </w:r>
                        </w:p>
                        <w:p w14:paraId="7B7E46C9" w14:textId="77777777" w:rsidR="00C41CBC" w:rsidRPr="006179AE"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imes New Roman" w:eastAsia="Times New Roman" w:hAnsi="Symbol" w:cs="Times New Roman"/>
                              <w:sz w:val="24"/>
                              <w:szCs w:val="24"/>
                              <w:rtl/>
                            </w:rPr>
                            <w:t>تقييم الأداء</w:t>
                          </w:r>
                        </w:p>
                        <w:p w14:paraId="366E8B80" w14:textId="77777777" w:rsidR="00C41CBC" w:rsidRPr="006179AE"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imes New Roman" w:eastAsia="Times New Roman" w:hAnsi="Symbol" w:cs="Times New Roman"/>
                              <w:sz w:val="24"/>
                              <w:szCs w:val="24"/>
                              <w:rtl/>
                            </w:rPr>
                            <w:t>صيانة الموارد البشرية</w:t>
                          </w:r>
                        </w:p>
                        <w:p w14:paraId="49EA785A" w14:textId="77777777" w:rsidR="00C41CBC" w:rsidRPr="006179AE" w:rsidRDefault="00C41CBC" w:rsidP="000755B1">
                          <w:pPr>
                            <w:pStyle w:val="a3"/>
                            <w:numPr>
                              <w:ilvl w:val="0"/>
                              <w:numId w:val="28"/>
                            </w:numPr>
                            <w:bidi/>
                            <w:spacing w:after="200" w:line="480" w:lineRule="auto"/>
                            <w:rPr>
                              <w:rFonts w:asciiTheme="majorBidi" w:hAnsiTheme="majorBidi" w:cstheme="majorBidi"/>
                              <w:sz w:val="24"/>
                              <w:szCs w:val="24"/>
                            </w:rPr>
                          </w:pPr>
                          <w:r w:rsidRPr="006179AE">
                            <w:rPr>
                              <w:rFonts w:ascii="Times New Roman" w:eastAsia="Times New Roman" w:hAnsi="Symbol" w:cs="Times New Roman"/>
                              <w:sz w:val="24"/>
                              <w:szCs w:val="24"/>
                              <w:rtl/>
                            </w:rPr>
                            <w:t>تطوير الكفاءات</w:t>
                          </w:r>
                        </w:p>
                      </w:txbxContent>
                    </v:textbox>
                  </v:rect>
                  <v:rect id="مستطيل 2024668145" o:spid="_x0000_s1029" style="position:absolute;top:2857;width:16827;height:2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" fillcolor="white [3201]" strokecolor="black [3200]" strokeweight="2pt">
                    <v:textbox>
                      <w:txbxContent>
                        <w:p w14:paraId="43180025" w14:textId="77777777" w:rsidR="00C41CBC" w:rsidRPr="006179AE" w:rsidRDefault="00C41CBC" w:rsidP="000755B1">
                          <w:pPr>
                            <w:bidi/>
                            <w:jc w:val="center"/>
                            <w:rPr>
                              <w:rFonts w:asciiTheme="majorBidi" w:hAnsiTheme="majorBidi" w:cstheme="majorBidi"/>
                              <w:b/>
                              <w:bCs/>
                              <w:sz w:val="28"/>
                              <w:szCs w:val="28"/>
                              <w:rtl/>
                            </w:rPr>
                          </w:pPr>
                          <w:r w:rsidRPr="006179AE">
                            <w:rPr>
                              <w:rFonts w:asciiTheme="majorBidi" w:hAnsiTheme="majorBidi" w:cstheme="majorBidi"/>
                              <w:b/>
                              <w:bCs/>
                              <w:sz w:val="28"/>
                              <w:szCs w:val="28"/>
                              <w:rtl/>
                            </w:rPr>
                            <w:t>البراعة التنظيمية</w:t>
                          </w:r>
                        </w:p>
                        <w:p w14:paraId="0ACA510E" w14:textId="77777777" w:rsidR="00C41CBC" w:rsidRPr="006179AE" w:rsidRDefault="00C41CBC" w:rsidP="000755B1">
                          <w:pPr>
                            <w:pStyle w:val="a3"/>
                            <w:numPr>
                              <w:ilvl w:val="0"/>
                              <w:numId w:val="29"/>
                            </w:numPr>
                            <w:bidi/>
                            <w:spacing w:after="200" w:line="480" w:lineRule="auto"/>
                            <w:rPr>
                              <w:rFonts w:asciiTheme="majorBidi" w:hAnsiTheme="majorBidi" w:cstheme="majorBidi"/>
                              <w:sz w:val="24"/>
                              <w:szCs w:val="24"/>
                              <w:lang w:bidi="ar-JO"/>
                            </w:rPr>
                          </w:pPr>
                          <w:r w:rsidRPr="006179AE">
                            <w:rPr>
                              <w:rFonts w:asciiTheme="majorBidi" w:hAnsiTheme="majorBidi" w:cstheme="majorBidi" w:hint="cs"/>
                              <w:sz w:val="24"/>
                              <w:szCs w:val="24"/>
                              <w:rtl/>
                              <w:lang w:bidi="ar-JO"/>
                            </w:rPr>
                            <w:t>المرونة</w:t>
                          </w:r>
                        </w:p>
                        <w:p w14:paraId="0E942FC0" w14:textId="77777777" w:rsidR="00C41CBC" w:rsidRPr="006179AE" w:rsidRDefault="00C41CBC" w:rsidP="000755B1">
                          <w:pPr>
                            <w:pStyle w:val="a3"/>
                            <w:numPr>
                              <w:ilvl w:val="0"/>
                              <w:numId w:val="29"/>
                            </w:numPr>
                            <w:bidi/>
                            <w:spacing w:after="200" w:line="480" w:lineRule="auto"/>
                            <w:rPr>
                              <w:rFonts w:asciiTheme="majorBidi" w:hAnsiTheme="majorBidi" w:cstheme="majorBidi"/>
                              <w:sz w:val="24"/>
                              <w:szCs w:val="24"/>
                              <w:lang w:bidi="ar-JO"/>
                            </w:rPr>
                          </w:pPr>
                          <w:r w:rsidRPr="006179AE">
                            <w:rPr>
                              <w:rFonts w:asciiTheme="majorBidi" w:hAnsiTheme="majorBidi" w:cstheme="majorBidi" w:hint="cs"/>
                              <w:sz w:val="24"/>
                              <w:szCs w:val="24"/>
                              <w:rtl/>
                              <w:lang w:bidi="ar-JO"/>
                            </w:rPr>
                            <w:t>التكيف</w:t>
                          </w:r>
                        </w:p>
                        <w:p w14:paraId="65F88BED" w14:textId="77777777" w:rsidR="00C41CBC" w:rsidRPr="006179AE" w:rsidRDefault="00C41CBC" w:rsidP="000755B1">
                          <w:pPr>
                            <w:pStyle w:val="a3"/>
                            <w:numPr>
                              <w:ilvl w:val="0"/>
                              <w:numId w:val="29"/>
                            </w:numPr>
                            <w:bidi/>
                            <w:spacing w:after="200" w:line="480" w:lineRule="auto"/>
                            <w:rPr>
                              <w:rFonts w:asciiTheme="majorBidi" w:hAnsiTheme="majorBidi" w:cstheme="majorBidi"/>
                              <w:sz w:val="24"/>
                              <w:szCs w:val="24"/>
                              <w:lang w:bidi="ar-JO"/>
                            </w:rPr>
                          </w:pPr>
                          <w:r w:rsidRPr="006179AE">
                            <w:rPr>
                              <w:rFonts w:asciiTheme="majorBidi" w:hAnsiTheme="majorBidi" w:cstheme="majorBidi" w:hint="cs"/>
                              <w:sz w:val="24"/>
                              <w:szCs w:val="24"/>
                              <w:rtl/>
                              <w:lang w:bidi="ar-JO"/>
                            </w:rPr>
                            <w:t>سرعة الاستجابة</w:t>
                          </w:r>
                        </w:p>
                        <w:p w14:paraId="0B1CDF43" w14:textId="77777777" w:rsidR="00C41CBC" w:rsidRPr="006179AE" w:rsidRDefault="00C41CBC" w:rsidP="000755B1">
                          <w:pPr>
                            <w:pStyle w:val="a3"/>
                            <w:numPr>
                              <w:ilvl w:val="0"/>
                              <w:numId w:val="29"/>
                            </w:numPr>
                            <w:bidi/>
                            <w:spacing w:after="200" w:line="480" w:lineRule="auto"/>
                            <w:rPr>
                              <w:rFonts w:asciiTheme="majorBidi" w:hAnsiTheme="majorBidi" w:cstheme="majorBidi"/>
                              <w:sz w:val="24"/>
                              <w:szCs w:val="24"/>
                              <w:rtl/>
                              <w:lang w:bidi="ar-JO"/>
                            </w:rPr>
                          </w:pPr>
                          <w:r w:rsidRPr="006179AE">
                            <w:rPr>
                              <w:rFonts w:asciiTheme="majorBidi" w:hAnsiTheme="majorBidi" w:cstheme="majorBidi" w:hint="cs"/>
                              <w:sz w:val="24"/>
                              <w:szCs w:val="24"/>
                              <w:rtl/>
                              <w:lang w:bidi="ar-JO"/>
                            </w:rPr>
                            <w:t>الابتكار</w:t>
                          </w:r>
                        </w:p>
                      </w:txbxContent>
                    </v:textbox>
                  </v:rect>
                  <v:shapetype id="_x0000_t32" coordsize="21600,21600" o:spt="32" o:oned="t" path="m,l21600,21600e" filled="f">
                    <v:path arrowok="t" fillok="f" o:connecttype="none"/>
                    <o:lock v:ext="edit" shapetype="t"/>
                  </v:shapetype>
                  <v:shape id="رابط كسهم مستقيم 2024668146" o:spid="_x0000_s1030" type="#_x0000_t32" style="position:absolute;left:16859;top:3810;width:16351;height:2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" strokecolor="black [3200]" strokeweight="3pt">
                    <v:stroke endarrow="open"/>
                    <v:shadow on="t" color="black" opacity="22937f" origin=",.5" offset="0,.63889mm"/>
                  </v:shape>
                  <v:oval id="Oval 2024668143" o:spid="_x0000_s1031" style="position:absolute;left:22669;width:6248;height:3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" fillcolor="window" strokecolor="window" strokeweight="1pt">
                    <v:stroke joinstyle="miter"/>
                    <v:textbox>
                      <w:txbxContent>
                        <w:p w14:paraId="6DADD0D9" w14:textId="77777777" w:rsidR="00C41CBC" w:rsidRPr="000C6E91" w:rsidRDefault="00C41CBC" w:rsidP="000755B1">
                          <w:pPr>
                            <w:rPr>
                              <w:rFonts w:ascii="Times New Roman" w:hAnsi="Times New Roman" w:cs="Times New Roman"/>
                              <w:lang w:bidi="ar-JO"/>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Pr="00564C77">
                            <w:rPr>
                              <w:rFonts w:ascii="Times New Roman" w:hAnsi="Times New Roman" w:cs="Times New Roman" w:hint="cs"/>
                              <w:b/>
                              <w:bCs/>
                              <w:rtl/>
                              <w:lang w:bidi="ar-JO"/>
                              <w14:textOutline w14:w="9525" w14:cap="rnd" w14:cmpd="sng" w14:algn="ctr">
                                <w14:solidFill>
                                  <w14:srgbClr w14:val="000000"/>
                                </w14:solidFill>
                                <w14:prstDash w14:val="solid"/>
                                <w14:bevel/>
                              </w14:textOutline>
                            </w:rPr>
                            <w:t>1</w:t>
                          </w:r>
                          <w:r w:rsidRPr="000C6E91">
                            <w:rPr>
                              <w:rFonts w:ascii="Times New Roman" w:hAnsi="Times New Roman" w:cs="Times New Roman" w:hint="cs"/>
                              <w:rtl/>
                              <w:lang w:bidi="ar-JO"/>
                              <w14:textOutline w14:w="9525" w14:cap="rnd" w14:cmpd="sng" w14:algn="ctr">
                                <w14:solidFill>
                                  <w14:srgbClr w14:val="000000"/>
                                </w14:solidFill>
                                <w14:prstDash w14:val="solid"/>
                                <w14:bevel/>
                              </w14:textOutline>
                            </w:rPr>
                            <w:t>.</w:t>
                          </w:r>
                        </w:p>
                      </w:txbxContent>
                    </v:textbox>
                  </v:oval>
                </v:group>
                <v:group id="مجموعة 2024668148" o:spid="_x0000_s1032" style="position:absolute;left:16859;top:7524;width:25209;height:17336" coordsize="25209,17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">
                  <v:shape id="رابط كسهم مستقيم 2024668149" o:spid="_x0000_s1033" type="#_x0000_t32" style="position:absolute;top:2952;width:1910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" strokecolor="black [3200]" strokeweight="2pt">
                    <v:stroke endarrow="open"/>
                    <v:shadow on="t" color="black" opacity="24903f" origin=",.5" offset="0,.55556mm"/>
                  </v:shape>
                  <v:shape id="رابط كسهم مستقيم 2024668150" o:spid="_x0000_s1034" type="#_x0000_t32" style="position:absolute;top:6572;width:18110;height: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" strokecolor="black [3200]" strokeweight="2pt">
                    <v:stroke endarrow="open"/>
                    <v:shadow on="t" color="black" opacity="24903f" origin=",.5" offset="0,.55556mm"/>
                  </v:shape>
                  <v:shape id="رابط كسهم مستقيم 2024668151" o:spid="_x0000_s1035" type="#_x0000_t32" style="position:absolute;top:10191;width:25209;height:1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" strokecolor="black [3200]" strokeweight="2pt">
                    <v:stroke endarrow="open"/>
                    <v:shadow on="t" color="black" opacity="24903f" origin=",.5" offset="0,.55556mm"/>
                  </v:shape>
                  <v:shape id="رابط كسهم مستقيم 2024668152" o:spid="_x0000_s1036" type="#_x0000_t32" style="position:absolute;top:13811;width:1908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" strokecolor="black [3200]" strokeweight="2pt">
                    <v:stroke endarrow="open"/>
                    <v:shadow on="t" color="black" opacity="24903f" origin=",.5" offset="0,.55556mm"/>
                  </v:shape>
                  <v:oval id="Oval 2024668143" o:spid="_x0000_s1037" style="position:absolute;left:10382;width:5620;height:28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" fillcolor="window" strokecolor="window" strokeweight="1pt">
                    <v:stroke joinstyle="miter"/>
                    <v:textbox>
                      <w:txbxContent>
                        <w:p w14:paraId="403207EC"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1.1</w:t>
                          </w:r>
                        </w:p>
                      </w:txbxContent>
                    </v:textbox>
                  </v:oval>
                  <v:oval id="Oval 2024668143" o:spid="_x0000_s1038" style="position:absolute;left:7905;top:3333;width:6249;height:2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" fillcolor="window" strokecolor="window" strokeweight="1pt">
                    <v:stroke joinstyle="miter"/>
                    <v:textbox>
                      <w:txbxContent>
                        <w:p w14:paraId="5A66C292"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1.2</w:t>
                          </w:r>
                        </w:p>
                      </w:txbxContent>
                    </v:textbox>
                  </v:oval>
                  <v:oval id="Oval 2024668143" o:spid="_x0000_s1039" style="position:absolute;left:4667;top:7143;width:6248;height:2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" fillcolor="window" strokecolor="window" strokeweight="1pt">
                    <v:stroke joinstyle="miter"/>
                    <v:textbox>
                      <w:txbxContent>
                        <w:p w14:paraId="33435313"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1.3</w:t>
                          </w:r>
                        </w:p>
                      </w:txbxContent>
                    </v:textbox>
                  </v:oval>
                  <v:oval id="Oval 2024668143" o:spid="_x0000_s1040" style="position:absolute;left:2095;top:10763;width:6096;height:28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" fillcolor="window" strokecolor="window" strokeweight="1pt">
                    <v:stroke joinstyle="miter"/>
                    <v:textbox>
                      <w:txbxContent>
                        <w:p w14:paraId="38D6D94B"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1.4</w:t>
                          </w:r>
                        </w:p>
                      </w:txbxContent>
                    </v:textbox>
                  </v:oval>
                  <v:shape id="رابط كسهم مستقيم 2024668157" o:spid="_x0000_s1041" type="#_x0000_t32" style="position:absolute;top:17335;width:232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" strokecolor="black [3200]" strokeweight="2pt">
                    <v:stroke endarrow="open"/>
                    <v:shadow on="t" color="black" opacity="24903f" origin=",.5" offset="0,.55556mm"/>
                  </v:shape>
                  <v:oval id="Oval 2024668143" o:spid="_x0000_s1042" style="position:absolute;left:381;top:14287;width:5886;height:2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" fillcolor="window" strokecolor="window" strokeweight="1pt">
                    <v:stroke joinstyle="miter"/>
                    <v:textbox>
                      <w:txbxContent>
                        <w:p w14:paraId="255AE079" w14:textId="77777777" w:rsidR="00C41CBC" w:rsidRPr="006179AE" w:rsidRDefault="00C41CBC" w:rsidP="000755B1">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1.5</w:t>
                          </w:r>
                        </w:p>
                      </w:txbxContent>
                    </v:textbox>
                  </v:oval>
                </v:group>
              </v:group>
            </w:pict>
          </mc:Fallback>
        </mc:AlternateContent>
      </w:r>
    </w:p>
    <w:p w14:paraId="360F7E1F" w14:textId="2DADE7BE" w:rsidR="00430A78" w:rsidRPr="00B443F1" w:rsidRDefault="00430A78" w:rsidP="00430A78">
      <w:pPr>
        <w:bidi/>
        <w:spacing w:after="200" w:line="360" w:lineRule="auto"/>
        <w:jc w:val="center"/>
        <w:rPr>
          <w:rFonts w:ascii="Traditional Arabic" w:hAnsi="Traditional Arabic" w:cs="Traditional Arabic"/>
          <w:sz w:val="28"/>
          <w:szCs w:val="28"/>
        </w:rPr>
      </w:pPr>
    </w:p>
    <w:p w14:paraId="748638CC" w14:textId="7621EA55" w:rsidR="00986693" w:rsidRPr="00D05340" w:rsidRDefault="00986693" w:rsidP="004A5E36">
      <w:pPr>
        <w:bidi/>
        <w:spacing w:after="200" w:line="360" w:lineRule="auto"/>
        <w:jc w:val="center"/>
        <w:rPr>
          <w:rFonts w:ascii="Traditional Arabic" w:hAnsi="Traditional Arabic" w:cs="Traditional Arabic"/>
          <w:b/>
          <w:bCs/>
          <w:color w:val="00B0F0"/>
          <w:sz w:val="32"/>
          <w:szCs w:val="32"/>
          <w:u w:val="single"/>
          <w:rtl/>
        </w:rPr>
      </w:pPr>
    </w:p>
    <w:p w14:paraId="6D9D9773" w14:textId="77777777" w:rsidR="006A16C7" w:rsidRDefault="006A16C7" w:rsidP="00B62BCE">
      <w:pPr>
        <w:bidi/>
        <w:spacing w:after="200" w:line="360" w:lineRule="auto"/>
        <w:jc w:val="both"/>
        <w:rPr>
          <w:rFonts w:ascii="Traditional Arabic" w:hAnsi="Traditional Arabic" w:cs="Traditional Arabic"/>
          <w:sz w:val="28"/>
          <w:szCs w:val="28"/>
          <w:rtl/>
        </w:rPr>
      </w:pPr>
    </w:p>
    <w:p w14:paraId="7E4520C1" w14:textId="77777777" w:rsidR="006A16C7" w:rsidRDefault="006A16C7" w:rsidP="006A16C7">
      <w:pPr>
        <w:bidi/>
        <w:spacing w:after="200" w:line="360" w:lineRule="auto"/>
        <w:jc w:val="both"/>
        <w:rPr>
          <w:rFonts w:ascii="Traditional Arabic" w:hAnsi="Traditional Arabic" w:cs="Traditional Arabic"/>
          <w:sz w:val="28"/>
          <w:szCs w:val="28"/>
          <w:rtl/>
        </w:rPr>
      </w:pPr>
    </w:p>
    <w:p w14:paraId="3C03C61D" w14:textId="77777777" w:rsidR="000755B1" w:rsidRDefault="000755B1" w:rsidP="000755B1">
      <w:pPr>
        <w:bidi/>
        <w:spacing w:after="200" w:line="360" w:lineRule="auto"/>
        <w:jc w:val="center"/>
        <w:rPr>
          <w:rFonts w:ascii="Traditional Arabic" w:hAnsi="Traditional Arabic" w:cs="Traditional Arabic"/>
          <w:b/>
          <w:bCs/>
          <w:sz w:val="28"/>
          <w:szCs w:val="28"/>
          <w:rtl/>
        </w:rPr>
      </w:pPr>
    </w:p>
    <w:p w14:paraId="048105DA" w14:textId="77777777" w:rsidR="000755B1" w:rsidRPr="000755B1" w:rsidRDefault="000755B1" w:rsidP="000755B1">
      <w:pPr>
        <w:bidi/>
        <w:spacing w:after="200" w:line="360" w:lineRule="auto"/>
        <w:jc w:val="center"/>
        <w:rPr>
          <w:rFonts w:ascii="Traditional Arabic" w:hAnsi="Traditional Arabic" w:cs="Traditional Arabic"/>
          <w:b/>
          <w:bCs/>
          <w:sz w:val="28"/>
          <w:szCs w:val="28"/>
          <w:rtl/>
        </w:rPr>
      </w:pPr>
      <w:r w:rsidRPr="000755B1">
        <w:rPr>
          <w:rFonts w:ascii="Traditional Arabic" w:hAnsi="Traditional Arabic" w:cs="Traditional Arabic" w:hint="cs"/>
          <w:b/>
          <w:bCs/>
          <w:sz w:val="28"/>
          <w:szCs w:val="28"/>
          <w:rtl/>
        </w:rPr>
        <w:t>الشكل رقم (1) نموذج الدراسة</w:t>
      </w:r>
    </w:p>
    <w:p w14:paraId="6797A401" w14:textId="62C5ED4A" w:rsidR="00B62BCE" w:rsidRPr="00B62BCE" w:rsidRDefault="00B62BCE" w:rsidP="000755B1">
      <w:pPr>
        <w:bidi/>
        <w:spacing w:after="200" w:line="360" w:lineRule="auto"/>
        <w:jc w:val="both"/>
        <w:rPr>
          <w:rFonts w:ascii="Traditional Arabic" w:hAnsi="Traditional Arabic" w:cs="Traditional Arabic"/>
          <w:sz w:val="28"/>
          <w:szCs w:val="28"/>
        </w:rPr>
      </w:pPr>
      <w:r w:rsidRPr="00B62BCE">
        <w:rPr>
          <w:rFonts w:ascii="Traditional Arabic" w:hAnsi="Traditional Arabic" w:cs="Traditional Arabic" w:hint="cs"/>
          <w:sz w:val="28"/>
          <w:szCs w:val="28"/>
          <w:rtl/>
        </w:rPr>
        <w:t xml:space="preserve">نموذج الدراسة: من اعداد الباحث بالاعتماد على كل من دراسة </w:t>
      </w:r>
      <w:r w:rsidRPr="00B62BCE">
        <w:rPr>
          <w:rFonts w:ascii="Traditional Arabic" w:hAnsi="Traditional Arabic" w:cs="Traditional Arabic"/>
          <w:sz w:val="28"/>
          <w:szCs w:val="28"/>
          <w:rtl/>
        </w:rPr>
        <w:t>الحسن، (2022)</w:t>
      </w:r>
      <w:r w:rsidRPr="00B62BCE">
        <w:rPr>
          <w:rFonts w:ascii="Traditional Arabic" w:hAnsi="Traditional Arabic" w:cs="Traditional Arabic" w:hint="cs"/>
          <w:sz w:val="28"/>
          <w:szCs w:val="28"/>
          <w:rtl/>
        </w:rPr>
        <w:t xml:space="preserve"> </w:t>
      </w:r>
      <w:r w:rsidRPr="00B62BCE">
        <w:rPr>
          <w:rFonts w:ascii="Traditional Arabic" w:hAnsi="Traditional Arabic" w:cs="Traditional Arabic"/>
          <w:sz w:val="28"/>
          <w:szCs w:val="28"/>
          <w:lang w:bidi="ar-AE"/>
        </w:rPr>
        <w:t>;</w:t>
      </w:r>
      <w:r w:rsidRPr="00B62BCE">
        <w:rPr>
          <w:rFonts w:ascii="Traditional Arabic" w:hAnsi="Traditional Arabic" w:cs="Traditional Arabic"/>
          <w:sz w:val="28"/>
          <w:szCs w:val="28"/>
          <w:rtl/>
        </w:rPr>
        <w:t>الازوري، (2022)</w:t>
      </w:r>
      <w:r w:rsidRPr="00B62BCE">
        <w:rPr>
          <w:rFonts w:ascii="Traditional Arabic" w:hAnsi="Traditional Arabic" w:cs="Traditional Arabic"/>
          <w:sz w:val="28"/>
          <w:szCs w:val="28"/>
          <w:lang w:bidi="ar-JO"/>
        </w:rPr>
        <w:t xml:space="preserve">; </w:t>
      </w:r>
      <w:r w:rsidRPr="00B62BCE">
        <w:rPr>
          <w:rFonts w:ascii="Traditional Arabic" w:hAnsi="Traditional Arabic" w:cs="Traditional Arabic"/>
          <w:sz w:val="28"/>
          <w:szCs w:val="28"/>
          <w:rtl/>
        </w:rPr>
        <w:t>عبد طوفان والجنابي، (2022)</w:t>
      </w:r>
      <w:r w:rsidR="004A5E36">
        <w:rPr>
          <w:rFonts w:ascii="Traditional Arabic" w:hAnsi="Traditional Arabic" w:cs="Traditional Arabic"/>
          <w:sz w:val="28"/>
          <w:szCs w:val="28"/>
        </w:rPr>
        <w:t>.</w:t>
      </w:r>
    </w:p>
    <w:p w14:paraId="5EC2BF61" w14:textId="0B85BB90" w:rsidR="00B443F1" w:rsidRPr="00B62BCE" w:rsidRDefault="00B443F1" w:rsidP="00553DC2">
      <w:pPr>
        <w:bidi/>
        <w:spacing w:after="200" w:line="360" w:lineRule="auto"/>
        <w:jc w:val="both"/>
        <w:rPr>
          <w:rFonts w:ascii="Traditional Arabic" w:hAnsi="Traditional Arabic" w:cs="Traditional Arabic"/>
          <w:sz w:val="28"/>
          <w:szCs w:val="28"/>
          <w:rtl/>
        </w:rPr>
      </w:pPr>
    </w:p>
    <w:p w14:paraId="729A1469" w14:textId="5F0D2556" w:rsidR="00533AA9" w:rsidRPr="00D05340" w:rsidRDefault="00A150CE" w:rsidP="00B443F1">
      <w:pPr>
        <w:bidi/>
        <w:spacing w:after="200" w:line="360" w:lineRule="auto"/>
        <w:jc w:val="both"/>
        <w:rPr>
          <w:rFonts w:ascii="Traditional Arabic" w:hAnsi="Traditional Arabic" w:cs="Traditional Arabic"/>
          <w:b/>
          <w:bCs/>
          <w:sz w:val="32"/>
          <w:szCs w:val="32"/>
          <w:u w:val="single"/>
          <w:rtl/>
        </w:rPr>
      </w:pPr>
      <w:r w:rsidRPr="00D05340">
        <w:rPr>
          <w:rFonts w:ascii="Traditional Arabic" w:hAnsi="Traditional Arabic" w:cs="Traditional Arabic"/>
          <w:b/>
          <w:bCs/>
          <w:color w:val="00B0F0"/>
          <w:sz w:val="32"/>
          <w:szCs w:val="32"/>
          <w:u w:val="single"/>
          <w:rtl/>
        </w:rPr>
        <w:t>الدراسات المرجعية</w:t>
      </w:r>
      <w:r w:rsidR="00533AA9" w:rsidRPr="00D05340">
        <w:rPr>
          <w:rFonts w:ascii="Traditional Arabic" w:hAnsi="Traditional Arabic" w:cs="Traditional Arabic"/>
          <w:b/>
          <w:bCs/>
          <w:color w:val="00B0F0"/>
          <w:sz w:val="32"/>
          <w:szCs w:val="32"/>
          <w:u w:val="single"/>
          <w:rtl/>
        </w:rPr>
        <w:t>:</w:t>
      </w:r>
    </w:p>
    <w:p w14:paraId="62F0EC97" w14:textId="77777777" w:rsidR="00454375" w:rsidRPr="002134AC" w:rsidRDefault="00454375" w:rsidP="00454375">
      <w:pPr>
        <w:bidi/>
        <w:spacing w:after="200" w:line="360" w:lineRule="auto"/>
        <w:jc w:val="both"/>
        <w:rPr>
          <w:rFonts w:ascii="Traditional Arabic" w:hAnsi="Traditional Arabic" w:cs="Traditional Arabic"/>
          <w:b/>
          <w:bCs/>
          <w:sz w:val="32"/>
          <w:szCs w:val="32"/>
          <w:rtl/>
        </w:rPr>
      </w:pPr>
      <w:r w:rsidRPr="002134AC">
        <w:rPr>
          <w:rFonts w:ascii="Traditional Arabic" w:hAnsi="Traditional Arabic" w:cs="Traditional Arabic"/>
          <w:b/>
          <w:bCs/>
          <w:sz w:val="32"/>
          <w:szCs w:val="32"/>
          <w:rtl/>
        </w:rPr>
        <w:t>اولا: الدراسات العربية:</w:t>
      </w:r>
    </w:p>
    <w:p w14:paraId="1A4EE3DB" w14:textId="77777777" w:rsidR="002134AC" w:rsidRPr="002134AC" w:rsidRDefault="002134AC" w:rsidP="002134AC">
      <w:pPr>
        <w:bidi/>
        <w:spacing w:after="200" w:line="360" w:lineRule="auto"/>
        <w:jc w:val="both"/>
        <w:rPr>
          <w:rFonts w:ascii="Traditional Arabic" w:hAnsi="Traditional Arabic" w:cs="Traditional Arabic"/>
          <w:sz w:val="32"/>
          <w:szCs w:val="32"/>
          <w:rtl/>
        </w:rPr>
      </w:pPr>
      <w:r w:rsidRPr="002134AC">
        <w:rPr>
          <w:rFonts w:ascii="Traditional Arabic" w:hAnsi="Traditional Arabic" w:cs="Traditional Arabic"/>
          <w:sz w:val="32"/>
          <w:szCs w:val="32"/>
          <w:rtl/>
        </w:rPr>
        <w:t xml:space="preserve">هدفت دراسة علي، (2023) إلى استكشاف العلاقة بين التخطيط الاستراتيجي والأداء الوظيفي ضمن بيئة جديدة تمثلت في شركة سيرياتل للاتصالات، مع التركيز على وصف واقع التخطيط الاستراتيجي داخل الشركة. تكون مجتمع الدراسة من العاملين في مختلف المستويات الوظيفية بالشركة، وتم جمع </w:t>
      </w:r>
      <w:r w:rsidRPr="002134AC">
        <w:rPr>
          <w:rFonts w:ascii="Traditional Arabic" w:hAnsi="Traditional Arabic" w:cs="Traditional Arabic"/>
          <w:sz w:val="32"/>
          <w:szCs w:val="32"/>
          <w:rtl/>
        </w:rPr>
        <w:lastRenderedPageBreak/>
        <w:t>البيانات عبر استبانة إلكترونية</w:t>
      </w:r>
      <w:r w:rsidRPr="002134AC">
        <w:rPr>
          <w:rFonts w:ascii="Traditional Arabic" w:hAnsi="Traditional Arabic" w:cs="Traditional Arabic"/>
          <w:sz w:val="32"/>
          <w:szCs w:val="32"/>
          <w:lang w:val="en-GB"/>
        </w:rPr>
        <w:t xml:space="preserve"> (Google Forms) </w:t>
      </w:r>
      <w:r w:rsidRPr="002134AC">
        <w:rPr>
          <w:rFonts w:ascii="Traditional Arabic" w:hAnsi="Traditional Arabic" w:cs="Traditional Arabic"/>
          <w:sz w:val="32"/>
          <w:szCs w:val="32"/>
          <w:rtl/>
        </w:rPr>
        <w:t>وزعت على عينة عشوائية مكونة من 130 موظفًا، تم استرداد 108 استبانات صالحة للتحليل الإحصائي. كشفت نتائج الدراسة عن اتفاق المشاركين على توافر أبعاد التخطيط الاستراتيجي بدرجات متفاوتة، ووجود مستوى مرتفع من الأداء الوظيفي في الشركة. كما أظهرت النتائج وجود تأثير ذي دلالة إحصائية للتخطيط الاستراتيجي—بأبعاده الخمسة—على الأداء الوظيفي، وتفاوت هذا التأثير من حيث الأهمية وفقًا لمعاملات الارتباط والتحديد. وقد أوصت الدراسة بضرورة تبني أنظمة حديثة لتكنولوجيا المعلومات والاتصالات لدعم عملية التخطيط الاستراتيجي بالبيانات الملائمة، إلى جانب دمج هذا النوع من التخطيط في الثقافة التنظيمية للشركة. كما أوصت بتعزيز التعاون مع شركات مماثلة أو ذات علاقة لتبادل الخبرات، وتدريب القيادات العليا على مهارات التفكير المستقبلي، مع ضرورة ترتيب الأهداف الاستراتيجية وفق أولويات قابلة للتحقيق</w:t>
      </w:r>
      <w:r w:rsidRPr="002134AC">
        <w:rPr>
          <w:rFonts w:ascii="Traditional Arabic" w:hAnsi="Traditional Arabic" w:cs="Traditional Arabic"/>
          <w:sz w:val="32"/>
          <w:szCs w:val="32"/>
          <w:lang w:val="en-GB"/>
        </w:rPr>
        <w:t>.</w:t>
      </w:r>
    </w:p>
    <w:p w14:paraId="78CE3833" w14:textId="77777777" w:rsidR="002134AC" w:rsidRDefault="002134AC" w:rsidP="002134AC">
      <w:pPr>
        <w:bidi/>
        <w:spacing w:after="200" w:line="360" w:lineRule="auto"/>
        <w:jc w:val="both"/>
        <w:rPr>
          <w:rFonts w:ascii="Traditional Arabic" w:hAnsi="Traditional Arabic" w:cs="Traditional Arabic"/>
          <w:sz w:val="32"/>
          <w:szCs w:val="32"/>
        </w:rPr>
      </w:pPr>
    </w:p>
    <w:p w14:paraId="4B3AF53B" w14:textId="77777777" w:rsidR="002134AC" w:rsidRPr="002134AC" w:rsidRDefault="002134AC" w:rsidP="002134AC">
      <w:pPr>
        <w:bidi/>
        <w:spacing w:after="200" w:line="360" w:lineRule="auto"/>
        <w:jc w:val="both"/>
        <w:rPr>
          <w:rFonts w:ascii="Traditional Arabic" w:hAnsi="Traditional Arabic" w:cs="Traditional Arabic"/>
          <w:sz w:val="32"/>
          <w:szCs w:val="32"/>
          <w:rtl/>
        </w:rPr>
      </w:pPr>
      <w:r w:rsidRPr="002134AC">
        <w:rPr>
          <w:rFonts w:ascii="Traditional Arabic" w:hAnsi="Traditional Arabic" w:cs="Traditional Arabic"/>
          <w:sz w:val="32"/>
          <w:szCs w:val="32"/>
          <w:rtl/>
        </w:rPr>
        <w:t xml:space="preserve">هدف دراسة عبد طوفان والجنابي، (2022) إلى تحليل دور الاحتواء الاستراتيجي في تعزيز البراعة التنظيمية لدى العاملين في رئاسة جامعة كربلاء، من خلال فحص العلاقة بين أبعاد الاحتواء الاستراتيجي—المتمثلة في تبني البدائل، تسهيل القدرة على التكيف، توليف المعلومات، وتنفيذ الاستراتيجية المختارة—ومستوى البراعة التنظيمية الذي تجلّى في بُعدي دراسة الفرص الجديدة واستثمارها. وقد تم اختبار فرضيتين رئيسيتين وعدد من الفرضيات الفرعية، مستندًا إلى عينة مكونة من 40 موظفًا. ولتحليل البيانات، تم استخدام برنامجي </w:t>
      </w:r>
      <w:r w:rsidRPr="002134AC">
        <w:rPr>
          <w:rFonts w:ascii="Traditional Arabic" w:hAnsi="Traditional Arabic" w:cs="Traditional Arabic"/>
          <w:sz w:val="32"/>
          <w:szCs w:val="32"/>
        </w:rPr>
        <w:t>Smart-PLS</w:t>
      </w:r>
      <w:r w:rsidRPr="002134AC">
        <w:rPr>
          <w:rFonts w:ascii="Traditional Arabic" w:hAnsi="Traditional Arabic" w:cs="Traditional Arabic"/>
          <w:sz w:val="32"/>
          <w:szCs w:val="32"/>
          <w:rtl/>
        </w:rPr>
        <w:t xml:space="preserve"> و</w:t>
      </w:r>
      <w:r w:rsidRPr="002134AC">
        <w:rPr>
          <w:rFonts w:ascii="Traditional Arabic" w:hAnsi="Traditional Arabic" w:cs="Traditional Arabic"/>
          <w:sz w:val="32"/>
          <w:szCs w:val="32"/>
        </w:rPr>
        <w:t>SPSS</w:t>
      </w:r>
      <w:r w:rsidRPr="002134AC">
        <w:rPr>
          <w:rFonts w:ascii="Traditional Arabic" w:hAnsi="Traditional Arabic" w:cs="Traditional Arabic"/>
          <w:sz w:val="32"/>
          <w:szCs w:val="32"/>
          <w:rtl/>
        </w:rPr>
        <w:t xml:space="preserve">. أظهرت النتائج أن مستويات البراعة التنظيمية جاءت معتدلة، مع ضعف واضح في استثمار الفرص الجديدة بما يعكس قصورًا في تحقيق الأهداف التطويرية للجامعة محليًا وعالميًا. كما كشفت النتائج عن غياب التوجه </w:t>
      </w:r>
      <w:r w:rsidRPr="002134AC">
        <w:rPr>
          <w:rFonts w:ascii="Traditional Arabic" w:hAnsi="Traditional Arabic" w:cs="Traditional Arabic"/>
          <w:sz w:val="32"/>
          <w:szCs w:val="32"/>
          <w:rtl/>
        </w:rPr>
        <w:lastRenderedPageBreak/>
        <w:t>المستقبلي لدى الجامعة، وانعكاس ذلك في محدودية إدراك العاملين لرؤية الجامعة المستقبلية واستراتيجياتها المحتملة. بناءً عليه، يوصي البحث بضرورة تبني سياسات استراتيجية أكثر شمولاً تستند إلى تطوير قدرات العاملين وتمكينهم من المساهمة في صياغة التوجهات المستقبلية للجامعة.</w:t>
      </w:r>
    </w:p>
    <w:p w14:paraId="23898F16" w14:textId="77777777" w:rsidR="002134AC" w:rsidRPr="002134AC" w:rsidRDefault="002134AC" w:rsidP="002134AC">
      <w:pPr>
        <w:bidi/>
        <w:spacing w:after="200" w:line="360" w:lineRule="auto"/>
        <w:jc w:val="both"/>
        <w:rPr>
          <w:rFonts w:ascii="Traditional Arabic" w:hAnsi="Traditional Arabic" w:cs="Traditional Arabic"/>
          <w:sz w:val="32"/>
          <w:szCs w:val="32"/>
          <w:lang w:val="en-GB"/>
        </w:rPr>
      </w:pPr>
      <w:r w:rsidRPr="002134AC">
        <w:rPr>
          <w:rFonts w:ascii="Traditional Arabic" w:hAnsi="Traditional Arabic" w:cs="Traditional Arabic"/>
          <w:sz w:val="32"/>
          <w:szCs w:val="32"/>
          <w:rtl/>
        </w:rPr>
        <w:t>هدفت دراسة الازوري، (2022) إلى تحليل واقع التخطيط الاستراتيجي للموارد البشرية بأبعاده المختلفة—تحليل وتصميم العمل، تخطيط الموارد البشرية، الاستقطاب، الاختيار، التدريب والتطوير، التحفيز، وإدارة وتقييم الأداء—في الإدارة العامة للتعليم بمحافظة جدة، مع تقييم مدى انعكاس هذه الأبعاد على مستوى تميز الأداء المؤسسي من وجهة نظر الموظفين. اعتمدت الدراسة على المنهج الوصفي التحليلي، وتم جمع البيانات باستخدام استبانة إلكترونية مكونة من 45 عبارة، وطبقت على عينة عشوائية بسيطة من موظفي الإدارة العامة للتعليم بجدة، بلغ عددهم 1085 موظفًا وموظفة. أظهرت نتائج التحليل الإحصائي باستخدام برنامج</w:t>
      </w:r>
      <w:r w:rsidRPr="002134AC">
        <w:rPr>
          <w:rFonts w:ascii="Traditional Arabic" w:hAnsi="Traditional Arabic" w:cs="Traditional Arabic"/>
          <w:sz w:val="32"/>
          <w:szCs w:val="32"/>
          <w:lang w:val="en-GB"/>
        </w:rPr>
        <w:t xml:space="preserve"> SPSS </w:t>
      </w:r>
      <w:r w:rsidRPr="002134AC">
        <w:rPr>
          <w:rFonts w:ascii="Traditional Arabic" w:hAnsi="Traditional Arabic" w:cs="Traditional Arabic"/>
          <w:sz w:val="32"/>
          <w:szCs w:val="32"/>
          <w:rtl/>
        </w:rPr>
        <w:t>أن مستوى تطبيق التخطيط الاستراتيجي للموارد البشرية جاء بدرجة متوسطة (بوزن نسبي بلغ 71.8%)، كما أن مستوى تميز الأداء المؤسسي أيضًا كان متوسطًا (71.4%). وأشارت النتائج إلى وجود تأثير ذي دلالة إحصائية للتخطيط الاستراتيجي للموارد البشرية في تعزيز تميز الأداء المؤسسي، بينما لم تُسجل فروق ذات دلالة إحصائية تعزى للمتغيرات الشخصية والوظيفية (الجنس، العمر، المؤهل العلمي، الدرجة الوظيفية، سنوات الخبرة). وفي ضوء هذه النتائج، أوصت الدراسة بضرورة الاستمرار في تطوير ممارسات التخطيط الاستراتيجي بما يضمن تلبية احتياجات الإدارة من الكفاءات البشرية، ويدعم تحسين الأداء المؤسسي وتعزيز قدراته التنافسية</w:t>
      </w:r>
      <w:r w:rsidRPr="002134AC">
        <w:rPr>
          <w:rFonts w:ascii="Traditional Arabic" w:hAnsi="Traditional Arabic" w:cs="Traditional Arabic"/>
          <w:sz w:val="32"/>
          <w:szCs w:val="32"/>
          <w:lang w:val="en-GB"/>
        </w:rPr>
        <w:t>.</w:t>
      </w:r>
    </w:p>
    <w:p w14:paraId="056F8D3A" w14:textId="77777777" w:rsidR="002134AC" w:rsidRPr="002134AC" w:rsidRDefault="002134AC" w:rsidP="002134AC">
      <w:pPr>
        <w:bidi/>
        <w:spacing w:after="200" w:line="360" w:lineRule="auto"/>
        <w:jc w:val="both"/>
        <w:rPr>
          <w:rFonts w:ascii="Traditional Arabic" w:hAnsi="Traditional Arabic" w:cs="Traditional Arabic"/>
          <w:sz w:val="32"/>
          <w:szCs w:val="32"/>
          <w:lang w:val="en-GB"/>
        </w:rPr>
      </w:pPr>
    </w:p>
    <w:p w14:paraId="2FDEA563" w14:textId="77777777" w:rsidR="002134AC" w:rsidRPr="002134AC" w:rsidRDefault="002134AC" w:rsidP="002134AC">
      <w:pPr>
        <w:bidi/>
        <w:spacing w:after="200" w:line="360" w:lineRule="auto"/>
        <w:jc w:val="both"/>
        <w:rPr>
          <w:rFonts w:ascii="Traditional Arabic" w:hAnsi="Traditional Arabic" w:cs="Traditional Arabic"/>
          <w:sz w:val="32"/>
          <w:szCs w:val="32"/>
          <w:rtl/>
          <w:lang w:bidi="ar-AE"/>
        </w:rPr>
      </w:pPr>
      <w:r w:rsidRPr="002134AC">
        <w:rPr>
          <w:rFonts w:ascii="Traditional Arabic" w:hAnsi="Traditional Arabic" w:cs="Traditional Arabic"/>
          <w:sz w:val="32"/>
          <w:szCs w:val="32"/>
          <w:rtl/>
        </w:rPr>
        <w:lastRenderedPageBreak/>
        <w:t>هدفت دراسة الحسن، (2022) الى التعرف على أثر التوجه الاستراتيجي في تحقيق البراعة التنظيمية في الجامعة الوطنية الخاصة بمحافظة حماة، حيث تم توظيف المنهج الوصفي التحليلي، إلى جانب استخدام الأسلوب الكمي من خلال استبانة صُممت لقياس متغيرات الدراسة. وقد شملت العينة 60 موظفًا من العاملين في الأقسام الإدارية. أظهرت نتائج الدراسة أن العاملين يمتلكون توجهات استراتيجية بدرجة مرتفعة نسبيًا، وهو ما انعكس بشكل واضح على أداء الجامعة، خصوصًا في ظل التحديات التي فرضتها الأوضاع الراهنة والظروف الناتجة عن جائحة كوفيد-19. كما أظهرت النتائج أن مستوى البراعة التنظيمية في الجامعة جاء مرتفعًا نسبيًا، وأن هناك علاقة إيجابية ذات دلالة إحصائية بين التوجه الاستراتيجي بأبعاده المختلفة ومستوى البراعة التنظيمية. وفي ضوء النتائج، أوصت الدراسة بضرورة دعم وتعزيز التوجهات الاستراتيجية لدى العاملين، والعمل على ترسيخ البراعة التنظيمية كمدخل أساسي لتعزيز الإبداع، وتحقيق التميز، واستثمار الطاقات المتاحة بطريقة مثلى. كما اقترحت الدراسة عددًا من المحاور البحثية المستقبلية لتوسيع فهم العلاقة بين التوجهات الاستراتيجية والمرونة التنظيمية في مؤسسات التعليم العالي</w:t>
      </w:r>
      <w:r w:rsidRPr="002134AC">
        <w:rPr>
          <w:rFonts w:ascii="Traditional Arabic" w:hAnsi="Traditional Arabic" w:cs="Traditional Arabic"/>
          <w:sz w:val="32"/>
          <w:szCs w:val="32"/>
          <w:lang w:val="en-GB"/>
        </w:rPr>
        <w:t>.</w:t>
      </w:r>
    </w:p>
    <w:p w14:paraId="0B7B8F59" w14:textId="77777777" w:rsidR="002134AC" w:rsidRPr="002134AC" w:rsidRDefault="002134AC" w:rsidP="002134AC">
      <w:pPr>
        <w:bidi/>
        <w:spacing w:after="200" w:line="360" w:lineRule="auto"/>
        <w:jc w:val="both"/>
        <w:rPr>
          <w:rFonts w:ascii="Traditional Arabic" w:hAnsi="Traditional Arabic" w:cs="Traditional Arabic"/>
          <w:sz w:val="32"/>
          <w:szCs w:val="32"/>
          <w:rtl/>
          <w:lang w:bidi="ar-AE"/>
        </w:rPr>
      </w:pPr>
    </w:p>
    <w:p w14:paraId="1E370EA5" w14:textId="77777777" w:rsidR="002134AC" w:rsidRPr="002134AC" w:rsidRDefault="002134AC" w:rsidP="002134AC">
      <w:pPr>
        <w:bidi/>
        <w:spacing w:after="200" w:line="360" w:lineRule="auto"/>
        <w:jc w:val="both"/>
        <w:rPr>
          <w:rFonts w:ascii="Traditional Arabic" w:hAnsi="Traditional Arabic" w:cs="Traditional Arabic"/>
          <w:sz w:val="32"/>
          <w:szCs w:val="32"/>
          <w:rtl/>
        </w:rPr>
      </w:pPr>
      <w:r w:rsidRPr="002134AC">
        <w:rPr>
          <w:rFonts w:ascii="Traditional Arabic" w:hAnsi="Traditional Arabic" w:cs="Traditional Arabic"/>
          <w:sz w:val="32"/>
          <w:szCs w:val="32"/>
          <w:rtl/>
        </w:rPr>
        <w:t xml:space="preserve">تناولت دراسة حسن واخرون، (2021) موضوع التفكير الاستراتيجي ودوره في بناء البراعة التنظيمية داخل معمل أدوية سامراء، حيث استهدف تحديد مستوى التفكير الاستراتيجي والبراعة التنظيمية لدى المدراء، وتحليل طبيعة العلاقة وأثر التفكير الاستراتيجي على البراعة التنظيمية في السياق الميداني. لتحقيق أهداف الدراسة، تم صياغة مجموعة من الفرضيات التي تركزت على وجود علاقات ارتباط وتأثير معنوية بين التفكير الاستراتيجي والبراعة التنظيمية، معتمدةً على عناصر التفكير الاستراتيجي المتمثلة في التفكير النظمي، التوجه المستقبلي للوقت، التوجه الذكي للفرص، وحل المشكلات الإبداعي. اعتمد البحث </w:t>
      </w:r>
      <w:r w:rsidRPr="002134AC">
        <w:rPr>
          <w:rFonts w:ascii="Traditional Arabic" w:hAnsi="Traditional Arabic" w:cs="Traditional Arabic"/>
          <w:sz w:val="32"/>
          <w:szCs w:val="32"/>
          <w:rtl/>
        </w:rPr>
        <w:lastRenderedPageBreak/>
        <w:t>المنهج الوصفي التحليلي في عرض البيانات وتحليلها، حيث جُمعت آراء 40 مديرًا من الميدان المبحوث، وتم تحليل البيانات باستخدام أساليب إحصائية متعددة لفحص العلاقات بين المتغيرات. أسفرت النتائج عن وجود أثر معنوي وإيجابي للتفكير الاستراتيجي على البراعة التنظيمية، مما يؤكد أن تبني عناصر التفكير الاستراتيجي المختلفة يسهم بشكل فعّال في تعزيز البراعة التنظيمية في معمل أدوية سامراء</w:t>
      </w:r>
      <w:r w:rsidRPr="002134AC">
        <w:rPr>
          <w:rFonts w:ascii="Traditional Arabic" w:hAnsi="Traditional Arabic" w:cs="Traditional Arabic"/>
          <w:sz w:val="32"/>
          <w:szCs w:val="32"/>
          <w:lang w:val="en-GB"/>
        </w:rPr>
        <w:t>.</w:t>
      </w:r>
    </w:p>
    <w:p w14:paraId="7F8753F7" w14:textId="77777777" w:rsidR="002134AC" w:rsidRDefault="002134AC" w:rsidP="00454375">
      <w:pPr>
        <w:bidi/>
        <w:spacing w:after="200" w:line="360" w:lineRule="auto"/>
        <w:jc w:val="both"/>
        <w:rPr>
          <w:rFonts w:ascii="Traditional Arabic" w:hAnsi="Traditional Arabic" w:cs="Traditional Arabic"/>
          <w:sz w:val="32"/>
          <w:szCs w:val="32"/>
        </w:rPr>
      </w:pPr>
    </w:p>
    <w:p w14:paraId="4FB15B69" w14:textId="0AEBEE91" w:rsidR="00454375" w:rsidRPr="00D05340" w:rsidRDefault="00454375" w:rsidP="002134AC">
      <w:pPr>
        <w:bidi/>
        <w:spacing w:after="200" w:line="360" w:lineRule="auto"/>
        <w:jc w:val="both"/>
        <w:rPr>
          <w:rFonts w:ascii="Traditional Arabic" w:hAnsi="Traditional Arabic" w:cs="Traditional Arabic"/>
          <w:sz w:val="32"/>
          <w:szCs w:val="32"/>
          <w:rtl/>
        </w:rPr>
      </w:pPr>
      <w:r w:rsidRPr="00D05340">
        <w:rPr>
          <w:rFonts w:ascii="Traditional Arabic" w:hAnsi="Traditional Arabic" w:cs="Traditional Arabic"/>
          <w:sz w:val="32"/>
          <w:szCs w:val="32"/>
          <w:rtl/>
        </w:rPr>
        <w:t xml:space="preserve">هدفت </w:t>
      </w:r>
      <w:r w:rsidR="00B443F1">
        <w:rPr>
          <w:rFonts w:ascii="Traditional Arabic" w:hAnsi="Traditional Arabic" w:cs="Traditional Arabic" w:hint="cs"/>
          <w:sz w:val="32"/>
          <w:szCs w:val="32"/>
          <w:rtl/>
        </w:rPr>
        <w:t xml:space="preserve">دراسة </w:t>
      </w:r>
      <w:r w:rsidRPr="00D05340">
        <w:rPr>
          <w:rFonts w:ascii="Traditional Arabic" w:hAnsi="Traditional Arabic" w:cs="Traditional Arabic"/>
          <w:sz w:val="32"/>
          <w:szCs w:val="32"/>
          <w:rtl/>
        </w:rPr>
        <w:t>ابوزيد، (2021)  إلى تحليل أثر ممارسات إدارة الموارد البشرية الاستراتيجية—مثل التوظيف الدقيق، التدريب، أنظمة الأجور، تقييم الأداء، ومشاركة العاملين—في تعزيز البراعة التنظيمية والأداء الابتكاري في قطاع الفنادق بمحافظتي القاهرة والجيزة في مصر. كما تناولت الدراسة الدور الوسيط للثقافة التنظيمية الداعمة، المتمثلة في الرؤية المشتركة والتنوع التنظيمي. شملت العينة 63 فندقًا من فئات ثلاث إلى خمس نجوم، وتم جمع البيانات من مديري الموارد البشرية ورؤساء مجالس الإدارة. وباستخدام تحليل المعادلات الهيكلية</w:t>
      </w:r>
      <w:r w:rsidRPr="00D05340">
        <w:rPr>
          <w:rFonts w:ascii="Traditional Arabic" w:hAnsi="Traditional Arabic" w:cs="Traditional Arabic"/>
          <w:sz w:val="32"/>
          <w:szCs w:val="32"/>
          <w:lang w:val="en-GB"/>
        </w:rPr>
        <w:t xml:space="preserve"> (SEM)</w:t>
      </w:r>
      <w:r w:rsidRPr="00D05340">
        <w:rPr>
          <w:rFonts w:ascii="Traditional Arabic" w:hAnsi="Traditional Arabic" w:cs="Traditional Arabic"/>
          <w:sz w:val="32"/>
          <w:szCs w:val="32"/>
          <w:rtl/>
        </w:rPr>
        <w:t>، أظهرت النتائج وجود علاقة مباشرة قوية بين ممارسات الموارد البشرية والبراعة التنظيمية (72%)، إلى جانب تأثير غير مباشر عبر الثقافة التنظيمية (22%)، مما يؤكد دورها كمتغير وسيط جزئي. كما تبين وجود تأثير مباشر ملحوظ للبراعة التنظيمية على الأداء الابتكاري (63%). توصي الدراسة بضرورة تبني نظم أداء عالية الفعالية تستند إلى ممارسات استراتيجية في إدارة الموارد البشرية، مع دعم بيئة تنظيمية محفزة تعزز من الابتكار والمرونة المؤسسية في قطاع الفندقة</w:t>
      </w:r>
      <w:r w:rsidRPr="00D05340">
        <w:rPr>
          <w:rFonts w:ascii="Traditional Arabic" w:hAnsi="Traditional Arabic" w:cs="Traditional Arabic"/>
          <w:sz w:val="32"/>
          <w:szCs w:val="32"/>
          <w:lang w:val="en-GB"/>
        </w:rPr>
        <w:t>.</w:t>
      </w:r>
    </w:p>
    <w:p w14:paraId="1957FCBE" w14:textId="77777777" w:rsidR="004A5E36" w:rsidRDefault="004A5E36" w:rsidP="002134AC">
      <w:pPr>
        <w:bidi/>
        <w:spacing w:after="200" w:line="360" w:lineRule="auto"/>
        <w:jc w:val="both"/>
        <w:rPr>
          <w:rFonts w:ascii="Traditional Arabic" w:hAnsi="Traditional Arabic" w:cs="Traditional Arabic"/>
          <w:sz w:val="32"/>
          <w:szCs w:val="32"/>
        </w:rPr>
      </w:pPr>
    </w:p>
    <w:p w14:paraId="3DBE64B4" w14:textId="77777777" w:rsidR="002134AC" w:rsidRPr="002134AC" w:rsidRDefault="002134AC" w:rsidP="004A5E36">
      <w:pPr>
        <w:bidi/>
        <w:spacing w:after="200" w:line="360" w:lineRule="auto"/>
        <w:jc w:val="both"/>
        <w:rPr>
          <w:rFonts w:ascii="Traditional Arabic" w:hAnsi="Traditional Arabic" w:cs="Traditional Arabic"/>
          <w:sz w:val="32"/>
          <w:szCs w:val="32"/>
          <w:rtl/>
          <w:lang w:bidi="ar-JO"/>
        </w:rPr>
      </w:pPr>
      <w:r w:rsidRPr="002134AC">
        <w:rPr>
          <w:rFonts w:ascii="Traditional Arabic" w:hAnsi="Traditional Arabic" w:cs="Traditional Arabic"/>
          <w:sz w:val="32"/>
          <w:szCs w:val="32"/>
          <w:rtl/>
        </w:rPr>
        <w:t xml:space="preserve">سعت دراسة حميد، (2021) إلى اختبار تأثير القيادة الاستراتيجية بوصفها متغيرًا مستقلاً على البراعة التنظيمية كمتغير تابع، وذلك في سياق عمل الشرطة الاتحادية العراقية. وقد اعتمدت الدراسة على ستة </w:t>
      </w:r>
      <w:r w:rsidRPr="002134AC">
        <w:rPr>
          <w:rFonts w:ascii="Traditional Arabic" w:hAnsi="Traditional Arabic" w:cs="Traditional Arabic"/>
          <w:sz w:val="32"/>
          <w:szCs w:val="32"/>
          <w:rtl/>
        </w:rPr>
        <w:lastRenderedPageBreak/>
        <w:t>أبعاد لممارسات القيادة الاستراتيجية، وهي: تحديد الاتجاه الاستراتيجي، استثمار الكفاءات الجوهرية، تطوير رأس المال البشري، ترسيخ الثقافة التنظيمية، الالتزام بالممارسات الأخلاقية، والضوابط التنظيمية. أما البراعة التنظيمية فقد تم تناولها من خلال بعدين رئيسيين: البراعة الاستكشافية والبراعة الاستثمارية</w:t>
      </w:r>
      <w:r w:rsidRPr="002134AC">
        <w:rPr>
          <w:rFonts w:ascii="Traditional Arabic" w:hAnsi="Traditional Arabic" w:cs="Traditional Arabic" w:hint="cs"/>
          <w:sz w:val="32"/>
          <w:szCs w:val="32"/>
          <w:rtl/>
        </w:rPr>
        <w:t xml:space="preserve">. </w:t>
      </w:r>
      <w:r w:rsidRPr="002134AC">
        <w:rPr>
          <w:rFonts w:ascii="Traditional Arabic" w:hAnsi="Traditional Arabic" w:cs="Traditional Arabic"/>
          <w:sz w:val="32"/>
          <w:szCs w:val="32"/>
          <w:rtl/>
        </w:rPr>
        <w:t>استُخدمت أداة الاستبانة لجمع البيانات من عينة مكونة من 154 قائدًا من قيادات الشرطة الاتحادية، بهدف اختبار الفرضيات المطروحة، والتي انطلقت من إشكالية مفادها ضعف اهتمام إدارات المنظمات العامة، لا سيما الأمنية منها، بمفاهيم البراعة التنظيمية. وقد تمحور أحد الأسئلة الرئيسة للدراسة حول "دور القيادة الاستراتيجية في تعزيز البراعة التنظيمية لدى الشرطة الاتحادية العراقية". وتبرز أهمية الدراسة من خلال الربط بين متغيرين استراتيجيين في مؤسسة أمنية مركزية ضمن وزارة الداخلية العراقية، وهي المسؤولة عن حفظ الأمن والاستقرار في المجتمع</w:t>
      </w:r>
      <w:r w:rsidRPr="002134AC">
        <w:rPr>
          <w:rFonts w:ascii="Traditional Arabic" w:hAnsi="Traditional Arabic" w:cs="Traditional Arabic"/>
          <w:sz w:val="32"/>
          <w:szCs w:val="32"/>
        </w:rPr>
        <w:t>.</w:t>
      </w:r>
      <w:r w:rsidRPr="002134AC">
        <w:rPr>
          <w:rFonts w:ascii="Traditional Arabic" w:hAnsi="Traditional Arabic" w:cs="Traditional Arabic" w:hint="cs"/>
          <w:sz w:val="32"/>
          <w:szCs w:val="32"/>
          <w:rtl/>
          <w:lang w:bidi="ar-AE"/>
        </w:rPr>
        <w:t xml:space="preserve"> </w:t>
      </w:r>
      <w:r w:rsidRPr="002134AC">
        <w:rPr>
          <w:rFonts w:ascii="Traditional Arabic" w:hAnsi="Traditional Arabic" w:cs="Traditional Arabic"/>
          <w:sz w:val="32"/>
          <w:szCs w:val="32"/>
          <w:rtl/>
        </w:rPr>
        <w:t>تم تحليل البيانات باستخدام مجموعة من الأساليب الإحصائية المتقدمة، من أبرزها نمذجة المعادلة الهيكلية</w:t>
      </w:r>
      <w:r w:rsidRPr="002134AC">
        <w:rPr>
          <w:rFonts w:ascii="Traditional Arabic" w:hAnsi="Traditional Arabic" w:cs="Traditional Arabic"/>
          <w:sz w:val="32"/>
          <w:szCs w:val="32"/>
        </w:rPr>
        <w:t xml:space="preserve"> (SEM)</w:t>
      </w:r>
      <w:r w:rsidRPr="002134AC">
        <w:rPr>
          <w:rFonts w:ascii="Traditional Arabic" w:hAnsi="Traditional Arabic" w:cs="Traditional Arabic" w:hint="cs"/>
          <w:sz w:val="32"/>
          <w:szCs w:val="32"/>
          <w:rtl/>
        </w:rPr>
        <w:t xml:space="preserve"> </w:t>
      </w:r>
      <w:r w:rsidRPr="002134AC">
        <w:rPr>
          <w:rFonts w:ascii="Traditional Arabic" w:hAnsi="Traditional Arabic" w:cs="Traditional Arabic"/>
          <w:sz w:val="32"/>
          <w:szCs w:val="32"/>
          <w:rtl/>
        </w:rPr>
        <w:t>، لقياس التأثيرات المباشرة بين المتغيرات. أظهرت نتائج الدراسة اهتمام قيادة الشرطة الاتحادية باستغلال إمكاناتها التكنولوجية وتحسين كفاءة مواردها البشرية، من خلال برامج التدريب والتعليم، وتبني استراتيجيات مستوحاة من تجارب منظمات أمنية ناجحة. كما كشفت النتائج عن وجود وعي متزايد لدى القيادة بأهمية البراعة التنظيمية في تعزيز الأداء الأمني وتقليل الخسائر</w:t>
      </w:r>
      <w:r w:rsidRPr="002134AC">
        <w:rPr>
          <w:rFonts w:ascii="Traditional Arabic" w:hAnsi="Traditional Arabic" w:cs="Traditional Arabic"/>
          <w:sz w:val="32"/>
          <w:szCs w:val="32"/>
        </w:rPr>
        <w:t>.</w:t>
      </w:r>
      <w:r w:rsidRPr="002134AC">
        <w:rPr>
          <w:rFonts w:ascii="Traditional Arabic" w:hAnsi="Traditional Arabic" w:cs="Traditional Arabic"/>
          <w:sz w:val="32"/>
          <w:szCs w:val="32"/>
          <w:rtl/>
        </w:rPr>
        <w:t>أوصت الدراسة بضرورة استحداث قسم لوجستي متخصص في تقديم الدعم المادي والمعنوي للمنتسبين، لما لذلك من أثر مباشر في رفع مستويات البراعة التنظيمية، وتحفيز الابتكار في الأداء الأمني</w:t>
      </w:r>
      <w:r w:rsidRPr="002134AC">
        <w:rPr>
          <w:rFonts w:ascii="Traditional Arabic" w:hAnsi="Traditional Arabic" w:cs="Traditional Arabic"/>
          <w:sz w:val="32"/>
          <w:szCs w:val="32"/>
        </w:rPr>
        <w:t>.</w:t>
      </w:r>
    </w:p>
    <w:p w14:paraId="620C9CF7" w14:textId="77777777" w:rsidR="00454375" w:rsidRPr="00D05340" w:rsidRDefault="00454375" w:rsidP="00454375">
      <w:pPr>
        <w:bidi/>
        <w:spacing w:after="200" w:line="360" w:lineRule="auto"/>
        <w:jc w:val="both"/>
        <w:rPr>
          <w:rFonts w:ascii="Traditional Arabic" w:hAnsi="Traditional Arabic" w:cs="Traditional Arabic"/>
          <w:sz w:val="32"/>
          <w:szCs w:val="32"/>
          <w:rtl/>
          <w:lang w:bidi="ar-JO"/>
        </w:rPr>
      </w:pPr>
    </w:p>
    <w:p w14:paraId="1FDCC2B3" w14:textId="01A596DF" w:rsidR="00454375" w:rsidRDefault="00454375" w:rsidP="002134AC">
      <w:p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sz w:val="32"/>
          <w:szCs w:val="32"/>
          <w:rtl/>
        </w:rPr>
        <w:t xml:space="preserve">هدفت دراسة ابو جنيب، (2020) إلى التعرف على مستوى ممارسة التفكير الاستراتيجي لدى رؤساء الأقسام الأكاديمية في الجامعات الأردنية الخاصة بمحافظة العاصمة عمّان، وعلاقته بمستوى البراعة </w:t>
      </w:r>
      <w:r w:rsidRPr="00D05340">
        <w:rPr>
          <w:rFonts w:ascii="Traditional Arabic" w:hAnsi="Traditional Arabic" w:cs="Traditional Arabic"/>
          <w:sz w:val="32"/>
          <w:szCs w:val="32"/>
          <w:rtl/>
        </w:rPr>
        <w:lastRenderedPageBreak/>
        <w:t>التنظيمية من وجهة نظر أعضاء هيئة التدريس، بالإضافة إلى الكشف عن الفروق المحتملة في هذه الممارسات تبعًا لمتغيرات الجنس، والترتيب الأكاديمي، وسنوات الخدمة. اعتمدت الدراسة على المنهج الوصفي المسحي الارتباطي، وتمثلت عينة الدراسة في (279) عضو هيئة تدريس من أصل مجتمع مكون من (5829) عضواً، حيث تم استخدام استبانة مكونة من جزأين: الأول لقياس التفكير الاستراتيجي (30 فقرة)، والثاني لقياس البراعة التنظيمية (25 فقرة). وقد أظهرت النتائج أن درجة ممارسة التفكير الاستراتيجي لدى رؤساء الأقسام جاءت بدرجة مرتفعة، كما تبين عدم وجود فروق ذات دلالة إحصائية تعزى لمتغيري الجنس والترتيب الأكاديمي، في حين ظهرت فروق لصالح ذوي الخبرة من 1 إلى 15 سنة. كما بينت النتائج أن مستوى البراعة التنظيمية كان أيضًا مرتفعًا، مع غياب فروق دالة إحصائيًا حسب الجنس والترتيب الأكاديمي، وظهور فروق تبعًا لسنوات الخدمة. وأظهرت الدراسة وجود علاقة ارتباطية إيجابية بين درجة ممارسة التفكير الاستراتيجي ومستوى البراعة التنظيمية. وفي ضوء النتائج، أوصت الدراسة بتعزيز التواصل الفعّال بين رؤساء الأقسام وأعضاء هيئة التدريس، وتشجيع المبادرات التطويرية، إلى جانب عقد اجتماعات دورية لتبادل الآراء والخبرات، كما اقترحت إجراء دراسات مستقبلية تتناول البراعة التنظيمية كمتغير مستقل وتأثيرها على متغيرات إدارية أخرى مثل التميز الإداري</w:t>
      </w:r>
      <w:r w:rsidRPr="00D05340">
        <w:rPr>
          <w:rFonts w:ascii="Traditional Arabic" w:hAnsi="Traditional Arabic" w:cs="Traditional Arabic"/>
          <w:sz w:val="32"/>
          <w:szCs w:val="32"/>
          <w:lang w:val="en-GB"/>
        </w:rPr>
        <w:t>.</w:t>
      </w:r>
    </w:p>
    <w:p w14:paraId="62AD2EC7" w14:textId="77777777" w:rsidR="00454375" w:rsidRPr="00D05340" w:rsidRDefault="00454375" w:rsidP="00454375">
      <w:pPr>
        <w:bidi/>
        <w:spacing w:after="200" w:line="360" w:lineRule="auto"/>
        <w:jc w:val="both"/>
        <w:rPr>
          <w:rFonts w:ascii="Traditional Arabic" w:hAnsi="Traditional Arabic" w:cs="Traditional Arabic"/>
          <w:sz w:val="32"/>
          <w:szCs w:val="32"/>
        </w:rPr>
      </w:pPr>
    </w:p>
    <w:p w14:paraId="7A95AFA5" w14:textId="4F100A63" w:rsidR="00454375" w:rsidRPr="00D05340" w:rsidRDefault="00454375" w:rsidP="006C635A">
      <w:pPr>
        <w:bidi/>
        <w:spacing w:after="200" w:line="360" w:lineRule="auto"/>
        <w:jc w:val="both"/>
        <w:rPr>
          <w:rFonts w:ascii="Traditional Arabic" w:hAnsi="Traditional Arabic" w:cs="Traditional Arabic"/>
          <w:b/>
          <w:bCs/>
          <w:sz w:val="32"/>
          <w:szCs w:val="32"/>
          <w:rtl/>
        </w:rPr>
      </w:pPr>
      <w:r w:rsidRPr="00D05340">
        <w:rPr>
          <w:rFonts w:ascii="Traditional Arabic" w:hAnsi="Traditional Arabic" w:cs="Traditional Arabic" w:hint="cs"/>
          <w:b/>
          <w:bCs/>
          <w:sz w:val="32"/>
          <w:szCs w:val="32"/>
          <w:rtl/>
        </w:rPr>
        <w:t xml:space="preserve">ثانيا: </w:t>
      </w:r>
      <w:r w:rsidRPr="00D05340">
        <w:rPr>
          <w:rFonts w:ascii="Traditional Arabic" w:hAnsi="Traditional Arabic" w:cs="Traditional Arabic"/>
          <w:b/>
          <w:bCs/>
          <w:sz w:val="32"/>
          <w:szCs w:val="32"/>
          <w:rtl/>
        </w:rPr>
        <w:t>الدراسات الاجنبية</w:t>
      </w:r>
      <w:r w:rsidRPr="00D05340">
        <w:rPr>
          <w:rFonts w:ascii="Traditional Arabic" w:hAnsi="Traditional Arabic" w:cs="Traditional Arabic" w:hint="cs"/>
          <w:b/>
          <w:bCs/>
          <w:sz w:val="32"/>
          <w:szCs w:val="32"/>
          <w:rtl/>
        </w:rPr>
        <w:t>:</w:t>
      </w:r>
    </w:p>
    <w:p w14:paraId="5B803949" w14:textId="77777777" w:rsidR="00454375" w:rsidRPr="00D05340" w:rsidRDefault="00454375" w:rsidP="00454375">
      <w:p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sz w:val="32"/>
          <w:szCs w:val="32"/>
          <w:rtl/>
        </w:rPr>
        <w:t>دراسة (</w:t>
      </w:r>
      <w:r w:rsidRPr="00D05340">
        <w:rPr>
          <w:rFonts w:ascii="Traditional Arabic" w:hAnsi="Traditional Arabic" w:cs="Traditional Arabic"/>
          <w:sz w:val="32"/>
          <w:szCs w:val="32"/>
        </w:rPr>
        <w:t>Mekuri-Ndimele, 2025</w:t>
      </w:r>
      <w:r w:rsidRPr="00D05340">
        <w:rPr>
          <w:rFonts w:ascii="Traditional Arabic" w:hAnsi="Traditional Arabic" w:cs="Traditional Arabic"/>
          <w:sz w:val="32"/>
          <w:szCs w:val="32"/>
          <w:rtl/>
        </w:rPr>
        <w:t>)</w:t>
      </w:r>
    </w:p>
    <w:p w14:paraId="61229862" w14:textId="77777777" w:rsidR="00454375" w:rsidRPr="00D05340" w:rsidRDefault="00454375" w:rsidP="00454375">
      <w:pPr>
        <w:bidi/>
        <w:spacing w:after="200" w:line="360" w:lineRule="auto"/>
        <w:jc w:val="both"/>
        <w:rPr>
          <w:rFonts w:ascii="Traditional Arabic" w:hAnsi="Traditional Arabic" w:cs="Traditional Arabic"/>
          <w:sz w:val="32"/>
          <w:szCs w:val="32"/>
          <w:rtl/>
        </w:rPr>
      </w:pPr>
      <w:r w:rsidRPr="00D05340">
        <w:rPr>
          <w:rFonts w:ascii="Traditional Arabic" w:hAnsi="Traditional Arabic" w:cs="Traditional Arabic"/>
          <w:sz w:val="32"/>
          <w:szCs w:val="32"/>
          <w:rtl/>
        </w:rPr>
        <w:t xml:space="preserve">هدفت هذه الدراسة إلى فحص العلاقة بين تخطيط الموارد البشرية والبراعة التنظيمية في شركات التصنيع العاملة في ولاية ريفرز. وقد اعتمدت الدراسة على تصميم المسح البحثي المقطعي، وتم جمع البيانات </w:t>
      </w:r>
      <w:r w:rsidRPr="00D05340">
        <w:rPr>
          <w:rFonts w:ascii="Traditional Arabic" w:hAnsi="Traditional Arabic" w:cs="Traditional Arabic"/>
          <w:sz w:val="32"/>
          <w:szCs w:val="32"/>
          <w:rtl/>
        </w:rPr>
        <w:lastRenderedPageBreak/>
        <w:t>الأولية من خلال استبانة مُنظمة. تكون مجتمع الدراسة من 32 شركة تصنيع مسجلة لدى رابطة المصنّعين في نيجيريا – فرع ولاية ريفرز، وتم اختيار أربعة مديرين بشكل قصدي من كل شركة، ليصبح إجمالي عدد المشاركين 128 مستجيباً. وتم التأكد من موثوقية أداة القياس باستخدام معامل كرونباخ ألفا، حيث جاءت جميع القيم فوق 0.70، مما يدل على درجة عالية من الموثوقية. وقد تم اختبار الفرضيات باستخدام معامل ارتباط الرتب لسبيرمان، عند مستوى دلالة 0.05. وقد أظهرت النتائج وجود علاقة ذات دلالة إحصائية بين تخطيط الموارد البشرية والبراعة التنظيمية في شركات التصنيع بولاية ريفرز. وبناءً على ذلك، خلصت الدراسة إلى أن تخطيط الموارد البشرية يسهم بشكل إيجابي في تعزيز البراعة التنظيمية لتلك الشركات، مما يعني أن التخطيط الفعّال للموارد البشرية يمكّن شركات التصنيع من التكيف السريع مع متطلبات السوق المتغيرة والتحديات التشغيلية. وتوصي الدراسة بضرورة أن تعتمد شركات التصنيع في ولاية ريفرز إطاراً قوياً لتخطيط الموارد البشرية، يشمل تقييمات منتظمة للمهارات، وتنبؤات مستقبلية بالقوى العاملة، وبرامج تدريبية موجهة</w:t>
      </w:r>
      <w:r w:rsidRPr="00D05340">
        <w:rPr>
          <w:rFonts w:ascii="Traditional Arabic" w:hAnsi="Traditional Arabic" w:cs="Traditional Arabic"/>
          <w:sz w:val="32"/>
          <w:szCs w:val="32"/>
          <w:lang w:val="en-GB"/>
        </w:rPr>
        <w:t>.</w:t>
      </w:r>
    </w:p>
    <w:p w14:paraId="3E3960AD" w14:textId="77777777" w:rsidR="002134AC" w:rsidRDefault="002134AC" w:rsidP="002134AC">
      <w:pPr>
        <w:bidi/>
        <w:spacing w:after="200" w:line="360" w:lineRule="auto"/>
        <w:jc w:val="both"/>
        <w:rPr>
          <w:rFonts w:ascii="Traditional Arabic" w:hAnsi="Traditional Arabic" w:cs="Traditional Arabic"/>
          <w:sz w:val="32"/>
          <w:szCs w:val="32"/>
        </w:rPr>
      </w:pPr>
    </w:p>
    <w:p w14:paraId="2658FD75" w14:textId="77777777" w:rsidR="002134AC" w:rsidRPr="002134AC" w:rsidRDefault="002134AC" w:rsidP="002134AC">
      <w:pPr>
        <w:bidi/>
        <w:spacing w:after="200" w:line="360" w:lineRule="auto"/>
        <w:jc w:val="both"/>
        <w:rPr>
          <w:rFonts w:ascii="Traditional Arabic" w:hAnsi="Traditional Arabic" w:cs="Traditional Arabic"/>
          <w:sz w:val="32"/>
          <w:szCs w:val="32"/>
          <w:rtl/>
          <w:lang w:bidi="ar-AE"/>
        </w:rPr>
      </w:pPr>
      <w:r w:rsidRPr="002134AC">
        <w:rPr>
          <w:rFonts w:ascii="Traditional Arabic" w:hAnsi="Traditional Arabic" w:cs="Traditional Arabic"/>
          <w:sz w:val="32"/>
          <w:szCs w:val="32"/>
          <w:rtl/>
        </w:rPr>
        <w:t>دراسة (</w:t>
      </w:r>
      <w:r w:rsidRPr="002134AC">
        <w:rPr>
          <w:rFonts w:ascii="Traditional Arabic" w:hAnsi="Traditional Arabic" w:cs="Traditional Arabic"/>
          <w:sz w:val="32"/>
          <w:szCs w:val="32"/>
        </w:rPr>
        <w:t>Wang, J., &amp; Regua, 2024</w:t>
      </w:r>
      <w:r w:rsidRPr="002134AC">
        <w:rPr>
          <w:rFonts w:ascii="Traditional Arabic" w:hAnsi="Traditional Arabic" w:cs="Traditional Arabic"/>
          <w:sz w:val="32"/>
          <w:szCs w:val="32"/>
          <w:rtl/>
        </w:rPr>
        <w:t>)</w:t>
      </w:r>
    </w:p>
    <w:p w14:paraId="3F00396F" w14:textId="77777777" w:rsidR="002134AC" w:rsidRPr="002134AC" w:rsidRDefault="002134AC" w:rsidP="002134AC">
      <w:pPr>
        <w:bidi/>
        <w:spacing w:after="200" w:line="360" w:lineRule="auto"/>
        <w:jc w:val="both"/>
        <w:rPr>
          <w:rFonts w:ascii="Traditional Arabic" w:hAnsi="Traditional Arabic" w:cs="Traditional Arabic"/>
          <w:sz w:val="32"/>
          <w:szCs w:val="32"/>
          <w:rtl/>
        </w:rPr>
      </w:pPr>
      <w:r w:rsidRPr="002134AC">
        <w:rPr>
          <w:rFonts w:ascii="Traditional Arabic" w:hAnsi="Traditional Arabic" w:cs="Traditional Arabic"/>
          <w:sz w:val="32"/>
          <w:szCs w:val="32"/>
          <w:rtl/>
        </w:rPr>
        <w:t>هدفت هذه الدراسة إلى فحص الدور المحوري الذي تلعبه إدارة الموارد البشرية الاستراتيجية</w:t>
      </w:r>
      <w:r w:rsidRPr="002134AC">
        <w:rPr>
          <w:rFonts w:ascii="Traditional Arabic" w:hAnsi="Traditional Arabic" w:cs="Traditional Arabic" w:hint="cs"/>
          <w:sz w:val="32"/>
          <w:szCs w:val="32"/>
          <w:rtl/>
        </w:rPr>
        <w:t xml:space="preserve"> </w:t>
      </w:r>
      <w:r w:rsidRPr="002134AC">
        <w:rPr>
          <w:rFonts w:ascii="Traditional Arabic" w:hAnsi="Traditional Arabic" w:cs="Traditional Arabic"/>
          <w:sz w:val="32"/>
          <w:szCs w:val="32"/>
          <w:rtl/>
        </w:rPr>
        <w:t>في تعزيز البراعة التنظيمية. ومن خلال تحليل ممارسات المؤسسات الرشيقة (المرنة)، تحدد الدراسة أبرز استراتيجيات إدارة الموارد البشرية الاستراتيجية التي تسهم في تعزيز القدرة على التكيف والاستجابة والمرونة التنظيمية، مثل إدارة المواهب، والتعلم والتطوير المستمر، وترتيبات العمل المرنة، والتركيز القوي على مشاركة وتمكين الموظفين. وتوضح الدراسة كيف تساهم ممارسات</w:t>
      </w:r>
      <w:r w:rsidRPr="002134AC">
        <w:rPr>
          <w:rFonts w:ascii="Traditional Arabic" w:hAnsi="Traditional Arabic" w:cs="Traditional Arabic"/>
          <w:sz w:val="32"/>
          <w:szCs w:val="32"/>
          <w:lang w:val="en-GB"/>
        </w:rPr>
        <w:t xml:space="preserve"> </w:t>
      </w:r>
      <w:r w:rsidRPr="002134AC">
        <w:rPr>
          <w:rFonts w:ascii="Traditional Arabic" w:hAnsi="Traditional Arabic" w:cs="Traditional Arabic"/>
          <w:sz w:val="32"/>
          <w:szCs w:val="32"/>
          <w:rtl/>
        </w:rPr>
        <w:t>إدارة الموارد البشرية الاستراتيجية</w:t>
      </w:r>
      <w:r w:rsidRPr="002134AC">
        <w:rPr>
          <w:rFonts w:ascii="Traditional Arabic" w:hAnsi="Traditional Arabic" w:cs="Traditional Arabic"/>
          <w:sz w:val="32"/>
          <w:szCs w:val="32"/>
          <w:lang w:val="en-GB"/>
        </w:rPr>
        <w:t xml:space="preserve"> </w:t>
      </w:r>
      <w:r w:rsidRPr="002134AC">
        <w:rPr>
          <w:rFonts w:ascii="Traditional Arabic" w:hAnsi="Traditional Arabic" w:cs="Traditional Arabic"/>
          <w:sz w:val="32"/>
          <w:szCs w:val="32"/>
          <w:rtl/>
        </w:rPr>
        <w:lastRenderedPageBreak/>
        <w:t>في مواءمة الموارد البشرية مع الأهداف التنظيمية، مما يمكّن المؤسسات من الاستجابة السريعة للتغيرات في السوق والفرص الناشئة. ومن خلال استخدام منهجية تجمع بين الأساليب الكمية والنوعية، تكشف الدراسة عن التأثيرات المباشرة وغير المباشرة لـإدارة الموارد البشرية الاستراتيجية</w:t>
      </w:r>
      <w:r w:rsidRPr="002134AC">
        <w:rPr>
          <w:rFonts w:ascii="Traditional Arabic" w:hAnsi="Traditional Arabic" w:cs="Traditional Arabic"/>
          <w:sz w:val="32"/>
          <w:szCs w:val="32"/>
          <w:lang w:val="en-GB"/>
        </w:rPr>
        <w:t xml:space="preserve"> </w:t>
      </w:r>
      <w:r w:rsidRPr="002134AC">
        <w:rPr>
          <w:rFonts w:ascii="Traditional Arabic" w:hAnsi="Traditional Arabic" w:cs="Traditional Arabic"/>
          <w:sz w:val="32"/>
          <w:szCs w:val="32"/>
          <w:rtl/>
        </w:rPr>
        <w:t>على البراعة التنظيمية، وتُظهر كيف أن المبادرات الاستراتيجية في إدارة الموارد البشرية تُعزز الابتكار، وتحسن الأداء، وتدعم الميزة التنافسية المستدامة. وتقدم النتائج رؤى قيّمة للمتخصصين في الموارد البشرية وقادة الأعمال وصناع السياسات ممن يسعون إلى بناء قوة عاملة قادرة على التكيف والنجاح في بيئة أعمال ديناميكية. وتؤكد الدراسة على ضرورة دمج إدارة الموارد البشرية الاستراتيجية في صلب الاستراتيجية العامة للمؤسسة لتحقيق البراعة التنظيمية والنجاح طويل الأمد</w:t>
      </w:r>
      <w:r w:rsidRPr="002134AC">
        <w:rPr>
          <w:rFonts w:ascii="Traditional Arabic" w:hAnsi="Traditional Arabic" w:cs="Traditional Arabic"/>
          <w:sz w:val="32"/>
          <w:szCs w:val="32"/>
          <w:lang w:val="en-GB"/>
        </w:rPr>
        <w:t>.</w:t>
      </w:r>
    </w:p>
    <w:p w14:paraId="3A3E9108" w14:textId="77777777" w:rsidR="002134AC" w:rsidRDefault="002134AC" w:rsidP="002134AC">
      <w:pPr>
        <w:bidi/>
        <w:spacing w:after="200" w:line="360" w:lineRule="auto"/>
        <w:jc w:val="both"/>
        <w:rPr>
          <w:rFonts w:ascii="Traditional Arabic" w:hAnsi="Traditional Arabic" w:cs="Traditional Arabic"/>
          <w:sz w:val="32"/>
          <w:szCs w:val="32"/>
        </w:rPr>
      </w:pPr>
    </w:p>
    <w:p w14:paraId="474FF9C9" w14:textId="77777777" w:rsidR="002134AC" w:rsidRPr="002134AC" w:rsidRDefault="002134AC" w:rsidP="002134AC">
      <w:pPr>
        <w:bidi/>
        <w:spacing w:after="200" w:line="360" w:lineRule="auto"/>
        <w:jc w:val="both"/>
        <w:rPr>
          <w:rFonts w:ascii="Traditional Arabic" w:hAnsi="Traditional Arabic" w:cs="Traditional Arabic"/>
          <w:sz w:val="32"/>
          <w:szCs w:val="32"/>
        </w:rPr>
      </w:pPr>
      <w:r w:rsidRPr="002134AC">
        <w:rPr>
          <w:rFonts w:ascii="Traditional Arabic" w:hAnsi="Traditional Arabic" w:cs="Traditional Arabic"/>
          <w:sz w:val="32"/>
          <w:szCs w:val="32"/>
          <w:rtl/>
        </w:rPr>
        <w:t>دراسة (</w:t>
      </w:r>
      <w:r w:rsidRPr="002134AC">
        <w:rPr>
          <w:rFonts w:ascii="Traditional Arabic" w:hAnsi="Traditional Arabic" w:cs="Traditional Arabic"/>
          <w:sz w:val="32"/>
          <w:szCs w:val="32"/>
          <w:lang w:val="en-GB"/>
        </w:rPr>
        <w:t>Almagharbeh</w:t>
      </w:r>
      <w:r w:rsidRPr="002134AC">
        <w:rPr>
          <w:rFonts w:ascii="Traditional Arabic" w:hAnsi="Traditional Arabic" w:cs="Traditional Arabic"/>
          <w:sz w:val="32"/>
          <w:szCs w:val="32"/>
        </w:rPr>
        <w:t>, 2024</w:t>
      </w:r>
      <w:r w:rsidRPr="002134AC">
        <w:rPr>
          <w:rFonts w:ascii="Traditional Arabic" w:hAnsi="Traditional Arabic" w:cs="Traditional Arabic"/>
          <w:sz w:val="32"/>
          <w:szCs w:val="32"/>
          <w:rtl/>
          <w:lang w:bidi="ar-AE"/>
        </w:rPr>
        <w:t>)</w:t>
      </w:r>
    </w:p>
    <w:p w14:paraId="622E77E6" w14:textId="77777777" w:rsidR="002134AC" w:rsidRPr="002134AC" w:rsidRDefault="002134AC" w:rsidP="002134AC">
      <w:pPr>
        <w:bidi/>
        <w:spacing w:after="200" w:line="360" w:lineRule="auto"/>
        <w:jc w:val="both"/>
        <w:rPr>
          <w:rFonts w:ascii="Traditional Arabic" w:hAnsi="Traditional Arabic" w:cs="Traditional Arabic"/>
          <w:sz w:val="32"/>
          <w:szCs w:val="32"/>
          <w:rtl/>
        </w:rPr>
      </w:pPr>
      <w:r w:rsidRPr="002134AC">
        <w:rPr>
          <w:rFonts w:ascii="Traditional Arabic" w:hAnsi="Traditional Arabic" w:cs="Traditional Arabic"/>
          <w:sz w:val="32"/>
          <w:szCs w:val="32"/>
          <w:rtl/>
        </w:rPr>
        <w:t xml:space="preserve">تُعتبر ممارسات الموارد البشرية الرشيقة من العوامل الأساسية لتحقيق الميزة التنافسية في المؤسسات الحديثة، حيث يرتبط تطبيقها الفعّال بوجود كوادر مدربة ومحفزة. تهدف هذه الدراسة إلى استكشاف تأثير مرونة الموارد البشرية على الاستدامة التنظيمية في قطاع الفنادق الأردني من خلال منهجية كمية اعتمدت على استبيان وزع على 410 موظفين من أصل 21,835 موظفاً في 22 فندقاً. باستخدام نمذجة المعادلات الهيكلية والتحليلات الإحصائية المتعددة، أظهرت النتائج أن خاصيتي الصمود والتكيف والمبادرة تلعب دوراً إيجابياً ذا دلالة إحصائية في تعزيز أبعاد الاستدامة الاجتماعية والبيئية والاقتصادية، مع ملاحظة غياب التأثير المعنوي للصمود على البعد البيئي. وبناءً عليه، توصي الدراسة بضرورة تعزيز ممارسات الموارد البشرية الرشيقة في قطاع الفنادق للحفاظ على استدامة المؤسسات ومنع تدهورها، مع التأكيد على أهمية </w:t>
      </w:r>
      <w:r w:rsidRPr="002134AC">
        <w:rPr>
          <w:rFonts w:ascii="Traditional Arabic" w:hAnsi="Traditional Arabic" w:cs="Traditional Arabic"/>
          <w:sz w:val="32"/>
          <w:szCs w:val="32"/>
          <w:rtl/>
        </w:rPr>
        <w:lastRenderedPageBreak/>
        <w:t>دراسة الدور الوسيط للاندماج الوظيفي في العلاقة بين مرونة الموارد البشرية والاستدامة التنظيمية عبر قطاعات ومناطق مختلفة</w:t>
      </w:r>
      <w:r w:rsidRPr="002134AC">
        <w:rPr>
          <w:rFonts w:ascii="Traditional Arabic" w:hAnsi="Traditional Arabic" w:cs="Traditional Arabic"/>
          <w:sz w:val="32"/>
          <w:szCs w:val="32"/>
          <w:lang w:val="en-GB"/>
        </w:rPr>
        <w:t>.</w:t>
      </w:r>
    </w:p>
    <w:p w14:paraId="2BBA9144" w14:textId="77777777" w:rsidR="002134AC" w:rsidRPr="002134AC" w:rsidRDefault="002134AC" w:rsidP="002134AC">
      <w:pPr>
        <w:bidi/>
        <w:spacing w:after="200" w:line="360" w:lineRule="auto"/>
        <w:jc w:val="both"/>
        <w:rPr>
          <w:rFonts w:ascii="Traditional Arabic" w:hAnsi="Traditional Arabic" w:cs="Traditional Arabic"/>
          <w:sz w:val="32"/>
          <w:szCs w:val="32"/>
          <w:rtl/>
        </w:rPr>
      </w:pPr>
    </w:p>
    <w:p w14:paraId="2F63A7F5" w14:textId="77777777" w:rsidR="002134AC" w:rsidRPr="002134AC" w:rsidRDefault="002134AC" w:rsidP="002134AC">
      <w:pPr>
        <w:bidi/>
        <w:spacing w:after="200" w:line="360" w:lineRule="auto"/>
        <w:jc w:val="both"/>
        <w:rPr>
          <w:rFonts w:ascii="Traditional Arabic" w:hAnsi="Traditional Arabic" w:cs="Traditional Arabic"/>
          <w:sz w:val="32"/>
          <w:szCs w:val="32"/>
        </w:rPr>
      </w:pPr>
      <w:r w:rsidRPr="002134AC">
        <w:rPr>
          <w:rFonts w:ascii="Traditional Arabic" w:hAnsi="Traditional Arabic" w:cs="Traditional Arabic"/>
          <w:sz w:val="32"/>
          <w:szCs w:val="32"/>
          <w:rtl/>
        </w:rPr>
        <w:t>دراسة (</w:t>
      </w:r>
      <w:r w:rsidRPr="002134AC">
        <w:rPr>
          <w:rFonts w:ascii="Traditional Arabic" w:hAnsi="Traditional Arabic" w:cs="Traditional Arabic"/>
          <w:sz w:val="32"/>
          <w:szCs w:val="32"/>
        </w:rPr>
        <w:t>Marhoon and Omar, 2024</w:t>
      </w:r>
      <w:r w:rsidRPr="002134AC">
        <w:rPr>
          <w:rFonts w:ascii="Traditional Arabic" w:hAnsi="Traditional Arabic" w:cs="Traditional Arabic"/>
          <w:sz w:val="32"/>
          <w:szCs w:val="32"/>
          <w:rtl/>
          <w:lang w:bidi="ar-AE"/>
        </w:rPr>
        <w:t>)</w:t>
      </w:r>
    </w:p>
    <w:p w14:paraId="1D2F3C12" w14:textId="77777777" w:rsidR="002134AC" w:rsidRPr="002134AC" w:rsidRDefault="002134AC" w:rsidP="002134AC">
      <w:pPr>
        <w:bidi/>
        <w:spacing w:after="200" w:line="360" w:lineRule="auto"/>
        <w:jc w:val="both"/>
        <w:rPr>
          <w:rFonts w:ascii="Traditional Arabic" w:hAnsi="Traditional Arabic" w:cs="Traditional Arabic"/>
          <w:sz w:val="32"/>
          <w:szCs w:val="32"/>
        </w:rPr>
      </w:pPr>
      <w:r w:rsidRPr="002134AC">
        <w:rPr>
          <w:rFonts w:ascii="Traditional Arabic" w:hAnsi="Traditional Arabic" w:cs="Traditional Arabic"/>
          <w:sz w:val="32"/>
          <w:szCs w:val="32"/>
          <w:rtl/>
        </w:rPr>
        <w:t>تُعتبر البراعة التنظيمية، وهي القدرة على التكيف السريع مع التغيرات الداخلية والخارجية، من العوامل الأساسية للحفاظ على النجاح المستدام في بيئة الأعمال العالمية الديناميكية الحالية. يتطلب تحقيق هذه البراعة اعتماد ممارسات تُحفز التحول والنمو والابتكار، والتي تتأثر بعوامل مثل العولمة، التغير التكنولوجي، والتنافسية الشديدة. تلعب إدارة الموارد البشرية دورًا محوريًا في تعزيز هذه البراعة، حيث تُعتبر ممارسات إدارة الموارد البشرية المستدامة</w:t>
      </w:r>
      <w:r w:rsidRPr="002134AC">
        <w:rPr>
          <w:rFonts w:ascii="Traditional Arabic" w:hAnsi="Traditional Arabic" w:cs="Traditional Arabic"/>
          <w:sz w:val="32"/>
          <w:szCs w:val="32"/>
        </w:rPr>
        <w:t xml:space="preserve"> </w:t>
      </w:r>
      <w:r w:rsidRPr="002134AC">
        <w:rPr>
          <w:rFonts w:ascii="Traditional Arabic" w:hAnsi="Traditional Arabic" w:cs="Traditional Arabic"/>
          <w:sz w:val="32"/>
          <w:szCs w:val="32"/>
          <w:rtl/>
        </w:rPr>
        <w:t>من العناصر الرئيسية لتطوير قوة عمل مرنة وقابلة للتكيف. رغم كثرة الدراسات التي تبحث العلاقة بين البراعة التنظيمية ونتائجها، إلا أن الأبحاث التي تستكشف التقاطع بين إدارة الموارد البشرية المستدامة والبراعة التنظيمية، خاصة في القطاع العام، ما تزال محدودة. تهدف هذه المراجعة إلى تجميع وتحليل الأبحاث القائمة لفهم كيفية مساهمة ممارسات الموارد البشرية في تعزيز البراعة التنظيمية، مع التركيز على تطبيقها في القطاع العام وأهمية الاستدامة والقدرة على التكيف في سياق ما بعد الجائحة. كما تحدد المراجعة ثغرات بحثية، خصوصًا فيما يتعلق بالآليات التي من خلالها تساهم إدارة الموارد البشرية المستدامة في تحقيق كل من البراعة القصيرة الأمد والاستدامة التنظيمية طويلة الأمد</w:t>
      </w:r>
      <w:r w:rsidRPr="002134AC">
        <w:rPr>
          <w:rFonts w:ascii="Traditional Arabic" w:hAnsi="Traditional Arabic" w:cs="Traditional Arabic"/>
          <w:sz w:val="32"/>
          <w:szCs w:val="32"/>
        </w:rPr>
        <w:t>.</w:t>
      </w:r>
    </w:p>
    <w:p w14:paraId="38203EC1" w14:textId="77777777" w:rsidR="002134AC" w:rsidRDefault="002134AC" w:rsidP="002134AC">
      <w:pPr>
        <w:bidi/>
        <w:spacing w:after="200" w:line="360" w:lineRule="auto"/>
        <w:jc w:val="both"/>
        <w:rPr>
          <w:rFonts w:ascii="Traditional Arabic" w:hAnsi="Traditional Arabic" w:cs="Traditional Arabic"/>
          <w:sz w:val="32"/>
          <w:szCs w:val="32"/>
        </w:rPr>
      </w:pPr>
    </w:p>
    <w:p w14:paraId="5F87C409" w14:textId="77777777" w:rsidR="004A5E36" w:rsidRPr="002134AC" w:rsidRDefault="004A5E36" w:rsidP="004A5E36">
      <w:pPr>
        <w:bidi/>
        <w:spacing w:after="200" w:line="360" w:lineRule="auto"/>
        <w:jc w:val="both"/>
        <w:rPr>
          <w:rFonts w:ascii="Traditional Arabic" w:hAnsi="Traditional Arabic" w:cs="Traditional Arabic"/>
          <w:sz w:val="32"/>
          <w:szCs w:val="32"/>
          <w:rtl/>
        </w:rPr>
      </w:pPr>
    </w:p>
    <w:p w14:paraId="48143F24" w14:textId="77777777" w:rsidR="002134AC" w:rsidRPr="002134AC" w:rsidRDefault="002134AC" w:rsidP="002134AC">
      <w:pPr>
        <w:bidi/>
        <w:spacing w:after="200" w:line="360" w:lineRule="auto"/>
        <w:jc w:val="both"/>
        <w:rPr>
          <w:rFonts w:ascii="Traditional Arabic" w:hAnsi="Traditional Arabic" w:cs="Traditional Arabic"/>
          <w:sz w:val="32"/>
          <w:szCs w:val="32"/>
          <w:rtl/>
          <w:lang w:bidi="ar-AE"/>
        </w:rPr>
      </w:pPr>
      <w:r w:rsidRPr="002134AC">
        <w:rPr>
          <w:rFonts w:ascii="Traditional Arabic" w:hAnsi="Traditional Arabic" w:cs="Traditional Arabic"/>
          <w:sz w:val="32"/>
          <w:szCs w:val="32"/>
          <w:rtl/>
        </w:rPr>
        <w:lastRenderedPageBreak/>
        <w:t>دراسة (</w:t>
      </w:r>
      <w:r w:rsidRPr="002134AC">
        <w:rPr>
          <w:rFonts w:ascii="Traditional Arabic" w:hAnsi="Traditional Arabic" w:cs="Traditional Arabic"/>
          <w:sz w:val="32"/>
          <w:szCs w:val="32"/>
        </w:rPr>
        <w:t>Yamin et al., 2024</w:t>
      </w:r>
      <w:r w:rsidRPr="002134AC">
        <w:rPr>
          <w:rFonts w:ascii="Traditional Arabic" w:hAnsi="Traditional Arabic" w:cs="Traditional Arabic"/>
          <w:sz w:val="32"/>
          <w:szCs w:val="32"/>
          <w:rtl/>
          <w:lang w:bidi="ar-AE"/>
        </w:rPr>
        <w:t>)</w:t>
      </w:r>
    </w:p>
    <w:p w14:paraId="4BC7176D" w14:textId="77777777" w:rsidR="002134AC" w:rsidRPr="002134AC" w:rsidRDefault="002134AC" w:rsidP="002134AC">
      <w:pPr>
        <w:bidi/>
        <w:spacing w:after="200" w:line="360" w:lineRule="auto"/>
        <w:jc w:val="both"/>
        <w:rPr>
          <w:rFonts w:ascii="Traditional Arabic" w:hAnsi="Traditional Arabic" w:cs="Traditional Arabic"/>
          <w:sz w:val="32"/>
          <w:szCs w:val="32"/>
        </w:rPr>
      </w:pPr>
      <w:r w:rsidRPr="002134AC">
        <w:rPr>
          <w:rFonts w:ascii="Traditional Arabic" w:hAnsi="Traditional Arabic" w:cs="Traditional Arabic"/>
          <w:sz w:val="32"/>
          <w:szCs w:val="32"/>
          <w:rtl/>
        </w:rPr>
        <w:t>هدفت هذه الدراسة إلى استقصاء العوامل المؤثرة في براعة ومرونة سلسلة التوريد في شركات اللوجستيات. لذلك، تم تطوير نموذج بحثي متكامل يستند إلى إدارة الموارد البشرية الاستراتيجية وتقنيات الذكاء الاصطناعي لتحديد مدى براعة ومرونة سلسلة التوريد في هذه الشركات. جُمعت البيانات التجريبية من 221 موظفًا يعملون في شركات تصنيع بالمملكة العربية السعودية، وتم تحليلها باستخدام نمذجة المعادلات الهيكلية. أظهرت النتائج أن القيادة المشتركة، مهارات الموظفين، الثقافة التنظيمية، شدة المنافسة، تطوير رأس المال البشري، والذكاء الاصطناعي تفسر ما نسبته 80% من التباين في براعة سلسلة التوريد. كما كشفت تحليلات الأداء والأهمية أن عوامل القيادة، تطوير رأس المال البشري، والمرونة التنظيمية تحتل أهمية قصوى في تحديد مرونة سلسلة التوريد. عمليًا، توضح الدراسة أن هذه العوامل ترتبط إيجابيًا ببراعة سلسلة التوريد، مما يستدعي اهتمام صانعي السياسات. وتتمثل قيمة البحث في دمجه بين الذكاء الاصطناعي والمرونة التنظيمية وإدارة الموارد البشرية الاستراتيجية لفهم أفضل لبراعة سلسلة التوريد، بالإضافة إلى تحليل تأثير هذه العوامل على مرونتها</w:t>
      </w:r>
      <w:r w:rsidRPr="002134AC">
        <w:rPr>
          <w:rFonts w:ascii="Traditional Arabic" w:hAnsi="Traditional Arabic" w:cs="Traditional Arabic"/>
          <w:sz w:val="32"/>
          <w:szCs w:val="32"/>
        </w:rPr>
        <w:t>.</w:t>
      </w:r>
    </w:p>
    <w:p w14:paraId="0D4EC4FD" w14:textId="77777777" w:rsidR="002134AC" w:rsidRDefault="002134AC" w:rsidP="002134AC">
      <w:pPr>
        <w:bidi/>
        <w:spacing w:after="200" w:line="360" w:lineRule="auto"/>
        <w:jc w:val="both"/>
        <w:rPr>
          <w:rFonts w:ascii="Traditional Arabic" w:hAnsi="Traditional Arabic" w:cs="Traditional Arabic"/>
          <w:sz w:val="32"/>
          <w:szCs w:val="32"/>
        </w:rPr>
      </w:pPr>
    </w:p>
    <w:p w14:paraId="7693A208" w14:textId="77777777" w:rsidR="002134AC" w:rsidRPr="002134AC" w:rsidRDefault="002134AC" w:rsidP="002134AC">
      <w:pPr>
        <w:bidi/>
        <w:spacing w:after="200" w:line="360" w:lineRule="auto"/>
        <w:jc w:val="both"/>
        <w:rPr>
          <w:rFonts w:ascii="Traditional Arabic" w:hAnsi="Traditional Arabic" w:cs="Traditional Arabic"/>
          <w:sz w:val="32"/>
          <w:szCs w:val="32"/>
        </w:rPr>
      </w:pPr>
      <w:r w:rsidRPr="002134AC">
        <w:rPr>
          <w:rFonts w:ascii="Traditional Arabic" w:hAnsi="Traditional Arabic" w:cs="Traditional Arabic"/>
          <w:sz w:val="32"/>
          <w:szCs w:val="32"/>
          <w:rtl/>
        </w:rPr>
        <w:t>دراسة (</w:t>
      </w:r>
      <w:r w:rsidRPr="002134AC">
        <w:rPr>
          <w:rFonts w:ascii="Traditional Arabic" w:hAnsi="Traditional Arabic" w:cs="Traditional Arabic"/>
          <w:sz w:val="32"/>
          <w:szCs w:val="32"/>
        </w:rPr>
        <w:t>(Alhosani and Ahmad, 2024</w:t>
      </w:r>
    </w:p>
    <w:p w14:paraId="18BC0E03" w14:textId="77777777" w:rsidR="002134AC" w:rsidRPr="002134AC" w:rsidRDefault="002134AC" w:rsidP="002134AC">
      <w:pPr>
        <w:bidi/>
        <w:spacing w:after="200" w:line="360" w:lineRule="auto"/>
        <w:jc w:val="both"/>
        <w:rPr>
          <w:rFonts w:ascii="Traditional Arabic" w:hAnsi="Traditional Arabic" w:cs="Traditional Arabic"/>
          <w:sz w:val="32"/>
          <w:szCs w:val="32"/>
          <w:rtl/>
          <w:lang w:bidi="ar-JO"/>
        </w:rPr>
      </w:pPr>
      <w:r w:rsidRPr="002134AC">
        <w:rPr>
          <w:rFonts w:ascii="Traditional Arabic" w:hAnsi="Traditional Arabic" w:cs="Traditional Arabic" w:hint="cs"/>
          <w:sz w:val="32"/>
          <w:szCs w:val="32"/>
          <w:rtl/>
        </w:rPr>
        <w:t>هدفت</w:t>
      </w:r>
      <w:r w:rsidRPr="002134AC">
        <w:rPr>
          <w:rFonts w:ascii="Traditional Arabic" w:hAnsi="Traditional Arabic" w:cs="Traditional Arabic"/>
          <w:sz w:val="32"/>
          <w:szCs w:val="32"/>
          <w:rtl/>
        </w:rPr>
        <w:t xml:space="preserve"> هذه الدراسة إلى استكشاف كيفية مساهمة ممارسات الموارد البشرية والقيادة ورأس المال الفكري في تعزيز البراعة التنظيمية داخل قطاع الرعاية الصحية، بالإضافة إلى تقييم تأثير هذه البراعة على الأداء العام للمؤسسة. أُجريت الدراسة في مؤسسات الرعاية الصحية بدولة الإمارات العربية المتحدة، وشملت عينة مكونة من 275 مشاركًا تم اختيارهم بما يعكس توزيع السكان بدقة. اعتمد البحث على تقنية </w:t>
      </w:r>
      <w:r w:rsidRPr="002134AC">
        <w:rPr>
          <w:rFonts w:ascii="Traditional Arabic" w:hAnsi="Traditional Arabic" w:cs="Traditional Arabic"/>
          <w:sz w:val="32"/>
          <w:szCs w:val="32"/>
          <w:rtl/>
        </w:rPr>
        <w:lastRenderedPageBreak/>
        <w:t>نمذجة المعادلات الهيكلية باستخدام برنامج</w:t>
      </w:r>
      <w:r w:rsidRPr="002134AC">
        <w:rPr>
          <w:rFonts w:ascii="Traditional Arabic" w:hAnsi="Traditional Arabic" w:cs="Traditional Arabic"/>
          <w:sz w:val="32"/>
          <w:szCs w:val="32"/>
        </w:rPr>
        <w:t xml:space="preserve"> Partial Least Squares (PLS-SEM) </w:t>
      </w:r>
      <w:r w:rsidRPr="002134AC">
        <w:rPr>
          <w:rFonts w:ascii="Traditional Arabic" w:hAnsi="Traditional Arabic" w:cs="Traditional Arabic"/>
          <w:sz w:val="32"/>
          <w:szCs w:val="32"/>
          <w:rtl/>
        </w:rPr>
        <w:t>لاختبار الفرضيات. أكدت النتائج صحة الإطار النظري المقترح، وأظهرت أهمية ممارسات الموارد البشرية والقيادة ورأس المال الفكري في تعزيز البراعة التنظيمية والأداء المؤسسي في بيئة ديناميكية مثل المستشفيات. تُظهر الدراسة أصالة من خلال بحث استجابة المستشفيات في سياق يتطلب براعة عالية من الناحيتين الإدارية والفنية، مع التركيز على تأثير هذه العوامل على الأداء التنظيمي العام</w:t>
      </w:r>
      <w:r w:rsidRPr="002134AC">
        <w:rPr>
          <w:rFonts w:ascii="Traditional Arabic" w:hAnsi="Traditional Arabic" w:cs="Traditional Arabic"/>
          <w:sz w:val="32"/>
          <w:szCs w:val="32"/>
        </w:rPr>
        <w:t>.</w:t>
      </w:r>
    </w:p>
    <w:p w14:paraId="21E7D2A9" w14:textId="77777777" w:rsidR="002134AC" w:rsidRPr="002134AC" w:rsidRDefault="002134AC" w:rsidP="002134AC">
      <w:pPr>
        <w:bidi/>
        <w:spacing w:after="200" w:line="360" w:lineRule="auto"/>
        <w:jc w:val="both"/>
        <w:rPr>
          <w:rFonts w:ascii="Traditional Arabic" w:hAnsi="Traditional Arabic" w:cs="Traditional Arabic"/>
          <w:sz w:val="32"/>
          <w:szCs w:val="32"/>
          <w:rtl/>
        </w:rPr>
      </w:pPr>
    </w:p>
    <w:p w14:paraId="165C5A6B" w14:textId="77777777" w:rsidR="002134AC" w:rsidRPr="002134AC" w:rsidRDefault="002134AC" w:rsidP="002134AC">
      <w:pPr>
        <w:bidi/>
        <w:spacing w:after="200" w:line="360" w:lineRule="auto"/>
        <w:jc w:val="both"/>
        <w:rPr>
          <w:rFonts w:ascii="Traditional Arabic" w:hAnsi="Traditional Arabic" w:cs="Traditional Arabic"/>
          <w:sz w:val="32"/>
          <w:szCs w:val="32"/>
          <w:rtl/>
          <w:lang w:bidi="ar-AE"/>
        </w:rPr>
      </w:pPr>
      <w:r w:rsidRPr="002134AC">
        <w:rPr>
          <w:rFonts w:ascii="Traditional Arabic" w:hAnsi="Traditional Arabic" w:cs="Traditional Arabic"/>
          <w:sz w:val="32"/>
          <w:szCs w:val="32"/>
          <w:rtl/>
        </w:rPr>
        <w:t>دراسة (</w:t>
      </w:r>
      <w:r w:rsidRPr="002134AC">
        <w:rPr>
          <w:rFonts w:ascii="Traditional Arabic" w:hAnsi="Traditional Arabic" w:cs="Traditional Arabic"/>
          <w:sz w:val="32"/>
          <w:szCs w:val="32"/>
        </w:rPr>
        <w:t>Alqarnin et al., 2023</w:t>
      </w:r>
      <w:r w:rsidRPr="002134AC">
        <w:rPr>
          <w:rFonts w:ascii="Traditional Arabic" w:hAnsi="Traditional Arabic" w:cs="Traditional Arabic"/>
          <w:sz w:val="32"/>
          <w:szCs w:val="32"/>
          <w:rtl/>
        </w:rPr>
        <w:t>)</w:t>
      </w:r>
    </w:p>
    <w:p w14:paraId="70058978" w14:textId="77777777" w:rsidR="002134AC" w:rsidRPr="002134AC" w:rsidRDefault="002134AC" w:rsidP="002134AC">
      <w:pPr>
        <w:bidi/>
        <w:spacing w:after="200" w:line="360" w:lineRule="auto"/>
        <w:jc w:val="both"/>
        <w:rPr>
          <w:rFonts w:ascii="Traditional Arabic" w:hAnsi="Traditional Arabic" w:cs="Traditional Arabic"/>
          <w:sz w:val="32"/>
          <w:szCs w:val="32"/>
        </w:rPr>
      </w:pPr>
      <w:r w:rsidRPr="002134AC">
        <w:rPr>
          <w:rFonts w:ascii="Traditional Arabic" w:hAnsi="Traditional Arabic" w:cs="Traditional Arabic" w:hint="cs"/>
          <w:sz w:val="32"/>
          <w:szCs w:val="32"/>
          <w:rtl/>
        </w:rPr>
        <w:t>هدفت</w:t>
      </w:r>
      <w:r w:rsidRPr="002134AC">
        <w:rPr>
          <w:rFonts w:ascii="Traditional Arabic" w:hAnsi="Traditional Arabic" w:cs="Traditional Arabic"/>
          <w:sz w:val="32"/>
          <w:szCs w:val="32"/>
          <w:rtl/>
        </w:rPr>
        <w:t xml:space="preserve"> هذه الدراسة إلى فحص تأثير أنظمة إدارة الموارد البشرية الإلكترونية</w:t>
      </w:r>
      <w:r w:rsidRPr="002134AC">
        <w:rPr>
          <w:rFonts w:ascii="Traditional Arabic" w:hAnsi="Traditional Arabic" w:cs="Traditional Arabic"/>
          <w:sz w:val="32"/>
          <w:szCs w:val="32"/>
        </w:rPr>
        <w:t xml:space="preserve"> </w:t>
      </w:r>
      <w:r w:rsidRPr="002134AC">
        <w:rPr>
          <w:rFonts w:ascii="Traditional Arabic" w:hAnsi="Traditional Arabic" w:cs="Traditional Arabic"/>
          <w:sz w:val="32"/>
          <w:szCs w:val="32"/>
          <w:rtl/>
        </w:rPr>
        <w:t>في تحقيق الميزة التنافسية المستدامة في قطاع السياحة والضيافة، من خلال دمج الابتكار المستدام والمرونة التنظيمية كعوامل وسيطة. تؤكد الدراسة على أهمية تبني مؤسسات السياحة والضيافة للتحول الرقمي باستخدام ممارسات إدارة الموارد البشرية الإلكترونية مثل التوظيف الرقمي، التدريب عبر الإنترنت، وأدوات إدارة الأداء، بهدف تعزيز كفاءة وفعالية أقسام الموارد البشرية وتحسين الأداء التنظيمي العام والحفاظ على ميزة تنافسية مستدامة. تم استقصاء إدارة المستويات الوسطى والأولى في فنادق خمس نجوم ووكالات سفر من الفئة الأولى العاملة في مصر، وجُمعت 313 استجابة صحيحة تم تحليلها باستخدام تقنية نمذجة المعادلات الهيكلية الجزئية</w:t>
      </w:r>
      <w:r w:rsidRPr="002134AC">
        <w:rPr>
          <w:rFonts w:ascii="Traditional Arabic" w:hAnsi="Traditional Arabic" w:cs="Traditional Arabic"/>
          <w:sz w:val="32"/>
          <w:szCs w:val="32"/>
        </w:rPr>
        <w:t xml:space="preserve"> (PLS-SEM) </w:t>
      </w:r>
      <w:r w:rsidRPr="002134AC">
        <w:rPr>
          <w:rFonts w:ascii="Traditional Arabic" w:hAnsi="Traditional Arabic" w:cs="Traditional Arabic"/>
          <w:sz w:val="32"/>
          <w:szCs w:val="32"/>
          <w:rtl/>
        </w:rPr>
        <w:t>عبر برنامج</w:t>
      </w:r>
      <w:r w:rsidRPr="002134AC">
        <w:rPr>
          <w:rFonts w:ascii="Traditional Arabic" w:hAnsi="Traditional Arabic" w:cs="Traditional Arabic"/>
          <w:sz w:val="32"/>
          <w:szCs w:val="32"/>
        </w:rPr>
        <w:t xml:space="preserve"> WarpPLS 7.0. </w:t>
      </w:r>
      <w:r w:rsidRPr="002134AC">
        <w:rPr>
          <w:rFonts w:ascii="Traditional Arabic" w:hAnsi="Traditional Arabic" w:cs="Traditional Arabic"/>
          <w:sz w:val="32"/>
          <w:szCs w:val="32"/>
          <w:rtl/>
        </w:rPr>
        <w:t>أظهرت النتائج وجود علاقة إيجابية بين أنظمة إدارة الموارد البشرية الإلكترونية والميزة التنافسية المستدامة، بالإضافة إلى الابتكار المستدام والمرونة التنظيمية، حيث تبين أن الأخيرتين تلعبان دورًا وسيطًا في العلاقة بين</w:t>
      </w:r>
      <w:r w:rsidRPr="002134AC">
        <w:rPr>
          <w:rFonts w:ascii="Traditional Arabic" w:hAnsi="Traditional Arabic" w:cs="Traditional Arabic" w:hint="cs"/>
          <w:sz w:val="32"/>
          <w:szCs w:val="32"/>
          <w:rtl/>
        </w:rPr>
        <w:t xml:space="preserve"> المتغير المستقل </w:t>
      </w:r>
      <w:r w:rsidRPr="002134AC">
        <w:rPr>
          <w:rFonts w:ascii="Traditional Arabic" w:hAnsi="Traditional Arabic" w:cs="Traditional Arabic"/>
          <w:sz w:val="32"/>
          <w:szCs w:val="32"/>
          <w:rtl/>
        </w:rPr>
        <w:t xml:space="preserve">والميزة التنافسية المستدامة. تساهم الدراسة في سد فجوة بحثية من خلال تحليل العلاقات بين هذه </w:t>
      </w:r>
      <w:r w:rsidRPr="002134AC">
        <w:rPr>
          <w:rFonts w:ascii="Traditional Arabic" w:hAnsi="Traditional Arabic" w:cs="Traditional Arabic"/>
          <w:sz w:val="32"/>
          <w:szCs w:val="32"/>
          <w:rtl/>
        </w:rPr>
        <w:lastRenderedPageBreak/>
        <w:t>المتغيرات ضمن سياق الفنادق ووكالات السفر المصرية، موحدةً مفاهيم إدارة الموارد البشرية الإلكترونية، والابتكار، والمرونة التنظيمية، والميزة التنافسية ضمن إطار الاستدامة في قطاع السياحة والضيافة</w:t>
      </w:r>
      <w:r w:rsidRPr="002134AC">
        <w:rPr>
          <w:rFonts w:ascii="Traditional Arabic" w:hAnsi="Traditional Arabic" w:cs="Traditional Arabic"/>
          <w:sz w:val="32"/>
          <w:szCs w:val="32"/>
        </w:rPr>
        <w:t>.</w:t>
      </w:r>
    </w:p>
    <w:p w14:paraId="700BC4B1" w14:textId="77777777" w:rsidR="002134AC" w:rsidRPr="002134AC" w:rsidRDefault="002134AC" w:rsidP="002134AC">
      <w:pPr>
        <w:bidi/>
        <w:spacing w:after="200" w:line="360" w:lineRule="auto"/>
        <w:jc w:val="both"/>
        <w:rPr>
          <w:rFonts w:ascii="Traditional Arabic" w:hAnsi="Traditional Arabic" w:cs="Traditional Arabic"/>
          <w:sz w:val="32"/>
          <w:szCs w:val="32"/>
          <w:rtl/>
        </w:rPr>
      </w:pPr>
    </w:p>
    <w:p w14:paraId="0E85A0CE" w14:textId="77777777" w:rsidR="002134AC" w:rsidRPr="002134AC" w:rsidRDefault="002134AC" w:rsidP="002134AC">
      <w:pPr>
        <w:bidi/>
        <w:spacing w:after="200" w:line="360" w:lineRule="auto"/>
        <w:jc w:val="both"/>
        <w:rPr>
          <w:rFonts w:ascii="Traditional Arabic" w:hAnsi="Traditional Arabic" w:cs="Traditional Arabic"/>
          <w:sz w:val="32"/>
          <w:szCs w:val="32"/>
        </w:rPr>
      </w:pPr>
      <w:r w:rsidRPr="002134AC">
        <w:rPr>
          <w:rFonts w:ascii="Traditional Arabic" w:hAnsi="Traditional Arabic" w:cs="Traditional Arabic"/>
          <w:sz w:val="32"/>
          <w:szCs w:val="32"/>
          <w:rtl/>
        </w:rPr>
        <w:t>دراسة (</w:t>
      </w:r>
      <w:r w:rsidRPr="002134AC">
        <w:rPr>
          <w:rFonts w:ascii="Traditional Arabic" w:hAnsi="Traditional Arabic" w:cs="Traditional Arabic"/>
          <w:sz w:val="32"/>
          <w:szCs w:val="32"/>
        </w:rPr>
        <w:t>(Saad and AL-Naggar, 2023</w:t>
      </w:r>
    </w:p>
    <w:p w14:paraId="3776C4E5" w14:textId="77777777" w:rsidR="002134AC" w:rsidRPr="002134AC" w:rsidRDefault="002134AC" w:rsidP="002134AC">
      <w:pPr>
        <w:bidi/>
        <w:spacing w:after="200" w:line="360" w:lineRule="auto"/>
        <w:jc w:val="both"/>
        <w:rPr>
          <w:rFonts w:ascii="Traditional Arabic" w:hAnsi="Traditional Arabic" w:cs="Traditional Arabic"/>
          <w:sz w:val="32"/>
          <w:szCs w:val="32"/>
        </w:rPr>
      </w:pPr>
      <w:r w:rsidRPr="002134AC">
        <w:rPr>
          <w:rFonts w:ascii="Traditional Arabic" w:hAnsi="Traditional Arabic" w:cs="Traditional Arabic" w:hint="cs"/>
          <w:sz w:val="32"/>
          <w:szCs w:val="32"/>
          <w:rtl/>
        </w:rPr>
        <w:t>هدفت</w:t>
      </w:r>
      <w:r w:rsidRPr="002134AC">
        <w:rPr>
          <w:rFonts w:ascii="Traditional Arabic" w:hAnsi="Traditional Arabic" w:cs="Traditional Arabic"/>
          <w:sz w:val="32"/>
          <w:szCs w:val="32"/>
          <w:rtl/>
        </w:rPr>
        <w:t xml:space="preserve"> هذه الدراسة إلى تحديد أثر صيانة الموارد البشرية في تعزيز البراعة التنظيمية، اعتمادًا على مجموعة من الدراسات والأطر النظرية السابقة ذات الصلة. جُمعت بيانات البحث من خلال استبانة وُزعت على 384 موظفًا في بلدية منطقة الحدود الشمالية. تم تحليل البيانات باستخدام برنامج</w:t>
      </w:r>
      <w:r w:rsidRPr="002134AC">
        <w:rPr>
          <w:rFonts w:ascii="Traditional Arabic" w:hAnsi="Traditional Arabic" w:cs="Traditional Arabic"/>
          <w:sz w:val="32"/>
          <w:szCs w:val="32"/>
        </w:rPr>
        <w:t xml:space="preserve"> SPSS </w:t>
      </w:r>
      <w:r w:rsidRPr="002134AC">
        <w:rPr>
          <w:rFonts w:ascii="Traditional Arabic" w:hAnsi="Traditional Arabic" w:cs="Traditional Arabic"/>
          <w:sz w:val="32"/>
          <w:szCs w:val="32"/>
          <w:rtl/>
        </w:rPr>
        <w:t>للتحقق من صحة فرضيات الدراسة. أظهرت النتائج عدم وجود فروق ذات دلالة إحصائية في آراء أفراد العينة حسب المتغيرات الديموغرافية (الجنس، المستوى التعليمي، والخبرة) فيما يتعلق بمدى تنفيذ برامج صيانة الموارد البشرية. كما كشفت الدراسة عن وجود علاقة إيجابية وقوية بين صيانة الموارد البشرية بمختلف أبعادها والبراعة التنظيمية، حيث تبين أن لصيانة الموارد البشرية تأثيرًا إيجابيًا وملموسًا في تعزيز البراعة التنظيمية. أوصت الدراسة بضرورة إيلاء المزيد من الاهتمام لبرامج صيانة الموارد البشرية، وزيادة الوعي بأهمية تعزيز البراعة التنظيمية، بالإضافة إلى توفير الدعم المالي الكافي لتطبيق فلسفة صيانة الموارد البشرية مع التركيز على تطوير سياسات وإجراءات تدعم مرونة الهيكل التنظيمي والإجراءات المؤسسية</w:t>
      </w:r>
      <w:r w:rsidRPr="002134AC">
        <w:rPr>
          <w:rFonts w:ascii="Traditional Arabic" w:hAnsi="Traditional Arabic" w:cs="Traditional Arabic"/>
          <w:sz w:val="32"/>
          <w:szCs w:val="32"/>
        </w:rPr>
        <w:t>.</w:t>
      </w:r>
    </w:p>
    <w:p w14:paraId="626C58A9" w14:textId="77777777" w:rsidR="002134AC" w:rsidRPr="002134AC" w:rsidRDefault="002134AC" w:rsidP="002134AC">
      <w:pPr>
        <w:bidi/>
        <w:spacing w:after="200" w:line="360" w:lineRule="auto"/>
        <w:jc w:val="both"/>
        <w:rPr>
          <w:rFonts w:ascii="Traditional Arabic" w:hAnsi="Traditional Arabic" w:cs="Traditional Arabic"/>
          <w:sz w:val="32"/>
          <w:szCs w:val="32"/>
          <w:rtl/>
        </w:rPr>
      </w:pPr>
    </w:p>
    <w:p w14:paraId="71923291" w14:textId="77777777" w:rsidR="002134AC" w:rsidRPr="002134AC" w:rsidRDefault="002134AC" w:rsidP="002134AC">
      <w:pPr>
        <w:bidi/>
        <w:spacing w:after="200" w:line="360" w:lineRule="auto"/>
        <w:jc w:val="both"/>
        <w:rPr>
          <w:rFonts w:ascii="Traditional Arabic" w:hAnsi="Traditional Arabic" w:cs="Traditional Arabic"/>
          <w:sz w:val="32"/>
          <w:szCs w:val="32"/>
          <w:rtl/>
          <w:lang w:bidi="ar-AE"/>
        </w:rPr>
      </w:pPr>
      <w:r w:rsidRPr="002134AC">
        <w:rPr>
          <w:rFonts w:ascii="Traditional Arabic" w:hAnsi="Traditional Arabic" w:cs="Traditional Arabic"/>
          <w:sz w:val="32"/>
          <w:szCs w:val="32"/>
          <w:rtl/>
        </w:rPr>
        <w:t>دراسة (</w:t>
      </w:r>
      <w:r w:rsidRPr="002134AC">
        <w:rPr>
          <w:rFonts w:ascii="Traditional Arabic" w:hAnsi="Traditional Arabic" w:cs="Traditional Arabic"/>
          <w:sz w:val="32"/>
          <w:szCs w:val="32"/>
        </w:rPr>
        <w:t>Tiwow et al., 2023</w:t>
      </w:r>
      <w:r w:rsidRPr="002134AC">
        <w:rPr>
          <w:rFonts w:ascii="Traditional Arabic" w:hAnsi="Traditional Arabic" w:cs="Traditional Arabic"/>
          <w:sz w:val="32"/>
          <w:szCs w:val="32"/>
          <w:rtl/>
          <w:lang w:bidi="ar-AE"/>
        </w:rPr>
        <w:t>)</w:t>
      </w:r>
    </w:p>
    <w:p w14:paraId="10AAE974" w14:textId="65109288" w:rsidR="002134AC" w:rsidRPr="002134AC" w:rsidRDefault="00B443F1" w:rsidP="002134AC">
      <w:pPr>
        <w:bidi/>
        <w:spacing w:after="20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أصبح</w:t>
      </w:r>
      <w:r w:rsidR="002134AC" w:rsidRPr="002134AC">
        <w:rPr>
          <w:rFonts w:ascii="Traditional Arabic" w:hAnsi="Traditional Arabic" w:cs="Traditional Arabic"/>
          <w:sz w:val="32"/>
          <w:szCs w:val="32"/>
          <w:rtl/>
        </w:rPr>
        <w:t xml:space="preserve"> التحول الرقمي حاجة ملحة في مؤسسات التعليم العالي لمواجهة التحديات والفرص المتجددة في العصر الحالي، ويلعب إدارة الموارد البشرية دورًا محوريًا في ضمان نجاح هذه المؤسسات في التكيف مع </w:t>
      </w:r>
      <w:r w:rsidR="002134AC" w:rsidRPr="002134AC">
        <w:rPr>
          <w:rFonts w:ascii="Traditional Arabic" w:hAnsi="Traditional Arabic" w:cs="Traditional Arabic"/>
          <w:sz w:val="32"/>
          <w:szCs w:val="32"/>
          <w:rtl/>
        </w:rPr>
        <w:lastRenderedPageBreak/>
        <w:t xml:space="preserve">التغيرات التكنولوجية. </w:t>
      </w:r>
      <w:r w:rsidR="002134AC" w:rsidRPr="002134AC">
        <w:rPr>
          <w:rFonts w:ascii="Traditional Arabic" w:hAnsi="Traditional Arabic" w:cs="Traditional Arabic" w:hint="cs"/>
          <w:sz w:val="32"/>
          <w:szCs w:val="32"/>
          <w:rtl/>
        </w:rPr>
        <w:t>هدفت</w:t>
      </w:r>
      <w:r w:rsidR="002134AC" w:rsidRPr="002134AC">
        <w:rPr>
          <w:rFonts w:ascii="Traditional Arabic" w:hAnsi="Traditional Arabic" w:cs="Traditional Arabic"/>
          <w:sz w:val="32"/>
          <w:szCs w:val="32"/>
          <w:rtl/>
        </w:rPr>
        <w:t xml:space="preserve"> هذه الدراسة إلى تحديد الاستراتيجيات الأساسية في إدارة الموارد البشرية التي تساهم في تعزيز مرونة مؤسسات التعليم العالي خلال أوقات الأزمات، خاصة في سياق التحول الرقمي. اعتمد البحث على مزيج من الدراسات النظرية والبحث التجريبي، حيث تم تحليل عميق للنظريات والممارسات المتعلقة بإدارة الموارد البشرية، بالإضافة إلى دراسات حالة لجامعات نجحت في التكيف مع التحول الرقمي. أظهرت النتائج أن إدارة الموارد البشرية الفعالة في هذا السياق تتطلب نهجًا شاملًا وقابلًا للتكيف، يتضمن تطوير المهارات الرقمية والكفاءات، تعزيز المرونة التنظيمية، زيادة التفاعل الوظيفي، وبناء ثقافة الابتكار. كما بيّنت الدراسة أهمية التعاون بين الأقسام، التواصل الشفاف، والقيادة ذات الرؤية الواضحة لمواجهة تحديات التحول الرقمي. توفر هذه الدراسة أساسًا نظريًا وعمليًا لتمكين الجامعات من تصميم استراتيجيات إدارة موارد بشرية فعالة لتعزيز المرونة التنظيمية في ظل التغير التكنولوجي السريع، مع تقديم توصيات عملية لقادة التعليم العالي والمختصين في الموارد البشرية لمواجهة التحديات واستثمار الفرص في عصر التحول الرقمي المتسارع</w:t>
      </w:r>
      <w:r w:rsidR="002134AC" w:rsidRPr="002134AC">
        <w:rPr>
          <w:rFonts w:ascii="Traditional Arabic" w:hAnsi="Traditional Arabic" w:cs="Traditional Arabic"/>
          <w:sz w:val="32"/>
          <w:szCs w:val="32"/>
        </w:rPr>
        <w:t>.</w:t>
      </w:r>
    </w:p>
    <w:p w14:paraId="3D2346AF" w14:textId="77777777" w:rsidR="002134AC" w:rsidRPr="00D05340" w:rsidRDefault="002134AC" w:rsidP="002134AC">
      <w:pPr>
        <w:bidi/>
        <w:spacing w:after="200" w:line="360" w:lineRule="auto"/>
        <w:jc w:val="both"/>
        <w:rPr>
          <w:rFonts w:ascii="Traditional Arabic" w:hAnsi="Traditional Arabic" w:cs="Traditional Arabic"/>
          <w:sz w:val="32"/>
          <w:szCs w:val="32"/>
          <w:rtl/>
        </w:rPr>
      </w:pPr>
    </w:p>
    <w:p w14:paraId="43739F97" w14:textId="77777777" w:rsidR="00454375" w:rsidRPr="00D05340" w:rsidRDefault="00454375" w:rsidP="00454375">
      <w:p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sz w:val="32"/>
          <w:szCs w:val="32"/>
          <w:rtl/>
        </w:rPr>
        <w:t>دراسة (</w:t>
      </w:r>
      <w:r w:rsidRPr="00D05340">
        <w:rPr>
          <w:rFonts w:ascii="Traditional Arabic" w:hAnsi="Traditional Arabic" w:cs="Traditional Arabic"/>
          <w:sz w:val="32"/>
          <w:szCs w:val="32"/>
        </w:rPr>
        <w:t>Asfahani, 2021</w:t>
      </w:r>
      <w:r w:rsidRPr="00D05340">
        <w:rPr>
          <w:rFonts w:ascii="Traditional Arabic" w:hAnsi="Traditional Arabic" w:cs="Traditional Arabic"/>
          <w:sz w:val="32"/>
          <w:szCs w:val="32"/>
          <w:rtl/>
        </w:rPr>
        <w:t>)</w:t>
      </w:r>
    </w:p>
    <w:p w14:paraId="45BE3C1F" w14:textId="77777777" w:rsidR="00454375" w:rsidRPr="00D05340" w:rsidRDefault="00454375" w:rsidP="00454375">
      <w:pPr>
        <w:bidi/>
        <w:spacing w:after="200" w:line="360" w:lineRule="auto"/>
        <w:jc w:val="both"/>
        <w:rPr>
          <w:rFonts w:ascii="Traditional Arabic" w:hAnsi="Traditional Arabic" w:cs="Traditional Arabic"/>
          <w:sz w:val="32"/>
          <w:szCs w:val="32"/>
          <w:rtl/>
        </w:rPr>
      </w:pPr>
      <w:r w:rsidRPr="00D05340">
        <w:rPr>
          <w:rFonts w:ascii="Traditional Arabic" w:hAnsi="Traditional Arabic" w:cs="Traditional Arabic"/>
          <w:sz w:val="32"/>
          <w:szCs w:val="32"/>
          <w:rtl/>
        </w:rPr>
        <w:t xml:space="preserve">تُعد هذه الدراسة من الدراسات التحليلية الوصفية التي تهدف إلى استكشاف أثر النماذج الحديثة لإدارة الموارد البشرية على تعزيز البراعة التنظيمية داخل المؤسسات. وقد بدأت بتعريف البراعة التنظيمية باعتبارها قدرة المؤسسة على التكيف السريع والفعال مع التغيرات البيئية والمنافسة المتزايدة، ثم تناولت أربعة نماذج استراتيجية حديثة في إدارة الموارد البشرية، هي: نموذج الأداء العالي، الذي يبرز دور الابتكار كمحرك رئيس لتعزيز التنافسية، ونموذج التوافق الاستراتيجي الذي يشدد على أهمية قدرة إدارة الموارد </w:t>
      </w:r>
      <w:r w:rsidRPr="00D05340">
        <w:rPr>
          <w:rFonts w:ascii="Traditional Arabic" w:hAnsi="Traditional Arabic" w:cs="Traditional Arabic"/>
          <w:sz w:val="32"/>
          <w:szCs w:val="32"/>
          <w:rtl/>
        </w:rPr>
        <w:lastRenderedPageBreak/>
        <w:t>البشرية على التنبؤ بالتغيرات في البيئة الخارجية ومواءمة السياسات الداخلية معها، ونموذج الالتزام العالي الذي يركّز على مرونة العمل، وتحفيز الموظفين، واستقرار علاقات العمل، والمساهمة في رفع مستويات الالتزام والولاء التنظيمي، وأخيرًا نموذج أفضل الممارسات الذي يسعى إلى تطبيق استراتيجيات شاملة ترتكز على تجارب ناجحة أثبتت فعاليتها في بيئات مختلفة. وقد أظهرت نتائج مراجعة الأدبيات أن هذه النماذج مجتمعة تساهم بشكل فعال في تعزيز البراعة التنظيمية للمؤسسات، وتوصي الدراسة بأن تتبنى إدارات الموارد البشرية سياسات تجمع بين هذه النماذج لضمان قدرة المؤسسة على الاستجابة السريعة للتغيرات وتحقيق التميز التنظيمي</w:t>
      </w:r>
      <w:r w:rsidRPr="00D05340">
        <w:rPr>
          <w:rFonts w:ascii="Traditional Arabic" w:hAnsi="Traditional Arabic" w:cs="Traditional Arabic"/>
          <w:sz w:val="32"/>
          <w:szCs w:val="32"/>
        </w:rPr>
        <w:t>.</w:t>
      </w:r>
    </w:p>
    <w:p w14:paraId="4F85A045" w14:textId="77777777" w:rsidR="00454375" w:rsidRPr="00D05340" w:rsidRDefault="00454375" w:rsidP="00454375">
      <w:pPr>
        <w:bidi/>
        <w:spacing w:after="200" w:line="360" w:lineRule="auto"/>
        <w:jc w:val="both"/>
        <w:rPr>
          <w:rFonts w:ascii="Traditional Arabic" w:hAnsi="Traditional Arabic" w:cs="Traditional Arabic"/>
          <w:sz w:val="32"/>
          <w:szCs w:val="32"/>
          <w:rtl/>
        </w:rPr>
      </w:pPr>
    </w:p>
    <w:p w14:paraId="3E26CD19" w14:textId="77777777" w:rsidR="002134AC" w:rsidRPr="002134AC" w:rsidRDefault="002134AC" w:rsidP="002134AC">
      <w:pPr>
        <w:bidi/>
        <w:spacing w:after="200" w:line="360" w:lineRule="auto"/>
        <w:jc w:val="both"/>
        <w:rPr>
          <w:rFonts w:ascii="Traditional Arabic" w:hAnsi="Traditional Arabic" w:cs="Traditional Arabic"/>
          <w:sz w:val="32"/>
          <w:szCs w:val="32"/>
        </w:rPr>
      </w:pPr>
      <w:r w:rsidRPr="002134AC">
        <w:rPr>
          <w:rFonts w:ascii="Traditional Arabic" w:hAnsi="Traditional Arabic" w:cs="Traditional Arabic"/>
          <w:sz w:val="32"/>
          <w:szCs w:val="32"/>
          <w:rtl/>
        </w:rPr>
        <w:t>دراسة (</w:t>
      </w:r>
      <w:r w:rsidRPr="002134AC">
        <w:rPr>
          <w:rFonts w:ascii="Traditional Arabic" w:hAnsi="Traditional Arabic" w:cs="Traditional Arabic"/>
          <w:sz w:val="32"/>
          <w:szCs w:val="32"/>
          <w:lang w:val="en-GB"/>
        </w:rPr>
        <w:t>Barahma</w:t>
      </w:r>
      <w:r w:rsidRPr="002134AC">
        <w:rPr>
          <w:rFonts w:ascii="Traditional Arabic" w:hAnsi="Traditional Arabic" w:cs="Traditional Arabic"/>
          <w:sz w:val="32"/>
          <w:szCs w:val="32"/>
        </w:rPr>
        <w:t xml:space="preserve"> et al., 2019</w:t>
      </w:r>
      <w:r w:rsidRPr="002134AC">
        <w:rPr>
          <w:rFonts w:ascii="Traditional Arabic" w:hAnsi="Traditional Arabic" w:cs="Traditional Arabic"/>
          <w:sz w:val="32"/>
          <w:szCs w:val="32"/>
          <w:rtl/>
          <w:lang w:bidi="ar-AE"/>
        </w:rPr>
        <w:t>)</w:t>
      </w:r>
    </w:p>
    <w:p w14:paraId="719704A8" w14:textId="77777777" w:rsidR="002134AC" w:rsidRPr="002134AC" w:rsidRDefault="002134AC" w:rsidP="002134AC">
      <w:pPr>
        <w:bidi/>
        <w:spacing w:after="200" w:line="360" w:lineRule="auto"/>
        <w:jc w:val="both"/>
        <w:rPr>
          <w:rFonts w:ascii="Traditional Arabic" w:hAnsi="Traditional Arabic" w:cs="Traditional Arabic"/>
          <w:sz w:val="32"/>
          <w:szCs w:val="32"/>
          <w:rtl/>
        </w:rPr>
      </w:pPr>
      <w:r w:rsidRPr="002134AC">
        <w:rPr>
          <w:rFonts w:ascii="Traditional Arabic" w:hAnsi="Traditional Arabic" w:cs="Traditional Arabic"/>
          <w:sz w:val="32"/>
          <w:szCs w:val="32"/>
          <w:rtl/>
        </w:rPr>
        <w:t xml:space="preserve">في إطار منظور القدرات الديناميكية للمؤسسة، تهدف هذه الدراسة إلى تقديم نموذج تحليلي يُسلط الضوء على الفجوات المعرفية المتعلقة بالتأثير المباشر لاستراتيجيات إدارة الموارد البشرية على البراعة الاستراتيجية للمؤسسات. وتشمل استراتيجيات إدارة الموارد البشرية التي تناولتها الدراسة: استراتيجية الموارد البشرية العامة، استراتيجية التدريب، استراتيجية تطوير الموارد البشرية، استراتيجية التعويضات، واستراتيجية تخطيط المسار الوظيفي، مع التركيز على أثرها المباشر في تعزيز البراعة الاستراتيجية. لتحقيق هذه الأهداف، تم توزيع استبيان الدراسة الرئيسية على 227 مديرًا ونائب مدير في شركات صناعية يمنية كبيرة ومتوسطة تم اختيارهم عشوائيًا من مجتمع يضم 554 شركة. استخدمت الدراسة تقنية نمذجة المعادلات الهيكلية لاختبار صحة النموذج البحثي والفرضيات الموضوعة. أظهرت النتائج وجود تأثير مباشر وذو دلالة إحصائية لاستراتيجيات إدارة الموارد البشرية على البراعة الاستراتيجية، لا سيما </w:t>
      </w:r>
      <w:r w:rsidRPr="002134AC">
        <w:rPr>
          <w:rFonts w:ascii="Traditional Arabic" w:hAnsi="Traditional Arabic" w:cs="Traditional Arabic"/>
          <w:sz w:val="32"/>
          <w:szCs w:val="32"/>
          <w:rtl/>
        </w:rPr>
        <w:lastRenderedPageBreak/>
        <w:t>لاستراتيجية تخطيط المسار الوظيفي واستراتيجية تدريب وتطوير الموارد البشرية. في المقابل، لم يُثبت وجود تأثير مباشر لكل من استراتيجية الموارد البشرية العامة، تقييم أداء الموارد البشرية، واستراتيجية التعويضات على البراعة الاستراتيجية في قطاع التصنيع اليمني ضمن عينة الدراسة</w:t>
      </w:r>
      <w:r w:rsidRPr="002134AC">
        <w:rPr>
          <w:rFonts w:ascii="Traditional Arabic" w:hAnsi="Traditional Arabic" w:cs="Traditional Arabic"/>
          <w:sz w:val="32"/>
          <w:szCs w:val="32"/>
          <w:lang w:val="en-GB"/>
        </w:rPr>
        <w:t>.</w:t>
      </w:r>
    </w:p>
    <w:p w14:paraId="5AB3C8AF" w14:textId="77777777" w:rsidR="002134AC" w:rsidRDefault="002134AC" w:rsidP="002134AC">
      <w:pPr>
        <w:bidi/>
        <w:spacing w:after="200" w:line="360" w:lineRule="auto"/>
        <w:jc w:val="both"/>
        <w:rPr>
          <w:rFonts w:ascii="Traditional Arabic" w:hAnsi="Traditional Arabic" w:cs="Traditional Arabic"/>
          <w:sz w:val="32"/>
          <w:szCs w:val="32"/>
        </w:rPr>
      </w:pPr>
    </w:p>
    <w:p w14:paraId="546264C3" w14:textId="77777777" w:rsidR="00454375" w:rsidRPr="00D05340" w:rsidRDefault="00454375" w:rsidP="002134AC">
      <w:pPr>
        <w:bidi/>
        <w:spacing w:after="200" w:line="360" w:lineRule="auto"/>
        <w:jc w:val="both"/>
        <w:rPr>
          <w:rFonts w:ascii="Traditional Arabic" w:hAnsi="Traditional Arabic" w:cs="Traditional Arabic"/>
          <w:sz w:val="32"/>
          <w:szCs w:val="32"/>
          <w:rtl/>
        </w:rPr>
      </w:pPr>
      <w:r w:rsidRPr="00D05340">
        <w:rPr>
          <w:rFonts w:ascii="Traditional Arabic" w:hAnsi="Traditional Arabic" w:cs="Traditional Arabic"/>
          <w:sz w:val="32"/>
          <w:szCs w:val="32"/>
          <w:rtl/>
        </w:rPr>
        <w:t>دراسة (</w:t>
      </w:r>
      <w:r w:rsidRPr="00D05340">
        <w:rPr>
          <w:rFonts w:ascii="Traditional Arabic" w:hAnsi="Traditional Arabic" w:cs="Traditional Arabic"/>
          <w:sz w:val="32"/>
          <w:szCs w:val="32"/>
        </w:rPr>
        <w:t>Hamidianpour et al., 2016</w:t>
      </w:r>
      <w:r w:rsidRPr="00D05340">
        <w:rPr>
          <w:rFonts w:ascii="Traditional Arabic" w:hAnsi="Traditional Arabic" w:cs="Traditional Arabic"/>
          <w:sz w:val="32"/>
          <w:szCs w:val="32"/>
          <w:rtl/>
        </w:rPr>
        <w:t>)</w:t>
      </w:r>
    </w:p>
    <w:p w14:paraId="6C762BF3" w14:textId="76788441" w:rsidR="00454375" w:rsidRDefault="006C635A" w:rsidP="004A5E36">
      <w:pPr>
        <w:bidi/>
        <w:spacing w:after="200" w:line="360" w:lineRule="auto"/>
        <w:jc w:val="both"/>
        <w:rPr>
          <w:rFonts w:ascii="Traditional Arabic" w:hAnsi="Traditional Arabic" w:cs="Traditional Arabic"/>
          <w:sz w:val="32"/>
          <w:szCs w:val="32"/>
        </w:rPr>
      </w:pPr>
      <w:r w:rsidRPr="00D05340">
        <w:rPr>
          <w:rFonts w:ascii="Traditional Arabic" w:hAnsi="Traditional Arabic" w:cs="Traditional Arabic"/>
          <w:sz w:val="32"/>
          <w:szCs w:val="32"/>
          <w:rtl/>
        </w:rPr>
        <w:t>تُعد البراعة التنظيمية مجموعة من القدرات والكفاءات التي تسهم في بقاء المؤسسة ونموها في بيئة الأعمال المتغيرة. ومن بين الأساليب التي تساعد المؤسسات على تعزيز البراعة التنظيمية هو استخدام إدارة الموارد البشرية الإلكترونية. تهدف الدراسة الحالية إلى الإجابة عن السؤال التالي: كيف يمكن الاستفادة من نهج إدارة الموارد البشرية الإلكترونية لتطوير البراعة التنظيمية؟ تم إجراء الدراسة باستخدام طريقة المسح، حيث تم مراجعة الأدبيات البحثية الأجنبية والمحلية وبناء نموذج مفاهيمي، ثم تم تصميم استبانة وتوزيعها على موظفي فروع البنوك في مدينة بوشهر بإيران. وقد تم جمع وتحليل بيانات 315 استبيانًا باستخدام نموذج المعادلات الهيكلية. وأكدت النتائج صحة النموذج المفاهيمي المقترح، وأظهرت أن استخدام التعلم الإلكتروني للموارد البشرية، والدفع الإلكتروني للموارد البشرية، وصيانة الموارد البشرية، وتقييم الأداء الإلكتروني للموارد البشرية، بالإضافة إلى الإدارة الإلكترونية للموارد البشرية، له تأثير كبير وذو دلالة إحصائية على البراعة التنظيمية بمستوى ثقة 99%. في المقابل، لم يؤكد تأثير متغيري التوظيف الإلكتروني للموارد البشرية والتواصل الإلكتروني للموارد البشرية على البراعة التنظيمية.</w:t>
      </w:r>
    </w:p>
    <w:p w14:paraId="08769C8A" w14:textId="77777777" w:rsidR="004A5E36" w:rsidRDefault="004A5E36" w:rsidP="004A5E36">
      <w:pPr>
        <w:bidi/>
        <w:spacing w:after="200" w:line="360" w:lineRule="auto"/>
        <w:jc w:val="both"/>
        <w:rPr>
          <w:rFonts w:ascii="Traditional Arabic" w:hAnsi="Traditional Arabic" w:cs="Traditional Arabic"/>
          <w:sz w:val="32"/>
          <w:szCs w:val="32"/>
        </w:rPr>
      </w:pPr>
    </w:p>
    <w:p w14:paraId="49601567" w14:textId="77777777" w:rsidR="004A5E36" w:rsidRPr="00D05340" w:rsidRDefault="004A5E36" w:rsidP="004A5E36">
      <w:pPr>
        <w:bidi/>
        <w:spacing w:after="200" w:line="360" w:lineRule="auto"/>
        <w:jc w:val="both"/>
        <w:rPr>
          <w:rFonts w:ascii="Traditional Arabic" w:hAnsi="Traditional Arabic" w:cs="Traditional Arabic"/>
          <w:sz w:val="32"/>
          <w:szCs w:val="32"/>
          <w:rtl/>
        </w:rPr>
      </w:pPr>
    </w:p>
    <w:p w14:paraId="395B2DEF" w14:textId="77777777" w:rsidR="00454375" w:rsidRDefault="00454375" w:rsidP="00454375">
      <w:pPr>
        <w:bidi/>
        <w:spacing w:after="200" w:line="360" w:lineRule="auto"/>
        <w:jc w:val="both"/>
        <w:rPr>
          <w:rFonts w:ascii="Traditional Arabic" w:hAnsi="Traditional Arabic" w:cs="Traditional Arabic"/>
          <w:b/>
          <w:bCs/>
          <w:sz w:val="32"/>
          <w:szCs w:val="32"/>
          <w:rtl/>
        </w:rPr>
      </w:pPr>
      <w:r w:rsidRPr="00D05340">
        <w:rPr>
          <w:rFonts w:ascii="Traditional Arabic" w:hAnsi="Traditional Arabic" w:cs="Traditional Arabic" w:hint="cs"/>
          <w:b/>
          <w:bCs/>
          <w:sz w:val="32"/>
          <w:szCs w:val="32"/>
          <w:rtl/>
        </w:rPr>
        <w:lastRenderedPageBreak/>
        <w:t>ملخص الدراسات السابقة</w:t>
      </w:r>
    </w:p>
    <w:p w14:paraId="22231F88" w14:textId="4BAB4C8F" w:rsidR="009D5B9E" w:rsidRPr="009D5B9E" w:rsidRDefault="009D5B9E" w:rsidP="009D5B9E">
      <w:pPr>
        <w:bidi/>
        <w:spacing w:after="200" w:line="360" w:lineRule="auto"/>
        <w:jc w:val="center"/>
        <w:rPr>
          <w:rFonts w:ascii="Traditional Arabic" w:hAnsi="Traditional Arabic" w:cs="Traditional Arabic"/>
          <w:sz w:val="28"/>
          <w:szCs w:val="28"/>
        </w:rPr>
      </w:pPr>
      <w:r w:rsidRPr="009D5B9E">
        <w:rPr>
          <w:rFonts w:ascii="Traditional Arabic" w:hAnsi="Traditional Arabic" w:cs="Traditional Arabic" w:hint="cs"/>
          <w:sz w:val="28"/>
          <w:szCs w:val="28"/>
          <w:rtl/>
        </w:rPr>
        <w:t>جدول رقم (1): ملخص الدراسات السابقة</w:t>
      </w:r>
    </w:p>
    <w:tbl>
      <w:tblPr>
        <w:tblStyle w:val="a7"/>
        <w:bidiVisual/>
        <w:tblW w:w="5000" w:type="pct"/>
        <w:tblLayout w:type="fixed"/>
        <w:tblLook w:val="04A0" w:firstRow="1" w:lastRow="0" w:firstColumn="1" w:lastColumn="0" w:noHBand="0" w:noVBand="1"/>
      </w:tblPr>
      <w:tblGrid>
        <w:gridCol w:w="454"/>
        <w:gridCol w:w="1210"/>
        <w:gridCol w:w="902"/>
        <w:gridCol w:w="719"/>
        <w:gridCol w:w="1387"/>
        <w:gridCol w:w="1493"/>
        <w:gridCol w:w="2357"/>
      </w:tblGrid>
      <w:tr w:rsidR="00454375" w:rsidRPr="00D05340" w14:paraId="1EFFD2A5" w14:textId="77777777" w:rsidTr="002134AC">
        <w:tc>
          <w:tcPr>
            <w:tcW w:w="266" w:type="pct"/>
            <w:hideMark/>
          </w:tcPr>
          <w:p w14:paraId="79FE0349" w14:textId="77777777" w:rsidR="00454375" w:rsidRPr="00D05340" w:rsidRDefault="00454375" w:rsidP="00454375">
            <w:pPr>
              <w:bidi/>
              <w:spacing w:after="200" w:line="240" w:lineRule="auto"/>
              <w:jc w:val="center"/>
              <w:rPr>
                <w:rFonts w:ascii="Traditional Arabic" w:hAnsi="Traditional Arabic" w:cs="Traditional Arabic"/>
                <w:b/>
                <w:bCs/>
                <w:sz w:val="24"/>
                <w:szCs w:val="24"/>
              </w:rPr>
            </w:pPr>
            <w:r w:rsidRPr="00D05340">
              <w:rPr>
                <w:rFonts w:ascii="Traditional Arabic" w:hAnsi="Traditional Arabic" w:cs="Traditional Arabic"/>
                <w:b/>
                <w:bCs/>
                <w:sz w:val="24"/>
                <w:szCs w:val="24"/>
                <w:rtl/>
              </w:rPr>
              <w:t>م</w:t>
            </w:r>
          </w:p>
        </w:tc>
        <w:tc>
          <w:tcPr>
            <w:tcW w:w="710" w:type="pct"/>
            <w:hideMark/>
          </w:tcPr>
          <w:p w14:paraId="20D10314" w14:textId="77777777" w:rsidR="00454375" w:rsidRPr="00D05340" w:rsidRDefault="00454375" w:rsidP="00454375">
            <w:pPr>
              <w:bidi/>
              <w:spacing w:after="200" w:line="240" w:lineRule="auto"/>
              <w:jc w:val="center"/>
              <w:rPr>
                <w:rFonts w:ascii="Traditional Arabic" w:hAnsi="Traditional Arabic" w:cs="Traditional Arabic"/>
                <w:b/>
                <w:bCs/>
                <w:sz w:val="24"/>
                <w:szCs w:val="24"/>
              </w:rPr>
            </w:pPr>
            <w:r w:rsidRPr="00D05340">
              <w:rPr>
                <w:rFonts w:ascii="Traditional Arabic" w:hAnsi="Traditional Arabic" w:cs="Traditional Arabic"/>
                <w:b/>
                <w:bCs/>
                <w:sz w:val="24"/>
                <w:szCs w:val="24"/>
                <w:rtl/>
              </w:rPr>
              <w:t>الباحث والسنة</w:t>
            </w:r>
          </w:p>
        </w:tc>
        <w:tc>
          <w:tcPr>
            <w:tcW w:w="529" w:type="pct"/>
            <w:hideMark/>
          </w:tcPr>
          <w:p w14:paraId="0D6FDDFA" w14:textId="77777777" w:rsidR="00454375" w:rsidRPr="00D05340" w:rsidRDefault="00454375" w:rsidP="00454375">
            <w:pPr>
              <w:bidi/>
              <w:spacing w:after="200" w:line="240" w:lineRule="auto"/>
              <w:jc w:val="center"/>
              <w:rPr>
                <w:rFonts w:ascii="Traditional Arabic" w:hAnsi="Traditional Arabic" w:cs="Traditional Arabic"/>
                <w:b/>
                <w:bCs/>
                <w:sz w:val="24"/>
                <w:szCs w:val="24"/>
              </w:rPr>
            </w:pPr>
            <w:r w:rsidRPr="00D05340">
              <w:rPr>
                <w:rFonts w:ascii="Traditional Arabic" w:hAnsi="Traditional Arabic" w:cs="Traditional Arabic"/>
                <w:b/>
                <w:bCs/>
                <w:sz w:val="24"/>
                <w:szCs w:val="24"/>
                <w:rtl/>
              </w:rPr>
              <w:t>مجال الدراسة</w:t>
            </w:r>
          </w:p>
        </w:tc>
        <w:tc>
          <w:tcPr>
            <w:tcW w:w="422" w:type="pct"/>
            <w:hideMark/>
          </w:tcPr>
          <w:p w14:paraId="17A36CC8" w14:textId="77777777" w:rsidR="00454375" w:rsidRPr="00D05340" w:rsidRDefault="00454375" w:rsidP="00454375">
            <w:pPr>
              <w:bidi/>
              <w:spacing w:after="200" w:line="240" w:lineRule="auto"/>
              <w:jc w:val="center"/>
              <w:rPr>
                <w:rFonts w:ascii="Traditional Arabic" w:hAnsi="Traditional Arabic" w:cs="Traditional Arabic"/>
                <w:b/>
                <w:bCs/>
                <w:sz w:val="24"/>
                <w:szCs w:val="24"/>
              </w:rPr>
            </w:pPr>
            <w:r w:rsidRPr="00D05340">
              <w:rPr>
                <w:rFonts w:ascii="Traditional Arabic" w:hAnsi="Traditional Arabic" w:cs="Traditional Arabic"/>
                <w:b/>
                <w:bCs/>
                <w:sz w:val="24"/>
                <w:szCs w:val="24"/>
                <w:rtl/>
              </w:rPr>
              <w:t>الدولة / القطاع</w:t>
            </w:r>
          </w:p>
        </w:tc>
        <w:tc>
          <w:tcPr>
            <w:tcW w:w="814" w:type="pct"/>
            <w:hideMark/>
          </w:tcPr>
          <w:p w14:paraId="7390E788" w14:textId="77777777" w:rsidR="00454375" w:rsidRPr="00D05340" w:rsidRDefault="00454375" w:rsidP="00454375">
            <w:pPr>
              <w:bidi/>
              <w:spacing w:after="200" w:line="240" w:lineRule="auto"/>
              <w:jc w:val="center"/>
              <w:rPr>
                <w:rFonts w:ascii="Traditional Arabic" w:hAnsi="Traditional Arabic" w:cs="Traditional Arabic"/>
                <w:b/>
                <w:bCs/>
                <w:sz w:val="24"/>
                <w:szCs w:val="24"/>
              </w:rPr>
            </w:pPr>
            <w:r w:rsidRPr="00D05340">
              <w:rPr>
                <w:rFonts w:ascii="Traditional Arabic" w:hAnsi="Traditional Arabic" w:cs="Traditional Arabic"/>
                <w:b/>
                <w:bCs/>
                <w:sz w:val="24"/>
                <w:szCs w:val="24"/>
                <w:rtl/>
              </w:rPr>
              <w:t>المنهج</w:t>
            </w:r>
          </w:p>
        </w:tc>
        <w:tc>
          <w:tcPr>
            <w:tcW w:w="876" w:type="pct"/>
            <w:hideMark/>
          </w:tcPr>
          <w:p w14:paraId="190F3310" w14:textId="77777777" w:rsidR="00454375" w:rsidRPr="00D05340" w:rsidRDefault="00454375" w:rsidP="00454375">
            <w:pPr>
              <w:bidi/>
              <w:spacing w:after="200" w:line="240" w:lineRule="auto"/>
              <w:jc w:val="center"/>
              <w:rPr>
                <w:rFonts w:ascii="Traditional Arabic" w:hAnsi="Traditional Arabic" w:cs="Traditional Arabic"/>
                <w:b/>
                <w:bCs/>
                <w:sz w:val="24"/>
                <w:szCs w:val="24"/>
              </w:rPr>
            </w:pPr>
            <w:r w:rsidRPr="00D05340">
              <w:rPr>
                <w:rFonts w:ascii="Traditional Arabic" w:hAnsi="Traditional Arabic" w:cs="Traditional Arabic"/>
                <w:b/>
                <w:bCs/>
                <w:sz w:val="24"/>
                <w:szCs w:val="24"/>
                <w:rtl/>
              </w:rPr>
              <w:t>المتغيرات الرئيسية</w:t>
            </w:r>
          </w:p>
        </w:tc>
        <w:tc>
          <w:tcPr>
            <w:tcW w:w="1383" w:type="pct"/>
            <w:hideMark/>
          </w:tcPr>
          <w:p w14:paraId="77269A71" w14:textId="77777777" w:rsidR="00454375" w:rsidRPr="00D05340" w:rsidRDefault="00454375" w:rsidP="00454375">
            <w:pPr>
              <w:bidi/>
              <w:spacing w:after="200" w:line="240" w:lineRule="auto"/>
              <w:jc w:val="center"/>
              <w:rPr>
                <w:rFonts w:ascii="Traditional Arabic" w:hAnsi="Traditional Arabic" w:cs="Traditional Arabic"/>
                <w:b/>
                <w:bCs/>
                <w:sz w:val="24"/>
                <w:szCs w:val="24"/>
              </w:rPr>
            </w:pPr>
            <w:r w:rsidRPr="00D05340">
              <w:rPr>
                <w:rFonts w:ascii="Traditional Arabic" w:hAnsi="Traditional Arabic" w:cs="Traditional Arabic"/>
                <w:b/>
                <w:bCs/>
                <w:sz w:val="24"/>
                <w:szCs w:val="24"/>
                <w:rtl/>
              </w:rPr>
              <w:t>أبرز النتائج</w:t>
            </w:r>
          </w:p>
        </w:tc>
      </w:tr>
      <w:tr w:rsidR="00454375" w:rsidRPr="00D05340" w14:paraId="797FF2F7" w14:textId="77777777" w:rsidTr="002134AC">
        <w:tc>
          <w:tcPr>
            <w:tcW w:w="266" w:type="pct"/>
            <w:hideMark/>
          </w:tcPr>
          <w:p w14:paraId="5740C581"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w:t>
            </w:r>
          </w:p>
        </w:tc>
        <w:tc>
          <w:tcPr>
            <w:tcW w:w="710" w:type="pct"/>
            <w:hideMark/>
          </w:tcPr>
          <w:p w14:paraId="6AE5BD3A" w14:textId="0F473571" w:rsidR="00454375" w:rsidRPr="00D05340" w:rsidRDefault="006C635A"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أبو زيد (2021)</w:t>
            </w:r>
          </w:p>
        </w:tc>
        <w:tc>
          <w:tcPr>
            <w:tcW w:w="529" w:type="pct"/>
            <w:hideMark/>
          </w:tcPr>
          <w:p w14:paraId="0A995255"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الفنادق</w:t>
            </w:r>
          </w:p>
        </w:tc>
        <w:tc>
          <w:tcPr>
            <w:tcW w:w="422" w:type="pct"/>
            <w:hideMark/>
          </w:tcPr>
          <w:p w14:paraId="36F84EE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مصر</w:t>
            </w:r>
          </w:p>
        </w:tc>
        <w:tc>
          <w:tcPr>
            <w:tcW w:w="814" w:type="pct"/>
            <w:hideMark/>
          </w:tcPr>
          <w:p w14:paraId="6EF7234B"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r w:rsidRPr="00D05340">
              <w:rPr>
                <w:rFonts w:ascii="Traditional Arabic" w:hAnsi="Traditional Arabic" w:cs="Traditional Arabic"/>
                <w:sz w:val="24"/>
                <w:szCs w:val="24"/>
              </w:rPr>
              <w:t xml:space="preserve"> (SEM)</w:t>
            </w:r>
          </w:p>
        </w:tc>
        <w:tc>
          <w:tcPr>
            <w:tcW w:w="876" w:type="pct"/>
            <w:hideMark/>
          </w:tcPr>
          <w:p w14:paraId="1A11E35E" w14:textId="1A42760E" w:rsidR="00454375" w:rsidRPr="00D05340" w:rsidRDefault="00B443F1" w:rsidP="00B443F1">
            <w:pPr>
              <w:bidi/>
              <w:spacing w:after="200" w:line="240" w:lineRule="auto"/>
              <w:jc w:val="both"/>
              <w:rPr>
                <w:rFonts w:ascii="Traditional Arabic" w:hAnsi="Traditional Arabic" w:cs="Traditional Arabic"/>
                <w:sz w:val="24"/>
                <w:szCs w:val="24"/>
              </w:rPr>
            </w:pPr>
            <w:r w:rsidRPr="00B443F1">
              <w:rPr>
                <w:rFonts w:ascii="Traditional Arabic" w:hAnsi="Traditional Arabic" w:cs="Traditional Arabic"/>
                <w:sz w:val="24"/>
                <w:szCs w:val="24"/>
                <w:rtl/>
              </w:rPr>
              <w:t>إدارة الموارد البشرية الاستراتيجية</w:t>
            </w:r>
            <w:r w:rsidR="00454375" w:rsidRPr="00D05340">
              <w:rPr>
                <w:rFonts w:ascii="Traditional Arabic" w:hAnsi="Traditional Arabic" w:cs="Traditional Arabic"/>
                <w:sz w:val="24"/>
                <w:szCs w:val="24"/>
              </w:rPr>
              <w:t xml:space="preserve"> </w:t>
            </w:r>
            <w:r w:rsidR="00454375" w:rsidRPr="00D05340">
              <w:rPr>
                <w:rFonts w:ascii="Times New Roman" w:hAnsi="Times New Roman" w:cs="Times New Roman"/>
                <w:sz w:val="24"/>
                <w:szCs w:val="24"/>
              </w:rPr>
              <w:t>→</w:t>
            </w:r>
            <w:r w:rsidR="00454375" w:rsidRPr="00D05340">
              <w:rPr>
                <w:rFonts w:ascii="Traditional Arabic" w:hAnsi="Traditional Arabic" w:cs="Traditional Arabic"/>
                <w:sz w:val="24"/>
                <w:szCs w:val="24"/>
              </w:rPr>
              <w:t xml:space="preserve"> </w:t>
            </w:r>
            <w:r w:rsidR="00454375" w:rsidRPr="00D05340">
              <w:rPr>
                <w:rFonts w:ascii="Traditional Arabic" w:hAnsi="Traditional Arabic" w:cs="Traditional Arabic"/>
                <w:sz w:val="24"/>
                <w:szCs w:val="24"/>
                <w:rtl/>
              </w:rPr>
              <w:t>البراعة التنظيمية</w:t>
            </w:r>
          </w:p>
        </w:tc>
        <w:tc>
          <w:tcPr>
            <w:tcW w:w="1383" w:type="pct"/>
            <w:hideMark/>
          </w:tcPr>
          <w:p w14:paraId="3B4C4F0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علاقة قوية مباشرة (72%)، وتأثير غير مباشر عبر الثقافة التنظيمية</w:t>
            </w:r>
          </w:p>
        </w:tc>
      </w:tr>
      <w:tr w:rsidR="00454375" w:rsidRPr="00D05340" w14:paraId="2786FE3D" w14:textId="77777777" w:rsidTr="002134AC">
        <w:tc>
          <w:tcPr>
            <w:tcW w:w="266" w:type="pct"/>
            <w:hideMark/>
          </w:tcPr>
          <w:p w14:paraId="3C98D582"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2</w:t>
            </w:r>
          </w:p>
        </w:tc>
        <w:tc>
          <w:tcPr>
            <w:tcW w:w="710" w:type="pct"/>
            <w:hideMark/>
          </w:tcPr>
          <w:p w14:paraId="4E43A5BB" w14:textId="4C09DF9F" w:rsidR="00454375" w:rsidRPr="00D05340" w:rsidRDefault="006C635A"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أبو جنيب (2020)</w:t>
            </w:r>
          </w:p>
        </w:tc>
        <w:tc>
          <w:tcPr>
            <w:tcW w:w="529" w:type="pct"/>
            <w:hideMark/>
          </w:tcPr>
          <w:p w14:paraId="1439D80B"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التعليم العالي</w:t>
            </w:r>
          </w:p>
        </w:tc>
        <w:tc>
          <w:tcPr>
            <w:tcW w:w="422" w:type="pct"/>
            <w:hideMark/>
          </w:tcPr>
          <w:p w14:paraId="0A21E10F"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الأردن</w:t>
            </w:r>
          </w:p>
        </w:tc>
        <w:tc>
          <w:tcPr>
            <w:tcW w:w="814" w:type="pct"/>
            <w:hideMark/>
          </w:tcPr>
          <w:p w14:paraId="50C3C5BA"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وصفي ارتباطي</w:t>
            </w:r>
          </w:p>
        </w:tc>
        <w:tc>
          <w:tcPr>
            <w:tcW w:w="876" w:type="pct"/>
            <w:hideMark/>
          </w:tcPr>
          <w:p w14:paraId="0185632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 xml:space="preserve">التفكير الاستراتيجي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البراعة</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التنظيمية</w:t>
            </w:r>
          </w:p>
        </w:tc>
        <w:tc>
          <w:tcPr>
            <w:tcW w:w="1383" w:type="pct"/>
            <w:hideMark/>
          </w:tcPr>
          <w:p w14:paraId="7539052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علاقة إيجابية، لا فروق حسب الجنس والترتيب الأكاديمي</w:t>
            </w:r>
          </w:p>
        </w:tc>
      </w:tr>
      <w:tr w:rsidR="00454375" w:rsidRPr="00D05340" w14:paraId="19F847A0" w14:textId="77777777" w:rsidTr="002134AC">
        <w:tc>
          <w:tcPr>
            <w:tcW w:w="266" w:type="pct"/>
            <w:hideMark/>
          </w:tcPr>
          <w:p w14:paraId="00D42608"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3</w:t>
            </w:r>
          </w:p>
        </w:tc>
        <w:tc>
          <w:tcPr>
            <w:tcW w:w="710" w:type="pct"/>
            <w:hideMark/>
          </w:tcPr>
          <w:p w14:paraId="65C3B966" w14:textId="5891F8F9" w:rsidR="00454375" w:rsidRPr="00D05340" w:rsidRDefault="006C635A"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عبد طوفان والجنابي (2022)</w:t>
            </w:r>
          </w:p>
        </w:tc>
        <w:tc>
          <w:tcPr>
            <w:tcW w:w="529" w:type="pct"/>
            <w:hideMark/>
          </w:tcPr>
          <w:p w14:paraId="20AC7C9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التعليم العالي</w:t>
            </w:r>
          </w:p>
        </w:tc>
        <w:tc>
          <w:tcPr>
            <w:tcW w:w="422" w:type="pct"/>
            <w:hideMark/>
          </w:tcPr>
          <w:p w14:paraId="143549F6"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العراق</w:t>
            </w:r>
          </w:p>
        </w:tc>
        <w:tc>
          <w:tcPr>
            <w:tcW w:w="814" w:type="pct"/>
            <w:hideMark/>
          </w:tcPr>
          <w:p w14:paraId="5B631B5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 تحليلي</w:t>
            </w:r>
          </w:p>
        </w:tc>
        <w:tc>
          <w:tcPr>
            <w:tcW w:w="876" w:type="pct"/>
            <w:hideMark/>
          </w:tcPr>
          <w:p w14:paraId="041BA7B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 xml:space="preserve">الاحتواء الاستراتيجي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البراعة</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التنظيمية</w:t>
            </w:r>
          </w:p>
        </w:tc>
        <w:tc>
          <w:tcPr>
            <w:tcW w:w="1383" w:type="pct"/>
            <w:hideMark/>
          </w:tcPr>
          <w:p w14:paraId="33FD5D7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ضعف في استثمار الفرص، وتوصية بتوجه استراتيجي شامل</w:t>
            </w:r>
          </w:p>
        </w:tc>
      </w:tr>
      <w:tr w:rsidR="00454375" w:rsidRPr="00D05340" w14:paraId="196CF3BC" w14:textId="77777777" w:rsidTr="002134AC">
        <w:tc>
          <w:tcPr>
            <w:tcW w:w="266" w:type="pct"/>
            <w:hideMark/>
          </w:tcPr>
          <w:p w14:paraId="64E075FA"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4</w:t>
            </w:r>
          </w:p>
        </w:tc>
        <w:tc>
          <w:tcPr>
            <w:tcW w:w="710" w:type="pct"/>
            <w:hideMark/>
          </w:tcPr>
          <w:p w14:paraId="121AE226" w14:textId="62976E07" w:rsidR="00454375" w:rsidRPr="00D05340" w:rsidRDefault="006C635A"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الحسن (2022)</w:t>
            </w:r>
          </w:p>
        </w:tc>
        <w:tc>
          <w:tcPr>
            <w:tcW w:w="529" w:type="pct"/>
            <w:hideMark/>
          </w:tcPr>
          <w:p w14:paraId="2C62759E"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التعليم العالي</w:t>
            </w:r>
          </w:p>
        </w:tc>
        <w:tc>
          <w:tcPr>
            <w:tcW w:w="422" w:type="pct"/>
            <w:hideMark/>
          </w:tcPr>
          <w:p w14:paraId="5846EF8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سوريا</w:t>
            </w:r>
          </w:p>
        </w:tc>
        <w:tc>
          <w:tcPr>
            <w:tcW w:w="814" w:type="pct"/>
            <w:hideMark/>
          </w:tcPr>
          <w:p w14:paraId="345F488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وصفي تحليلي</w:t>
            </w:r>
          </w:p>
        </w:tc>
        <w:tc>
          <w:tcPr>
            <w:tcW w:w="876" w:type="pct"/>
            <w:hideMark/>
          </w:tcPr>
          <w:p w14:paraId="466D8DD9"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 xml:space="preserve">التوجه الاستراتيجي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البراعة</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التنظيمية</w:t>
            </w:r>
          </w:p>
        </w:tc>
        <w:tc>
          <w:tcPr>
            <w:tcW w:w="1383" w:type="pct"/>
            <w:hideMark/>
          </w:tcPr>
          <w:p w14:paraId="73E7A9E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علاقة إيجابية، ضرورة ترسيخ التوجهات الاستراتيجية</w:t>
            </w:r>
          </w:p>
        </w:tc>
      </w:tr>
      <w:tr w:rsidR="00454375" w:rsidRPr="00D05340" w14:paraId="2E58481C" w14:textId="77777777" w:rsidTr="002134AC">
        <w:tc>
          <w:tcPr>
            <w:tcW w:w="266" w:type="pct"/>
            <w:hideMark/>
          </w:tcPr>
          <w:p w14:paraId="03CF226E"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5</w:t>
            </w:r>
          </w:p>
        </w:tc>
        <w:tc>
          <w:tcPr>
            <w:tcW w:w="710" w:type="pct"/>
            <w:hideMark/>
          </w:tcPr>
          <w:p w14:paraId="3C68931A" w14:textId="127632F8" w:rsidR="00454375" w:rsidRPr="00D05340" w:rsidRDefault="006C635A"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حسن وآخرون (2021)</w:t>
            </w:r>
          </w:p>
        </w:tc>
        <w:tc>
          <w:tcPr>
            <w:tcW w:w="529" w:type="pct"/>
            <w:hideMark/>
          </w:tcPr>
          <w:p w14:paraId="12E02EAE"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الصناعات الدوائية</w:t>
            </w:r>
          </w:p>
        </w:tc>
        <w:tc>
          <w:tcPr>
            <w:tcW w:w="422" w:type="pct"/>
            <w:hideMark/>
          </w:tcPr>
          <w:p w14:paraId="3D6B81B5"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العراق</w:t>
            </w:r>
          </w:p>
        </w:tc>
        <w:tc>
          <w:tcPr>
            <w:tcW w:w="814" w:type="pct"/>
            <w:hideMark/>
          </w:tcPr>
          <w:p w14:paraId="605BD4F1"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وصفي تحليلي</w:t>
            </w:r>
          </w:p>
        </w:tc>
        <w:tc>
          <w:tcPr>
            <w:tcW w:w="876" w:type="pct"/>
            <w:hideMark/>
          </w:tcPr>
          <w:p w14:paraId="3E0519B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 xml:space="preserve">التفكير الاستراتيجي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البراعة</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التنظيمية</w:t>
            </w:r>
          </w:p>
        </w:tc>
        <w:tc>
          <w:tcPr>
            <w:tcW w:w="1383" w:type="pct"/>
            <w:hideMark/>
          </w:tcPr>
          <w:p w14:paraId="64B9289F"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علاقة معنوية إيجابية تعزز الأداء التنظيمي</w:t>
            </w:r>
          </w:p>
        </w:tc>
      </w:tr>
      <w:tr w:rsidR="00454375" w:rsidRPr="00D05340" w14:paraId="4AEA2257" w14:textId="77777777" w:rsidTr="002134AC">
        <w:tc>
          <w:tcPr>
            <w:tcW w:w="266" w:type="pct"/>
            <w:hideMark/>
          </w:tcPr>
          <w:p w14:paraId="0BD326A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6</w:t>
            </w:r>
          </w:p>
        </w:tc>
        <w:tc>
          <w:tcPr>
            <w:tcW w:w="710" w:type="pct"/>
            <w:hideMark/>
          </w:tcPr>
          <w:p w14:paraId="3E7F7FC8" w14:textId="521362EF" w:rsidR="00454375" w:rsidRPr="00D05340" w:rsidRDefault="006C635A"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الأزوري (2022)</w:t>
            </w:r>
          </w:p>
        </w:tc>
        <w:tc>
          <w:tcPr>
            <w:tcW w:w="529" w:type="pct"/>
            <w:hideMark/>
          </w:tcPr>
          <w:p w14:paraId="3C55F9B1"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التعليم الحكومي</w:t>
            </w:r>
          </w:p>
        </w:tc>
        <w:tc>
          <w:tcPr>
            <w:tcW w:w="422" w:type="pct"/>
            <w:hideMark/>
          </w:tcPr>
          <w:p w14:paraId="4958D391"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السعودية</w:t>
            </w:r>
          </w:p>
        </w:tc>
        <w:tc>
          <w:tcPr>
            <w:tcW w:w="814" w:type="pct"/>
            <w:hideMark/>
          </w:tcPr>
          <w:p w14:paraId="6FB93A77"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وصفي تحليلي</w:t>
            </w:r>
          </w:p>
        </w:tc>
        <w:tc>
          <w:tcPr>
            <w:tcW w:w="876" w:type="pct"/>
            <w:hideMark/>
          </w:tcPr>
          <w:p w14:paraId="3004CA7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 xml:space="preserve">التخطيط الاستراتيجي للموارد البشرية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تميز</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الأداء</w:t>
            </w:r>
          </w:p>
        </w:tc>
        <w:tc>
          <w:tcPr>
            <w:tcW w:w="1383" w:type="pct"/>
            <w:hideMark/>
          </w:tcPr>
          <w:p w14:paraId="42D6F10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علاقة دالة إحصائيًا، بتطبيق متوسط لممارسات التخطيط</w:t>
            </w:r>
          </w:p>
        </w:tc>
      </w:tr>
      <w:tr w:rsidR="00454375" w:rsidRPr="00D05340" w14:paraId="24E370E1" w14:textId="77777777" w:rsidTr="002134AC">
        <w:tc>
          <w:tcPr>
            <w:tcW w:w="266" w:type="pct"/>
            <w:hideMark/>
          </w:tcPr>
          <w:p w14:paraId="13343A4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7</w:t>
            </w:r>
          </w:p>
        </w:tc>
        <w:tc>
          <w:tcPr>
            <w:tcW w:w="710" w:type="pct"/>
            <w:hideMark/>
          </w:tcPr>
          <w:p w14:paraId="55AD5584" w14:textId="36C78995" w:rsidR="00454375" w:rsidRPr="00D05340" w:rsidRDefault="006C635A"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علي (2023)</w:t>
            </w:r>
          </w:p>
        </w:tc>
        <w:tc>
          <w:tcPr>
            <w:tcW w:w="529" w:type="pct"/>
            <w:hideMark/>
          </w:tcPr>
          <w:p w14:paraId="75B695F9"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الاتصالات</w:t>
            </w:r>
          </w:p>
        </w:tc>
        <w:tc>
          <w:tcPr>
            <w:tcW w:w="422" w:type="pct"/>
            <w:hideMark/>
          </w:tcPr>
          <w:p w14:paraId="78A4564F"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سوريا</w:t>
            </w:r>
          </w:p>
        </w:tc>
        <w:tc>
          <w:tcPr>
            <w:tcW w:w="814" w:type="pct"/>
            <w:hideMark/>
          </w:tcPr>
          <w:p w14:paraId="53900145"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p>
        </w:tc>
        <w:tc>
          <w:tcPr>
            <w:tcW w:w="876" w:type="pct"/>
            <w:hideMark/>
          </w:tcPr>
          <w:p w14:paraId="568D958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 xml:space="preserve">التخطيط الاستراتيجي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الأداء</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الوظيفي</w:t>
            </w:r>
          </w:p>
        </w:tc>
        <w:tc>
          <w:tcPr>
            <w:tcW w:w="1383" w:type="pct"/>
            <w:hideMark/>
          </w:tcPr>
          <w:p w14:paraId="10AF01C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تأثير إيجابي قوي، مع توصيات بتقنيات حديثة</w:t>
            </w:r>
          </w:p>
        </w:tc>
      </w:tr>
      <w:tr w:rsidR="00454375" w:rsidRPr="00D05340" w14:paraId="729B2D9E" w14:textId="77777777" w:rsidTr="002134AC">
        <w:tc>
          <w:tcPr>
            <w:tcW w:w="266" w:type="pct"/>
            <w:hideMark/>
          </w:tcPr>
          <w:p w14:paraId="446E35D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8</w:t>
            </w:r>
          </w:p>
        </w:tc>
        <w:tc>
          <w:tcPr>
            <w:tcW w:w="710" w:type="pct"/>
            <w:hideMark/>
          </w:tcPr>
          <w:p w14:paraId="531350BE" w14:textId="2731F1F9" w:rsidR="00454375" w:rsidRPr="00D05340" w:rsidRDefault="006C635A"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حميد (2021)</w:t>
            </w:r>
          </w:p>
        </w:tc>
        <w:tc>
          <w:tcPr>
            <w:tcW w:w="529" w:type="pct"/>
            <w:hideMark/>
          </w:tcPr>
          <w:p w14:paraId="270D5D3F"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الأمن</w:t>
            </w:r>
          </w:p>
        </w:tc>
        <w:tc>
          <w:tcPr>
            <w:tcW w:w="422" w:type="pct"/>
            <w:hideMark/>
          </w:tcPr>
          <w:p w14:paraId="46BEF3A8"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العراق</w:t>
            </w:r>
          </w:p>
        </w:tc>
        <w:tc>
          <w:tcPr>
            <w:tcW w:w="814" w:type="pct"/>
            <w:hideMark/>
          </w:tcPr>
          <w:p w14:paraId="26964F98"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r w:rsidRPr="00D05340">
              <w:rPr>
                <w:rFonts w:ascii="Traditional Arabic" w:hAnsi="Traditional Arabic" w:cs="Traditional Arabic"/>
                <w:sz w:val="24"/>
                <w:szCs w:val="24"/>
              </w:rPr>
              <w:t xml:space="preserve"> (SEM)</w:t>
            </w:r>
          </w:p>
        </w:tc>
        <w:tc>
          <w:tcPr>
            <w:tcW w:w="876" w:type="pct"/>
            <w:hideMark/>
          </w:tcPr>
          <w:p w14:paraId="6F7852B5"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 xml:space="preserve">القيادة الاستراتيجية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البراعة</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التنظيمية</w:t>
            </w:r>
          </w:p>
        </w:tc>
        <w:tc>
          <w:tcPr>
            <w:tcW w:w="1383" w:type="pct"/>
            <w:hideMark/>
          </w:tcPr>
          <w:p w14:paraId="7609D772"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علاقة مباشرة، وتوصية بتأسيس قسم لوجستي داعم</w:t>
            </w:r>
          </w:p>
        </w:tc>
      </w:tr>
      <w:tr w:rsidR="00454375" w:rsidRPr="00D05340" w14:paraId="73382CF4" w14:textId="77777777" w:rsidTr="002134AC">
        <w:tc>
          <w:tcPr>
            <w:tcW w:w="266" w:type="pct"/>
            <w:hideMark/>
          </w:tcPr>
          <w:p w14:paraId="4631F451"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9</w:t>
            </w:r>
          </w:p>
        </w:tc>
        <w:tc>
          <w:tcPr>
            <w:tcW w:w="710" w:type="pct"/>
            <w:hideMark/>
          </w:tcPr>
          <w:p w14:paraId="0576B34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Mekuri-Ndimele (2025)</w:t>
            </w:r>
          </w:p>
        </w:tc>
        <w:tc>
          <w:tcPr>
            <w:tcW w:w="529" w:type="pct"/>
            <w:hideMark/>
          </w:tcPr>
          <w:p w14:paraId="35C76056"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التصنيع</w:t>
            </w:r>
          </w:p>
        </w:tc>
        <w:tc>
          <w:tcPr>
            <w:tcW w:w="422" w:type="pct"/>
            <w:hideMark/>
          </w:tcPr>
          <w:p w14:paraId="3CC7A506"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نيجيريا</w:t>
            </w:r>
          </w:p>
        </w:tc>
        <w:tc>
          <w:tcPr>
            <w:tcW w:w="814" w:type="pct"/>
            <w:hideMark/>
          </w:tcPr>
          <w:p w14:paraId="5212B297"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p>
        </w:tc>
        <w:tc>
          <w:tcPr>
            <w:tcW w:w="876" w:type="pct"/>
            <w:hideMark/>
          </w:tcPr>
          <w:p w14:paraId="325A3BC6"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 xml:space="preserve">HR Planning </w:t>
            </w:r>
            <w:r w:rsidRPr="00D05340">
              <w:rPr>
                <w:rFonts w:ascii="Times New Roman" w:hAnsi="Times New Roman" w:cs="Times New Roman"/>
                <w:sz w:val="24"/>
                <w:szCs w:val="24"/>
              </w:rPr>
              <w:t>→</w:t>
            </w:r>
            <w:r w:rsidRPr="00D05340">
              <w:rPr>
                <w:rFonts w:ascii="Traditional Arabic" w:hAnsi="Traditional Arabic" w:cs="Traditional Arabic"/>
                <w:sz w:val="24"/>
                <w:szCs w:val="24"/>
              </w:rPr>
              <w:t xml:space="preserve"> Agility</w:t>
            </w:r>
          </w:p>
        </w:tc>
        <w:tc>
          <w:tcPr>
            <w:tcW w:w="1383" w:type="pct"/>
            <w:hideMark/>
          </w:tcPr>
          <w:p w14:paraId="4AB3EA81"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علاقة دالة إيجابيًا، مع توصية بإطار تخطيط قوي</w:t>
            </w:r>
          </w:p>
        </w:tc>
      </w:tr>
      <w:tr w:rsidR="00454375" w:rsidRPr="00D05340" w14:paraId="4934B3F0" w14:textId="77777777" w:rsidTr="002134AC">
        <w:tc>
          <w:tcPr>
            <w:tcW w:w="266" w:type="pct"/>
            <w:hideMark/>
          </w:tcPr>
          <w:p w14:paraId="4D218187"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10</w:t>
            </w:r>
          </w:p>
        </w:tc>
        <w:tc>
          <w:tcPr>
            <w:tcW w:w="710" w:type="pct"/>
            <w:hideMark/>
          </w:tcPr>
          <w:p w14:paraId="1972FFA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 xml:space="preserve">Asfahani </w:t>
            </w:r>
            <w:r w:rsidRPr="00D05340">
              <w:rPr>
                <w:rFonts w:ascii="Traditional Arabic" w:hAnsi="Traditional Arabic" w:cs="Traditional Arabic"/>
                <w:sz w:val="24"/>
                <w:szCs w:val="24"/>
              </w:rPr>
              <w:lastRenderedPageBreak/>
              <w:t>(2021)</w:t>
            </w:r>
          </w:p>
        </w:tc>
        <w:tc>
          <w:tcPr>
            <w:tcW w:w="529" w:type="pct"/>
            <w:hideMark/>
          </w:tcPr>
          <w:p w14:paraId="6BC724FA"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lastRenderedPageBreak/>
              <w:t xml:space="preserve">مؤسسات </w:t>
            </w:r>
            <w:r w:rsidRPr="00D05340">
              <w:rPr>
                <w:rFonts w:ascii="Traditional Arabic" w:hAnsi="Traditional Arabic" w:cs="Traditional Arabic"/>
                <w:sz w:val="24"/>
                <w:szCs w:val="24"/>
                <w:rtl/>
              </w:rPr>
              <w:lastRenderedPageBreak/>
              <w:t>متنوعة</w:t>
            </w:r>
          </w:p>
        </w:tc>
        <w:tc>
          <w:tcPr>
            <w:tcW w:w="422" w:type="pct"/>
            <w:hideMark/>
          </w:tcPr>
          <w:p w14:paraId="51E26D3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lastRenderedPageBreak/>
              <w:t>-</w:t>
            </w:r>
          </w:p>
        </w:tc>
        <w:tc>
          <w:tcPr>
            <w:tcW w:w="814" w:type="pct"/>
            <w:hideMark/>
          </w:tcPr>
          <w:p w14:paraId="76842A65"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تحليلي وصفي</w:t>
            </w:r>
          </w:p>
        </w:tc>
        <w:tc>
          <w:tcPr>
            <w:tcW w:w="876" w:type="pct"/>
            <w:hideMark/>
          </w:tcPr>
          <w:p w14:paraId="475B61F9" w14:textId="4DA69891" w:rsidR="00454375" w:rsidRPr="00D05340" w:rsidRDefault="00454375" w:rsidP="00B443F1">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نماذج</w:t>
            </w:r>
            <w:r w:rsidRPr="00D05340">
              <w:rPr>
                <w:rFonts w:ascii="Traditional Arabic" w:hAnsi="Traditional Arabic" w:cs="Traditional Arabic"/>
                <w:sz w:val="24"/>
                <w:szCs w:val="24"/>
              </w:rPr>
              <w:t xml:space="preserve"> </w:t>
            </w:r>
            <w:r w:rsidR="00B443F1" w:rsidRPr="00B443F1">
              <w:rPr>
                <w:rFonts w:ascii="Traditional Arabic" w:hAnsi="Traditional Arabic" w:cs="Traditional Arabic"/>
                <w:sz w:val="24"/>
                <w:szCs w:val="24"/>
                <w:rtl/>
              </w:rPr>
              <w:t>إدارة الموارد البشرية الاستراتيجية</w:t>
            </w:r>
            <w:r w:rsidRPr="00D05340">
              <w:rPr>
                <w:rFonts w:ascii="Traditional Arabic" w:hAnsi="Traditional Arabic" w:cs="Traditional Arabic"/>
                <w:sz w:val="24"/>
                <w:szCs w:val="24"/>
              </w:rPr>
              <w:t xml:space="preserve"> </w:t>
            </w:r>
            <w:r w:rsidRPr="00D05340">
              <w:rPr>
                <w:rFonts w:ascii="Traditional Arabic" w:hAnsi="Traditional Arabic" w:cs="Traditional Arabic"/>
                <w:sz w:val="24"/>
                <w:szCs w:val="24"/>
                <w:rtl/>
              </w:rPr>
              <w:lastRenderedPageBreak/>
              <w:t xml:space="preserve">الحديثة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البراعة</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التنظيمية</w:t>
            </w:r>
          </w:p>
        </w:tc>
        <w:tc>
          <w:tcPr>
            <w:tcW w:w="1383" w:type="pct"/>
            <w:hideMark/>
          </w:tcPr>
          <w:p w14:paraId="17CA5BE9"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lastRenderedPageBreak/>
              <w:t xml:space="preserve">جميع النماذج تسهم في التكيف </w:t>
            </w:r>
            <w:r w:rsidRPr="00D05340">
              <w:rPr>
                <w:rFonts w:ascii="Traditional Arabic" w:hAnsi="Traditional Arabic" w:cs="Traditional Arabic"/>
                <w:sz w:val="24"/>
                <w:szCs w:val="24"/>
                <w:rtl/>
              </w:rPr>
              <w:lastRenderedPageBreak/>
              <w:t>التنظيمي</w:t>
            </w:r>
          </w:p>
        </w:tc>
      </w:tr>
      <w:tr w:rsidR="00454375" w:rsidRPr="00D05340" w14:paraId="040A7C87" w14:textId="77777777" w:rsidTr="002134AC">
        <w:tc>
          <w:tcPr>
            <w:tcW w:w="266" w:type="pct"/>
            <w:hideMark/>
          </w:tcPr>
          <w:p w14:paraId="05E7E42B"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lastRenderedPageBreak/>
              <w:t>11</w:t>
            </w:r>
          </w:p>
        </w:tc>
        <w:tc>
          <w:tcPr>
            <w:tcW w:w="710" w:type="pct"/>
            <w:hideMark/>
          </w:tcPr>
          <w:p w14:paraId="2C29014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Wang &amp; Regua (2024)</w:t>
            </w:r>
          </w:p>
        </w:tc>
        <w:tc>
          <w:tcPr>
            <w:tcW w:w="529" w:type="pct"/>
            <w:hideMark/>
          </w:tcPr>
          <w:p w14:paraId="3C2257A8"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مؤسسات مرنة</w:t>
            </w:r>
          </w:p>
        </w:tc>
        <w:tc>
          <w:tcPr>
            <w:tcW w:w="422" w:type="pct"/>
            <w:hideMark/>
          </w:tcPr>
          <w:p w14:paraId="0C89AC97"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دولية</w:t>
            </w:r>
          </w:p>
        </w:tc>
        <w:tc>
          <w:tcPr>
            <w:tcW w:w="814" w:type="pct"/>
            <w:hideMark/>
          </w:tcPr>
          <w:p w14:paraId="18AEC731"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كمي/نوعي</w:t>
            </w:r>
          </w:p>
        </w:tc>
        <w:tc>
          <w:tcPr>
            <w:tcW w:w="876" w:type="pct"/>
            <w:hideMark/>
          </w:tcPr>
          <w:p w14:paraId="041C6E55" w14:textId="6153F100" w:rsidR="00454375" w:rsidRPr="00D05340" w:rsidRDefault="00B443F1" w:rsidP="00B443F1">
            <w:pPr>
              <w:bidi/>
              <w:spacing w:after="200" w:line="240" w:lineRule="auto"/>
              <w:jc w:val="both"/>
              <w:rPr>
                <w:rFonts w:ascii="Traditional Arabic" w:hAnsi="Traditional Arabic" w:cs="Traditional Arabic"/>
                <w:sz w:val="24"/>
                <w:szCs w:val="24"/>
              </w:rPr>
            </w:pPr>
            <w:r w:rsidRPr="00B443F1">
              <w:rPr>
                <w:rFonts w:ascii="Traditional Arabic" w:hAnsi="Traditional Arabic" w:cs="Traditional Arabic"/>
                <w:sz w:val="24"/>
                <w:szCs w:val="24"/>
                <w:rtl/>
              </w:rPr>
              <w:t>إدارة الموارد البشرية الاستراتيجية</w:t>
            </w:r>
            <w:r w:rsidR="00454375" w:rsidRPr="00D05340">
              <w:rPr>
                <w:rFonts w:ascii="Traditional Arabic" w:hAnsi="Traditional Arabic" w:cs="Traditional Arabic"/>
                <w:sz w:val="24"/>
                <w:szCs w:val="24"/>
              </w:rPr>
              <w:t xml:space="preserve"> Practices </w:t>
            </w:r>
            <w:r w:rsidR="00454375" w:rsidRPr="00D05340">
              <w:rPr>
                <w:rFonts w:ascii="Times New Roman" w:hAnsi="Times New Roman" w:cs="Times New Roman"/>
                <w:sz w:val="24"/>
                <w:szCs w:val="24"/>
              </w:rPr>
              <w:t>→</w:t>
            </w:r>
            <w:r w:rsidR="00454375" w:rsidRPr="00D05340">
              <w:rPr>
                <w:rFonts w:ascii="Traditional Arabic" w:hAnsi="Traditional Arabic" w:cs="Traditional Arabic"/>
                <w:sz w:val="24"/>
                <w:szCs w:val="24"/>
              </w:rPr>
              <w:t xml:space="preserve"> Agility</w:t>
            </w:r>
          </w:p>
        </w:tc>
        <w:tc>
          <w:tcPr>
            <w:tcW w:w="1383" w:type="pct"/>
            <w:hideMark/>
          </w:tcPr>
          <w:p w14:paraId="51C169F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أثر مباشر وغير مباشر على الابتكار والمرونة</w:t>
            </w:r>
          </w:p>
        </w:tc>
      </w:tr>
      <w:tr w:rsidR="00454375" w:rsidRPr="00D05340" w14:paraId="14B2ADEF" w14:textId="77777777" w:rsidTr="002134AC">
        <w:tc>
          <w:tcPr>
            <w:tcW w:w="266" w:type="pct"/>
            <w:hideMark/>
          </w:tcPr>
          <w:p w14:paraId="2157F41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12</w:t>
            </w:r>
          </w:p>
        </w:tc>
        <w:tc>
          <w:tcPr>
            <w:tcW w:w="710" w:type="pct"/>
            <w:hideMark/>
          </w:tcPr>
          <w:p w14:paraId="463B5D1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Hamidianpour et al. (2016)</w:t>
            </w:r>
          </w:p>
        </w:tc>
        <w:tc>
          <w:tcPr>
            <w:tcW w:w="529" w:type="pct"/>
            <w:hideMark/>
          </w:tcPr>
          <w:p w14:paraId="6E6FDDB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البنوك</w:t>
            </w:r>
          </w:p>
        </w:tc>
        <w:tc>
          <w:tcPr>
            <w:tcW w:w="422" w:type="pct"/>
            <w:hideMark/>
          </w:tcPr>
          <w:p w14:paraId="549916C2"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إيران</w:t>
            </w:r>
          </w:p>
        </w:tc>
        <w:tc>
          <w:tcPr>
            <w:tcW w:w="814" w:type="pct"/>
            <w:hideMark/>
          </w:tcPr>
          <w:p w14:paraId="100AFE8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r w:rsidRPr="00D05340">
              <w:rPr>
                <w:rFonts w:ascii="Traditional Arabic" w:hAnsi="Traditional Arabic" w:cs="Traditional Arabic"/>
                <w:sz w:val="24"/>
                <w:szCs w:val="24"/>
              </w:rPr>
              <w:t xml:space="preserve"> (SEM)</w:t>
            </w:r>
          </w:p>
        </w:tc>
        <w:tc>
          <w:tcPr>
            <w:tcW w:w="876" w:type="pct"/>
            <w:hideMark/>
          </w:tcPr>
          <w:p w14:paraId="10D4142F"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 xml:space="preserve">E-HRM </w:t>
            </w:r>
            <w:r w:rsidRPr="00D05340">
              <w:rPr>
                <w:rFonts w:ascii="Times New Roman" w:hAnsi="Times New Roman" w:cs="Times New Roman"/>
                <w:sz w:val="24"/>
                <w:szCs w:val="24"/>
              </w:rPr>
              <w:t>→</w:t>
            </w:r>
            <w:r w:rsidRPr="00D05340">
              <w:rPr>
                <w:rFonts w:ascii="Traditional Arabic" w:hAnsi="Traditional Arabic" w:cs="Traditional Arabic"/>
                <w:sz w:val="24"/>
                <w:szCs w:val="24"/>
              </w:rPr>
              <w:t xml:space="preserve"> </w:t>
            </w:r>
            <w:r w:rsidRPr="00D05340">
              <w:rPr>
                <w:rFonts w:ascii="Traditional Arabic" w:hAnsi="Traditional Arabic" w:cs="Traditional Arabic"/>
                <w:sz w:val="24"/>
                <w:szCs w:val="24"/>
                <w:rtl/>
              </w:rPr>
              <w:t>البراعة التنظيمية</w:t>
            </w:r>
          </w:p>
        </w:tc>
        <w:tc>
          <w:tcPr>
            <w:tcW w:w="1383" w:type="pct"/>
            <w:hideMark/>
          </w:tcPr>
          <w:p w14:paraId="331701F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أثر كبير للأنشطة الإلكترونية، باستثناء التوظيف</w:t>
            </w:r>
          </w:p>
        </w:tc>
      </w:tr>
      <w:tr w:rsidR="00454375" w:rsidRPr="00D05340" w14:paraId="1C6FBF17" w14:textId="77777777" w:rsidTr="002134AC">
        <w:tc>
          <w:tcPr>
            <w:tcW w:w="266" w:type="pct"/>
            <w:hideMark/>
          </w:tcPr>
          <w:p w14:paraId="25C75775"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13</w:t>
            </w:r>
          </w:p>
        </w:tc>
        <w:tc>
          <w:tcPr>
            <w:tcW w:w="710" w:type="pct"/>
            <w:hideMark/>
          </w:tcPr>
          <w:p w14:paraId="6B72EEBB"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Barahma et al. (2019)</w:t>
            </w:r>
          </w:p>
        </w:tc>
        <w:tc>
          <w:tcPr>
            <w:tcW w:w="529" w:type="pct"/>
            <w:hideMark/>
          </w:tcPr>
          <w:p w14:paraId="333D63D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التصنيع</w:t>
            </w:r>
          </w:p>
        </w:tc>
        <w:tc>
          <w:tcPr>
            <w:tcW w:w="422" w:type="pct"/>
            <w:hideMark/>
          </w:tcPr>
          <w:p w14:paraId="552CC65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اليمن</w:t>
            </w:r>
          </w:p>
        </w:tc>
        <w:tc>
          <w:tcPr>
            <w:tcW w:w="814" w:type="pct"/>
            <w:hideMark/>
          </w:tcPr>
          <w:p w14:paraId="31C2B6A7"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r w:rsidRPr="00D05340">
              <w:rPr>
                <w:rFonts w:ascii="Traditional Arabic" w:hAnsi="Traditional Arabic" w:cs="Traditional Arabic"/>
                <w:sz w:val="24"/>
                <w:szCs w:val="24"/>
              </w:rPr>
              <w:t xml:space="preserve"> (SEM)</w:t>
            </w:r>
          </w:p>
        </w:tc>
        <w:tc>
          <w:tcPr>
            <w:tcW w:w="876" w:type="pct"/>
            <w:hideMark/>
          </w:tcPr>
          <w:p w14:paraId="15E5E87B"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 xml:space="preserve">HR Strategies </w:t>
            </w:r>
            <w:r w:rsidRPr="00D05340">
              <w:rPr>
                <w:rFonts w:ascii="Times New Roman" w:hAnsi="Times New Roman" w:cs="Times New Roman"/>
                <w:sz w:val="24"/>
                <w:szCs w:val="24"/>
              </w:rPr>
              <w:t>→</w:t>
            </w:r>
            <w:r w:rsidRPr="00D05340">
              <w:rPr>
                <w:rFonts w:ascii="Traditional Arabic" w:hAnsi="Traditional Arabic" w:cs="Traditional Arabic"/>
                <w:sz w:val="24"/>
                <w:szCs w:val="24"/>
              </w:rPr>
              <w:t xml:space="preserve"> </w:t>
            </w:r>
            <w:r w:rsidRPr="00D05340">
              <w:rPr>
                <w:rFonts w:ascii="Traditional Arabic" w:hAnsi="Traditional Arabic" w:cs="Traditional Arabic"/>
                <w:sz w:val="24"/>
                <w:szCs w:val="24"/>
                <w:rtl/>
              </w:rPr>
              <w:t>البراعة الاستراتيجية</w:t>
            </w:r>
          </w:p>
        </w:tc>
        <w:tc>
          <w:tcPr>
            <w:tcW w:w="1383" w:type="pct"/>
            <w:hideMark/>
          </w:tcPr>
          <w:p w14:paraId="301478E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تخطيط المسار والتدريب الأكثر تأثيرًا</w:t>
            </w:r>
          </w:p>
        </w:tc>
      </w:tr>
      <w:tr w:rsidR="00454375" w:rsidRPr="00D05340" w14:paraId="2EC8BC39" w14:textId="77777777" w:rsidTr="002134AC">
        <w:tc>
          <w:tcPr>
            <w:tcW w:w="266" w:type="pct"/>
            <w:hideMark/>
          </w:tcPr>
          <w:p w14:paraId="0602A888"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14</w:t>
            </w:r>
          </w:p>
        </w:tc>
        <w:tc>
          <w:tcPr>
            <w:tcW w:w="710" w:type="pct"/>
            <w:hideMark/>
          </w:tcPr>
          <w:p w14:paraId="2F080E59"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Almagharbeh (2024)</w:t>
            </w:r>
          </w:p>
        </w:tc>
        <w:tc>
          <w:tcPr>
            <w:tcW w:w="529" w:type="pct"/>
            <w:hideMark/>
          </w:tcPr>
          <w:p w14:paraId="631B34D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الفنادق</w:t>
            </w:r>
          </w:p>
        </w:tc>
        <w:tc>
          <w:tcPr>
            <w:tcW w:w="422" w:type="pct"/>
            <w:hideMark/>
          </w:tcPr>
          <w:p w14:paraId="25C7D588"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الأردن</w:t>
            </w:r>
          </w:p>
        </w:tc>
        <w:tc>
          <w:tcPr>
            <w:tcW w:w="814" w:type="pct"/>
            <w:hideMark/>
          </w:tcPr>
          <w:p w14:paraId="7E5794A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r w:rsidRPr="00D05340">
              <w:rPr>
                <w:rFonts w:ascii="Traditional Arabic" w:hAnsi="Traditional Arabic" w:cs="Traditional Arabic"/>
                <w:sz w:val="24"/>
                <w:szCs w:val="24"/>
              </w:rPr>
              <w:t xml:space="preserve"> (SEM)</w:t>
            </w:r>
          </w:p>
        </w:tc>
        <w:tc>
          <w:tcPr>
            <w:tcW w:w="876" w:type="pct"/>
            <w:hideMark/>
          </w:tcPr>
          <w:p w14:paraId="00EF9BA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 xml:space="preserve">مرونة الموارد البشرية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الاستدامة</w:t>
            </w:r>
          </w:p>
        </w:tc>
        <w:tc>
          <w:tcPr>
            <w:tcW w:w="1383" w:type="pct"/>
            <w:hideMark/>
          </w:tcPr>
          <w:p w14:paraId="0331F676"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المبادرة والتكيف دعما البراعة، مع أثر غير دال للصمود البيئي</w:t>
            </w:r>
          </w:p>
        </w:tc>
      </w:tr>
      <w:tr w:rsidR="00454375" w:rsidRPr="00D05340" w14:paraId="536F7E9E" w14:textId="77777777" w:rsidTr="002134AC">
        <w:tc>
          <w:tcPr>
            <w:tcW w:w="266" w:type="pct"/>
            <w:hideMark/>
          </w:tcPr>
          <w:p w14:paraId="65E9B44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15</w:t>
            </w:r>
          </w:p>
        </w:tc>
        <w:tc>
          <w:tcPr>
            <w:tcW w:w="710" w:type="pct"/>
            <w:hideMark/>
          </w:tcPr>
          <w:p w14:paraId="51B4EF2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Marhoon &amp; Omar (2024)</w:t>
            </w:r>
          </w:p>
        </w:tc>
        <w:tc>
          <w:tcPr>
            <w:tcW w:w="529" w:type="pct"/>
            <w:hideMark/>
          </w:tcPr>
          <w:p w14:paraId="2546882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القطاع العام</w:t>
            </w:r>
          </w:p>
        </w:tc>
        <w:tc>
          <w:tcPr>
            <w:tcW w:w="422" w:type="pct"/>
            <w:hideMark/>
          </w:tcPr>
          <w:p w14:paraId="1DE103E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مراجعة</w:t>
            </w:r>
          </w:p>
        </w:tc>
        <w:tc>
          <w:tcPr>
            <w:tcW w:w="814" w:type="pct"/>
            <w:hideMark/>
          </w:tcPr>
          <w:p w14:paraId="5C5E707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مراجعة</w:t>
            </w:r>
          </w:p>
        </w:tc>
        <w:tc>
          <w:tcPr>
            <w:tcW w:w="876" w:type="pct"/>
            <w:hideMark/>
          </w:tcPr>
          <w:p w14:paraId="2E0D084E" w14:textId="14CCC8B7" w:rsidR="00454375" w:rsidRPr="00D05340" w:rsidRDefault="00B443F1" w:rsidP="00B443F1">
            <w:pPr>
              <w:bidi/>
              <w:spacing w:after="200" w:line="240" w:lineRule="auto"/>
              <w:jc w:val="both"/>
              <w:rPr>
                <w:rFonts w:ascii="Traditional Arabic" w:hAnsi="Traditional Arabic" w:cs="Traditional Arabic"/>
                <w:sz w:val="24"/>
                <w:szCs w:val="24"/>
              </w:rPr>
            </w:pPr>
            <w:r w:rsidRPr="00B443F1">
              <w:rPr>
                <w:rFonts w:ascii="Traditional Arabic" w:hAnsi="Traditional Arabic" w:cs="Traditional Arabic"/>
                <w:sz w:val="24"/>
                <w:szCs w:val="24"/>
                <w:rtl/>
              </w:rPr>
              <w:t>إدارة الموارد البشرية الاستراتيجية</w:t>
            </w:r>
            <w:r w:rsidR="00454375" w:rsidRPr="00D05340">
              <w:rPr>
                <w:rFonts w:ascii="Traditional Arabic" w:hAnsi="Traditional Arabic" w:cs="Traditional Arabic"/>
                <w:sz w:val="24"/>
                <w:szCs w:val="24"/>
              </w:rPr>
              <w:t xml:space="preserve"> </w:t>
            </w:r>
            <w:r w:rsidR="00454375" w:rsidRPr="00D05340">
              <w:rPr>
                <w:rFonts w:ascii="Traditional Arabic" w:hAnsi="Traditional Arabic" w:cs="Traditional Arabic"/>
                <w:sz w:val="24"/>
                <w:szCs w:val="24"/>
                <w:rtl/>
              </w:rPr>
              <w:t>المستدامة</w:t>
            </w:r>
            <w:r w:rsidR="00454375" w:rsidRPr="00D05340">
              <w:rPr>
                <w:rFonts w:ascii="Traditional Arabic" w:hAnsi="Traditional Arabic" w:cs="Traditional Arabic"/>
                <w:sz w:val="24"/>
                <w:szCs w:val="24"/>
              </w:rPr>
              <w:t xml:space="preserve"> </w:t>
            </w:r>
            <w:r w:rsidR="00454375" w:rsidRPr="00D05340">
              <w:rPr>
                <w:rFonts w:ascii="Times New Roman" w:hAnsi="Times New Roman" w:cs="Times New Roman"/>
                <w:sz w:val="24"/>
                <w:szCs w:val="24"/>
              </w:rPr>
              <w:t>→</w:t>
            </w:r>
            <w:r w:rsidR="00454375" w:rsidRPr="00D05340">
              <w:rPr>
                <w:rFonts w:ascii="Traditional Arabic" w:hAnsi="Traditional Arabic" w:cs="Traditional Arabic"/>
                <w:sz w:val="24"/>
                <w:szCs w:val="24"/>
              </w:rPr>
              <w:t xml:space="preserve"> Agility</w:t>
            </w:r>
          </w:p>
        </w:tc>
        <w:tc>
          <w:tcPr>
            <w:tcW w:w="1383" w:type="pct"/>
            <w:hideMark/>
          </w:tcPr>
          <w:p w14:paraId="45045CF8"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فجوة بحثية في القطاع العام، خاصة بعد الجائحة</w:t>
            </w:r>
          </w:p>
        </w:tc>
      </w:tr>
      <w:tr w:rsidR="00454375" w:rsidRPr="00D05340" w14:paraId="6FBBC8CD" w14:textId="77777777" w:rsidTr="002134AC">
        <w:tc>
          <w:tcPr>
            <w:tcW w:w="266" w:type="pct"/>
            <w:hideMark/>
          </w:tcPr>
          <w:p w14:paraId="77595C25"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16</w:t>
            </w:r>
          </w:p>
        </w:tc>
        <w:tc>
          <w:tcPr>
            <w:tcW w:w="710" w:type="pct"/>
            <w:hideMark/>
          </w:tcPr>
          <w:p w14:paraId="3A30F519"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Yamin et al. (2024)</w:t>
            </w:r>
          </w:p>
        </w:tc>
        <w:tc>
          <w:tcPr>
            <w:tcW w:w="529" w:type="pct"/>
            <w:hideMark/>
          </w:tcPr>
          <w:p w14:paraId="03378B17"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اللوجستيات</w:t>
            </w:r>
          </w:p>
        </w:tc>
        <w:tc>
          <w:tcPr>
            <w:tcW w:w="422" w:type="pct"/>
            <w:hideMark/>
          </w:tcPr>
          <w:p w14:paraId="04DF9E0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السعودية</w:t>
            </w:r>
          </w:p>
        </w:tc>
        <w:tc>
          <w:tcPr>
            <w:tcW w:w="814" w:type="pct"/>
            <w:hideMark/>
          </w:tcPr>
          <w:p w14:paraId="11BDBCD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r w:rsidRPr="00D05340">
              <w:rPr>
                <w:rFonts w:ascii="Traditional Arabic" w:hAnsi="Traditional Arabic" w:cs="Traditional Arabic"/>
                <w:sz w:val="24"/>
                <w:szCs w:val="24"/>
              </w:rPr>
              <w:t xml:space="preserve"> (SEM)</w:t>
            </w:r>
          </w:p>
        </w:tc>
        <w:tc>
          <w:tcPr>
            <w:tcW w:w="876" w:type="pct"/>
            <w:hideMark/>
          </w:tcPr>
          <w:p w14:paraId="3701AC10" w14:textId="642B5ACB" w:rsidR="00454375" w:rsidRPr="00D05340" w:rsidRDefault="00B443F1" w:rsidP="00B443F1">
            <w:pPr>
              <w:bidi/>
              <w:spacing w:after="200" w:line="240" w:lineRule="auto"/>
              <w:jc w:val="both"/>
              <w:rPr>
                <w:rFonts w:ascii="Traditional Arabic" w:hAnsi="Traditional Arabic" w:cs="Traditional Arabic"/>
                <w:sz w:val="24"/>
                <w:szCs w:val="24"/>
              </w:rPr>
            </w:pPr>
            <w:r w:rsidRPr="00B443F1">
              <w:rPr>
                <w:rFonts w:ascii="Traditional Arabic" w:hAnsi="Traditional Arabic" w:cs="Traditional Arabic"/>
                <w:sz w:val="24"/>
                <w:szCs w:val="24"/>
                <w:rtl/>
              </w:rPr>
              <w:t>إدارة الموارد البشرية الاستراتيجية</w:t>
            </w:r>
            <w:r w:rsidR="00454375" w:rsidRPr="00D05340">
              <w:rPr>
                <w:rFonts w:ascii="Traditional Arabic" w:hAnsi="Traditional Arabic" w:cs="Traditional Arabic"/>
                <w:sz w:val="24"/>
                <w:szCs w:val="24"/>
              </w:rPr>
              <w:t xml:space="preserve"> + AI </w:t>
            </w:r>
            <w:r w:rsidR="00454375" w:rsidRPr="00D05340">
              <w:rPr>
                <w:rFonts w:ascii="Times New Roman" w:hAnsi="Times New Roman" w:cs="Times New Roman"/>
                <w:sz w:val="24"/>
                <w:szCs w:val="24"/>
              </w:rPr>
              <w:t>→</w:t>
            </w:r>
            <w:r w:rsidR="00454375" w:rsidRPr="00D05340">
              <w:rPr>
                <w:rFonts w:ascii="Traditional Arabic" w:hAnsi="Traditional Arabic" w:cs="Traditional Arabic"/>
                <w:sz w:val="24"/>
                <w:szCs w:val="24"/>
              </w:rPr>
              <w:t xml:space="preserve"> </w:t>
            </w:r>
            <w:r w:rsidR="00454375" w:rsidRPr="00D05340">
              <w:rPr>
                <w:rFonts w:ascii="Traditional Arabic" w:hAnsi="Traditional Arabic" w:cs="Traditional Arabic"/>
                <w:sz w:val="24"/>
                <w:szCs w:val="24"/>
                <w:rtl/>
              </w:rPr>
              <w:t>براعة سلسلة التوريد</w:t>
            </w:r>
          </w:p>
        </w:tc>
        <w:tc>
          <w:tcPr>
            <w:tcW w:w="1383" w:type="pct"/>
            <w:hideMark/>
          </w:tcPr>
          <w:p w14:paraId="5632A39E"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القيادة ورأس المال البشري كانا الأكثر تأثيرًا</w:t>
            </w:r>
          </w:p>
        </w:tc>
      </w:tr>
      <w:tr w:rsidR="00454375" w:rsidRPr="00D05340" w14:paraId="08153271" w14:textId="77777777" w:rsidTr="002134AC">
        <w:tc>
          <w:tcPr>
            <w:tcW w:w="266" w:type="pct"/>
            <w:hideMark/>
          </w:tcPr>
          <w:p w14:paraId="1213499A"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17</w:t>
            </w:r>
          </w:p>
        </w:tc>
        <w:tc>
          <w:tcPr>
            <w:tcW w:w="710" w:type="pct"/>
            <w:hideMark/>
          </w:tcPr>
          <w:p w14:paraId="08FB466E"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Saad &amp; Al-Naggar (2023)</w:t>
            </w:r>
          </w:p>
        </w:tc>
        <w:tc>
          <w:tcPr>
            <w:tcW w:w="529" w:type="pct"/>
            <w:hideMark/>
          </w:tcPr>
          <w:p w14:paraId="2AC9A741"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البلديات</w:t>
            </w:r>
          </w:p>
        </w:tc>
        <w:tc>
          <w:tcPr>
            <w:tcW w:w="422" w:type="pct"/>
            <w:hideMark/>
          </w:tcPr>
          <w:p w14:paraId="1522326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السعودية</w:t>
            </w:r>
          </w:p>
        </w:tc>
        <w:tc>
          <w:tcPr>
            <w:tcW w:w="814" w:type="pct"/>
            <w:hideMark/>
          </w:tcPr>
          <w:p w14:paraId="5BF5097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p>
        </w:tc>
        <w:tc>
          <w:tcPr>
            <w:tcW w:w="876" w:type="pct"/>
            <w:hideMark/>
          </w:tcPr>
          <w:p w14:paraId="6279D959"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 xml:space="preserve">HR Maintenance </w:t>
            </w:r>
            <w:r w:rsidRPr="00D05340">
              <w:rPr>
                <w:rFonts w:ascii="Times New Roman" w:hAnsi="Times New Roman" w:cs="Times New Roman"/>
                <w:sz w:val="24"/>
                <w:szCs w:val="24"/>
              </w:rPr>
              <w:t>→</w:t>
            </w:r>
            <w:r w:rsidRPr="00D05340">
              <w:rPr>
                <w:rFonts w:ascii="Traditional Arabic" w:hAnsi="Traditional Arabic" w:cs="Traditional Arabic"/>
                <w:sz w:val="24"/>
                <w:szCs w:val="24"/>
              </w:rPr>
              <w:t xml:space="preserve"> Agility</w:t>
            </w:r>
          </w:p>
        </w:tc>
        <w:tc>
          <w:tcPr>
            <w:tcW w:w="1383" w:type="pct"/>
            <w:hideMark/>
          </w:tcPr>
          <w:p w14:paraId="77941C78"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علاقة إيجابية قوية مع توصية بالتمويل والدعم المؤسسي</w:t>
            </w:r>
          </w:p>
        </w:tc>
      </w:tr>
      <w:tr w:rsidR="00454375" w:rsidRPr="00D05340" w14:paraId="23B679D4" w14:textId="77777777" w:rsidTr="002134AC">
        <w:tc>
          <w:tcPr>
            <w:tcW w:w="266" w:type="pct"/>
            <w:hideMark/>
          </w:tcPr>
          <w:p w14:paraId="303CBC7E"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18</w:t>
            </w:r>
          </w:p>
        </w:tc>
        <w:tc>
          <w:tcPr>
            <w:tcW w:w="710" w:type="pct"/>
            <w:hideMark/>
          </w:tcPr>
          <w:p w14:paraId="2518046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Tiwow et al. (2023)</w:t>
            </w:r>
          </w:p>
        </w:tc>
        <w:tc>
          <w:tcPr>
            <w:tcW w:w="529" w:type="pct"/>
            <w:hideMark/>
          </w:tcPr>
          <w:p w14:paraId="256D4945"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التعليم العالي</w:t>
            </w:r>
          </w:p>
        </w:tc>
        <w:tc>
          <w:tcPr>
            <w:tcW w:w="422" w:type="pct"/>
            <w:hideMark/>
          </w:tcPr>
          <w:p w14:paraId="6CA0A6D8"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دولي</w:t>
            </w:r>
          </w:p>
        </w:tc>
        <w:tc>
          <w:tcPr>
            <w:tcW w:w="814" w:type="pct"/>
            <w:hideMark/>
          </w:tcPr>
          <w:p w14:paraId="6A2D90F2"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تحليل نظري وتجريبي</w:t>
            </w:r>
          </w:p>
        </w:tc>
        <w:tc>
          <w:tcPr>
            <w:tcW w:w="876" w:type="pct"/>
            <w:hideMark/>
          </w:tcPr>
          <w:p w14:paraId="711E841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 xml:space="preserve">HR Strategies </w:t>
            </w:r>
            <w:r w:rsidRPr="00D05340">
              <w:rPr>
                <w:rFonts w:ascii="Times New Roman" w:hAnsi="Times New Roman" w:cs="Times New Roman"/>
                <w:sz w:val="24"/>
                <w:szCs w:val="24"/>
              </w:rPr>
              <w:t>→</w:t>
            </w:r>
            <w:r w:rsidRPr="00D05340">
              <w:rPr>
                <w:rFonts w:ascii="Traditional Arabic" w:hAnsi="Traditional Arabic" w:cs="Traditional Arabic"/>
                <w:sz w:val="24"/>
                <w:szCs w:val="24"/>
              </w:rPr>
              <w:t xml:space="preserve"> Digital Agility</w:t>
            </w:r>
          </w:p>
        </w:tc>
        <w:tc>
          <w:tcPr>
            <w:tcW w:w="1383" w:type="pct"/>
            <w:hideMark/>
          </w:tcPr>
          <w:p w14:paraId="3ABDF03F"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تطوير الكفاءات الرقمية أساس التكيف المؤسسي</w:t>
            </w:r>
          </w:p>
        </w:tc>
      </w:tr>
      <w:tr w:rsidR="00454375" w:rsidRPr="00D05340" w14:paraId="67AA1DD3" w14:textId="77777777" w:rsidTr="002134AC">
        <w:tc>
          <w:tcPr>
            <w:tcW w:w="266" w:type="pct"/>
            <w:hideMark/>
          </w:tcPr>
          <w:p w14:paraId="2A6C84C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19</w:t>
            </w:r>
          </w:p>
        </w:tc>
        <w:tc>
          <w:tcPr>
            <w:tcW w:w="710" w:type="pct"/>
            <w:hideMark/>
          </w:tcPr>
          <w:p w14:paraId="202F443A"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 xml:space="preserve">Alhosani &amp; Ahmad </w:t>
            </w:r>
            <w:r w:rsidRPr="00D05340">
              <w:rPr>
                <w:rFonts w:ascii="Traditional Arabic" w:hAnsi="Traditional Arabic" w:cs="Traditional Arabic"/>
                <w:sz w:val="24"/>
                <w:szCs w:val="24"/>
              </w:rPr>
              <w:lastRenderedPageBreak/>
              <w:t>(2024)</w:t>
            </w:r>
          </w:p>
        </w:tc>
        <w:tc>
          <w:tcPr>
            <w:tcW w:w="529" w:type="pct"/>
            <w:hideMark/>
          </w:tcPr>
          <w:p w14:paraId="50592EC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lastRenderedPageBreak/>
              <w:t>الصحة</w:t>
            </w:r>
          </w:p>
        </w:tc>
        <w:tc>
          <w:tcPr>
            <w:tcW w:w="422" w:type="pct"/>
            <w:hideMark/>
          </w:tcPr>
          <w:p w14:paraId="08653E2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الإمارات</w:t>
            </w:r>
          </w:p>
        </w:tc>
        <w:tc>
          <w:tcPr>
            <w:tcW w:w="814" w:type="pct"/>
            <w:hideMark/>
          </w:tcPr>
          <w:p w14:paraId="2F0D0853"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r w:rsidRPr="00D05340">
              <w:rPr>
                <w:rFonts w:ascii="Traditional Arabic" w:hAnsi="Traditional Arabic" w:cs="Traditional Arabic"/>
                <w:sz w:val="24"/>
                <w:szCs w:val="24"/>
              </w:rPr>
              <w:t xml:space="preserve"> (PLS-SEM)</w:t>
            </w:r>
          </w:p>
        </w:tc>
        <w:tc>
          <w:tcPr>
            <w:tcW w:w="876" w:type="pct"/>
            <w:hideMark/>
          </w:tcPr>
          <w:p w14:paraId="2205228F"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 xml:space="preserve">HRM + </w:t>
            </w:r>
            <w:r w:rsidRPr="00D05340">
              <w:rPr>
                <w:rFonts w:ascii="Traditional Arabic" w:hAnsi="Traditional Arabic" w:cs="Traditional Arabic"/>
                <w:sz w:val="24"/>
                <w:szCs w:val="24"/>
                <w:rtl/>
              </w:rPr>
              <w:t>القيادة + رأس المال الفكري</w:t>
            </w:r>
            <w:r w:rsidRPr="00D05340">
              <w:rPr>
                <w:rFonts w:ascii="Traditional Arabic" w:hAnsi="Traditional Arabic" w:cs="Traditional Arabic"/>
                <w:sz w:val="24"/>
                <w:szCs w:val="24"/>
              </w:rPr>
              <w:t xml:space="preserve"> </w:t>
            </w:r>
            <w:r w:rsidRPr="00D05340">
              <w:rPr>
                <w:rFonts w:ascii="Times New Roman" w:hAnsi="Times New Roman" w:cs="Times New Roman"/>
                <w:sz w:val="24"/>
                <w:szCs w:val="24"/>
              </w:rPr>
              <w:lastRenderedPageBreak/>
              <w:t>→</w:t>
            </w:r>
            <w:r w:rsidRPr="00D05340">
              <w:rPr>
                <w:rFonts w:ascii="Traditional Arabic" w:hAnsi="Traditional Arabic" w:cs="Traditional Arabic"/>
                <w:sz w:val="24"/>
                <w:szCs w:val="24"/>
              </w:rPr>
              <w:t xml:space="preserve"> Agility</w:t>
            </w:r>
          </w:p>
        </w:tc>
        <w:tc>
          <w:tcPr>
            <w:tcW w:w="1383" w:type="pct"/>
            <w:hideMark/>
          </w:tcPr>
          <w:p w14:paraId="3A0B8996"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lastRenderedPageBreak/>
              <w:t>علاقة إيجابية، وتأكيد على القيادة في السياقات الديناميكية</w:t>
            </w:r>
          </w:p>
        </w:tc>
      </w:tr>
      <w:tr w:rsidR="00454375" w:rsidRPr="00D05340" w14:paraId="74B746C0" w14:textId="77777777" w:rsidTr="002134AC">
        <w:tc>
          <w:tcPr>
            <w:tcW w:w="266" w:type="pct"/>
            <w:hideMark/>
          </w:tcPr>
          <w:p w14:paraId="04471BC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20</w:t>
            </w:r>
          </w:p>
        </w:tc>
        <w:tc>
          <w:tcPr>
            <w:tcW w:w="710" w:type="pct"/>
            <w:hideMark/>
          </w:tcPr>
          <w:p w14:paraId="3702030E"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Alqarnin et al. (2023)</w:t>
            </w:r>
          </w:p>
        </w:tc>
        <w:tc>
          <w:tcPr>
            <w:tcW w:w="529" w:type="pct"/>
            <w:hideMark/>
          </w:tcPr>
          <w:p w14:paraId="633BEE6D"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السياحة والضيافة</w:t>
            </w:r>
          </w:p>
        </w:tc>
        <w:tc>
          <w:tcPr>
            <w:tcW w:w="422" w:type="pct"/>
            <w:hideMark/>
          </w:tcPr>
          <w:p w14:paraId="0D36AA3C"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مصر</w:t>
            </w:r>
          </w:p>
        </w:tc>
        <w:tc>
          <w:tcPr>
            <w:tcW w:w="814" w:type="pct"/>
            <w:hideMark/>
          </w:tcPr>
          <w:p w14:paraId="052D8316"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كمي</w:t>
            </w:r>
            <w:r w:rsidRPr="00D05340">
              <w:rPr>
                <w:rFonts w:ascii="Traditional Arabic" w:hAnsi="Traditional Arabic" w:cs="Traditional Arabic"/>
                <w:sz w:val="24"/>
                <w:szCs w:val="24"/>
              </w:rPr>
              <w:t xml:space="preserve"> (PLS-SEM)</w:t>
            </w:r>
          </w:p>
        </w:tc>
        <w:tc>
          <w:tcPr>
            <w:tcW w:w="876" w:type="pct"/>
            <w:hideMark/>
          </w:tcPr>
          <w:p w14:paraId="3E0A9AD0"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Pr>
              <w:t xml:space="preserve">E-HRM </w:t>
            </w:r>
            <w:r w:rsidRPr="00D05340">
              <w:rPr>
                <w:rFonts w:ascii="Times New Roman" w:hAnsi="Times New Roman" w:cs="Times New Roman"/>
                <w:sz w:val="24"/>
                <w:szCs w:val="24"/>
              </w:rPr>
              <w:t>→</w:t>
            </w:r>
            <w:r w:rsidRPr="00D05340">
              <w:rPr>
                <w:rFonts w:ascii="Traditional Arabic" w:hAnsi="Traditional Arabic" w:cs="Traditional Arabic"/>
                <w:sz w:val="24"/>
                <w:szCs w:val="24"/>
              </w:rPr>
              <w:t xml:space="preserve"> </w:t>
            </w:r>
            <w:r w:rsidRPr="00D05340">
              <w:rPr>
                <w:rFonts w:ascii="Traditional Arabic" w:hAnsi="Traditional Arabic" w:cs="Traditional Arabic"/>
                <w:sz w:val="24"/>
                <w:szCs w:val="24"/>
                <w:rtl/>
              </w:rPr>
              <w:t xml:space="preserve">المرونة + الابتكار </w:t>
            </w:r>
            <w:r w:rsidRPr="00D05340">
              <w:rPr>
                <w:rFonts w:ascii="Times New Roman" w:hAnsi="Times New Roman" w:cs="Times New Roman" w:hint="cs"/>
                <w:sz w:val="24"/>
                <w:szCs w:val="24"/>
                <w:rtl/>
              </w:rPr>
              <w:t>→</w:t>
            </w:r>
            <w:r w:rsidRPr="00D05340">
              <w:rPr>
                <w:rFonts w:ascii="Traditional Arabic" w:hAnsi="Traditional Arabic" w:cs="Traditional Arabic"/>
                <w:sz w:val="24"/>
                <w:szCs w:val="24"/>
                <w:rtl/>
              </w:rPr>
              <w:t xml:space="preserve"> </w:t>
            </w:r>
            <w:r w:rsidRPr="00D05340">
              <w:rPr>
                <w:rFonts w:ascii="Traditional Arabic" w:hAnsi="Traditional Arabic" w:cs="Traditional Arabic" w:hint="cs"/>
                <w:sz w:val="24"/>
                <w:szCs w:val="24"/>
                <w:rtl/>
              </w:rPr>
              <w:t>تنافسية</w:t>
            </w:r>
          </w:p>
        </w:tc>
        <w:tc>
          <w:tcPr>
            <w:tcW w:w="1383" w:type="pct"/>
            <w:hideMark/>
          </w:tcPr>
          <w:p w14:paraId="37E203C4" w14:textId="77777777" w:rsidR="00454375" w:rsidRPr="00D05340" w:rsidRDefault="00454375" w:rsidP="00454375">
            <w:pPr>
              <w:bidi/>
              <w:spacing w:after="200" w:line="240" w:lineRule="auto"/>
              <w:jc w:val="both"/>
              <w:rPr>
                <w:rFonts w:ascii="Traditional Arabic" w:hAnsi="Traditional Arabic" w:cs="Traditional Arabic"/>
                <w:sz w:val="24"/>
                <w:szCs w:val="24"/>
              </w:rPr>
            </w:pPr>
            <w:r w:rsidRPr="00D05340">
              <w:rPr>
                <w:rFonts w:ascii="Traditional Arabic" w:hAnsi="Traditional Arabic" w:cs="Traditional Arabic"/>
                <w:sz w:val="24"/>
                <w:szCs w:val="24"/>
                <w:rtl/>
              </w:rPr>
              <w:t>تأثير مباشر وغير مباشر عبر الابتكار والمرونة التنظيمية</w:t>
            </w:r>
          </w:p>
        </w:tc>
      </w:tr>
    </w:tbl>
    <w:p w14:paraId="2196400C" w14:textId="77777777" w:rsidR="00436873" w:rsidRPr="00D05340" w:rsidRDefault="00436873" w:rsidP="00553DC2">
      <w:pPr>
        <w:bidi/>
        <w:spacing w:after="200" w:line="360" w:lineRule="auto"/>
        <w:jc w:val="both"/>
        <w:rPr>
          <w:rFonts w:ascii="Traditional Arabic" w:eastAsia="Times New Roman" w:hAnsi="Traditional Arabic" w:cs="Traditional Arabic"/>
          <w:sz w:val="32"/>
          <w:szCs w:val="32"/>
          <w:rtl/>
        </w:rPr>
      </w:pPr>
    </w:p>
    <w:p w14:paraId="7BA42302" w14:textId="0EC5D8E5" w:rsidR="00C339B3" w:rsidRPr="00D05340" w:rsidRDefault="005B16AE" w:rsidP="00553DC2">
      <w:pPr>
        <w:bidi/>
        <w:spacing w:after="200" w:line="360" w:lineRule="auto"/>
        <w:jc w:val="both"/>
        <w:rPr>
          <w:rFonts w:ascii="Traditional Arabic" w:hAnsi="Traditional Arabic" w:cs="Traditional Arabic"/>
          <w:b/>
          <w:bCs/>
          <w:color w:val="1F497D" w:themeColor="text2"/>
          <w:sz w:val="32"/>
          <w:szCs w:val="32"/>
          <w:u w:val="single"/>
          <w:rtl/>
        </w:rPr>
      </w:pPr>
      <w:r w:rsidRPr="00D05340">
        <w:rPr>
          <w:rFonts w:ascii="Traditional Arabic" w:hAnsi="Traditional Arabic" w:cs="Traditional Arabic"/>
          <w:b/>
          <w:bCs/>
          <w:color w:val="1F497D" w:themeColor="text2"/>
          <w:sz w:val="32"/>
          <w:szCs w:val="32"/>
          <w:u w:val="single"/>
          <w:rtl/>
        </w:rPr>
        <w:t>ما يميز الدراسة الحالية عن الدراسات السابقة</w:t>
      </w:r>
      <w:r w:rsidR="00476433" w:rsidRPr="00D05340">
        <w:rPr>
          <w:rFonts w:ascii="Traditional Arabic" w:hAnsi="Traditional Arabic" w:cs="Traditional Arabic"/>
          <w:b/>
          <w:bCs/>
          <w:color w:val="1F497D" w:themeColor="text2"/>
          <w:sz w:val="32"/>
          <w:szCs w:val="32"/>
          <w:u w:val="single"/>
          <w:rtl/>
        </w:rPr>
        <w:t xml:space="preserve"> والفجوة البحثية</w:t>
      </w:r>
    </w:p>
    <w:p w14:paraId="68CA1788" w14:textId="77777777" w:rsidR="006C635A" w:rsidRPr="00D05340" w:rsidRDefault="006C635A" w:rsidP="006C635A">
      <w:pPr>
        <w:bidi/>
        <w:spacing w:before="100" w:beforeAutospacing="1" w:after="100" w:afterAutospacing="1" w:line="360" w:lineRule="auto"/>
        <w:jc w:val="both"/>
        <w:rPr>
          <w:rFonts w:ascii="Traditional Arabic" w:eastAsia="Times New Roman" w:hAnsi="Traditional Arabic" w:cs="Traditional Arabic"/>
          <w:sz w:val="32"/>
          <w:szCs w:val="32"/>
          <w:rtl/>
        </w:rPr>
      </w:pPr>
      <w:r w:rsidRPr="00D05340">
        <w:rPr>
          <w:rFonts w:ascii="Traditional Arabic" w:eastAsia="Times New Roman" w:hAnsi="Traditional Arabic" w:cs="Traditional Arabic"/>
          <w:sz w:val="32"/>
          <w:szCs w:val="32"/>
          <w:rtl/>
        </w:rPr>
        <w:t>رغم تنوع الدراسات السابقة التي تناولت العلاقة بين ممارسات إدارة الموارد البشرية الاستراتيجية والبراعة التنظيمية في سياقات متعددة كالفنادق (أبو زيد، 2021)، والجامعات (أبو جنيب، 2020؛ الحسن، 2022)، والمؤسسات الصناعية</w:t>
      </w:r>
      <w:r w:rsidRPr="00D05340">
        <w:rPr>
          <w:rFonts w:ascii="Traditional Arabic" w:eastAsia="Times New Roman" w:hAnsi="Traditional Arabic" w:cs="Traditional Arabic"/>
          <w:sz w:val="32"/>
          <w:szCs w:val="32"/>
        </w:rPr>
        <w:t xml:space="preserve"> (Mekuri-Ndimele, 2025</w:t>
      </w:r>
      <w:r w:rsidRPr="00D05340">
        <w:rPr>
          <w:rFonts w:ascii="Traditional Arabic" w:eastAsia="Times New Roman" w:hAnsi="Traditional Arabic" w:cs="Traditional Arabic"/>
          <w:sz w:val="32"/>
          <w:szCs w:val="32"/>
          <w:rtl/>
        </w:rPr>
        <w:t>؛</w:t>
      </w:r>
      <w:r w:rsidRPr="00D05340">
        <w:rPr>
          <w:rFonts w:ascii="Traditional Arabic" w:eastAsia="Times New Roman" w:hAnsi="Traditional Arabic" w:cs="Traditional Arabic"/>
          <w:sz w:val="32"/>
          <w:szCs w:val="32"/>
        </w:rPr>
        <w:t xml:space="preserve"> Barahma et al., 2019)</w:t>
      </w:r>
      <w:r w:rsidRPr="00D05340">
        <w:rPr>
          <w:rFonts w:ascii="Traditional Arabic" w:eastAsia="Times New Roman" w:hAnsi="Traditional Arabic" w:cs="Traditional Arabic"/>
          <w:sz w:val="32"/>
          <w:szCs w:val="32"/>
          <w:rtl/>
        </w:rPr>
        <w:t>، إلا أن دراستي الحالية تتفرد بعدة جوانب أساسية تضيف إليها قيمة علمية وتطبيقية جديدة</w:t>
      </w:r>
      <w:r w:rsidRPr="00D05340">
        <w:rPr>
          <w:rFonts w:ascii="Traditional Arabic" w:eastAsia="Times New Roman" w:hAnsi="Traditional Arabic" w:cs="Traditional Arabic"/>
          <w:sz w:val="32"/>
          <w:szCs w:val="32"/>
        </w:rPr>
        <w:t>.</w:t>
      </w:r>
    </w:p>
    <w:p w14:paraId="0AE77A27" w14:textId="77777777" w:rsidR="006C635A" w:rsidRPr="00D05340" w:rsidRDefault="006C635A" w:rsidP="006C635A">
      <w:pPr>
        <w:bidi/>
        <w:spacing w:before="100" w:beforeAutospacing="1" w:after="100" w:afterAutospacing="1" w:line="360" w:lineRule="auto"/>
        <w:jc w:val="both"/>
        <w:rPr>
          <w:rFonts w:ascii="Traditional Arabic" w:eastAsia="Times New Roman" w:hAnsi="Traditional Arabic" w:cs="Traditional Arabic"/>
          <w:sz w:val="32"/>
          <w:szCs w:val="32"/>
          <w:rtl/>
        </w:rPr>
      </w:pPr>
      <w:r w:rsidRPr="00D05340">
        <w:rPr>
          <w:rFonts w:ascii="Traditional Arabic" w:eastAsia="Times New Roman" w:hAnsi="Traditional Arabic" w:cs="Traditional Arabic"/>
          <w:sz w:val="32"/>
          <w:szCs w:val="32"/>
          <w:rtl/>
        </w:rPr>
        <w:t>أولًا، تختلف هذه الدراسة من حيث سياقها المؤسسي، حيث تركز على وزارة الإعلام في المملكة العربية السعودية، وهي من الجهات الحكومية المركزية التي تلعب دورًا استراتيجيًا في بناء الرأي العام، وإدارة المشهد الإعلامي، والمساهمة في التحول الرقمي للدولة. وبخلاف معظم الدراسات السابقة التي ركزت على القطاع الخاص أو مؤسسات التعليم، فإن هذه الدراسة تسعى إلى تقديم فهم أعمق لكيفية توظيف التخطيط الاستراتيجي للموارد البشرية في قطاع حكومي حساس ومتشعب من حيث المهام والأدوار.</w:t>
      </w:r>
    </w:p>
    <w:p w14:paraId="4FAF0CF2" w14:textId="6D45E0DD" w:rsidR="00221600" w:rsidRPr="00D05340" w:rsidRDefault="00221600" w:rsidP="006C635A">
      <w:p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ثانيًا، تنفرد هذه الدراسة بمعالجة ممارسات إدارة الموارد البشرية الاستراتيجية بأبعادها التفصيلية (تخطيط الموارد البشرية، تطوير رأس المال البشري، تقييم الأداء، صيانة الموارد البشرية، وتطوير الكفاءات)، وقياس أثرها بشكل مباشر على البراعة التنظيمية بوصفها متغيرًا مركبًا يضم أربعة أبعاد: المرونة، التكيف، سرعة الاستجابة، والابتكار، مما يتيح قراءة أكثر شمولًا للعلاقة محل الدراسة</w:t>
      </w:r>
      <w:r w:rsidRPr="00D05340">
        <w:rPr>
          <w:rFonts w:ascii="Traditional Arabic" w:eastAsia="Times New Roman" w:hAnsi="Traditional Arabic" w:cs="Traditional Arabic"/>
          <w:sz w:val="32"/>
          <w:szCs w:val="32"/>
        </w:rPr>
        <w:t>.</w:t>
      </w:r>
    </w:p>
    <w:p w14:paraId="09907B68" w14:textId="77777777" w:rsidR="00221600" w:rsidRPr="00D05340" w:rsidRDefault="00221600" w:rsidP="00221600">
      <w:p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lastRenderedPageBreak/>
        <w:t>ثالثًا، تسعى الدراسة إلى سد فجوة معرفية حددتها دراسات أجنبية حديثة (مثل</w:t>
      </w:r>
      <w:r w:rsidRPr="00D05340">
        <w:rPr>
          <w:rFonts w:ascii="Traditional Arabic" w:eastAsia="Times New Roman" w:hAnsi="Traditional Arabic" w:cs="Traditional Arabic"/>
          <w:sz w:val="32"/>
          <w:szCs w:val="32"/>
        </w:rPr>
        <w:t>: Marhoon &amp; Omar, 2024</w:t>
      </w:r>
      <w:r w:rsidRPr="00D05340">
        <w:rPr>
          <w:rFonts w:ascii="Traditional Arabic" w:eastAsia="Times New Roman" w:hAnsi="Traditional Arabic" w:cs="Traditional Arabic"/>
          <w:sz w:val="32"/>
          <w:szCs w:val="32"/>
          <w:rtl/>
        </w:rPr>
        <w:t>؛</w:t>
      </w:r>
      <w:r w:rsidRPr="00D05340">
        <w:rPr>
          <w:rFonts w:ascii="Traditional Arabic" w:eastAsia="Times New Roman" w:hAnsi="Traditional Arabic" w:cs="Traditional Arabic"/>
          <w:sz w:val="32"/>
          <w:szCs w:val="32"/>
        </w:rPr>
        <w:t xml:space="preserve"> Alhosani &amp; Ahmad, 2024) </w:t>
      </w:r>
      <w:r w:rsidRPr="00D05340">
        <w:rPr>
          <w:rFonts w:ascii="Traditional Arabic" w:eastAsia="Times New Roman" w:hAnsi="Traditional Arabic" w:cs="Traditional Arabic"/>
          <w:sz w:val="32"/>
          <w:szCs w:val="32"/>
          <w:rtl/>
        </w:rPr>
        <w:t>تتعلق بضعف الأبحاث التطبيقية التي تستكشف العلاقة بين إدارة الموارد البشرية والبراعة التنظيمية في القطاع العام، خصوصًا في بيئات عربية تمر بتحولات رقمية وتنظيمية متسارعة مثل المملكة العربية السعودية</w:t>
      </w:r>
      <w:r w:rsidRPr="00D05340">
        <w:rPr>
          <w:rFonts w:ascii="Traditional Arabic" w:eastAsia="Times New Roman" w:hAnsi="Traditional Arabic" w:cs="Traditional Arabic"/>
          <w:sz w:val="32"/>
          <w:szCs w:val="32"/>
        </w:rPr>
        <w:t>.</w:t>
      </w:r>
    </w:p>
    <w:p w14:paraId="06DAEFF2" w14:textId="0621DDE6" w:rsidR="00221600" w:rsidRPr="00D05340" w:rsidRDefault="00221600" w:rsidP="00221600">
      <w:p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أخيرًا، فإن اعتماد الدراسة على نموذج تحليلي متكامل مدعوم بأدبيات عربية وأجنبية حديثة، يجعلها تسهم في تقديم توصيات واقعية قابلة للتطبيق تساعد متخذي القرار في وزارة الإعلام على تطوير سياسات الموارد البشرية بما يعزز من مرونة الأداء المؤسسي واستجابته للتغيرات المستقبلية</w:t>
      </w:r>
      <w:r w:rsidRPr="00D05340">
        <w:rPr>
          <w:rFonts w:ascii="Traditional Arabic" w:eastAsia="Times New Roman" w:hAnsi="Traditional Arabic" w:cs="Traditional Arabic"/>
          <w:sz w:val="32"/>
          <w:szCs w:val="32"/>
        </w:rPr>
        <w:t>.</w:t>
      </w:r>
    </w:p>
    <w:p w14:paraId="47A48BF7" w14:textId="77777777" w:rsidR="00C339B3" w:rsidRPr="004A5E36" w:rsidRDefault="00C339B3" w:rsidP="00553DC2">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1CD8BF87" w14:textId="04BD9EFB" w:rsidR="008A3C31" w:rsidRPr="00D05340" w:rsidRDefault="00AD783C" w:rsidP="00920354">
      <w:pPr>
        <w:bidi/>
        <w:spacing w:after="200" w:line="360" w:lineRule="auto"/>
        <w:jc w:val="both"/>
        <w:rPr>
          <w:rFonts w:ascii="Traditional Arabic" w:hAnsi="Traditional Arabic" w:cs="Traditional Arabic"/>
          <w:sz w:val="32"/>
          <w:szCs w:val="32"/>
          <w:rtl/>
          <w:lang w:bidi="ar-JO"/>
        </w:rPr>
      </w:pPr>
      <w:r w:rsidRPr="00D05340">
        <w:rPr>
          <w:rFonts w:ascii="Traditional Arabic" w:hAnsi="Traditional Arabic" w:cs="Traditional Arabic"/>
          <w:b/>
          <w:bCs/>
          <w:color w:val="00B0F0"/>
          <w:sz w:val="32"/>
          <w:szCs w:val="32"/>
          <w:u w:val="single"/>
          <w:rtl/>
        </w:rPr>
        <w:t>مصطلحات الدراسة وتعريفاتها الإجرائية</w:t>
      </w:r>
    </w:p>
    <w:p w14:paraId="5FBA869A" w14:textId="7DFEA364" w:rsidR="000D362A" w:rsidRPr="00D05340" w:rsidRDefault="000D362A" w:rsidP="000D362A">
      <w:pPr>
        <w:bidi/>
        <w:spacing w:after="0" w:line="360" w:lineRule="auto"/>
        <w:jc w:val="both"/>
        <w:rPr>
          <w:rFonts w:ascii="Traditional Arabic" w:eastAsia="Times New Roman" w:hAnsi="Traditional Arabic" w:cs="Traditional Arabic"/>
          <w:sz w:val="32"/>
          <w:szCs w:val="32"/>
        </w:rPr>
      </w:pPr>
    </w:p>
    <w:p w14:paraId="248593BE" w14:textId="77777777" w:rsidR="007D5015" w:rsidRPr="00D05340" w:rsidRDefault="000D362A" w:rsidP="007D5015">
      <w:pPr>
        <w:bidi/>
        <w:spacing w:after="0" w:line="360" w:lineRule="auto"/>
        <w:jc w:val="both"/>
        <w:rPr>
          <w:rFonts w:ascii="Traditional Arabic" w:eastAsia="Times New Roman" w:hAnsi="Traditional Arabic" w:cs="Traditional Arabic"/>
          <w:b/>
          <w:bCs/>
          <w:sz w:val="32"/>
          <w:szCs w:val="32"/>
          <w:rtl/>
          <w:lang w:bidi="ar-JO"/>
        </w:rPr>
      </w:pPr>
      <w:r w:rsidRPr="00D05340">
        <w:rPr>
          <w:rFonts w:ascii="Traditional Arabic" w:eastAsia="Times New Roman" w:hAnsi="Traditional Arabic" w:cs="Traditional Arabic"/>
          <w:b/>
          <w:bCs/>
          <w:sz w:val="32"/>
          <w:szCs w:val="32"/>
        </w:rPr>
        <w:t xml:space="preserve">🔷 1. </w:t>
      </w:r>
      <w:r w:rsidRPr="00D05340">
        <w:rPr>
          <w:rFonts w:ascii="Traditional Arabic" w:eastAsia="Times New Roman" w:hAnsi="Traditional Arabic" w:cs="Traditional Arabic"/>
          <w:b/>
          <w:bCs/>
          <w:sz w:val="32"/>
          <w:szCs w:val="32"/>
          <w:rtl/>
        </w:rPr>
        <w:t>إدارة الموارد البشرية الاستراتيجية</w:t>
      </w:r>
      <w:r w:rsidRPr="00D05340">
        <w:rPr>
          <w:rFonts w:ascii="Traditional Arabic" w:eastAsia="Times New Roman" w:hAnsi="Traditional Arabic" w:cs="Traditional Arabic"/>
          <w:b/>
          <w:bCs/>
          <w:sz w:val="32"/>
          <w:szCs w:val="32"/>
        </w:rPr>
        <w:t xml:space="preserve"> (Strategic Human Resource Management - SHRM)</w:t>
      </w:r>
    </w:p>
    <w:p w14:paraId="2895B3DA" w14:textId="4D0251CF" w:rsidR="000D362A" w:rsidRPr="00D05340" w:rsidRDefault="000D362A" w:rsidP="007D5015">
      <w:pPr>
        <w:bidi/>
        <w:spacing w:after="0" w:line="360" w:lineRule="auto"/>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tl/>
        </w:rPr>
        <w:t>التعريف الاصطلاحي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يشير هذا المفهوم إلى "صياغة وتنفيذ مجموعة متكاملة من السياسات والممارسات التي تضمن توافق الموارد البشرية مع الأهداف الاستراتيجية للمؤسسة، بما يحقق ميزة تنافسية طويلة الأمد</w:t>
      </w:r>
      <w:r w:rsidRPr="00D05340">
        <w:rPr>
          <w:rFonts w:ascii="Traditional Arabic" w:eastAsia="Times New Roman" w:hAnsi="Traditional Arabic" w:cs="Traditional Arabic"/>
          <w:sz w:val="32"/>
          <w:szCs w:val="32"/>
        </w:rPr>
        <w:t>" (Wright &amp; McMahan, 1992).</w:t>
      </w:r>
    </w:p>
    <w:p w14:paraId="28088EE3" w14:textId="1A8E5819" w:rsidR="000D362A" w:rsidRPr="00D05340" w:rsidRDefault="000D362A" w:rsidP="000D362A">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الإجرائي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 xml:space="preserve">في هذه الدراسة، تُقاس ممارسات إدارة الموارد البشرية الاستراتيجية من خلال خمسة أبعاد: تخطيط الموارد البشرية، تطوير رأس المال البشري، تقييم الأداء، صيانة الموارد البشرية، وتطوير </w:t>
      </w:r>
      <w:r w:rsidRPr="00D05340">
        <w:rPr>
          <w:rFonts w:ascii="Traditional Arabic" w:eastAsia="Times New Roman" w:hAnsi="Traditional Arabic" w:cs="Traditional Arabic"/>
          <w:sz w:val="32"/>
          <w:szCs w:val="32"/>
          <w:rtl/>
        </w:rPr>
        <w:lastRenderedPageBreak/>
        <w:t>الكفاءات، وذلك باستخدام استبانة مبنية على مقياس ليكرت الخماسي تُطبّق على موظفي وزارة الإعلام بالمملكة العربية السعودية</w:t>
      </w:r>
      <w:r w:rsidRPr="00D05340">
        <w:rPr>
          <w:rFonts w:ascii="Traditional Arabic" w:eastAsia="Times New Roman" w:hAnsi="Traditional Arabic" w:cs="Traditional Arabic"/>
          <w:sz w:val="32"/>
          <w:szCs w:val="32"/>
        </w:rPr>
        <w:t>.</w:t>
      </w:r>
    </w:p>
    <w:p w14:paraId="6B5E635E" w14:textId="61D678CB" w:rsidR="000D362A" w:rsidRPr="00D05340" w:rsidRDefault="000D362A" w:rsidP="000D362A">
      <w:pPr>
        <w:bidi/>
        <w:spacing w:after="0" w:line="360" w:lineRule="auto"/>
        <w:jc w:val="both"/>
        <w:rPr>
          <w:rFonts w:ascii="Traditional Arabic" w:eastAsia="Times New Roman" w:hAnsi="Traditional Arabic" w:cs="Traditional Arabic"/>
          <w:sz w:val="32"/>
          <w:szCs w:val="32"/>
        </w:rPr>
      </w:pPr>
    </w:p>
    <w:p w14:paraId="1F17033D" w14:textId="36484B58" w:rsidR="000D362A" w:rsidRPr="00D05340" w:rsidRDefault="000D362A" w:rsidP="000D362A">
      <w:pPr>
        <w:bidi/>
        <w:spacing w:after="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Pr>
        <w:t xml:space="preserve">🔷 2. </w:t>
      </w:r>
      <w:r w:rsidRPr="00D05340">
        <w:rPr>
          <w:rFonts w:ascii="Traditional Arabic" w:eastAsia="Times New Roman" w:hAnsi="Traditional Arabic" w:cs="Traditional Arabic"/>
          <w:b/>
          <w:bCs/>
          <w:sz w:val="32"/>
          <w:szCs w:val="32"/>
          <w:rtl/>
        </w:rPr>
        <w:t>تخطيط الموارد البشرية</w:t>
      </w:r>
      <w:r w:rsidR="007D5015" w:rsidRPr="00D05340">
        <w:rPr>
          <w:rFonts w:ascii="Traditional Arabic" w:eastAsia="Times New Roman" w:hAnsi="Traditional Arabic" w:cs="Traditional Arabic" w:hint="cs"/>
          <w:b/>
          <w:bCs/>
          <w:sz w:val="32"/>
          <w:szCs w:val="32"/>
          <w:rtl/>
        </w:rPr>
        <w:t xml:space="preserve"> </w:t>
      </w:r>
      <w:r w:rsidRPr="00D05340">
        <w:rPr>
          <w:rFonts w:ascii="Traditional Arabic" w:eastAsia="Times New Roman" w:hAnsi="Traditional Arabic" w:cs="Traditional Arabic"/>
          <w:b/>
          <w:bCs/>
          <w:sz w:val="32"/>
          <w:szCs w:val="32"/>
        </w:rPr>
        <w:t xml:space="preserve"> (Human Resource Planning)</w:t>
      </w:r>
      <w:r w:rsidR="007D5015" w:rsidRPr="00D05340">
        <w:rPr>
          <w:rFonts w:ascii="Traditional Arabic" w:eastAsia="Times New Roman" w:hAnsi="Traditional Arabic" w:cs="Traditional Arabic" w:hint="cs"/>
          <w:b/>
          <w:bCs/>
          <w:sz w:val="32"/>
          <w:szCs w:val="32"/>
          <w:rtl/>
        </w:rPr>
        <w:t xml:space="preserve"> </w:t>
      </w:r>
    </w:p>
    <w:p w14:paraId="50E3F8D3" w14:textId="718FA706" w:rsidR="000D362A" w:rsidRPr="00D05340" w:rsidRDefault="000D362A" w:rsidP="000D362A">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الاصطلاحي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هو "العملية التي تتضمن التنبؤ بالاحتياجات المستقبلية من القوى العاملة، وتحديد الفجوات بين العرض والطلب، واتخاذ الإجراءات لسد تلك الفجوات</w:t>
      </w:r>
      <w:r w:rsidRPr="00D05340">
        <w:rPr>
          <w:rFonts w:ascii="Traditional Arabic" w:eastAsia="Times New Roman" w:hAnsi="Traditional Arabic" w:cs="Traditional Arabic"/>
          <w:sz w:val="32"/>
          <w:szCs w:val="32"/>
        </w:rPr>
        <w:t>" (Mondy &amp; Martocchio, 2016).</w:t>
      </w:r>
    </w:p>
    <w:p w14:paraId="11F3D85D" w14:textId="4CCC3787" w:rsidR="000D362A" w:rsidRPr="00D05340" w:rsidRDefault="000D362A" w:rsidP="000D362A">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الإجرائي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في هذه الدراسة، يُقاس تخطيط الموارد البشرية من خلال فقرات تقيس مدى وضوح استراتيجية الوزارة في استشراف احتياجاتها من الكفاءات، ومدى فعالية الخطط الموضوعة للتوظيف والتطوير</w:t>
      </w:r>
      <w:r w:rsidRPr="00D05340">
        <w:rPr>
          <w:rFonts w:ascii="Traditional Arabic" w:eastAsia="Times New Roman" w:hAnsi="Traditional Arabic" w:cs="Traditional Arabic"/>
          <w:sz w:val="32"/>
          <w:szCs w:val="32"/>
        </w:rPr>
        <w:t>.</w:t>
      </w:r>
    </w:p>
    <w:p w14:paraId="52C020F4" w14:textId="517B19B2" w:rsidR="000D362A" w:rsidRPr="00D05340" w:rsidRDefault="000D362A" w:rsidP="000D362A">
      <w:pPr>
        <w:bidi/>
        <w:spacing w:after="0" w:line="360" w:lineRule="auto"/>
        <w:jc w:val="both"/>
        <w:rPr>
          <w:rFonts w:ascii="Traditional Arabic" w:eastAsia="Times New Roman" w:hAnsi="Traditional Arabic" w:cs="Traditional Arabic"/>
          <w:sz w:val="32"/>
          <w:szCs w:val="32"/>
        </w:rPr>
      </w:pPr>
    </w:p>
    <w:p w14:paraId="2FBD212F" w14:textId="0E7F3BD9" w:rsidR="000D362A" w:rsidRPr="00D05340" w:rsidRDefault="000D362A" w:rsidP="000D362A">
      <w:pPr>
        <w:bidi/>
        <w:spacing w:after="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Pr>
        <w:t xml:space="preserve">🔷 3. </w:t>
      </w:r>
      <w:r w:rsidRPr="00D05340">
        <w:rPr>
          <w:rFonts w:ascii="Traditional Arabic" w:eastAsia="Times New Roman" w:hAnsi="Traditional Arabic" w:cs="Traditional Arabic"/>
          <w:b/>
          <w:bCs/>
          <w:sz w:val="32"/>
          <w:szCs w:val="32"/>
          <w:rtl/>
        </w:rPr>
        <w:t>تطوير رأس المال البشري</w:t>
      </w:r>
      <w:r w:rsidR="007D5015" w:rsidRPr="00D05340">
        <w:rPr>
          <w:rFonts w:ascii="Traditional Arabic" w:eastAsia="Times New Roman" w:hAnsi="Traditional Arabic" w:cs="Traditional Arabic" w:hint="cs"/>
          <w:b/>
          <w:bCs/>
          <w:sz w:val="32"/>
          <w:szCs w:val="32"/>
          <w:rtl/>
        </w:rPr>
        <w:t xml:space="preserve"> </w:t>
      </w:r>
      <w:r w:rsidRPr="00D05340">
        <w:rPr>
          <w:rFonts w:ascii="Traditional Arabic" w:eastAsia="Times New Roman" w:hAnsi="Traditional Arabic" w:cs="Traditional Arabic"/>
          <w:b/>
          <w:bCs/>
          <w:sz w:val="32"/>
          <w:szCs w:val="32"/>
        </w:rPr>
        <w:t xml:space="preserve"> (Human Capital Development)</w:t>
      </w:r>
    </w:p>
    <w:p w14:paraId="05AEDB2C" w14:textId="2ABE698C" w:rsidR="000D362A" w:rsidRPr="00D05340" w:rsidRDefault="000D362A" w:rsidP="007D5015">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الاصطلاحي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ي</w:t>
      </w:r>
      <w:r w:rsidRPr="00D05340">
        <w:rPr>
          <w:rFonts w:ascii="Traditional Arabic" w:eastAsia="Times New Roman" w:hAnsi="Traditional Arabic" w:cs="Traditional Arabic"/>
          <w:sz w:val="32"/>
          <w:szCs w:val="32"/>
          <w:rtl/>
        </w:rPr>
        <w:t>عرّف بأنه "الاستثمار في التعليم، والتدريب، وتطوير المهارات والمعرفة، لزيادة إنتاجية الفرد داخل المنظمة</w:t>
      </w:r>
      <w:r w:rsidRPr="00D05340">
        <w:rPr>
          <w:rFonts w:ascii="Traditional Arabic" w:eastAsia="Times New Roman" w:hAnsi="Traditional Arabic" w:cs="Traditional Arabic"/>
          <w:sz w:val="32"/>
          <w:szCs w:val="32"/>
        </w:rPr>
        <w:t>" (Becker, 1993).</w:t>
      </w:r>
    </w:p>
    <w:p w14:paraId="162042ED" w14:textId="0D2A18E7" w:rsidR="000D362A" w:rsidRPr="00D05340" w:rsidRDefault="000D362A" w:rsidP="00B443F1">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الإجرائي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ي</w:t>
      </w:r>
      <w:r w:rsidRPr="00D05340">
        <w:rPr>
          <w:rFonts w:ascii="Traditional Arabic" w:eastAsia="Times New Roman" w:hAnsi="Traditional Arabic" w:cs="Traditional Arabic"/>
          <w:sz w:val="32"/>
          <w:szCs w:val="32"/>
          <w:rtl/>
        </w:rPr>
        <w:t xml:space="preserve">قاس في الدراسة من خلال مدى توفّر وتكرار البرامج التدريبية، وجودة المحتوى التدريبي، ومدى اتساقها مع احتياجات الوظيفة والرؤية </w:t>
      </w:r>
      <w:r w:rsidR="00B443F1">
        <w:rPr>
          <w:rFonts w:ascii="Traditional Arabic" w:eastAsia="Times New Roman" w:hAnsi="Traditional Arabic" w:cs="Traditional Arabic" w:hint="cs"/>
          <w:sz w:val="32"/>
          <w:szCs w:val="32"/>
          <w:rtl/>
        </w:rPr>
        <w:t>في الوزارة</w:t>
      </w:r>
      <w:r w:rsidRPr="00D05340">
        <w:rPr>
          <w:rFonts w:ascii="Traditional Arabic" w:eastAsia="Times New Roman" w:hAnsi="Traditional Arabic" w:cs="Traditional Arabic"/>
          <w:sz w:val="32"/>
          <w:szCs w:val="32"/>
        </w:rPr>
        <w:t>.</w:t>
      </w:r>
    </w:p>
    <w:p w14:paraId="6EB42D86" w14:textId="11ED4A3B" w:rsidR="000D362A" w:rsidRPr="00D05340" w:rsidRDefault="000D362A" w:rsidP="000D362A">
      <w:pPr>
        <w:bidi/>
        <w:spacing w:after="0" w:line="360" w:lineRule="auto"/>
        <w:jc w:val="both"/>
        <w:rPr>
          <w:rFonts w:ascii="Traditional Arabic" w:eastAsia="Times New Roman" w:hAnsi="Traditional Arabic" w:cs="Traditional Arabic"/>
          <w:sz w:val="32"/>
          <w:szCs w:val="32"/>
        </w:rPr>
      </w:pPr>
    </w:p>
    <w:p w14:paraId="11436D10" w14:textId="24A70841" w:rsidR="000D362A" w:rsidRPr="00D05340" w:rsidRDefault="000D362A" w:rsidP="000D362A">
      <w:pPr>
        <w:bidi/>
        <w:spacing w:after="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Pr>
        <w:t xml:space="preserve">🔷 4. </w:t>
      </w:r>
      <w:r w:rsidRPr="00D05340">
        <w:rPr>
          <w:rFonts w:ascii="Traditional Arabic" w:eastAsia="Times New Roman" w:hAnsi="Traditional Arabic" w:cs="Traditional Arabic"/>
          <w:b/>
          <w:bCs/>
          <w:sz w:val="32"/>
          <w:szCs w:val="32"/>
          <w:rtl/>
        </w:rPr>
        <w:t>تقييم الأداء</w:t>
      </w:r>
      <w:r w:rsidR="007D5015" w:rsidRPr="00D05340">
        <w:rPr>
          <w:rFonts w:ascii="Traditional Arabic" w:eastAsia="Times New Roman" w:hAnsi="Traditional Arabic" w:cs="Traditional Arabic" w:hint="cs"/>
          <w:b/>
          <w:bCs/>
          <w:sz w:val="32"/>
          <w:szCs w:val="32"/>
          <w:rtl/>
        </w:rPr>
        <w:t xml:space="preserve"> </w:t>
      </w:r>
      <w:r w:rsidRPr="00D05340">
        <w:rPr>
          <w:rFonts w:ascii="Traditional Arabic" w:eastAsia="Times New Roman" w:hAnsi="Traditional Arabic" w:cs="Traditional Arabic"/>
          <w:b/>
          <w:bCs/>
          <w:sz w:val="32"/>
          <w:szCs w:val="32"/>
        </w:rPr>
        <w:t xml:space="preserve"> (Performance Appraisal)</w:t>
      </w:r>
      <w:r w:rsidR="007D5015" w:rsidRPr="00D05340">
        <w:rPr>
          <w:rFonts w:ascii="Traditional Arabic" w:eastAsia="Times New Roman" w:hAnsi="Traditional Arabic" w:cs="Traditional Arabic" w:hint="cs"/>
          <w:b/>
          <w:bCs/>
          <w:sz w:val="32"/>
          <w:szCs w:val="32"/>
          <w:rtl/>
        </w:rPr>
        <w:t xml:space="preserve">  </w:t>
      </w:r>
    </w:p>
    <w:p w14:paraId="62BBAA32" w14:textId="1E2ACFEA" w:rsidR="000D362A" w:rsidRPr="00D05340" w:rsidRDefault="000D362A" w:rsidP="000D362A">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lastRenderedPageBreak/>
        <w:t>التعريف الاصطلاحي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هو "العملية التي يتم من خلالها قياس ومراجعة أداء الموظفين بشكل دوري، لتحديد الفجوات في الأداء وتوجيه جهود التطوير</w:t>
      </w:r>
      <w:r w:rsidRPr="00D05340">
        <w:rPr>
          <w:rFonts w:ascii="Traditional Arabic" w:eastAsia="Times New Roman" w:hAnsi="Traditional Arabic" w:cs="Traditional Arabic"/>
          <w:sz w:val="32"/>
          <w:szCs w:val="32"/>
        </w:rPr>
        <w:t>" (Dessler, 2020).</w:t>
      </w:r>
    </w:p>
    <w:p w14:paraId="5F557EC8" w14:textId="09B02EEF" w:rsidR="000D362A" w:rsidRPr="00D05340" w:rsidRDefault="000D362A" w:rsidP="007D5015">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الإجرائي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ي</w:t>
      </w:r>
      <w:r w:rsidRPr="00D05340">
        <w:rPr>
          <w:rFonts w:ascii="Traditional Arabic" w:eastAsia="Times New Roman" w:hAnsi="Traditional Arabic" w:cs="Traditional Arabic"/>
          <w:sz w:val="32"/>
          <w:szCs w:val="32"/>
          <w:rtl/>
        </w:rPr>
        <w:t>قاس هذا البُعد من خلال مدى تطبيق آليات تقييم موضوعية وعادلة في وزارة الإعلام، ومدى تأثير نتائج التقييم على الترقيات والتحفيز والتدريب</w:t>
      </w:r>
      <w:r w:rsidRPr="00D05340">
        <w:rPr>
          <w:rFonts w:ascii="Traditional Arabic" w:eastAsia="Times New Roman" w:hAnsi="Traditional Arabic" w:cs="Traditional Arabic"/>
          <w:sz w:val="32"/>
          <w:szCs w:val="32"/>
        </w:rPr>
        <w:t>.</w:t>
      </w:r>
    </w:p>
    <w:p w14:paraId="6DEDB125" w14:textId="36F47AF5" w:rsidR="000D362A" w:rsidRPr="00D05340" w:rsidRDefault="000D362A" w:rsidP="000D362A">
      <w:pPr>
        <w:bidi/>
        <w:spacing w:after="0" w:line="360" w:lineRule="auto"/>
        <w:jc w:val="both"/>
        <w:rPr>
          <w:rFonts w:ascii="Traditional Arabic" w:eastAsia="Times New Roman" w:hAnsi="Traditional Arabic" w:cs="Traditional Arabic"/>
          <w:sz w:val="32"/>
          <w:szCs w:val="32"/>
        </w:rPr>
      </w:pPr>
    </w:p>
    <w:p w14:paraId="52B1C742" w14:textId="4227B53F" w:rsidR="000D362A" w:rsidRPr="00D05340" w:rsidRDefault="000D362A" w:rsidP="000D362A">
      <w:pPr>
        <w:bidi/>
        <w:spacing w:after="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Pr>
        <w:t xml:space="preserve">🔷 5. </w:t>
      </w:r>
      <w:r w:rsidRPr="00D05340">
        <w:rPr>
          <w:rFonts w:ascii="Traditional Arabic" w:eastAsia="Times New Roman" w:hAnsi="Traditional Arabic" w:cs="Traditional Arabic"/>
          <w:b/>
          <w:bCs/>
          <w:sz w:val="32"/>
          <w:szCs w:val="32"/>
          <w:rtl/>
        </w:rPr>
        <w:t>صيانة الموارد البشرية</w:t>
      </w:r>
      <w:r w:rsidR="007D5015" w:rsidRPr="00D05340">
        <w:rPr>
          <w:rFonts w:ascii="Traditional Arabic" w:eastAsia="Times New Roman" w:hAnsi="Traditional Arabic" w:cs="Traditional Arabic" w:hint="cs"/>
          <w:b/>
          <w:bCs/>
          <w:sz w:val="32"/>
          <w:szCs w:val="32"/>
          <w:rtl/>
        </w:rPr>
        <w:t xml:space="preserve"> </w:t>
      </w:r>
      <w:r w:rsidRPr="00D05340">
        <w:rPr>
          <w:rFonts w:ascii="Traditional Arabic" w:eastAsia="Times New Roman" w:hAnsi="Traditional Arabic" w:cs="Traditional Arabic"/>
          <w:b/>
          <w:bCs/>
          <w:sz w:val="32"/>
          <w:szCs w:val="32"/>
        </w:rPr>
        <w:t xml:space="preserve"> (Human Resource Maintenance)</w:t>
      </w:r>
    </w:p>
    <w:p w14:paraId="093621B2" w14:textId="00F07184" w:rsidR="000D362A" w:rsidRPr="00D05340" w:rsidRDefault="000D362A" w:rsidP="000D362A">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الاصطلاحي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تعني "جميع الإجراءات التي تضمن بقاء الموظف في بيئة عمل صحية، آمنة، ومحفّزة، من خلال توفير خدمات الرعاية، الأمن الوظيفي، وتحقيق التوازن بين العمل والحياة</w:t>
      </w:r>
      <w:r w:rsidRPr="00D05340">
        <w:rPr>
          <w:rFonts w:ascii="Traditional Arabic" w:eastAsia="Times New Roman" w:hAnsi="Traditional Arabic" w:cs="Traditional Arabic"/>
          <w:sz w:val="32"/>
          <w:szCs w:val="32"/>
        </w:rPr>
        <w:t>" (Mathis &amp; Jackson, 2015).</w:t>
      </w:r>
    </w:p>
    <w:p w14:paraId="220419AC" w14:textId="58058E43" w:rsidR="000D362A" w:rsidRPr="00D05340" w:rsidRDefault="000D362A" w:rsidP="000D362A">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الإجرائي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في هذه الدراسة، تُقاس صيانة الموارد البشرية من خلال مدى تطبيق أنظمة الدعم النفسي، التأمين الصحي، بيئة العمل الآمنة، والتوازن الوظيفي</w:t>
      </w:r>
      <w:r w:rsidRPr="00D05340">
        <w:rPr>
          <w:rFonts w:ascii="Traditional Arabic" w:eastAsia="Times New Roman" w:hAnsi="Traditional Arabic" w:cs="Traditional Arabic"/>
          <w:sz w:val="32"/>
          <w:szCs w:val="32"/>
        </w:rPr>
        <w:t>.</w:t>
      </w:r>
    </w:p>
    <w:p w14:paraId="1259B314" w14:textId="682F8082" w:rsidR="000D362A" w:rsidRPr="00D05340" w:rsidRDefault="000D362A" w:rsidP="000D362A">
      <w:pPr>
        <w:bidi/>
        <w:spacing w:after="0" w:line="360" w:lineRule="auto"/>
        <w:jc w:val="both"/>
        <w:rPr>
          <w:rFonts w:ascii="Traditional Arabic" w:eastAsia="Times New Roman" w:hAnsi="Traditional Arabic" w:cs="Traditional Arabic"/>
          <w:sz w:val="32"/>
          <w:szCs w:val="32"/>
        </w:rPr>
      </w:pPr>
    </w:p>
    <w:p w14:paraId="1637C6B5" w14:textId="0860FB52" w:rsidR="000D362A" w:rsidRPr="00D05340" w:rsidRDefault="000D362A" w:rsidP="000D362A">
      <w:pPr>
        <w:bidi/>
        <w:spacing w:after="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Pr>
        <w:t xml:space="preserve">🔷 6. </w:t>
      </w:r>
      <w:r w:rsidRPr="00D05340">
        <w:rPr>
          <w:rFonts w:ascii="Traditional Arabic" w:eastAsia="Times New Roman" w:hAnsi="Traditional Arabic" w:cs="Traditional Arabic"/>
          <w:b/>
          <w:bCs/>
          <w:sz w:val="32"/>
          <w:szCs w:val="32"/>
          <w:rtl/>
        </w:rPr>
        <w:t>تطوير الكفاءات</w:t>
      </w:r>
      <w:r w:rsidR="007D5015" w:rsidRPr="00D05340">
        <w:rPr>
          <w:rFonts w:ascii="Traditional Arabic" w:eastAsia="Times New Roman" w:hAnsi="Traditional Arabic" w:cs="Traditional Arabic" w:hint="cs"/>
          <w:b/>
          <w:bCs/>
          <w:sz w:val="32"/>
          <w:szCs w:val="32"/>
          <w:rtl/>
        </w:rPr>
        <w:t xml:space="preserve"> </w:t>
      </w:r>
      <w:r w:rsidRPr="00D05340">
        <w:rPr>
          <w:rFonts w:ascii="Traditional Arabic" w:eastAsia="Times New Roman" w:hAnsi="Traditional Arabic" w:cs="Traditional Arabic"/>
          <w:b/>
          <w:bCs/>
          <w:sz w:val="32"/>
          <w:szCs w:val="32"/>
        </w:rPr>
        <w:t xml:space="preserve"> (Competency Development)</w:t>
      </w:r>
    </w:p>
    <w:p w14:paraId="3C0E3824" w14:textId="0B962C91" w:rsidR="000D362A" w:rsidRPr="00D05340" w:rsidRDefault="000D362A" w:rsidP="007D5015">
      <w:pPr>
        <w:bidi/>
        <w:spacing w:after="0" w:line="360" w:lineRule="auto"/>
        <w:jc w:val="both"/>
        <w:rPr>
          <w:rFonts w:ascii="Traditional Arabic" w:eastAsia="Times New Roman" w:hAnsi="Traditional Arabic" w:cs="Traditional Arabic"/>
          <w:sz w:val="32"/>
          <w:szCs w:val="32"/>
          <w:rtl/>
          <w:lang w:bidi="ar-JO"/>
        </w:rPr>
      </w:pPr>
      <w:r w:rsidRPr="00D05340">
        <w:rPr>
          <w:rFonts w:ascii="Traditional Arabic" w:eastAsia="Times New Roman" w:hAnsi="Traditional Arabic" w:cs="Traditional Arabic"/>
          <w:b/>
          <w:bCs/>
          <w:sz w:val="32"/>
          <w:szCs w:val="32"/>
          <w:rtl/>
        </w:rPr>
        <w:t>التعريف الاصطلاحي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هو "الجهود المنهجية لتعزيز قدرات الموظفين الفنية والسلوكية بما يتلاءم مع التغيرات المتسارعة واحتياجات المنظمة المستقبلية</w:t>
      </w:r>
      <w:r w:rsidRPr="00D05340">
        <w:rPr>
          <w:rFonts w:ascii="Traditional Arabic" w:eastAsia="Times New Roman" w:hAnsi="Traditional Arabic" w:cs="Traditional Arabic"/>
          <w:sz w:val="32"/>
          <w:szCs w:val="32"/>
        </w:rPr>
        <w:t>" (Boyatzis, 1982).</w:t>
      </w:r>
    </w:p>
    <w:p w14:paraId="088C7F65" w14:textId="0DF636E9" w:rsidR="000D362A" w:rsidRPr="00D05340" w:rsidRDefault="000D362A" w:rsidP="000D362A">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الإجرائي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يق</w:t>
      </w:r>
      <w:r w:rsidRPr="00D05340">
        <w:rPr>
          <w:rFonts w:ascii="Traditional Arabic" w:eastAsia="Times New Roman" w:hAnsi="Traditional Arabic" w:cs="Traditional Arabic"/>
          <w:sz w:val="32"/>
          <w:szCs w:val="32"/>
          <w:rtl/>
        </w:rPr>
        <w:t>اس هذا البُعد من خلال فقرات في الاستبانة تتناول مدى امتلاك الموظفين للكفاءات الحرجة، وقدرتهم على أداء الأدوار التخصصية، ومهارات التفكير الاستراتيجي والابتكار</w:t>
      </w:r>
      <w:r w:rsidRPr="00D05340">
        <w:rPr>
          <w:rFonts w:ascii="Traditional Arabic" w:eastAsia="Times New Roman" w:hAnsi="Traditional Arabic" w:cs="Traditional Arabic"/>
          <w:sz w:val="32"/>
          <w:szCs w:val="32"/>
        </w:rPr>
        <w:t>.</w:t>
      </w:r>
    </w:p>
    <w:p w14:paraId="10FFEFA8" w14:textId="39A53108" w:rsidR="000D362A" w:rsidRDefault="000D362A" w:rsidP="000D362A">
      <w:pPr>
        <w:bidi/>
        <w:spacing w:after="0" w:line="360" w:lineRule="auto"/>
        <w:jc w:val="both"/>
        <w:rPr>
          <w:rFonts w:ascii="Traditional Arabic" w:eastAsia="Times New Roman" w:hAnsi="Traditional Arabic" w:cs="Traditional Arabic"/>
          <w:sz w:val="32"/>
          <w:szCs w:val="32"/>
        </w:rPr>
      </w:pPr>
    </w:p>
    <w:p w14:paraId="5C4A6CFC" w14:textId="77777777" w:rsidR="004A5E36" w:rsidRPr="00D05340" w:rsidRDefault="004A5E36" w:rsidP="004A5E36">
      <w:pPr>
        <w:bidi/>
        <w:spacing w:after="0" w:line="360" w:lineRule="auto"/>
        <w:jc w:val="both"/>
        <w:rPr>
          <w:rFonts w:ascii="Traditional Arabic" w:eastAsia="Times New Roman" w:hAnsi="Traditional Arabic" w:cs="Traditional Arabic"/>
          <w:sz w:val="32"/>
          <w:szCs w:val="32"/>
        </w:rPr>
      </w:pPr>
    </w:p>
    <w:p w14:paraId="4599A8B8" w14:textId="1B387DDC" w:rsidR="000D362A" w:rsidRPr="00D05340" w:rsidRDefault="000D362A" w:rsidP="000D362A">
      <w:pPr>
        <w:bidi/>
        <w:spacing w:after="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Pr>
        <w:lastRenderedPageBreak/>
        <w:t xml:space="preserve">🔷 7. </w:t>
      </w:r>
      <w:r w:rsidRPr="00D05340">
        <w:rPr>
          <w:rFonts w:ascii="Traditional Arabic" w:eastAsia="Times New Roman" w:hAnsi="Traditional Arabic" w:cs="Traditional Arabic"/>
          <w:b/>
          <w:bCs/>
          <w:sz w:val="32"/>
          <w:szCs w:val="32"/>
          <w:rtl/>
        </w:rPr>
        <w:t>البراعة التنظيمية</w:t>
      </w:r>
      <w:r w:rsidR="007D5015" w:rsidRPr="00D05340">
        <w:rPr>
          <w:rFonts w:ascii="Traditional Arabic" w:eastAsia="Times New Roman" w:hAnsi="Traditional Arabic" w:cs="Traditional Arabic" w:hint="cs"/>
          <w:b/>
          <w:bCs/>
          <w:sz w:val="32"/>
          <w:szCs w:val="32"/>
          <w:rtl/>
        </w:rPr>
        <w:t xml:space="preserve"> </w:t>
      </w:r>
      <w:r w:rsidRPr="00D05340">
        <w:rPr>
          <w:rFonts w:ascii="Traditional Arabic" w:eastAsia="Times New Roman" w:hAnsi="Traditional Arabic" w:cs="Traditional Arabic"/>
          <w:b/>
          <w:bCs/>
          <w:sz w:val="32"/>
          <w:szCs w:val="32"/>
        </w:rPr>
        <w:t xml:space="preserve"> (Organizational Agility)</w:t>
      </w:r>
    </w:p>
    <w:p w14:paraId="32EA6686" w14:textId="4B5F6C65" w:rsidR="000D362A" w:rsidRPr="00D05340" w:rsidRDefault="000D362A" w:rsidP="000D362A">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الاصطلاحي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هي "القدرة على الاستجابة بسرعة وفعالية للفرص والتهديدات، من خلال مرونة الهيكل، وتسريع اتخاذ القرار، والابتكار المستمر</w:t>
      </w:r>
      <w:r w:rsidRPr="00D05340">
        <w:rPr>
          <w:rFonts w:ascii="Traditional Arabic" w:eastAsia="Times New Roman" w:hAnsi="Traditional Arabic" w:cs="Traditional Arabic"/>
          <w:sz w:val="32"/>
          <w:szCs w:val="32"/>
        </w:rPr>
        <w:t>" (Doz &amp; Kosonen, 2008).</w:t>
      </w:r>
    </w:p>
    <w:p w14:paraId="70D004B1" w14:textId="55EB006A" w:rsidR="000D362A" w:rsidRPr="00D05340" w:rsidRDefault="000D362A" w:rsidP="007D5015">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التعريف الإجرائي</w:t>
      </w:r>
      <w:r w:rsidRPr="00D05340">
        <w:rPr>
          <w:rFonts w:ascii="Traditional Arabic" w:eastAsia="Times New Roman" w:hAnsi="Traditional Arabic" w:cs="Traditional Arabic"/>
          <w:b/>
          <w:bCs/>
          <w:sz w:val="32"/>
          <w:szCs w:val="32"/>
        </w:rPr>
        <w:t>:</w:t>
      </w:r>
      <w:r w:rsidR="007D5015" w:rsidRPr="00D05340">
        <w:rPr>
          <w:rFonts w:ascii="Traditional Arabic" w:eastAsia="Times New Roman" w:hAnsi="Traditional Arabic" w:cs="Traditional Arabic" w:hint="cs"/>
          <w:sz w:val="32"/>
          <w:szCs w:val="32"/>
          <w:rtl/>
        </w:rPr>
        <w:t>ي</w:t>
      </w:r>
      <w:r w:rsidRPr="00D05340">
        <w:rPr>
          <w:rFonts w:ascii="Traditional Arabic" w:eastAsia="Times New Roman" w:hAnsi="Traditional Arabic" w:cs="Traditional Arabic"/>
          <w:sz w:val="32"/>
          <w:szCs w:val="32"/>
          <w:rtl/>
        </w:rPr>
        <w:t>قاس هذا المفهوم في الدراسة كمؤشر مركب يتكون من أربعة أبعاد</w:t>
      </w:r>
      <w:r w:rsidRPr="00D05340">
        <w:rPr>
          <w:rFonts w:ascii="Traditional Arabic" w:eastAsia="Times New Roman" w:hAnsi="Traditional Arabic" w:cs="Traditional Arabic"/>
          <w:sz w:val="32"/>
          <w:szCs w:val="32"/>
        </w:rPr>
        <w:t>:</w:t>
      </w:r>
    </w:p>
    <w:p w14:paraId="7750F9E7" w14:textId="77777777" w:rsidR="000D362A" w:rsidRPr="00D05340" w:rsidRDefault="000D362A" w:rsidP="000D362A">
      <w:pPr>
        <w:numPr>
          <w:ilvl w:val="0"/>
          <w:numId w:val="14"/>
        </w:num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المرونة</w:t>
      </w:r>
      <w:r w:rsidRPr="00D05340">
        <w:rPr>
          <w:rFonts w:ascii="Traditional Arabic" w:eastAsia="Times New Roman" w:hAnsi="Traditional Arabic" w:cs="Traditional Arabic"/>
          <w:sz w:val="32"/>
          <w:szCs w:val="32"/>
          <w:rtl/>
        </w:rPr>
        <w:t xml:space="preserve"> </w:t>
      </w:r>
      <w:r w:rsidRPr="00D05340">
        <w:rPr>
          <w:rFonts w:ascii="Traditional Arabic" w:eastAsia="Times New Roman" w:hAnsi="Traditional Arabic" w:cs="Traditional Arabic"/>
          <w:sz w:val="32"/>
          <w:szCs w:val="32"/>
        </w:rPr>
        <w:t>(Flexibility)</w:t>
      </w:r>
    </w:p>
    <w:p w14:paraId="788FF9A4" w14:textId="77777777" w:rsidR="000D362A" w:rsidRPr="00D05340" w:rsidRDefault="000D362A" w:rsidP="000D362A">
      <w:pPr>
        <w:numPr>
          <w:ilvl w:val="0"/>
          <w:numId w:val="14"/>
        </w:num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التكيف</w:t>
      </w:r>
      <w:r w:rsidRPr="00D05340">
        <w:rPr>
          <w:rFonts w:ascii="Traditional Arabic" w:eastAsia="Times New Roman" w:hAnsi="Traditional Arabic" w:cs="Traditional Arabic"/>
          <w:sz w:val="32"/>
          <w:szCs w:val="32"/>
          <w:rtl/>
        </w:rPr>
        <w:t xml:space="preserve"> </w:t>
      </w:r>
      <w:r w:rsidRPr="00D05340">
        <w:rPr>
          <w:rFonts w:ascii="Traditional Arabic" w:eastAsia="Times New Roman" w:hAnsi="Traditional Arabic" w:cs="Traditional Arabic"/>
          <w:sz w:val="32"/>
          <w:szCs w:val="32"/>
        </w:rPr>
        <w:t>(Adaptability)</w:t>
      </w:r>
    </w:p>
    <w:p w14:paraId="466909FB" w14:textId="77777777" w:rsidR="000D362A" w:rsidRPr="00D05340" w:rsidRDefault="000D362A" w:rsidP="000D362A">
      <w:pPr>
        <w:numPr>
          <w:ilvl w:val="0"/>
          <w:numId w:val="14"/>
        </w:num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سرعة الاستجابة</w:t>
      </w:r>
      <w:r w:rsidRPr="00D05340">
        <w:rPr>
          <w:rFonts w:ascii="Traditional Arabic" w:eastAsia="Times New Roman" w:hAnsi="Traditional Arabic" w:cs="Traditional Arabic"/>
          <w:sz w:val="32"/>
          <w:szCs w:val="32"/>
          <w:rtl/>
        </w:rPr>
        <w:t xml:space="preserve"> </w:t>
      </w:r>
      <w:r w:rsidRPr="00D05340">
        <w:rPr>
          <w:rFonts w:ascii="Traditional Arabic" w:eastAsia="Times New Roman" w:hAnsi="Traditional Arabic" w:cs="Traditional Arabic"/>
          <w:sz w:val="32"/>
          <w:szCs w:val="32"/>
        </w:rPr>
        <w:t>(Responsiveness)</w:t>
      </w:r>
    </w:p>
    <w:p w14:paraId="46B0B055" w14:textId="77777777" w:rsidR="000D362A" w:rsidRPr="00D05340" w:rsidRDefault="000D362A" w:rsidP="007D5015">
      <w:pPr>
        <w:numPr>
          <w:ilvl w:val="0"/>
          <w:numId w:val="14"/>
        </w:numPr>
        <w:bidi/>
        <w:spacing w:after="0" w:line="360" w:lineRule="auto"/>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الابتكار</w:t>
      </w:r>
      <w:r w:rsidRPr="00D05340">
        <w:rPr>
          <w:rFonts w:ascii="Traditional Arabic" w:eastAsia="Times New Roman" w:hAnsi="Traditional Arabic" w:cs="Traditional Arabic"/>
          <w:sz w:val="32"/>
          <w:szCs w:val="32"/>
          <w:rtl/>
        </w:rPr>
        <w:t xml:space="preserve"> </w:t>
      </w:r>
      <w:r w:rsidRPr="00D05340">
        <w:rPr>
          <w:rFonts w:ascii="Traditional Arabic" w:eastAsia="Times New Roman" w:hAnsi="Traditional Arabic" w:cs="Traditional Arabic"/>
          <w:sz w:val="32"/>
          <w:szCs w:val="32"/>
        </w:rPr>
        <w:t>(Innovation)</w:t>
      </w:r>
      <w:r w:rsidRPr="00D05340">
        <w:rPr>
          <w:rFonts w:ascii="Traditional Arabic" w:eastAsia="Times New Roman" w:hAnsi="Traditional Arabic" w:cs="Traditional Arabic"/>
          <w:sz w:val="32"/>
          <w:szCs w:val="32"/>
        </w:rPr>
        <w:br/>
      </w:r>
      <w:r w:rsidRPr="00D05340">
        <w:rPr>
          <w:rFonts w:ascii="Traditional Arabic" w:eastAsia="Times New Roman" w:hAnsi="Traditional Arabic" w:cs="Traditional Arabic"/>
          <w:sz w:val="32"/>
          <w:szCs w:val="32"/>
          <w:rtl/>
        </w:rPr>
        <w:t>وذلك من خلال فقرات تقيس آراء موظفي وزارة الإعلام حول قدرة الوزارة على التفاعل السريع والابتكار المؤسسي والاستجابة للتغيرات</w:t>
      </w:r>
      <w:r w:rsidRPr="00D05340">
        <w:rPr>
          <w:rFonts w:ascii="Traditional Arabic" w:eastAsia="Times New Roman" w:hAnsi="Traditional Arabic" w:cs="Traditional Arabic"/>
          <w:sz w:val="32"/>
          <w:szCs w:val="32"/>
        </w:rPr>
        <w:t>.</w:t>
      </w:r>
    </w:p>
    <w:p w14:paraId="55603DB5" w14:textId="58E5D534" w:rsidR="000A1E46" w:rsidRPr="00D05340" w:rsidRDefault="000A1E46" w:rsidP="00553DC2">
      <w:pPr>
        <w:bidi/>
        <w:spacing w:after="200" w:line="360" w:lineRule="auto"/>
        <w:jc w:val="both"/>
        <w:rPr>
          <w:rFonts w:ascii="Traditional Arabic" w:hAnsi="Traditional Arabic" w:cs="Traditional Arabic"/>
          <w:color w:val="000000" w:themeColor="text1"/>
          <w:sz w:val="32"/>
          <w:szCs w:val="32"/>
          <w:rtl/>
        </w:rPr>
      </w:pPr>
    </w:p>
    <w:p w14:paraId="0E27CCF0" w14:textId="5DAB3535" w:rsidR="00257F01" w:rsidRPr="00D05340" w:rsidRDefault="00257F01" w:rsidP="00553DC2">
      <w:pPr>
        <w:bidi/>
        <w:spacing w:after="0" w:line="360" w:lineRule="auto"/>
        <w:jc w:val="both"/>
        <w:rPr>
          <w:rFonts w:ascii="Traditional Arabic" w:hAnsi="Traditional Arabic" w:cs="Traditional Arabic"/>
          <w:b/>
          <w:bCs/>
          <w:color w:val="1F497D" w:themeColor="text2"/>
          <w:sz w:val="32"/>
          <w:szCs w:val="32"/>
          <w:u w:val="single"/>
          <w:rtl/>
        </w:rPr>
      </w:pPr>
      <w:r w:rsidRPr="00D05340">
        <w:rPr>
          <w:rFonts w:ascii="Traditional Arabic" w:hAnsi="Traditional Arabic" w:cs="Traditional Arabic"/>
          <w:b/>
          <w:bCs/>
          <w:color w:val="00B0F0"/>
          <w:sz w:val="32"/>
          <w:szCs w:val="32"/>
          <w:u w:val="single"/>
          <w:rtl/>
        </w:rPr>
        <w:t>إجراءات الدراسة:</w:t>
      </w:r>
      <w:r w:rsidRPr="00D05340">
        <w:rPr>
          <w:rFonts w:ascii="Traditional Arabic" w:hAnsi="Traditional Arabic" w:cs="Traditional Arabic"/>
          <w:b/>
          <w:bCs/>
          <w:color w:val="00B0F0"/>
          <w:sz w:val="32"/>
          <w:szCs w:val="32"/>
          <w:rtl/>
        </w:rPr>
        <w:t xml:space="preserve"> </w:t>
      </w:r>
      <w:r w:rsidRPr="00D05340">
        <w:rPr>
          <w:rFonts w:ascii="Traditional Arabic" w:hAnsi="Traditional Arabic" w:cs="Traditional Arabic"/>
          <w:b/>
          <w:bCs/>
          <w:color w:val="FF0000"/>
          <w:sz w:val="32"/>
          <w:szCs w:val="32"/>
          <w:rtl/>
        </w:rPr>
        <w:t xml:space="preserve"> </w:t>
      </w:r>
    </w:p>
    <w:p w14:paraId="72E7A048" w14:textId="1C5DCA53" w:rsidR="008A3C31" w:rsidRPr="00D05340" w:rsidRDefault="008856AB" w:rsidP="008856AB">
      <w:pPr>
        <w:bidi/>
        <w:spacing w:after="0" w:line="360" w:lineRule="auto"/>
        <w:jc w:val="both"/>
        <w:rPr>
          <w:rFonts w:ascii="Traditional Arabic" w:hAnsi="Traditional Arabic" w:cs="Traditional Arabic"/>
          <w:b/>
          <w:bCs/>
          <w:color w:val="0070C0"/>
          <w:sz w:val="32"/>
          <w:szCs w:val="32"/>
          <w:u w:val="single"/>
          <w:rtl/>
        </w:rPr>
      </w:pPr>
      <w:r w:rsidRPr="00D05340">
        <w:rPr>
          <w:rFonts w:ascii="Traditional Arabic" w:hAnsi="Traditional Arabic" w:cs="Traditional Arabic"/>
          <w:b/>
          <w:bCs/>
          <w:color w:val="0070C0"/>
          <w:sz w:val="32"/>
          <w:szCs w:val="32"/>
          <w:u w:val="single"/>
          <w:rtl/>
        </w:rPr>
        <w:t>منهج الدراسة:</w:t>
      </w:r>
    </w:p>
    <w:p w14:paraId="70CF42B9" w14:textId="77777777" w:rsidR="00746B5D" w:rsidRPr="00D05340" w:rsidRDefault="00746B5D" w:rsidP="00746B5D">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تبعًا لطبيعة موضوع الدراسة والمشكلة البحثية التي تسعى للإجابة عنها، فقد تم اعتماد المنهج الوصفي التحليلي</w:t>
      </w:r>
      <w:r w:rsidRPr="00D05340">
        <w:rPr>
          <w:rFonts w:ascii="Traditional Arabic" w:eastAsia="Times New Roman" w:hAnsi="Traditional Arabic" w:cs="Traditional Arabic"/>
          <w:sz w:val="32"/>
          <w:szCs w:val="32"/>
        </w:rPr>
        <w:t xml:space="preserve"> (Descriptive-Analytical Method)</w:t>
      </w:r>
      <w:r w:rsidRPr="00D05340">
        <w:rPr>
          <w:rFonts w:ascii="Traditional Arabic" w:eastAsia="Times New Roman" w:hAnsi="Traditional Arabic" w:cs="Traditional Arabic"/>
          <w:sz w:val="32"/>
          <w:szCs w:val="32"/>
          <w:rtl/>
        </w:rPr>
        <w:t>، الذي يُعد الأنسب في مثل هذه الدراسات التي تهدف إلى تحليل العلاقة بين المتغيرات، وقياس أثر ممارسات إدارة الموارد البشرية الاستراتيجية على البراعة التنظيمية</w:t>
      </w:r>
      <w:r w:rsidRPr="00D05340">
        <w:rPr>
          <w:rFonts w:ascii="Traditional Arabic" w:eastAsia="Times New Roman" w:hAnsi="Traditional Arabic" w:cs="Traditional Arabic"/>
          <w:sz w:val="32"/>
          <w:szCs w:val="32"/>
        </w:rPr>
        <w:t>.</w:t>
      </w:r>
    </w:p>
    <w:p w14:paraId="1AE3E90A" w14:textId="0399958B" w:rsidR="00EF40E0" w:rsidRDefault="00746B5D" w:rsidP="00D05340">
      <w:pPr>
        <w:bidi/>
        <w:spacing w:after="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lastRenderedPageBreak/>
        <w:t>يرتكز هذا المنهج على وصف الظاهرة المدروسة كما هي في الواقع من خلال جمع البيانات المتعلقة بممارسات إدارة الموارد البشرية في وزارة الإعلام بالمملكة العربية السعودية، وتحليلها باستخدام الأدوات الإحصائية الملائمة للوصول إلى استنتاجات علمية تدعم أو ترفض فرضيات الدراسة</w:t>
      </w:r>
      <w:r w:rsidR="00D05340" w:rsidRPr="00D05340">
        <w:rPr>
          <w:rFonts w:ascii="Traditional Arabic" w:eastAsia="Times New Roman" w:hAnsi="Traditional Arabic" w:cs="Traditional Arabic" w:hint="cs"/>
          <w:sz w:val="32"/>
          <w:szCs w:val="32"/>
          <w:rtl/>
        </w:rPr>
        <w:t>.</w:t>
      </w:r>
    </w:p>
    <w:p w14:paraId="492873F2" w14:textId="77777777" w:rsidR="00685EA7" w:rsidRPr="00D05340" w:rsidRDefault="00685EA7" w:rsidP="00685EA7">
      <w:pPr>
        <w:bidi/>
        <w:spacing w:after="0" w:line="360" w:lineRule="auto"/>
        <w:jc w:val="both"/>
        <w:rPr>
          <w:rFonts w:ascii="Traditional Arabic" w:eastAsia="Times New Roman" w:hAnsi="Traditional Arabic" w:cs="Traditional Arabic"/>
          <w:sz w:val="32"/>
          <w:szCs w:val="32"/>
          <w:rtl/>
          <w:lang w:bidi="ar-AE"/>
        </w:rPr>
      </w:pPr>
    </w:p>
    <w:p w14:paraId="37345D9F" w14:textId="346FF448" w:rsidR="00746B5D" w:rsidRPr="00D05340" w:rsidRDefault="00EF40E0" w:rsidP="00EF40E0">
      <w:pPr>
        <w:bidi/>
        <w:spacing w:after="200" w:line="360" w:lineRule="auto"/>
        <w:jc w:val="both"/>
        <w:rPr>
          <w:rFonts w:ascii="Traditional Arabic" w:hAnsi="Traditional Arabic" w:cs="Traditional Arabic"/>
          <w:b/>
          <w:bCs/>
          <w:color w:val="0070C0"/>
          <w:sz w:val="32"/>
          <w:szCs w:val="32"/>
          <w:u w:val="single"/>
        </w:rPr>
      </w:pPr>
      <w:r w:rsidRPr="00D05340">
        <w:rPr>
          <w:rFonts w:ascii="Traditional Arabic" w:hAnsi="Traditional Arabic" w:cs="Traditional Arabic"/>
          <w:b/>
          <w:bCs/>
          <w:color w:val="0070C0"/>
          <w:sz w:val="32"/>
          <w:szCs w:val="32"/>
          <w:u w:val="single"/>
          <w:rtl/>
        </w:rPr>
        <w:t>مجتمع وعينة الدراسة:</w:t>
      </w:r>
    </w:p>
    <w:p w14:paraId="6EF8746D" w14:textId="77777777" w:rsidR="00746B5D" w:rsidRPr="00D05340" w:rsidRDefault="00746B5D" w:rsidP="00746B5D">
      <w:pPr>
        <w:bidi/>
        <w:spacing w:after="200" w:line="360" w:lineRule="auto"/>
        <w:jc w:val="both"/>
        <w:rPr>
          <w:rFonts w:ascii="Traditional Arabic" w:hAnsi="Traditional Arabic" w:cs="Traditional Arabic"/>
          <w:b/>
          <w:bCs/>
          <w:sz w:val="32"/>
          <w:szCs w:val="32"/>
        </w:rPr>
      </w:pPr>
      <w:r w:rsidRPr="00D05340">
        <w:rPr>
          <w:rFonts w:ascii="Traditional Arabic" w:hAnsi="Traditional Arabic" w:cs="Traditional Arabic"/>
          <w:b/>
          <w:bCs/>
          <w:sz w:val="32"/>
          <w:szCs w:val="32"/>
          <w:rtl/>
        </w:rPr>
        <w:t>مجتمع الدراسة</w:t>
      </w:r>
    </w:p>
    <w:p w14:paraId="54E00DB1" w14:textId="77777777" w:rsidR="003F4C64" w:rsidRDefault="00C41CBC" w:rsidP="00C41CBC">
      <w:pPr>
        <w:bidi/>
        <w:spacing w:after="200" w:line="360" w:lineRule="auto"/>
        <w:jc w:val="both"/>
        <w:rPr>
          <w:rtl/>
        </w:rPr>
      </w:pPr>
      <w:r w:rsidRPr="00C41CBC">
        <w:rPr>
          <w:rFonts w:ascii="Traditional Arabic" w:hAnsi="Traditional Arabic" w:cs="Traditional Arabic"/>
          <w:sz w:val="32"/>
          <w:szCs w:val="32"/>
          <w:rtl/>
        </w:rPr>
        <w:t>يتكوّن مجتمع الدراسة من العاملين الإداريين في وزارة الإعلام بالمملكة العربية السعودية، ويشمل ذلك الموظفين العاملين في ديوان الوزارة الرئيس دون التوسع ليشمل الهيئات أو المؤسسات التابعة لها، وذلك نظرًا لكونهم الأكثر ارتباطًا بتطبيق ممارسات إدارة الموارد البشرية الاستراتيجية، والأقدر على تقديم تصورات دقيقة حول انعكاس هذه الممارسات على مستوى البراعة التنظيمية داخل الوزارة</w:t>
      </w:r>
      <w:r w:rsidRPr="00C41CBC">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00746B5D" w:rsidRPr="00D05340">
        <w:rPr>
          <w:rFonts w:ascii="Traditional Arabic" w:hAnsi="Traditional Arabic" w:cs="Traditional Arabic"/>
          <w:sz w:val="32"/>
          <w:szCs w:val="32"/>
          <w:rtl/>
        </w:rPr>
        <w:t xml:space="preserve">تُعد وزارة الإعلام من الوزارات السيادية في المملكة، وهي مسؤولة عن رسم السياسات الإعلامية، والإشراف على الوسائط والمؤسسات الإعلامية الوطنية، وتعزيز التواصل الاستراتيجي داخليًا وخارجيًا. ووفقًا لبيانات موقع </w:t>
      </w:r>
      <w:hyperlink r:id="rId9" w:history="1">
        <w:r w:rsidR="00746B5D" w:rsidRPr="00D05340">
          <w:rPr>
            <w:rStyle w:val="Hyperlink"/>
            <w:rFonts w:ascii="Traditional Arabic" w:hAnsi="Traditional Arabic" w:cs="Traditional Arabic"/>
            <w:color w:val="auto"/>
            <w:sz w:val="32"/>
            <w:szCs w:val="32"/>
            <w:u w:val="none"/>
          </w:rPr>
          <w:t>AroundDeal</w:t>
        </w:r>
      </w:hyperlink>
      <w:r w:rsidR="00746B5D" w:rsidRPr="00D05340">
        <w:rPr>
          <w:rFonts w:ascii="Traditional Arabic" w:hAnsi="Traditional Arabic" w:cs="Traditional Arabic"/>
          <w:sz w:val="32"/>
          <w:szCs w:val="32"/>
        </w:rPr>
        <w:t xml:space="preserve">, </w:t>
      </w:r>
      <w:r w:rsidR="00746B5D" w:rsidRPr="00D05340">
        <w:rPr>
          <w:rFonts w:ascii="Traditional Arabic" w:hAnsi="Traditional Arabic" w:cs="Traditional Arabic"/>
          <w:sz w:val="32"/>
          <w:szCs w:val="32"/>
          <w:rtl/>
        </w:rPr>
        <w:t xml:space="preserve">فإن عدد موظفي الوزارة يتجاوز </w:t>
      </w:r>
      <w:r w:rsidR="00746B5D" w:rsidRPr="00D05340">
        <w:rPr>
          <w:rFonts w:ascii="Traditional Arabic" w:hAnsi="Traditional Arabic" w:cs="Traditional Arabic"/>
          <w:sz w:val="32"/>
          <w:szCs w:val="32"/>
        </w:rPr>
        <w:t xml:space="preserve">10,000 </w:t>
      </w:r>
      <w:r w:rsidR="00746B5D" w:rsidRPr="00D05340">
        <w:rPr>
          <w:rFonts w:ascii="Traditional Arabic" w:hAnsi="Traditional Arabic" w:cs="Traditional Arabic"/>
          <w:sz w:val="32"/>
          <w:szCs w:val="32"/>
          <w:rtl/>
        </w:rPr>
        <w:t>موظف موزعين على عدة إدارات رئيسية وهيئات تابعة. ويعكس هذا العدد الكبير من الموظفين تعدد الأدوار التنظيمية والإدارية، مما يجعل الوزارة بيئة مناسبة لدراسة العلاقة بين التخطيط الاستراتيجي للموارد البشرية والبراعة التنظيمية</w:t>
      </w:r>
      <w:r w:rsidR="00746B5D" w:rsidRPr="00D05340">
        <w:rPr>
          <w:rFonts w:ascii="Traditional Arabic" w:hAnsi="Traditional Arabic" w:cs="Traditional Arabic"/>
          <w:sz w:val="32"/>
          <w:szCs w:val="32"/>
        </w:rPr>
        <w:t>.</w:t>
      </w:r>
      <w:r w:rsidRPr="00C41CBC">
        <w:rPr>
          <w:rtl/>
        </w:rPr>
        <w:t xml:space="preserve"> </w:t>
      </w:r>
    </w:p>
    <w:p w14:paraId="6BD927E0" w14:textId="77777777" w:rsidR="003F4C64" w:rsidRDefault="003F4C64" w:rsidP="003F4C64">
      <w:pPr>
        <w:bidi/>
        <w:spacing w:after="200" w:line="360" w:lineRule="auto"/>
        <w:jc w:val="both"/>
        <w:rPr>
          <w:rtl/>
        </w:rPr>
      </w:pPr>
    </w:p>
    <w:p w14:paraId="76F1ED25" w14:textId="3B454796" w:rsidR="00746B5D" w:rsidRPr="003F4C64" w:rsidRDefault="003F4C64" w:rsidP="003F4C64">
      <w:pPr>
        <w:bidi/>
        <w:spacing w:after="200" w:line="360" w:lineRule="auto"/>
        <w:jc w:val="both"/>
        <w:rPr>
          <w:rFonts w:ascii="Traditional Arabic" w:hAnsi="Traditional Arabic" w:cs="Traditional Arabic"/>
          <w:sz w:val="32"/>
          <w:szCs w:val="32"/>
          <w:rtl/>
          <w:lang w:bidi="ar-JO"/>
        </w:rPr>
      </w:pPr>
      <w:r w:rsidRPr="003F4C64">
        <w:rPr>
          <w:rFonts w:ascii="Traditional Arabic" w:hAnsi="Traditional Arabic" w:cs="Traditional Arabic"/>
          <w:sz w:val="32"/>
          <w:szCs w:val="32"/>
          <w:rtl/>
        </w:rPr>
        <w:t xml:space="preserve">ما يهمنا في هذه الدراسة هو عدد الموظفين العاملين في ديوان الوزارة الرئيس </w:t>
      </w:r>
      <w:r w:rsidR="00C41CBC" w:rsidRPr="003F4C64">
        <w:rPr>
          <w:rFonts w:ascii="Traditional Arabic" w:hAnsi="Traditional Arabic" w:cs="Traditional Arabic"/>
          <w:sz w:val="32"/>
          <w:szCs w:val="32"/>
          <w:rtl/>
        </w:rPr>
        <w:t>و</w:t>
      </w:r>
      <w:r w:rsidRPr="003F4C64">
        <w:rPr>
          <w:rFonts w:ascii="Traditional Arabic" w:hAnsi="Traditional Arabic" w:cs="Traditional Arabic"/>
          <w:sz w:val="32"/>
          <w:szCs w:val="32"/>
          <w:rtl/>
        </w:rPr>
        <w:t xml:space="preserve">الذي </w:t>
      </w:r>
      <w:r w:rsidR="00C41CBC" w:rsidRPr="003F4C64">
        <w:rPr>
          <w:rFonts w:ascii="Traditional Arabic" w:hAnsi="Traditional Arabic" w:cs="Traditional Arabic"/>
          <w:sz w:val="32"/>
          <w:szCs w:val="32"/>
          <w:rtl/>
        </w:rPr>
        <w:t xml:space="preserve">بحسب التقرير السنوي الصادر عن وزارة الإعلام (2024)، </w:t>
      </w:r>
      <w:r w:rsidRPr="003F4C64">
        <w:rPr>
          <w:rFonts w:ascii="Traditional Arabic" w:hAnsi="Traditional Arabic" w:cs="Traditional Arabic"/>
          <w:sz w:val="32"/>
          <w:szCs w:val="32"/>
          <w:rtl/>
        </w:rPr>
        <w:t>كان</w:t>
      </w:r>
      <w:r w:rsidR="00C41CBC" w:rsidRPr="003F4C64">
        <w:rPr>
          <w:rFonts w:ascii="Traditional Arabic" w:hAnsi="Traditional Arabic" w:cs="Traditional Arabic"/>
          <w:sz w:val="32"/>
          <w:szCs w:val="32"/>
          <w:rtl/>
        </w:rPr>
        <w:t xml:space="preserve"> عدد العاملين في ديوان الوزارة 1,134 موظفًا وموظفة، يمثلون مجتمع الدراسة المستهدف</w:t>
      </w:r>
      <w:r w:rsidR="00C41CBC" w:rsidRPr="003F4C64">
        <w:rPr>
          <w:rFonts w:ascii="Traditional Arabic" w:hAnsi="Traditional Arabic" w:cs="Traditional Arabic"/>
          <w:sz w:val="32"/>
          <w:szCs w:val="32"/>
        </w:rPr>
        <w:t>.</w:t>
      </w:r>
    </w:p>
    <w:p w14:paraId="440AECAD" w14:textId="22232CA8" w:rsidR="00EF40E0" w:rsidRPr="00D05340" w:rsidRDefault="008A3C31" w:rsidP="00EF40E0">
      <w:pPr>
        <w:bidi/>
        <w:spacing w:after="200" w:line="360" w:lineRule="auto"/>
        <w:jc w:val="both"/>
        <w:rPr>
          <w:rFonts w:ascii="Traditional Arabic" w:hAnsi="Traditional Arabic" w:cs="Traditional Arabic"/>
          <w:b/>
          <w:bCs/>
          <w:sz w:val="32"/>
          <w:szCs w:val="32"/>
          <w:lang w:bidi="ar-AE"/>
        </w:rPr>
      </w:pPr>
      <w:r w:rsidRPr="00D05340">
        <w:rPr>
          <w:rFonts w:ascii="Traditional Arabic" w:hAnsi="Traditional Arabic" w:cs="Traditional Arabic"/>
          <w:b/>
          <w:bCs/>
          <w:sz w:val="32"/>
          <w:szCs w:val="32"/>
          <w:rtl/>
        </w:rPr>
        <w:lastRenderedPageBreak/>
        <w:t>عينة الدراسة</w:t>
      </w:r>
    </w:p>
    <w:p w14:paraId="18EAFC12" w14:textId="3A0E7FEC" w:rsidR="00D05340" w:rsidRDefault="003F4C64" w:rsidP="003F4C64">
      <w:pPr>
        <w:bidi/>
        <w:spacing w:after="0" w:line="360" w:lineRule="auto"/>
        <w:jc w:val="both"/>
        <w:rPr>
          <w:rFonts w:ascii="Traditional Arabic" w:hAnsi="Traditional Arabic" w:cs="Traditional Arabic"/>
          <w:sz w:val="32"/>
          <w:szCs w:val="32"/>
          <w:rtl/>
        </w:rPr>
      </w:pPr>
      <w:r w:rsidRPr="003F4C64">
        <w:rPr>
          <w:rFonts w:ascii="Traditional Arabic" w:hAnsi="Traditional Arabic" w:cs="Traditional Arabic"/>
          <w:sz w:val="32"/>
          <w:szCs w:val="32"/>
          <w:rtl/>
        </w:rPr>
        <w:t>نظرًا لأن عدد أفراد مجتمع الدراسة من العاملين الإداريين في ديوان وزارة الإعلام بالمملكة العربية السعودية يبلغ (1,134) موظفًا وموظفة، فقد تم تحديد حجم العينة باستخدام جدول مورغان لتحديد العينات وفق حجم المجتمع، حيث يشير الجدول إلى أن العدد المناسب لعينة تمثيلية لمجتمع يتكون من 1,100 إلى 1,200 فرد يتراوح ما بين 285 إلى 297 مشاركًا. وبناءً عليه، تم اختيار عينة مكونة من (290) موظفًا وموظفة ممن تنطبق عليهم معايير الدراسة، وذلك لضمان تمثيل كافٍ ومناسب لآراء العاملين في ديوان الوزارة. وقد تم اختيار العينة بطريقة عشوائية بسيطة، لضمان تكافؤ الفرص بين أفراد المجتمع وتحقيق أعلى درجة من الموضوعية في النتائج</w:t>
      </w:r>
      <w:r w:rsidRPr="003F4C64">
        <w:rPr>
          <w:rFonts w:ascii="Traditional Arabic" w:hAnsi="Traditional Arabic" w:cs="Traditional Arabic"/>
          <w:sz w:val="32"/>
          <w:szCs w:val="32"/>
        </w:rPr>
        <w:t>.</w:t>
      </w:r>
    </w:p>
    <w:p w14:paraId="5F9E7979" w14:textId="20149ED3" w:rsidR="003F4C64" w:rsidRPr="003F4C64" w:rsidRDefault="003F4C64" w:rsidP="003F4C64">
      <w:pPr>
        <w:bidi/>
        <w:spacing w:after="0" w:line="360" w:lineRule="auto"/>
        <w:jc w:val="both"/>
        <w:rPr>
          <w:rFonts w:ascii="Traditional Arabic" w:hAnsi="Traditional Arabic" w:cs="Traditional Arabic"/>
          <w:sz w:val="32"/>
          <w:szCs w:val="32"/>
        </w:rPr>
      </w:pPr>
    </w:p>
    <w:p w14:paraId="6E1B5700" w14:textId="236BF535" w:rsidR="00623B25" w:rsidRPr="00623B25" w:rsidRDefault="00623B25" w:rsidP="00623B25">
      <w:pPr>
        <w:bidi/>
        <w:spacing w:after="0" w:line="360" w:lineRule="auto"/>
        <w:jc w:val="both"/>
        <w:rPr>
          <w:rFonts w:ascii="Traditional Arabic" w:hAnsi="Traditional Arabic" w:cs="Traditional Arabic"/>
          <w:sz w:val="32"/>
          <w:szCs w:val="32"/>
        </w:rPr>
      </w:pPr>
      <w:r w:rsidRPr="00623B25">
        <w:rPr>
          <w:rFonts w:ascii="Traditional Arabic" w:hAnsi="Traditional Arabic" w:cs="Traditional Arabic"/>
          <w:sz w:val="32"/>
          <w:szCs w:val="32"/>
          <w:rtl/>
        </w:rPr>
        <w:t xml:space="preserve">حرصًا على تحقيق أهداف الدراسة ومواءمة عينة البحث مع موضوعها، والمتمثل في "أثر التخطيط الاستراتيجي للموارد البشرية على البراعة التنظيمية"، </w:t>
      </w:r>
      <w:r>
        <w:rPr>
          <w:rFonts w:ascii="Traditional Arabic" w:hAnsi="Traditional Arabic" w:cs="Traditional Arabic" w:hint="cs"/>
          <w:sz w:val="32"/>
          <w:szCs w:val="32"/>
          <w:rtl/>
        </w:rPr>
        <w:t>سوف يتم</w:t>
      </w:r>
      <w:r w:rsidRPr="00623B25">
        <w:rPr>
          <w:rFonts w:ascii="Traditional Arabic" w:hAnsi="Traditional Arabic" w:cs="Traditional Arabic"/>
          <w:sz w:val="32"/>
          <w:szCs w:val="32"/>
          <w:rtl/>
        </w:rPr>
        <w:t xml:space="preserve"> اعتماد منهجية انتقائية دقيقة في الوصول إلى المشاركين. </w:t>
      </w:r>
      <w:r>
        <w:rPr>
          <w:rFonts w:ascii="Traditional Arabic" w:hAnsi="Traditional Arabic" w:cs="Traditional Arabic" w:hint="cs"/>
          <w:sz w:val="32"/>
          <w:szCs w:val="32"/>
          <w:rtl/>
        </w:rPr>
        <w:t>سوف</w:t>
      </w:r>
      <w:r w:rsidRPr="00623B25">
        <w:rPr>
          <w:rFonts w:ascii="Traditional Arabic" w:hAnsi="Traditional Arabic" w:cs="Traditional Arabic"/>
          <w:sz w:val="32"/>
          <w:szCs w:val="32"/>
          <w:rtl/>
        </w:rPr>
        <w:t xml:space="preserve"> تحديد العينة من بين العاملين الإداريين في ديوان وزارة الإعلام بالمملكة العربية السعودية، على أن يكونوا من الموظفين الذين يتعاملون بشكل مباشر أو غير مباشر مع ممارسات إدارة الموارد البشرية، أو ممن تأثرت أعمالهم بشكل فعلي بسياسات التخطيط والتطوير الإداري داخل الوزارة. شملت الفئات المستهدفة موظفي إدارات الموارد البشرية، والتخطيط، والتطوير الإداري، والشؤون التنظيمية، بالإضافة إلى من يشغلون مناصب </w:t>
      </w:r>
      <w:r w:rsidRPr="00623B25">
        <w:rPr>
          <w:rFonts w:ascii="Traditional Arabic" w:hAnsi="Traditional Arabic" w:cs="Traditional Arabic" w:hint="cs"/>
          <w:sz w:val="32"/>
          <w:szCs w:val="32"/>
          <w:rtl/>
        </w:rPr>
        <w:t>إشرافيه</w:t>
      </w:r>
      <w:r w:rsidRPr="00623B25">
        <w:rPr>
          <w:rFonts w:ascii="Traditional Arabic" w:hAnsi="Traditional Arabic" w:cs="Traditional Arabic"/>
          <w:sz w:val="32"/>
          <w:szCs w:val="32"/>
          <w:rtl/>
        </w:rPr>
        <w:t xml:space="preserve"> أو قيادية متوسطة. </w:t>
      </w:r>
      <w:r>
        <w:rPr>
          <w:rFonts w:ascii="Traditional Arabic" w:hAnsi="Traditional Arabic" w:cs="Traditional Arabic" w:hint="cs"/>
          <w:sz w:val="32"/>
          <w:szCs w:val="32"/>
          <w:rtl/>
        </w:rPr>
        <w:t>سوف يتم التنسيق</w:t>
      </w:r>
      <w:r w:rsidRPr="00623B25">
        <w:rPr>
          <w:rFonts w:ascii="Traditional Arabic" w:hAnsi="Traditional Arabic" w:cs="Traditional Arabic"/>
          <w:sz w:val="32"/>
          <w:szCs w:val="32"/>
          <w:rtl/>
        </w:rPr>
        <w:t xml:space="preserve"> مع الإدارة المختصة داخل الوزارة للحصول على قوائم الموظفين المستوفين للمعايير، ليتم توزيع أداة الدراسة (الاستبانة) إلكترونيًا عليهم بطريقة تضمن تمثيلًا متوازنًا من حيث التخصص الوظيفي، ومدة الخبرة، </w:t>
      </w:r>
      <w:r w:rsidRPr="00623B25">
        <w:rPr>
          <w:rFonts w:ascii="Traditional Arabic" w:hAnsi="Traditional Arabic" w:cs="Traditional Arabic"/>
          <w:sz w:val="32"/>
          <w:szCs w:val="32"/>
          <w:rtl/>
        </w:rPr>
        <w:lastRenderedPageBreak/>
        <w:t>والمستوى الإداري. يهدف هذا الإجراء إلى ضمان صدق النتائج وتعزيز إمكانية تعميمها على بيئات مماثلة</w:t>
      </w:r>
      <w:r w:rsidRPr="00623B25">
        <w:rPr>
          <w:rFonts w:ascii="Traditional Arabic" w:hAnsi="Traditional Arabic" w:cs="Traditional Arabic"/>
          <w:sz w:val="32"/>
          <w:szCs w:val="32"/>
        </w:rPr>
        <w:t>.</w:t>
      </w:r>
    </w:p>
    <w:p w14:paraId="43BD2C8C" w14:textId="77777777" w:rsidR="004A5E36" w:rsidRPr="00623B25" w:rsidRDefault="004A5E36" w:rsidP="004A5E36">
      <w:pPr>
        <w:bidi/>
        <w:spacing w:after="0" w:line="360" w:lineRule="auto"/>
        <w:jc w:val="both"/>
        <w:rPr>
          <w:rFonts w:ascii="Traditional Arabic" w:hAnsi="Traditional Arabic" w:cs="Traditional Arabic"/>
          <w:sz w:val="32"/>
          <w:szCs w:val="32"/>
          <w:rtl/>
        </w:rPr>
      </w:pPr>
    </w:p>
    <w:p w14:paraId="7387E0C1" w14:textId="585C3C48" w:rsidR="00646785" w:rsidRPr="00D05340" w:rsidRDefault="000A1E46" w:rsidP="00646785">
      <w:pPr>
        <w:bidi/>
        <w:spacing w:after="0" w:line="360" w:lineRule="auto"/>
        <w:jc w:val="both"/>
        <w:rPr>
          <w:rFonts w:ascii="Traditional Arabic" w:hAnsi="Traditional Arabic" w:cs="Traditional Arabic"/>
          <w:color w:val="00B0F0"/>
          <w:sz w:val="32"/>
          <w:szCs w:val="32"/>
          <w:rtl/>
          <w:lang w:bidi="ar-JO"/>
        </w:rPr>
      </w:pPr>
      <w:r w:rsidRPr="00D05340">
        <w:rPr>
          <w:rFonts w:ascii="Traditional Arabic" w:hAnsi="Traditional Arabic" w:cs="Traditional Arabic"/>
          <w:b/>
          <w:bCs/>
          <w:color w:val="00B0F0"/>
          <w:sz w:val="32"/>
          <w:szCs w:val="32"/>
          <w:u w:val="single"/>
          <w:rtl/>
        </w:rPr>
        <w:t>حدود الدراسة: (المكانية ، الزمانية ، البشرية)</w:t>
      </w:r>
    </w:p>
    <w:p w14:paraId="5459FFFD" w14:textId="658180C7" w:rsidR="00646785" w:rsidRPr="00D05340" w:rsidRDefault="00646785" w:rsidP="00646785">
      <w:pPr>
        <w:bidi/>
        <w:spacing w:after="20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tl/>
        </w:rPr>
        <w:t>أولًا: الحدود المكانية</w:t>
      </w:r>
      <w:r w:rsidRPr="00D05340">
        <w:rPr>
          <w:rFonts w:ascii="Traditional Arabic" w:eastAsia="Times New Roman" w:hAnsi="Traditional Arabic" w:cs="Traditional Arabic"/>
          <w:b/>
          <w:bCs/>
          <w:sz w:val="32"/>
          <w:szCs w:val="32"/>
        </w:rPr>
        <w:t xml:space="preserve"> </w:t>
      </w:r>
    </w:p>
    <w:p w14:paraId="770A6A94" w14:textId="77777777" w:rsidR="00623B25" w:rsidRDefault="00623B25" w:rsidP="00623B25">
      <w:pPr>
        <w:bidi/>
        <w:spacing w:after="200" w:line="360" w:lineRule="auto"/>
        <w:jc w:val="both"/>
        <w:rPr>
          <w:rFonts w:ascii="Traditional Arabic" w:eastAsia="Times New Roman" w:hAnsi="Traditional Arabic" w:cs="Traditional Arabic"/>
          <w:b/>
          <w:bCs/>
          <w:sz w:val="32"/>
          <w:szCs w:val="32"/>
          <w:rtl/>
        </w:rPr>
      </w:pPr>
      <w:r w:rsidRPr="00623B25">
        <w:rPr>
          <w:rFonts w:ascii="Traditional Arabic" w:eastAsia="Times New Roman" w:hAnsi="Traditional Arabic" w:cs="Traditional Arabic"/>
          <w:sz w:val="32"/>
          <w:szCs w:val="32"/>
          <w:rtl/>
        </w:rPr>
        <w:t>تقتصر الحدود المكانية للدراسة على ديوان وزارة الإعلام في المملكة العربية السعودية، بوصفه الجهة الرسمية المركزية المعنية بتخطيط وتنفيذ السياسات الإعلامية، ويضم الإدارات التنظيمية المرتبطة بشكل مباشر بإدارة الموارد البشرية والتخطيط الاستراتيجي. وقد تم اختيار ديوان الوزارة كميدان لتطبيق الدراسة نظرًا لطبيعة مهامه الإدارية والتنظيمية، وارتباط موظفيه بالممارسات المستهدفة في الدراسة، لا سيّما تلك المتعلقة بتخطيط الموارد البشرية، وتطوير الكفاءات، وتقييم الأداء، مما يجعله بيئة مناسبة لفحص أثر هذه الممارسات على مستوى البراعة التنظيمية</w:t>
      </w:r>
      <w:r w:rsidRPr="00623B25">
        <w:rPr>
          <w:rFonts w:ascii="Traditional Arabic" w:eastAsia="Times New Roman" w:hAnsi="Traditional Arabic" w:cs="Traditional Arabic"/>
          <w:sz w:val="32"/>
          <w:szCs w:val="32"/>
        </w:rPr>
        <w:t>.</w:t>
      </w:r>
      <w:r w:rsidRPr="00623B25">
        <w:rPr>
          <w:rFonts w:ascii="Traditional Arabic" w:eastAsia="Times New Roman" w:hAnsi="Traditional Arabic" w:cs="Traditional Arabic"/>
          <w:b/>
          <w:bCs/>
          <w:sz w:val="32"/>
          <w:szCs w:val="32"/>
          <w:rtl/>
        </w:rPr>
        <w:t xml:space="preserve"> </w:t>
      </w:r>
    </w:p>
    <w:p w14:paraId="030A71EE" w14:textId="65A79571" w:rsidR="00646785" w:rsidRPr="00D05340" w:rsidRDefault="00646785" w:rsidP="00623B25">
      <w:pPr>
        <w:bidi/>
        <w:spacing w:after="20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tl/>
        </w:rPr>
        <w:t>ثانيًا: الحدود الزمانية</w:t>
      </w:r>
      <w:r w:rsidRPr="00D05340">
        <w:rPr>
          <w:rFonts w:ascii="Traditional Arabic" w:eastAsia="Times New Roman" w:hAnsi="Traditional Arabic" w:cs="Traditional Arabic"/>
          <w:b/>
          <w:bCs/>
          <w:sz w:val="32"/>
          <w:szCs w:val="32"/>
        </w:rPr>
        <w:t xml:space="preserve"> </w:t>
      </w:r>
    </w:p>
    <w:p w14:paraId="42C16B50" w14:textId="691CFC9F" w:rsidR="00646785" w:rsidRPr="00D05340" w:rsidRDefault="00646785" w:rsidP="00623B25">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hint="cs"/>
          <w:sz w:val="32"/>
          <w:szCs w:val="32"/>
          <w:rtl/>
        </w:rPr>
        <w:t>سوف تتم</w:t>
      </w:r>
      <w:r w:rsidRPr="00D05340">
        <w:rPr>
          <w:rFonts w:ascii="Traditional Arabic" w:eastAsia="Times New Roman" w:hAnsi="Traditional Arabic" w:cs="Traditional Arabic"/>
          <w:sz w:val="32"/>
          <w:szCs w:val="32"/>
          <w:rtl/>
        </w:rPr>
        <w:t xml:space="preserve"> هذه الدراسة خلال الفترة الزمنية من </w:t>
      </w:r>
      <w:r w:rsidRPr="00D05340">
        <w:rPr>
          <w:rFonts w:ascii="Traditional Arabic" w:eastAsia="Times New Roman" w:hAnsi="Traditional Arabic" w:cs="Traditional Arabic" w:hint="cs"/>
          <w:sz w:val="32"/>
          <w:szCs w:val="32"/>
          <w:rtl/>
        </w:rPr>
        <w:t>(سوف يتم تحديدها لاحقا)</w:t>
      </w:r>
      <w:r w:rsidRPr="00D05340">
        <w:rPr>
          <w:rFonts w:ascii="Traditional Arabic" w:eastAsia="Times New Roman" w:hAnsi="Traditional Arabic" w:cs="Traditional Arabic"/>
          <w:sz w:val="32"/>
          <w:szCs w:val="32"/>
          <w:rtl/>
        </w:rPr>
        <w:t xml:space="preserve">، وهي فترة تنفيذ الإجراءات البحثية المتعلقة بجمع البيانات وتحليلها. </w:t>
      </w:r>
    </w:p>
    <w:p w14:paraId="113EAA38" w14:textId="2AF56F08" w:rsidR="00646785" w:rsidRPr="00D05340" w:rsidRDefault="00646785" w:rsidP="00646785">
      <w:pPr>
        <w:bidi/>
        <w:spacing w:after="20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tl/>
        </w:rPr>
        <w:t>ثالثًا: الحدود البشرية</w:t>
      </w:r>
    </w:p>
    <w:p w14:paraId="5B2C9D65" w14:textId="72488B00" w:rsidR="00646785" w:rsidRPr="00D05340" w:rsidRDefault="00623B25" w:rsidP="00623B25">
      <w:pPr>
        <w:bidi/>
        <w:spacing w:after="200" w:line="360" w:lineRule="auto"/>
        <w:jc w:val="both"/>
        <w:rPr>
          <w:rFonts w:ascii="Traditional Arabic" w:hAnsi="Traditional Arabic" w:cs="Traditional Arabic"/>
          <w:b/>
          <w:bCs/>
          <w:color w:val="00B0F0"/>
          <w:sz w:val="32"/>
          <w:szCs w:val="32"/>
          <w:u w:val="single"/>
          <w:rtl/>
        </w:rPr>
      </w:pPr>
      <w:r w:rsidRPr="00623B25">
        <w:rPr>
          <w:rFonts w:ascii="Traditional Arabic" w:eastAsia="Times New Roman" w:hAnsi="Traditional Arabic" w:cs="Traditional Arabic"/>
          <w:sz w:val="32"/>
          <w:szCs w:val="32"/>
          <w:rtl/>
        </w:rPr>
        <w:t xml:space="preserve">تقتصر الحدود البشرية للدراسة على العاملين الإداريين في ديوان وزارة الإعلام بالمملكة العربية السعودية، ممن لهم ارتباط مباشر أو غير مباشر بممارسات إدارة الموارد البشرية الاستراتيجية. وتشمل العينة المستهدفة موظفي إدارات الموارد البشرية، والتخطيط، والتطوير الإداري، والشؤون التنظيمية، بالإضافة إلى الموظفين </w:t>
      </w:r>
      <w:r w:rsidRPr="00623B25">
        <w:rPr>
          <w:rFonts w:ascii="Traditional Arabic" w:eastAsia="Times New Roman" w:hAnsi="Traditional Arabic" w:cs="Traditional Arabic"/>
          <w:sz w:val="32"/>
          <w:szCs w:val="32"/>
          <w:rtl/>
        </w:rPr>
        <w:lastRenderedPageBreak/>
        <w:t xml:space="preserve">الإداريين الذين تشملهم سياسات الوزارة في مجالات تخطيط القوى العاملة، وتطوير الكفاءات، وتقييم الأداء. </w:t>
      </w:r>
      <w:r>
        <w:rPr>
          <w:rFonts w:ascii="Traditional Arabic" w:eastAsia="Times New Roman" w:hAnsi="Traditional Arabic" w:cs="Traditional Arabic" w:hint="cs"/>
          <w:sz w:val="32"/>
          <w:szCs w:val="32"/>
          <w:rtl/>
        </w:rPr>
        <w:t>سوف يتم</w:t>
      </w:r>
      <w:r w:rsidRPr="00623B25">
        <w:rPr>
          <w:rFonts w:ascii="Traditional Arabic" w:eastAsia="Times New Roman" w:hAnsi="Traditional Arabic" w:cs="Traditional Arabic"/>
          <w:sz w:val="32"/>
          <w:szCs w:val="32"/>
          <w:rtl/>
        </w:rPr>
        <w:t xml:space="preserve"> اختيار الأفراد وفق معايير محددة، منها: مزاولة العمل الإداري خلال فترة تنفيذ الدراسة، وامتلاك خبرة لا تقل عن سنة، إلى جانب المعرفة أو التفاعل مع ممارسات الموارد البشرية ذات العلاقة بموضوع الدراسة. ويهدف هذا التحديد إلى ضمان انسجام العينة مع أهداف البحث، ورفع مستوى صدق النتائج وإمكانية تعميمها على بيئات إدارية مشابهة</w:t>
      </w:r>
      <w:r w:rsidRPr="00623B25">
        <w:rPr>
          <w:rFonts w:ascii="Traditional Arabic" w:eastAsia="Times New Roman" w:hAnsi="Traditional Arabic" w:cs="Traditional Arabic"/>
          <w:sz w:val="32"/>
          <w:szCs w:val="32"/>
        </w:rPr>
        <w:t>.</w:t>
      </w:r>
    </w:p>
    <w:p w14:paraId="78285473" w14:textId="77777777" w:rsidR="008E3A29" w:rsidRDefault="008E3A29" w:rsidP="00553DC2">
      <w:pPr>
        <w:bidi/>
        <w:spacing w:after="200" w:line="360" w:lineRule="auto"/>
        <w:jc w:val="both"/>
        <w:rPr>
          <w:rFonts w:ascii="Traditional Arabic" w:hAnsi="Traditional Arabic" w:cs="Traditional Arabic"/>
          <w:b/>
          <w:bCs/>
          <w:color w:val="00B0F0"/>
          <w:sz w:val="32"/>
          <w:szCs w:val="32"/>
          <w:u w:val="single"/>
          <w:rtl/>
        </w:rPr>
      </w:pPr>
    </w:p>
    <w:p w14:paraId="45F16FF1" w14:textId="77777777" w:rsidR="008A3C31" w:rsidRPr="00D05340" w:rsidRDefault="007F4183" w:rsidP="008E3A29">
      <w:pPr>
        <w:bidi/>
        <w:spacing w:after="200" w:line="360" w:lineRule="auto"/>
        <w:jc w:val="both"/>
        <w:rPr>
          <w:rFonts w:ascii="Traditional Arabic" w:hAnsi="Traditional Arabic" w:cs="Traditional Arabic"/>
          <w:b/>
          <w:bCs/>
          <w:color w:val="00B0F0"/>
          <w:sz w:val="32"/>
          <w:szCs w:val="32"/>
          <w:u w:val="single"/>
          <w:rtl/>
          <w:lang w:bidi="ar-JO"/>
        </w:rPr>
      </w:pPr>
      <w:r w:rsidRPr="00D05340">
        <w:rPr>
          <w:rFonts w:ascii="Traditional Arabic" w:hAnsi="Traditional Arabic" w:cs="Traditional Arabic"/>
          <w:b/>
          <w:bCs/>
          <w:color w:val="00B0F0"/>
          <w:sz w:val="32"/>
          <w:szCs w:val="32"/>
          <w:u w:val="single"/>
          <w:rtl/>
        </w:rPr>
        <w:t>وسائل جمع بيانات الدراسة:</w:t>
      </w:r>
    </w:p>
    <w:p w14:paraId="43D43F93" w14:textId="112F463C" w:rsidR="00646785" w:rsidRPr="00D05340" w:rsidRDefault="00646785" w:rsidP="00646785">
      <w:pPr>
        <w:bidi/>
        <w:spacing w:after="20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tl/>
        </w:rPr>
        <w:t>أولًا: البيانات الأولية</w:t>
      </w:r>
      <w:r w:rsidRPr="00D05340">
        <w:rPr>
          <w:rFonts w:ascii="Traditional Arabic" w:eastAsia="Times New Roman" w:hAnsi="Traditional Arabic" w:cs="Traditional Arabic" w:hint="cs"/>
          <w:b/>
          <w:bCs/>
          <w:sz w:val="32"/>
          <w:szCs w:val="32"/>
          <w:rtl/>
        </w:rPr>
        <w:t xml:space="preserve"> </w:t>
      </w:r>
      <w:r w:rsidRPr="00D05340">
        <w:rPr>
          <w:rFonts w:ascii="Traditional Arabic" w:eastAsia="Times New Roman" w:hAnsi="Traditional Arabic" w:cs="Traditional Arabic"/>
          <w:b/>
          <w:bCs/>
          <w:sz w:val="32"/>
          <w:szCs w:val="32"/>
        </w:rPr>
        <w:t xml:space="preserve"> (Primary Data)</w:t>
      </w:r>
    </w:p>
    <w:p w14:paraId="4097C4D7" w14:textId="164DCD9A" w:rsidR="00646785" w:rsidRPr="00D05340" w:rsidRDefault="00646785" w:rsidP="008E3A29">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hint="cs"/>
          <w:sz w:val="32"/>
          <w:szCs w:val="32"/>
          <w:rtl/>
        </w:rPr>
        <w:t>سوف يتم</w:t>
      </w:r>
      <w:r w:rsidRPr="00D05340">
        <w:rPr>
          <w:rFonts w:ascii="Traditional Arabic" w:eastAsia="Times New Roman" w:hAnsi="Traditional Arabic" w:cs="Traditional Arabic"/>
          <w:sz w:val="32"/>
          <w:szCs w:val="32"/>
          <w:rtl/>
        </w:rPr>
        <w:t xml:space="preserve"> جمع البيانات الأولية من خلال أداة الاستبانة</w:t>
      </w:r>
      <w:r w:rsidRPr="00D05340">
        <w:rPr>
          <w:rFonts w:ascii="Traditional Arabic" w:eastAsia="Times New Roman" w:hAnsi="Traditional Arabic" w:cs="Traditional Arabic" w:hint="cs"/>
          <w:sz w:val="32"/>
          <w:szCs w:val="32"/>
          <w:rtl/>
        </w:rPr>
        <w:t xml:space="preserve"> </w:t>
      </w:r>
      <w:r w:rsidRPr="00D05340">
        <w:rPr>
          <w:rFonts w:ascii="Traditional Arabic" w:eastAsia="Times New Roman" w:hAnsi="Traditional Arabic" w:cs="Traditional Arabic"/>
          <w:sz w:val="32"/>
          <w:szCs w:val="32"/>
          <w:rtl/>
        </w:rPr>
        <w:t xml:space="preserve">، والتي </w:t>
      </w:r>
      <w:r w:rsidR="008E3A29">
        <w:rPr>
          <w:rFonts w:ascii="Traditional Arabic" w:eastAsia="Times New Roman" w:hAnsi="Traditional Arabic" w:cs="Traditional Arabic" w:hint="cs"/>
          <w:sz w:val="32"/>
          <w:szCs w:val="32"/>
          <w:rtl/>
        </w:rPr>
        <w:t>سوف تصمم</w:t>
      </w:r>
      <w:r w:rsidRPr="00D05340">
        <w:rPr>
          <w:rFonts w:ascii="Traditional Arabic" w:eastAsia="Times New Roman" w:hAnsi="Traditional Arabic" w:cs="Traditional Arabic"/>
          <w:sz w:val="32"/>
          <w:szCs w:val="32"/>
          <w:rtl/>
        </w:rPr>
        <w:t xml:space="preserve"> خصيصًا لهذه الدراسة بناءً على الأبعاد المعتمدة لكل من التخطيط الاستراتيجي للموارد البشرية كمتغير مستقل، والبراعة التنظيمية كمتغير تابع</w:t>
      </w:r>
      <w:r w:rsidR="00293639" w:rsidRPr="00D05340">
        <w:rPr>
          <w:rFonts w:ascii="Traditional Arabic" w:eastAsia="Times New Roman" w:hAnsi="Traditional Arabic" w:cs="Traditional Arabic"/>
          <w:sz w:val="32"/>
          <w:szCs w:val="32"/>
        </w:rPr>
        <w:t>.</w:t>
      </w:r>
      <w:r w:rsidR="00293639" w:rsidRPr="00D05340">
        <w:rPr>
          <w:rFonts w:ascii="Traditional Arabic" w:eastAsia="Times New Roman" w:hAnsi="Traditional Arabic" w:cs="Traditional Arabic" w:hint="cs"/>
          <w:sz w:val="32"/>
          <w:szCs w:val="32"/>
          <w:rtl/>
        </w:rPr>
        <w:t xml:space="preserve"> سوف يتم</w:t>
      </w:r>
      <w:r w:rsidRPr="00D05340">
        <w:rPr>
          <w:rFonts w:ascii="Traditional Arabic" w:eastAsia="Times New Roman" w:hAnsi="Traditional Arabic" w:cs="Traditional Arabic"/>
          <w:sz w:val="32"/>
          <w:szCs w:val="32"/>
          <w:rtl/>
        </w:rPr>
        <w:t xml:space="preserve"> إعداد الاستبانة بصيغة مغلقة باستخدام مقياس ليكرت الخماسي </w:t>
      </w:r>
      <w:r w:rsidR="00293639" w:rsidRPr="00D05340">
        <w:rPr>
          <w:rFonts w:ascii="Traditional Arabic" w:eastAsia="Times New Roman" w:hAnsi="Traditional Arabic" w:cs="Traditional Arabic" w:hint="cs"/>
          <w:sz w:val="32"/>
          <w:szCs w:val="32"/>
          <w:rtl/>
        </w:rPr>
        <w:t>(</w:t>
      </w:r>
      <w:r w:rsidRPr="00D05340">
        <w:rPr>
          <w:rFonts w:ascii="Traditional Arabic" w:eastAsia="Times New Roman" w:hAnsi="Traditional Arabic" w:cs="Traditional Arabic"/>
          <w:sz w:val="32"/>
          <w:szCs w:val="32"/>
          <w:rtl/>
        </w:rPr>
        <w:t>من 1 = لا أوافق بشدة، إلى 5 = أوافق بشدة)، وذلك لقياس آراء الموظفين حول مما</w:t>
      </w:r>
      <w:r w:rsidR="008E3A29">
        <w:rPr>
          <w:rFonts w:ascii="Traditional Arabic" w:eastAsia="Times New Roman" w:hAnsi="Traditional Arabic" w:cs="Traditional Arabic"/>
          <w:sz w:val="32"/>
          <w:szCs w:val="32"/>
          <w:rtl/>
        </w:rPr>
        <w:t>رسات الموارد البشرية في الوزارة</w:t>
      </w:r>
      <w:r w:rsidRPr="00D05340">
        <w:rPr>
          <w:rFonts w:ascii="Traditional Arabic" w:eastAsia="Times New Roman" w:hAnsi="Traditional Arabic" w:cs="Traditional Arabic"/>
          <w:sz w:val="32"/>
          <w:szCs w:val="32"/>
          <w:rtl/>
        </w:rPr>
        <w:t xml:space="preserve">، ومدى انعكاسها على مرونة </w:t>
      </w:r>
      <w:r w:rsidR="00B443F1">
        <w:rPr>
          <w:rFonts w:ascii="Traditional Arabic" w:eastAsia="Times New Roman" w:hAnsi="Traditional Arabic" w:cs="Traditional Arabic" w:hint="cs"/>
          <w:sz w:val="32"/>
          <w:szCs w:val="32"/>
          <w:rtl/>
        </w:rPr>
        <w:t>الوزارة</w:t>
      </w:r>
      <w:r w:rsidRPr="00D05340">
        <w:rPr>
          <w:rFonts w:ascii="Traditional Arabic" w:eastAsia="Times New Roman" w:hAnsi="Traditional Arabic" w:cs="Traditional Arabic"/>
          <w:sz w:val="32"/>
          <w:szCs w:val="32"/>
          <w:rtl/>
        </w:rPr>
        <w:t>، وسرعة استجابتها، وقدرتها على التكيف والابتكار</w:t>
      </w:r>
      <w:r w:rsidRPr="00D05340">
        <w:rPr>
          <w:rFonts w:ascii="Traditional Arabic" w:eastAsia="Times New Roman" w:hAnsi="Traditional Arabic" w:cs="Traditional Arabic"/>
          <w:sz w:val="32"/>
          <w:szCs w:val="32"/>
        </w:rPr>
        <w:t>.</w:t>
      </w:r>
    </w:p>
    <w:p w14:paraId="19674F2A" w14:textId="60A7E16D" w:rsidR="00646785" w:rsidRPr="00D05340" w:rsidRDefault="00646785" w:rsidP="008E3A29">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و</w:t>
      </w:r>
      <w:r w:rsidR="008E3A29">
        <w:rPr>
          <w:rFonts w:ascii="Traditional Arabic" w:eastAsia="Times New Roman" w:hAnsi="Traditional Arabic" w:cs="Traditional Arabic" w:hint="cs"/>
          <w:sz w:val="32"/>
          <w:szCs w:val="32"/>
          <w:rtl/>
        </w:rPr>
        <w:t>سوف تشمل</w:t>
      </w:r>
      <w:r w:rsidRPr="00D05340">
        <w:rPr>
          <w:rFonts w:ascii="Traditional Arabic" w:eastAsia="Times New Roman" w:hAnsi="Traditional Arabic" w:cs="Traditional Arabic"/>
          <w:sz w:val="32"/>
          <w:szCs w:val="32"/>
          <w:rtl/>
        </w:rPr>
        <w:t xml:space="preserve"> الأداة المحاور التالية</w:t>
      </w:r>
      <w:r w:rsidRPr="00D05340">
        <w:rPr>
          <w:rFonts w:ascii="Traditional Arabic" w:eastAsia="Times New Roman" w:hAnsi="Traditional Arabic" w:cs="Traditional Arabic"/>
          <w:sz w:val="32"/>
          <w:szCs w:val="32"/>
        </w:rPr>
        <w:t>:</w:t>
      </w:r>
    </w:p>
    <w:p w14:paraId="2B54B6AE" w14:textId="77777777" w:rsidR="00646785" w:rsidRPr="00D05340" w:rsidRDefault="00646785" w:rsidP="00646785">
      <w:pPr>
        <w:numPr>
          <w:ilvl w:val="0"/>
          <w:numId w:val="2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تخطيط الموارد البشرية</w:t>
      </w:r>
    </w:p>
    <w:p w14:paraId="6BF1026E" w14:textId="77777777" w:rsidR="00646785" w:rsidRPr="00D05340" w:rsidRDefault="00646785" w:rsidP="00646785">
      <w:pPr>
        <w:numPr>
          <w:ilvl w:val="0"/>
          <w:numId w:val="2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تطوير رأس المال البشري</w:t>
      </w:r>
    </w:p>
    <w:p w14:paraId="17F73245" w14:textId="77777777" w:rsidR="00646785" w:rsidRPr="00D05340" w:rsidRDefault="00646785" w:rsidP="00646785">
      <w:pPr>
        <w:numPr>
          <w:ilvl w:val="0"/>
          <w:numId w:val="2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تقييم الأداء</w:t>
      </w:r>
    </w:p>
    <w:p w14:paraId="015041BC" w14:textId="77777777" w:rsidR="00646785" w:rsidRPr="00D05340" w:rsidRDefault="00646785" w:rsidP="00646785">
      <w:pPr>
        <w:numPr>
          <w:ilvl w:val="0"/>
          <w:numId w:val="2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lastRenderedPageBreak/>
        <w:t>صيانة الموارد البشرية</w:t>
      </w:r>
    </w:p>
    <w:p w14:paraId="7EF67367" w14:textId="77777777" w:rsidR="00646785" w:rsidRPr="00D05340" w:rsidRDefault="00646785" w:rsidP="00646785">
      <w:pPr>
        <w:numPr>
          <w:ilvl w:val="0"/>
          <w:numId w:val="2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تطوير الكفاءات</w:t>
      </w:r>
    </w:p>
    <w:p w14:paraId="4FB639C5" w14:textId="487D3836" w:rsidR="00646785" w:rsidRPr="00D05340" w:rsidRDefault="00646785" w:rsidP="00293639">
      <w:pPr>
        <w:numPr>
          <w:ilvl w:val="0"/>
          <w:numId w:val="21"/>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أبعاد البراعة التنظيمية (المرونة، التكيف، سرعة الاستجابة، الابتكار</w:t>
      </w:r>
      <w:r w:rsidR="00293639" w:rsidRPr="00D05340">
        <w:rPr>
          <w:rFonts w:ascii="Traditional Arabic" w:eastAsia="Times New Roman" w:hAnsi="Traditional Arabic" w:cs="Traditional Arabic" w:hint="cs"/>
          <w:sz w:val="32"/>
          <w:szCs w:val="32"/>
          <w:rtl/>
        </w:rPr>
        <w:t>)</w:t>
      </w:r>
    </w:p>
    <w:p w14:paraId="1CD30978" w14:textId="454EBBE1" w:rsidR="00646785" w:rsidRPr="00D05340" w:rsidRDefault="00293639" w:rsidP="00293639">
      <w:pPr>
        <w:bidi/>
        <w:spacing w:after="200" w:line="360" w:lineRule="auto"/>
        <w:jc w:val="both"/>
        <w:rPr>
          <w:rFonts w:ascii="Traditional Arabic" w:eastAsia="Times New Roman" w:hAnsi="Traditional Arabic" w:cs="Traditional Arabic"/>
          <w:sz w:val="32"/>
          <w:szCs w:val="32"/>
          <w:rtl/>
        </w:rPr>
      </w:pPr>
      <w:r w:rsidRPr="00D05340">
        <w:rPr>
          <w:rFonts w:ascii="Traditional Arabic" w:eastAsia="Times New Roman" w:hAnsi="Traditional Arabic" w:cs="Traditional Arabic" w:hint="cs"/>
          <w:sz w:val="32"/>
          <w:szCs w:val="32"/>
          <w:rtl/>
        </w:rPr>
        <w:t>سوف تخضع</w:t>
      </w:r>
      <w:r w:rsidR="00646785" w:rsidRPr="00D05340">
        <w:rPr>
          <w:rFonts w:ascii="Traditional Arabic" w:eastAsia="Times New Roman" w:hAnsi="Traditional Arabic" w:cs="Traditional Arabic"/>
          <w:sz w:val="32"/>
          <w:szCs w:val="32"/>
          <w:rtl/>
        </w:rPr>
        <w:t xml:space="preserve"> الاستبانة للتحكيم العلمي من قبل عدد من المختصين في إدارة الموارد البشرية والإدارة العامة لضمان صدق المحتوى، كما </w:t>
      </w:r>
      <w:r w:rsidRPr="00D05340">
        <w:rPr>
          <w:rFonts w:ascii="Traditional Arabic" w:eastAsia="Times New Roman" w:hAnsi="Traditional Arabic" w:cs="Traditional Arabic" w:hint="cs"/>
          <w:sz w:val="32"/>
          <w:szCs w:val="32"/>
          <w:rtl/>
        </w:rPr>
        <w:t>سوف يتم</w:t>
      </w:r>
      <w:r w:rsidR="00646785" w:rsidRPr="00D05340">
        <w:rPr>
          <w:rFonts w:ascii="Traditional Arabic" w:eastAsia="Times New Roman" w:hAnsi="Traditional Arabic" w:cs="Traditional Arabic"/>
          <w:sz w:val="32"/>
          <w:szCs w:val="32"/>
          <w:rtl/>
        </w:rPr>
        <w:t xml:space="preserve"> اختبار ثباتها إحصائيًا باستخدام معامل كرونباخ ألفا</w:t>
      </w:r>
      <w:r w:rsidR="00646785" w:rsidRPr="00D05340">
        <w:rPr>
          <w:rFonts w:ascii="Traditional Arabic" w:eastAsia="Times New Roman" w:hAnsi="Traditional Arabic" w:cs="Traditional Arabic"/>
          <w:sz w:val="32"/>
          <w:szCs w:val="32"/>
        </w:rPr>
        <w:t xml:space="preserve"> (Cronbach’s Alpha).</w:t>
      </w:r>
      <w:r w:rsidRPr="00D05340">
        <w:rPr>
          <w:rFonts w:ascii="Traditional Arabic" w:eastAsia="Times New Roman" w:hAnsi="Traditional Arabic" w:cs="Traditional Arabic" w:hint="cs"/>
          <w:sz w:val="32"/>
          <w:szCs w:val="32"/>
          <w:rtl/>
        </w:rPr>
        <w:t>.</w:t>
      </w:r>
    </w:p>
    <w:p w14:paraId="788A7EB3" w14:textId="77777777" w:rsidR="00293639" w:rsidRPr="00D05340" w:rsidRDefault="00293639" w:rsidP="00293639">
      <w:pPr>
        <w:bidi/>
        <w:spacing w:after="200" w:line="360" w:lineRule="auto"/>
        <w:jc w:val="both"/>
        <w:rPr>
          <w:rFonts w:ascii="Traditional Arabic" w:eastAsia="Times New Roman" w:hAnsi="Traditional Arabic" w:cs="Traditional Arabic"/>
          <w:sz w:val="32"/>
          <w:szCs w:val="32"/>
        </w:rPr>
      </w:pPr>
    </w:p>
    <w:p w14:paraId="671EFE55" w14:textId="43BD03FC" w:rsidR="00646785" w:rsidRPr="00D05340" w:rsidRDefault="00646785" w:rsidP="00646785">
      <w:pPr>
        <w:bidi/>
        <w:spacing w:after="200" w:line="360" w:lineRule="auto"/>
        <w:jc w:val="both"/>
        <w:rPr>
          <w:rFonts w:ascii="Traditional Arabic" w:eastAsia="Times New Roman" w:hAnsi="Traditional Arabic" w:cs="Traditional Arabic"/>
          <w:b/>
          <w:bCs/>
          <w:sz w:val="32"/>
          <w:szCs w:val="32"/>
        </w:rPr>
      </w:pPr>
      <w:r w:rsidRPr="00D05340">
        <w:rPr>
          <w:rFonts w:ascii="Traditional Arabic" w:eastAsia="Times New Roman" w:hAnsi="Traditional Arabic" w:cs="Traditional Arabic"/>
          <w:b/>
          <w:bCs/>
          <w:sz w:val="32"/>
          <w:szCs w:val="32"/>
          <w:rtl/>
        </w:rPr>
        <w:t>ثانيًا: البيانات الثانوية</w:t>
      </w:r>
      <w:r w:rsidR="00293639" w:rsidRPr="00D05340">
        <w:rPr>
          <w:rFonts w:ascii="Traditional Arabic" w:eastAsia="Times New Roman" w:hAnsi="Traditional Arabic" w:cs="Traditional Arabic" w:hint="cs"/>
          <w:b/>
          <w:bCs/>
          <w:sz w:val="32"/>
          <w:szCs w:val="32"/>
          <w:rtl/>
        </w:rPr>
        <w:t xml:space="preserve"> </w:t>
      </w:r>
      <w:r w:rsidRPr="00D05340">
        <w:rPr>
          <w:rFonts w:ascii="Traditional Arabic" w:eastAsia="Times New Roman" w:hAnsi="Traditional Arabic" w:cs="Traditional Arabic"/>
          <w:b/>
          <w:bCs/>
          <w:sz w:val="32"/>
          <w:szCs w:val="32"/>
        </w:rPr>
        <w:t xml:space="preserve"> (Secondary Data)</w:t>
      </w:r>
    </w:p>
    <w:p w14:paraId="2B0FF67F" w14:textId="42F7788F" w:rsidR="00646785" w:rsidRPr="00D05340" w:rsidRDefault="00293639" w:rsidP="00293639">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hint="cs"/>
          <w:sz w:val="32"/>
          <w:szCs w:val="32"/>
          <w:rtl/>
        </w:rPr>
        <w:t>سوف يتم</w:t>
      </w:r>
      <w:r w:rsidR="00646785" w:rsidRPr="00D05340">
        <w:rPr>
          <w:rFonts w:ascii="Traditional Arabic" w:eastAsia="Times New Roman" w:hAnsi="Traditional Arabic" w:cs="Traditional Arabic"/>
          <w:sz w:val="32"/>
          <w:szCs w:val="32"/>
          <w:rtl/>
        </w:rPr>
        <w:t xml:space="preserve"> الاعتماد على مجموعة من المصادر الثانوية لدعم الإطار النظري وبناء النموذج المفاهيمي، و</w:t>
      </w:r>
      <w:r w:rsidRPr="00D05340">
        <w:rPr>
          <w:rFonts w:ascii="Traditional Arabic" w:eastAsia="Times New Roman" w:hAnsi="Traditional Arabic" w:cs="Traditional Arabic" w:hint="cs"/>
          <w:sz w:val="32"/>
          <w:szCs w:val="32"/>
          <w:rtl/>
        </w:rPr>
        <w:t>تشمل</w:t>
      </w:r>
      <w:r w:rsidR="00646785" w:rsidRPr="00D05340">
        <w:rPr>
          <w:rFonts w:ascii="Traditional Arabic" w:eastAsia="Times New Roman" w:hAnsi="Traditional Arabic" w:cs="Traditional Arabic"/>
          <w:sz w:val="32"/>
          <w:szCs w:val="32"/>
          <w:rtl/>
        </w:rPr>
        <w:t xml:space="preserve"> هذه المصادر</w:t>
      </w:r>
      <w:r w:rsidR="00646785" w:rsidRPr="00D05340">
        <w:rPr>
          <w:rFonts w:ascii="Traditional Arabic" w:eastAsia="Times New Roman" w:hAnsi="Traditional Arabic" w:cs="Traditional Arabic"/>
          <w:sz w:val="32"/>
          <w:szCs w:val="32"/>
        </w:rPr>
        <w:t>:</w:t>
      </w:r>
    </w:p>
    <w:p w14:paraId="1E702408" w14:textId="77777777" w:rsidR="00646785" w:rsidRPr="00D05340" w:rsidRDefault="00646785" w:rsidP="00646785">
      <w:pPr>
        <w:numPr>
          <w:ilvl w:val="0"/>
          <w:numId w:val="22"/>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الدراسات السابقة المنشورة في الدوريات المحكمة باللغة العربية والإنجليزية، والتي تناولت العلاقة بين الموارد البشرية الاستراتيجية والبراعة التنظيمية</w:t>
      </w:r>
      <w:r w:rsidRPr="00D05340">
        <w:rPr>
          <w:rFonts w:ascii="Traditional Arabic" w:eastAsia="Times New Roman" w:hAnsi="Traditional Arabic" w:cs="Traditional Arabic"/>
          <w:sz w:val="32"/>
          <w:szCs w:val="32"/>
        </w:rPr>
        <w:t>.</w:t>
      </w:r>
    </w:p>
    <w:p w14:paraId="4F22FBBB" w14:textId="77777777" w:rsidR="00646785" w:rsidRPr="00D05340" w:rsidRDefault="00646785" w:rsidP="00646785">
      <w:pPr>
        <w:numPr>
          <w:ilvl w:val="0"/>
          <w:numId w:val="22"/>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الكتب والمراجع العلمية المتخصصة في إدارة الموارد البشرية، والإدارة الاستراتيجية، والسلوك التنظيمي</w:t>
      </w:r>
      <w:r w:rsidRPr="00D05340">
        <w:rPr>
          <w:rFonts w:ascii="Traditional Arabic" w:eastAsia="Times New Roman" w:hAnsi="Traditional Arabic" w:cs="Traditional Arabic"/>
          <w:sz w:val="32"/>
          <w:szCs w:val="32"/>
        </w:rPr>
        <w:t>.</w:t>
      </w:r>
    </w:p>
    <w:p w14:paraId="0C2010F3" w14:textId="346272DA" w:rsidR="00646785" w:rsidRPr="00D05340" w:rsidRDefault="00646785" w:rsidP="008E3A29">
      <w:pPr>
        <w:numPr>
          <w:ilvl w:val="0"/>
          <w:numId w:val="22"/>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التقارير الرسمية والإحصاءات الحكومية المنشورة عبر المواقع الرسمية للجهات التابعة لوزارة الإعلام السعودية (مثل: الموقع الرسمي للوزارة، الهيئة العامة</w:t>
      </w:r>
      <w:r w:rsidR="00E31EA9">
        <w:rPr>
          <w:rFonts w:ascii="Traditional Arabic" w:eastAsia="Times New Roman" w:hAnsi="Traditional Arabic" w:cs="Traditional Arabic" w:hint="cs"/>
          <w:sz w:val="32"/>
          <w:szCs w:val="32"/>
          <w:rtl/>
        </w:rPr>
        <w:t xml:space="preserve"> لتنظيم</w:t>
      </w:r>
      <w:r w:rsidRPr="00D05340">
        <w:rPr>
          <w:rFonts w:ascii="Traditional Arabic" w:eastAsia="Times New Roman" w:hAnsi="Traditional Arabic" w:cs="Traditional Arabic"/>
          <w:sz w:val="32"/>
          <w:szCs w:val="32"/>
          <w:rtl/>
        </w:rPr>
        <w:t xml:space="preserve"> </w:t>
      </w:r>
      <w:r w:rsidR="00E31EA9">
        <w:rPr>
          <w:rFonts w:ascii="Traditional Arabic" w:eastAsia="Times New Roman" w:hAnsi="Traditional Arabic" w:cs="Traditional Arabic" w:hint="cs"/>
          <w:sz w:val="32"/>
          <w:szCs w:val="32"/>
          <w:rtl/>
        </w:rPr>
        <w:t>ا</w:t>
      </w:r>
      <w:r w:rsidRPr="00D05340">
        <w:rPr>
          <w:rFonts w:ascii="Traditional Arabic" w:eastAsia="Times New Roman" w:hAnsi="Traditional Arabic" w:cs="Traditional Arabic"/>
          <w:sz w:val="32"/>
          <w:szCs w:val="32"/>
          <w:rtl/>
        </w:rPr>
        <w:t xml:space="preserve">لإعلام، </w:t>
      </w:r>
      <w:r w:rsidRPr="00D05340">
        <w:rPr>
          <w:rFonts w:ascii="Traditional Arabic" w:eastAsia="Times New Roman" w:hAnsi="Traditional Arabic" w:cs="Traditional Arabic"/>
          <w:sz w:val="32"/>
          <w:szCs w:val="32"/>
        </w:rPr>
        <w:t>SPA</w:t>
      </w:r>
      <w:r w:rsidRPr="00D05340">
        <w:rPr>
          <w:rFonts w:ascii="Traditional Arabic" w:eastAsia="Times New Roman" w:hAnsi="Traditional Arabic" w:cs="Traditional Arabic"/>
          <w:sz w:val="32"/>
          <w:szCs w:val="32"/>
          <w:rtl/>
        </w:rPr>
        <w:t>، وغيرها</w:t>
      </w:r>
      <w:r w:rsidR="008E3A29">
        <w:rPr>
          <w:rFonts w:ascii="Traditional Arabic" w:eastAsia="Times New Roman" w:hAnsi="Traditional Arabic" w:cs="Traditional Arabic" w:hint="cs"/>
          <w:sz w:val="32"/>
          <w:szCs w:val="32"/>
          <w:rtl/>
        </w:rPr>
        <w:t>)</w:t>
      </w:r>
      <w:r w:rsidRPr="00D05340">
        <w:rPr>
          <w:rFonts w:ascii="Traditional Arabic" w:eastAsia="Times New Roman" w:hAnsi="Traditional Arabic" w:cs="Traditional Arabic"/>
          <w:sz w:val="32"/>
          <w:szCs w:val="32"/>
        </w:rPr>
        <w:t>.</w:t>
      </w:r>
    </w:p>
    <w:p w14:paraId="4536EFDA" w14:textId="77777777" w:rsidR="00646785" w:rsidRPr="00D05340" w:rsidRDefault="00646785" w:rsidP="00646785">
      <w:pPr>
        <w:numPr>
          <w:ilvl w:val="0"/>
          <w:numId w:val="22"/>
        </w:num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lastRenderedPageBreak/>
        <w:t>قواعد البيانات الإلكترونية الأكاديمية مثل</w:t>
      </w:r>
      <w:r w:rsidRPr="00D05340">
        <w:rPr>
          <w:rFonts w:ascii="Traditional Arabic" w:eastAsia="Times New Roman" w:hAnsi="Traditional Arabic" w:cs="Traditional Arabic"/>
          <w:sz w:val="32"/>
          <w:szCs w:val="32"/>
        </w:rPr>
        <w:t>: Google Scholar</w:t>
      </w:r>
      <w:r w:rsidRPr="00D05340">
        <w:rPr>
          <w:rFonts w:ascii="Traditional Arabic" w:eastAsia="Times New Roman" w:hAnsi="Traditional Arabic" w:cs="Traditional Arabic"/>
          <w:sz w:val="32"/>
          <w:szCs w:val="32"/>
          <w:rtl/>
        </w:rPr>
        <w:t xml:space="preserve">، </w:t>
      </w:r>
      <w:r w:rsidRPr="00D05340">
        <w:rPr>
          <w:rFonts w:ascii="Traditional Arabic" w:eastAsia="Times New Roman" w:hAnsi="Traditional Arabic" w:cs="Traditional Arabic"/>
          <w:sz w:val="32"/>
          <w:szCs w:val="32"/>
        </w:rPr>
        <w:t>Scopus</w:t>
      </w:r>
      <w:r w:rsidRPr="00D05340">
        <w:rPr>
          <w:rFonts w:ascii="Traditional Arabic" w:eastAsia="Times New Roman" w:hAnsi="Traditional Arabic" w:cs="Traditional Arabic"/>
          <w:sz w:val="32"/>
          <w:szCs w:val="32"/>
          <w:rtl/>
        </w:rPr>
        <w:t xml:space="preserve">، </w:t>
      </w:r>
      <w:r w:rsidRPr="00D05340">
        <w:rPr>
          <w:rFonts w:ascii="Traditional Arabic" w:eastAsia="Times New Roman" w:hAnsi="Traditional Arabic" w:cs="Traditional Arabic"/>
          <w:sz w:val="32"/>
          <w:szCs w:val="32"/>
        </w:rPr>
        <w:t>ScienceDirect</w:t>
      </w:r>
      <w:r w:rsidRPr="00D05340">
        <w:rPr>
          <w:rFonts w:ascii="Traditional Arabic" w:eastAsia="Times New Roman" w:hAnsi="Traditional Arabic" w:cs="Traditional Arabic"/>
          <w:sz w:val="32"/>
          <w:szCs w:val="32"/>
          <w:rtl/>
        </w:rPr>
        <w:t>، المنهل، وأطروحات الجامعات</w:t>
      </w:r>
      <w:r w:rsidRPr="00D05340">
        <w:rPr>
          <w:rFonts w:ascii="Traditional Arabic" w:eastAsia="Times New Roman" w:hAnsi="Traditional Arabic" w:cs="Traditional Arabic"/>
          <w:sz w:val="32"/>
          <w:szCs w:val="32"/>
        </w:rPr>
        <w:t>.</w:t>
      </w:r>
    </w:p>
    <w:p w14:paraId="679C5329" w14:textId="3D12807F" w:rsidR="00646785" w:rsidRPr="00D05340" w:rsidRDefault="00293639" w:rsidP="00646785">
      <w:pPr>
        <w:bidi/>
        <w:spacing w:after="200"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hint="cs"/>
          <w:sz w:val="32"/>
          <w:szCs w:val="32"/>
          <w:rtl/>
        </w:rPr>
        <w:t>سوف تساهم</w:t>
      </w:r>
      <w:r w:rsidR="00646785" w:rsidRPr="00D05340">
        <w:rPr>
          <w:rFonts w:ascii="Traditional Arabic" w:eastAsia="Times New Roman" w:hAnsi="Traditional Arabic" w:cs="Traditional Arabic"/>
          <w:sz w:val="32"/>
          <w:szCs w:val="32"/>
          <w:rtl/>
        </w:rPr>
        <w:t xml:space="preserve"> هذه البيانات الثانوية في دعم الفرضيات النظرية وتوضيح المفاهيم وتعزيز الجانب التحليلي للدراسة</w:t>
      </w:r>
      <w:r w:rsidR="00646785" w:rsidRPr="00D05340">
        <w:rPr>
          <w:rFonts w:ascii="Traditional Arabic" w:eastAsia="Times New Roman" w:hAnsi="Traditional Arabic" w:cs="Traditional Arabic"/>
          <w:sz w:val="32"/>
          <w:szCs w:val="32"/>
        </w:rPr>
        <w:t>.</w:t>
      </w:r>
    </w:p>
    <w:p w14:paraId="477E233B" w14:textId="77777777" w:rsidR="00646785" w:rsidRPr="00D05340" w:rsidRDefault="00646785" w:rsidP="00553DC2">
      <w:pPr>
        <w:bidi/>
        <w:spacing w:after="200" w:line="360" w:lineRule="auto"/>
        <w:jc w:val="both"/>
        <w:rPr>
          <w:rFonts w:ascii="Traditional Arabic" w:eastAsia="Times New Roman" w:hAnsi="Traditional Arabic" w:cs="Traditional Arabic"/>
          <w:b/>
          <w:bCs/>
          <w:sz w:val="32"/>
          <w:szCs w:val="32"/>
          <w:rtl/>
        </w:rPr>
      </w:pPr>
    </w:p>
    <w:p w14:paraId="57230A99" w14:textId="61D7E3C2" w:rsidR="00C61182" w:rsidRPr="00D05340" w:rsidRDefault="00C61182" w:rsidP="00646785">
      <w:pPr>
        <w:bidi/>
        <w:spacing w:after="200" w:line="360" w:lineRule="auto"/>
        <w:jc w:val="both"/>
        <w:rPr>
          <w:rFonts w:ascii="Traditional Arabic" w:hAnsi="Traditional Arabic" w:cs="Traditional Arabic"/>
          <w:b/>
          <w:bCs/>
          <w:color w:val="00B0F0"/>
          <w:sz w:val="32"/>
          <w:szCs w:val="32"/>
          <w:u w:val="single"/>
          <w:rtl/>
        </w:rPr>
      </w:pPr>
      <w:r w:rsidRPr="00D05340">
        <w:rPr>
          <w:rFonts w:ascii="Traditional Arabic" w:hAnsi="Traditional Arabic" w:cs="Traditional Arabic"/>
          <w:b/>
          <w:bCs/>
          <w:color w:val="00B0F0"/>
          <w:sz w:val="32"/>
          <w:szCs w:val="32"/>
          <w:u w:val="single"/>
          <w:rtl/>
        </w:rPr>
        <w:t>المعالجات الإحصائية  المقترحة:</w:t>
      </w:r>
    </w:p>
    <w:p w14:paraId="15B9648B" w14:textId="7DA3FC0D" w:rsidR="00001346" w:rsidRDefault="00001346" w:rsidP="00001346">
      <w:pPr>
        <w:bidi/>
        <w:spacing w:before="100" w:beforeAutospacing="1" w:after="100" w:afterAutospacing="1" w:line="240" w:lineRule="auto"/>
        <w:outlineLvl w:val="1"/>
        <w:rPr>
          <w:rFonts w:ascii="Traditional Arabic" w:eastAsia="Times New Roman" w:hAnsi="Traditional Arabic" w:cs="Traditional Arabic"/>
          <w:sz w:val="32"/>
          <w:szCs w:val="32"/>
          <w:rtl/>
        </w:rPr>
      </w:pPr>
      <w:r w:rsidRPr="00D05340">
        <w:rPr>
          <w:rFonts w:ascii="Traditional Arabic" w:eastAsia="Times New Roman" w:hAnsi="Traditional Arabic" w:cs="Traditional Arabic"/>
          <w:sz w:val="32"/>
          <w:szCs w:val="32"/>
          <w:rtl/>
        </w:rPr>
        <w:t>الجدول في ال</w:t>
      </w:r>
      <w:r w:rsidR="000B10AF">
        <w:rPr>
          <w:rFonts w:ascii="Traditional Arabic" w:eastAsia="Times New Roman" w:hAnsi="Traditional Arabic" w:cs="Traditional Arabic" w:hint="cs"/>
          <w:sz w:val="32"/>
          <w:szCs w:val="32"/>
          <w:rtl/>
        </w:rPr>
        <w:t>أ</w:t>
      </w:r>
      <w:r w:rsidRPr="00D05340">
        <w:rPr>
          <w:rFonts w:ascii="Traditional Arabic" w:eastAsia="Times New Roman" w:hAnsi="Traditional Arabic" w:cs="Traditional Arabic"/>
          <w:sz w:val="32"/>
          <w:szCs w:val="32"/>
          <w:rtl/>
        </w:rPr>
        <w:t>سفل يوضح ال</w:t>
      </w:r>
      <w:r w:rsidR="000B10AF">
        <w:rPr>
          <w:rFonts w:ascii="Traditional Arabic" w:eastAsia="Times New Roman" w:hAnsi="Traditional Arabic" w:cs="Traditional Arabic" w:hint="cs"/>
          <w:sz w:val="32"/>
          <w:szCs w:val="32"/>
          <w:rtl/>
        </w:rPr>
        <w:t>أ</w:t>
      </w:r>
      <w:r w:rsidRPr="00D05340">
        <w:rPr>
          <w:rFonts w:ascii="Traditional Arabic" w:eastAsia="Times New Roman" w:hAnsi="Traditional Arabic" w:cs="Traditional Arabic"/>
          <w:sz w:val="32"/>
          <w:szCs w:val="32"/>
          <w:rtl/>
        </w:rPr>
        <w:t>ساليب ال</w:t>
      </w:r>
      <w:r w:rsidR="000B10AF">
        <w:rPr>
          <w:rFonts w:ascii="Traditional Arabic" w:eastAsia="Times New Roman" w:hAnsi="Traditional Arabic" w:cs="Traditional Arabic" w:hint="cs"/>
          <w:sz w:val="32"/>
          <w:szCs w:val="32"/>
          <w:rtl/>
        </w:rPr>
        <w:t>إ</w:t>
      </w:r>
      <w:r w:rsidRPr="00D05340">
        <w:rPr>
          <w:rFonts w:ascii="Traditional Arabic" w:eastAsia="Times New Roman" w:hAnsi="Traditional Arabic" w:cs="Traditional Arabic"/>
          <w:sz w:val="32"/>
          <w:szCs w:val="32"/>
          <w:rtl/>
        </w:rPr>
        <w:t>حصائية التي سوف تستخدم في تحليل بيانات الدراسة.</w:t>
      </w:r>
    </w:p>
    <w:p w14:paraId="4DC0C6D9" w14:textId="77777777" w:rsidR="003871AB" w:rsidRDefault="003871AB" w:rsidP="003871AB">
      <w:pPr>
        <w:bidi/>
        <w:spacing w:before="100" w:beforeAutospacing="1" w:after="100" w:afterAutospacing="1" w:line="240" w:lineRule="auto"/>
        <w:jc w:val="center"/>
        <w:outlineLvl w:val="1"/>
        <w:rPr>
          <w:rFonts w:ascii="Traditional Arabic" w:eastAsia="Times New Roman" w:hAnsi="Traditional Arabic" w:cs="Traditional Arabic"/>
          <w:sz w:val="28"/>
          <w:szCs w:val="28"/>
          <w:rtl/>
        </w:rPr>
      </w:pPr>
    </w:p>
    <w:p w14:paraId="06E298FC" w14:textId="12C5DBEB" w:rsidR="003871AB" w:rsidRPr="003871AB" w:rsidRDefault="003871AB" w:rsidP="003871AB">
      <w:pPr>
        <w:bidi/>
        <w:spacing w:before="100" w:beforeAutospacing="1" w:after="100" w:afterAutospacing="1" w:line="240" w:lineRule="auto"/>
        <w:jc w:val="center"/>
        <w:outlineLvl w:val="1"/>
        <w:rPr>
          <w:rFonts w:ascii="Traditional Arabic" w:eastAsia="Times New Roman" w:hAnsi="Traditional Arabic" w:cs="Traditional Arabic"/>
          <w:b/>
          <w:bCs/>
          <w:sz w:val="28"/>
          <w:szCs w:val="28"/>
        </w:rPr>
      </w:pPr>
      <w:r w:rsidRPr="003871AB">
        <w:rPr>
          <w:rFonts w:ascii="Traditional Arabic" w:eastAsia="Times New Roman" w:hAnsi="Traditional Arabic" w:cs="Traditional Arabic" w:hint="cs"/>
          <w:sz w:val="28"/>
          <w:szCs w:val="28"/>
          <w:rtl/>
        </w:rPr>
        <w:t xml:space="preserve">جدول رقم (3): </w:t>
      </w:r>
      <w:r w:rsidRPr="003871AB">
        <w:rPr>
          <w:rFonts w:ascii="Traditional Arabic" w:eastAsia="Times New Roman" w:hAnsi="Traditional Arabic" w:cs="Traditional Arabic"/>
          <w:sz w:val="28"/>
          <w:szCs w:val="28"/>
          <w:rtl/>
        </w:rPr>
        <w:t>الاساليب الاحصائية التي سوف تستخدم في تحليل بيانات الدراسة</w:t>
      </w:r>
    </w:p>
    <w:tbl>
      <w:tblPr>
        <w:tblStyle w:val="a7"/>
        <w:bidiVisual/>
        <w:tblW w:w="0" w:type="auto"/>
        <w:tblLook w:val="04A0" w:firstRow="1" w:lastRow="0" w:firstColumn="1" w:lastColumn="0" w:noHBand="0" w:noVBand="1"/>
      </w:tblPr>
      <w:tblGrid>
        <w:gridCol w:w="1323"/>
        <w:gridCol w:w="2773"/>
        <w:gridCol w:w="3137"/>
        <w:gridCol w:w="1289"/>
      </w:tblGrid>
      <w:tr w:rsidR="00001346" w:rsidRPr="00D05340" w14:paraId="40BC3D23" w14:textId="77777777" w:rsidTr="00001346">
        <w:tc>
          <w:tcPr>
            <w:tcW w:w="0" w:type="auto"/>
            <w:hideMark/>
          </w:tcPr>
          <w:p w14:paraId="0452DEAC" w14:textId="77777777" w:rsidR="00001346" w:rsidRPr="00D05340" w:rsidRDefault="00001346" w:rsidP="00001346">
            <w:pPr>
              <w:bidi/>
              <w:spacing w:after="0" w:line="240" w:lineRule="auto"/>
              <w:jc w:val="center"/>
              <w:rPr>
                <w:rFonts w:ascii="Traditional Arabic" w:eastAsia="Times New Roman" w:hAnsi="Traditional Arabic" w:cs="Traditional Arabic"/>
                <w:b/>
                <w:bCs/>
                <w:sz w:val="28"/>
                <w:szCs w:val="28"/>
              </w:rPr>
            </w:pPr>
            <w:r w:rsidRPr="00D05340">
              <w:rPr>
                <w:rFonts w:ascii="Traditional Arabic" w:eastAsia="Times New Roman" w:hAnsi="Traditional Arabic" w:cs="Traditional Arabic"/>
                <w:b/>
                <w:bCs/>
                <w:sz w:val="28"/>
                <w:szCs w:val="28"/>
                <w:rtl/>
              </w:rPr>
              <w:t>نوع التحليل</w:t>
            </w:r>
          </w:p>
        </w:tc>
        <w:tc>
          <w:tcPr>
            <w:tcW w:w="0" w:type="auto"/>
            <w:hideMark/>
          </w:tcPr>
          <w:p w14:paraId="7A352C78" w14:textId="77777777" w:rsidR="00001346" w:rsidRPr="00D05340" w:rsidRDefault="00001346" w:rsidP="00001346">
            <w:pPr>
              <w:bidi/>
              <w:spacing w:after="0" w:line="240" w:lineRule="auto"/>
              <w:jc w:val="center"/>
              <w:rPr>
                <w:rFonts w:ascii="Traditional Arabic" w:eastAsia="Times New Roman" w:hAnsi="Traditional Arabic" w:cs="Traditional Arabic"/>
                <w:b/>
                <w:bCs/>
                <w:sz w:val="28"/>
                <w:szCs w:val="28"/>
              </w:rPr>
            </w:pPr>
            <w:r w:rsidRPr="00D05340">
              <w:rPr>
                <w:rFonts w:ascii="Traditional Arabic" w:eastAsia="Times New Roman" w:hAnsi="Traditional Arabic" w:cs="Traditional Arabic"/>
                <w:b/>
                <w:bCs/>
                <w:sz w:val="28"/>
                <w:szCs w:val="28"/>
                <w:rtl/>
              </w:rPr>
              <w:t>الهدف</w:t>
            </w:r>
          </w:p>
        </w:tc>
        <w:tc>
          <w:tcPr>
            <w:tcW w:w="0" w:type="auto"/>
            <w:hideMark/>
          </w:tcPr>
          <w:p w14:paraId="64F7FC71" w14:textId="77777777" w:rsidR="00001346" w:rsidRPr="00D05340" w:rsidRDefault="00001346" w:rsidP="00001346">
            <w:pPr>
              <w:bidi/>
              <w:spacing w:after="0" w:line="240" w:lineRule="auto"/>
              <w:jc w:val="center"/>
              <w:rPr>
                <w:rFonts w:ascii="Traditional Arabic" w:eastAsia="Times New Roman" w:hAnsi="Traditional Arabic" w:cs="Traditional Arabic"/>
                <w:b/>
                <w:bCs/>
                <w:sz w:val="28"/>
                <w:szCs w:val="28"/>
              </w:rPr>
            </w:pPr>
            <w:r w:rsidRPr="00D05340">
              <w:rPr>
                <w:rFonts w:ascii="Traditional Arabic" w:eastAsia="Times New Roman" w:hAnsi="Traditional Arabic" w:cs="Traditional Arabic"/>
                <w:b/>
                <w:bCs/>
                <w:sz w:val="28"/>
                <w:szCs w:val="28"/>
                <w:rtl/>
              </w:rPr>
              <w:t>الأسلوب الإحصائي</w:t>
            </w:r>
          </w:p>
        </w:tc>
        <w:tc>
          <w:tcPr>
            <w:tcW w:w="0" w:type="auto"/>
            <w:hideMark/>
          </w:tcPr>
          <w:p w14:paraId="189C56D7" w14:textId="77777777" w:rsidR="00001346" w:rsidRPr="00D05340" w:rsidRDefault="00001346" w:rsidP="00001346">
            <w:pPr>
              <w:bidi/>
              <w:spacing w:after="0" w:line="240" w:lineRule="auto"/>
              <w:jc w:val="center"/>
              <w:rPr>
                <w:rFonts w:ascii="Traditional Arabic" w:eastAsia="Times New Roman" w:hAnsi="Traditional Arabic" w:cs="Traditional Arabic"/>
                <w:b/>
                <w:bCs/>
                <w:sz w:val="28"/>
                <w:szCs w:val="28"/>
              </w:rPr>
            </w:pPr>
            <w:r w:rsidRPr="00D05340">
              <w:rPr>
                <w:rFonts w:ascii="Traditional Arabic" w:eastAsia="Times New Roman" w:hAnsi="Traditional Arabic" w:cs="Traditional Arabic"/>
                <w:b/>
                <w:bCs/>
                <w:sz w:val="28"/>
                <w:szCs w:val="28"/>
                <w:rtl/>
              </w:rPr>
              <w:t>البرنامج المقترح</w:t>
            </w:r>
          </w:p>
        </w:tc>
      </w:tr>
      <w:tr w:rsidR="00001346" w:rsidRPr="00D05340" w14:paraId="62A2F665" w14:textId="77777777" w:rsidTr="00001346">
        <w:tc>
          <w:tcPr>
            <w:tcW w:w="0" w:type="auto"/>
            <w:hideMark/>
          </w:tcPr>
          <w:p w14:paraId="1082490D"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b/>
                <w:bCs/>
                <w:sz w:val="28"/>
                <w:szCs w:val="28"/>
                <w:rtl/>
              </w:rPr>
              <w:t>التحليل الوصفي</w:t>
            </w:r>
          </w:p>
        </w:tc>
        <w:tc>
          <w:tcPr>
            <w:tcW w:w="0" w:type="auto"/>
            <w:hideMark/>
          </w:tcPr>
          <w:p w14:paraId="71392953"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وصف خصائص العينة وتوزيع الاستجابات</w:t>
            </w:r>
          </w:p>
        </w:tc>
        <w:tc>
          <w:tcPr>
            <w:tcW w:w="0" w:type="auto"/>
            <w:hideMark/>
          </w:tcPr>
          <w:p w14:paraId="38F3386F"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التكرارات، النسب المئوية، المتوسطات الحسابية، والانحرافات المعيارية</w:t>
            </w:r>
          </w:p>
        </w:tc>
        <w:tc>
          <w:tcPr>
            <w:tcW w:w="0" w:type="auto"/>
            <w:hideMark/>
          </w:tcPr>
          <w:p w14:paraId="65C8C7B9"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SPSS / Excel</w:t>
            </w:r>
          </w:p>
        </w:tc>
      </w:tr>
      <w:tr w:rsidR="00001346" w:rsidRPr="00D05340" w14:paraId="2B322694" w14:textId="77777777" w:rsidTr="00001346">
        <w:tc>
          <w:tcPr>
            <w:tcW w:w="0" w:type="auto"/>
            <w:hideMark/>
          </w:tcPr>
          <w:p w14:paraId="20D37A01"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b/>
                <w:bCs/>
                <w:sz w:val="28"/>
                <w:szCs w:val="28"/>
                <w:rtl/>
              </w:rPr>
              <w:t>اختبار صدق الأداة</w:t>
            </w:r>
          </w:p>
        </w:tc>
        <w:tc>
          <w:tcPr>
            <w:tcW w:w="0" w:type="auto"/>
            <w:hideMark/>
          </w:tcPr>
          <w:p w14:paraId="6BFC2EC2" w14:textId="25486E43"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التأكد من صدق المحاور (التحقق من البناء</w:t>
            </w:r>
            <w:r w:rsidRPr="00D05340">
              <w:rPr>
                <w:rFonts w:ascii="Traditional Arabic" w:eastAsia="Times New Roman" w:hAnsi="Traditional Arabic" w:cs="Traditional Arabic" w:hint="cs"/>
                <w:sz w:val="28"/>
                <w:szCs w:val="28"/>
                <w:rtl/>
              </w:rPr>
              <w:t>)</w:t>
            </w:r>
          </w:p>
        </w:tc>
        <w:tc>
          <w:tcPr>
            <w:tcW w:w="0" w:type="auto"/>
            <w:hideMark/>
          </w:tcPr>
          <w:p w14:paraId="449AC3BC"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التحليل العاملي الاستكشافي</w:t>
            </w:r>
            <w:r w:rsidRPr="00D05340">
              <w:rPr>
                <w:rFonts w:ascii="Traditional Arabic" w:eastAsia="Times New Roman" w:hAnsi="Traditional Arabic" w:cs="Traditional Arabic"/>
                <w:sz w:val="28"/>
                <w:szCs w:val="28"/>
              </w:rPr>
              <w:t xml:space="preserve"> (Exploratory Factor Analysis - EFA)</w:t>
            </w:r>
          </w:p>
        </w:tc>
        <w:tc>
          <w:tcPr>
            <w:tcW w:w="0" w:type="auto"/>
            <w:hideMark/>
          </w:tcPr>
          <w:p w14:paraId="0053D57F"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SPSS / AMOS</w:t>
            </w:r>
          </w:p>
        </w:tc>
      </w:tr>
      <w:tr w:rsidR="00001346" w:rsidRPr="00D05340" w14:paraId="0DD987CA" w14:textId="77777777" w:rsidTr="00001346">
        <w:tc>
          <w:tcPr>
            <w:tcW w:w="0" w:type="auto"/>
            <w:hideMark/>
          </w:tcPr>
          <w:p w14:paraId="3DFED382"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b/>
                <w:bCs/>
                <w:sz w:val="28"/>
                <w:szCs w:val="28"/>
                <w:rtl/>
              </w:rPr>
              <w:t>اختبار ثبات الأداة</w:t>
            </w:r>
          </w:p>
        </w:tc>
        <w:tc>
          <w:tcPr>
            <w:tcW w:w="0" w:type="auto"/>
            <w:hideMark/>
          </w:tcPr>
          <w:p w14:paraId="7404FEFC"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التأكد من اتساق المحاور داخليًا</w:t>
            </w:r>
          </w:p>
        </w:tc>
        <w:tc>
          <w:tcPr>
            <w:tcW w:w="0" w:type="auto"/>
            <w:hideMark/>
          </w:tcPr>
          <w:p w14:paraId="7EB704CD"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معامل كرونباخ ألفا</w:t>
            </w:r>
            <w:r w:rsidRPr="00D05340">
              <w:rPr>
                <w:rFonts w:ascii="Traditional Arabic" w:eastAsia="Times New Roman" w:hAnsi="Traditional Arabic" w:cs="Traditional Arabic"/>
                <w:sz w:val="28"/>
                <w:szCs w:val="28"/>
              </w:rPr>
              <w:t xml:space="preserve"> (Cronbach's Alpha)</w:t>
            </w:r>
          </w:p>
        </w:tc>
        <w:tc>
          <w:tcPr>
            <w:tcW w:w="0" w:type="auto"/>
            <w:hideMark/>
          </w:tcPr>
          <w:p w14:paraId="4E402508"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SPSS</w:t>
            </w:r>
          </w:p>
        </w:tc>
      </w:tr>
      <w:tr w:rsidR="00001346" w:rsidRPr="00D05340" w14:paraId="32AD122F" w14:textId="77777777" w:rsidTr="00001346">
        <w:tc>
          <w:tcPr>
            <w:tcW w:w="0" w:type="auto"/>
            <w:hideMark/>
          </w:tcPr>
          <w:p w14:paraId="6D3B08BA"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b/>
                <w:bCs/>
                <w:sz w:val="28"/>
                <w:szCs w:val="28"/>
                <w:rtl/>
              </w:rPr>
              <w:t>تحليل الفرضيات الرئيسية</w:t>
            </w:r>
          </w:p>
        </w:tc>
        <w:tc>
          <w:tcPr>
            <w:tcW w:w="0" w:type="auto"/>
            <w:hideMark/>
          </w:tcPr>
          <w:p w14:paraId="0CCAB831"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اختبار تأثير ممارسات إدارة الموارد البشرية الاستراتيجية (بأبعادها) على البراعة التنظيمية</w:t>
            </w:r>
          </w:p>
        </w:tc>
        <w:tc>
          <w:tcPr>
            <w:tcW w:w="0" w:type="auto"/>
            <w:hideMark/>
          </w:tcPr>
          <w:p w14:paraId="66BAC99E" w14:textId="77777777" w:rsidR="00001346" w:rsidRPr="00D05340" w:rsidRDefault="00001346" w:rsidP="00001346">
            <w:pPr>
              <w:bidi/>
              <w:spacing w:after="0" w:line="240" w:lineRule="auto"/>
              <w:rPr>
                <w:rFonts w:ascii="Traditional Arabic" w:eastAsia="Times New Roman" w:hAnsi="Traditional Arabic" w:cs="Traditional Arabic"/>
                <w:sz w:val="28"/>
                <w:szCs w:val="28"/>
                <w:rtl/>
              </w:rPr>
            </w:pPr>
            <w:r w:rsidRPr="00D05340">
              <w:rPr>
                <w:rFonts w:ascii="Traditional Arabic" w:eastAsia="Times New Roman" w:hAnsi="Traditional Arabic" w:cs="Traditional Arabic"/>
                <w:sz w:val="28"/>
                <w:szCs w:val="28"/>
              </w:rPr>
              <w:t xml:space="preserve">- </w:t>
            </w:r>
            <w:r w:rsidRPr="00D05340">
              <w:rPr>
                <w:rFonts w:ascii="Traditional Arabic" w:eastAsia="Times New Roman" w:hAnsi="Traditional Arabic" w:cs="Traditional Arabic"/>
                <w:sz w:val="28"/>
                <w:szCs w:val="28"/>
                <w:rtl/>
              </w:rPr>
              <w:t>معامل الارتباط</w:t>
            </w:r>
            <w:r w:rsidRPr="00D05340">
              <w:rPr>
                <w:rFonts w:ascii="Traditional Arabic" w:eastAsia="Times New Roman" w:hAnsi="Traditional Arabic" w:cs="Traditional Arabic"/>
                <w:sz w:val="28"/>
                <w:szCs w:val="28"/>
              </w:rPr>
              <w:t xml:space="preserve"> (Pearson Correlation)</w:t>
            </w:r>
          </w:p>
          <w:p w14:paraId="5808E393" w14:textId="6D266727" w:rsidR="00001346" w:rsidRPr="00D05340" w:rsidRDefault="00001346" w:rsidP="00001346">
            <w:pPr>
              <w:bidi/>
              <w:spacing w:after="0"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32"/>
                <w:szCs w:val="32"/>
                <w:rtl/>
              </w:rPr>
              <w:t>الانحدار الخطي البسيط والمتعدد</w:t>
            </w:r>
          </w:p>
        </w:tc>
        <w:tc>
          <w:tcPr>
            <w:tcW w:w="0" w:type="auto"/>
            <w:hideMark/>
          </w:tcPr>
          <w:p w14:paraId="680F6BF2" w14:textId="77777777" w:rsidR="00001346" w:rsidRPr="00D05340" w:rsidRDefault="00001346" w:rsidP="00001346">
            <w:pPr>
              <w:bidi/>
              <w:spacing w:after="0" w:line="240" w:lineRule="auto"/>
              <w:rPr>
                <w:rFonts w:ascii="Traditional Arabic" w:eastAsia="Times New Roman" w:hAnsi="Traditional Arabic" w:cs="Traditional Arabic"/>
                <w:sz w:val="28"/>
                <w:szCs w:val="28"/>
              </w:rPr>
            </w:pPr>
          </w:p>
        </w:tc>
      </w:tr>
    </w:tbl>
    <w:p w14:paraId="48DEB8CB" w14:textId="77777777" w:rsidR="008A3C31" w:rsidRPr="00D05340" w:rsidRDefault="008A3C31" w:rsidP="00553DC2">
      <w:pPr>
        <w:bidi/>
        <w:spacing w:after="200" w:line="360" w:lineRule="auto"/>
        <w:jc w:val="both"/>
        <w:rPr>
          <w:rFonts w:ascii="Traditional Arabic" w:hAnsi="Traditional Arabic" w:cs="Traditional Arabic"/>
          <w:b/>
          <w:bCs/>
          <w:color w:val="00B0F0"/>
          <w:sz w:val="32"/>
          <w:szCs w:val="32"/>
          <w:u w:val="single"/>
          <w:rtl/>
        </w:rPr>
      </w:pPr>
    </w:p>
    <w:p w14:paraId="1F54D894" w14:textId="5AE7AC59" w:rsidR="008A3C31" w:rsidRPr="00D05340" w:rsidRDefault="007F4183" w:rsidP="0080063F">
      <w:pPr>
        <w:bidi/>
        <w:spacing w:after="200" w:line="360" w:lineRule="auto"/>
        <w:jc w:val="both"/>
        <w:rPr>
          <w:rFonts w:ascii="Traditional Arabic" w:hAnsi="Traditional Arabic" w:cs="Traditional Arabic"/>
          <w:color w:val="00B0F0"/>
          <w:sz w:val="32"/>
          <w:szCs w:val="32"/>
        </w:rPr>
      </w:pPr>
      <w:r w:rsidRPr="00D05340">
        <w:rPr>
          <w:rFonts w:ascii="Traditional Arabic" w:hAnsi="Traditional Arabic" w:cs="Traditional Arabic"/>
          <w:b/>
          <w:bCs/>
          <w:color w:val="00B0F0"/>
          <w:sz w:val="32"/>
          <w:szCs w:val="32"/>
          <w:u w:val="single"/>
          <w:rtl/>
        </w:rPr>
        <w:lastRenderedPageBreak/>
        <w:t>خطوات تنفيذ خطة الدراسة:</w:t>
      </w:r>
    </w:p>
    <w:p w14:paraId="0CA46A03"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تحديد مشكلة الدراسة وأهدافها</w:t>
      </w:r>
    </w:p>
    <w:p w14:paraId="1A83B96D" w14:textId="77777777" w:rsidR="008A3C31" w:rsidRPr="00D05340"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مراجعة الأدبيات السابقة ذات الصلة لتحديد الفجوات البحثية وصياغة مشكلة الدراسة وأهدافها بدقة</w:t>
      </w:r>
      <w:r w:rsidRPr="00D05340">
        <w:rPr>
          <w:rFonts w:ascii="Traditional Arabic" w:eastAsia="Times New Roman" w:hAnsi="Traditional Arabic" w:cs="Traditional Arabic"/>
          <w:sz w:val="32"/>
          <w:szCs w:val="32"/>
        </w:rPr>
        <w:t>.</w:t>
      </w:r>
    </w:p>
    <w:p w14:paraId="4A6D5740"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صياغة الفرضيات وأسئلة البحث</w:t>
      </w:r>
    </w:p>
    <w:p w14:paraId="5FB9051E" w14:textId="77777777" w:rsidR="008A3C31" w:rsidRPr="00D05340"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بناء الفرضيات البحثية الرئيسية والفرعية بناءً على مشكلة الدراسة وأهدافها</w:t>
      </w:r>
      <w:r w:rsidRPr="00D05340">
        <w:rPr>
          <w:rFonts w:ascii="Traditional Arabic" w:eastAsia="Times New Roman" w:hAnsi="Traditional Arabic" w:cs="Traditional Arabic"/>
          <w:sz w:val="32"/>
          <w:szCs w:val="32"/>
        </w:rPr>
        <w:t>.</w:t>
      </w:r>
    </w:p>
    <w:p w14:paraId="58064C0E"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تصميم الدراسة</w:t>
      </w:r>
    </w:p>
    <w:p w14:paraId="04A08E1B" w14:textId="04CBA9A1" w:rsidR="008A3C31" w:rsidRPr="00D05340"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 xml:space="preserve">اختيار المنهجية المناسبة </w:t>
      </w:r>
    </w:p>
    <w:p w14:paraId="1E784D32" w14:textId="14372A0E" w:rsidR="008A3C31" w:rsidRPr="00D05340"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 xml:space="preserve">تحديد متغيرات الدراسة </w:t>
      </w:r>
    </w:p>
    <w:p w14:paraId="0836312A" w14:textId="23552724" w:rsidR="008A3C31" w:rsidRPr="00D05340"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 xml:space="preserve">تصميم الأدوات المناسبة لجمع البيانات </w:t>
      </w:r>
    </w:p>
    <w:p w14:paraId="2208BC00"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تحديد مجتمع الدراسة وعينتها</w:t>
      </w:r>
    </w:p>
    <w:p w14:paraId="44211821" w14:textId="11E7A4AF" w:rsidR="008A3C31" w:rsidRPr="00D05340" w:rsidRDefault="008A3C31" w:rsidP="008D1C47">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 xml:space="preserve">تعريف المجتمع المستهدف </w:t>
      </w:r>
    </w:p>
    <w:p w14:paraId="44A77272" w14:textId="49B5134A" w:rsidR="008A3C31" w:rsidRPr="00D05340"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تحديد حجم العينة وطريقة اختيارها (عينة عشوائية بسيطة أو طبقية حسب الحاجة</w:t>
      </w:r>
      <w:r w:rsidR="0080063F" w:rsidRPr="00D05340">
        <w:rPr>
          <w:rFonts w:ascii="Traditional Arabic" w:eastAsia="Times New Roman" w:hAnsi="Traditional Arabic" w:cs="Traditional Arabic" w:hint="cs"/>
          <w:sz w:val="32"/>
          <w:szCs w:val="32"/>
          <w:rtl/>
        </w:rPr>
        <w:t>)</w:t>
      </w:r>
    </w:p>
    <w:p w14:paraId="66DE4BB0"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تصميم أداة جمع البيانات</w:t>
      </w:r>
    </w:p>
    <w:p w14:paraId="790A9BB1" w14:textId="77777777" w:rsidR="008A3C31" w:rsidRPr="00D05340"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إعداد الاستبانة أو أدوات أخرى بناءً على متغيرات الدراسة</w:t>
      </w:r>
      <w:r w:rsidRPr="00D05340">
        <w:rPr>
          <w:rFonts w:ascii="Traditional Arabic" w:eastAsia="Times New Roman" w:hAnsi="Traditional Arabic" w:cs="Traditional Arabic"/>
          <w:sz w:val="32"/>
          <w:szCs w:val="32"/>
        </w:rPr>
        <w:t>.</w:t>
      </w:r>
    </w:p>
    <w:p w14:paraId="2703BFB3" w14:textId="3E5F86D7" w:rsidR="008A3C31" w:rsidRPr="00D05340"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التحقق من صلاحية الأداة ومصداقيتها (اختبار صدق وثبات الأداة</w:t>
      </w:r>
      <w:r w:rsidR="0080063F" w:rsidRPr="00D05340">
        <w:rPr>
          <w:rFonts w:ascii="Traditional Arabic" w:eastAsia="Times New Roman" w:hAnsi="Traditional Arabic" w:cs="Traditional Arabic" w:hint="cs"/>
          <w:sz w:val="32"/>
          <w:szCs w:val="32"/>
          <w:rtl/>
        </w:rPr>
        <w:t>)</w:t>
      </w:r>
    </w:p>
    <w:p w14:paraId="55DE0D2B"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الحصول على الموافقات اللازمة</w:t>
      </w:r>
    </w:p>
    <w:p w14:paraId="42AC0DFA" w14:textId="570501C6" w:rsidR="008A3C31" w:rsidRPr="00D05340" w:rsidRDefault="00430A78" w:rsidP="008D1C47">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sz w:val="32"/>
          <w:szCs w:val="32"/>
          <w:rtl/>
        </w:rPr>
        <w:t>التنسيق مع الجهات</w:t>
      </w:r>
      <w:r w:rsidR="008A3C31" w:rsidRPr="00D05340">
        <w:rPr>
          <w:rFonts w:ascii="Traditional Arabic" w:eastAsia="Times New Roman" w:hAnsi="Traditional Arabic" w:cs="Traditional Arabic"/>
          <w:sz w:val="32"/>
          <w:szCs w:val="32"/>
          <w:rtl/>
        </w:rPr>
        <w:t xml:space="preserve"> المختصة لأخذ الموافقات وجمع البيانات</w:t>
      </w:r>
      <w:r w:rsidR="008A3C31" w:rsidRPr="00D05340">
        <w:rPr>
          <w:rFonts w:ascii="Traditional Arabic" w:eastAsia="Times New Roman" w:hAnsi="Traditional Arabic" w:cs="Traditional Arabic"/>
          <w:sz w:val="32"/>
          <w:szCs w:val="32"/>
        </w:rPr>
        <w:t>.</w:t>
      </w:r>
    </w:p>
    <w:p w14:paraId="5DA1041D"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جمع البيانات</w:t>
      </w:r>
    </w:p>
    <w:p w14:paraId="0527B3A4" w14:textId="77777777" w:rsidR="008A3C31" w:rsidRPr="00D05340"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lastRenderedPageBreak/>
        <w:t>توزيع أدوات الدراسة على العينة المستهدفة</w:t>
      </w:r>
      <w:r w:rsidRPr="00D05340">
        <w:rPr>
          <w:rFonts w:ascii="Traditional Arabic" w:eastAsia="Times New Roman" w:hAnsi="Traditional Arabic" w:cs="Traditional Arabic"/>
          <w:sz w:val="32"/>
          <w:szCs w:val="32"/>
        </w:rPr>
        <w:t>.</w:t>
      </w:r>
    </w:p>
    <w:p w14:paraId="5F234BA8" w14:textId="77777777" w:rsidR="008A3C31" w:rsidRPr="00D05340"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متابعة جمع الاستبانات والتأكد من اكتمالها وصحتها</w:t>
      </w:r>
      <w:r w:rsidRPr="00D05340">
        <w:rPr>
          <w:rFonts w:ascii="Traditional Arabic" w:eastAsia="Times New Roman" w:hAnsi="Traditional Arabic" w:cs="Traditional Arabic"/>
          <w:sz w:val="32"/>
          <w:szCs w:val="32"/>
        </w:rPr>
        <w:t>.</w:t>
      </w:r>
    </w:p>
    <w:p w14:paraId="681A44E5"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معالجة البيانات وإدخالها</w:t>
      </w:r>
    </w:p>
    <w:p w14:paraId="52D1EF5D" w14:textId="71C4C7E2" w:rsidR="008A3C31" w:rsidRPr="00D05340"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 xml:space="preserve">إدخال البيانات في البرامج الإحصائية </w:t>
      </w:r>
    </w:p>
    <w:p w14:paraId="5AD8AB62" w14:textId="03BAC44C" w:rsidR="008A3C31" w:rsidRPr="00D05340"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تنظيف البيانات وفحصها (معالجة القيم المفقودة، والتحقق من الاتساق</w:t>
      </w:r>
      <w:r w:rsidR="0080063F" w:rsidRPr="00D05340">
        <w:rPr>
          <w:rFonts w:ascii="Traditional Arabic" w:eastAsia="Times New Roman" w:hAnsi="Traditional Arabic" w:cs="Traditional Arabic" w:hint="cs"/>
          <w:sz w:val="32"/>
          <w:szCs w:val="32"/>
          <w:rtl/>
        </w:rPr>
        <w:t>)</w:t>
      </w:r>
    </w:p>
    <w:p w14:paraId="4533BE52"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التحليل الإحصائي</w:t>
      </w:r>
    </w:p>
    <w:p w14:paraId="6D1922F5" w14:textId="11088E63" w:rsidR="008A3C31" w:rsidRPr="00D05340"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تطبيق المعالجات الإحصائية المحددة (الوصفية، الارتباطية، الانحدار، اختبارات الفروق</w:t>
      </w:r>
      <w:r w:rsidR="0080063F" w:rsidRPr="00D05340">
        <w:rPr>
          <w:rFonts w:ascii="Traditional Arabic" w:eastAsia="Times New Roman" w:hAnsi="Traditional Arabic" w:cs="Traditional Arabic" w:hint="cs"/>
          <w:sz w:val="32"/>
          <w:szCs w:val="32"/>
          <w:rtl/>
        </w:rPr>
        <w:t>)</w:t>
      </w:r>
    </w:p>
    <w:p w14:paraId="785F02AB" w14:textId="77777777" w:rsidR="008A3C31" w:rsidRPr="00D05340"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تفسير النتائج وربطها بأهداف الدراسة</w:t>
      </w:r>
      <w:r w:rsidRPr="00D05340">
        <w:rPr>
          <w:rFonts w:ascii="Traditional Arabic" w:eastAsia="Times New Roman" w:hAnsi="Traditional Arabic" w:cs="Traditional Arabic"/>
          <w:sz w:val="32"/>
          <w:szCs w:val="32"/>
        </w:rPr>
        <w:t>.</w:t>
      </w:r>
    </w:p>
    <w:p w14:paraId="6FF64916"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كتابة تقرير الدراسة</w:t>
      </w:r>
    </w:p>
    <w:p w14:paraId="565ED1A5" w14:textId="77777777" w:rsidR="008A3C31" w:rsidRPr="00D05340"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إعداد مسودة كاملة للدراسة تشمل المقدمة، الأدبيات، المنهجية، النتائج، المناقشة، التوصيات، والخاتمة</w:t>
      </w:r>
      <w:r w:rsidRPr="00D05340">
        <w:rPr>
          <w:rFonts w:ascii="Traditional Arabic" w:eastAsia="Times New Roman" w:hAnsi="Traditional Arabic" w:cs="Traditional Arabic"/>
          <w:sz w:val="32"/>
          <w:szCs w:val="32"/>
        </w:rPr>
        <w:t>.</w:t>
      </w:r>
    </w:p>
    <w:p w14:paraId="643992EF" w14:textId="77777777" w:rsidR="008A3C31" w:rsidRPr="00D05340"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b/>
          <w:bCs/>
          <w:sz w:val="32"/>
          <w:szCs w:val="32"/>
          <w:rtl/>
        </w:rPr>
        <w:t>عرض النتائج والتوصيات</w:t>
      </w:r>
    </w:p>
    <w:p w14:paraId="0FC6C11B" w14:textId="77777777" w:rsidR="008A3C31" w:rsidRPr="00D05340"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تقديم نتائج الدراسة إلى الجهات المختصة والمعنيين</w:t>
      </w:r>
      <w:r w:rsidRPr="00D05340">
        <w:rPr>
          <w:rFonts w:ascii="Traditional Arabic" w:eastAsia="Times New Roman" w:hAnsi="Traditional Arabic" w:cs="Traditional Arabic"/>
          <w:sz w:val="32"/>
          <w:szCs w:val="32"/>
        </w:rPr>
        <w:t>.</w:t>
      </w:r>
    </w:p>
    <w:p w14:paraId="56EAD9F6" w14:textId="77777777" w:rsidR="008A3C31" w:rsidRPr="00D05340"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D05340">
        <w:rPr>
          <w:rFonts w:ascii="Traditional Arabic" w:eastAsia="Times New Roman" w:hAnsi="Traditional Arabic" w:cs="Traditional Arabic"/>
          <w:sz w:val="32"/>
          <w:szCs w:val="32"/>
          <w:rtl/>
        </w:rPr>
        <w:t>اقتراح توصيات عملية بناءً على النتائج</w:t>
      </w:r>
      <w:r w:rsidRPr="00D05340">
        <w:rPr>
          <w:rFonts w:ascii="Traditional Arabic" w:eastAsia="Times New Roman" w:hAnsi="Traditional Arabic" w:cs="Traditional Arabic"/>
          <w:sz w:val="32"/>
          <w:szCs w:val="32"/>
        </w:rPr>
        <w:t>.</w:t>
      </w:r>
    </w:p>
    <w:p w14:paraId="3249864F" w14:textId="77777777" w:rsidR="00A150CE" w:rsidRPr="00D05340" w:rsidRDefault="00A150CE" w:rsidP="00553DC2">
      <w:pPr>
        <w:bidi/>
        <w:spacing w:after="200" w:line="360" w:lineRule="auto"/>
        <w:jc w:val="both"/>
        <w:rPr>
          <w:rFonts w:ascii="Traditional Arabic" w:hAnsi="Traditional Arabic" w:cs="Traditional Arabic"/>
          <w:color w:val="000000" w:themeColor="text1"/>
          <w:sz w:val="32"/>
          <w:szCs w:val="32"/>
          <w:rtl/>
        </w:rPr>
      </w:pPr>
    </w:p>
    <w:p w14:paraId="6F224F86" w14:textId="77777777" w:rsidR="00D05340" w:rsidRPr="00D05340" w:rsidRDefault="00D05340" w:rsidP="00D05340">
      <w:pPr>
        <w:bidi/>
        <w:spacing w:after="200" w:line="360" w:lineRule="auto"/>
        <w:jc w:val="both"/>
        <w:rPr>
          <w:rFonts w:ascii="Traditional Arabic" w:hAnsi="Traditional Arabic" w:cs="Traditional Arabic"/>
          <w:color w:val="000000" w:themeColor="text1"/>
          <w:sz w:val="32"/>
          <w:szCs w:val="32"/>
          <w:rtl/>
        </w:rPr>
      </w:pPr>
    </w:p>
    <w:p w14:paraId="1251AC76" w14:textId="77777777" w:rsidR="00D05340" w:rsidRPr="00D05340" w:rsidRDefault="00D05340" w:rsidP="00D05340">
      <w:pPr>
        <w:bidi/>
        <w:spacing w:after="200" w:line="360" w:lineRule="auto"/>
        <w:jc w:val="both"/>
        <w:rPr>
          <w:rFonts w:ascii="Traditional Arabic" w:hAnsi="Traditional Arabic" w:cs="Traditional Arabic"/>
          <w:color w:val="000000" w:themeColor="text1"/>
          <w:sz w:val="32"/>
          <w:szCs w:val="32"/>
          <w:rtl/>
        </w:rPr>
      </w:pPr>
    </w:p>
    <w:p w14:paraId="246072B2" w14:textId="77777777" w:rsidR="00D05340" w:rsidRPr="00D05340" w:rsidRDefault="00D05340" w:rsidP="00D05340">
      <w:pPr>
        <w:bidi/>
        <w:spacing w:after="200" w:line="360" w:lineRule="auto"/>
        <w:jc w:val="both"/>
        <w:rPr>
          <w:rFonts w:ascii="Traditional Arabic" w:hAnsi="Traditional Arabic" w:cs="Traditional Arabic"/>
          <w:color w:val="000000" w:themeColor="text1"/>
          <w:sz w:val="32"/>
          <w:szCs w:val="32"/>
          <w:rtl/>
        </w:rPr>
      </w:pPr>
    </w:p>
    <w:p w14:paraId="5C9FFBA1" w14:textId="35404009" w:rsidR="0042549A" w:rsidRPr="00D05340" w:rsidRDefault="007F4183" w:rsidP="00553DC2">
      <w:pPr>
        <w:bidi/>
        <w:spacing w:after="200" w:line="360" w:lineRule="auto"/>
        <w:jc w:val="both"/>
        <w:rPr>
          <w:rFonts w:ascii="Traditional Arabic" w:hAnsi="Traditional Arabic" w:cs="Traditional Arabic"/>
          <w:sz w:val="32"/>
          <w:szCs w:val="32"/>
          <w:shd w:val="clear" w:color="auto" w:fill="FFFFFF"/>
          <w:rtl/>
        </w:rPr>
      </w:pPr>
      <w:r w:rsidRPr="00D05340">
        <w:rPr>
          <w:rFonts w:ascii="Traditional Arabic" w:hAnsi="Traditional Arabic" w:cs="Traditional Arabic"/>
          <w:b/>
          <w:bCs/>
          <w:color w:val="00B0F0"/>
          <w:sz w:val="32"/>
          <w:szCs w:val="32"/>
          <w:u w:val="single"/>
          <w:rtl/>
        </w:rPr>
        <w:lastRenderedPageBreak/>
        <w:t>المراجع:</w:t>
      </w:r>
    </w:p>
    <w:p w14:paraId="2E91A018" w14:textId="6F14BB65" w:rsidR="008D1C47" w:rsidRPr="00D05340" w:rsidRDefault="00D05340" w:rsidP="00D05340">
      <w:pPr>
        <w:bidi/>
        <w:spacing w:after="200" w:line="360" w:lineRule="auto"/>
        <w:jc w:val="both"/>
        <w:rPr>
          <w:rFonts w:ascii="Traditional Arabic" w:hAnsi="Traditional Arabic" w:cs="Traditional Arabic"/>
          <w:b/>
          <w:bCs/>
          <w:sz w:val="32"/>
          <w:szCs w:val="32"/>
          <w:shd w:val="clear" w:color="auto" w:fill="FFFFFF"/>
          <w:rtl/>
        </w:rPr>
      </w:pPr>
      <w:r w:rsidRPr="00D05340">
        <w:rPr>
          <w:rFonts w:ascii="Traditional Arabic" w:hAnsi="Traditional Arabic" w:cs="Traditional Arabic"/>
          <w:b/>
          <w:bCs/>
          <w:sz w:val="32"/>
          <w:szCs w:val="32"/>
          <w:shd w:val="clear" w:color="auto" w:fill="FFFFFF"/>
          <w:rtl/>
        </w:rPr>
        <w:t>اولا: المراجع العربية</w:t>
      </w:r>
    </w:p>
    <w:p w14:paraId="7C872BBD" w14:textId="2B32BB5A" w:rsidR="00D05340" w:rsidRPr="00D05340" w:rsidRDefault="00D05340" w:rsidP="00685EA7">
      <w:pPr>
        <w:numPr>
          <w:ilvl w:val="0"/>
          <w:numId w:val="26"/>
        </w:numPr>
        <w:bidi/>
        <w:spacing w:before="100" w:beforeAutospacing="1" w:after="100" w:afterAutospacing="1"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الأزوري، ب. خ. ع. (</w:t>
      </w:r>
      <w:r w:rsidRPr="00D05340">
        <w:rPr>
          <w:rFonts w:ascii="Traditional Arabic" w:eastAsia="Times New Roman" w:hAnsi="Traditional Arabic" w:cs="Traditional Arabic" w:hint="cs"/>
          <w:sz w:val="28"/>
          <w:szCs w:val="28"/>
          <w:rtl/>
        </w:rPr>
        <w:t>2022).</w:t>
      </w:r>
      <w:r w:rsidRPr="00D05340">
        <w:rPr>
          <w:rFonts w:ascii="Traditional Arabic" w:eastAsia="Times New Roman" w:hAnsi="Traditional Arabic" w:cs="Traditional Arabic"/>
          <w:sz w:val="28"/>
          <w:szCs w:val="28"/>
        </w:rPr>
        <w:t xml:space="preserve"> </w:t>
      </w:r>
      <w:r w:rsidRPr="00D05340">
        <w:rPr>
          <w:rFonts w:ascii="Traditional Arabic" w:eastAsia="Times New Roman" w:hAnsi="Traditional Arabic" w:cs="Traditional Arabic"/>
          <w:i/>
          <w:iCs/>
          <w:sz w:val="28"/>
          <w:szCs w:val="28"/>
          <w:rtl/>
        </w:rPr>
        <w:t>دور التخطيط الإستراتيجي للموارد البشرية في تحقيق تميز الأداء المؤسسي: دراسة ميدانية على الموظفين العاملين في الإدارة العامة للتعليم بمحافظة جدة</w:t>
      </w:r>
      <w:r w:rsidRPr="00D05340">
        <w:rPr>
          <w:rFonts w:ascii="Traditional Arabic" w:eastAsia="Times New Roman" w:hAnsi="Traditional Arabic" w:cs="Traditional Arabic"/>
          <w:sz w:val="28"/>
          <w:szCs w:val="28"/>
          <w:rtl/>
        </w:rPr>
        <w:t xml:space="preserve"> </w:t>
      </w:r>
      <w:r w:rsidR="00685EA7">
        <w:rPr>
          <w:rFonts w:ascii="Traditional Arabic" w:eastAsia="Times New Roman" w:hAnsi="Traditional Arabic" w:cs="Traditional Arabic"/>
          <w:sz w:val="28"/>
          <w:szCs w:val="28"/>
        </w:rPr>
        <w:t>)</w:t>
      </w:r>
      <w:r w:rsidRPr="00D05340">
        <w:rPr>
          <w:rFonts w:ascii="Traditional Arabic" w:eastAsia="Times New Roman" w:hAnsi="Traditional Arabic" w:cs="Traditional Arabic"/>
          <w:sz w:val="28"/>
          <w:szCs w:val="28"/>
          <w:rtl/>
        </w:rPr>
        <w:t>رسالة ماجستير غير منشورة</w:t>
      </w:r>
      <w:r w:rsidR="00685EA7">
        <w:rPr>
          <w:rFonts w:ascii="Traditional Arabic" w:eastAsia="Times New Roman" w:hAnsi="Traditional Arabic" w:cs="Traditional Arabic"/>
          <w:sz w:val="28"/>
          <w:szCs w:val="28"/>
        </w:rPr>
        <w:t>(</w:t>
      </w:r>
      <w:r w:rsidRPr="00D05340">
        <w:rPr>
          <w:rFonts w:ascii="Traditional Arabic" w:eastAsia="Times New Roman" w:hAnsi="Traditional Arabic" w:cs="Traditional Arabic"/>
          <w:sz w:val="28"/>
          <w:szCs w:val="28"/>
          <w:rtl/>
        </w:rPr>
        <w:t>. جامعة الملك عبد العزيز، كلية الاقتصاد والإدارة، قسم الإدارة العامة</w:t>
      </w:r>
      <w:r w:rsidRPr="00D05340">
        <w:rPr>
          <w:rFonts w:ascii="Traditional Arabic" w:eastAsia="Times New Roman" w:hAnsi="Traditional Arabic" w:cs="Traditional Arabic"/>
          <w:sz w:val="28"/>
          <w:szCs w:val="28"/>
        </w:rPr>
        <w:t>.</w:t>
      </w:r>
    </w:p>
    <w:p w14:paraId="68A5F29C" w14:textId="45F49677" w:rsidR="00D05340" w:rsidRPr="00D05340" w:rsidRDefault="00D05340" w:rsidP="008E3A29">
      <w:pPr>
        <w:numPr>
          <w:ilvl w:val="0"/>
          <w:numId w:val="26"/>
        </w:numPr>
        <w:bidi/>
        <w:spacing w:before="100" w:beforeAutospacing="1" w:after="100" w:afterAutospacing="1"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أبو جنيب، ج. ط. ع. (</w:t>
      </w:r>
      <w:r w:rsidRPr="00D05340">
        <w:rPr>
          <w:rFonts w:ascii="Traditional Arabic" w:eastAsia="Times New Roman" w:hAnsi="Traditional Arabic" w:cs="Traditional Arabic" w:hint="cs"/>
          <w:sz w:val="28"/>
          <w:szCs w:val="28"/>
          <w:rtl/>
        </w:rPr>
        <w:t>2020).</w:t>
      </w:r>
      <w:r w:rsidRPr="00D05340">
        <w:rPr>
          <w:rFonts w:ascii="Traditional Arabic" w:eastAsia="Times New Roman" w:hAnsi="Traditional Arabic" w:cs="Traditional Arabic"/>
          <w:sz w:val="28"/>
          <w:szCs w:val="28"/>
        </w:rPr>
        <w:t xml:space="preserve"> </w:t>
      </w:r>
      <w:r w:rsidRPr="00D05340">
        <w:rPr>
          <w:rFonts w:ascii="Traditional Arabic" w:eastAsia="Times New Roman" w:hAnsi="Traditional Arabic" w:cs="Traditional Arabic"/>
          <w:i/>
          <w:iCs/>
          <w:sz w:val="28"/>
          <w:szCs w:val="28"/>
          <w:rtl/>
        </w:rPr>
        <w:t>التفكير الاستراتيجي وعلاقته بالبراعة التنظيمية لدى رؤساء الأقسام الأكاديمية في الجامعات الأردنية الخاصة بمحافظة العاصمة عمان من وجهة نظر أعضاء هيئة التدريس</w:t>
      </w:r>
      <w:r w:rsidRPr="00D05340">
        <w:rPr>
          <w:rFonts w:ascii="Traditional Arabic" w:eastAsia="Times New Roman" w:hAnsi="Traditional Arabic" w:cs="Traditional Arabic"/>
          <w:sz w:val="28"/>
          <w:szCs w:val="28"/>
          <w:rtl/>
        </w:rPr>
        <w:t xml:space="preserve"> </w:t>
      </w:r>
      <w:r w:rsidR="008E3A29">
        <w:rPr>
          <w:rFonts w:ascii="Traditional Arabic" w:eastAsia="Times New Roman" w:hAnsi="Traditional Arabic" w:cs="Traditional Arabic" w:hint="cs"/>
          <w:sz w:val="28"/>
          <w:szCs w:val="28"/>
          <w:rtl/>
        </w:rPr>
        <w:t>(</w:t>
      </w:r>
      <w:r w:rsidRPr="00D05340">
        <w:rPr>
          <w:rFonts w:ascii="Traditional Arabic" w:eastAsia="Times New Roman" w:hAnsi="Traditional Arabic" w:cs="Traditional Arabic"/>
          <w:sz w:val="28"/>
          <w:szCs w:val="28"/>
          <w:rtl/>
        </w:rPr>
        <w:t>رسالة ماجستير غير منشورة</w:t>
      </w:r>
      <w:r w:rsidR="008E3A29">
        <w:rPr>
          <w:rFonts w:ascii="Traditional Arabic" w:eastAsia="Times New Roman" w:hAnsi="Traditional Arabic" w:cs="Traditional Arabic" w:hint="cs"/>
          <w:sz w:val="28"/>
          <w:szCs w:val="28"/>
          <w:rtl/>
        </w:rPr>
        <w:t>)</w:t>
      </w:r>
      <w:r w:rsidRPr="00D05340">
        <w:rPr>
          <w:rFonts w:ascii="Traditional Arabic" w:eastAsia="Times New Roman" w:hAnsi="Traditional Arabic" w:cs="Traditional Arabic"/>
          <w:sz w:val="28"/>
          <w:szCs w:val="28"/>
          <w:rtl/>
        </w:rPr>
        <w:t>. جامعة الشرق الأوسط، كلية العلوم التربوية، قسم الإدارة والمناهج</w:t>
      </w:r>
      <w:r w:rsidRPr="00D05340">
        <w:rPr>
          <w:rFonts w:ascii="Traditional Arabic" w:eastAsia="Times New Roman" w:hAnsi="Traditional Arabic" w:cs="Traditional Arabic"/>
          <w:sz w:val="28"/>
          <w:szCs w:val="28"/>
        </w:rPr>
        <w:t>.</w:t>
      </w:r>
    </w:p>
    <w:p w14:paraId="41593BBD" w14:textId="77777777" w:rsidR="00D05340" w:rsidRPr="00D05340" w:rsidRDefault="00D05340" w:rsidP="00D05340">
      <w:pPr>
        <w:numPr>
          <w:ilvl w:val="0"/>
          <w:numId w:val="26"/>
        </w:numPr>
        <w:bidi/>
        <w:spacing w:before="100" w:beforeAutospacing="1" w:after="100" w:afterAutospacing="1"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أبوزيد، حمادة. (2021). أثر ممارسات إدارة الموارد البشرية الاستراتيجية على البراعة التنظيمية والأداء الابتكاري في ظل توسط دور الثقافة التنظيمية</w:t>
      </w:r>
      <w:r w:rsidRPr="00D05340">
        <w:rPr>
          <w:rFonts w:ascii="Traditional Arabic" w:eastAsia="Times New Roman" w:hAnsi="Traditional Arabic" w:cs="Traditional Arabic"/>
          <w:sz w:val="28"/>
          <w:szCs w:val="28"/>
        </w:rPr>
        <w:t xml:space="preserve">. </w:t>
      </w:r>
      <w:r w:rsidRPr="00D05340">
        <w:rPr>
          <w:rFonts w:ascii="Traditional Arabic" w:eastAsia="Times New Roman" w:hAnsi="Traditional Arabic" w:cs="Traditional Arabic"/>
          <w:i/>
          <w:iCs/>
          <w:sz w:val="28"/>
          <w:szCs w:val="28"/>
          <w:rtl/>
        </w:rPr>
        <w:t>المجلة العلمية للدراسات التجارية والبيئية – جامعة حلوان، 7</w:t>
      </w:r>
      <w:r w:rsidRPr="00D05340">
        <w:rPr>
          <w:rFonts w:ascii="Traditional Arabic" w:eastAsia="Times New Roman" w:hAnsi="Traditional Arabic" w:cs="Traditional Arabic"/>
          <w:sz w:val="28"/>
          <w:szCs w:val="28"/>
        </w:rPr>
        <w:t>(3)</w:t>
      </w:r>
      <w:r w:rsidRPr="00D05340">
        <w:rPr>
          <w:rFonts w:ascii="Traditional Arabic" w:eastAsia="Times New Roman" w:hAnsi="Traditional Arabic" w:cs="Traditional Arabic"/>
          <w:sz w:val="28"/>
          <w:szCs w:val="28"/>
          <w:rtl/>
        </w:rPr>
        <w:t xml:space="preserve">، </w:t>
      </w:r>
      <w:r w:rsidRPr="00D05340">
        <w:rPr>
          <w:rFonts w:ascii="Traditional Arabic" w:eastAsia="Times New Roman" w:hAnsi="Traditional Arabic" w:cs="Traditional Arabic"/>
          <w:sz w:val="28"/>
          <w:szCs w:val="28"/>
        </w:rPr>
        <w:t xml:space="preserve">1–3. </w:t>
      </w:r>
      <w:hyperlink r:id="rId10" w:history="1">
        <w:r w:rsidRPr="00D05340">
          <w:rPr>
            <w:rStyle w:val="Hyperlink"/>
            <w:rFonts w:ascii="Traditional Arabic" w:eastAsia="Times New Roman" w:hAnsi="Traditional Arabic" w:cs="Traditional Arabic"/>
            <w:sz w:val="28"/>
            <w:szCs w:val="28"/>
          </w:rPr>
          <w:t>https://doi.org/10.21608/jces.2021.168626</w:t>
        </w:r>
      </w:hyperlink>
    </w:p>
    <w:p w14:paraId="17559F2C" w14:textId="77777777" w:rsidR="00D05340" w:rsidRPr="00D05340" w:rsidRDefault="00D05340" w:rsidP="00D05340">
      <w:pPr>
        <w:numPr>
          <w:ilvl w:val="0"/>
          <w:numId w:val="26"/>
        </w:numPr>
        <w:bidi/>
        <w:spacing w:before="100" w:beforeAutospacing="1" w:after="100" w:afterAutospacing="1"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الحسن، ق. ح. (2022). تأثير التوجه الاستراتيجي في تحقيق البراعة التنظيمية: دراسة حالة الجامعة الوطنية الخاصة في محافظة حماة</w:t>
      </w:r>
      <w:r w:rsidRPr="00D05340">
        <w:rPr>
          <w:rFonts w:ascii="Traditional Arabic" w:eastAsia="Times New Roman" w:hAnsi="Traditional Arabic" w:cs="Traditional Arabic"/>
          <w:sz w:val="28"/>
          <w:szCs w:val="28"/>
        </w:rPr>
        <w:t xml:space="preserve">. </w:t>
      </w:r>
      <w:r w:rsidRPr="00D05340">
        <w:rPr>
          <w:rFonts w:ascii="Traditional Arabic" w:eastAsia="Times New Roman" w:hAnsi="Traditional Arabic" w:cs="Traditional Arabic"/>
          <w:i/>
          <w:iCs/>
          <w:sz w:val="28"/>
          <w:szCs w:val="28"/>
          <w:rtl/>
        </w:rPr>
        <w:t>مجلة جامعة البعث، 44</w:t>
      </w:r>
      <w:r w:rsidRPr="00D05340">
        <w:rPr>
          <w:rFonts w:ascii="Traditional Arabic" w:eastAsia="Times New Roman" w:hAnsi="Traditional Arabic" w:cs="Traditional Arabic"/>
          <w:sz w:val="28"/>
          <w:szCs w:val="28"/>
        </w:rPr>
        <w:t>(27)</w:t>
      </w:r>
      <w:r w:rsidRPr="00D05340">
        <w:rPr>
          <w:rFonts w:ascii="Traditional Arabic" w:eastAsia="Times New Roman" w:hAnsi="Traditional Arabic" w:cs="Traditional Arabic"/>
          <w:sz w:val="28"/>
          <w:szCs w:val="28"/>
          <w:rtl/>
        </w:rPr>
        <w:t xml:space="preserve">، </w:t>
      </w:r>
      <w:r w:rsidRPr="00D05340">
        <w:rPr>
          <w:rFonts w:ascii="Traditional Arabic" w:eastAsia="Times New Roman" w:hAnsi="Traditional Arabic" w:cs="Traditional Arabic"/>
          <w:sz w:val="28"/>
          <w:szCs w:val="28"/>
        </w:rPr>
        <w:t>115–136.</w:t>
      </w:r>
    </w:p>
    <w:p w14:paraId="4AC828D6" w14:textId="0F07B111" w:rsidR="00D05340" w:rsidRPr="00D05340" w:rsidRDefault="00D05340" w:rsidP="008E3A29">
      <w:pPr>
        <w:numPr>
          <w:ilvl w:val="0"/>
          <w:numId w:val="26"/>
        </w:numPr>
        <w:bidi/>
        <w:spacing w:before="100" w:beforeAutospacing="1" w:after="100" w:afterAutospacing="1"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حميد، أ. م. (2021</w:t>
      </w:r>
      <w:r w:rsidRPr="00D05340">
        <w:rPr>
          <w:rFonts w:ascii="Traditional Arabic" w:eastAsia="Times New Roman" w:hAnsi="Traditional Arabic" w:cs="Traditional Arabic" w:hint="cs"/>
          <w:sz w:val="28"/>
          <w:szCs w:val="28"/>
          <w:rtl/>
        </w:rPr>
        <w:t xml:space="preserve">). </w:t>
      </w:r>
      <w:r w:rsidRPr="00D05340">
        <w:rPr>
          <w:rFonts w:ascii="Traditional Arabic" w:eastAsia="Times New Roman" w:hAnsi="Traditional Arabic" w:cs="Traditional Arabic"/>
          <w:i/>
          <w:iCs/>
          <w:sz w:val="28"/>
          <w:szCs w:val="28"/>
          <w:rtl/>
        </w:rPr>
        <w:t>تأثير القيادة الاستراتيجية في البراعة التنظيمية: دراسة تحليلية لآراء عيّنة من القيادات في الشرطة الاتحادية العراقية</w:t>
      </w:r>
      <w:r w:rsidRPr="00D05340">
        <w:rPr>
          <w:rFonts w:ascii="Traditional Arabic" w:eastAsia="Times New Roman" w:hAnsi="Traditional Arabic" w:cs="Traditional Arabic"/>
          <w:sz w:val="28"/>
          <w:szCs w:val="28"/>
          <w:rtl/>
        </w:rPr>
        <w:t xml:space="preserve"> </w:t>
      </w:r>
      <w:r w:rsidR="008E3A29">
        <w:rPr>
          <w:rFonts w:ascii="Traditional Arabic" w:eastAsia="Times New Roman" w:hAnsi="Traditional Arabic" w:cs="Traditional Arabic" w:hint="cs"/>
          <w:sz w:val="28"/>
          <w:szCs w:val="28"/>
          <w:rtl/>
        </w:rPr>
        <w:t>(</w:t>
      </w:r>
      <w:r w:rsidRPr="00D05340">
        <w:rPr>
          <w:rFonts w:ascii="Traditional Arabic" w:eastAsia="Times New Roman" w:hAnsi="Traditional Arabic" w:cs="Traditional Arabic"/>
          <w:sz w:val="28"/>
          <w:szCs w:val="28"/>
          <w:rtl/>
        </w:rPr>
        <w:t>رسالة دبلوم عالي غير منشورة</w:t>
      </w:r>
      <w:r w:rsidR="008E3A29">
        <w:rPr>
          <w:rFonts w:ascii="Traditional Arabic" w:eastAsia="Times New Roman" w:hAnsi="Traditional Arabic" w:cs="Traditional Arabic" w:hint="cs"/>
          <w:sz w:val="28"/>
          <w:szCs w:val="28"/>
          <w:rtl/>
        </w:rPr>
        <w:t>)</w:t>
      </w:r>
      <w:r w:rsidRPr="00D05340">
        <w:rPr>
          <w:rFonts w:ascii="Traditional Arabic" w:eastAsia="Times New Roman" w:hAnsi="Traditional Arabic" w:cs="Traditional Arabic"/>
          <w:sz w:val="28"/>
          <w:szCs w:val="28"/>
          <w:rtl/>
        </w:rPr>
        <w:t>. كلية الإدارة والاقتصاد، جامعة كربلاء</w:t>
      </w:r>
      <w:r w:rsidRPr="00D05340">
        <w:rPr>
          <w:rFonts w:ascii="Traditional Arabic" w:eastAsia="Times New Roman" w:hAnsi="Traditional Arabic" w:cs="Traditional Arabic"/>
          <w:sz w:val="28"/>
          <w:szCs w:val="28"/>
        </w:rPr>
        <w:t>.</w:t>
      </w:r>
    </w:p>
    <w:p w14:paraId="7BD36903" w14:textId="77777777" w:rsidR="00D05340" w:rsidRPr="00D05340" w:rsidRDefault="00D05340" w:rsidP="00D05340">
      <w:pPr>
        <w:numPr>
          <w:ilvl w:val="0"/>
          <w:numId w:val="26"/>
        </w:numPr>
        <w:bidi/>
        <w:spacing w:before="100" w:beforeAutospacing="1" w:after="100" w:afterAutospacing="1"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حسن، م. ص.، خضير، ع. م.، وسبتي، أ. ن. (2021). دور عناصر التفكير الاستراتيجي في بناء البراعة التنظيمية: دراسة تحليلية لآراء المدراء في معمل أدوية سامراء</w:t>
      </w:r>
      <w:r w:rsidRPr="00D05340">
        <w:rPr>
          <w:rFonts w:ascii="Traditional Arabic" w:eastAsia="Times New Roman" w:hAnsi="Traditional Arabic" w:cs="Traditional Arabic"/>
          <w:sz w:val="28"/>
          <w:szCs w:val="28"/>
        </w:rPr>
        <w:t xml:space="preserve">. </w:t>
      </w:r>
      <w:r w:rsidRPr="00D05340">
        <w:rPr>
          <w:rFonts w:ascii="Traditional Arabic" w:eastAsia="Times New Roman" w:hAnsi="Traditional Arabic" w:cs="Traditional Arabic"/>
          <w:i/>
          <w:iCs/>
          <w:sz w:val="28"/>
          <w:szCs w:val="28"/>
          <w:rtl/>
        </w:rPr>
        <w:t>مجلة تكريت للعلوم الإدارية والاقتصادية، 17</w:t>
      </w:r>
      <w:r w:rsidRPr="00D05340">
        <w:rPr>
          <w:rFonts w:ascii="Traditional Arabic" w:eastAsia="Times New Roman" w:hAnsi="Traditional Arabic" w:cs="Traditional Arabic"/>
          <w:sz w:val="28"/>
          <w:szCs w:val="28"/>
        </w:rPr>
        <w:t>(53, 1)</w:t>
      </w:r>
      <w:r w:rsidRPr="00D05340">
        <w:rPr>
          <w:rFonts w:ascii="Traditional Arabic" w:eastAsia="Times New Roman" w:hAnsi="Traditional Arabic" w:cs="Traditional Arabic"/>
          <w:sz w:val="28"/>
          <w:szCs w:val="28"/>
          <w:rtl/>
        </w:rPr>
        <w:t xml:space="preserve">، </w:t>
      </w:r>
      <w:r w:rsidRPr="00D05340">
        <w:rPr>
          <w:rFonts w:ascii="Traditional Arabic" w:eastAsia="Times New Roman" w:hAnsi="Traditional Arabic" w:cs="Traditional Arabic"/>
          <w:sz w:val="28"/>
          <w:szCs w:val="28"/>
        </w:rPr>
        <w:t xml:space="preserve">497–514. </w:t>
      </w:r>
      <w:hyperlink r:id="rId11" w:history="1">
        <w:r w:rsidRPr="00D05340">
          <w:rPr>
            <w:rStyle w:val="Hyperlink"/>
            <w:rFonts w:ascii="Traditional Arabic" w:eastAsia="Times New Roman" w:hAnsi="Traditional Arabic" w:cs="Traditional Arabic"/>
            <w:sz w:val="28"/>
            <w:szCs w:val="28"/>
          </w:rPr>
          <w:t>https://doi.org/10.25130/tjaes.17.53.1.29</w:t>
        </w:r>
      </w:hyperlink>
    </w:p>
    <w:p w14:paraId="78709F08" w14:textId="77777777" w:rsidR="00D05340" w:rsidRPr="00D05340" w:rsidRDefault="00D05340" w:rsidP="00D05340">
      <w:pPr>
        <w:numPr>
          <w:ilvl w:val="0"/>
          <w:numId w:val="26"/>
        </w:numPr>
        <w:bidi/>
        <w:spacing w:before="100" w:beforeAutospacing="1" w:after="100" w:afterAutospacing="1"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عبد طوفان، م. ج.، وعباس، ع. ح. الجُنابي، ع. ع. ح. (2022). دور الاحتواء الاستراتيجي في تعزيز البراعة التنظيمية: بحث استطلاعي تحليلي لآراء العاملين في رئاسة جامعة كربلاء</w:t>
      </w:r>
      <w:r w:rsidRPr="00D05340">
        <w:rPr>
          <w:rFonts w:ascii="Traditional Arabic" w:eastAsia="Times New Roman" w:hAnsi="Traditional Arabic" w:cs="Traditional Arabic"/>
          <w:sz w:val="28"/>
          <w:szCs w:val="28"/>
        </w:rPr>
        <w:t xml:space="preserve">. </w:t>
      </w:r>
      <w:r w:rsidRPr="00D05340">
        <w:rPr>
          <w:rFonts w:ascii="Traditional Arabic" w:eastAsia="Times New Roman" w:hAnsi="Traditional Arabic" w:cs="Traditional Arabic"/>
          <w:i/>
          <w:iCs/>
          <w:sz w:val="28"/>
          <w:szCs w:val="28"/>
          <w:rtl/>
        </w:rPr>
        <w:t>مجلة واسط للعلوم الإنسانية، 18</w:t>
      </w:r>
      <w:r w:rsidRPr="00D05340">
        <w:rPr>
          <w:rFonts w:ascii="Traditional Arabic" w:eastAsia="Times New Roman" w:hAnsi="Traditional Arabic" w:cs="Traditional Arabic"/>
          <w:sz w:val="28"/>
          <w:szCs w:val="28"/>
        </w:rPr>
        <w:t>(51)</w:t>
      </w:r>
      <w:r w:rsidRPr="00D05340">
        <w:rPr>
          <w:rFonts w:ascii="Traditional Arabic" w:eastAsia="Times New Roman" w:hAnsi="Traditional Arabic" w:cs="Traditional Arabic"/>
          <w:sz w:val="28"/>
          <w:szCs w:val="28"/>
          <w:rtl/>
        </w:rPr>
        <w:t xml:space="preserve">، </w:t>
      </w:r>
      <w:r w:rsidRPr="00D05340">
        <w:rPr>
          <w:rFonts w:ascii="Traditional Arabic" w:eastAsia="Times New Roman" w:hAnsi="Traditional Arabic" w:cs="Traditional Arabic"/>
          <w:sz w:val="28"/>
          <w:szCs w:val="28"/>
        </w:rPr>
        <w:t xml:space="preserve">1–27. </w:t>
      </w:r>
      <w:hyperlink r:id="rId12" w:history="1">
        <w:r w:rsidRPr="00D05340">
          <w:rPr>
            <w:rStyle w:val="Hyperlink"/>
            <w:rFonts w:ascii="Traditional Arabic" w:eastAsia="Times New Roman" w:hAnsi="Traditional Arabic" w:cs="Traditional Arabic"/>
            <w:sz w:val="28"/>
            <w:szCs w:val="28"/>
          </w:rPr>
          <w:t>https://doi.org/10.31185/.Vol18.Iss51.276</w:t>
        </w:r>
      </w:hyperlink>
    </w:p>
    <w:p w14:paraId="1391FB5B" w14:textId="7B48234F" w:rsidR="00D05340" w:rsidRPr="00D05340" w:rsidRDefault="00D05340" w:rsidP="00685EA7">
      <w:pPr>
        <w:numPr>
          <w:ilvl w:val="0"/>
          <w:numId w:val="26"/>
        </w:numPr>
        <w:bidi/>
        <w:spacing w:before="100" w:beforeAutospacing="1" w:after="100" w:afterAutospacing="1" w:line="240" w:lineRule="auto"/>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tl/>
        </w:rPr>
        <w:t>علي، س. م. (2023</w:t>
      </w:r>
      <w:r w:rsidRPr="00D05340">
        <w:rPr>
          <w:rFonts w:ascii="Traditional Arabic" w:eastAsia="Times New Roman" w:hAnsi="Traditional Arabic" w:cs="Traditional Arabic" w:hint="cs"/>
          <w:sz w:val="28"/>
          <w:szCs w:val="28"/>
          <w:rtl/>
        </w:rPr>
        <w:t xml:space="preserve">). </w:t>
      </w:r>
      <w:r w:rsidRPr="00D05340">
        <w:rPr>
          <w:rFonts w:ascii="Traditional Arabic" w:eastAsia="Times New Roman" w:hAnsi="Traditional Arabic" w:cs="Traditional Arabic"/>
          <w:sz w:val="28"/>
          <w:szCs w:val="28"/>
        </w:rPr>
        <w:t xml:space="preserve"> </w:t>
      </w:r>
      <w:r w:rsidRPr="00D05340">
        <w:rPr>
          <w:rFonts w:ascii="Traditional Arabic" w:eastAsia="Times New Roman" w:hAnsi="Traditional Arabic" w:cs="Traditional Arabic"/>
          <w:i/>
          <w:iCs/>
          <w:sz w:val="28"/>
          <w:szCs w:val="28"/>
          <w:rtl/>
        </w:rPr>
        <w:t>أثر التخطيط الاستراتيجي على الأداء الوظيفي: دراسة ميدانية على شركة سيرياتل للاتصالات</w:t>
      </w:r>
      <w:r w:rsidRPr="00D05340">
        <w:rPr>
          <w:rFonts w:ascii="Traditional Arabic" w:eastAsia="Times New Roman" w:hAnsi="Traditional Arabic" w:cs="Traditional Arabic"/>
          <w:sz w:val="28"/>
          <w:szCs w:val="28"/>
          <w:rtl/>
        </w:rPr>
        <w:t xml:space="preserve"> </w:t>
      </w:r>
      <w:r w:rsidR="00685EA7">
        <w:rPr>
          <w:rFonts w:ascii="Traditional Arabic" w:eastAsia="Times New Roman" w:hAnsi="Traditional Arabic" w:cs="Traditional Arabic"/>
          <w:sz w:val="28"/>
          <w:szCs w:val="28"/>
        </w:rPr>
        <w:t>)</w:t>
      </w:r>
      <w:r w:rsidRPr="00D05340">
        <w:rPr>
          <w:rFonts w:ascii="Traditional Arabic" w:eastAsia="Times New Roman" w:hAnsi="Traditional Arabic" w:cs="Traditional Arabic"/>
          <w:sz w:val="28"/>
          <w:szCs w:val="28"/>
          <w:rtl/>
        </w:rPr>
        <w:t>رسالة ماجستير غير منشورة</w:t>
      </w:r>
      <w:r w:rsidR="00685EA7">
        <w:rPr>
          <w:rFonts w:ascii="Traditional Arabic" w:eastAsia="Times New Roman" w:hAnsi="Traditional Arabic" w:cs="Traditional Arabic"/>
          <w:sz w:val="28"/>
          <w:szCs w:val="28"/>
        </w:rPr>
        <w:t>(</w:t>
      </w:r>
      <w:r w:rsidRPr="00D05340">
        <w:rPr>
          <w:rFonts w:ascii="Traditional Arabic" w:eastAsia="Times New Roman" w:hAnsi="Traditional Arabic" w:cs="Traditional Arabic"/>
          <w:sz w:val="28"/>
          <w:szCs w:val="28"/>
          <w:rtl/>
        </w:rPr>
        <w:t>. الجامعة الافتراضية السورية، برنامج ماجستير التأهيل والتخصص في إدارة الأعمال</w:t>
      </w:r>
      <w:r w:rsidRPr="00D05340">
        <w:rPr>
          <w:rFonts w:ascii="Traditional Arabic" w:eastAsia="Times New Roman" w:hAnsi="Traditional Arabic" w:cs="Traditional Arabic"/>
          <w:sz w:val="28"/>
          <w:szCs w:val="28"/>
        </w:rPr>
        <w:t xml:space="preserve"> (MBA).</w:t>
      </w:r>
    </w:p>
    <w:p w14:paraId="626498DD" w14:textId="3999540F" w:rsidR="00D05340" w:rsidRDefault="00D05340" w:rsidP="00D05340">
      <w:pPr>
        <w:bidi/>
        <w:spacing w:before="100" w:beforeAutospacing="1" w:after="100" w:afterAutospacing="1" w:line="240" w:lineRule="auto"/>
        <w:rPr>
          <w:rFonts w:ascii="Times New Roman" w:eastAsia="Times New Roman" w:hAnsi="Times New Roman" w:cs="Times New Roman"/>
          <w:sz w:val="24"/>
          <w:szCs w:val="24"/>
          <w:rtl/>
        </w:rPr>
      </w:pPr>
    </w:p>
    <w:p w14:paraId="7D658E21" w14:textId="77777777" w:rsidR="009D5B9E" w:rsidRDefault="009D5B9E" w:rsidP="009D5B9E">
      <w:pPr>
        <w:bidi/>
        <w:spacing w:before="100" w:beforeAutospacing="1" w:after="100" w:afterAutospacing="1" w:line="240" w:lineRule="auto"/>
        <w:rPr>
          <w:rFonts w:ascii="Times New Roman" w:eastAsia="Times New Roman" w:hAnsi="Times New Roman" w:cs="Times New Roman"/>
          <w:sz w:val="24"/>
          <w:szCs w:val="24"/>
        </w:rPr>
      </w:pPr>
    </w:p>
    <w:p w14:paraId="197F8FDA" w14:textId="77777777" w:rsidR="00685EA7" w:rsidRDefault="00685EA7" w:rsidP="00685EA7">
      <w:pPr>
        <w:bidi/>
        <w:spacing w:before="100" w:beforeAutospacing="1" w:after="100" w:afterAutospacing="1" w:line="240" w:lineRule="auto"/>
        <w:rPr>
          <w:rFonts w:ascii="Times New Roman" w:eastAsia="Times New Roman" w:hAnsi="Times New Roman" w:cs="Times New Roman"/>
          <w:sz w:val="24"/>
          <w:szCs w:val="24"/>
        </w:rPr>
      </w:pPr>
    </w:p>
    <w:p w14:paraId="4DBE654D" w14:textId="77777777" w:rsidR="00685EA7" w:rsidRPr="00D05340" w:rsidRDefault="00685EA7" w:rsidP="00685EA7">
      <w:pPr>
        <w:bidi/>
        <w:spacing w:before="100" w:beforeAutospacing="1" w:after="100" w:afterAutospacing="1" w:line="240" w:lineRule="auto"/>
        <w:rPr>
          <w:rFonts w:ascii="Times New Roman" w:eastAsia="Times New Roman" w:hAnsi="Times New Roman" w:cs="Times New Roman"/>
          <w:sz w:val="24"/>
          <w:szCs w:val="24"/>
        </w:rPr>
      </w:pPr>
    </w:p>
    <w:p w14:paraId="0B7DE093" w14:textId="2E8C4E69" w:rsidR="008D1C47" w:rsidRPr="00D05340" w:rsidRDefault="00D05340" w:rsidP="008D1C47">
      <w:pPr>
        <w:bidi/>
        <w:spacing w:before="100" w:beforeAutospacing="1" w:after="100" w:afterAutospacing="1" w:line="240" w:lineRule="auto"/>
        <w:rPr>
          <w:rFonts w:ascii="Traditional Arabic" w:eastAsia="Times New Roman" w:hAnsi="Traditional Arabic" w:cs="Traditional Arabic"/>
          <w:b/>
          <w:bCs/>
          <w:sz w:val="32"/>
          <w:szCs w:val="32"/>
          <w:rtl/>
        </w:rPr>
      </w:pPr>
      <w:r w:rsidRPr="00D05340">
        <w:rPr>
          <w:rFonts w:ascii="Traditional Arabic" w:eastAsia="Times New Roman" w:hAnsi="Traditional Arabic" w:cs="Traditional Arabic"/>
          <w:b/>
          <w:bCs/>
          <w:sz w:val="32"/>
          <w:szCs w:val="32"/>
          <w:rtl/>
        </w:rPr>
        <w:lastRenderedPageBreak/>
        <w:t>ثانيا: المراجع الاجنبية</w:t>
      </w:r>
    </w:p>
    <w:p w14:paraId="57A8D50E" w14:textId="77777777" w:rsidR="00D05340" w:rsidRPr="00D05340" w:rsidRDefault="00D05340" w:rsidP="00D05340">
      <w:pPr>
        <w:bidi/>
        <w:spacing w:before="100" w:beforeAutospacing="1" w:after="100" w:afterAutospacing="1" w:line="240" w:lineRule="auto"/>
        <w:rPr>
          <w:rFonts w:ascii="Times New Roman" w:eastAsia="Times New Roman" w:hAnsi="Times New Roman" w:cs="Times New Roman"/>
          <w:sz w:val="24"/>
          <w:szCs w:val="24"/>
          <w:rtl/>
        </w:rPr>
      </w:pPr>
    </w:p>
    <w:p w14:paraId="3BA4C4FA"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Alhosani, F. H., &amp; Ahmad, S. Z. (2024). Role of human resource practices, leadership and intellectual capital in enhancing organisational performance: The mediating effect of organisational agility. </w:t>
      </w:r>
      <w:r w:rsidRPr="00D05340">
        <w:rPr>
          <w:rFonts w:ascii="Traditional Arabic" w:eastAsia="Times New Roman" w:hAnsi="Traditional Arabic" w:cs="Traditional Arabic"/>
          <w:i/>
          <w:iCs/>
          <w:sz w:val="28"/>
          <w:szCs w:val="28"/>
        </w:rPr>
        <w:t>Journal of Intellectual Capital</w:t>
      </w:r>
      <w:r w:rsidRPr="00D05340">
        <w:rPr>
          <w:rFonts w:ascii="Traditional Arabic" w:eastAsia="Times New Roman" w:hAnsi="Traditional Arabic" w:cs="Traditional Arabic"/>
          <w:sz w:val="28"/>
          <w:szCs w:val="28"/>
        </w:rPr>
        <w:t xml:space="preserve">. Advance online publication. </w:t>
      </w:r>
      <w:hyperlink r:id="rId13" w:history="1">
        <w:r w:rsidRPr="00D05340">
          <w:rPr>
            <w:rStyle w:val="Hyperlink"/>
            <w:rFonts w:ascii="Traditional Arabic" w:eastAsia="Times New Roman" w:hAnsi="Traditional Arabic" w:cs="Traditional Arabic"/>
            <w:sz w:val="28"/>
            <w:szCs w:val="28"/>
          </w:rPr>
          <w:t>https://doi.org/10.1108/JIC-XX-XXXXXXX</w:t>
        </w:r>
      </w:hyperlink>
    </w:p>
    <w:p w14:paraId="3B257599"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Almagharbeh, B. K. (2024). The effect of human resource agility on organizational sustainability: Structural equation modeling approach. </w:t>
      </w:r>
      <w:r w:rsidRPr="00D05340">
        <w:rPr>
          <w:rFonts w:ascii="Traditional Arabic" w:eastAsia="Times New Roman" w:hAnsi="Traditional Arabic" w:cs="Traditional Arabic"/>
          <w:i/>
          <w:iCs/>
          <w:sz w:val="28"/>
          <w:szCs w:val="28"/>
        </w:rPr>
        <w:t>International Journal of Human Capital in Urban Management, 9</w:t>
      </w:r>
      <w:r w:rsidRPr="00D05340">
        <w:rPr>
          <w:rFonts w:ascii="Traditional Arabic" w:eastAsia="Times New Roman" w:hAnsi="Traditional Arabic" w:cs="Traditional Arabic"/>
          <w:sz w:val="28"/>
          <w:szCs w:val="28"/>
        </w:rPr>
        <w:t xml:space="preserve">(1), 177–188. </w:t>
      </w:r>
      <w:hyperlink r:id="rId14" w:history="1">
        <w:r w:rsidRPr="00D05340">
          <w:rPr>
            <w:rStyle w:val="Hyperlink"/>
            <w:rFonts w:ascii="Traditional Arabic" w:eastAsia="Times New Roman" w:hAnsi="Traditional Arabic" w:cs="Traditional Arabic"/>
            <w:sz w:val="28"/>
            <w:szCs w:val="28"/>
          </w:rPr>
          <w:t>http://www.ijhcum.net/</w:t>
        </w:r>
      </w:hyperlink>
    </w:p>
    <w:p w14:paraId="271D5310"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Alqarni, K., Agina, M. F., Khairy, H. A., Al-Romeedy, B. S., Farrag, D. A., &amp; Abdallah, R. M. (2023). The effect of electronic human resource management systems on sustainable competitive advantages: The roles of sustainable innovation and organizational agility. </w:t>
      </w:r>
      <w:r w:rsidRPr="00D05340">
        <w:rPr>
          <w:rFonts w:ascii="Traditional Arabic" w:eastAsia="Times New Roman" w:hAnsi="Traditional Arabic" w:cs="Traditional Arabic"/>
          <w:i/>
          <w:iCs/>
          <w:sz w:val="28"/>
          <w:szCs w:val="28"/>
        </w:rPr>
        <w:t>Sustainability, 15</w:t>
      </w:r>
      <w:r w:rsidRPr="00D05340">
        <w:rPr>
          <w:rFonts w:ascii="Traditional Arabic" w:eastAsia="Times New Roman" w:hAnsi="Traditional Arabic" w:cs="Traditional Arabic"/>
          <w:sz w:val="28"/>
          <w:szCs w:val="28"/>
        </w:rPr>
        <w:t xml:space="preserve">(23), 16382. </w:t>
      </w:r>
      <w:hyperlink r:id="rId15" w:history="1">
        <w:r w:rsidRPr="00D05340">
          <w:rPr>
            <w:rStyle w:val="Hyperlink"/>
            <w:rFonts w:ascii="Traditional Arabic" w:eastAsia="Times New Roman" w:hAnsi="Traditional Arabic" w:cs="Traditional Arabic"/>
            <w:sz w:val="28"/>
            <w:szCs w:val="28"/>
          </w:rPr>
          <w:t>https://doi.org/10.3390/su152316382</w:t>
        </w:r>
      </w:hyperlink>
    </w:p>
    <w:p w14:paraId="2B08568B"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AroundDeal. (2024). </w:t>
      </w:r>
      <w:r w:rsidRPr="00D05340">
        <w:rPr>
          <w:rFonts w:ascii="Traditional Arabic" w:eastAsia="Times New Roman" w:hAnsi="Traditional Arabic" w:cs="Traditional Arabic"/>
          <w:i/>
          <w:iCs/>
          <w:sz w:val="28"/>
          <w:szCs w:val="28"/>
        </w:rPr>
        <w:t>Ministry of Media – Company Profile</w:t>
      </w:r>
      <w:r w:rsidRPr="00D05340">
        <w:rPr>
          <w:rFonts w:ascii="Traditional Arabic" w:eastAsia="Times New Roman" w:hAnsi="Traditional Arabic" w:cs="Traditional Arabic"/>
          <w:sz w:val="28"/>
          <w:szCs w:val="28"/>
        </w:rPr>
        <w:t xml:space="preserve">. Retrieved from </w:t>
      </w:r>
      <w:hyperlink r:id="rId16" w:history="1">
        <w:r w:rsidRPr="00D05340">
          <w:rPr>
            <w:rStyle w:val="Hyperlink"/>
            <w:rFonts w:ascii="Traditional Arabic" w:eastAsia="Times New Roman" w:hAnsi="Traditional Arabic" w:cs="Traditional Arabic"/>
            <w:sz w:val="28"/>
            <w:szCs w:val="28"/>
          </w:rPr>
          <w:t>https://www.arounddeal.com</w:t>
        </w:r>
      </w:hyperlink>
    </w:p>
    <w:p w14:paraId="0FAC8281"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Asfahani, A. M. (2021). The impact of modern strategic human resources management models on promoting organizational agility. </w:t>
      </w:r>
      <w:r w:rsidRPr="00D05340">
        <w:rPr>
          <w:rFonts w:ascii="Traditional Arabic" w:eastAsia="Times New Roman" w:hAnsi="Traditional Arabic" w:cs="Traditional Arabic"/>
          <w:i/>
          <w:iCs/>
          <w:sz w:val="28"/>
          <w:szCs w:val="28"/>
        </w:rPr>
        <w:t>Academy of Strategic Management Journal, 20</w:t>
      </w:r>
      <w:r w:rsidRPr="00D05340">
        <w:rPr>
          <w:rFonts w:ascii="Traditional Arabic" w:eastAsia="Times New Roman" w:hAnsi="Traditional Arabic" w:cs="Traditional Arabic"/>
          <w:sz w:val="28"/>
          <w:szCs w:val="28"/>
        </w:rPr>
        <w:t xml:space="preserve">(2), 1–12. </w:t>
      </w:r>
      <w:hyperlink r:id="rId17" w:history="1">
        <w:r w:rsidRPr="00D05340">
          <w:rPr>
            <w:rStyle w:val="Hyperlink"/>
            <w:rFonts w:ascii="Traditional Arabic" w:eastAsia="Times New Roman" w:hAnsi="Traditional Arabic" w:cs="Traditional Arabic"/>
            <w:sz w:val="28"/>
            <w:szCs w:val="28"/>
          </w:rPr>
          <w:t>https://www.researchgate.net/publication/360526043</w:t>
        </w:r>
      </w:hyperlink>
    </w:p>
    <w:p w14:paraId="68175944"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Barahma, M., Ali, K. B., Nashief, M., &amp; Al-Awlaqi, M. A. (2019). The impact of human resources management strategies on strategic agility: A field study in large and medium Yemeni manufacturing sector. </w:t>
      </w:r>
      <w:r w:rsidRPr="00D05340">
        <w:rPr>
          <w:rFonts w:ascii="Traditional Arabic" w:eastAsia="Times New Roman" w:hAnsi="Traditional Arabic" w:cs="Traditional Arabic"/>
          <w:i/>
          <w:iCs/>
          <w:sz w:val="28"/>
          <w:szCs w:val="28"/>
        </w:rPr>
        <w:t>Journal of Social Sciences (COES&amp;RJ-JSS), 8</w:t>
      </w:r>
      <w:r w:rsidRPr="00D05340">
        <w:rPr>
          <w:rFonts w:ascii="Traditional Arabic" w:eastAsia="Times New Roman" w:hAnsi="Traditional Arabic" w:cs="Traditional Arabic"/>
          <w:sz w:val="28"/>
          <w:szCs w:val="28"/>
        </w:rPr>
        <w:t xml:space="preserve">(4), 611–629. </w:t>
      </w:r>
      <w:hyperlink r:id="rId18" w:history="1">
        <w:r w:rsidRPr="00D05340">
          <w:rPr>
            <w:rStyle w:val="Hyperlink"/>
            <w:rFonts w:ascii="Traditional Arabic" w:eastAsia="Times New Roman" w:hAnsi="Traditional Arabic" w:cs="Traditional Arabic"/>
            <w:sz w:val="28"/>
            <w:szCs w:val="28"/>
          </w:rPr>
          <w:t>https://doi.org/10.25255/jss.2019.8.4.611.629</w:t>
        </w:r>
      </w:hyperlink>
    </w:p>
    <w:p w14:paraId="62C86DB4"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General Authority for Media Regulation (GAMR). (2023). </w:t>
      </w:r>
      <w:r w:rsidRPr="00D05340">
        <w:rPr>
          <w:rFonts w:ascii="Traditional Arabic" w:eastAsia="Times New Roman" w:hAnsi="Traditional Arabic" w:cs="Traditional Arabic"/>
          <w:i/>
          <w:iCs/>
          <w:sz w:val="28"/>
          <w:szCs w:val="28"/>
        </w:rPr>
        <w:t>Organizational Structure</w:t>
      </w:r>
      <w:r w:rsidRPr="00D05340">
        <w:rPr>
          <w:rFonts w:ascii="Traditional Arabic" w:eastAsia="Times New Roman" w:hAnsi="Traditional Arabic" w:cs="Traditional Arabic"/>
          <w:sz w:val="28"/>
          <w:szCs w:val="28"/>
        </w:rPr>
        <w:t xml:space="preserve">. Retrieved from </w:t>
      </w:r>
      <w:hyperlink r:id="rId19" w:history="1">
        <w:r w:rsidRPr="00D05340">
          <w:rPr>
            <w:rStyle w:val="Hyperlink"/>
            <w:rFonts w:ascii="Traditional Arabic" w:eastAsia="Times New Roman" w:hAnsi="Traditional Arabic" w:cs="Traditional Arabic"/>
            <w:sz w:val="28"/>
            <w:szCs w:val="28"/>
          </w:rPr>
          <w:t>https://www.media.gov.sa</w:t>
        </w:r>
      </w:hyperlink>
    </w:p>
    <w:p w14:paraId="3E2570BA"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lastRenderedPageBreak/>
        <w:t xml:space="preserve">Hamidianpour, F., Esmaeilpour, M., &amp; Firoozi, H. (2016). Assessing the impact of electronic human resource management on creation of organizational agility: A study in the Bushehr banks, Iran. </w:t>
      </w:r>
      <w:r w:rsidRPr="00D05340">
        <w:rPr>
          <w:rFonts w:ascii="Traditional Arabic" w:eastAsia="Times New Roman" w:hAnsi="Traditional Arabic" w:cs="Traditional Arabic"/>
          <w:i/>
          <w:iCs/>
          <w:sz w:val="28"/>
          <w:szCs w:val="28"/>
        </w:rPr>
        <w:t>Asian Social Science, 12</w:t>
      </w:r>
      <w:r w:rsidRPr="00D05340">
        <w:rPr>
          <w:rFonts w:ascii="Traditional Arabic" w:eastAsia="Times New Roman" w:hAnsi="Traditional Arabic" w:cs="Traditional Arabic"/>
          <w:sz w:val="28"/>
          <w:szCs w:val="28"/>
        </w:rPr>
        <w:t xml:space="preserve">(7), 105–114. </w:t>
      </w:r>
      <w:hyperlink r:id="rId20" w:history="1">
        <w:r w:rsidRPr="00D05340">
          <w:rPr>
            <w:rStyle w:val="Hyperlink"/>
            <w:rFonts w:ascii="Traditional Arabic" w:eastAsia="Times New Roman" w:hAnsi="Traditional Arabic" w:cs="Traditional Arabic"/>
            <w:sz w:val="28"/>
            <w:szCs w:val="28"/>
          </w:rPr>
          <w:t>https://doi.org/10.5539/ass.v12n7p105</w:t>
        </w:r>
      </w:hyperlink>
    </w:p>
    <w:p w14:paraId="3D625D59"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Krejcie, R. V., &amp; Morgan, D. W. (1970). Determining sample size for research activities. </w:t>
      </w:r>
      <w:r w:rsidRPr="00D05340">
        <w:rPr>
          <w:rFonts w:ascii="Traditional Arabic" w:eastAsia="Times New Roman" w:hAnsi="Traditional Arabic" w:cs="Traditional Arabic"/>
          <w:i/>
          <w:iCs/>
          <w:sz w:val="28"/>
          <w:szCs w:val="28"/>
        </w:rPr>
        <w:t>Educational and Psychological Measurement, 30</w:t>
      </w:r>
      <w:r w:rsidRPr="00D05340">
        <w:rPr>
          <w:rFonts w:ascii="Traditional Arabic" w:eastAsia="Times New Roman" w:hAnsi="Traditional Arabic" w:cs="Traditional Arabic"/>
          <w:sz w:val="28"/>
          <w:szCs w:val="28"/>
        </w:rPr>
        <w:t>(3), 607–610.</w:t>
      </w:r>
    </w:p>
    <w:p w14:paraId="01A3E7A4"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Marhoon, R. H., &amp; Omar, K. M. (2024). The role of sustainable human resource management in enhancing organizational agility: Articles review. In </w:t>
      </w:r>
      <w:r w:rsidRPr="00D05340">
        <w:rPr>
          <w:rFonts w:ascii="Traditional Arabic" w:eastAsia="Times New Roman" w:hAnsi="Traditional Arabic" w:cs="Traditional Arabic"/>
          <w:i/>
          <w:iCs/>
          <w:sz w:val="28"/>
          <w:szCs w:val="28"/>
        </w:rPr>
        <w:t>Proceedings of the 2024 International Conference on Decision Aid Sciences and Applications (DASA)</w:t>
      </w:r>
      <w:r w:rsidRPr="00D05340">
        <w:rPr>
          <w:rFonts w:ascii="Traditional Arabic" w:eastAsia="Times New Roman" w:hAnsi="Traditional Arabic" w:cs="Traditional Arabic"/>
          <w:sz w:val="28"/>
          <w:szCs w:val="28"/>
        </w:rPr>
        <w:t>. IEEE.</w:t>
      </w:r>
    </w:p>
    <w:p w14:paraId="07FA3CEC"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Mekuri-Ndimele, J. A. (2025). Human resource planning and organisational agility of manufacturing companies in Rivers State. </w:t>
      </w:r>
      <w:r w:rsidRPr="00D05340">
        <w:rPr>
          <w:rFonts w:ascii="Traditional Arabic" w:eastAsia="Times New Roman" w:hAnsi="Traditional Arabic" w:cs="Traditional Arabic"/>
          <w:i/>
          <w:iCs/>
          <w:sz w:val="28"/>
          <w:szCs w:val="28"/>
        </w:rPr>
        <w:t>International Journal of Social Sciences and Management Research, 11</w:t>
      </w:r>
      <w:r w:rsidRPr="00D05340">
        <w:rPr>
          <w:rFonts w:ascii="Traditional Arabic" w:eastAsia="Times New Roman" w:hAnsi="Traditional Arabic" w:cs="Traditional Arabic"/>
          <w:sz w:val="28"/>
          <w:szCs w:val="28"/>
        </w:rPr>
        <w:t xml:space="preserve">(2), 331–342. </w:t>
      </w:r>
      <w:hyperlink r:id="rId21" w:history="1">
        <w:r w:rsidRPr="00D05340">
          <w:rPr>
            <w:rStyle w:val="Hyperlink"/>
            <w:rFonts w:ascii="Traditional Arabic" w:eastAsia="Times New Roman" w:hAnsi="Traditional Arabic" w:cs="Traditional Arabic"/>
            <w:sz w:val="28"/>
            <w:szCs w:val="28"/>
          </w:rPr>
          <w:t>https://doi.org/10.56201/ijssmr.vol.11no2.2025.pg.331.342</w:t>
        </w:r>
      </w:hyperlink>
    </w:p>
    <w:p w14:paraId="25FFE202"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Saad, M. A., &amp; Al-Naggar, S. A. (2023). The impact of human resources maintenance on enhancing organizational agility: An applied study on Secretariat of Northern Borders Region. </w:t>
      </w:r>
      <w:r w:rsidRPr="00D05340">
        <w:rPr>
          <w:rFonts w:ascii="Traditional Arabic" w:eastAsia="Times New Roman" w:hAnsi="Traditional Arabic" w:cs="Traditional Arabic"/>
          <w:i/>
          <w:iCs/>
          <w:sz w:val="28"/>
          <w:szCs w:val="28"/>
        </w:rPr>
        <w:t>Marketing and Management of Innovations, 1</w:t>
      </w:r>
      <w:r w:rsidRPr="00D05340">
        <w:rPr>
          <w:rFonts w:ascii="Traditional Arabic" w:eastAsia="Times New Roman" w:hAnsi="Traditional Arabic" w:cs="Traditional Arabic"/>
          <w:sz w:val="28"/>
          <w:szCs w:val="28"/>
        </w:rPr>
        <w:t xml:space="preserve">, 75–86. </w:t>
      </w:r>
      <w:hyperlink r:id="rId22" w:history="1">
        <w:r w:rsidRPr="00D05340">
          <w:rPr>
            <w:rStyle w:val="Hyperlink"/>
            <w:rFonts w:ascii="Traditional Arabic" w:eastAsia="Times New Roman" w:hAnsi="Traditional Arabic" w:cs="Traditional Arabic"/>
            <w:sz w:val="28"/>
            <w:szCs w:val="28"/>
          </w:rPr>
          <w:t>https://doi.org/10.21272/mmi.2023.1-07</w:t>
        </w:r>
      </w:hyperlink>
    </w:p>
    <w:p w14:paraId="648E3583"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Saudi Press Agency (SPA). (2024). </w:t>
      </w:r>
      <w:r w:rsidRPr="00D05340">
        <w:rPr>
          <w:rFonts w:ascii="Traditional Arabic" w:eastAsia="Times New Roman" w:hAnsi="Traditional Arabic" w:cs="Traditional Arabic"/>
          <w:i/>
          <w:iCs/>
          <w:sz w:val="28"/>
          <w:szCs w:val="28"/>
        </w:rPr>
        <w:t>About Us</w:t>
      </w:r>
      <w:r w:rsidRPr="00D05340">
        <w:rPr>
          <w:rFonts w:ascii="Traditional Arabic" w:eastAsia="Times New Roman" w:hAnsi="Traditional Arabic" w:cs="Traditional Arabic"/>
          <w:sz w:val="28"/>
          <w:szCs w:val="28"/>
        </w:rPr>
        <w:t xml:space="preserve">. Retrieved from </w:t>
      </w:r>
      <w:hyperlink r:id="rId23" w:history="1">
        <w:r w:rsidRPr="00D05340">
          <w:rPr>
            <w:rStyle w:val="Hyperlink"/>
            <w:rFonts w:ascii="Traditional Arabic" w:eastAsia="Times New Roman" w:hAnsi="Traditional Arabic" w:cs="Traditional Arabic"/>
            <w:sz w:val="28"/>
            <w:szCs w:val="28"/>
          </w:rPr>
          <w:t>https://www.spa.gov.sa</w:t>
        </w:r>
      </w:hyperlink>
    </w:p>
    <w:p w14:paraId="3EA7CF6C"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Tiwow, G. M., Batmetan, J. R., Sumual, T. E. M., &amp; Sumual, S. D. M. (2023). Human resources management in trouble time: Strategy to increase organization agility for digital transformation in university. </w:t>
      </w:r>
      <w:r w:rsidRPr="00D05340">
        <w:rPr>
          <w:rFonts w:ascii="Traditional Arabic" w:eastAsia="Times New Roman" w:hAnsi="Traditional Arabic" w:cs="Traditional Arabic"/>
          <w:i/>
          <w:iCs/>
          <w:sz w:val="28"/>
          <w:szCs w:val="28"/>
        </w:rPr>
        <w:t>International Journal of Innovation, Technology and Education, 2</w:t>
      </w:r>
      <w:r w:rsidRPr="00D05340">
        <w:rPr>
          <w:rFonts w:ascii="Traditional Arabic" w:eastAsia="Times New Roman" w:hAnsi="Traditional Arabic" w:cs="Traditional Arabic"/>
          <w:sz w:val="28"/>
          <w:szCs w:val="28"/>
        </w:rPr>
        <w:t xml:space="preserve">(4). </w:t>
      </w:r>
      <w:hyperlink r:id="rId24" w:history="1">
        <w:r w:rsidRPr="00D05340">
          <w:rPr>
            <w:rStyle w:val="Hyperlink"/>
            <w:rFonts w:ascii="Traditional Arabic" w:eastAsia="Times New Roman" w:hAnsi="Traditional Arabic" w:cs="Traditional Arabic"/>
            <w:sz w:val="28"/>
            <w:szCs w:val="28"/>
          </w:rPr>
          <w:t>https://doi.org/10.62711/ijite.v2i4.166</w:t>
        </w:r>
      </w:hyperlink>
    </w:p>
    <w:p w14:paraId="46CD48E3"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lastRenderedPageBreak/>
        <w:t xml:space="preserve">Wang, J., &amp; Regua, O. U. D. (2024). The role of strategic human resource management in achieving organizational agility. </w:t>
      </w:r>
      <w:r w:rsidRPr="00D05340">
        <w:rPr>
          <w:rFonts w:ascii="Traditional Arabic" w:eastAsia="Times New Roman" w:hAnsi="Traditional Arabic" w:cs="Traditional Arabic"/>
          <w:i/>
          <w:iCs/>
          <w:sz w:val="28"/>
          <w:szCs w:val="28"/>
        </w:rPr>
        <w:t>International Journal of Science and Engineering Applications, 13</w:t>
      </w:r>
      <w:r w:rsidRPr="00D05340">
        <w:rPr>
          <w:rFonts w:ascii="Traditional Arabic" w:eastAsia="Times New Roman" w:hAnsi="Traditional Arabic" w:cs="Traditional Arabic"/>
          <w:sz w:val="28"/>
          <w:szCs w:val="28"/>
        </w:rPr>
        <w:t xml:space="preserve">(8), 92–96. </w:t>
      </w:r>
      <w:hyperlink r:id="rId25" w:history="1">
        <w:r w:rsidRPr="00D05340">
          <w:rPr>
            <w:rStyle w:val="Hyperlink"/>
            <w:rFonts w:ascii="Traditional Arabic" w:eastAsia="Times New Roman" w:hAnsi="Traditional Arabic" w:cs="Traditional Arabic"/>
            <w:sz w:val="28"/>
            <w:szCs w:val="28"/>
          </w:rPr>
          <w:t>https://doi.org/10.7753/IJSEA1308.1020</w:t>
        </w:r>
      </w:hyperlink>
    </w:p>
    <w:p w14:paraId="4C720076" w14:textId="77777777" w:rsidR="00D05340" w:rsidRPr="00D05340" w:rsidRDefault="00D05340" w:rsidP="00D05340">
      <w:pPr>
        <w:pStyle w:val="a3"/>
        <w:numPr>
          <w:ilvl w:val="0"/>
          <w:numId w:val="8"/>
        </w:numPr>
        <w:rPr>
          <w:rFonts w:ascii="Traditional Arabic" w:eastAsia="Times New Roman" w:hAnsi="Traditional Arabic" w:cs="Traditional Arabic"/>
          <w:sz w:val="28"/>
          <w:szCs w:val="28"/>
        </w:rPr>
      </w:pPr>
      <w:r w:rsidRPr="00D05340">
        <w:rPr>
          <w:rFonts w:ascii="Traditional Arabic" w:eastAsia="Times New Roman" w:hAnsi="Traditional Arabic" w:cs="Traditional Arabic"/>
          <w:sz w:val="28"/>
          <w:szCs w:val="28"/>
        </w:rPr>
        <w:t xml:space="preserve">Yamin, M. A., Almuteri, S. D., Bogari, K. J., &amp; Ashi, A. K. (2024). The influence of strategic human resource management and artificial intelligence in determining supply chain agility and supply chain resilience. </w:t>
      </w:r>
      <w:r w:rsidRPr="00D05340">
        <w:rPr>
          <w:rFonts w:ascii="Traditional Arabic" w:eastAsia="Times New Roman" w:hAnsi="Traditional Arabic" w:cs="Traditional Arabic"/>
          <w:i/>
          <w:iCs/>
          <w:sz w:val="28"/>
          <w:szCs w:val="28"/>
        </w:rPr>
        <w:t>Sustainability, 16</w:t>
      </w:r>
      <w:r w:rsidRPr="00D05340">
        <w:rPr>
          <w:rFonts w:ascii="Traditional Arabic" w:eastAsia="Times New Roman" w:hAnsi="Traditional Arabic" w:cs="Traditional Arabic"/>
          <w:sz w:val="28"/>
          <w:szCs w:val="28"/>
        </w:rPr>
        <w:t xml:space="preserve">(7), 2688. </w:t>
      </w:r>
      <w:hyperlink r:id="rId26" w:history="1">
        <w:r w:rsidRPr="00D05340">
          <w:rPr>
            <w:rStyle w:val="Hyperlink"/>
            <w:rFonts w:ascii="Traditional Arabic" w:eastAsia="Times New Roman" w:hAnsi="Traditional Arabic" w:cs="Traditional Arabic"/>
            <w:sz w:val="28"/>
            <w:szCs w:val="28"/>
          </w:rPr>
          <w:t>https://doi.org/10.3390/su16072688</w:t>
        </w:r>
      </w:hyperlink>
    </w:p>
    <w:p w14:paraId="76C79731" w14:textId="77777777" w:rsidR="00EF40E0" w:rsidRPr="00D05340" w:rsidRDefault="00EF40E0" w:rsidP="00D05340">
      <w:pPr>
        <w:pStyle w:val="a3"/>
        <w:spacing w:before="100" w:beforeAutospacing="1" w:after="100" w:afterAutospacing="1" w:line="240" w:lineRule="auto"/>
        <w:rPr>
          <w:rFonts w:ascii="Traditional Arabic" w:eastAsia="Times New Roman" w:hAnsi="Traditional Arabic" w:cs="Traditional Arabic"/>
          <w:sz w:val="28"/>
          <w:szCs w:val="28"/>
          <w:highlight w:val="yellow"/>
          <w:rtl/>
        </w:rPr>
      </w:pPr>
    </w:p>
    <w:sectPr w:rsidR="00EF40E0" w:rsidRPr="00D05340" w:rsidSect="00395E1F">
      <w:headerReference w:type="even" r:id="rId27"/>
      <w:headerReference w:type="default" r:id="rId28"/>
      <w:footerReference w:type="default" r:id="rId29"/>
      <w:headerReference w:type="first" r:id="rId30"/>
      <w:footerReference w:type="first" r:id="rId3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6F2D3" w14:textId="77777777" w:rsidR="002C0C76" w:rsidRDefault="002C0C76" w:rsidP="00F628F0">
      <w:pPr>
        <w:spacing w:after="0" w:line="240" w:lineRule="auto"/>
      </w:pPr>
      <w:r>
        <w:separator/>
      </w:r>
    </w:p>
  </w:endnote>
  <w:endnote w:type="continuationSeparator" w:id="0">
    <w:p w14:paraId="4F46BE54" w14:textId="77777777" w:rsidR="002C0C76" w:rsidRDefault="002C0C7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C41CBC" w:rsidRDefault="00C41CBC">
        <w:pPr>
          <w:pStyle w:val="a5"/>
          <w:jc w:val="center"/>
        </w:pPr>
        <w:r>
          <w:fldChar w:fldCharType="begin"/>
        </w:r>
        <w:r>
          <w:instrText xml:space="preserve"> PAGE   \* MERGEFORMAT </w:instrText>
        </w:r>
        <w:r>
          <w:fldChar w:fldCharType="separate"/>
        </w:r>
        <w:r w:rsidR="008E3A29">
          <w:rPr>
            <w:noProof/>
          </w:rPr>
          <w:t>43</w:t>
        </w:r>
        <w:r>
          <w:rPr>
            <w:noProof/>
          </w:rPr>
          <w:fldChar w:fldCharType="end"/>
        </w:r>
      </w:p>
    </w:sdtContent>
  </w:sdt>
  <w:p w14:paraId="3B85871D" w14:textId="77777777" w:rsidR="00C41CBC" w:rsidRDefault="00C41CB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C41CBC" w:rsidRPr="00883E09" w:rsidRDefault="00C41CBC"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علمى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D485C" w14:textId="77777777" w:rsidR="002C0C76" w:rsidRDefault="002C0C76" w:rsidP="00F628F0">
      <w:pPr>
        <w:spacing w:after="0" w:line="240" w:lineRule="auto"/>
      </w:pPr>
      <w:r>
        <w:separator/>
      </w:r>
    </w:p>
  </w:footnote>
  <w:footnote w:type="continuationSeparator" w:id="0">
    <w:p w14:paraId="4AB06C66" w14:textId="77777777" w:rsidR="002C0C76" w:rsidRDefault="002C0C7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C41CBC"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C41CBC"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C41CBC"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0CFC"/>
    <w:multiLevelType w:val="multilevel"/>
    <w:tmpl w:val="ABD20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F04F4"/>
    <w:multiLevelType w:val="multilevel"/>
    <w:tmpl w:val="675E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AB523F"/>
    <w:multiLevelType w:val="multilevel"/>
    <w:tmpl w:val="1B6A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B1AF9"/>
    <w:multiLevelType w:val="multilevel"/>
    <w:tmpl w:val="ED9C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E1BCD"/>
    <w:multiLevelType w:val="multilevel"/>
    <w:tmpl w:val="8820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B33797"/>
    <w:multiLevelType w:val="hybridMultilevel"/>
    <w:tmpl w:val="5100E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D61AB6"/>
    <w:multiLevelType w:val="hybridMultilevel"/>
    <w:tmpl w:val="B6AC9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714120"/>
    <w:multiLevelType w:val="multilevel"/>
    <w:tmpl w:val="7A06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73D89"/>
    <w:multiLevelType w:val="multilevel"/>
    <w:tmpl w:val="FE2C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173D76"/>
    <w:multiLevelType w:val="multilevel"/>
    <w:tmpl w:val="1E003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425202"/>
    <w:multiLevelType w:val="hybridMultilevel"/>
    <w:tmpl w:val="CD802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317AA"/>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A17F71"/>
    <w:multiLevelType w:val="multilevel"/>
    <w:tmpl w:val="EC481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F1702C"/>
    <w:multiLevelType w:val="multilevel"/>
    <w:tmpl w:val="4A3C5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8E3692"/>
    <w:multiLevelType w:val="multilevel"/>
    <w:tmpl w:val="877E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A367D9"/>
    <w:multiLevelType w:val="multilevel"/>
    <w:tmpl w:val="6E82D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3B2DF4"/>
    <w:multiLevelType w:val="multilevel"/>
    <w:tmpl w:val="37C4C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2202AE"/>
    <w:multiLevelType w:val="hybridMultilevel"/>
    <w:tmpl w:val="D9BE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4B6E68"/>
    <w:multiLevelType w:val="multilevel"/>
    <w:tmpl w:val="9CDC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10621"/>
    <w:multiLevelType w:val="multilevel"/>
    <w:tmpl w:val="9B34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30114"/>
    <w:multiLevelType w:val="hybridMultilevel"/>
    <w:tmpl w:val="2A6CD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C2351F"/>
    <w:multiLevelType w:val="multilevel"/>
    <w:tmpl w:val="5094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911B09"/>
    <w:multiLevelType w:val="multilevel"/>
    <w:tmpl w:val="B41E9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311946"/>
    <w:multiLevelType w:val="multilevel"/>
    <w:tmpl w:val="94FE5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CA6A00"/>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300883"/>
    <w:multiLevelType w:val="multilevel"/>
    <w:tmpl w:val="7CCC2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36406D"/>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C5446D"/>
    <w:multiLevelType w:val="multilevel"/>
    <w:tmpl w:val="9B745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5F0B66"/>
    <w:multiLevelType w:val="multilevel"/>
    <w:tmpl w:val="D848F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6382979">
    <w:abstractNumId w:val="1"/>
  </w:num>
  <w:num w:numId="2" w16cid:durableId="1942447243">
    <w:abstractNumId w:val="27"/>
  </w:num>
  <w:num w:numId="3" w16cid:durableId="969364855">
    <w:abstractNumId w:val="26"/>
  </w:num>
  <w:num w:numId="4" w16cid:durableId="703797856">
    <w:abstractNumId w:val="4"/>
  </w:num>
  <w:num w:numId="5" w16cid:durableId="300501632">
    <w:abstractNumId w:val="15"/>
  </w:num>
  <w:num w:numId="6" w16cid:durableId="1048841442">
    <w:abstractNumId w:val="22"/>
  </w:num>
  <w:num w:numId="7" w16cid:durableId="15618430">
    <w:abstractNumId w:val="17"/>
  </w:num>
  <w:num w:numId="8" w16cid:durableId="851340400">
    <w:abstractNumId w:val="24"/>
  </w:num>
  <w:num w:numId="9" w16cid:durableId="1028264431">
    <w:abstractNumId w:val="11"/>
  </w:num>
  <w:num w:numId="10" w16cid:durableId="1815950964">
    <w:abstractNumId w:val="13"/>
  </w:num>
  <w:num w:numId="11" w16cid:durableId="2025980678">
    <w:abstractNumId w:val="12"/>
  </w:num>
  <w:num w:numId="12" w16cid:durableId="825635471">
    <w:abstractNumId w:val="25"/>
  </w:num>
  <w:num w:numId="13" w16cid:durableId="1209106275">
    <w:abstractNumId w:val="6"/>
  </w:num>
  <w:num w:numId="14" w16cid:durableId="1808929819">
    <w:abstractNumId w:val="23"/>
  </w:num>
  <w:num w:numId="15" w16cid:durableId="783773470">
    <w:abstractNumId w:val="0"/>
  </w:num>
  <w:num w:numId="16" w16cid:durableId="1531070774">
    <w:abstractNumId w:val="21"/>
  </w:num>
  <w:num w:numId="17" w16cid:durableId="26368971">
    <w:abstractNumId w:val="28"/>
  </w:num>
  <w:num w:numId="18" w16cid:durableId="1247032932">
    <w:abstractNumId w:val="9"/>
  </w:num>
  <w:num w:numId="19" w16cid:durableId="1311055953">
    <w:abstractNumId w:val="18"/>
  </w:num>
  <w:num w:numId="20" w16cid:durableId="472139362">
    <w:abstractNumId w:val="19"/>
  </w:num>
  <w:num w:numId="21" w16cid:durableId="1449080748">
    <w:abstractNumId w:val="8"/>
  </w:num>
  <w:num w:numId="22" w16cid:durableId="1086610463">
    <w:abstractNumId w:val="3"/>
  </w:num>
  <w:num w:numId="23" w16cid:durableId="750539257">
    <w:abstractNumId w:val="14"/>
  </w:num>
  <w:num w:numId="24" w16cid:durableId="88357084">
    <w:abstractNumId w:val="16"/>
  </w:num>
  <w:num w:numId="25" w16cid:durableId="1756315238">
    <w:abstractNumId w:val="10"/>
  </w:num>
  <w:num w:numId="26" w16cid:durableId="1300570323">
    <w:abstractNumId w:val="7"/>
  </w:num>
  <w:num w:numId="27" w16cid:durableId="1654288669">
    <w:abstractNumId w:val="2"/>
  </w:num>
  <w:num w:numId="28" w16cid:durableId="1890727872">
    <w:abstractNumId w:val="5"/>
  </w:num>
  <w:num w:numId="29" w16cid:durableId="633481866">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1346"/>
    <w:rsid w:val="00015F0D"/>
    <w:rsid w:val="00017805"/>
    <w:rsid w:val="00027A34"/>
    <w:rsid w:val="000300F1"/>
    <w:rsid w:val="000322E7"/>
    <w:rsid w:val="00044CFD"/>
    <w:rsid w:val="00061A09"/>
    <w:rsid w:val="0006323A"/>
    <w:rsid w:val="000755B1"/>
    <w:rsid w:val="00080FC2"/>
    <w:rsid w:val="000845C4"/>
    <w:rsid w:val="000860A2"/>
    <w:rsid w:val="00087E4F"/>
    <w:rsid w:val="00090A9C"/>
    <w:rsid w:val="00092C24"/>
    <w:rsid w:val="000940A0"/>
    <w:rsid w:val="000A06CE"/>
    <w:rsid w:val="000A1D3E"/>
    <w:rsid w:val="000A1E46"/>
    <w:rsid w:val="000A310D"/>
    <w:rsid w:val="000A49ED"/>
    <w:rsid w:val="000A749C"/>
    <w:rsid w:val="000B0B32"/>
    <w:rsid w:val="000B10AF"/>
    <w:rsid w:val="000B706D"/>
    <w:rsid w:val="000D0869"/>
    <w:rsid w:val="000D362A"/>
    <w:rsid w:val="000D3EAE"/>
    <w:rsid w:val="000D5131"/>
    <w:rsid w:val="000E23AB"/>
    <w:rsid w:val="000E6887"/>
    <w:rsid w:val="000F0A0D"/>
    <w:rsid w:val="000F1A5E"/>
    <w:rsid w:val="000F64AD"/>
    <w:rsid w:val="000F7F04"/>
    <w:rsid w:val="00101BCB"/>
    <w:rsid w:val="00105CF7"/>
    <w:rsid w:val="00110665"/>
    <w:rsid w:val="0011126E"/>
    <w:rsid w:val="00116AE4"/>
    <w:rsid w:val="0011764A"/>
    <w:rsid w:val="00117CA1"/>
    <w:rsid w:val="0012270F"/>
    <w:rsid w:val="00127ACE"/>
    <w:rsid w:val="00152104"/>
    <w:rsid w:val="001603EF"/>
    <w:rsid w:val="00161634"/>
    <w:rsid w:val="001618EF"/>
    <w:rsid w:val="001624C4"/>
    <w:rsid w:val="001654CD"/>
    <w:rsid w:val="00175B5C"/>
    <w:rsid w:val="001762F4"/>
    <w:rsid w:val="00180799"/>
    <w:rsid w:val="00180A9B"/>
    <w:rsid w:val="00185F71"/>
    <w:rsid w:val="00195226"/>
    <w:rsid w:val="001A1DAF"/>
    <w:rsid w:val="001A5804"/>
    <w:rsid w:val="001A680C"/>
    <w:rsid w:val="001C01BE"/>
    <w:rsid w:val="001C3DA0"/>
    <w:rsid w:val="001C426A"/>
    <w:rsid w:val="001C7DB2"/>
    <w:rsid w:val="001D47AD"/>
    <w:rsid w:val="001D5B54"/>
    <w:rsid w:val="001D6C2D"/>
    <w:rsid w:val="001E252D"/>
    <w:rsid w:val="001E32DF"/>
    <w:rsid w:val="001E3406"/>
    <w:rsid w:val="0020239B"/>
    <w:rsid w:val="002134AC"/>
    <w:rsid w:val="0022051E"/>
    <w:rsid w:val="00221600"/>
    <w:rsid w:val="00222468"/>
    <w:rsid w:val="00223498"/>
    <w:rsid w:val="00224D08"/>
    <w:rsid w:val="002267E3"/>
    <w:rsid w:val="00231AB1"/>
    <w:rsid w:val="00232A16"/>
    <w:rsid w:val="0024045F"/>
    <w:rsid w:val="00250CC6"/>
    <w:rsid w:val="00251580"/>
    <w:rsid w:val="00257F01"/>
    <w:rsid w:val="002616CF"/>
    <w:rsid w:val="00263733"/>
    <w:rsid w:val="00263F0A"/>
    <w:rsid w:val="00264677"/>
    <w:rsid w:val="00265C31"/>
    <w:rsid w:val="0027069A"/>
    <w:rsid w:val="00274C5B"/>
    <w:rsid w:val="00293639"/>
    <w:rsid w:val="0029601B"/>
    <w:rsid w:val="002A113E"/>
    <w:rsid w:val="002B5C49"/>
    <w:rsid w:val="002B6766"/>
    <w:rsid w:val="002C0C76"/>
    <w:rsid w:val="002C2285"/>
    <w:rsid w:val="002C5A84"/>
    <w:rsid w:val="002C76FF"/>
    <w:rsid w:val="002D019D"/>
    <w:rsid w:val="002D3349"/>
    <w:rsid w:val="002D638C"/>
    <w:rsid w:val="002D68BB"/>
    <w:rsid w:val="002E03CF"/>
    <w:rsid w:val="002F0EEA"/>
    <w:rsid w:val="002F20A7"/>
    <w:rsid w:val="002F20B5"/>
    <w:rsid w:val="002F3FD3"/>
    <w:rsid w:val="00316776"/>
    <w:rsid w:val="003223F2"/>
    <w:rsid w:val="00322A0D"/>
    <w:rsid w:val="00322CDE"/>
    <w:rsid w:val="003235C8"/>
    <w:rsid w:val="003317DE"/>
    <w:rsid w:val="00333FF1"/>
    <w:rsid w:val="00334002"/>
    <w:rsid w:val="00343773"/>
    <w:rsid w:val="00356156"/>
    <w:rsid w:val="00360A3F"/>
    <w:rsid w:val="00364C07"/>
    <w:rsid w:val="00377CB0"/>
    <w:rsid w:val="00381E67"/>
    <w:rsid w:val="003871AB"/>
    <w:rsid w:val="00395E1F"/>
    <w:rsid w:val="00396F46"/>
    <w:rsid w:val="00397058"/>
    <w:rsid w:val="003A4334"/>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6CC9"/>
    <w:rsid w:val="0042549A"/>
    <w:rsid w:val="00430A78"/>
    <w:rsid w:val="0043449E"/>
    <w:rsid w:val="00436873"/>
    <w:rsid w:val="00436B59"/>
    <w:rsid w:val="004413CD"/>
    <w:rsid w:val="0044258D"/>
    <w:rsid w:val="00443A60"/>
    <w:rsid w:val="00444B1D"/>
    <w:rsid w:val="00444B3C"/>
    <w:rsid w:val="0044788D"/>
    <w:rsid w:val="00447BBB"/>
    <w:rsid w:val="00454375"/>
    <w:rsid w:val="00466097"/>
    <w:rsid w:val="004664EA"/>
    <w:rsid w:val="00473F99"/>
    <w:rsid w:val="00476433"/>
    <w:rsid w:val="00485BD0"/>
    <w:rsid w:val="00486B51"/>
    <w:rsid w:val="00487152"/>
    <w:rsid w:val="00487F47"/>
    <w:rsid w:val="00492E40"/>
    <w:rsid w:val="004968FC"/>
    <w:rsid w:val="004A10BC"/>
    <w:rsid w:val="004A5E36"/>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667A"/>
    <w:rsid w:val="00590D1E"/>
    <w:rsid w:val="005913E9"/>
    <w:rsid w:val="0059243E"/>
    <w:rsid w:val="00595574"/>
    <w:rsid w:val="00597208"/>
    <w:rsid w:val="005A0EE4"/>
    <w:rsid w:val="005A3266"/>
    <w:rsid w:val="005A3959"/>
    <w:rsid w:val="005A4F66"/>
    <w:rsid w:val="005A76D0"/>
    <w:rsid w:val="005A7EB2"/>
    <w:rsid w:val="005B106E"/>
    <w:rsid w:val="005B16AE"/>
    <w:rsid w:val="005B25B6"/>
    <w:rsid w:val="005B2E32"/>
    <w:rsid w:val="005B5936"/>
    <w:rsid w:val="005B65AE"/>
    <w:rsid w:val="005C3DA2"/>
    <w:rsid w:val="005D08DB"/>
    <w:rsid w:val="005D1768"/>
    <w:rsid w:val="005D2492"/>
    <w:rsid w:val="005E1B3A"/>
    <w:rsid w:val="005E1B7D"/>
    <w:rsid w:val="005E24FB"/>
    <w:rsid w:val="005F2661"/>
    <w:rsid w:val="005F5AF5"/>
    <w:rsid w:val="0060105E"/>
    <w:rsid w:val="0061026F"/>
    <w:rsid w:val="0061261C"/>
    <w:rsid w:val="00623B25"/>
    <w:rsid w:val="0062589E"/>
    <w:rsid w:val="00625A3C"/>
    <w:rsid w:val="00633F98"/>
    <w:rsid w:val="00634932"/>
    <w:rsid w:val="006447D8"/>
    <w:rsid w:val="00644F28"/>
    <w:rsid w:val="00646785"/>
    <w:rsid w:val="0065187E"/>
    <w:rsid w:val="00655684"/>
    <w:rsid w:val="00661A1D"/>
    <w:rsid w:val="00667BBF"/>
    <w:rsid w:val="006731F3"/>
    <w:rsid w:val="00676B85"/>
    <w:rsid w:val="006849A3"/>
    <w:rsid w:val="00685EA7"/>
    <w:rsid w:val="00687F77"/>
    <w:rsid w:val="00693FBE"/>
    <w:rsid w:val="006A16C7"/>
    <w:rsid w:val="006A7DC3"/>
    <w:rsid w:val="006B1075"/>
    <w:rsid w:val="006B242A"/>
    <w:rsid w:val="006B366F"/>
    <w:rsid w:val="006B51C2"/>
    <w:rsid w:val="006C10F3"/>
    <w:rsid w:val="006C2E76"/>
    <w:rsid w:val="006C54C9"/>
    <w:rsid w:val="006C5B8A"/>
    <w:rsid w:val="006C635A"/>
    <w:rsid w:val="006C66D0"/>
    <w:rsid w:val="006E413B"/>
    <w:rsid w:val="006E78B0"/>
    <w:rsid w:val="006F08C1"/>
    <w:rsid w:val="006F1837"/>
    <w:rsid w:val="006F3CD1"/>
    <w:rsid w:val="006F6E84"/>
    <w:rsid w:val="006F7671"/>
    <w:rsid w:val="0070272D"/>
    <w:rsid w:val="00703A9A"/>
    <w:rsid w:val="00704C25"/>
    <w:rsid w:val="00705F1D"/>
    <w:rsid w:val="00706AC7"/>
    <w:rsid w:val="00711248"/>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3616"/>
    <w:rsid w:val="007969DC"/>
    <w:rsid w:val="00797AF9"/>
    <w:rsid w:val="007A31DC"/>
    <w:rsid w:val="007A4629"/>
    <w:rsid w:val="007B29E4"/>
    <w:rsid w:val="007B3A5C"/>
    <w:rsid w:val="007C1F01"/>
    <w:rsid w:val="007C428F"/>
    <w:rsid w:val="007D0B0F"/>
    <w:rsid w:val="007D39B9"/>
    <w:rsid w:val="007D5015"/>
    <w:rsid w:val="007D7D94"/>
    <w:rsid w:val="007E3985"/>
    <w:rsid w:val="007F4090"/>
    <w:rsid w:val="007F4183"/>
    <w:rsid w:val="0080063F"/>
    <w:rsid w:val="008022F1"/>
    <w:rsid w:val="00802EEF"/>
    <w:rsid w:val="00810AE7"/>
    <w:rsid w:val="008163F3"/>
    <w:rsid w:val="008173B3"/>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A09DC"/>
    <w:rsid w:val="008A2025"/>
    <w:rsid w:val="008A3C31"/>
    <w:rsid w:val="008A5676"/>
    <w:rsid w:val="008A69EA"/>
    <w:rsid w:val="008A7D25"/>
    <w:rsid w:val="008B0F36"/>
    <w:rsid w:val="008B563E"/>
    <w:rsid w:val="008B5953"/>
    <w:rsid w:val="008C140C"/>
    <w:rsid w:val="008C2AA8"/>
    <w:rsid w:val="008C6138"/>
    <w:rsid w:val="008D1B67"/>
    <w:rsid w:val="008D1C47"/>
    <w:rsid w:val="008D5F2C"/>
    <w:rsid w:val="008E18C4"/>
    <w:rsid w:val="008E1DF8"/>
    <w:rsid w:val="008E3A29"/>
    <w:rsid w:val="008E7947"/>
    <w:rsid w:val="0090102E"/>
    <w:rsid w:val="00911D75"/>
    <w:rsid w:val="0091315E"/>
    <w:rsid w:val="009139AE"/>
    <w:rsid w:val="00916122"/>
    <w:rsid w:val="00917C97"/>
    <w:rsid w:val="00920354"/>
    <w:rsid w:val="00922314"/>
    <w:rsid w:val="0093756B"/>
    <w:rsid w:val="00937A35"/>
    <w:rsid w:val="009400C2"/>
    <w:rsid w:val="009462FA"/>
    <w:rsid w:val="009505DD"/>
    <w:rsid w:val="00955905"/>
    <w:rsid w:val="00955E14"/>
    <w:rsid w:val="00956806"/>
    <w:rsid w:val="00962E14"/>
    <w:rsid w:val="00964790"/>
    <w:rsid w:val="0096761A"/>
    <w:rsid w:val="009705B3"/>
    <w:rsid w:val="00971016"/>
    <w:rsid w:val="009813A6"/>
    <w:rsid w:val="00983AC0"/>
    <w:rsid w:val="00986693"/>
    <w:rsid w:val="009A1384"/>
    <w:rsid w:val="009B00D4"/>
    <w:rsid w:val="009B7B1F"/>
    <w:rsid w:val="009B7DC9"/>
    <w:rsid w:val="009C2244"/>
    <w:rsid w:val="009C3C7B"/>
    <w:rsid w:val="009C3CD5"/>
    <w:rsid w:val="009D1D31"/>
    <w:rsid w:val="009D3949"/>
    <w:rsid w:val="009D5B9E"/>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B01F6"/>
    <w:rsid w:val="00AB0DB7"/>
    <w:rsid w:val="00AB0E27"/>
    <w:rsid w:val="00AC0B1A"/>
    <w:rsid w:val="00AC24D4"/>
    <w:rsid w:val="00AC28E3"/>
    <w:rsid w:val="00AC46F5"/>
    <w:rsid w:val="00AC4F32"/>
    <w:rsid w:val="00AD191A"/>
    <w:rsid w:val="00AD5DDB"/>
    <w:rsid w:val="00AD721B"/>
    <w:rsid w:val="00AD783C"/>
    <w:rsid w:val="00AE3A7F"/>
    <w:rsid w:val="00AE6B9C"/>
    <w:rsid w:val="00AF62C2"/>
    <w:rsid w:val="00AF65B5"/>
    <w:rsid w:val="00B00D76"/>
    <w:rsid w:val="00B035A4"/>
    <w:rsid w:val="00B03D10"/>
    <w:rsid w:val="00B05FDA"/>
    <w:rsid w:val="00B13ACD"/>
    <w:rsid w:val="00B146C0"/>
    <w:rsid w:val="00B32E4E"/>
    <w:rsid w:val="00B404C9"/>
    <w:rsid w:val="00B43F32"/>
    <w:rsid w:val="00B443F1"/>
    <w:rsid w:val="00B4456F"/>
    <w:rsid w:val="00B57877"/>
    <w:rsid w:val="00B61F61"/>
    <w:rsid w:val="00B62BCE"/>
    <w:rsid w:val="00B63BBC"/>
    <w:rsid w:val="00B802A8"/>
    <w:rsid w:val="00B80C26"/>
    <w:rsid w:val="00B90CF8"/>
    <w:rsid w:val="00B91986"/>
    <w:rsid w:val="00B96E4F"/>
    <w:rsid w:val="00BA28F5"/>
    <w:rsid w:val="00BA688E"/>
    <w:rsid w:val="00BB3408"/>
    <w:rsid w:val="00BB4052"/>
    <w:rsid w:val="00BB46BB"/>
    <w:rsid w:val="00BB5DCC"/>
    <w:rsid w:val="00BC002D"/>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39B3"/>
    <w:rsid w:val="00C34D41"/>
    <w:rsid w:val="00C35EB8"/>
    <w:rsid w:val="00C35FAB"/>
    <w:rsid w:val="00C41CBC"/>
    <w:rsid w:val="00C44E75"/>
    <w:rsid w:val="00C45804"/>
    <w:rsid w:val="00C472D8"/>
    <w:rsid w:val="00C476E1"/>
    <w:rsid w:val="00C56B6D"/>
    <w:rsid w:val="00C61182"/>
    <w:rsid w:val="00C62DC1"/>
    <w:rsid w:val="00C70BF8"/>
    <w:rsid w:val="00C74AAF"/>
    <w:rsid w:val="00C76706"/>
    <w:rsid w:val="00C87AB5"/>
    <w:rsid w:val="00C923DD"/>
    <w:rsid w:val="00C93ED6"/>
    <w:rsid w:val="00C93FA9"/>
    <w:rsid w:val="00CA1B14"/>
    <w:rsid w:val="00CB0A76"/>
    <w:rsid w:val="00CB0E67"/>
    <w:rsid w:val="00CB58DD"/>
    <w:rsid w:val="00CC2551"/>
    <w:rsid w:val="00CC365B"/>
    <w:rsid w:val="00CC3C32"/>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651EB"/>
    <w:rsid w:val="00D66F8C"/>
    <w:rsid w:val="00D70734"/>
    <w:rsid w:val="00D70797"/>
    <w:rsid w:val="00D73F64"/>
    <w:rsid w:val="00D85C3B"/>
    <w:rsid w:val="00D9144F"/>
    <w:rsid w:val="00DA5FAE"/>
    <w:rsid w:val="00DA6668"/>
    <w:rsid w:val="00DB67ED"/>
    <w:rsid w:val="00DC034B"/>
    <w:rsid w:val="00DC7903"/>
    <w:rsid w:val="00DD4E9D"/>
    <w:rsid w:val="00DD771C"/>
    <w:rsid w:val="00DE4849"/>
    <w:rsid w:val="00DE6946"/>
    <w:rsid w:val="00DF30DF"/>
    <w:rsid w:val="00DF6DD4"/>
    <w:rsid w:val="00E01563"/>
    <w:rsid w:val="00E031FB"/>
    <w:rsid w:val="00E10780"/>
    <w:rsid w:val="00E11EF3"/>
    <w:rsid w:val="00E17706"/>
    <w:rsid w:val="00E31EA9"/>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9009E"/>
    <w:rsid w:val="00EA0044"/>
    <w:rsid w:val="00EA2C08"/>
    <w:rsid w:val="00EA69AC"/>
    <w:rsid w:val="00EB684E"/>
    <w:rsid w:val="00EC25CF"/>
    <w:rsid w:val="00EC39A6"/>
    <w:rsid w:val="00EC4694"/>
    <w:rsid w:val="00EE7D55"/>
    <w:rsid w:val="00EF040F"/>
    <w:rsid w:val="00EF161C"/>
    <w:rsid w:val="00EF1678"/>
    <w:rsid w:val="00EF40E0"/>
    <w:rsid w:val="00F05002"/>
    <w:rsid w:val="00F1554E"/>
    <w:rsid w:val="00F17A30"/>
    <w:rsid w:val="00F20D35"/>
    <w:rsid w:val="00F262C5"/>
    <w:rsid w:val="00F27EBE"/>
    <w:rsid w:val="00F43BA7"/>
    <w:rsid w:val="00F4536C"/>
    <w:rsid w:val="00F55531"/>
    <w:rsid w:val="00F55B8F"/>
    <w:rsid w:val="00F5781A"/>
    <w:rsid w:val="00F628F0"/>
    <w:rsid w:val="00F71C4B"/>
    <w:rsid w:val="00F73EE4"/>
    <w:rsid w:val="00F74068"/>
    <w:rsid w:val="00F77CC4"/>
    <w:rsid w:val="00F80355"/>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009B23D7-CC14-48CE-8466-9A41AD476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IC-XX-XXXXXXX" TargetMode="External"/><Relationship Id="rId18" Type="http://schemas.openxmlformats.org/officeDocument/2006/relationships/hyperlink" Target="https://doi.org/10.25255/jss.2019.8.4.611.629" TargetMode="External"/><Relationship Id="rId26" Type="http://schemas.openxmlformats.org/officeDocument/2006/relationships/hyperlink" Target="https://doi.org/10.3390/su16072688" TargetMode="External"/><Relationship Id="rId3" Type="http://schemas.openxmlformats.org/officeDocument/2006/relationships/styles" Target="styles.xml"/><Relationship Id="rId21" Type="http://schemas.openxmlformats.org/officeDocument/2006/relationships/hyperlink" Target="https://doi.org/10.56201/ijssmr.vol.11no2.2025.pg.331.342" TargetMode="External"/><Relationship Id="rId7" Type="http://schemas.openxmlformats.org/officeDocument/2006/relationships/endnotes" Target="endnotes.xml"/><Relationship Id="rId12" Type="http://schemas.openxmlformats.org/officeDocument/2006/relationships/hyperlink" Target="https://doi.org/10.31185/.Vol18.Iss51.276" TargetMode="External"/><Relationship Id="rId17" Type="http://schemas.openxmlformats.org/officeDocument/2006/relationships/hyperlink" Target="https://www.researchgate.net/publication/360526043" TargetMode="External"/><Relationship Id="rId25" Type="http://schemas.openxmlformats.org/officeDocument/2006/relationships/hyperlink" Target="https://doi.org/10.7753/IJSEA1308.102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rounddeal.com/" TargetMode="External"/><Relationship Id="rId20" Type="http://schemas.openxmlformats.org/officeDocument/2006/relationships/hyperlink" Target="https://doi.org/10.5539/ass.v12n7p10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5130/tjaes.17.53.1.29" TargetMode="External"/><Relationship Id="rId24" Type="http://schemas.openxmlformats.org/officeDocument/2006/relationships/hyperlink" Target="https://doi.org/10.62711/ijite.v2i4.16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52316382" TargetMode="External"/><Relationship Id="rId23" Type="http://schemas.openxmlformats.org/officeDocument/2006/relationships/hyperlink" Target="https://www.spa.gov.sa/" TargetMode="External"/><Relationship Id="rId28" Type="http://schemas.openxmlformats.org/officeDocument/2006/relationships/header" Target="header2.xml"/><Relationship Id="rId10" Type="http://schemas.openxmlformats.org/officeDocument/2006/relationships/hyperlink" Target="https://doi.org/10.21608/jces.2021.168626" TargetMode="External"/><Relationship Id="rId19" Type="http://schemas.openxmlformats.org/officeDocument/2006/relationships/hyperlink" Target="https://www.media.gov.sa/"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rounddeal.com/" TargetMode="External"/><Relationship Id="rId14" Type="http://schemas.openxmlformats.org/officeDocument/2006/relationships/hyperlink" Target="http://www.ijhcum.net/" TargetMode="External"/><Relationship Id="rId22" Type="http://schemas.openxmlformats.org/officeDocument/2006/relationships/hyperlink" Target="https://doi.org/10.21272/mmi.2023.1-07" TargetMode="External"/><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EB9A0-F14C-4323-84D4-4DA86440F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43</Pages>
  <Words>7940</Words>
  <Characters>45262</Characters>
  <Application>Microsoft Office Word</Application>
  <DocSecurity>0</DocSecurity>
  <Lines>377</Lines>
  <Paragraphs>106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SHULAYWIH HUDAYRIS MISHLAH ALMUTAIRIشليويح بن هديريس مشلح المطيري</cp:lastModifiedBy>
  <cp:revision>46</cp:revision>
  <cp:lastPrinted>2021-07-12T14:24:00Z</cp:lastPrinted>
  <dcterms:created xsi:type="dcterms:W3CDTF">2025-04-12T01:25:00Z</dcterms:created>
  <dcterms:modified xsi:type="dcterms:W3CDTF">2025-07-06T07:30:00Z</dcterms:modified>
</cp:coreProperties>
</file>