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b/>
        </w:rPr>
        <w:t>١- استخدام الجمهور للمنصات الرقمية في قضاء وقت الفراغ</w:t>
      </w:r>
    </w:p>
    <w:p/>
    <w:p>
      <w:pPr>
        <w:jc w:val="right"/>
      </w:pPr>
      <w:r>
        <w:rPr>
          <w:b/>
        </w:rPr>
        <w:t>٢- تفاعل الجمهور مع المحتوى الإعلامي عبر شبكات التواصل الاجتماعي</w:t>
      </w:r>
    </w:p>
    <w:p/>
    <w:p>
      <w:pPr>
        <w:jc w:val="right"/>
      </w:pPr>
      <w:r>
        <w:rPr>
          <w:b/>
        </w:rPr>
        <w:t>٣- تأثير المحتوى الرقمي على السلوك والقيم الاجتماعية لدى الجمهور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