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02C34" w14:textId="0F78DA8D" w:rsidR="009F49EF" w:rsidRDefault="00464963">
      <w:pPr>
        <w:spacing w:after="2400"/>
      </w:pPr>
      <w:r>
        <w:rPr>
          <w:noProof/>
        </w:rPr>
        <w:drawing>
          <wp:anchor distT="0" distB="0" distL="114300" distR="114300" simplePos="0" relativeHeight="251658240" behindDoc="0" locked="0" layoutInCell="1" allowOverlap="1" wp14:anchorId="66CFE5D2" wp14:editId="1555BD14">
            <wp:simplePos x="0" y="0"/>
            <wp:positionH relativeFrom="margin">
              <wp:align>center</wp:align>
            </wp:positionH>
            <wp:positionV relativeFrom="paragraph">
              <wp:posOffset>106680</wp:posOffset>
            </wp:positionV>
            <wp:extent cx="1767840" cy="1767840"/>
            <wp:effectExtent l="0" t="0" r="3810" b="3810"/>
            <wp:wrapNone/>
            <wp:docPr id="130370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67840" cy="1767840"/>
                    </a:xfrm>
                    <a:prstGeom prst="rect">
                      <a:avLst/>
                    </a:prstGeom>
                    <a:noFill/>
                    <a:ln>
                      <a:noFill/>
                    </a:ln>
                  </pic:spPr>
                </pic:pic>
              </a:graphicData>
            </a:graphic>
          </wp:anchor>
        </w:drawing>
      </w:r>
    </w:p>
    <w:p w14:paraId="439E112B" w14:textId="1FE78227" w:rsidR="009F49EF" w:rsidRDefault="009F49EF">
      <w:pPr>
        <w:spacing w:after="1200"/>
      </w:pPr>
    </w:p>
    <w:p w14:paraId="2205874C" w14:textId="77777777" w:rsidR="009F49EF" w:rsidRDefault="00000000">
      <w:pPr>
        <w:spacing w:after="1200"/>
        <w:jc w:val="center"/>
        <w:rPr>
          <w:b/>
          <w:bCs/>
          <w:sz w:val="32"/>
          <w:szCs w:val="32"/>
          <w:rtl/>
        </w:rPr>
      </w:pPr>
      <w:r>
        <w:rPr>
          <w:b/>
          <w:bCs/>
          <w:sz w:val="32"/>
          <w:szCs w:val="32"/>
        </w:rPr>
        <w:t>The Role of Financial Technology in Promoting Financial Inclusion</w:t>
      </w:r>
    </w:p>
    <w:p w14:paraId="391C6865" w14:textId="77777777" w:rsidR="00464963" w:rsidRDefault="00464963">
      <w:pPr>
        <w:spacing w:after="1200"/>
        <w:jc w:val="center"/>
        <w:rPr>
          <w:b/>
          <w:bCs/>
          <w:sz w:val="32"/>
          <w:szCs w:val="32"/>
          <w:rtl/>
        </w:rPr>
      </w:pPr>
    </w:p>
    <w:p w14:paraId="617FF7E7" w14:textId="77777777" w:rsidR="00464963" w:rsidRDefault="00464963">
      <w:pPr>
        <w:spacing w:after="1200"/>
        <w:jc w:val="center"/>
        <w:rPr>
          <w:b/>
          <w:bCs/>
          <w:sz w:val="32"/>
          <w:szCs w:val="32"/>
          <w:rtl/>
        </w:rPr>
      </w:pPr>
    </w:p>
    <w:p w14:paraId="58F6F65A" w14:textId="77777777" w:rsidR="00464963" w:rsidRDefault="00464963">
      <w:pPr>
        <w:spacing w:after="1200"/>
        <w:jc w:val="center"/>
      </w:pPr>
    </w:p>
    <w:p w14:paraId="49243EEF" w14:textId="77777777" w:rsidR="009F49EF" w:rsidRDefault="00000000">
      <w:pPr>
        <w:spacing w:after="120"/>
        <w:jc w:val="center"/>
      </w:pPr>
      <w:r>
        <w:t xml:space="preserve">Prepared by: Hattan </w:t>
      </w:r>
      <w:proofErr w:type="spellStart"/>
      <w:r>
        <w:t>Altalyoni</w:t>
      </w:r>
      <w:proofErr w:type="spellEnd"/>
    </w:p>
    <w:p w14:paraId="0E8F25E0" w14:textId="77777777" w:rsidR="009F49EF" w:rsidRDefault="00000000">
      <w:pPr>
        <w:spacing w:after="120"/>
        <w:jc w:val="center"/>
      </w:pPr>
      <w:r>
        <w:t xml:space="preserve">Supervised by: Dr. Fayez </w:t>
      </w:r>
      <w:proofErr w:type="spellStart"/>
      <w:r>
        <w:t>Jrad</w:t>
      </w:r>
      <w:proofErr w:type="spellEnd"/>
    </w:p>
    <w:p w14:paraId="24ACCE0E" w14:textId="77777777" w:rsidR="009F49EF" w:rsidRDefault="00000000">
      <w:pPr>
        <w:spacing w:after="120"/>
        <w:jc w:val="center"/>
      </w:pPr>
      <w:r>
        <w:t>Year: 2026</w:t>
      </w:r>
    </w:p>
    <w:p w14:paraId="1469B419" w14:textId="77777777" w:rsidR="009F49EF" w:rsidRDefault="00000000">
      <w:pPr>
        <w:pageBreakBefore/>
      </w:pPr>
      <w:r>
        <w:lastRenderedPageBreak/>
        <w:br/>
      </w:r>
    </w:p>
    <w:p w14:paraId="362EE1B9" w14:textId="77777777" w:rsidR="009F49EF" w:rsidRDefault="00000000">
      <w:pPr>
        <w:pStyle w:val="Heading1"/>
        <w:spacing w:before="480" w:after="240"/>
      </w:pPr>
      <w:r>
        <w:t>Introduction</w:t>
      </w:r>
    </w:p>
    <w:p w14:paraId="3F964A5A" w14:textId="77777777" w:rsidR="009F49EF" w:rsidRDefault="00000000">
      <w:pPr>
        <w:spacing w:after="200" w:line="360" w:lineRule="auto"/>
        <w:jc w:val="both"/>
      </w:pPr>
      <w:r>
        <w:t xml:space="preserve">Financial services across the Middle East have historically been organized around physical branch networks and personal relationships with bank staff, backed by paper documentation that assumed a customer who could produce it. Opening a savings account often </w:t>
      </w:r>
      <w:proofErr w:type="gramStart"/>
      <w:r>
        <w:t>required</w:t>
      </w:r>
      <w:proofErr w:type="gramEnd"/>
      <w:r>
        <w:t xml:space="preserve"> several in-person visits. That model served customers who could meet its requirements. It left everyone else out.</w:t>
      </w:r>
    </w:p>
    <w:p w14:paraId="03AF37DD" w14:textId="77777777" w:rsidR="009F49EF" w:rsidRDefault="00000000">
      <w:pPr>
        <w:spacing w:after="200" w:line="360" w:lineRule="auto"/>
        <w:jc w:val="both"/>
      </w:pPr>
      <w:r>
        <w:t>Millions of people in the region could not meet the model's basic entry requirements. Low or irregular income disqualified some; missing documentation disqualified others; for those in remote areas, the nearest branch was often too far to reach regularly. The model's own cost structure made that exclusion close to inevitable: pricing branches, staff, and paperwork into every account meant pricing out anyone who could not absorb that overhead.</w:t>
      </w:r>
    </w:p>
    <w:p w14:paraId="73FED29A" w14:textId="77777777" w:rsidR="009F49EF" w:rsidRDefault="00000000">
      <w:pPr>
        <w:pStyle w:val="Heading2"/>
        <w:spacing w:before="360" w:after="200"/>
      </w:pPr>
      <w:r>
        <w:t>The decline of the branch-based model</w:t>
      </w:r>
    </w:p>
    <w:p w14:paraId="11E25C6D" w14:textId="77777777" w:rsidR="009F49EF" w:rsidRDefault="00000000">
      <w:pPr>
        <w:spacing w:after="200" w:line="360" w:lineRule="auto"/>
        <w:jc w:val="both"/>
      </w:pPr>
      <w:r>
        <w:t xml:space="preserve">Smartphone penetration and mobile connectivity have changed the underlying economics. A digital financial service is not bound to a branch location or a teller's working hours, and it can serve a customer at a fraction of the cost per transaction that a physical branch requires. Traditional banks, by contrast, carry costs a digital entrant </w:t>
      </w:r>
      <w:proofErr w:type="gramStart"/>
      <w:r>
        <w:t>does</w:t>
      </w:r>
      <w:proofErr w:type="gramEnd"/>
      <w:r>
        <w:t xml:space="preserve"> not. Branch networks and the back-office staff needed to run them are one layer of that; legacy IT systems, built decades ago around paper processes, are another, and often the harder one to unwind. Those costs do not disappear just because a bank adds a mobile app; they simply sit alongside it.</w:t>
      </w:r>
    </w:p>
    <w:p w14:paraId="34008C74" w14:textId="77777777" w:rsidR="009F49EF" w:rsidRDefault="00000000">
      <w:pPr>
        <w:spacing w:after="200" w:line="360" w:lineRule="auto"/>
        <w:jc w:val="both"/>
      </w:pPr>
      <w:r>
        <w:t>This restructures how financial services are priced and delivered, and it changes who can profitably be served at all, a shift well past an incremental improvement to the existing banking model.</w:t>
      </w:r>
    </w:p>
    <w:p w14:paraId="1419033A" w14:textId="77777777" w:rsidR="009F49EF" w:rsidRDefault="00000000">
      <w:pPr>
        <w:pStyle w:val="Heading2"/>
        <w:spacing w:before="360" w:after="200"/>
      </w:pPr>
      <w:r>
        <w:t>Financial technology and the unbundling of banking</w:t>
      </w:r>
    </w:p>
    <w:p w14:paraId="1E9D8DAE" w14:textId="77777777" w:rsidR="009F49EF" w:rsidRDefault="00000000">
      <w:pPr>
        <w:spacing w:after="200" w:line="360" w:lineRule="auto"/>
        <w:jc w:val="both"/>
      </w:pPr>
      <w:r>
        <w:t xml:space="preserve">Financial technology, commonly referred to as FinTech, sits at the center of that restructuring. FinTech firms apply artificial intelligence, blockchain, cloud computing, and big-data analytics to deliver a specific financial service, payments or lending, for instance, more cheaply and with less friction than an incumbent bank typically can. Rather than replicating the full range of services a </w:t>
      </w:r>
      <w:r>
        <w:lastRenderedPageBreak/>
        <w:t>bank offers, a FinTech firm usually unbundles banking into a single discrete service and competes on that service alone.</w:t>
      </w:r>
    </w:p>
    <w:p w14:paraId="1D511C3D" w14:textId="77777777" w:rsidR="009F49EF" w:rsidRDefault="00000000">
      <w:pPr>
        <w:spacing w:after="200" w:line="360" w:lineRule="auto"/>
        <w:jc w:val="both"/>
      </w:pPr>
      <w:r>
        <w:t>The effect has been to lower the barriers to entry for financial-service provision generally. A lending product no longer requires a branch network or a large workforce to originate; it requires a working credit model and a channel to reach a customer's phone. Digital entrants also do not carry the overhead of a physical branch network, which means their cost structure allows them to serve segments a bank would find unprofitable. Customers, for their part, have shown limited patience for processes that take days rather than minutes, which rewards firms that can complete a transaction in a few taps. And because a small technology team can revise its product within days of receiving market feedback, digital entrants iterate at a pace no branch-based institution can realistically match.</w:t>
      </w:r>
    </w:p>
    <w:p w14:paraId="4BB50356" w14:textId="77777777" w:rsidR="009F49EF" w:rsidRDefault="00000000">
      <w:pPr>
        <w:pStyle w:val="Heading2"/>
        <w:spacing w:before="360" w:after="200"/>
      </w:pPr>
      <w:r>
        <w:t>Financial inclusion as a policy objective</w:t>
      </w:r>
    </w:p>
    <w:p w14:paraId="7A4DD667" w14:textId="77777777" w:rsidR="009F49EF" w:rsidRDefault="00000000">
      <w:pPr>
        <w:spacing w:after="200" w:line="360" w:lineRule="auto"/>
        <w:jc w:val="both"/>
      </w:pPr>
      <w:r>
        <w:t>Financial inclusion refers to extending formal financial services, savings, credit, insurance, to people currently excluded from them, often because they live in areas where a branch is not commercially viable, or because they work informally and cannot produce a credit history. The United Nations and the World Bank have both identified financial inclusion as a precondition for poverty reduction, not merely a byproduct of it: without the ability to save securely or borrow on reasonable terms, low-income households remain exposed to shocks and have limited capacity to invest in their own income-generating activity.</w:t>
      </w:r>
    </w:p>
    <w:p w14:paraId="1727174B" w14:textId="77777777" w:rsidR="009F49EF" w:rsidRDefault="00000000">
      <w:pPr>
        <w:spacing w:after="200" w:line="360" w:lineRule="auto"/>
        <w:jc w:val="both"/>
      </w:pPr>
      <w:r>
        <w:t xml:space="preserve">The 2030 Agenda for Sustainable Development treats financial inclusion as an enabler of several Sustainable Development Goals, including poverty reduction and gender equality. A woman with access to her own digital wallet has a degree of financial autonomy she may not have had before. A smallholder farmer able to </w:t>
      </w:r>
      <w:proofErr w:type="gramStart"/>
      <w:r>
        <w:t>insure</w:t>
      </w:r>
      <w:proofErr w:type="gramEnd"/>
      <w:r>
        <w:t xml:space="preserve"> his crop through a mobile channel can take on productive risk he would otherwise avoid entirely. The underlying argument treats inclusion as a precondition for participating in the market economy at all: without it, market participation is foreclosed before it starts, whatever the separate charitable case for helping the poor might be.</w:t>
      </w:r>
    </w:p>
    <w:p w14:paraId="51B5650C" w14:textId="77777777" w:rsidR="009F49EF" w:rsidRDefault="00000000">
      <w:pPr>
        <w:pStyle w:val="Heading2"/>
        <w:spacing w:before="360" w:after="200"/>
      </w:pPr>
      <w:r>
        <w:t>The smartphone as a substitute for the branch</w:t>
      </w:r>
    </w:p>
    <w:p w14:paraId="36F25E2B" w14:textId="77777777" w:rsidR="009F49EF" w:rsidRDefault="00000000">
      <w:pPr>
        <w:spacing w:after="200" w:line="360" w:lineRule="auto"/>
        <w:jc w:val="both"/>
      </w:pPr>
      <w:r>
        <w:lastRenderedPageBreak/>
        <w:t>The mobile device is the mechanism connecting FinTech to inclusion outcomes. Where branch-based banking failed to reach dispersed or low-income populations because of its cost structure, mobile-based financial services can reach the same populations at a fraction of the marginal cost. A farmer in a remote area no longer needs to travel to a city to receive payment. A basic mobile device is sufficient.</w:t>
      </w:r>
    </w:p>
    <w:p w14:paraId="0B13652D" w14:textId="77777777" w:rsidR="009F49EF" w:rsidRDefault="00000000">
      <w:pPr>
        <w:spacing w:after="200" w:line="360" w:lineRule="auto"/>
        <w:jc w:val="both"/>
      </w:pPr>
      <w:r>
        <w:t>FinTech also addresses what is often called the data gap in credit assessment. Traditional lenders rely on formal credit histories, which excludes anyone who has never held a credit card or a bank loan. FinTech lenders instead draw on alternative data to assess creditworthiness. Utility and mobile bill payment history is one input, on the premise that a customer who reliably pays a phone bill is a reasonable bet to service a small loan. Transaction and spending patterns are a rough proxy for financial stability. Some lenders go further still, using behavioral or psychometric signals drawn from how a customer interacts with an app as an additional input into repayment risk, though the evidentiary basis for that last category remains considerably thinner than for the first two.</w:t>
      </w:r>
    </w:p>
    <w:p w14:paraId="021D22C1" w14:textId="77777777" w:rsidR="009F49EF" w:rsidRDefault="00000000">
      <w:pPr>
        <w:pStyle w:val="Heading2"/>
        <w:spacing w:before="360" w:after="200"/>
      </w:pPr>
      <w:r>
        <w:t>The case for a strategic framework</w:t>
      </w:r>
    </w:p>
    <w:p w14:paraId="32CAEA74" w14:textId="77777777" w:rsidR="009F49EF" w:rsidRDefault="00000000">
      <w:pPr>
        <w:spacing w:after="200" w:line="360" w:lineRule="auto"/>
        <w:jc w:val="both"/>
      </w:pPr>
      <w:r>
        <w:t xml:space="preserve">Access to technology does not, on its own, guarantee inclusion. Where digital literacy is low or internet access is unreliable, expanding FinTech without a </w:t>
      </w:r>
      <w:proofErr w:type="gramStart"/>
      <w:r>
        <w:t>coordinating strategy risks</w:t>
      </w:r>
      <w:proofErr w:type="gramEnd"/>
      <w:r>
        <w:t xml:space="preserve"> producing a new form of exclusion rather than closing the old one. Unregulated growth in the sector also raises data-privacy and cybersecurity risks that have already materialized in other markets where technology adoption outpaced regulatory capacity.</w:t>
      </w:r>
    </w:p>
    <w:p w14:paraId="2D9141A8" w14:textId="77777777" w:rsidR="009F49EF" w:rsidRDefault="00000000">
      <w:pPr>
        <w:spacing w:after="200" w:line="360" w:lineRule="auto"/>
        <w:jc w:val="both"/>
      </w:pPr>
      <w:r>
        <w:t xml:space="preserve">That is the gap this study addresses. Central banks and governments need more than </w:t>
      </w:r>
      <w:proofErr w:type="gramStart"/>
      <w:r>
        <w:t>a general</w:t>
      </w:r>
      <w:proofErr w:type="gramEnd"/>
      <w:r>
        <w:t xml:space="preserve"> instruction to "support innovation." They need a framework that specifies, concretely, how innovation should be balanced against consumer protection and systemic safety, one that gives regulators calibrated tools such as sandboxes to test new models without either blocking innovation outright or exposing the system to unmanaged risk, and that directs public and development capital toward measurable inclusion outcomes rather than toward sector growth for its own sake.</w:t>
      </w:r>
    </w:p>
    <w:p w14:paraId="38908886" w14:textId="77777777" w:rsidR="009F49EF" w:rsidRDefault="00000000">
      <w:pPr>
        <w:spacing w:after="200" w:line="360" w:lineRule="auto"/>
        <w:jc w:val="both"/>
      </w:pPr>
      <w:r>
        <w:t>This research develops such a framework, one meant to help policymakers use FinTech deliberately to extend the formal economy to populations it currently does not reach, from the largest urban centers to the smallest informal market.</w:t>
      </w:r>
    </w:p>
    <w:p w14:paraId="1BD242E4" w14:textId="77777777" w:rsidR="009F49EF" w:rsidRDefault="00000000">
      <w:pPr>
        <w:pStyle w:val="Heading1"/>
        <w:spacing w:before="480" w:after="240"/>
      </w:pPr>
      <w:r>
        <w:lastRenderedPageBreak/>
        <w:t>Research Problem</w:t>
      </w:r>
    </w:p>
    <w:p w14:paraId="6C5CDFDF" w14:textId="77777777" w:rsidR="009F49EF" w:rsidRDefault="00000000">
      <w:pPr>
        <w:spacing w:after="200" w:line="360" w:lineRule="auto"/>
        <w:jc w:val="both"/>
      </w:pPr>
      <w:r>
        <w:t xml:space="preserve">FinTech adoption is frequently treated as sufficient </w:t>
      </w:r>
      <w:proofErr w:type="gramStart"/>
      <w:r>
        <w:t>in itself to</w:t>
      </w:r>
      <w:proofErr w:type="gramEnd"/>
      <w:r>
        <w:t xml:space="preserve"> advance financial inclusion. The evidence does not support that assumption.</w:t>
      </w:r>
    </w:p>
    <w:p w14:paraId="42054CF2" w14:textId="77777777" w:rsidR="009F49EF" w:rsidRDefault="00000000">
      <w:pPr>
        <w:spacing w:after="200" w:line="360" w:lineRule="auto"/>
        <w:jc w:val="both"/>
      </w:pPr>
      <w:r>
        <w:t xml:space="preserve">A persistent usage gap separates account ownership from meaningful use. A person can be persuaded, or required by a government disbursement program, to open a digital wallet without ever using it for savings, credit, or insurance. If that pattern </w:t>
      </w:r>
      <w:proofErr w:type="gramStart"/>
      <w:r>
        <w:t>holds at</w:t>
      </w:r>
      <w:proofErr w:type="gramEnd"/>
      <w:r>
        <w:t xml:space="preserve"> scale, digital finance risks reproducing the exclusion of the traditional banking system under a different technical label, rather than correcting it.</w:t>
      </w:r>
    </w:p>
    <w:p w14:paraId="6065BF25" w14:textId="77777777" w:rsidR="009F49EF" w:rsidRDefault="00000000">
      <w:pPr>
        <w:pStyle w:val="Heading2"/>
        <w:spacing w:before="360" w:after="200"/>
      </w:pPr>
      <w:r>
        <w:t>Access without inclusion</w:t>
      </w:r>
    </w:p>
    <w:p w14:paraId="3A62E979" w14:textId="77777777" w:rsidR="009F49EF" w:rsidRDefault="00000000">
      <w:pPr>
        <w:spacing w:after="200" w:line="360" w:lineRule="auto"/>
        <w:jc w:val="both"/>
      </w:pPr>
      <w:r>
        <w:t xml:space="preserve">Data from the World Bank's Global Findex database </w:t>
      </w:r>
      <w:proofErr w:type="gramStart"/>
      <w:r>
        <w:t>show</w:t>
      </w:r>
      <w:proofErr w:type="gramEnd"/>
      <w:r>
        <w:t xml:space="preserve"> a large increase in the number of digital wallets and mobile money accounts opened across the region, alongside a much smaller increase in active use of those accounts. A large share of these accounts </w:t>
      </w:r>
      <w:proofErr w:type="gramStart"/>
      <w:r>
        <w:t>sit</w:t>
      </w:r>
      <w:proofErr w:type="gramEnd"/>
      <w:r>
        <w:t xml:space="preserve"> dormant after opening. That dormancy is the real story: it points to a failure to find product-market fit, dressed up in an account-opening statistic that looks like progress. Two examples make the point concrete. An account opened under a government mandate and never touched again for savings, credit, or insurance is a one-time administrative event. A wallet used only for occasional peer-to-peer transfers functions as little more than a digital cash box. Neither constitutes financial inclusion in any meaningful sense of the term, and the gap between the two is exactly what the region's usage statistics tend to obscure.</w:t>
      </w:r>
    </w:p>
    <w:p w14:paraId="7FA3AA88" w14:textId="77777777" w:rsidR="009F49EF" w:rsidRDefault="00000000">
      <w:pPr>
        <w:pStyle w:val="Heading2"/>
        <w:spacing w:before="360" w:after="200"/>
      </w:pPr>
      <w:r>
        <w:t>Misaligned incentives among stakeholders</w:t>
      </w:r>
    </w:p>
    <w:p w14:paraId="44D232F8" w14:textId="77777777" w:rsidR="009F49EF" w:rsidRDefault="00000000">
      <w:pPr>
        <w:spacing w:after="200" w:line="360" w:lineRule="auto"/>
        <w:jc w:val="both"/>
      </w:pPr>
      <w:r>
        <w:t>The actors who would need to coordinate to close this usage gap are not currently doing so, and their incentives point in different directions.</w:t>
      </w:r>
    </w:p>
    <w:p w14:paraId="4EFA2ED5" w14:textId="77777777" w:rsidR="009F49EF" w:rsidRDefault="00000000">
      <w:pPr>
        <w:spacing w:after="200" w:line="360" w:lineRule="auto"/>
        <w:jc w:val="both"/>
      </w:pPr>
      <w:r>
        <w:t xml:space="preserve">FinTech founders are typically evaluated on user acquisition and growth. That creates pressure to prioritize speed to scale over inclusive product design, since design choices that would improve uptake among lower-income or less digitally literate users rarely shorten the path to the next funding round, and get deprioritized as a result. Traditional banks face something closer to the opposite problem: digitization efforts are constrained by legacy systems, internal risk aversion, and organizational structures that were never built for rapid iteration, so banks continue serving </w:t>
      </w:r>
      <w:r>
        <w:lastRenderedPageBreak/>
        <w:t>roughly the customer base they always have, even as they invest in new digital channels. Regulators, for their part, are generally reacting to technology that has already been in the market for several years; anti-money-laundering and know-your-customer requirements, designed with a formally documented customer in mind, can inadvertently exclude applicants who lack a fixed address or a government-issued ID, which is precisely the population financial inclusion policy is meant to reach.</w:t>
      </w:r>
    </w:p>
    <w:p w14:paraId="6EE379F1" w14:textId="77777777" w:rsidR="009F49EF" w:rsidRDefault="00000000">
      <w:pPr>
        <w:spacing w:after="200" w:line="360" w:lineRule="auto"/>
        <w:jc w:val="both"/>
      </w:pPr>
      <w:r>
        <w:t xml:space="preserve">A fourth actor belongs in this picture and is often left out of it: telecommunications providers, who control the mobile infrastructure and, in several regional markets, the mobile-money rails that </w:t>
      </w:r>
      <w:proofErr w:type="spellStart"/>
      <w:r>
        <w:t>FinTechs</w:t>
      </w:r>
      <w:proofErr w:type="spellEnd"/>
      <w:r>
        <w:t xml:space="preserve"> and banks alike depend on. Where telcos compete with </w:t>
      </w:r>
      <w:proofErr w:type="spellStart"/>
      <w:r>
        <w:t>FinTechs</w:t>
      </w:r>
      <w:proofErr w:type="spellEnd"/>
      <w:r>
        <w:t xml:space="preserve"> for the same wallet business rather than partnering with them, the resulting turf war slows adoption for everyone. Because these four groups rarely coordinate as a matter of course, pilot programs tend to stay isolated rather than scale into durable infrastructure.</w:t>
      </w:r>
    </w:p>
    <w:p w14:paraId="27CA0737" w14:textId="77777777" w:rsidR="009F49EF" w:rsidRDefault="00000000">
      <w:pPr>
        <w:pStyle w:val="Heading2"/>
        <w:spacing w:before="360" w:after="200"/>
      </w:pPr>
      <w:r>
        <w:t>Structural barriers to adoption</w:t>
      </w:r>
    </w:p>
    <w:p w14:paraId="0C839BC8" w14:textId="77777777" w:rsidR="009F49EF" w:rsidRDefault="00000000">
      <w:pPr>
        <w:spacing w:after="200" w:line="360" w:lineRule="auto"/>
        <w:jc w:val="both"/>
      </w:pPr>
      <w:r>
        <w:t>The barriers limiting FinTech-driven inclusion are not independent of each other, though it is useful to separate them analytically.</w:t>
      </w:r>
    </w:p>
    <w:p w14:paraId="2FFBF01E" w14:textId="77777777" w:rsidR="009F49EF" w:rsidRDefault="00000000">
      <w:pPr>
        <w:spacing w:after="200" w:line="360" w:lineRule="auto"/>
        <w:jc w:val="both"/>
      </w:pPr>
      <w:r>
        <w:t>Regulation is one. Existing financial rules were built around branch-based institutions with paper documentation and do not accommodate decentralized, digital-first business models particularly well; strict identity-verification requirements can exclude informal-sector workers and residents of informal settlements before they ever reach the point of using a service. Infrastructure is another, and a more physical one: digital-only financial services assume stable smartphone access and reliable connectivity, an assumption that simply does not hold in many rural areas where electricity and network coverage are inconsistent. Extending digital-only services into such areas without complementary infrastructure investment risks creating a new category of exclusion defined by connectivity rather than income, which is arguably a worse outcome than the one it replaces, since it is harder to see and therefore harder to correct.</w:t>
      </w:r>
    </w:p>
    <w:p w14:paraId="6F378C08" w14:textId="77777777" w:rsidR="009F49EF" w:rsidRDefault="00000000">
      <w:pPr>
        <w:spacing w:after="200" w:line="360" w:lineRule="auto"/>
        <w:jc w:val="both"/>
      </w:pPr>
      <w:r>
        <w:t xml:space="preserve">The hardest barrier to address, and the one this study treats as the central behavioral variable, is trust. Populations without prior exposure to formal banking often do not understand how interest, fees, or digital security work, and are consequently reluctant to place savings into an account they cannot physically inspect. No amount of interface polish solves this on its own. It requires financial </w:t>
      </w:r>
      <w:r>
        <w:lastRenderedPageBreak/>
        <w:t>education and product design that build trust incrementally, transaction by transaction, rather than assuming it exists on day one.</w:t>
      </w:r>
    </w:p>
    <w:p w14:paraId="410406A4" w14:textId="77777777" w:rsidR="009F49EF" w:rsidRDefault="00000000">
      <w:pPr>
        <w:pStyle w:val="Heading2"/>
        <w:spacing w:before="360" w:after="200"/>
      </w:pPr>
      <w:r>
        <w:t xml:space="preserve">The gap in </w:t>
      </w:r>
      <w:proofErr w:type="gramStart"/>
      <w:r>
        <w:t>the literature</w:t>
      </w:r>
      <w:proofErr w:type="gramEnd"/>
    </w:p>
    <w:p w14:paraId="527FA59B" w14:textId="77777777" w:rsidR="009F49EF" w:rsidRDefault="00000000">
      <w:pPr>
        <w:spacing w:after="200" w:line="360" w:lineRule="auto"/>
        <w:jc w:val="both"/>
      </w:pPr>
      <w:r>
        <w:t xml:space="preserve">Existing research answers two questions reasonably well: how FinTech technology works, and why financial exclusion is harmful. It has much less to say about the operational question of how a central bank or a FinTech executive should </w:t>
      </w:r>
      <w:proofErr w:type="gramStart"/>
      <w:r>
        <w:t>actually structure</w:t>
      </w:r>
      <w:proofErr w:type="gramEnd"/>
      <w:r>
        <w:t xml:space="preserve"> adoption to achieve inclusion outcomes on the ground.</w:t>
      </w:r>
    </w:p>
    <w:p w14:paraId="060117F5" w14:textId="77777777" w:rsidR="009F49EF" w:rsidRDefault="00000000">
      <w:pPr>
        <w:spacing w:after="200" w:line="360" w:lineRule="auto"/>
        <w:jc w:val="both"/>
      </w:pPr>
      <w:r>
        <w:t>Three gaps in particular stand out, though they are related enough that closing one tends to require progress on the others. How should a regulatory sandbox be designed so that it lowers the barrier to inclusive innovation without exposing the system to unmanaged risk? How should a lending product incorporate alternative data without exploiting the information asymmetry it is meant to correct? And how should financial literacy be built into a product's interface, rather than delivered as a separate module, so that using the product is itself what builds the user's understanding of it?</w:t>
      </w:r>
    </w:p>
    <w:p w14:paraId="7300D403" w14:textId="77777777" w:rsidR="009F49EF" w:rsidRDefault="00000000">
      <w:pPr>
        <w:spacing w:after="200" w:line="360" w:lineRule="auto"/>
        <w:jc w:val="both"/>
      </w:pPr>
      <w:r>
        <w:t>This study develops an integrated, multidimensional strategic framework to close that gap, one that treats technological capability, regulatory posture, and consumer protection as a single design problem rather than three separate ones.</w:t>
      </w:r>
    </w:p>
    <w:p w14:paraId="01D27845" w14:textId="77777777" w:rsidR="009F49EF" w:rsidRDefault="00000000">
      <w:pPr>
        <w:pStyle w:val="Heading1"/>
        <w:spacing w:before="480" w:after="240"/>
      </w:pPr>
      <w:r>
        <w:t xml:space="preserve">Significance of </w:t>
      </w:r>
      <w:proofErr w:type="gramStart"/>
      <w:r>
        <w:t>the Study</w:t>
      </w:r>
      <w:proofErr w:type="gramEnd"/>
    </w:p>
    <w:p w14:paraId="025CA83E" w14:textId="77777777" w:rsidR="009F49EF" w:rsidRDefault="00000000">
      <w:pPr>
        <w:spacing w:after="200" w:line="360" w:lineRule="auto"/>
        <w:jc w:val="both"/>
      </w:pPr>
      <w:r>
        <w:t>This research connects financial technology innovation and financial regulation, two literatures that are usually written by people who do not read each other's work, and its findings are meant to be useful to both academic and practitioner audiences as a result.</w:t>
      </w:r>
    </w:p>
    <w:p w14:paraId="37AEF658" w14:textId="77777777" w:rsidR="009F49EF" w:rsidRDefault="00000000">
      <w:pPr>
        <w:pStyle w:val="Heading2"/>
        <w:spacing w:before="360" w:after="200"/>
      </w:pPr>
      <w:r>
        <w:t>Addressing a fragmented literature</w:t>
      </w:r>
    </w:p>
    <w:p w14:paraId="4E2D51B3" w14:textId="77777777" w:rsidR="009F49EF" w:rsidRDefault="00000000">
      <w:pPr>
        <w:spacing w:after="200" w:line="360" w:lineRule="auto"/>
        <w:jc w:val="both"/>
      </w:pPr>
      <w:r>
        <w:t xml:space="preserve">Current </w:t>
      </w:r>
      <w:proofErr w:type="gramStart"/>
      <w:r>
        <w:t>scholarship</w:t>
      </w:r>
      <w:proofErr w:type="gramEnd"/>
      <w:r>
        <w:t xml:space="preserve"> on FinTech </w:t>
      </w:r>
      <w:proofErr w:type="gramStart"/>
      <w:r>
        <w:t>tends</w:t>
      </w:r>
      <w:proofErr w:type="gramEnd"/>
      <w:r>
        <w:t xml:space="preserve"> to split along disciplinary lines. Technologists analyze blockchain architecture and machine-learning credit models largely in isolation from the populations those tools are meant to serve. Development economists analyze poverty and GDP effects without engaging closely with how a mobile application is used in a village setting. Neither </w:t>
      </w:r>
      <w:r>
        <w:lastRenderedPageBreak/>
        <w:t>group is wrong; they are simply answering different questions, and the answers do not add up to guidance anyone can act on.</w:t>
      </w:r>
    </w:p>
    <w:p w14:paraId="3BA41A04" w14:textId="77777777" w:rsidR="009F49EF" w:rsidRDefault="00000000">
      <w:pPr>
        <w:spacing w:after="200" w:line="360" w:lineRule="auto"/>
        <w:jc w:val="both"/>
      </w:pPr>
      <w:r>
        <w:t xml:space="preserve">This study connects the two directly, asking not what </w:t>
      </w:r>
      <w:proofErr w:type="gramStart"/>
      <w:r>
        <w:t>the technology</w:t>
      </w:r>
      <w:proofErr w:type="gramEnd"/>
      <w:r>
        <w:t xml:space="preserve"> can do in principle, but how it can be deployed to make the regional economy work for populations currently excluded from it.</w:t>
      </w:r>
    </w:p>
    <w:p w14:paraId="2186EB10" w14:textId="77777777" w:rsidR="009F49EF" w:rsidRDefault="00000000">
      <w:pPr>
        <w:spacing w:after="200" w:line="360" w:lineRule="auto"/>
        <w:jc w:val="both"/>
      </w:pPr>
      <w:r>
        <w:t>Much of the existing adoption literature assumes a customer base already familiar with formal banking and credit products. That assumption does not hold for a large share of the MENA population, so this study instead examines adoption among people with no prior banking relationship, using the Diffusion of Innovation framework to explain differential trust and uptake. Two contributions follow directly from that choice: an emerging-market focus grounded in Cairo, Riyadh, and Amman specifically rather than in mature-market assumptions, and a mapping of the barriers that actually operate in this context, including digital literacy and the reliability of internet access, rather than the barriers a mature-market study would default to.</w:t>
      </w:r>
    </w:p>
    <w:p w14:paraId="4FF495F6" w14:textId="77777777" w:rsidR="009F49EF" w:rsidRDefault="00000000">
      <w:pPr>
        <w:pStyle w:val="Heading2"/>
        <w:spacing w:before="360" w:after="200"/>
      </w:pPr>
      <w:r>
        <w:t>Practical implications</w:t>
      </w:r>
    </w:p>
    <w:p w14:paraId="7529CD57" w14:textId="77777777" w:rsidR="009F49EF" w:rsidRDefault="00000000">
      <w:pPr>
        <w:spacing w:after="200" w:line="360" w:lineRule="auto"/>
        <w:jc w:val="both"/>
      </w:pPr>
      <w:r>
        <w:t xml:space="preserve">Central banks currently face </w:t>
      </w:r>
      <w:proofErr w:type="gramStart"/>
      <w:r>
        <w:t>a real</w:t>
      </w:r>
      <w:proofErr w:type="gramEnd"/>
      <w:r>
        <w:t xml:space="preserve"> tension: they want FinTech growth because it supports employment and GDP, but they are wary of the systemic and cybersecurity risks that growth can introduce. This study proposes a regulatory sandbox model that lets new entrants test products under supervision without exposing the system to the risk of uncontrolled failure.</w:t>
      </w:r>
    </w:p>
    <w:p w14:paraId="5FB76DAD" w14:textId="77777777" w:rsidR="009F49EF" w:rsidRDefault="00000000">
      <w:pPr>
        <w:spacing w:after="200" w:line="360" w:lineRule="auto"/>
        <w:jc w:val="both"/>
      </w:pPr>
      <w:r>
        <w:t xml:space="preserve">Traditional banks in the region carry customer-acquisition costs that are high relative to the low-income populations financial inclusion policy targets, and many remain risk-averse out of institutional habit as much as necessity. Two paths are viable for these incumbents: building lean, low-cost digital channels internally, or partnering with FinTech firms that already have working relationships with underserved customers. Either path can lower per-customer service costs enough to make previously unprofitable segments </w:t>
      </w:r>
      <w:proofErr w:type="gramStart"/>
      <w:r>
        <w:t>viable, and</w:t>
      </w:r>
      <w:proofErr w:type="gramEnd"/>
      <w:r>
        <w:t xml:space="preserve"> either can support the design of micro-savings and micro-insurance products suited to informal-sector income patterns, though the two paths differ sharply in how much organizational change they demand.</w:t>
      </w:r>
    </w:p>
    <w:p w14:paraId="1AF7756B" w14:textId="77777777" w:rsidR="009F49EF" w:rsidRDefault="00000000">
      <w:pPr>
        <w:spacing w:after="200" w:line="360" w:lineRule="auto"/>
        <w:jc w:val="both"/>
      </w:pPr>
      <w:r>
        <w:t xml:space="preserve">For FinTech founders, the study offers a user-centered account of adoption barriers specific to the region: language variation, local attitudes toward debt, and the practical question of how </w:t>
      </w:r>
      <w:r>
        <w:lastRenderedPageBreak/>
        <w:t>alternative data, mobile top-up frequency, for example, can be used to assess creditworthiness in a market where formal credit histories are largely absent.</w:t>
      </w:r>
    </w:p>
    <w:p w14:paraId="22604F1B" w14:textId="77777777" w:rsidR="009F49EF" w:rsidRDefault="00000000">
      <w:pPr>
        <w:pStyle w:val="Heading2"/>
        <w:spacing w:before="360" w:after="200"/>
      </w:pPr>
      <w:r>
        <w:t>National development implications</w:t>
      </w:r>
    </w:p>
    <w:p w14:paraId="63C7925A" w14:textId="77777777" w:rsidR="009F49EF" w:rsidRDefault="00000000">
      <w:pPr>
        <w:spacing w:after="200" w:line="360" w:lineRule="auto"/>
        <w:jc w:val="both"/>
      </w:pPr>
      <w:r>
        <w:t xml:space="preserve">Financial inclusion is one of the mechanisms through which the UN Sustainable Development Goals are expected to be achieved. When a woman in a rural area </w:t>
      </w:r>
      <w:proofErr w:type="gramStart"/>
      <w:r>
        <w:t>is able to</w:t>
      </w:r>
      <w:proofErr w:type="gramEnd"/>
      <w:r>
        <w:t xml:space="preserve"> save securely through her phone, the effect is not confined to her personal finances. It can support a small business, cover school costs, and provide a buffer against income shocks that would otherwise force a household back into poverty.</w:t>
      </w:r>
    </w:p>
    <w:p w14:paraId="7A4674D6" w14:textId="77777777" w:rsidR="009F49EF" w:rsidRDefault="00000000">
      <w:pPr>
        <w:spacing w:after="200" w:line="360" w:lineRule="auto"/>
        <w:jc w:val="both"/>
      </w:pPr>
      <w:r>
        <w:t>By producing a concrete roadmap rather than a general policy statement, this study supports national Vision 2030 objectives directly. It frames FinTech not as a convenience for people who are already banked, but as a mechanism for bringing informal-sector participants into the formal economy.</w:t>
      </w:r>
    </w:p>
    <w:p w14:paraId="7BFD3664" w14:textId="77777777" w:rsidR="009F49EF" w:rsidRDefault="00000000">
      <w:pPr>
        <w:pStyle w:val="Heading1"/>
        <w:spacing w:before="480" w:after="240"/>
      </w:pPr>
      <w:r>
        <w:t>Objectives of the Study</w:t>
      </w:r>
    </w:p>
    <w:p w14:paraId="3C1C95E3" w14:textId="77777777" w:rsidR="009F49EF" w:rsidRDefault="00000000">
      <w:pPr>
        <w:spacing w:after="200" w:line="360" w:lineRule="auto"/>
        <w:jc w:val="both"/>
      </w:pPr>
      <w:r>
        <w:t>The objective here is prescriptive, not descriptive: a strategic framework a central bank official or FinTech executive could apply directly, rather than another general account of what FinTech is or why inclusion matters.</w:t>
      </w:r>
    </w:p>
    <w:p w14:paraId="2FAEED2C" w14:textId="77777777" w:rsidR="009F49EF" w:rsidRDefault="00000000">
      <w:pPr>
        <w:pStyle w:val="Heading2"/>
        <w:spacing w:before="360" w:after="200"/>
      </w:pPr>
      <w:r>
        <w:t>Primary objective</w:t>
      </w:r>
    </w:p>
    <w:p w14:paraId="64CD844D" w14:textId="77777777" w:rsidR="009F49EF" w:rsidRDefault="00000000">
      <w:pPr>
        <w:spacing w:after="200" w:line="360" w:lineRule="auto"/>
        <w:jc w:val="both"/>
      </w:pPr>
      <w:r>
        <w:t>The primary objective is to design, develop, and propose a comprehensive strategic framework describing how FinTech can extend financial inclusion to unbanked populations without introducing systemic risk or excessive regulatory burden. The framework is meant to function as an operational roadmap that both a central bank governor and a FinTech founder could apply to their respective decisions, which is a higher bar than producing a framework either one alone would find useful.</w:t>
      </w:r>
    </w:p>
    <w:p w14:paraId="3B597D93" w14:textId="77777777" w:rsidR="009F49EF" w:rsidRDefault="00000000">
      <w:pPr>
        <w:pStyle w:val="Heading2"/>
        <w:spacing w:before="360" w:after="200"/>
      </w:pPr>
      <w:r>
        <w:t>Specific objectives</w:t>
      </w:r>
    </w:p>
    <w:p w14:paraId="7333570D" w14:textId="77777777" w:rsidR="009F49EF" w:rsidRDefault="00000000">
      <w:pPr>
        <w:spacing w:after="200" w:line="360" w:lineRule="auto"/>
        <w:jc w:val="both"/>
      </w:pPr>
      <w:r>
        <w:t>Five specific objectives support the primary one, though they do not carry equal weight in the analysis that follows.</w:t>
      </w:r>
    </w:p>
    <w:p w14:paraId="139F8815" w14:textId="77777777" w:rsidR="009F49EF" w:rsidRDefault="00000000">
      <w:pPr>
        <w:spacing w:after="200" w:line="360" w:lineRule="auto"/>
        <w:jc w:val="both"/>
      </w:pPr>
      <w:r>
        <w:lastRenderedPageBreak/>
        <w:t>Two of them are diagnostic. One evaluates the present state of regional FinTech, from mobile wallets in Egypt to peer-to-peer lending platforms in Saudi Arabia, with particular attention to which of these services are demonstrably reaching populations previously excluded from formal banking, as distinct from services that simply have large user numbers. The other identifies adoption barriers: the regulatory constraints poorly suited to digital-first models, the infrastructure gaps in connectivity and electricity, and the trust deficit that leads potential users to prefer holding cash over using a digital account.</w:t>
      </w:r>
    </w:p>
    <w:p w14:paraId="6A3458EE" w14:textId="77777777" w:rsidR="009F49EF" w:rsidRDefault="00000000">
      <w:pPr>
        <w:spacing w:after="200" w:line="360" w:lineRule="auto"/>
        <w:jc w:val="both"/>
      </w:pPr>
      <w:r>
        <w:t>The most empirically demanding objective, and the analytical center of the study, is to measure how specific product characteristics, usability and affordability among them, affect the three pillars of inclusion: access (whether a person can open an account at all), usage (whether the account is used beyond a single transaction type), and quality (whether the service meaningfully benefits the user rather than simply generating fees).</w:t>
      </w:r>
    </w:p>
    <w:p w14:paraId="7544915A" w14:textId="77777777" w:rsidR="009F49EF" w:rsidRDefault="00000000">
      <w:pPr>
        <w:spacing w:after="200" w:line="360" w:lineRule="auto"/>
        <w:jc w:val="both"/>
      </w:pPr>
      <w:r>
        <w:t>A fourth objective examines stakeholder coordination, mapping the relationships among central banks, telecommunications providers, and FinTech startups, with attention to how a smaller firm can partner with an established bank to reach unbanked populations without being absorbed into that bank's existing operating model. The fifth and final objective is to develop actionable policy recommendations: evidence-based guidance that helps a government support growth in its technology sector while protecting vulnerable consumers from predatory lending or data misuse.</w:t>
      </w:r>
    </w:p>
    <w:p w14:paraId="6289234D" w14:textId="77777777" w:rsidR="009F49EF" w:rsidRDefault="00000000">
      <w:pPr>
        <w:spacing w:after="200" w:line="360" w:lineRule="auto"/>
        <w:jc w:val="both"/>
      </w:pPr>
      <w:r>
        <w:t xml:space="preserve">Together these objectives move FinTech-driven inclusion from an aspirational goal into a structured area of policy and strategy, evaluated against measurable outcomes instead of </w:t>
      </w:r>
      <w:proofErr w:type="gramStart"/>
      <w:r>
        <w:t>taken</w:t>
      </w:r>
      <w:proofErr w:type="gramEnd"/>
      <w:r>
        <w:t xml:space="preserve"> on faith.</w:t>
      </w:r>
    </w:p>
    <w:p w14:paraId="421C39AF" w14:textId="77777777" w:rsidR="009F49EF" w:rsidRDefault="00000000">
      <w:pPr>
        <w:pStyle w:val="Heading1"/>
        <w:spacing w:before="480" w:after="240"/>
      </w:pPr>
      <w:r>
        <w:t>Research Questions</w:t>
      </w:r>
    </w:p>
    <w:p w14:paraId="4FDDB9F4" w14:textId="77777777" w:rsidR="009F49EF" w:rsidRDefault="00000000">
      <w:pPr>
        <w:spacing w:after="200" w:line="360" w:lineRule="auto"/>
        <w:jc w:val="both"/>
      </w:pPr>
      <w:r>
        <w:t>One central question and five supporting questions organize this study. Each is meant to move past general claims about FinTech's potential and toward the specific conditions under which it does, or does not, advance inclusion.</w:t>
      </w:r>
    </w:p>
    <w:p w14:paraId="08339525" w14:textId="77777777" w:rsidR="009F49EF" w:rsidRDefault="00000000">
      <w:pPr>
        <w:pStyle w:val="Heading2"/>
        <w:spacing w:before="360" w:after="200"/>
      </w:pPr>
      <w:r>
        <w:t>Central research question</w:t>
      </w:r>
    </w:p>
    <w:p w14:paraId="3DED5534" w14:textId="77777777" w:rsidR="009F49EF" w:rsidRDefault="00000000">
      <w:pPr>
        <w:spacing w:after="200" w:line="360" w:lineRule="auto"/>
        <w:jc w:val="both"/>
      </w:pPr>
      <w:r>
        <w:lastRenderedPageBreak/>
        <w:t>How can FinTech be strategically used and governed to scale and sustain financial inclusion for populations the current financial system does not reach?</w:t>
      </w:r>
    </w:p>
    <w:p w14:paraId="54EA7E89" w14:textId="77777777" w:rsidR="009F49EF" w:rsidRDefault="00000000">
      <w:pPr>
        <w:spacing w:after="200" w:line="360" w:lineRule="auto"/>
        <w:jc w:val="both"/>
      </w:pPr>
      <w:r>
        <w:t>The question is about governance and strategy, not technical feasibility. What matters is identifying the conditions under which FinTech-driven inclusion becomes a durable feature of the financial system, rather than a temporary, grant-funded pilot that quietly ends when the funding does.</w:t>
      </w:r>
    </w:p>
    <w:p w14:paraId="43053505" w14:textId="77777777" w:rsidR="009F49EF" w:rsidRDefault="00000000">
      <w:pPr>
        <w:pStyle w:val="Heading2"/>
        <w:spacing w:before="360" w:after="200"/>
      </w:pPr>
      <w:r>
        <w:t>Supporting questions</w:t>
      </w:r>
    </w:p>
    <w:p w14:paraId="39CFE632" w14:textId="77777777" w:rsidR="009F49EF" w:rsidRDefault="00000000">
      <w:pPr>
        <w:spacing w:after="200" w:line="360" w:lineRule="auto"/>
        <w:jc w:val="both"/>
      </w:pPr>
      <w:proofErr w:type="gramStart"/>
      <w:r>
        <w:t>First of all</w:t>
      </w:r>
      <w:proofErr w:type="gramEnd"/>
      <w:r>
        <w:t>, what is currently happening in practice? What is the evolutionary trajectory of mobile money and digital wallets in Saudi Arabia, Egypt, and the UAE? Are these tools functioning as genuine alternatives to a bank account for previously unbanked individuals, or do they remain limited to basic transactional use, a P2P transfer here, a bill payment there, without ever becoming a savings or credit relationship?</w:t>
      </w:r>
    </w:p>
    <w:p w14:paraId="77BEDCC9" w14:textId="77777777" w:rsidR="009F49EF" w:rsidRDefault="00000000">
      <w:pPr>
        <w:spacing w:after="200" w:line="360" w:lineRule="auto"/>
        <w:jc w:val="both"/>
      </w:pPr>
      <w:r>
        <w:t xml:space="preserve">Where does the friction </w:t>
      </w:r>
      <w:proofErr w:type="gramStart"/>
      <w:r>
        <w:t>actually sit</w:t>
      </w:r>
      <w:proofErr w:type="gramEnd"/>
      <w:r>
        <w:t>? Regulatory constraints make it difficult to onboard low-income customers; infrastructure limitations render digital-only services impractical in some rural areas; digital illiteracy and distrust discourage a first attempt at using the service in the first place.</w:t>
      </w:r>
    </w:p>
    <w:p w14:paraId="7028F5F1" w14:textId="77777777" w:rsidR="009F49EF" w:rsidRDefault="00000000">
      <w:pPr>
        <w:spacing w:after="200" w:line="360" w:lineRule="auto"/>
        <w:jc w:val="both"/>
      </w:pPr>
      <w:r>
        <w:t xml:space="preserve">A more technical question follows from the first two: how do specific FinTech features, transaction affordability and user-centered </w:t>
      </w:r>
      <w:proofErr w:type="gramStart"/>
      <w:r>
        <w:t>design in particular, affect</w:t>
      </w:r>
      <w:proofErr w:type="gramEnd"/>
      <w:r>
        <w:t xml:space="preserve"> access, usage, and quality outcomes? Where an application is inexpensive but difficult to use, does usage stay low regardless of price? Establishing that link matters, because it tells a product team which lever to pull.</w:t>
      </w:r>
    </w:p>
    <w:p w14:paraId="6E70002E" w14:textId="77777777" w:rsidR="009F49EF" w:rsidRDefault="00000000">
      <w:pPr>
        <w:spacing w:after="200" w:line="360" w:lineRule="auto"/>
        <w:jc w:val="both"/>
      </w:pPr>
      <w:r>
        <w:t xml:space="preserve">A separate question is who is responsible for closing these gaps. What do central banks need to do to let innovation proceed without excessive delay? How can telecommunications firms and </w:t>
      </w:r>
      <w:proofErr w:type="spellStart"/>
      <w:r>
        <w:t>FinTechs</w:t>
      </w:r>
      <w:proofErr w:type="spellEnd"/>
      <w:r>
        <w:t xml:space="preserve"> collaborate rather than compete destructively, and what role do legacy banks retain in a digital-first financial system?</w:t>
      </w:r>
    </w:p>
    <w:p w14:paraId="59C3D8A0" w14:textId="77777777" w:rsidR="009F49EF" w:rsidRDefault="00000000">
      <w:pPr>
        <w:spacing w:after="200" w:line="360" w:lineRule="auto"/>
        <w:jc w:val="both"/>
      </w:pPr>
      <w:r>
        <w:t xml:space="preserve">Last, what would a framework balancing innovation against consumer protection </w:t>
      </w:r>
      <w:proofErr w:type="gramStart"/>
      <w:r>
        <w:t>actually need</w:t>
      </w:r>
      <w:proofErr w:type="gramEnd"/>
      <w:r>
        <w:t xml:space="preserve"> to contain, and specifically, how would it protect users from predatory practices without constraining a startup's ability to adapt its product in response to market feedback?</w:t>
      </w:r>
    </w:p>
    <w:p w14:paraId="495A4BF7" w14:textId="77777777" w:rsidR="009F49EF" w:rsidRDefault="00000000">
      <w:pPr>
        <w:spacing w:after="200" w:line="360" w:lineRule="auto"/>
        <w:jc w:val="both"/>
      </w:pPr>
      <w:r>
        <w:lastRenderedPageBreak/>
        <w:t>These five questions, taken as a set rather than in isolation, are meant to produce something more useful than a descriptive account of FinTech's current state: a workable blueprint suitable for a regional investor, a policymaker, or an academic committee assessing the study's practical contribution.</w:t>
      </w:r>
    </w:p>
    <w:p w14:paraId="28211467" w14:textId="77777777" w:rsidR="009F49EF" w:rsidRDefault="00000000">
      <w:pPr>
        <w:pStyle w:val="Heading1"/>
        <w:spacing w:before="480" w:after="240"/>
      </w:pPr>
      <w:r>
        <w:t>Research Hypotheses</w:t>
      </w:r>
    </w:p>
    <w:p w14:paraId="18188CCF" w14:textId="77777777" w:rsidR="009F49EF" w:rsidRDefault="00000000">
      <w:pPr>
        <w:spacing w:after="200" w:line="360" w:lineRule="auto"/>
        <w:jc w:val="both"/>
      </w:pPr>
      <w:r>
        <w:t>The hypotheses below translate the research questions above into testable claims, evaluated at a significance level of α ≤ 0.05.</w:t>
      </w:r>
    </w:p>
    <w:p w14:paraId="00DEAF6E" w14:textId="77777777" w:rsidR="009F49EF" w:rsidRDefault="00000000">
      <w:pPr>
        <w:pStyle w:val="Heading2"/>
        <w:spacing w:before="360" w:after="200"/>
      </w:pPr>
      <w:r>
        <w:t>Primary hypothesis</w:t>
      </w:r>
    </w:p>
    <w:p w14:paraId="79FCB459" w14:textId="77777777" w:rsidR="009F49EF" w:rsidRDefault="00000000">
      <w:pPr>
        <w:spacing w:after="200" w:line="360" w:lineRule="auto"/>
        <w:jc w:val="both"/>
      </w:pPr>
      <w:r>
        <w:t>The primary hypothesis (H1) concerns the overall relationship between strategic FinTech adoption and financial inclusion outcomes.</w:t>
      </w:r>
    </w:p>
    <w:p w14:paraId="6E9FACAC" w14:textId="77777777" w:rsidR="009F49EF" w:rsidRDefault="00000000">
      <w:pPr>
        <w:pStyle w:val="ListParagraph"/>
        <w:numPr>
          <w:ilvl w:val="0"/>
          <w:numId w:val="2"/>
        </w:numPr>
        <w:spacing w:after="120"/>
      </w:pPr>
      <w:r>
        <w:rPr>
          <w:b/>
          <w:bCs/>
        </w:rPr>
        <w:t>Null hypothesis (H0):</w:t>
      </w:r>
      <w:r>
        <w:t xml:space="preserve"> There is no statistically significant relationship between FinTech adoption and financial inclusion outcomes for unbanked populations.</w:t>
      </w:r>
    </w:p>
    <w:p w14:paraId="7EB02EE7" w14:textId="77777777" w:rsidR="009F49EF" w:rsidRDefault="00000000">
      <w:pPr>
        <w:pStyle w:val="ListParagraph"/>
        <w:numPr>
          <w:ilvl w:val="0"/>
          <w:numId w:val="2"/>
        </w:numPr>
        <w:spacing w:after="120"/>
      </w:pPr>
      <w:r>
        <w:rPr>
          <w:b/>
          <w:bCs/>
        </w:rPr>
        <w:t>Alternative hypothesis (H1):</w:t>
      </w:r>
      <w:r>
        <w:t xml:space="preserve"> Strategic FinTech adoption has a direct, positive, and statistically significant impact on financial inclusion outcomes for marginalized populations.</w:t>
      </w:r>
    </w:p>
    <w:p w14:paraId="48044DD3" w14:textId="77777777" w:rsidR="009F49EF" w:rsidRDefault="00000000">
      <w:pPr>
        <w:pStyle w:val="Heading2"/>
        <w:spacing w:before="360" w:after="200"/>
      </w:pPr>
      <w:r>
        <w:t>Sub-hypotheses</w:t>
      </w:r>
    </w:p>
    <w:p w14:paraId="682A85DF" w14:textId="77777777" w:rsidR="009F49EF" w:rsidRDefault="00000000">
      <w:pPr>
        <w:spacing w:after="200" w:line="360" w:lineRule="auto"/>
        <w:jc w:val="both"/>
      </w:pPr>
      <w:r>
        <w:t xml:space="preserve">The primary hypothesis is disaggregated into three sub-hypotheses corresponding to the three pillars of inclusion defined above, since a single aggregate test would obscure </w:t>
      </w:r>
      <w:proofErr w:type="gramStart"/>
      <w:r>
        <w:t>which</w:t>
      </w:r>
      <w:proofErr w:type="gramEnd"/>
      <w:r>
        <w:t xml:space="preserve"> specific mechanism is doing the work.</w:t>
      </w:r>
    </w:p>
    <w:p w14:paraId="425E9D45" w14:textId="77777777" w:rsidR="009F49EF" w:rsidRDefault="00000000">
      <w:pPr>
        <w:spacing w:after="200" w:line="360" w:lineRule="auto"/>
        <w:jc w:val="both"/>
      </w:pPr>
      <w:r>
        <w:t xml:space="preserve">H1a concerns access: the geographic reach of mobile wallets and payment platforms is positively associated with reduced access barriers previously imposed by branch-based banking. Support for this hypothesis would indicate that mobile access functions as a genuine substitute for a physical branch, not merely a supplementary channel for customers who already </w:t>
      </w:r>
      <w:proofErr w:type="gramStart"/>
      <w:r>
        <w:t>had</w:t>
      </w:r>
      <w:proofErr w:type="gramEnd"/>
      <w:r>
        <w:t xml:space="preserve"> one.</w:t>
      </w:r>
    </w:p>
    <w:p w14:paraId="42C43110" w14:textId="77777777" w:rsidR="009F49EF" w:rsidRDefault="00000000">
      <w:pPr>
        <w:spacing w:after="200" w:line="360" w:lineRule="auto"/>
        <w:jc w:val="both"/>
      </w:pPr>
      <w:r>
        <w:t>H1b concerns cost: lower transaction fees and operational costs are positively associated with increased frequency of account use. Support here would indicate that cost, not merely availability, is the binding constraint on usage, which has different policy implications than an access-driven story would.</w:t>
      </w:r>
    </w:p>
    <w:p w14:paraId="7B9B1A36" w14:textId="77777777" w:rsidR="009F49EF" w:rsidRDefault="00000000">
      <w:pPr>
        <w:spacing w:after="200" w:line="360" w:lineRule="auto"/>
        <w:jc w:val="both"/>
      </w:pPr>
      <w:r>
        <w:lastRenderedPageBreak/>
        <w:t>H1c concerns the quality of the fit between product and user: user-centered design and alternative credit-scoring methods are positively associated with improved service quality, measured by expanded access to products, micro-insurance and fair-priced credit, that were previously unavailable to the user.</w:t>
      </w:r>
    </w:p>
    <w:p w14:paraId="08497CF0" w14:textId="77777777" w:rsidR="009F49EF" w:rsidRDefault="00000000">
      <w:pPr>
        <w:pStyle w:val="Heading2"/>
        <w:spacing w:before="360" w:after="200"/>
      </w:pPr>
      <w:r>
        <w:t>Moderating hypotheses</w:t>
      </w:r>
    </w:p>
    <w:p w14:paraId="064AA549" w14:textId="77777777" w:rsidR="009F49EF" w:rsidRDefault="00000000">
      <w:pPr>
        <w:spacing w:after="200" w:line="360" w:lineRule="auto"/>
        <w:jc w:val="both"/>
      </w:pPr>
      <w:r>
        <w:t>FinTech's effect on inclusion is unlikely to be uniform across the sample. Two conditions specific to the MENA context are expected to moderate it.</w:t>
      </w:r>
    </w:p>
    <w:p w14:paraId="78B3876E" w14:textId="77777777" w:rsidR="009F49EF" w:rsidRDefault="00000000">
      <w:pPr>
        <w:spacing w:after="200" w:line="360" w:lineRule="auto"/>
        <w:jc w:val="both"/>
      </w:pPr>
      <w:r>
        <w:t>H2 holds that digital and financial literacy positively moderates the relationship between FinTech access and usage. Where literacy is low, even a well-designed product should see limited uptake, since the binding constraint is comprehension rather than availability, a distinction that matters because the two require entirely different interventions.</w:t>
      </w:r>
    </w:p>
    <w:p w14:paraId="1A5F83B8" w14:textId="77777777" w:rsidR="009F49EF" w:rsidRDefault="00000000">
      <w:pPr>
        <w:spacing w:after="200" w:line="360" w:lineRule="auto"/>
        <w:jc w:val="both"/>
      </w:pPr>
      <w:r>
        <w:t>H3 holds that an agile regulatory framework, a sandbox model or open banking rules, positively moderates the relationship between FinTech adoption and inclusion outcomes. Where regulatory support exists, adoption is expected to scale faster and with fewer systemic risks; where it is absent, generalized regulatory caution is expected to constrain the pace of innovation regardless of how good the underlying product is.</w:t>
      </w:r>
    </w:p>
    <w:p w14:paraId="5D4CEDF4" w14:textId="77777777" w:rsidR="009F49EF" w:rsidRDefault="00000000">
      <w:pPr>
        <w:pStyle w:val="Heading1"/>
        <w:spacing w:before="480" w:after="240"/>
      </w:pPr>
      <w:r>
        <w:t>Literature Review</w:t>
      </w:r>
    </w:p>
    <w:p w14:paraId="6B5187C0" w14:textId="77777777" w:rsidR="009F49EF" w:rsidRDefault="00000000">
      <w:pPr>
        <w:spacing w:after="200" w:line="360" w:lineRule="auto"/>
        <w:jc w:val="both"/>
      </w:pPr>
      <w:r>
        <w:t>The literature on FinTech and financial inclusion is extensive, but it does not cohere into a single conversation. Three strands of it matter most for this study; each is examined below alongside where it stops short.</w:t>
      </w:r>
    </w:p>
    <w:p w14:paraId="31D1AFFC" w14:textId="77777777" w:rsidR="009F49EF" w:rsidRDefault="00000000">
      <w:pPr>
        <w:pStyle w:val="Heading2"/>
        <w:spacing w:before="360" w:after="200"/>
      </w:pPr>
      <w:r>
        <w:t>The restructuring of traditional banking</w:t>
      </w:r>
    </w:p>
    <w:p w14:paraId="54592B4A" w14:textId="77777777" w:rsidR="009F49EF" w:rsidRDefault="00000000">
      <w:pPr>
        <w:spacing w:after="200" w:line="360" w:lineRule="auto"/>
        <w:jc w:val="both"/>
      </w:pPr>
      <w:r>
        <w:t>Arner, Barberis, and Buckley (2015) trace the current FinTech wave to the 2008 financial crisis, arguing that declining public trust in large banks, combined with the maturation of mobile technology and cloud computing, created the conditions for new entrants to compete directly with incumbent institutions. Their account is now a decade old but still holds up reasonably well as a starting point.</w:t>
      </w:r>
    </w:p>
    <w:p w14:paraId="7BDEA06D" w14:textId="77777777" w:rsidR="009F49EF" w:rsidRDefault="00000000">
      <w:pPr>
        <w:spacing w:after="200" w:line="360" w:lineRule="auto"/>
        <w:jc w:val="both"/>
      </w:pPr>
      <w:r>
        <w:lastRenderedPageBreak/>
        <w:t xml:space="preserve">The concept most </w:t>
      </w:r>
      <w:proofErr w:type="gramStart"/>
      <w:r>
        <w:t>load-bearing</w:t>
      </w:r>
      <w:proofErr w:type="gramEnd"/>
      <w:r>
        <w:t xml:space="preserve"> in this literature is unbundling. Traditional banks offer savings, lending, and insurance under a single institutional roof; FinTech firms typically specialize in one of these services and compete by delivering it faster and cheaper than an incumbent bank can. Jagtiani and Lemieux (2018) show how </w:t>
      </w:r>
      <w:proofErr w:type="gramStart"/>
      <w:r>
        <w:t>this changes</w:t>
      </w:r>
      <w:proofErr w:type="gramEnd"/>
      <w:r>
        <w:t xml:space="preserve"> the underlying economics of credit-risk assessment: rather than a formal credit history, FinTech lenders use alternative data, utility bill records, sometimes social-media activity, to assess creditworthiness. Their analysis is thorough on the mechanics of algorithmic underwriting. It has considerably less to say about the behavior of users who have no prior experience with any form of digital financial service, which is the population this study is concerned with.</w:t>
      </w:r>
    </w:p>
    <w:p w14:paraId="26BD810B" w14:textId="77777777" w:rsidR="009F49EF" w:rsidRDefault="00000000">
      <w:pPr>
        <w:pStyle w:val="Heading2"/>
        <w:spacing w:before="360" w:after="200"/>
      </w:pPr>
      <w:r>
        <w:t>Financial inclusion as a development priority</w:t>
      </w:r>
    </w:p>
    <w:p w14:paraId="4F0C37D2" w14:textId="77777777" w:rsidR="009F49EF" w:rsidRDefault="00000000">
      <w:pPr>
        <w:spacing w:after="200" w:line="360" w:lineRule="auto"/>
        <w:jc w:val="both"/>
      </w:pPr>
      <w:r>
        <w:t>The World Bank's Global Findex database (</w:t>
      </w:r>
      <w:proofErr w:type="spellStart"/>
      <w:r>
        <w:t>Demirgüç</w:t>
      </w:r>
      <w:proofErr w:type="spellEnd"/>
      <w:r>
        <w:t>-Kunt et al., 2022) remains the primary empirical source on the scale of financial exclusion, documenting that more than a billion adults worldwide remain outside the formal financial system despite recent gains.</w:t>
      </w:r>
    </w:p>
    <w:p w14:paraId="22C64F4E" w14:textId="77777777" w:rsidR="009F49EF" w:rsidRDefault="00000000">
      <w:pPr>
        <w:spacing w:after="200" w:line="360" w:lineRule="auto"/>
        <w:jc w:val="both"/>
      </w:pPr>
      <w:r>
        <w:t xml:space="preserve">Cull, </w:t>
      </w:r>
      <w:proofErr w:type="spellStart"/>
      <w:r>
        <w:t>Demirgüç</w:t>
      </w:r>
      <w:proofErr w:type="spellEnd"/>
      <w:r>
        <w:t xml:space="preserve">-Kunt, and Morduch (2014) frame inclusion as more than account ownership. In their account it functions as a form of protection: the ability to save securely lets a household absorb a shock, </w:t>
      </w:r>
      <w:proofErr w:type="gramStart"/>
      <w:r>
        <w:t>a drought</w:t>
      </w:r>
      <w:proofErr w:type="gramEnd"/>
      <w:r>
        <w:t>, a medical emergency, without resorting to informal, high-cost lenders. Sahay et al. (2015) go a step further and link financial inclusion to measurable GDP growth effects.</w:t>
      </w:r>
    </w:p>
    <w:p w14:paraId="2CDD18E9" w14:textId="77777777" w:rsidR="009F49EF" w:rsidRDefault="00000000">
      <w:pPr>
        <w:spacing w:after="200" w:line="360" w:lineRule="auto"/>
        <w:jc w:val="both"/>
      </w:pPr>
      <w:proofErr w:type="spellStart"/>
      <w:r>
        <w:t>Ozili</w:t>
      </w:r>
      <w:proofErr w:type="spellEnd"/>
      <w:r>
        <w:t xml:space="preserve"> (2018) offers the most useful framework here for understanding why inclusion remains incomplete, distinguishing supply-side from demand-side constraints. On the supply side, the cost of establishing a branch in a low-density or low-income area often exceeds the revenue a bank can expect to earn there, full stop. On the demand side, potential customers frequently lack trust in formal institutions, lack the documentation required to open an account, and lack the financial literacy needed to navigate whatever requirements remain.</w:t>
      </w:r>
    </w:p>
    <w:p w14:paraId="3911779D" w14:textId="77777777" w:rsidR="009F49EF" w:rsidRDefault="00000000">
      <w:pPr>
        <w:pStyle w:val="Heading2"/>
        <w:spacing w:before="360" w:after="200"/>
      </w:pPr>
      <w:r>
        <w:t>Where technology meets adoption in practice</w:t>
      </w:r>
    </w:p>
    <w:p w14:paraId="6E269B1F" w14:textId="77777777" w:rsidR="009F49EF" w:rsidRDefault="00000000">
      <w:pPr>
        <w:spacing w:after="200" w:line="360" w:lineRule="auto"/>
        <w:jc w:val="both"/>
      </w:pPr>
      <w:r>
        <w:t xml:space="preserve">The most frequently cited example in this literature is M-Pesa in Kenya. Suri and Jack (2016) provide econometric evidence that its expansion measurably reduced poverty by giving households a secure, low-cost means of storing and transferring money. The example travels less cleanly than </w:t>
      </w:r>
      <w:r>
        <w:lastRenderedPageBreak/>
        <w:t>it is often assumed to, however: Kenya's mobile-money infrastructure developed under regulatory and market conditions that do not map onto the MENA context this study examines.</w:t>
      </w:r>
    </w:p>
    <w:p w14:paraId="5A19F357" w14:textId="77777777" w:rsidR="009F49EF" w:rsidRDefault="00000000">
      <w:pPr>
        <w:spacing w:after="200" w:line="360" w:lineRule="auto"/>
        <w:jc w:val="both"/>
      </w:pPr>
      <w:r>
        <w:t>This literature is not uniformly optimistic. Gabor and Brooks (2017) document the risk of digital debt traps, where the ease of obtaining a micro-loan through a mobile platform, absent adequate consumer protection, results in over-indebtedness among borrowers with limited financial literacy. Buckley et al. (2019) argue for regulatory sandboxes as a mechanism to test new financial products under supervision, allowing regulators and firms to identify risks before a product reaches full-scale deployment. Their argument is one of the few in this literature that treats regulation as an enabler of inclusion rather than an obstacle to it, which is the position this study also takes.</w:t>
      </w:r>
    </w:p>
    <w:p w14:paraId="30992CD8" w14:textId="77777777" w:rsidR="009F49EF" w:rsidRDefault="00000000">
      <w:pPr>
        <w:pStyle w:val="Heading2"/>
        <w:spacing w:before="360" w:after="200"/>
      </w:pPr>
      <w:r>
        <w:t xml:space="preserve">Where </w:t>
      </w:r>
      <w:proofErr w:type="gramStart"/>
      <w:r>
        <w:t>the literature</w:t>
      </w:r>
      <w:proofErr w:type="gramEnd"/>
      <w:r>
        <w:t xml:space="preserve"> falls short</w:t>
      </w:r>
    </w:p>
    <w:p w14:paraId="7F5A24F2" w14:textId="77777777" w:rsidR="009F49EF" w:rsidRDefault="00000000">
      <w:pPr>
        <w:spacing w:after="200" w:line="360" w:lineRule="auto"/>
        <w:jc w:val="both"/>
      </w:pPr>
      <w:r>
        <w:t>Three gaps in the existing work motivate this study, though the first two are really the same problem seen from different disciplines.</w:t>
      </w:r>
    </w:p>
    <w:p w14:paraId="404846E2" w14:textId="77777777" w:rsidR="009F49EF" w:rsidRDefault="00000000">
      <w:pPr>
        <w:spacing w:after="200" w:line="360" w:lineRule="auto"/>
        <w:jc w:val="both"/>
      </w:pPr>
      <w:r>
        <w:t xml:space="preserve">Research on FinTech technology and research on financial inclusion proceed largely on separate tracks. Little of the existing work integrates technological adoption, consumer behavior, and strategic management into a single analytical account, which means a reader </w:t>
      </w:r>
      <w:proofErr w:type="gramStart"/>
      <w:r>
        <w:t>has to</w:t>
      </w:r>
      <w:proofErr w:type="gramEnd"/>
      <w:r>
        <w:t xml:space="preserve"> assemble the picture themselves from papers that were never written to fit together. The literature also establishes what FinTech is and why inclusion </w:t>
      </w:r>
      <w:proofErr w:type="gramStart"/>
      <w:r>
        <w:t>matters, but</w:t>
      </w:r>
      <w:proofErr w:type="gramEnd"/>
      <w:r>
        <w:t xml:space="preserve"> says comparatively little about how a central bank or a FinTech executive should structure adoption at a national level; a multidimensional framework aligning a firm's commercial incentives with a regulator's safety mandate is largely absent from what has been published so far.</w:t>
      </w:r>
    </w:p>
    <w:p w14:paraId="2FD42664" w14:textId="77777777" w:rsidR="009F49EF" w:rsidRDefault="00000000">
      <w:pPr>
        <w:spacing w:after="200" w:line="360" w:lineRule="auto"/>
        <w:jc w:val="both"/>
      </w:pPr>
      <w:r>
        <w:t>A third gap is more subtle and, in some ways, more consequential: much of the literature treats technology access as functionally equivalent to inclusion, without adequately accounting for trust and literacy as independent barriers. Where trust and user-centered design are absent, a well-built application does not translate into use on its own, no matter how elegant its interface. This study addresses these gaps by developing an evidence-based strategic framework that links technological adoption to the behavioral and regulatory conditions under which it produces genuine financial inclusion, rather than the appearance of it in an account-opening statistic.</w:t>
      </w:r>
    </w:p>
    <w:p w14:paraId="78D19F72" w14:textId="77777777" w:rsidR="009F49EF" w:rsidRDefault="00000000">
      <w:pPr>
        <w:pStyle w:val="Heading1"/>
        <w:spacing w:before="480" w:after="240"/>
      </w:pPr>
      <w:r>
        <w:lastRenderedPageBreak/>
        <w:t>Theoretical Framework</w:t>
      </w:r>
    </w:p>
    <w:p w14:paraId="1CDEBF71" w14:textId="77777777" w:rsidR="009F49EF" w:rsidRDefault="00000000">
      <w:pPr>
        <w:spacing w:after="200" w:line="360" w:lineRule="auto"/>
        <w:jc w:val="both"/>
      </w:pPr>
      <w:r>
        <w:t>Three theoretical traditions, behavioral, sociological, and institutional-economic, ground this study's account of why people in the MENA region either adopt FinTech or decline to.</w:t>
      </w:r>
    </w:p>
    <w:p w14:paraId="2863229A" w14:textId="77777777" w:rsidR="009F49EF" w:rsidRDefault="00000000">
      <w:pPr>
        <w:pStyle w:val="Heading2"/>
        <w:spacing w:before="360" w:after="200"/>
      </w:pPr>
      <w:r>
        <w:t>The behavioral dimension: TAM and UTAUT</w:t>
      </w:r>
    </w:p>
    <w:p w14:paraId="7E332B88" w14:textId="77777777" w:rsidR="009F49EF" w:rsidRDefault="00000000">
      <w:pPr>
        <w:spacing w:after="200" w:line="360" w:lineRule="auto"/>
        <w:jc w:val="both"/>
      </w:pPr>
      <w:r>
        <w:t>Individual adoption decisions are analyzed here through the Technology Acceptance Model (Davis, 1989) and its extension, the Unified Theory of Acceptance and Use of Technology (UTAUT). Three constructs from this tradition matter most.</w:t>
      </w:r>
    </w:p>
    <w:p w14:paraId="0C1A0C73" w14:textId="77777777" w:rsidR="009F49EF" w:rsidRDefault="00000000">
      <w:pPr>
        <w:spacing w:after="200" w:line="360" w:lineRule="auto"/>
        <w:jc w:val="both"/>
      </w:pPr>
      <w:r>
        <w:t>Perceived usefulness, or performance expectancy, is the bottom line: if a street vendor in Cairo does not believe a mobile wallet will save time or money, he will not use it, and adoption stalls the moment the perceived economic benefit disappears. Perceived ease of use, or effort expectancy, is a larger obstacle in this region than the standard TAM literature typically assumes; where an interface requires many steps or dense text to complete a simple transaction, the effort cost is too high for a user with limited digital literacy, and intuitive or voice-driven interfaces become less a design nicety than a precondition for adoption at all.</w:t>
      </w:r>
    </w:p>
    <w:p w14:paraId="5E5C5DFC" w14:textId="77777777" w:rsidR="009F49EF" w:rsidRDefault="00000000">
      <w:pPr>
        <w:spacing w:after="200" w:line="360" w:lineRule="auto"/>
        <w:jc w:val="both"/>
      </w:pPr>
      <w:r>
        <w:t>This study extends the standard model with a third construct, trust, treated here as explicit rather than as background noise. In much of the MENA region cash remains the default trusted store of value, and a digital platform perceived as insecure or opaque is unlikely to be adopted regardless of how well it otherwise scores on usefulness or ease of use. Trust, in other words, is not merely another input into the model; it can function as a gate that has to open before the other two variables matter at all.</w:t>
      </w:r>
    </w:p>
    <w:p w14:paraId="188E6DF5" w14:textId="77777777" w:rsidR="009F49EF" w:rsidRDefault="00000000">
      <w:pPr>
        <w:pStyle w:val="Heading2"/>
        <w:spacing w:before="360" w:after="200"/>
      </w:pPr>
      <w:r>
        <w:t>The sociological dimension: Diffusion of Innovations</w:t>
      </w:r>
    </w:p>
    <w:p w14:paraId="2B1D0894" w14:textId="77777777" w:rsidR="009F49EF" w:rsidRDefault="00000000">
      <w:pPr>
        <w:spacing w:after="200" w:line="360" w:lineRule="auto"/>
        <w:jc w:val="both"/>
      </w:pPr>
      <w:r>
        <w:t xml:space="preserve">Where TAM and UTAUT explain individual adoption, Rogers' (2003) Diffusion of Innovations theory explains how adoption spreads through a community, which is a distinct and equally necessary question. Rogers identifies five attributes that determine whether an innovation diffuses successfully: relative advantage over the existing alternative (is it better than the mattress?); compatibility with existing informal practices such as hawala transfers or community savings groups; complexity, meaning the degree to which the innovation is difficult to understand or use; trialability, the ability to test an innovation on a small scale before committing significant funds to </w:t>
      </w:r>
      <w:r>
        <w:lastRenderedPageBreak/>
        <w:t>it; and observability, the extent to which potential adopters can see others in their own community successfully using it.</w:t>
      </w:r>
    </w:p>
    <w:p w14:paraId="13DECE90" w14:textId="77777777" w:rsidR="009F49EF" w:rsidRDefault="00000000">
      <w:pPr>
        <w:spacing w:after="200" w:line="360" w:lineRule="auto"/>
        <w:jc w:val="both"/>
      </w:pPr>
      <w:r>
        <w:t>A recurring pattern in the region is that FinTech products reach innovators and early adopters, urban and younger users, but fail to cross into the early majority, who tend to be older, more rural, or less formally educated. This is the chasm problem in Rogers' own terms, and it is precisely the gap the framework developed here is designed to bridge, rather than treating early-adopter success as evidence of inclusion that has not, in fact, occurred.</w:t>
      </w:r>
    </w:p>
    <w:p w14:paraId="65A73803" w14:textId="77777777" w:rsidR="009F49EF" w:rsidRDefault="00000000">
      <w:pPr>
        <w:pStyle w:val="Heading2"/>
        <w:spacing w:before="360" w:after="200"/>
      </w:pPr>
      <w:r>
        <w:t>The economic dimension: intermediation and information asymmetry</w:t>
      </w:r>
    </w:p>
    <w:p w14:paraId="5B1CB2CA" w14:textId="77777777" w:rsidR="009F49EF" w:rsidRDefault="00000000">
      <w:pPr>
        <w:spacing w:after="200" w:line="360" w:lineRule="auto"/>
        <w:jc w:val="both"/>
      </w:pPr>
      <w:r>
        <w:t>The third pillar draws on the theory of financial intermediation (Diamond, 1984) and information asymmetry (Akerlof, 1970) to explain, more mechanically than the first two pillars do, why traditional banks systematically underserve low-income populations.</w:t>
      </w:r>
    </w:p>
    <w:p w14:paraId="7703D834" w14:textId="77777777" w:rsidR="009F49EF" w:rsidRDefault="00000000">
      <w:pPr>
        <w:spacing w:after="200" w:line="360" w:lineRule="auto"/>
        <w:jc w:val="both"/>
      </w:pPr>
      <w:r>
        <w:t xml:space="preserve">Traditional lenders decline to serve customers without a formal credit history because they lack the information needed to assess repayment risk, a textbook case of adverse selection. FinTech firms address this by using alternative data, utility payments and transaction patterns among them, to assess risk for customers who would otherwise be invisible to a conventional lender. They also reduce transaction costs through cloud infrastructure and automated processing, which is what makes it commercially viable to service loans too small for a traditional bank to process profitably in the first place. The economic story here is shorter than the behavioral and sociological ones, but it is the reason the other two </w:t>
      </w:r>
      <w:proofErr w:type="gramStart"/>
      <w:r>
        <w:t>matter</w:t>
      </w:r>
      <w:proofErr w:type="gramEnd"/>
      <w:r>
        <w:t xml:space="preserve"> commercially rather than merely academically: someone still </w:t>
      </w:r>
      <w:proofErr w:type="gramStart"/>
      <w:r>
        <w:t>has to</w:t>
      </w:r>
      <w:proofErr w:type="gramEnd"/>
      <w:r>
        <w:t xml:space="preserve"> make money serving these customers, or the service does not survive contact with a real balance sheet.</w:t>
      </w:r>
    </w:p>
    <w:p w14:paraId="698A4783" w14:textId="77777777" w:rsidR="009F49EF" w:rsidRDefault="00000000">
      <w:pPr>
        <w:pStyle w:val="Heading2"/>
        <w:spacing w:before="360" w:after="200"/>
      </w:pPr>
      <w:r>
        <w:t>Conceptual model</w:t>
      </w:r>
    </w:p>
    <w:p w14:paraId="78E659E8" w14:textId="77777777" w:rsidR="009F49EF" w:rsidRDefault="00000000">
      <w:pPr>
        <w:spacing w:after="200" w:line="360" w:lineRule="auto"/>
        <w:jc w:val="both"/>
      </w:pPr>
      <w:r>
        <w:t>These three traditions come together in a single conceptual model. Accessibility, affordability, the use of alternative data, and product design function as independent variables; access, usage, and quality function as the dependent variables they are meant to explain; trust and perceived ease of use mediate the relationship between the two; and regulatory agility and digital literacy moderate it.</w:t>
      </w:r>
    </w:p>
    <w:p w14:paraId="38141A02" w14:textId="77777777" w:rsidR="009F49EF" w:rsidRDefault="00000000">
      <w:pPr>
        <w:spacing w:after="200" w:line="360" w:lineRule="auto"/>
        <w:jc w:val="both"/>
      </w:pPr>
      <w:r>
        <w:lastRenderedPageBreak/>
        <w:t xml:space="preserve">The practical use of this model is diagnostic. Where literacy is low, the framework points toward interface redesign. Where trust is low, it points toward regulatory measures that make platforms demonstrably, not just </w:t>
      </w:r>
      <w:proofErr w:type="gramStart"/>
      <w:r>
        <w:t>nominally,</w:t>
      </w:r>
      <w:proofErr w:type="gramEnd"/>
      <w:r>
        <w:t xml:space="preserve"> safer. The model does not claim that every deficiency has the same fix; it claims that a given deficiency has a specific and identifiable one.</w:t>
      </w:r>
    </w:p>
    <w:p w14:paraId="76369AF6" w14:textId="77777777" w:rsidR="009F49EF" w:rsidRDefault="00000000">
      <w:pPr>
        <w:pStyle w:val="Heading1"/>
        <w:spacing w:before="480" w:after="240"/>
      </w:pPr>
      <w:r>
        <w:t>Methodology and Research Design</w:t>
      </w:r>
    </w:p>
    <w:p w14:paraId="27E3C036" w14:textId="77777777" w:rsidR="009F49EF" w:rsidRDefault="00000000">
      <w:pPr>
        <w:spacing w:after="200" w:line="360" w:lineRule="auto"/>
        <w:jc w:val="both"/>
      </w:pPr>
      <w:r>
        <w:t>This study adopts a pragmatic research philosophy: findings are judged by whether they are operationally useful, not by strict adherence to a single disciplinary method. A mixed-methods design follows from that starting point. Quantitative data alone would miss the behavioral friction underlying low usage; qualitative data alone would not support conclusions that scale beyond the specific people interviewed.</w:t>
      </w:r>
    </w:p>
    <w:p w14:paraId="6751A05F" w14:textId="77777777" w:rsidR="009F49EF" w:rsidRDefault="00000000">
      <w:pPr>
        <w:pStyle w:val="Heading2"/>
        <w:spacing w:before="360" w:after="200"/>
      </w:pPr>
      <w:r>
        <w:t>Sequential explanatory design</w:t>
      </w:r>
    </w:p>
    <w:p w14:paraId="418244AA" w14:textId="77777777" w:rsidR="009F49EF" w:rsidRDefault="00000000">
      <w:pPr>
        <w:spacing w:after="200" w:line="360" w:lineRule="auto"/>
        <w:jc w:val="both"/>
      </w:pPr>
      <w:r>
        <w:t>The study proceeds in two phases.</w:t>
      </w:r>
    </w:p>
    <w:p w14:paraId="3D90F3AB" w14:textId="77777777" w:rsidR="009F49EF" w:rsidRDefault="00000000">
      <w:pPr>
        <w:spacing w:after="200" w:line="360" w:lineRule="auto"/>
        <w:jc w:val="both"/>
      </w:pPr>
      <w:r>
        <w:t>Phase one is quantitative and establishes the scale of the relationship between FinTech characteristics and inclusion outcomes. It tests the hypotheses specified above and identifies which factors carry the greatest statistical weight in explaining variation in savings and borrowing behavior.</w:t>
      </w:r>
    </w:p>
    <w:p w14:paraId="7CE0ACA7" w14:textId="77777777" w:rsidR="009F49EF" w:rsidRDefault="00000000">
      <w:pPr>
        <w:spacing w:after="200" w:line="360" w:lineRule="auto"/>
        <w:jc w:val="both"/>
      </w:pPr>
      <w:r>
        <w:t xml:space="preserve">Phase two is qualitative and investigates the mechanisms behind whatever the first phase finds. If phase one indicates that trust is a significant barrier, phase two </w:t>
      </w:r>
      <w:proofErr w:type="gramStart"/>
      <w:r>
        <w:t>asks</w:t>
      </w:r>
      <w:proofErr w:type="gramEnd"/>
      <w:r>
        <w:t xml:space="preserve"> regulators and industry executives what specifically drives that distrust and what interventions might realistically address it. This is where the interpretive detail needed to turn a statistical finding into a strategic recommendation </w:t>
      </w:r>
      <w:proofErr w:type="gramStart"/>
      <w:r>
        <w:t>actually comes</w:t>
      </w:r>
      <w:proofErr w:type="gramEnd"/>
      <w:r>
        <w:t xml:space="preserve"> from; a regression coefficient on its own does not tell a regulator what to change tomorrow.</w:t>
      </w:r>
    </w:p>
    <w:p w14:paraId="524C7216" w14:textId="77777777" w:rsidR="009F49EF" w:rsidRDefault="00000000">
      <w:pPr>
        <w:pStyle w:val="Heading2"/>
        <w:spacing w:before="360" w:after="200"/>
      </w:pPr>
      <w:r>
        <w:t>Sampling strategy</w:t>
      </w:r>
    </w:p>
    <w:p w14:paraId="59C193BA" w14:textId="77777777" w:rsidR="009F49EF" w:rsidRDefault="00000000">
      <w:pPr>
        <w:spacing w:after="200" w:line="360" w:lineRule="auto"/>
        <w:jc w:val="both"/>
      </w:pPr>
      <w:r>
        <w:t>Two distinct populations are sampled, reflecting the different roles these groups play in the ecosystem.</w:t>
      </w:r>
    </w:p>
    <w:p w14:paraId="724D2953" w14:textId="77777777" w:rsidR="009F49EF" w:rsidRDefault="00000000">
      <w:pPr>
        <w:spacing w:after="200" w:line="360" w:lineRule="auto"/>
        <w:jc w:val="both"/>
      </w:pPr>
      <w:r>
        <w:lastRenderedPageBreak/>
        <w:t>For the quantitative phase, the target population is unbanked individuals and early adopters of FinTech services. Stratified random sampling ensures representation across urban and rural areas, age groups, and income levels, rather than concentrating the sample among digitally native urban respondents, who would be the easiest group to reach and the least representative one to draw conclusions from. The target sample size is 400 to 500 respondents, sufficient to support a 95 percent confidence level in the statistical analysis.</w:t>
      </w:r>
    </w:p>
    <w:p w14:paraId="15373E6E" w14:textId="77777777" w:rsidR="009F49EF" w:rsidRDefault="00000000">
      <w:pPr>
        <w:spacing w:after="200" w:line="360" w:lineRule="auto"/>
        <w:jc w:val="both"/>
      </w:pPr>
      <w:r>
        <w:t>For the qualitative phase, the target population is decision-makers: central bank officials, FinTech executives, and other senior figures with direct influence over regulation and product strategy. Purposive sampling identifies specific individuals in these roles rather than a random cross-section of the industry. The study will conduct 15 to 20 in-depth interviews, continuing until thematic saturation is reached, that is, until additional interviews stop producing new themes.</w:t>
      </w:r>
    </w:p>
    <w:p w14:paraId="0362BD62" w14:textId="77777777" w:rsidR="009F49EF" w:rsidRDefault="00000000">
      <w:pPr>
        <w:pStyle w:val="Heading2"/>
        <w:spacing w:before="360" w:after="200"/>
      </w:pPr>
      <w:r>
        <w:t>Analytical approach</w:t>
      </w:r>
    </w:p>
    <w:p w14:paraId="7E080DA6" w14:textId="77777777" w:rsidR="009F49EF" w:rsidRDefault="00000000">
      <w:pPr>
        <w:spacing w:after="200" w:line="360" w:lineRule="auto"/>
        <w:jc w:val="both"/>
      </w:pPr>
      <w:r>
        <w:t>Quantitative data will be analyzed in SPSS and AMOS using Structural Equation Modeling, which allows the analysis to identify indirect relationships among variables that a simple correlation would miss entirely, for instance, whether digital literacy is the real reason a well-designed, easy-to-use application still shows low uptake.</w:t>
      </w:r>
    </w:p>
    <w:p w14:paraId="16008A39" w14:textId="77777777" w:rsidR="009F49EF" w:rsidRDefault="00000000">
      <w:pPr>
        <w:spacing w:after="200" w:line="360" w:lineRule="auto"/>
        <w:jc w:val="both"/>
      </w:pPr>
      <w:r>
        <w:t>Qualitative interview transcripts will be analyzed in NVivo using thematic analysis, coding for the regulatory bottlenecks and cultural barriers that interview subjects raise on their own terms rather than ones the survey instrument anticipated in advance.</w:t>
      </w:r>
    </w:p>
    <w:p w14:paraId="2DC37C5B" w14:textId="77777777" w:rsidR="009F49EF" w:rsidRDefault="00000000">
      <w:pPr>
        <w:spacing w:after="200" w:line="360" w:lineRule="auto"/>
        <w:jc w:val="both"/>
      </w:pPr>
      <w:r>
        <w:t xml:space="preserve">The final analytical step is triangulation: comparing the quantitative results against the qualitative findings to check whether ordinary users and industry decision-makers are </w:t>
      </w:r>
      <w:proofErr w:type="gramStart"/>
      <w:r>
        <w:t>actually seeing</w:t>
      </w:r>
      <w:proofErr w:type="gramEnd"/>
      <w:r>
        <w:t xml:space="preserve"> the same reality. Where the quantitative data </w:t>
      </w:r>
      <w:proofErr w:type="gramStart"/>
      <w:r>
        <w:t>show</w:t>
      </w:r>
      <w:proofErr w:type="gramEnd"/>
      <w:r>
        <w:t xml:space="preserve"> strong demand for a product, micro-insurance, say, but the qualitative data </w:t>
      </w:r>
      <w:proofErr w:type="gramStart"/>
      <w:r>
        <w:t>show</w:t>
      </w:r>
      <w:proofErr w:type="gramEnd"/>
      <w:r>
        <w:t xml:space="preserve"> that current regulation prohibits it, that divergence is itself a finding, and it identifies a specific gap the strategic framework </w:t>
      </w:r>
      <w:proofErr w:type="gramStart"/>
      <w:r>
        <w:t>has to</w:t>
      </w:r>
      <w:proofErr w:type="gramEnd"/>
      <w:r>
        <w:t xml:space="preserve"> address rather than gloss over.</w:t>
      </w:r>
    </w:p>
    <w:p w14:paraId="3F868C1F" w14:textId="77777777" w:rsidR="009F49EF" w:rsidRDefault="00000000">
      <w:pPr>
        <w:pStyle w:val="Heading1"/>
        <w:spacing w:before="480" w:after="240"/>
      </w:pPr>
      <w:r>
        <w:t>Study Tools (Instruments of Data Collection)</w:t>
      </w:r>
    </w:p>
    <w:p w14:paraId="27BA4BAB" w14:textId="77777777" w:rsidR="009F49EF" w:rsidRDefault="00000000">
      <w:pPr>
        <w:spacing w:after="200" w:line="360" w:lineRule="auto"/>
        <w:jc w:val="both"/>
      </w:pPr>
      <w:r>
        <w:t>Two instruments support the two phases of this study.</w:t>
      </w:r>
    </w:p>
    <w:p w14:paraId="30F5A0C2" w14:textId="77777777" w:rsidR="009F49EF" w:rsidRDefault="00000000">
      <w:pPr>
        <w:pStyle w:val="Heading2"/>
        <w:spacing w:before="360" w:after="200"/>
      </w:pPr>
      <w:r>
        <w:lastRenderedPageBreak/>
        <w:t>The structured questionnaire</w:t>
      </w:r>
    </w:p>
    <w:p w14:paraId="5A2510CF" w14:textId="77777777" w:rsidR="009F49EF" w:rsidRDefault="00000000">
      <w:pPr>
        <w:spacing w:after="200" w:line="360" w:lineRule="auto"/>
        <w:jc w:val="both"/>
      </w:pPr>
      <w:r>
        <w:t xml:space="preserve">The questionnaire will be translated into the local dialect to reduce the risk of meaning getting lost in translation. It is organized into four sections. Section A collects demographic profile data, age, gender, location (urban versus rural), and income level, which lets the analysis identify where the digital divide is most pronounced. Section B establishes a technology baseline: whether the respondent owns a smartphone, how stable their internet connection </w:t>
      </w:r>
      <w:proofErr w:type="gramStart"/>
      <w:r>
        <w:t>actually is</w:t>
      </w:r>
      <w:proofErr w:type="gramEnd"/>
      <w:r>
        <w:t>, and their prior familiarity with FinTech platforms generally.</w:t>
      </w:r>
    </w:p>
    <w:p w14:paraId="5B02C956" w14:textId="77777777" w:rsidR="009F49EF" w:rsidRDefault="00000000">
      <w:pPr>
        <w:spacing w:after="200" w:line="360" w:lineRule="auto"/>
        <w:jc w:val="both"/>
      </w:pPr>
      <w:r>
        <w:t>Section C operationalizes the TAM/UTAUT constructs using a five-point Likert scale, measuring perceived usefulness and perceived ease of use, along with a dedicated sub-scale for perceived trust and security that reflects this study's extension of the standard model. Section D measures reported outcomes directly: whether the platform helped the respondent save money, whether it gave them access to micro-insurance, corresponding to the access, usage, and quality constructs defined earlier.</w:t>
      </w:r>
    </w:p>
    <w:p w14:paraId="14F2D6EA" w14:textId="77777777" w:rsidR="009F49EF" w:rsidRDefault="00000000">
      <w:pPr>
        <w:spacing w:after="200" w:line="360" w:lineRule="auto"/>
        <w:jc w:val="both"/>
      </w:pPr>
      <w:r>
        <w:t xml:space="preserve">Before full deployment, the questionnaire will go through expert review by a panel of academic and industry reviewers to confirm clarity and relevance to the local market. A pilot test with 30 respondents will follow, checking reliability against </w:t>
      </w:r>
      <w:proofErr w:type="gramStart"/>
      <w:r>
        <w:t>a Cronbach's</w:t>
      </w:r>
      <w:proofErr w:type="gramEnd"/>
      <w:r>
        <w:t xml:space="preserve"> alpha threshold of α ≥ 0.70. If the instrument does not clear that bar, it gets revised before full data collection begins, not after.</w:t>
      </w:r>
    </w:p>
    <w:p w14:paraId="432B8D59" w14:textId="77777777" w:rsidR="009F49EF" w:rsidRDefault="00000000">
      <w:pPr>
        <w:pStyle w:val="Heading2"/>
        <w:spacing w:before="360" w:after="200"/>
      </w:pPr>
      <w:r>
        <w:t>The interview protocol</w:t>
      </w:r>
    </w:p>
    <w:p w14:paraId="78DA6DF7" w14:textId="77777777" w:rsidR="009F49EF" w:rsidRDefault="00000000">
      <w:pPr>
        <w:spacing w:after="200" w:line="360" w:lineRule="auto"/>
        <w:jc w:val="both"/>
      </w:pPr>
      <w:r>
        <w:t xml:space="preserve">The qualitative phase uses a semi-structured protocol that adapts to who is being interviewed. With regulators, the conversation focuses on how KYC and AML requirements affect onboarding for customers without formal identification. With FinTech founders, it focuses on the feasibility of partnerships with legacy banks and the conditions under which such partnerships </w:t>
      </w:r>
      <w:proofErr w:type="gramStart"/>
      <w:r>
        <w:t>actually work</w:t>
      </w:r>
      <w:proofErr w:type="gramEnd"/>
      <w:r>
        <w:t xml:space="preserve"> versus collapse under their own weight. With policymakers, it turns to the practical feasibility of regulatory sandbox models given the local regulatory environment as it currently exists, not as a white paper describes it.</w:t>
      </w:r>
    </w:p>
    <w:p w14:paraId="6EB98660" w14:textId="77777777" w:rsidR="009F49EF" w:rsidRDefault="00000000">
      <w:pPr>
        <w:spacing w:after="200" w:line="360" w:lineRule="auto"/>
        <w:jc w:val="both"/>
      </w:pPr>
      <w:r>
        <w:t xml:space="preserve">To support the trustworthiness of the qualitative findings, the study uses member checking, returning transcripts to interviewees to confirm accurate interpretation of their responses, and </w:t>
      </w:r>
      <w:r>
        <w:lastRenderedPageBreak/>
        <w:t>maintains a documented audit trail linking specific interview data to the strategic recommendations eventually drawn from it. All interviews will be recorded and professionally transcribed.</w:t>
      </w:r>
    </w:p>
    <w:p w14:paraId="5E651592" w14:textId="77777777" w:rsidR="009F49EF" w:rsidRDefault="00000000">
      <w:pPr>
        <w:pStyle w:val="Heading1"/>
        <w:spacing w:before="480" w:after="240"/>
      </w:pPr>
      <w:r>
        <w:t>Scope and Limitations of the Study</w:t>
      </w:r>
    </w:p>
    <w:p w14:paraId="66F97640" w14:textId="77777777" w:rsidR="009F49EF" w:rsidRDefault="00000000">
      <w:pPr>
        <w:pStyle w:val="Heading2"/>
        <w:spacing w:before="360" w:after="200"/>
      </w:pPr>
      <w:r>
        <w:t>Scope</w:t>
      </w:r>
    </w:p>
    <w:p w14:paraId="0B3A6AE4" w14:textId="77777777" w:rsidR="009F49EF" w:rsidRDefault="00000000">
      <w:pPr>
        <w:spacing w:after="200" w:line="360" w:lineRule="auto"/>
        <w:jc w:val="both"/>
      </w:pPr>
      <w:r>
        <w:t>The study is bounded along four dimensions, mainly to keep a genuinely broad topic from becoming an unmanageable one.</w:t>
      </w:r>
    </w:p>
    <w:p w14:paraId="5B23670C" w14:textId="77777777" w:rsidR="009F49EF" w:rsidRDefault="00000000">
      <w:pPr>
        <w:spacing w:after="200" w:line="360" w:lineRule="auto"/>
        <w:jc w:val="both"/>
      </w:pPr>
      <w:r>
        <w:t>Thematically, it is limited to retail financial services: mobile money, digital wallets, and micro-insurance technology. High-frequency trading, corporate treasury tools, and institutional cryptocurrency applications fall outside the scope, since none of them bear directly on inclusion outcomes for underserved consumers. Geographically, the empirical focus is Saudi Arabia and the broader MENA region, reflecting both the region's Vision 2030 push toward a cashless economy and the pace of digital transformation already underway there. Temporally, data collection covers the 2023–2024 period, a window shaped by tighter capital conditions following the broader technology valuation correction, which affects how both consumers and firms behave when capital is not as freely available as it was a few years earlier. Demographically, the quantitative sample is limited to adults aged 18 and above who are unbanked or newly engaged with digital financial tools, while the qualitative sample is limited to senior figures in regulation and industry with direct influence over the relevant decisions.</w:t>
      </w:r>
    </w:p>
    <w:p w14:paraId="7835165E" w14:textId="77777777" w:rsidR="009F49EF" w:rsidRDefault="00000000">
      <w:pPr>
        <w:pStyle w:val="Heading2"/>
        <w:spacing w:before="360" w:after="200"/>
      </w:pPr>
      <w:r>
        <w:t>Limitations</w:t>
      </w:r>
    </w:p>
    <w:p w14:paraId="27A7FA47" w14:textId="77777777" w:rsidR="009F49EF" w:rsidRDefault="00000000">
      <w:pPr>
        <w:spacing w:after="200" w:line="360" w:lineRule="auto"/>
        <w:jc w:val="both"/>
      </w:pPr>
      <w:r>
        <w:t>No study of this kind is without real constraints. Three are named here plainly rather than buried in a footnote.</w:t>
      </w:r>
    </w:p>
    <w:p w14:paraId="72393F72" w14:textId="77777777" w:rsidR="009F49EF" w:rsidRDefault="00000000">
      <w:pPr>
        <w:spacing w:after="200" w:line="360" w:lineRule="auto"/>
        <w:jc w:val="both"/>
      </w:pPr>
      <w:r>
        <w:t>FinTech products change faster than academic publishing timelines can track. A platform studied as a leading example in 2023 may be defunct or absorbed into a competitor by the time this study is published; that is an ordinary hazard of writing about a fast-moving sector, not a flaw specific to this design. The analysis addresses it by focusing on durable strategic and organizational principles instead of the features of any single application, principles that should remain relevant even after the underlying technology has moved on.</w:t>
      </w:r>
    </w:p>
    <w:p w14:paraId="1943E776" w14:textId="77777777" w:rsidR="009F49EF" w:rsidRDefault="00000000">
      <w:pPr>
        <w:spacing w:after="200" w:line="360" w:lineRule="auto"/>
        <w:jc w:val="both"/>
      </w:pPr>
      <w:r>
        <w:lastRenderedPageBreak/>
        <w:t>A second, more practical constraint concerns reaching the very population the study cares most about. An online survey cannot reach respondents who lack digital literacy, since they would be unable to complete it, which creates an obvious risk of self-selection bias baked into the sampling method itself. Field researchers with tablets will therefore conduct the survey in person in rural and low-income areas, rather than relying solely on self-administered digital distribution that would systematically exclude the least digitally literate respondents from a study about digital literacy.</w:t>
      </w:r>
    </w:p>
    <w:p w14:paraId="5D1354D6" w14:textId="77777777" w:rsidR="009F49EF" w:rsidRDefault="00000000">
      <w:pPr>
        <w:spacing w:after="200" w:line="360" w:lineRule="auto"/>
        <w:jc w:val="both"/>
      </w:pPr>
      <w:r>
        <w:t xml:space="preserve">Finally, because this is a cross-sectional study conducted at a single point in time, it can establish a statistical association between FinTech characteristics and inclusion outcomes, but it cannot establish long-term causality. That would require a longitudinal design running several years, which is not feasible within this academic window. What follows, then, is a rigorous cross-sectional foundation for the strategic framework, not a definitive causal account of FinTech's long-run effect on inclusion, a distinction this study does not want to blur even where it would be more convenient </w:t>
      </w:r>
      <w:proofErr w:type="gramStart"/>
      <w:r>
        <w:t>to</w:t>
      </w:r>
      <w:proofErr w:type="gramEnd"/>
      <w:r>
        <w:t>.</w:t>
      </w:r>
    </w:p>
    <w:p w14:paraId="49AA6DB5" w14:textId="77777777" w:rsidR="009F49EF" w:rsidRDefault="00000000">
      <w:pPr>
        <w:pStyle w:val="Heading1"/>
        <w:spacing w:before="480" w:after="240"/>
      </w:pPr>
      <w:r>
        <w:t>References</w:t>
      </w:r>
    </w:p>
    <w:p w14:paraId="2A3F9C09" w14:textId="77777777" w:rsidR="009F49EF" w:rsidRDefault="00000000">
      <w:pPr>
        <w:spacing w:after="200" w:line="360" w:lineRule="auto"/>
        <w:jc w:val="both"/>
      </w:pPr>
      <w:r>
        <w:t xml:space="preserve">Akerlof, G. A. (1970). The market for "lemons": Quality uncertainty and the market mechanism. </w:t>
      </w:r>
      <w:r>
        <w:rPr>
          <w:i/>
          <w:iCs/>
        </w:rPr>
        <w:t>The Quarterly Journal of Economics, 84</w:t>
      </w:r>
      <w:r>
        <w:t>(3), 488-500.</w:t>
      </w:r>
    </w:p>
    <w:p w14:paraId="6551D298" w14:textId="77777777" w:rsidR="009F49EF" w:rsidRDefault="00000000">
      <w:pPr>
        <w:spacing w:after="200" w:line="360" w:lineRule="auto"/>
        <w:jc w:val="both"/>
      </w:pPr>
      <w:r>
        <w:t xml:space="preserve">Arner, D. W., Barberis, J., &amp; Buckley, R. P. (2015). The evolution of FinTech: A new post-crisis paradigm. </w:t>
      </w:r>
      <w:r>
        <w:rPr>
          <w:i/>
          <w:iCs/>
        </w:rPr>
        <w:t>Georgetown Journal of International Law, 47</w:t>
      </w:r>
      <w:r>
        <w:t>, 1271-1319.</w:t>
      </w:r>
    </w:p>
    <w:p w14:paraId="0F08FC72" w14:textId="77777777" w:rsidR="009F49EF" w:rsidRDefault="00000000">
      <w:pPr>
        <w:spacing w:after="200" w:line="360" w:lineRule="auto"/>
        <w:jc w:val="both"/>
      </w:pPr>
      <w:r>
        <w:t xml:space="preserve">Buckley, R. P., Arner, D. W., </w:t>
      </w:r>
      <w:proofErr w:type="spellStart"/>
      <w:r>
        <w:t>Zetzsche</w:t>
      </w:r>
      <w:proofErr w:type="spellEnd"/>
      <w:r>
        <w:t xml:space="preserve">, D. A., &amp; </w:t>
      </w:r>
      <w:proofErr w:type="spellStart"/>
      <w:r>
        <w:t>Selvadurai</w:t>
      </w:r>
      <w:proofErr w:type="spellEnd"/>
      <w:r>
        <w:t xml:space="preserve">, E. (2019). The dark side of digital financial transformation: The new risks of FinTech and the rise of </w:t>
      </w:r>
      <w:proofErr w:type="spellStart"/>
      <w:r>
        <w:t>TechRisk</w:t>
      </w:r>
      <w:proofErr w:type="spellEnd"/>
      <w:r>
        <w:t xml:space="preserve">. </w:t>
      </w:r>
      <w:r>
        <w:rPr>
          <w:i/>
          <w:iCs/>
        </w:rPr>
        <w:t>Singapore Journal of Legal Studies</w:t>
      </w:r>
      <w:r>
        <w:t>, 44-74.</w:t>
      </w:r>
    </w:p>
    <w:p w14:paraId="66C9521E" w14:textId="77777777" w:rsidR="009F49EF" w:rsidRDefault="00000000">
      <w:pPr>
        <w:spacing w:after="200" w:line="360" w:lineRule="auto"/>
        <w:jc w:val="both"/>
      </w:pPr>
      <w:r>
        <w:t xml:space="preserve">Cull, R., </w:t>
      </w:r>
      <w:proofErr w:type="spellStart"/>
      <w:r>
        <w:t>Demirgüç</w:t>
      </w:r>
      <w:proofErr w:type="spellEnd"/>
      <w:r>
        <w:t xml:space="preserve">-Kunt, A., &amp; Morduch, J. (2014). Financial inclusion and development: Recent impact evidence. </w:t>
      </w:r>
      <w:r>
        <w:rPr>
          <w:i/>
          <w:iCs/>
        </w:rPr>
        <w:t>Focus Note 92</w:t>
      </w:r>
      <w:r>
        <w:t>. Consultative Group to Assist the Poor (CGAP).</w:t>
      </w:r>
    </w:p>
    <w:p w14:paraId="54602549" w14:textId="77777777" w:rsidR="009F49EF" w:rsidRDefault="00000000">
      <w:pPr>
        <w:spacing w:after="200" w:line="360" w:lineRule="auto"/>
        <w:jc w:val="both"/>
      </w:pPr>
      <w:r>
        <w:t xml:space="preserve">Davis, F. D. (1989). Perceived usefulness, perceived ease of use, and user acceptance of information technology. </w:t>
      </w:r>
      <w:r>
        <w:rPr>
          <w:i/>
          <w:iCs/>
        </w:rPr>
        <w:t>MIS Quarterly, 13</w:t>
      </w:r>
      <w:r>
        <w:t>(3), 319-340.</w:t>
      </w:r>
    </w:p>
    <w:p w14:paraId="078339F0" w14:textId="77777777" w:rsidR="009F49EF" w:rsidRDefault="00000000">
      <w:pPr>
        <w:spacing w:after="200" w:line="360" w:lineRule="auto"/>
        <w:jc w:val="both"/>
      </w:pPr>
      <w:proofErr w:type="spellStart"/>
      <w:r>
        <w:lastRenderedPageBreak/>
        <w:t>Demirgüç</w:t>
      </w:r>
      <w:proofErr w:type="spellEnd"/>
      <w:r>
        <w:t xml:space="preserve">-Kunt, A., Klapper, L., Singer, D., Ansar, S., &amp; Hess, J. (2018). </w:t>
      </w:r>
      <w:r>
        <w:rPr>
          <w:i/>
          <w:iCs/>
        </w:rPr>
        <w:t>The Global Findex Database 2017: Measuring financial inclusion and the fintech revolution</w:t>
      </w:r>
      <w:r>
        <w:t>. The World Bank.</w:t>
      </w:r>
    </w:p>
    <w:p w14:paraId="50526C8D" w14:textId="77777777" w:rsidR="009F49EF" w:rsidRDefault="00000000">
      <w:pPr>
        <w:spacing w:after="200" w:line="360" w:lineRule="auto"/>
        <w:jc w:val="both"/>
      </w:pPr>
      <w:proofErr w:type="spellStart"/>
      <w:r>
        <w:t>Demirgüç</w:t>
      </w:r>
      <w:proofErr w:type="spellEnd"/>
      <w:r>
        <w:t xml:space="preserve">-Kunt, A., Klapper, L., Singer, D., &amp; Ansar, S. (2022). </w:t>
      </w:r>
      <w:r>
        <w:rPr>
          <w:i/>
          <w:iCs/>
        </w:rPr>
        <w:t>The Global Findex Database 2021: Financial inclusion, digital payments, and resilience in the age of COVID-19</w:t>
      </w:r>
      <w:r>
        <w:t>. The World Bank.</w:t>
      </w:r>
    </w:p>
    <w:p w14:paraId="051B3831" w14:textId="77777777" w:rsidR="009F49EF" w:rsidRDefault="00000000">
      <w:pPr>
        <w:spacing w:after="200" w:line="360" w:lineRule="auto"/>
        <w:jc w:val="both"/>
      </w:pPr>
      <w:r>
        <w:t xml:space="preserve">Diamond, D. W. (1984). Financial intermediation and delegated monitoring. </w:t>
      </w:r>
      <w:r>
        <w:rPr>
          <w:i/>
          <w:iCs/>
        </w:rPr>
        <w:t>The Review of Economic Studies, 51</w:t>
      </w:r>
      <w:r>
        <w:t>(3), 393-414.</w:t>
      </w:r>
    </w:p>
    <w:p w14:paraId="0047508C" w14:textId="77777777" w:rsidR="009F49EF" w:rsidRDefault="00000000">
      <w:pPr>
        <w:spacing w:after="200" w:line="360" w:lineRule="auto"/>
        <w:jc w:val="both"/>
      </w:pPr>
      <w:r>
        <w:t xml:space="preserve">Gabor, D., &amp; Brooks, S. (2017). The digital revolution in financial inclusion: International development in the fintech era. </w:t>
      </w:r>
      <w:r>
        <w:rPr>
          <w:i/>
          <w:iCs/>
        </w:rPr>
        <w:t>New Political Economy, 22</w:t>
      </w:r>
      <w:r>
        <w:t>(4), 423-436.</w:t>
      </w:r>
    </w:p>
    <w:p w14:paraId="4AE9CCCC" w14:textId="77777777" w:rsidR="009F49EF" w:rsidRDefault="00000000">
      <w:pPr>
        <w:spacing w:after="200" w:line="360" w:lineRule="auto"/>
        <w:jc w:val="both"/>
      </w:pPr>
      <w:r>
        <w:t xml:space="preserve">Gomber, P., Kauffman, R. J., Parker, C., &amp; Weber, B. W. (2018). On the fintech revolution: Interpreting the forces of innovation, disruption, and transformation in financial services. </w:t>
      </w:r>
      <w:r>
        <w:rPr>
          <w:i/>
          <w:iCs/>
        </w:rPr>
        <w:t>Journal of Management Information Systems, 35</w:t>
      </w:r>
      <w:r>
        <w:t>(1), 220-265.</w:t>
      </w:r>
    </w:p>
    <w:p w14:paraId="066281F6" w14:textId="77777777" w:rsidR="009F49EF" w:rsidRDefault="00000000">
      <w:pPr>
        <w:spacing w:after="200" w:line="360" w:lineRule="auto"/>
        <w:jc w:val="both"/>
      </w:pPr>
      <w:r>
        <w:t xml:space="preserve">Jagtiani, J., &amp; Lemieux, C. (2018). The roles of alternative data and machine learning in fintech lending: Evidence from the </w:t>
      </w:r>
      <w:proofErr w:type="spellStart"/>
      <w:r>
        <w:t>LendingClub</w:t>
      </w:r>
      <w:proofErr w:type="spellEnd"/>
      <w:r>
        <w:t xml:space="preserve"> consumer platform (Working Paper No. 18-15). Federal Reserve Bank of Philadelphia.</w:t>
      </w:r>
    </w:p>
    <w:p w14:paraId="0C205FAF" w14:textId="77777777" w:rsidR="009F49EF" w:rsidRDefault="00000000">
      <w:pPr>
        <w:spacing w:after="200" w:line="360" w:lineRule="auto"/>
        <w:jc w:val="both"/>
      </w:pPr>
      <w:proofErr w:type="spellStart"/>
      <w:r>
        <w:t>Ozili</w:t>
      </w:r>
      <w:proofErr w:type="spellEnd"/>
      <w:r>
        <w:t xml:space="preserve">, P. K. (2018). Impact of digital finance on financial inclusion and stability. </w:t>
      </w:r>
      <w:r>
        <w:rPr>
          <w:i/>
          <w:iCs/>
        </w:rPr>
        <w:t>Borsa Istanbul Review, 18</w:t>
      </w:r>
      <w:r>
        <w:t>(4), 329-340.</w:t>
      </w:r>
    </w:p>
    <w:p w14:paraId="51038195" w14:textId="77777777" w:rsidR="009F49EF" w:rsidRDefault="00000000">
      <w:pPr>
        <w:spacing w:after="200" w:line="360" w:lineRule="auto"/>
        <w:jc w:val="both"/>
      </w:pPr>
      <w:r>
        <w:t xml:space="preserve">Rogers, E. M. (2003). </w:t>
      </w:r>
      <w:r>
        <w:rPr>
          <w:i/>
          <w:iCs/>
        </w:rPr>
        <w:t>Diffusion of innovations</w:t>
      </w:r>
      <w:r>
        <w:t xml:space="preserve"> (5th ed.). Free Press.</w:t>
      </w:r>
    </w:p>
    <w:p w14:paraId="0E8F1623" w14:textId="77777777" w:rsidR="009F49EF" w:rsidRDefault="00000000">
      <w:pPr>
        <w:spacing w:after="200" w:line="360" w:lineRule="auto"/>
        <w:jc w:val="both"/>
      </w:pPr>
      <w:r>
        <w:t xml:space="preserve">Sahay, R., Čihák, M., N'Diaye, P., Barajas, A., Mitra, S., </w:t>
      </w:r>
      <w:proofErr w:type="spellStart"/>
      <w:r>
        <w:t>Kyobe</w:t>
      </w:r>
      <w:proofErr w:type="spellEnd"/>
      <w:r>
        <w:t xml:space="preserve">, A., Mooi, Y. N., &amp; Yousefi, S. R. (2015). </w:t>
      </w:r>
      <w:r>
        <w:rPr>
          <w:i/>
          <w:iCs/>
        </w:rPr>
        <w:t>Financial inclusion: Can it meet multiple macroeconomic goals?</w:t>
      </w:r>
      <w:r>
        <w:t xml:space="preserve"> (IMF Staff Discussion Note SDN/15/17). International Monetary Fund.</w:t>
      </w:r>
    </w:p>
    <w:p w14:paraId="2250EA80" w14:textId="77777777" w:rsidR="009F49EF" w:rsidRDefault="00000000">
      <w:pPr>
        <w:spacing w:after="200" w:line="360" w:lineRule="auto"/>
        <w:jc w:val="both"/>
      </w:pPr>
      <w:r>
        <w:t xml:space="preserve">Suri, T., &amp; Jack, W. (2016). The long-run poverty and gender impacts of mobile money. </w:t>
      </w:r>
      <w:r>
        <w:rPr>
          <w:i/>
          <w:iCs/>
        </w:rPr>
        <w:t>Science, 354</w:t>
      </w:r>
      <w:r>
        <w:t>(6317), 1288-1292.</w:t>
      </w:r>
    </w:p>
    <w:sectPr w:rsidR="009F49EF">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07B54"/>
    <w:multiLevelType w:val="hybridMultilevel"/>
    <w:tmpl w:val="3690ACC8"/>
    <w:lvl w:ilvl="0" w:tplc="155CB5FC">
      <w:start w:val="1"/>
      <w:numFmt w:val="bullet"/>
      <w:lvlText w:val="•"/>
      <w:lvlJc w:val="left"/>
      <w:pPr>
        <w:ind w:left="720" w:hanging="360"/>
      </w:pPr>
    </w:lvl>
    <w:lvl w:ilvl="1" w:tplc="F7EE2F40">
      <w:numFmt w:val="decimal"/>
      <w:lvlText w:val=""/>
      <w:lvlJc w:val="left"/>
    </w:lvl>
    <w:lvl w:ilvl="2" w:tplc="F0523916">
      <w:numFmt w:val="decimal"/>
      <w:lvlText w:val=""/>
      <w:lvlJc w:val="left"/>
    </w:lvl>
    <w:lvl w:ilvl="3" w:tplc="77B25D80">
      <w:numFmt w:val="decimal"/>
      <w:lvlText w:val=""/>
      <w:lvlJc w:val="left"/>
    </w:lvl>
    <w:lvl w:ilvl="4" w:tplc="7478A066">
      <w:numFmt w:val="decimal"/>
      <w:lvlText w:val=""/>
      <w:lvlJc w:val="left"/>
    </w:lvl>
    <w:lvl w:ilvl="5" w:tplc="F9967142">
      <w:numFmt w:val="decimal"/>
      <w:lvlText w:val=""/>
      <w:lvlJc w:val="left"/>
    </w:lvl>
    <w:lvl w:ilvl="6" w:tplc="74F088B2">
      <w:numFmt w:val="decimal"/>
      <w:lvlText w:val=""/>
      <w:lvlJc w:val="left"/>
    </w:lvl>
    <w:lvl w:ilvl="7" w:tplc="9EEC737E">
      <w:numFmt w:val="decimal"/>
      <w:lvlText w:val=""/>
      <w:lvlJc w:val="left"/>
    </w:lvl>
    <w:lvl w:ilvl="8" w:tplc="3B48A5BA">
      <w:numFmt w:val="decimal"/>
      <w:lvlText w:val=""/>
      <w:lvlJc w:val="left"/>
    </w:lvl>
  </w:abstractNum>
  <w:abstractNum w:abstractNumId="1" w15:restartNumberingAfterBreak="0">
    <w:nsid w:val="47C76E7D"/>
    <w:multiLevelType w:val="hybridMultilevel"/>
    <w:tmpl w:val="1DA49DF2"/>
    <w:lvl w:ilvl="0" w:tplc="DFF42C30">
      <w:start w:val="1"/>
      <w:numFmt w:val="bullet"/>
      <w:lvlText w:val="●"/>
      <w:lvlJc w:val="left"/>
      <w:pPr>
        <w:ind w:left="720" w:hanging="360"/>
      </w:pPr>
    </w:lvl>
    <w:lvl w:ilvl="1" w:tplc="9042BDB4">
      <w:start w:val="1"/>
      <w:numFmt w:val="bullet"/>
      <w:lvlText w:val="○"/>
      <w:lvlJc w:val="left"/>
      <w:pPr>
        <w:ind w:left="1440" w:hanging="360"/>
      </w:pPr>
    </w:lvl>
    <w:lvl w:ilvl="2" w:tplc="42B22CEC">
      <w:start w:val="1"/>
      <w:numFmt w:val="bullet"/>
      <w:lvlText w:val="■"/>
      <w:lvlJc w:val="left"/>
      <w:pPr>
        <w:ind w:left="2160" w:hanging="360"/>
      </w:pPr>
    </w:lvl>
    <w:lvl w:ilvl="3" w:tplc="C01C96BC">
      <w:start w:val="1"/>
      <w:numFmt w:val="bullet"/>
      <w:lvlText w:val="●"/>
      <w:lvlJc w:val="left"/>
      <w:pPr>
        <w:ind w:left="2880" w:hanging="360"/>
      </w:pPr>
    </w:lvl>
    <w:lvl w:ilvl="4" w:tplc="29806F9E">
      <w:start w:val="1"/>
      <w:numFmt w:val="bullet"/>
      <w:lvlText w:val="○"/>
      <w:lvlJc w:val="left"/>
      <w:pPr>
        <w:ind w:left="3600" w:hanging="360"/>
      </w:pPr>
    </w:lvl>
    <w:lvl w:ilvl="5" w:tplc="8C60CA58">
      <w:start w:val="1"/>
      <w:numFmt w:val="bullet"/>
      <w:lvlText w:val="■"/>
      <w:lvlJc w:val="left"/>
      <w:pPr>
        <w:ind w:left="4320" w:hanging="360"/>
      </w:pPr>
    </w:lvl>
    <w:lvl w:ilvl="6" w:tplc="0598DA0E">
      <w:start w:val="1"/>
      <w:numFmt w:val="bullet"/>
      <w:lvlText w:val="●"/>
      <w:lvlJc w:val="left"/>
      <w:pPr>
        <w:ind w:left="5040" w:hanging="360"/>
      </w:pPr>
    </w:lvl>
    <w:lvl w:ilvl="7" w:tplc="D84EEB0E">
      <w:start w:val="1"/>
      <w:numFmt w:val="bullet"/>
      <w:lvlText w:val="●"/>
      <w:lvlJc w:val="left"/>
      <w:pPr>
        <w:ind w:left="5760" w:hanging="360"/>
      </w:pPr>
    </w:lvl>
    <w:lvl w:ilvl="8" w:tplc="31CE056E">
      <w:start w:val="1"/>
      <w:numFmt w:val="bullet"/>
      <w:lvlText w:val="●"/>
      <w:lvlJc w:val="left"/>
      <w:pPr>
        <w:ind w:left="6480" w:hanging="360"/>
      </w:pPr>
    </w:lvl>
  </w:abstractNum>
  <w:abstractNum w:abstractNumId="2" w15:restartNumberingAfterBreak="0">
    <w:nsid w:val="5B121496"/>
    <w:multiLevelType w:val="hybridMultilevel"/>
    <w:tmpl w:val="E41ED518"/>
    <w:lvl w:ilvl="0" w:tplc="93E2F186">
      <w:start w:val="1"/>
      <w:numFmt w:val="decimal"/>
      <w:lvlText w:val="%1."/>
      <w:lvlJc w:val="left"/>
      <w:pPr>
        <w:ind w:left="720" w:hanging="360"/>
      </w:pPr>
    </w:lvl>
    <w:lvl w:ilvl="1" w:tplc="69C66746">
      <w:numFmt w:val="decimal"/>
      <w:lvlText w:val=""/>
      <w:lvlJc w:val="left"/>
    </w:lvl>
    <w:lvl w:ilvl="2" w:tplc="6D0E3982">
      <w:numFmt w:val="decimal"/>
      <w:lvlText w:val=""/>
      <w:lvlJc w:val="left"/>
    </w:lvl>
    <w:lvl w:ilvl="3" w:tplc="C0D07D1C">
      <w:numFmt w:val="decimal"/>
      <w:lvlText w:val=""/>
      <w:lvlJc w:val="left"/>
    </w:lvl>
    <w:lvl w:ilvl="4" w:tplc="2D8E244E">
      <w:numFmt w:val="decimal"/>
      <w:lvlText w:val=""/>
      <w:lvlJc w:val="left"/>
    </w:lvl>
    <w:lvl w:ilvl="5" w:tplc="10501E92">
      <w:numFmt w:val="decimal"/>
      <w:lvlText w:val=""/>
      <w:lvlJc w:val="left"/>
    </w:lvl>
    <w:lvl w:ilvl="6" w:tplc="3D2667B2">
      <w:numFmt w:val="decimal"/>
      <w:lvlText w:val=""/>
      <w:lvlJc w:val="left"/>
    </w:lvl>
    <w:lvl w:ilvl="7" w:tplc="9716C712">
      <w:numFmt w:val="decimal"/>
      <w:lvlText w:val=""/>
      <w:lvlJc w:val="left"/>
    </w:lvl>
    <w:lvl w:ilvl="8" w:tplc="77BE4684">
      <w:numFmt w:val="decimal"/>
      <w:lvlText w:val=""/>
      <w:lvlJc w:val="left"/>
    </w:lvl>
  </w:abstractNum>
  <w:num w:numId="1" w16cid:durableId="601452279">
    <w:abstractNumId w:val="1"/>
    <w:lvlOverride w:ilvl="0">
      <w:startOverride w:val="1"/>
    </w:lvlOverride>
  </w:num>
  <w:num w:numId="2" w16cid:durableId="11366784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9EF"/>
    <w:rsid w:val="00464963"/>
    <w:rsid w:val="0098618A"/>
    <w:rsid w:val="009F49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C2DA8"/>
  <w15:docId w15:val="{1D80CF0D-1444-4386-8545-9F1D72EB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7089</Words>
  <Characters>40411</Characters>
  <Application>Microsoft Office Word</Application>
  <DocSecurity>0</DocSecurity>
  <Lines>336</Lines>
  <Paragraphs>94</Paragraphs>
  <ScaleCrop>false</ScaleCrop>
  <Company/>
  <LinksUpToDate>false</LinksUpToDate>
  <CharactersWithSpaces>47406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mukhtar alkhalifah</cp:lastModifiedBy>
  <cp:revision>2</cp:revision>
  <dcterms:created xsi:type="dcterms:W3CDTF">2026-07-17T17:34:00Z</dcterms:created>
  <dcterms:modified xsi:type="dcterms:W3CDTF">2026-07-17T17:45:00Z</dcterms:modified>
</cp:coreProperties>
</file>