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94C4E6E" w:rsidR="009125CE" w:rsidRPr="006E3FDF" w:rsidRDefault="0071139A" w:rsidP="00F8462C">
      <w:pPr>
        <w:spacing w:after="0" w:line="240" w:lineRule="auto"/>
        <w:rPr>
          <w:rFonts w:ascii="Simplified Arabic" w:hAnsi="Simplified Arabic" w:cs="Simplified Arabic"/>
          <w:b/>
          <w:bCs/>
          <w:sz w:val="28"/>
          <w:szCs w:val="28"/>
          <w:lang w:bidi="ar-EG"/>
        </w:rPr>
      </w:pPr>
      <w:r w:rsidRPr="0071139A">
        <w:rPr>
          <w:rFonts w:ascii="Simplified Arabic" w:hAnsi="Simplified Arabic" w:cs="Simplified Arabic"/>
          <w:b/>
          <w:bCs/>
          <w:noProof/>
          <w:sz w:val="28"/>
          <w:szCs w:val="28"/>
        </w:rPr>
        <w:drawing>
          <wp:anchor distT="0" distB="0" distL="114300" distR="114300" simplePos="0" relativeHeight="251658240" behindDoc="1" locked="0" layoutInCell="1" allowOverlap="1" wp14:anchorId="4117FFF0" wp14:editId="49E19849">
            <wp:simplePos x="361950" y="923925"/>
            <wp:positionH relativeFrom="margin">
              <wp:align>left</wp:align>
            </wp:positionH>
            <wp:positionV relativeFrom="margin">
              <wp:align>top</wp:align>
            </wp:positionV>
            <wp:extent cx="2228215" cy="914400"/>
            <wp:effectExtent l="0" t="0" r="63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578" b="27164"/>
                    <a:stretch>
                      <a:fillRect/>
                    </a:stretch>
                  </pic:blipFill>
                  <pic:spPr bwMode="auto">
                    <a:xfrm>
                      <a:off x="0" y="0"/>
                      <a:ext cx="2228215"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3FDF">
        <w:rPr>
          <w:rFonts w:ascii="Simplified Arabic" w:hAnsi="Simplified Arabic" w:cs="Simplified Arabic" w:hint="cs"/>
          <w:b/>
          <w:bCs/>
          <w:sz w:val="28"/>
          <w:szCs w:val="28"/>
          <w:rtl/>
          <w:lang w:bidi="ar-EG"/>
        </w:rPr>
        <w:t xml:space="preserve"> </w:t>
      </w:r>
      <w:r w:rsidR="00F8462C">
        <w:rPr>
          <w:rFonts w:ascii="Simplified Arabic" w:hAnsi="Simplified Arabic" w:cs="Simplified Arabic" w:hint="cs"/>
          <w:b/>
          <w:bCs/>
          <w:sz w:val="28"/>
          <w:szCs w:val="28"/>
          <w:rtl/>
          <w:lang w:bidi="ar-EG"/>
        </w:rPr>
        <w:t xml:space="preserve"> </w:t>
      </w:r>
      <w:r w:rsidR="006E3FDF">
        <w:rPr>
          <w:rFonts w:ascii="Simplified Arabic" w:hAnsi="Simplified Arabic" w:cs="Simplified Arabic" w:hint="cs"/>
          <w:b/>
          <w:bCs/>
          <w:sz w:val="28"/>
          <w:szCs w:val="28"/>
          <w:rtl/>
          <w:lang w:bidi="ar-EG"/>
        </w:rPr>
        <w:t xml:space="preserve">   </w:t>
      </w:r>
      <w:r w:rsidR="009125CE" w:rsidRPr="006E3FDF">
        <w:rPr>
          <w:rFonts w:ascii="Simplified Arabic" w:hAnsi="Simplified Arabic" w:cs="Simplified Arabic"/>
          <w:b/>
          <w:bCs/>
          <w:sz w:val="28"/>
          <w:szCs w:val="28"/>
          <w:rtl/>
          <w:lang w:bidi="ar-EG"/>
        </w:rPr>
        <w:t>جامعة ميدأوشن</w:t>
      </w:r>
    </w:p>
    <w:p w14:paraId="1E957002" w14:textId="54D638C2" w:rsidR="00F546CE" w:rsidRPr="006E3FDF" w:rsidRDefault="00F8462C" w:rsidP="00F8462C">
      <w:pPr>
        <w:spacing w:after="0" w:line="24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6E3FDF">
        <w:rPr>
          <w:rFonts w:ascii="Simplified Arabic" w:hAnsi="Simplified Arabic" w:cs="Simplified Arabic" w:hint="cs"/>
          <w:b/>
          <w:bCs/>
          <w:sz w:val="28"/>
          <w:szCs w:val="28"/>
          <w:rtl/>
          <w:lang w:bidi="ar-EG"/>
        </w:rPr>
        <w:t xml:space="preserve">      </w:t>
      </w:r>
      <w:r w:rsidR="009125CE" w:rsidRPr="006E3FDF">
        <w:rPr>
          <w:rFonts w:ascii="Simplified Arabic" w:hAnsi="Simplified Arabic" w:cs="Simplified Arabic"/>
          <w:b/>
          <w:bCs/>
          <w:sz w:val="28"/>
          <w:szCs w:val="28"/>
          <w:rtl/>
          <w:lang w:bidi="ar-EG"/>
        </w:rPr>
        <w:t>كلية الإدارة</w:t>
      </w:r>
    </w:p>
    <w:p w14:paraId="0217C513" w14:textId="386A5406" w:rsidR="009125CE" w:rsidRPr="006E3FDF" w:rsidRDefault="00ED6D50" w:rsidP="00F8462C">
      <w:pPr>
        <w:tabs>
          <w:tab w:val="center" w:pos="3118"/>
        </w:tabs>
        <w:spacing w:after="0" w:line="240" w:lineRule="auto"/>
        <w:rPr>
          <w:rFonts w:ascii="Simplified Arabic" w:hAnsi="Simplified Arabic" w:cs="Simplified Arabic"/>
          <w:b/>
          <w:bCs/>
          <w:sz w:val="28"/>
          <w:szCs w:val="28"/>
          <w:rtl/>
          <w:lang w:bidi="ar-EG"/>
        </w:rPr>
      </w:pPr>
      <w:r w:rsidRPr="006E3FDF">
        <w:rPr>
          <w:rFonts w:ascii="Simplified Arabic" w:hAnsi="Simplified Arabic" w:cs="Simplified Arabic"/>
          <w:b/>
          <w:bCs/>
          <w:sz w:val="28"/>
          <w:szCs w:val="28"/>
          <w:rtl/>
          <w:lang w:bidi="ar-EG"/>
        </w:rPr>
        <w:t>ماجستير إدارة المشاريع</w:t>
      </w:r>
    </w:p>
    <w:p w14:paraId="5F6542BF" w14:textId="77777777" w:rsidR="009125CE" w:rsidRPr="00FC49B9" w:rsidRDefault="009125CE" w:rsidP="00914466">
      <w:pPr>
        <w:spacing w:after="0" w:line="240" w:lineRule="auto"/>
        <w:jc w:val="center"/>
        <w:rPr>
          <w:rFonts w:ascii="Simplified Arabic" w:hAnsi="Simplified Arabic" w:cs="Simplified Arabic"/>
          <w:b/>
          <w:bCs/>
          <w:sz w:val="144"/>
          <w:szCs w:val="144"/>
          <w:rtl/>
          <w:lang w:bidi="ar-EG"/>
        </w:rPr>
      </w:pPr>
    </w:p>
    <w:p w14:paraId="08401F45" w14:textId="7BE12B80" w:rsidR="009125CE" w:rsidRPr="00D211B9" w:rsidRDefault="00DC185D" w:rsidP="00914466">
      <w:pPr>
        <w:spacing w:after="0" w:line="240" w:lineRule="auto"/>
        <w:jc w:val="center"/>
        <w:rPr>
          <w:rFonts w:ascii="Simplified Arabic" w:hAnsi="Simplified Arabic" w:cs="Simplified Arabic"/>
          <w:b/>
          <w:bCs/>
          <w:sz w:val="36"/>
          <w:szCs w:val="36"/>
          <w:rtl/>
          <w:lang w:bidi="ar-EG"/>
        </w:rPr>
      </w:pPr>
      <w:r w:rsidRPr="00D211B9">
        <w:rPr>
          <w:rFonts w:ascii="Simplified Arabic" w:hAnsi="Simplified Arabic" w:cs="Simplified Arabic"/>
          <w:b/>
          <w:bCs/>
          <w:sz w:val="36"/>
          <w:szCs w:val="36"/>
          <w:rtl/>
          <w:lang w:bidi="ar-EG"/>
        </w:rPr>
        <w:t xml:space="preserve">أثر </w:t>
      </w:r>
      <w:r w:rsidR="003D1031" w:rsidRPr="00D211B9">
        <w:rPr>
          <w:rFonts w:ascii="Simplified Arabic" w:hAnsi="Simplified Arabic" w:cs="Simplified Arabic"/>
          <w:b/>
          <w:bCs/>
          <w:sz w:val="36"/>
          <w:szCs w:val="36"/>
          <w:rtl/>
          <w:lang w:bidi="ar-EG"/>
        </w:rPr>
        <w:t>تطبيق الإدارة الخضراء في تعزيز الاستدامة البيئية في المشاريع الهندسية العملاقة المرتبطة بمحفظة صندوق الاستثمارات العامة السعودي</w:t>
      </w:r>
    </w:p>
    <w:p w14:paraId="7152CCBA" w14:textId="77777777" w:rsidR="006E3FDF" w:rsidRPr="005E03E1" w:rsidRDefault="006E3FDF" w:rsidP="00914466">
      <w:pPr>
        <w:spacing w:after="0" w:line="240" w:lineRule="auto"/>
        <w:jc w:val="center"/>
        <w:rPr>
          <w:rFonts w:ascii="Simplified Arabic" w:hAnsi="Simplified Arabic" w:cs="Simplified Arabic"/>
          <w:sz w:val="20"/>
          <w:szCs w:val="20"/>
          <w:rtl/>
        </w:rPr>
      </w:pPr>
    </w:p>
    <w:p w14:paraId="15C28831" w14:textId="0968461D" w:rsidR="009125CE" w:rsidRPr="00D211B9" w:rsidRDefault="00E52483" w:rsidP="00914466">
      <w:pPr>
        <w:spacing w:after="0" w:line="240" w:lineRule="auto"/>
        <w:jc w:val="center"/>
        <w:rPr>
          <w:rFonts w:ascii="Simplified Arabic" w:hAnsi="Simplified Arabic" w:cs="Simplified Arabic"/>
          <w:b/>
          <w:bCs/>
          <w:sz w:val="32"/>
          <w:szCs w:val="32"/>
          <w:rtl/>
        </w:rPr>
      </w:pPr>
      <w:r w:rsidRPr="00D211B9">
        <w:rPr>
          <w:rFonts w:ascii="Simplified Arabic" w:hAnsi="Simplified Arabic" w:cs="Simplified Arabic"/>
          <w:b/>
          <w:bCs/>
          <w:sz w:val="32"/>
          <w:szCs w:val="32"/>
          <w:rtl/>
        </w:rPr>
        <w:t xml:space="preserve">دراسة </w:t>
      </w:r>
      <w:r w:rsidR="003D1031" w:rsidRPr="00D211B9">
        <w:rPr>
          <w:rFonts w:ascii="Simplified Arabic" w:hAnsi="Simplified Arabic" w:cs="Simplified Arabic"/>
          <w:b/>
          <w:bCs/>
          <w:sz w:val="32"/>
          <w:szCs w:val="32"/>
          <w:rtl/>
        </w:rPr>
        <w:t>تحليلية مقارنة على مشروعي نيوم والبحر الأحمر الدولية</w:t>
      </w:r>
    </w:p>
    <w:p w14:paraId="397FE89A" w14:textId="77777777" w:rsidR="00EB32C8" w:rsidRPr="005E03E1" w:rsidRDefault="00EB32C8" w:rsidP="00914466">
      <w:pPr>
        <w:spacing w:after="0" w:line="240" w:lineRule="auto"/>
        <w:jc w:val="center"/>
        <w:rPr>
          <w:rFonts w:ascii="Simplified Arabic" w:hAnsi="Simplified Arabic" w:cs="Simplified Arabic"/>
          <w:sz w:val="40"/>
          <w:szCs w:val="40"/>
          <w:rtl/>
        </w:rPr>
      </w:pPr>
    </w:p>
    <w:p w14:paraId="5B88B6D1" w14:textId="1976021E" w:rsidR="006E3FDF" w:rsidRPr="00FC49B9" w:rsidRDefault="003D1031" w:rsidP="00914466">
      <w:pPr>
        <w:bidi w:val="0"/>
        <w:spacing w:after="0" w:line="240" w:lineRule="auto"/>
        <w:jc w:val="center"/>
        <w:rPr>
          <w:rFonts w:asciiTheme="majorBidi" w:hAnsiTheme="majorBidi" w:cstheme="majorBidi"/>
          <w:b/>
          <w:bCs/>
          <w:sz w:val="32"/>
          <w:szCs w:val="32"/>
        </w:rPr>
      </w:pPr>
      <w:r w:rsidRPr="003D1031">
        <w:rPr>
          <w:rFonts w:asciiTheme="majorBidi" w:hAnsiTheme="majorBidi" w:cstheme="majorBidi"/>
          <w:b/>
          <w:bCs/>
          <w:sz w:val="32"/>
          <w:szCs w:val="32"/>
        </w:rPr>
        <w:t>The Impact of Green Management Implementation on Enhancing Environmental Sustainability in Mega-Engineering Projects Associated with the Saudi Public Investment Fund's Portfolio</w:t>
      </w:r>
    </w:p>
    <w:p w14:paraId="78FE13B2" w14:textId="77777777" w:rsidR="00D211B9" w:rsidRPr="005E03E1" w:rsidRDefault="00D211B9" w:rsidP="00D211B9">
      <w:pPr>
        <w:spacing w:after="0" w:line="240" w:lineRule="auto"/>
        <w:jc w:val="center"/>
        <w:rPr>
          <w:rFonts w:ascii="Simplified Arabic" w:hAnsi="Simplified Arabic" w:cs="Simplified Arabic"/>
          <w:sz w:val="20"/>
          <w:szCs w:val="20"/>
          <w:rtl/>
        </w:rPr>
      </w:pPr>
    </w:p>
    <w:p w14:paraId="5B531ED3" w14:textId="398FF171" w:rsidR="00EB32C8" w:rsidRPr="00FC49B9" w:rsidRDefault="00053DE4" w:rsidP="00914466">
      <w:pPr>
        <w:bidi w:val="0"/>
        <w:spacing w:after="0" w:line="240" w:lineRule="auto"/>
        <w:jc w:val="center"/>
        <w:rPr>
          <w:rFonts w:asciiTheme="majorBidi" w:hAnsiTheme="majorBidi" w:cstheme="majorBidi"/>
          <w:b/>
          <w:bCs/>
          <w:sz w:val="28"/>
          <w:szCs w:val="28"/>
        </w:rPr>
      </w:pPr>
      <w:r w:rsidRPr="00053DE4">
        <w:rPr>
          <w:rFonts w:asciiTheme="majorBidi" w:hAnsiTheme="majorBidi" w:cstheme="majorBidi"/>
          <w:b/>
          <w:bCs/>
          <w:sz w:val="28"/>
          <w:szCs w:val="28"/>
        </w:rPr>
        <w:t>A Comparative Analytical Study of the NEOM and Red Sea International Projects</w:t>
      </w:r>
    </w:p>
    <w:p w14:paraId="0EB57E30" w14:textId="77777777" w:rsidR="009125CE" w:rsidRPr="00FC49B9" w:rsidRDefault="009125CE" w:rsidP="00914466">
      <w:pPr>
        <w:bidi w:val="0"/>
        <w:spacing w:after="0" w:line="240" w:lineRule="auto"/>
        <w:jc w:val="center"/>
        <w:rPr>
          <w:rFonts w:asciiTheme="majorBidi" w:hAnsiTheme="majorBidi" w:cstheme="majorBidi"/>
          <w:sz w:val="96"/>
          <w:szCs w:val="96"/>
          <w:rtl/>
          <w:lang w:bidi="ar-EG"/>
        </w:rPr>
      </w:pPr>
    </w:p>
    <w:p w14:paraId="76B33857" w14:textId="77777777" w:rsidR="00914466" w:rsidRDefault="009125CE" w:rsidP="00914466">
      <w:pPr>
        <w:spacing w:after="0" w:line="240" w:lineRule="auto"/>
        <w:jc w:val="center"/>
        <w:rPr>
          <w:rFonts w:ascii="Simplified Arabic" w:hAnsi="Simplified Arabic" w:cs="Simplified Arabic"/>
          <w:b/>
          <w:bCs/>
          <w:sz w:val="32"/>
          <w:szCs w:val="32"/>
          <w:rtl/>
          <w:lang w:bidi="ar-EG"/>
        </w:rPr>
      </w:pPr>
      <w:r w:rsidRPr="00F8462C">
        <w:rPr>
          <w:rFonts w:ascii="Simplified Arabic" w:hAnsi="Simplified Arabic" w:cs="Simplified Arabic"/>
          <w:b/>
          <w:bCs/>
          <w:sz w:val="32"/>
          <w:szCs w:val="32"/>
          <w:rtl/>
          <w:lang w:bidi="ar-EG"/>
        </w:rPr>
        <w:t>إعداد الطالب</w:t>
      </w:r>
      <w:r w:rsidR="00914466">
        <w:rPr>
          <w:rFonts w:ascii="Simplified Arabic" w:hAnsi="Simplified Arabic" w:cs="Simplified Arabic" w:hint="cs"/>
          <w:b/>
          <w:bCs/>
          <w:sz w:val="32"/>
          <w:szCs w:val="32"/>
          <w:rtl/>
          <w:lang w:bidi="ar-EG"/>
        </w:rPr>
        <w:t>:</w:t>
      </w:r>
    </w:p>
    <w:p w14:paraId="09684262" w14:textId="3D3932D4" w:rsidR="00ED6D50" w:rsidRPr="00F8462C" w:rsidRDefault="00ED6D50" w:rsidP="00914466">
      <w:pPr>
        <w:spacing w:after="0" w:line="240" w:lineRule="auto"/>
        <w:jc w:val="center"/>
        <w:rPr>
          <w:rFonts w:ascii="Simplified Arabic" w:hAnsi="Simplified Arabic" w:cs="Simplified Arabic"/>
          <w:b/>
          <w:bCs/>
          <w:sz w:val="32"/>
          <w:szCs w:val="32"/>
          <w:rtl/>
          <w:lang w:bidi="ar-EG"/>
        </w:rPr>
      </w:pPr>
      <w:r w:rsidRPr="00F8462C">
        <w:rPr>
          <w:rFonts w:ascii="Simplified Arabic" w:hAnsi="Simplified Arabic" w:cs="Simplified Arabic"/>
          <w:b/>
          <w:bCs/>
          <w:sz w:val="32"/>
          <w:szCs w:val="32"/>
          <w:rtl/>
          <w:lang w:bidi="ar-EG"/>
        </w:rPr>
        <w:t>عبدالله علي عون آل حنيّه</w:t>
      </w:r>
      <w:r w:rsidR="00914466">
        <w:rPr>
          <w:rFonts w:ascii="Simplified Arabic" w:hAnsi="Simplified Arabic" w:cs="Simplified Arabic" w:hint="cs"/>
          <w:b/>
          <w:bCs/>
          <w:sz w:val="32"/>
          <w:szCs w:val="32"/>
          <w:rtl/>
          <w:lang w:bidi="ar-EG"/>
        </w:rPr>
        <w:t xml:space="preserve">          252000429</w:t>
      </w:r>
    </w:p>
    <w:p w14:paraId="3D3CBDF8" w14:textId="77777777" w:rsidR="009125CE" w:rsidRPr="005E03E1" w:rsidRDefault="009125CE" w:rsidP="00914466">
      <w:pPr>
        <w:spacing w:after="0" w:line="240" w:lineRule="auto"/>
        <w:jc w:val="center"/>
        <w:rPr>
          <w:rFonts w:ascii="Simplified Arabic" w:hAnsi="Simplified Arabic" w:cs="Simplified Arabic"/>
          <w:sz w:val="40"/>
          <w:szCs w:val="40"/>
          <w:rtl/>
          <w:lang w:bidi="ar-EG"/>
        </w:rPr>
      </w:pPr>
    </w:p>
    <w:p w14:paraId="5F4EE2DE" w14:textId="7573FFB0" w:rsidR="009125CE" w:rsidRPr="00F8462C" w:rsidRDefault="009125CE" w:rsidP="00914466">
      <w:pPr>
        <w:spacing w:after="0" w:line="240" w:lineRule="auto"/>
        <w:jc w:val="center"/>
        <w:rPr>
          <w:rFonts w:ascii="Simplified Arabic" w:hAnsi="Simplified Arabic" w:cs="Simplified Arabic"/>
          <w:b/>
          <w:bCs/>
          <w:sz w:val="32"/>
          <w:szCs w:val="32"/>
          <w:rtl/>
          <w:lang w:bidi="ar-EG"/>
        </w:rPr>
      </w:pPr>
      <w:r w:rsidRPr="00F8462C">
        <w:rPr>
          <w:rFonts w:ascii="Simplified Arabic" w:hAnsi="Simplified Arabic" w:cs="Simplified Arabic"/>
          <w:b/>
          <w:bCs/>
          <w:sz w:val="32"/>
          <w:szCs w:val="32"/>
          <w:rtl/>
          <w:lang w:bidi="ar-EG"/>
        </w:rPr>
        <w:t>إشراف</w:t>
      </w:r>
      <w:r w:rsidR="00914466">
        <w:rPr>
          <w:rFonts w:ascii="Simplified Arabic" w:hAnsi="Simplified Arabic" w:cs="Simplified Arabic" w:hint="cs"/>
          <w:b/>
          <w:bCs/>
          <w:sz w:val="32"/>
          <w:szCs w:val="32"/>
          <w:rtl/>
          <w:lang w:bidi="ar-EG"/>
        </w:rPr>
        <w:t>:</w:t>
      </w:r>
    </w:p>
    <w:p w14:paraId="2459AD3C" w14:textId="6573FD9A" w:rsidR="00B55620" w:rsidRPr="00F8462C" w:rsidRDefault="00B55620" w:rsidP="00914466">
      <w:pPr>
        <w:spacing w:after="0" w:line="240" w:lineRule="auto"/>
        <w:jc w:val="center"/>
        <w:rPr>
          <w:rFonts w:ascii="Simplified Arabic" w:hAnsi="Simplified Arabic" w:cs="Simplified Arabic"/>
          <w:b/>
          <w:bCs/>
          <w:sz w:val="32"/>
          <w:szCs w:val="32"/>
          <w:rtl/>
          <w:lang w:bidi="ar-EG"/>
        </w:rPr>
      </w:pPr>
      <w:r w:rsidRPr="00F8462C">
        <w:rPr>
          <w:rFonts w:ascii="Simplified Arabic" w:hAnsi="Simplified Arabic" w:cs="Simplified Arabic"/>
          <w:b/>
          <w:bCs/>
          <w:sz w:val="32"/>
          <w:szCs w:val="32"/>
          <w:rtl/>
          <w:lang w:bidi="ar-EG"/>
        </w:rPr>
        <w:t>د.</w:t>
      </w:r>
      <w:r w:rsidR="00EB32C8" w:rsidRPr="00F8462C">
        <w:rPr>
          <w:rFonts w:ascii="Simplified Arabic" w:hAnsi="Simplified Arabic" w:cs="Simplified Arabic"/>
          <w:b/>
          <w:bCs/>
          <w:sz w:val="32"/>
          <w:szCs w:val="32"/>
          <w:rtl/>
          <w:lang w:bidi="ar-EG"/>
        </w:rPr>
        <w:t xml:space="preserve"> </w:t>
      </w:r>
      <w:r w:rsidRPr="00F8462C">
        <w:rPr>
          <w:rFonts w:ascii="Simplified Arabic" w:hAnsi="Simplified Arabic" w:cs="Simplified Arabic"/>
          <w:b/>
          <w:bCs/>
          <w:sz w:val="32"/>
          <w:szCs w:val="32"/>
          <w:rtl/>
          <w:lang w:bidi="ar-EG"/>
        </w:rPr>
        <w:t>الفيصل عبدالحميد</w:t>
      </w:r>
      <w:r w:rsidR="00914466">
        <w:rPr>
          <w:rFonts w:ascii="Simplified Arabic" w:hAnsi="Simplified Arabic" w:cs="Simplified Arabic" w:hint="cs"/>
          <w:b/>
          <w:bCs/>
          <w:sz w:val="32"/>
          <w:szCs w:val="32"/>
          <w:rtl/>
          <w:lang w:bidi="ar-EG"/>
        </w:rPr>
        <w:t xml:space="preserve">          </w:t>
      </w:r>
      <w:r w:rsidRPr="00F8462C">
        <w:rPr>
          <w:rFonts w:ascii="Simplified Arabic" w:hAnsi="Simplified Arabic" w:cs="Simplified Arabic"/>
          <w:b/>
          <w:bCs/>
          <w:sz w:val="32"/>
          <w:szCs w:val="32"/>
          <w:rtl/>
          <w:lang w:bidi="ar-EG"/>
        </w:rPr>
        <w:t>د.</w:t>
      </w:r>
      <w:r w:rsidR="00EB32C8" w:rsidRPr="00F8462C">
        <w:rPr>
          <w:rFonts w:ascii="Simplified Arabic" w:hAnsi="Simplified Arabic" w:cs="Simplified Arabic"/>
          <w:b/>
          <w:bCs/>
          <w:sz w:val="32"/>
          <w:szCs w:val="32"/>
          <w:rtl/>
          <w:lang w:bidi="ar-EG"/>
        </w:rPr>
        <w:t xml:space="preserve"> </w:t>
      </w:r>
      <w:r w:rsidRPr="00F8462C">
        <w:rPr>
          <w:rFonts w:ascii="Simplified Arabic" w:hAnsi="Simplified Arabic" w:cs="Simplified Arabic"/>
          <w:b/>
          <w:bCs/>
          <w:sz w:val="32"/>
          <w:szCs w:val="32"/>
          <w:rtl/>
          <w:lang w:bidi="ar-EG"/>
        </w:rPr>
        <w:t>فايز جراد</w:t>
      </w:r>
    </w:p>
    <w:p w14:paraId="22738CC6" w14:textId="77777777" w:rsidR="009125CE" w:rsidRPr="005E03E1" w:rsidRDefault="009125CE" w:rsidP="00914466">
      <w:pPr>
        <w:spacing w:after="0" w:line="240" w:lineRule="auto"/>
        <w:jc w:val="center"/>
        <w:rPr>
          <w:rFonts w:ascii="Simplified Arabic" w:hAnsi="Simplified Arabic" w:cs="Simplified Arabic"/>
          <w:sz w:val="40"/>
          <w:szCs w:val="40"/>
          <w:rtl/>
          <w:lang w:bidi="ar-EG"/>
        </w:rPr>
      </w:pPr>
    </w:p>
    <w:p w14:paraId="14480418" w14:textId="100F4F33" w:rsidR="009125CE" w:rsidRPr="00F8462C" w:rsidRDefault="009125CE" w:rsidP="00914466">
      <w:pPr>
        <w:spacing w:after="0" w:line="240" w:lineRule="auto"/>
        <w:jc w:val="center"/>
        <w:rPr>
          <w:rFonts w:ascii="Simplified Arabic" w:hAnsi="Simplified Arabic" w:cs="Simplified Arabic"/>
          <w:b/>
          <w:bCs/>
          <w:sz w:val="32"/>
          <w:szCs w:val="32"/>
          <w:rtl/>
          <w:lang w:bidi="ar-EG"/>
        </w:rPr>
      </w:pPr>
      <w:r w:rsidRPr="00F8462C">
        <w:rPr>
          <w:rFonts w:ascii="Simplified Arabic" w:hAnsi="Simplified Arabic" w:cs="Simplified Arabic"/>
          <w:b/>
          <w:bCs/>
          <w:sz w:val="32"/>
          <w:szCs w:val="32"/>
          <w:rtl/>
          <w:lang w:bidi="ar-EG"/>
        </w:rPr>
        <w:t>العام الدراسي</w:t>
      </w:r>
      <w:r w:rsidR="00ED6D50" w:rsidRPr="00F8462C">
        <w:rPr>
          <w:rFonts w:ascii="Simplified Arabic" w:hAnsi="Simplified Arabic" w:cs="Simplified Arabic"/>
          <w:b/>
          <w:bCs/>
          <w:sz w:val="32"/>
          <w:szCs w:val="32"/>
          <w:rtl/>
          <w:lang w:bidi="ar-EG"/>
        </w:rPr>
        <w:t xml:space="preserve"> ال</w:t>
      </w:r>
      <w:r w:rsidR="00914466">
        <w:rPr>
          <w:rFonts w:ascii="Simplified Arabic" w:hAnsi="Simplified Arabic" w:cs="Simplified Arabic" w:hint="cs"/>
          <w:b/>
          <w:bCs/>
          <w:sz w:val="32"/>
          <w:szCs w:val="32"/>
          <w:rtl/>
          <w:lang w:bidi="ar-EG"/>
        </w:rPr>
        <w:t>أول</w:t>
      </w:r>
    </w:p>
    <w:p w14:paraId="010CF1A5" w14:textId="0E0E2759" w:rsidR="00EF51F6" w:rsidRPr="00053DE4" w:rsidRDefault="009125CE" w:rsidP="00053DE4">
      <w:pPr>
        <w:spacing w:after="0" w:line="240" w:lineRule="auto"/>
        <w:jc w:val="center"/>
        <w:rPr>
          <w:rFonts w:ascii="Simplified Arabic" w:hAnsi="Simplified Arabic" w:cs="Simplified Arabic"/>
          <w:b/>
          <w:bCs/>
          <w:sz w:val="32"/>
          <w:szCs w:val="32"/>
          <w:rtl/>
        </w:rPr>
      </w:pPr>
      <w:r w:rsidRPr="00F8462C">
        <w:rPr>
          <w:rFonts w:ascii="Simplified Arabic" w:hAnsi="Simplified Arabic" w:cs="Simplified Arabic"/>
          <w:b/>
          <w:bCs/>
          <w:sz w:val="32"/>
          <w:szCs w:val="32"/>
          <w:rtl/>
          <w:lang w:bidi="ar-EG"/>
        </w:rPr>
        <w:t>20</w:t>
      </w:r>
      <w:r w:rsidR="00ED6D50" w:rsidRPr="00F8462C">
        <w:rPr>
          <w:rFonts w:ascii="Simplified Arabic" w:hAnsi="Simplified Arabic" w:cs="Simplified Arabic"/>
          <w:b/>
          <w:bCs/>
          <w:sz w:val="32"/>
          <w:szCs w:val="32"/>
          <w:rtl/>
          <w:lang w:bidi="ar-EG"/>
        </w:rPr>
        <w:t>2</w:t>
      </w:r>
      <w:r w:rsidR="00914466">
        <w:rPr>
          <w:rFonts w:ascii="Simplified Arabic" w:hAnsi="Simplified Arabic" w:cs="Simplified Arabic" w:hint="cs"/>
          <w:b/>
          <w:bCs/>
          <w:sz w:val="32"/>
          <w:szCs w:val="32"/>
          <w:rtl/>
          <w:lang w:bidi="ar-EG"/>
        </w:rPr>
        <w:t>6</w:t>
      </w:r>
      <w:r w:rsidR="00EB32C8" w:rsidRPr="00F8462C">
        <w:rPr>
          <w:rFonts w:ascii="Simplified Arabic" w:hAnsi="Simplified Arabic" w:cs="Simplified Arabic"/>
          <w:b/>
          <w:bCs/>
          <w:sz w:val="32"/>
          <w:szCs w:val="32"/>
          <w:rtl/>
          <w:lang w:bidi="ar-EG"/>
        </w:rPr>
        <w:t xml:space="preserve"> م</w:t>
      </w:r>
    </w:p>
    <w:p w14:paraId="689F05A7" w14:textId="77777777" w:rsidR="00EF51F6" w:rsidRPr="002A6CCE" w:rsidRDefault="00EF51F6" w:rsidP="002A6CCE">
      <w:pPr>
        <w:spacing w:after="0" w:line="240" w:lineRule="auto"/>
        <w:jc w:val="center"/>
        <w:rPr>
          <w:rFonts w:ascii="Simplified Arabic" w:hAnsi="Simplified Arabic" w:cs="Simplified Arabic"/>
          <w:b/>
          <w:bCs/>
          <w:sz w:val="36"/>
          <w:szCs w:val="36"/>
          <w:rtl/>
        </w:rPr>
      </w:pPr>
      <w:r w:rsidRPr="002A6CCE">
        <w:rPr>
          <w:rFonts w:ascii="Simplified Arabic" w:hAnsi="Simplified Arabic" w:cs="Simplified Arabic"/>
          <w:b/>
          <w:bCs/>
          <w:sz w:val="36"/>
          <w:szCs w:val="36"/>
          <w:rtl/>
        </w:rPr>
        <w:lastRenderedPageBreak/>
        <w:t>الإهداء</w:t>
      </w:r>
    </w:p>
    <w:p w14:paraId="37A8D925" w14:textId="77777777" w:rsidR="00EF51F6" w:rsidRPr="0025580F" w:rsidRDefault="00EF51F6" w:rsidP="002A6CCE">
      <w:pPr>
        <w:spacing w:after="0" w:line="240" w:lineRule="auto"/>
        <w:jc w:val="center"/>
        <w:rPr>
          <w:rFonts w:ascii="Simplified Arabic" w:hAnsi="Simplified Arabic" w:cs="Simplified Arabic"/>
          <w:sz w:val="36"/>
          <w:szCs w:val="36"/>
          <w:rtl/>
        </w:rPr>
      </w:pPr>
    </w:p>
    <w:p w14:paraId="639F40F2" w14:textId="77777777" w:rsidR="00EF51F6" w:rsidRPr="00EF51F6" w:rsidRDefault="00EF51F6" w:rsidP="002A6CCE">
      <w:pPr>
        <w:spacing w:after="0" w:line="240" w:lineRule="auto"/>
        <w:jc w:val="center"/>
        <w:rPr>
          <w:rFonts w:ascii="Simplified Arabic" w:hAnsi="Simplified Arabic" w:cs="Simplified Arabic"/>
          <w:sz w:val="28"/>
          <w:szCs w:val="28"/>
          <w:rtl/>
        </w:rPr>
      </w:pPr>
      <w:r w:rsidRPr="00EF51F6">
        <w:rPr>
          <w:rFonts w:ascii="Simplified Arabic" w:hAnsi="Simplified Arabic" w:cs="Simplified Arabic"/>
          <w:sz w:val="28"/>
          <w:szCs w:val="28"/>
          <w:rtl/>
        </w:rPr>
        <w:t>إلى والديّ الكريمين،</w:t>
      </w:r>
    </w:p>
    <w:p w14:paraId="6F8B8251" w14:textId="77777777" w:rsidR="00EF51F6" w:rsidRPr="00EF51F6" w:rsidRDefault="00EF51F6" w:rsidP="002A6CCE">
      <w:pPr>
        <w:spacing w:after="0" w:line="240" w:lineRule="auto"/>
        <w:jc w:val="center"/>
        <w:rPr>
          <w:rFonts w:ascii="Simplified Arabic" w:hAnsi="Simplified Arabic" w:cs="Simplified Arabic"/>
          <w:sz w:val="28"/>
          <w:szCs w:val="28"/>
          <w:rtl/>
        </w:rPr>
      </w:pPr>
      <w:r w:rsidRPr="00EF51F6">
        <w:rPr>
          <w:rFonts w:ascii="Simplified Arabic" w:hAnsi="Simplified Arabic" w:cs="Simplified Arabic"/>
          <w:sz w:val="28"/>
          <w:szCs w:val="28"/>
          <w:rtl/>
        </w:rPr>
        <w:t>اللذين كان دعمهما بعد الله سبحانه وتعالى سندًا عظيمًا في مسيرتي العلمية، وغرسًا متصلًا للأمل والعزيمة.</w:t>
      </w:r>
    </w:p>
    <w:p w14:paraId="561347AC" w14:textId="77777777" w:rsidR="00EF51F6" w:rsidRPr="00EF51F6" w:rsidRDefault="00EF51F6" w:rsidP="002A6CCE">
      <w:pPr>
        <w:spacing w:after="0" w:line="240" w:lineRule="auto"/>
        <w:jc w:val="center"/>
        <w:rPr>
          <w:rFonts w:ascii="Simplified Arabic" w:hAnsi="Simplified Arabic" w:cs="Simplified Arabic"/>
          <w:sz w:val="28"/>
          <w:szCs w:val="28"/>
          <w:rtl/>
        </w:rPr>
      </w:pPr>
    </w:p>
    <w:p w14:paraId="3CB18134" w14:textId="228CF60C" w:rsidR="00EF51F6" w:rsidRPr="00EF51F6" w:rsidRDefault="00EF51F6" w:rsidP="002A6CCE">
      <w:pPr>
        <w:spacing w:after="0" w:line="240" w:lineRule="auto"/>
        <w:jc w:val="center"/>
        <w:rPr>
          <w:rFonts w:ascii="Simplified Arabic" w:hAnsi="Simplified Arabic" w:cs="Simplified Arabic"/>
          <w:sz w:val="28"/>
          <w:szCs w:val="28"/>
          <w:rtl/>
        </w:rPr>
      </w:pPr>
      <w:r w:rsidRPr="00EF51F6">
        <w:rPr>
          <w:rFonts w:ascii="Simplified Arabic" w:hAnsi="Simplified Arabic" w:cs="Simplified Arabic"/>
          <w:sz w:val="28"/>
          <w:szCs w:val="28"/>
          <w:rtl/>
        </w:rPr>
        <w:t xml:space="preserve">إلى </w:t>
      </w:r>
      <w:r w:rsidR="0025580F">
        <w:rPr>
          <w:rFonts w:ascii="Simplified Arabic" w:hAnsi="Simplified Arabic" w:cs="Simplified Arabic" w:hint="cs"/>
          <w:sz w:val="28"/>
          <w:szCs w:val="28"/>
          <w:rtl/>
        </w:rPr>
        <w:t>عائلتي</w:t>
      </w:r>
      <w:r w:rsidRPr="00EF51F6">
        <w:rPr>
          <w:rFonts w:ascii="Simplified Arabic" w:hAnsi="Simplified Arabic" w:cs="Simplified Arabic"/>
          <w:sz w:val="28"/>
          <w:szCs w:val="28"/>
          <w:rtl/>
        </w:rPr>
        <w:t xml:space="preserve"> الكريمة،</w:t>
      </w:r>
    </w:p>
    <w:p w14:paraId="00B67B11" w14:textId="77777777" w:rsidR="00EF51F6" w:rsidRPr="00EF51F6" w:rsidRDefault="00EF51F6" w:rsidP="002A6CCE">
      <w:pPr>
        <w:spacing w:after="0" w:line="240" w:lineRule="auto"/>
        <w:jc w:val="center"/>
        <w:rPr>
          <w:rFonts w:ascii="Simplified Arabic" w:hAnsi="Simplified Arabic" w:cs="Simplified Arabic"/>
          <w:sz w:val="28"/>
          <w:szCs w:val="28"/>
          <w:rtl/>
        </w:rPr>
      </w:pPr>
      <w:r w:rsidRPr="00EF51F6">
        <w:rPr>
          <w:rFonts w:ascii="Simplified Arabic" w:hAnsi="Simplified Arabic" w:cs="Simplified Arabic"/>
          <w:sz w:val="28"/>
          <w:szCs w:val="28"/>
          <w:rtl/>
        </w:rPr>
        <w:t>التي منحتني الصبر والطمأنينة والتشجيع في جميع مراحل الدراسة.</w:t>
      </w:r>
    </w:p>
    <w:p w14:paraId="739BE01D" w14:textId="77777777" w:rsidR="00EF51F6" w:rsidRPr="00EF51F6" w:rsidRDefault="00EF51F6" w:rsidP="002A6CCE">
      <w:pPr>
        <w:spacing w:after="0" w:line="240" w:lineRule="auto"/>
        <w:jc w:val="center"/>
        <w:rPr>
          <w:rFonts w:ascii="Simplified Arabic" w:hAnsi="Simplified Arabic" w:cs="Simplified Arabic"/>
          <w:sz w:val="28"/>
          <w:szCs w:val="28"/>
          <w:rtl/>
        </w:rPr>
      </w:pPr>
    </w:p>
    <w:p w14:paraId="3DF1A76E" w14:textId="77777777" w:rsidR="00EF51F6" w:rsidRPr="00EF51F6" w:rsidRDefault="00EF51F6" w:rsidP="002A6CCE">
      <w:pPr>
        <w:spacing w:after="0" w:line="240" w:lineRule="auto"/>
        <w:jc w:val="center"/>
        <w:rPr>
          <w:rFonts w:ascii="Simplified Arabic" w:hAnsi="Simplified Arabic" w:cs="Simplified Arabic"/>
          <w:sz w:val="28"/>
          <w:szCs w:val="28"/>
          <w:rtl/>
        </w:rPr>
      </w:pPr>
      <w:r w:rsidRPr="00EF51F6">
        <w:rPr>
          <w:rFonts w:ascii="Simplified Arabic" w:hAnsi="Simplified Arabic" w:cs="Simplified Arabic"/>
          <w:sz w:val="28"/>
          <w:szCs w:val="28"/>
          <w:rtl/>
        </w:rPr>
        <w:t>إلى أساتذتي الأفاضل،</w:t>
      </w:r>
    </w:p>
    <w:p w14:paraId="7AB105BE" w14:textId="77777777" w:rsidR="00EF51F6" w:rsidRPr="00EF51F6" w:rsidRDefault="00EF51F6" w:rsidP="002A6CCE">
      <w:pPr>
        <w:spacing w:after="0" w:line="240" w:lineRule="auto"/>
        <w:jc w:val="center"/>
        <w:rPr>
          <w:rFonts w:ascii="Simplified Arabic" w:hAnsi="Simplified Arabic" w:cs="Simplified Arabic"/>
          <w:sz w:val="28"/>
          <w:szCs w:val="28"/>
          <w:rtl/>
        </w:rPr>
      </w:pPr>
      <w:r w:rsidRPr="00EF51F6">
        <w:rPr>
          <w:rFonts w:ascii="Simplified Arabic" w:hAnsi="Simplified Arabic" w:cs="Simplified Arabic"/>
          <w:sz w:val="28"/>
          <w:szCs w:val="28"/>
          <w:rtl/>
        </w:rPr>
        <w:t>الذين كان لتوجيههم العلمي أثر بالغ في تشكيل هذا العمل.</w:t>
      </w:r>
    </w:p>
    <w:p w14:paraId="7436419B" w14:textId="77777777" w:rsidR="00EF51F6" w:rsidRPr="00EF51F6" w:rsidRDefault="00EF51F6" w:rsidP="002A6CCE">
      <w:pPr>
        <w:spacing w:after="0" w:line="240" w:lineRule="auto"/>
        <w:jc w:val="center"/>
        <w:rPr>
          <w:rFonts w:ascii="Simplified Arabic" w:hAnsi="Simplified Arabic" w:cs="Simplified Arabic"/>
          <w:sz w:val="28"/>
          <w:szCs w:val="28"/>
          <w:rtl/>
        </w:rPr>
      </w:pPr>
    </w:p>
    <w:p w14:paraId="607FD39D" w14:textId="77777777" w:rsidR="00EF51F6" w:rsidRPr="00EF51F6" w:rsidRDefault="00EF51F6" w:rsidP="002A6CCE">
      <w:pPr>
        <w:spacing w:after="0" w:line="240" w:lineRule="auto"/>
        <w:jc w:val="center"/>
        <w:rPr>
          <w:rFonts w:ascii="Simplified Arabic" w:hAnsi="Simplified Arabic" w:cs="Simplified Arabic"/>
          <w:sz w:val="28"/>
          <w:szCs w:val="28"/>
          <w:rtl/>
        </w:rPr>
      </w:pPr>
      <w:r w:rsidRPr="00EF51F6">
        <w:rPr>
          <w:rFonts w:ascii="Simplified Arabic" w:hAnsi="Simplified Arabic" w:cs="Simplified Arabic"/>
          <w:sz w:val="28"/>
          <w:szCs w:val="28"/>
          <w:rtl/>
        </w:rPr>
        <w:t>إلى كل من يؤمن بأن التنمية الحقيقية لا تنفصل عن حماية البيئة واستدامة الموارد.</w:t>
      </w:r>
    </w:p>
    <w:p w14:paraId="22E61510" w14:textId="77777777" w:rsidR="00EF51F6" w:rsidRPr="00EF51F6" w:rsidRDefault="00EF51F6" w:rsidP="002A6CCE">
      <w:pPr>
        <w:spacing w:after="0" w:line="240" w:lineRule="auto"/>
        <w:jc w:val="center"/>
        <w:rPr>
          <w:rFonts w:ascii="Simplified Arabic" w:hAnsi="Simplified Arabic" w:cs="Simplified Arabic"/>
          <w:sz w:val="28"/>
          <w:szCs w:val="28"/>
          <w:rtl/>
        </w:rPr>
      </w:pPr>
    </w:p>
    <w:p w14:paraId="6FC2D748" w14:textId="77777777" w:rsidR="00EF51F6" w:rsidRPr="00EF51F6" w:rsidRDefault="00EF51F6" w:rsidP="002A6CCE">
      <w:pPr>
        <w:spacing w:after="0" w:line="240" w:lineRule="auto"/>
        <w:jc w:val="center"/>
        <w:rPr>
          <w:rFonts w:ascii="Simplified Arabic" w:hAnsi="Simplified Arabic" w:cs="Simplified Arabic"/>
          <w:sz w:val="28"/>
          <w:szCs w:val="28"/>
          <w:rtl/>
        </w:rPr>
      </w:pPr>
      <w:r w:rsidRPr="00EF51F6">
        <w:rPr>
          <w:rFonts w:ascii="Simplified Arabic" w:hAnsi="Simplified Arabic" w:cs="Simplified Arabic"/>
          <w:sz w:val="28"/>
          <w:szCs w:val="28"/>
          <w:rtl/>
        </w:rPr>
        <w:t>أهدي هذا العمل المتواضع.</w:t>
      </w:r>
    </w:p>
    <w:p w14:paraId="20C9E882" w14:textId="77777777" w:rsidR="00EF51F6" w:rsidRPr="00471DB3" w:rsidRDefault="00EF51F6" w:rsidP="00471DB3">
      <w:pPr>
        <w:spacing w:after="0" w:line="240" w:lineRule="auto"/>
        <w:jc w:val="center"/>
        <w:rPr>
          <w:rFonts w:ascii="Simplified Arabic" w:hAnsi="Simplified Arabic" w:cs="Simplified Arabic"/>
          <w:sz w:val="440"/>
          <w:szCs w:val="440"/>
          <w:rtl/>
        </w:rPr>
      </w:pPr>
    </w:p>
    <w:p w14:paraId="7CE986BC" w14:textId="77777777" w:rsidR="00EF51F6" w:rsidRPr="002A6CCE" w:rsidRDefault="00EF51F6" w:rsidP="002A6CCE">
      <w:pPr>
        <w:spacing w:after="0" w:line="240" w:lineRule="auto"/>
        <w:jc w:val="center"/>
        <w:rPr>
          <w:rFonts w:ascii="Simplified Arabic" w:hAnsi="Simplified Arabic" w:cs="Simplified Arabic"/>
          <w:b/>
          <w:bCs/>
          <w:sz w:val="36"/>
          <w:szCs w:val="36"/>
          <w:rtl/>
        </w:rPr>
      </w:pPr>
      <w:r w:rsidRPr="002A6CCE">
        <w:rPr>
          <w:rFonts w:ascii="Simplified Arabic" w:hAnsi="Simplified Arabic" w:cs="Simplified Arabic"/>
          <w:b/>
          <w:bCs/>
          <w:sz w:val="36"/>
          <w:szCs w:val="36"/>
          <w:rtl/>
        </w:rPr>
        <w:t>الشكر والتقدير</w:t>
      </w:r>
    </w:p>
    <w:p w14:paraId="25E2CD63" w14:textId="77777777" w:rsidR="00EF51F6" w:rsidRPr="0025580F" w:rsidRDefault="00EF51F6" w:rsidP="0025580F">
      <w:pPr>
        <w:spacing w:after="0" w:line="240" w:lineRule="auto"/>
        <w:jc w:val="center"/>
        <w:rPr>
          <w:rFonts w:ascii="Simplified Arabic" w:hAnsi="Simplified Arabic" w:cs="Simplified Arabic"/>
          <w:sz w:val="36"/>
          <w:szCs w:val="36"/>
          <w:rtl/>
        </w:rPr>
      </w:pPr>
    </w:p>
    <w:p w14:paraId="08EE28CF" w14:textId="064C839C" w:rsidR="00EF51F6" w:rsidRPr="00EF51F6" w:rsidRDefault="00EF51F6" w:rsidP="00471DB3">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الحمد لله رب العالمين الذي بنعمته تتم الصالحات، والصلاة والسلام على سيدنا محمد وعلى آله وصحبه أجمعين.</w:t>
      </w:r>
    </w:p>
    <w:p w14:paraId="33A03882" w14:textId="77777777" w:rsidR="00EF51F6" w:rsidRPr="00EF51F6" w:rsidRDefault="00EF51F6" w:rsidP="00471DB3">
      <w:pPr>
        <w:spacing w:after="0" w:line="240" w:lineRule="auto"/>
        <w:jc w:val="both"/>
        <w:rPr>
          <w:rFonts w:ascii="Simplified Arabic" w:hAnsi="Simplified Arabic" w:cs="Simplified Arabic"/>
          <w:sz w:val="28"/>
          <w:szCs w:val="28"/>
          <w:rtl/>
        </w:rPr>
      </w:pPr>
    </w:p>
    <w:p w14:paraId="24A4AC9E" w14:textId="79719F29" w:rsidR="00EF51F6" w:rsidRPr="00EF51F6" w:rsidRDefault="00EF51F6" w:rsidP="00471DB3">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أتقدم بخالص الشكر لله تعالى على ما وفقني إليه من إتمام هذا العمل. كما أتقدم بجزيل الشكر والعرفان إلى أستاذ</w:t>
      </w:r>
      <w:r w:rsidR="00471DB3">
        <w:rPr>
          <w:rFonts w:ascii="Simplified Arabic" w:hAnsi="Simplified Arabic" w:cs="Simplified Arabic" w:hint="cs"/>
          <w:sz w:val="28"/>
          <w:szCs w:val="28"/>
          <w:rtl/>
        </w:rPr>
        <w:t>ا</w:t>
      </w:r>
      <w:r w:rsidRPr="00EF51F6">
        <w:rPr>
          <w:rFonts w:ascii="Simplified Arabic" w:hAnsi="Simplified Arabic" w:cs="Simplified Arabic"/>
          <w:sz w:val="28"/>
          <w:szCs w:val="28"/>
          <w:rtl/>
        </w:rPr>
        <w:t>ي المشرف</w:t>
      </w:r>
      <w:r w:rsidR="00471DB3">
        <w:rPr>
          <w:rFonts w:ascii="Simplified Arabic" w:hAnsi="Simplified Arabic" w:cs="Simplified Arabic" w:hint="cs"/>
          <w:sz w:val="28"/>
          <w:szCs w:val="28"/>
          <w:rtl/>
        </w:rPr>
        <w:t>ين</w:t>
      </w:r>
      <w:r w:rsidRPr="00EF51F6">
        <w:rPr>
          <w:rFonts w:ascii="Simplified Arabic" w:hAnsi="Simplified Arabic" w:cs="Simplified Arabic"/>
          <w:sz w:val="28"/>
          <w:szCs w:val="28"/>
          <w:rtl/>
        </w:rPr>
        <w:t xml:space="preserve"> </w:t>
      </w:r>
      <w:r w:rsidR="00471DB3">
        <w:rPr>
          <w:rFonts w:ascii="Simplified Arabic" w:hAnsi="Simplified Arabic" w:cs="Simplified Arabic" w:hint="cs"/>
          <w:sz w:val="28"/>
          <w:szCs w:val="28"/>
          <w:rtl/>
        </w:rPr>
        <w:t xml:space="preserve">الدكتور </w:t>
      </w:r>
      <w:r w:rsidR="00471DB3" w:rsidRPr="00471DB3">
        <w:rPr>
          <w:rFonts w:ascii="Simplified Arabic" w:hAnsi="Simplified Arabic" w:cs="Simplified Arabic"/>
          <w:sz w:val="28"/>
          <w:szCs w:val="28"/>
          <w:rtl/>
        </w:rPr>
        <w:t xml:space="preserve">الفيصل عبدالحميد </w:t>
      </w:r>
      <w:r w:rsidR="00471DB3">
        <w:rPr>
          <w:rFonts w:ascii="Simplified Arabic" w:hAnsi="Simplified Arabic" w:cs="Simplified Arabic" w:hint="cs"/>
          <w:sz w:val="28"/>
          <w:szCs w:val="28"/>
          <w:rtl/>
        </w:rPr>
        <w:t xml:space="preserve">والدكتور </w:t>
      </w:r>
      <w:r w:rsidR="00471DB3" w:rsidRPr="00471DB3">
        <w:rPr>
          <w:rFonts w:ascii="Simplified Arabic" w:hAnsi="Simplified Arabic" w:cs="Simplified Arabic"/>
          <w:sz w:val="28"/>
          <w:szCs w:val="28"/>
          <w:rtl/>
        </w:rPr>
        <w:t>فايز جراد</w:t>
      </w:r>
      <w:r w:rsidR="00471DB3">
        <w:rPr>
          <w:rFonts w:ascii="Simplified Arabic" w:hAnsi="Simplified Arabic" w:cs="Simplified Arabic" w:hint="cs"/>
          <w:sz w:val="28"/>
          <w:szCs w:val="28"/>
          <w:rtl/>
        </w:rPr>
        <w:t xml:space="preserve"> </w:t>
      </w:r>
      <w:r w:rsidRPr="00EF51F6">
        <w:rPr>
          <w:rFonts w:ascii="Simplified Arabic" w:hAnsi="Simplified Arabic" w:cs="Simplified Arabic"/>
          <w:sz w:val="28"/>
          <w:szCs w:val="28"/>
          <w:rtl/>
        </w:rPr>
        <w:t>على دعمه</w:t>
      </w:r>
      <w:r w:rsidR="00471DB3">
        <w:rPr>
          <w:rFonts w:ascii="Simplified Arabic" w:hAnsi="Simplified Arabic" w:cs="Simplified Arabic" w:hint="cs"/>
          <w:sz w:val="28"/>
          <w:szCs w:val="28"/>
          <w:rtl/>
        </w:rPr>
        <w:t>ما</w:t>
      </w:r>
      <w:r w:rsidRPr="00EF51F6">
        <w:rPr>
          <w:rFonts w:ascii="Simplified Arabic" w:hAnsi="Simplified Arabic" w:cs="Simplified Arabic"/>
          <w:sz w:val="28"/>
          <w:szCs w:val="28"/>
          <w:rtl/>
        </w:rPr>
        <w:t xml:space="preserve"> وتوجيهه</w:t>
      </w:r>
      <w:r w:rsidR="00471DB3">
        <w:rPr>
          <w:rFonts w:ascii="Simplified Arabic" w:hAnsi="Simplified Arabic" w:cs="Simplified Arabic" w:hint="cs"/>
          <w:sz w:val="28"/>
          <w:szCs w:val="28"/>
          <w:rtl/>
        </w:rPr>
        <w:t>ما</w:t>
      </w:r>
      <w:r w:rsidRPr="00EF51F6">
        <w:rPr>
          <w:rFonts w:ascii="Simplified Arabic" w:hAnsi="Simplified Arabic" w:cs="Simplified Arabic"/>
          <w:sz w:val="28"/>
          <w:szCs w:val="28"/>
          <w:rtl/>
        </w:rPr>
        <w:t xml:space="preserve"> وملاحظاته</w:t>
      </w:r>
      <w:r w:rsidR="00471DB3">
        <w:rPr>
          <w:rFonts w:ascii="Simplified Arabic" w:hAnsi="Simplified Arabic" w:cs="Simplified Arabic" w:hint="cs"/>
          <w:sz w:val="28"/>
          <w:szCs w:val="28"/>
          <w:rtl/>
        </w:rPr>
        <w:t>ما</w:t>
      </w:r>
      <w:r w:rsidRPr="00EF51F6">
        <w:rPr>
          <w:rFonts w:ascii="Simplified Arabic" w:hAnsi="Simplified Arabic" w:cs="Simplified Arabic"/>
          <w:sz w:val="28"/>
          <w:szCs w:val="28"/>
          <w:rtl/>
        </w:rPr>
        <w:t xml:space="preserve"> العلمية التي أسهمت في تطوير هذه الدراسة وإخراجها بصورة أفضل.</w:t>
      </w:r>
    </w:p>
    <w:p w14:paraId="5C7EF79F" w14:textId="77777777" w:rsidR="00EF51F6" w:rsidRPr="00EF51F6" w:rsidRDefault="00EF51F6" w:rsidP="00471DB3">
      <w:pPr>
        <w:spacing w:after="0" w:line="240" w:lineRule="auto"/>
        <w:jc w:val="both"/>
        <w:rPr>
          <w:rFonts w:ascii="Simplified Arabic" w:hAnsi="Simplified Arabic" w:cs="Simplified Arabic"/>
          <w:sz w:val="28"/>
          <w:szCs w:val="28"/>
          <w:rtl/>
        </w:rPr>
      </w:pPr>
    </w:p>
    <w:p w14:paraId="0DEE80E2" w14:textId="77777777" w:rsidR="00EF51F6" w:rsidRPr="00EF51F6" w:rsidRDefault="00EF51F6" w:rsidP="00471DB3">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كما أتقدم بالشكر إلى أعضاء هيئة التدريس في برنامج ماجستير إدارة المشاريع بجامعة ميدأوشن، لما قدموه من علم وخبرة كان لهما الأثر الكبير في صقل معارفي المنهجية والبحثية.</w:t>
      </w:r>
    </w:p>
    <w:p w14:paraId="11D303B8" w14:textId="77777777" w:rsidR="00EF51F6" w:rsidRPr="00EF51F6" w:rsidRDefault="00EF51F6" w:rsidP="00471DB3">
      <w:pPr>
        <w:spacing w:after="0" w:line="240" w:lineRule="auto"/>
        <w:jc w:val="both"/>
        <w:rPr>
          <w:rFonts w:ascii="Simplified Arabic" w:hAnsi="Simplified Arabic" w:cs="Simplified Arabic"/>
          <w:sz w:val="28"/>
          <w:szCs w:val="28"/>
          <w:rtl/>
        </w:rPr>
      </w:pPr>
    </w:p>
    <w:p w14:paraId="6742645C" w14:textId="77777777" w:rsidR="00EF51F6" w:rsidRPr="00EF51F6" w:rsidRDefault="00EF51F6" w:rsidP="00471DB3">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وأتقدم كذلك بالشكر لكل من أسهم في دعم هذا العمل، بالمعلومة أو الرأي أو التشجيع.</w:t>
      </w:r>
    </w:p>
    <w:p w14:paraId="7911184D" w14:textId="77777777" w:rsidR="00EF51F6" w:rsidRPr="00471DB3" w:rsidRDefault="00EF51F6" w:rsidP="00471DB3">
      <w:pPr>
        <w:spacing w:after="0" w:line="240" w:lineRule="auto"/>
        <w:jc w:val="center"/>
        <w:rPr>
          <w:rFonts w:ascii="Simplified Arabic" w:hAnsi="Simplified Arabic" w:cs="Simplified Arabic"/>
          <w:sz w:val="500"/>
          <w:szCs w:val="500"/>
          <w:rtl/>
        </w:rPr>
      </w:pPr>
    </w:p>
    <w:p w14:paraId="1FDE3DFB" w14:textId="60D779E6" w:rsidR="00EF51F6" w:rsidRPr="002A6CCE" w:rsidRDefault="00471DB3" w:rsidP="002A6CCE">
      <w:pPr>
        <w:spacing w:after="0" w:line="240" w:lineRule="auto"/>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حقوق الطباعة</w:t>
      </w:r>
    </w:p>
    <w:p w14:paraId="2BFC9157" w14:textId="77777777" w:rsidR="00EF51F6" w:rsidRPr="00471DB3" w:rsidRDefault="00EF51F6" w:rsidP="00471DB3">
      <w:pPr>
        <w:spacing w:after="0" w:line="240" w:lineRule="auto"/>
        <w:jc w:val="center"/>
        <w:rPr>
          <w:rFonts w:ascii="Simplified Arabic" w:hAnsi="Simplified Arabic" w:cs="Simplified Arabic"/>
          <w:sz w:val="36"/>
          <w:szCs w:val="36"/>
          <w:rtl/>
        </w:rPr>
      </w:pPr>
    </w:p>
    <w:p w14:paraId="2E907946" w14:textId="1597D249" w:rsidR="00EF51F6" w:rsidRPr="00EF51F6" w:rsidRDefault="00786775" w:rsidP="00786775">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71DB3">
        <w:rPr>
          <w:rFonts w:ascii="Simplified Arabic" w:hAnsi="Simplified Arabic" w:cs="Simplified Arabic" w:hint="cs"/>
          <w:sz w:val="28"/>
          <w:szCs w:val="28"/>
          <w:rtl/>
        </w:rPr>
        <w:t>حقوق الطباعة لهذا البحث العلمي تمتلكها جامعة ميدأوشن</w:t>
      </w:r>
      <w:r>
        <w:rPr>
          <w:rFonts w:ascii="Simplified Arabic" w:hAnsi="Simplified Arabic" w:cs="Simplified Arabic" w:hint="cs"/>
          <w:sz w:val="28"/>
          <w:szCs w:val="28"/>
          <w:rtl/>
        </w:rPr>
        <w:t>. حيث أن جميع المواد والمحتويات الواردة في هذا البحث هي ملك للجامعة، ولا يجوز استخدامها أو إعادة نشرها أو توزيعها بدون إذن مسبق من الجامعة.</w:t>
      </w:r>
    </w:p>
    <w:p w14:paraId="00B2CA60" w14:textId="77777777" w:rsidR="00EF51F6" w:rsidRPr="00786775" w:rsidRDefault="00EF51F6" w:rsidP="00786775">
      <w:pPr>
        <w:spacing w:after="0" w:line="240" w:lineRule="auto"/>
        <w:jc w:val="center"/>
        <w:rPr>
          <w:rFonts w:ascii="Simplified Arabic" w:hAnsi="Simplified Arabic" w:cs="Simplified Arabic"/>
          <w:sz w:val="720"/>
          <w:szCs w:val="720"/>
          <w:rtl/>
        </w:rPr>
      </w:pPr>
    </w:p>
    <w:p w14:paraId="660A7B45" w14:textId="77777777" w:rsidR="00EF51F6" w:rsidRPr="002A6CCE" w:rsidRDefault="00EF51F6" w:rsidP="00EF51F6">
      <w:pPr>
        <w:spacing w:after="0" w:line="240" w:lineRule="auto"/>
        <w:rPr>
          <w:rFonts w:ascii="Simplified Arabic" w:hAnsi="Simplified Arabic" w:cs="Simplified Arabic"/>
          <w:b/>
          <w:bCs/>
          <w:sz w:val="36"/>
          <w:szCs w:val="36"/>
          <w:rtl/>
        </w:rPr>
      </w:pPr>
      <w:r w:rsidRPr="002A6CCE">
        <w:rPr>
          <w:rFonts w:ascii="Simplified Arabic" w:hAnsi="Simplified Arabic" w:cs="Simplified Arabic"/>
          <w:b/>
          <w:bCs/>
          <w:sz w:val="36"/>
          <w:szCs w:val="36"/>
          <w:rtl/>
        </w:rPr>
        <w:t>الملخص</w:t>
      </w:r>
    </w:p>
    <w:p w14:paraId="3B280153" w14:textId="77777777" w:rsidR="00EF51F6" w:rsidRPr="00786775" w:rsidRDefault="00EF51F6" w:rsidP="00EF51F6">
      <w:pPr>
        <w:spacing w:after="0" w:line="240" w:lineRule="auto"/>
        <w:rPr>
          <w:rFonts w:ascii="Simplified Arabic" w:hAnsi="Simplified Arabic" w:cs="Simplified Arabic"/>
          <w:sz w:val="36"/>
          <w:szCs w:val="36"/>
          <w:rtl/>
        </w:rPr>
      </w:pPr>
    </w:p>
    <w:p w14:paraId="08C7AABE" w14:textId="51FA3990" w:rsidR="00EF51F6" w:rsidRPr="00EF51F6" w:rsidRDefault="00786775" w:rsidP="00786775">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هدفت هذه الدراسة إلى تحليل أثر تطبيق الإدارة الخضراء في تعزيز الاستدامة البيئية في المشاريع الهندسية العملاقة المرتبطة بمحفظة صندوق الاستثمارات العامة السعودي، من خلال دراسة تحليلية مقارنة على مشروعي نيوم والبحر الأحمر الدولية. وتنبع أهمية الدراسة من أن تقييم المشاريع العملاقة لم يعد يقتصر على الإنجاز الزمني والمالي، بل أصبح يشمل كذلك قدرتها على إدارة الأثر البيئي، وتعظيم كفاءة استخدام الموارد، وتبني الممارسات المؤسسية التي تدعم الاستدامة على المدى الطويل.</w:t>
      </w:r>
    </w:p>
    <w:p w14:paraId="6EEDE97A" w14:textId="77777777" w:rsidR="00EF51F6" w:rsidRPr="00EF51F6" w:rsidRDefault="00EF51F6" w:rsidP="00786775">
      <w:pPr>
        <w:spacing w:after="0" w:line="240" w:lineRule="auto"/>
        <w:jc w:val="both"/>
        <w:rPr>
          <w:rFonts w:ascii="Simplified Arabic" w:hAnsi="Simplified Arabic" w:cs="Simplified Arabic"/>
          <w:sz w:val="28"/>
          <w:szCs w:val="28"/>
          <w:rtl/>
        </w:rPr>
      </w:pPr>
    </w:p>
    <w:p w14:paraId="3822DED6" w14:textId="77777777" w:rsidR="00EF51F6" w:rsidRPr="00EF51F6" w:rsidRDefault="00EF51F6" w:rsidP="007867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 xml:space="preserve">اعتمدت الدراسة على المنهج الوصفي التحليلي، مع توظيف أسلوب دراسة الحالة المقارنة وتحليل المحتوى الوثائقي للمصادر الرسمية الصادرة عن الجهات ذات العلاقة، وفي مقدمتها مواد نيوم، والبحر الأحمر الدولية، وصندوق الاستثمارات العامة، إلى جانب الاستفادة من معيار </w:t>
      </w:r>
      <w:r w:rsidRPr="00EF51F6">
        <w:rPr>
          <w:rFonts w:ascii="Simplified Arabic" w:hAnsi="Simplified Arabic" w:cs="Simplified Arabic"/>
          <w:sz w:val="28"/>
          <w:szCs w:val="28"/>
        </w:rPr>
        <w:t>ISO 14001:2015</w:t>
      </w:r>
      <w:r w:rsidRPr="00EF51F6">
        <w:rPr>
          <w:rFonts w:ascii="Simplified Arabic" w:hAnsi="Simplified Arabic" w:cs="Simplified Arabic"/>
          <w:sz w:val="28"/>
          <w:szCs w:val="28"/>
          <w:rtl/>
        </w:rPr>
        <w:t xml:space="preserve"> بوصفه إطارًا مرجعيًا لنظم الإدارة البيئية (</w:t>
      </w:r>
      <w:r w:rsidRPr="00EF51F6">
        <w:rPr>
          <w:rFonts w:ascii="Simplified Arabic" w:hAnsi="Simplified Arabic" w:cs="Simplified Arabic"/>
          <w:sz w:val="28"/>
          <w:szCs w:val="28"/>
        </w:rPr>
        <w:t>ISO, 2015</w:t>
      </w:r>
      <w:r w:rsidRPr="00EF51F6">
        <w:rPr>
          <w:rFonts w:ascii="Simplified Arabic" w:hAnsi="Simplified Arabic" w:cs="Simplified Arabic"/>
          <w:sz w:val="28"/>
          <w:szCs w:val="28"/>
          <w:rtl/>
        </w:rPr>
        <w:t>). كما اعتمدت الدراسة على استمارة تحليل محتوى وثائقي بُنيت على خمسة أبعاد تحليلية رئيسة، وطُبقت على المواد الرسمية المرتبطة بالحالتين المدروستين.</w:t>
      </w:r>
    </w:p>
    <w:p w14:paraId="2CCB98C7" w14:textId="77777777" w:rsidR="00EF51F6" w:rsidRPr="00EF51F6" w:rsidRDefault="00EF51F6" w:rsidP="00786775">
      <w:pPr>
        <w:spacing w:after="0" w:line="240" w:lineRule="auto"/>
        <w:jc w:val="both"/>
        <w:rPr>
          <w:rFonts w:ascii="Simplified Arabic" w:hAnsi="Simplified Arabic" w:cs="Simplified Arabic"/>
          <w:sz w:val="28"/>
          <w:szCs w:val="28"/>
          <w:rtl/>
        </w:rPr>
      </w:pPr>
    </w:p>
    <w:p w14:paraId="19B0C663" w14:textId="26D1AD0A" w:rsidR="00EF51F6" w:rsidRPr="00EF51F6" w:rsidRDefault="00EF51F6" w:rsidP="007867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 xml:space="preserve">وأظهرت نتائج التحليل الوثائقي أن الإدارة الخضراء تحضر في الحالتين المدروستين بوصفها توجهًا مؤسسيًا واضحًا، وإن بدرجات متفاوتة من حيث النضج التطبيقي والإفصاح المؤسسي. ففي حالة نيوم، برز التركيز على الحماية الواسعة للطبيعة، والطاقة المتجددة، والتنوع الحيوي الإيجابي، والمياه </w:t>
      </w:r>
      <w:r w:rsidR="006C551D">
        <w:rPr>
          <w:rFonts w:ascii="Simplified Arabic" w:hAnsi="Simplified Arabic" w:cs="Simplified Arabic" w:hint="cs"/>
          <w:sz w:val="28"/>
          <w:szCs w:val="28"/>
          <w:rtl/>
        </w:rPr>
        <w:t>معادة التدوير</w:t>
      </w:r>
      <w:r w:rsidRPr="00EF51F6">
        <w:rPr>
          <w:rFonts w:ascii="Simplified Arabic" w:hAnsi="Simplified Arabic" w:cs="Simplified Arabic"/>
          <w:sz w:val="28"/>
          <w:szCs w:val="28"/>
          <w:rtl/>
        </w:rPr>
        <w:t xml:space="preserve"> مع عدم تصريف السوائل إلى البيئة البحرية. وفي حالة البحر الأحمر الدولية، ظهر مستوى مرتفع من التحديد المؤسسي للأهداف البيئية، مثل تشغيل الوجهات باستخدام 100% من الطاقة المتجددة، واستهداف منفعة صافية للحفاظ على الطبيعة بنسبة 30% بحلول عام 2040، إلى جانب الإفصاح عن مؤشرات بيئية وتشغيلية منشورة في تقارير الاستدامة (</w:t>
      </w:r>
      <w:r w:rsidRPr="00EF51F6">
        <w:rPr>
          <w:rFonts w:ascii="Simplified Arabic" w:hAnsi="Simplified Arabic" w:cs="Simplified Arabic"/>
          <w:sz w:val="28"/>
          <w:szCs w:val="28"/>
        </w:rPr>
        <w:t xml:space="preserve">NEOM, n.d.; Red Sea Global, 2025; Red Sea Global, </w:t>
      </w:r>
      <w:proofErr w:type="spellStart"/>
      <w:r w:rsidRPr="00EF51F6">
        <w:rPr>
          <w:rFonts w:ascii="Simplified Arabic" w:hAnsi="Simplified Arabic" w:cs="Simplified Arabic"/>
          <w:sz w:val="28"/>
          <w:szCs w:val="28"/>
        </w:rPr>
        <w:t>n.d</w:t>
      </w:r>
      <w:proofErr w:type="spellEnd"/>
      <w:r w:rsidRPr="00EF51F6">
        <w:rPr>
          <w:rFonts w:ascii="Simplified Arabic" w:hAnsi="Simplified Arabic" w:cs="Simplified Arabic"/>
          <w:sz w:val="28"/>
          <w:szCs w:val="28"/>
          <w:rtl/>
        </w:rPr>
        <w:t>.).</w:t>
      </w:r>
    </w:p>
    <w:p w14:paraId="2DB7915E" w14:textId="77777777" w:rsidR="00EF51F6" w:rsidRPr="00EF51F6" w:rsidRDefault="00EF51F6" w:rsidP="00786775">
      <w:pPr>
        <w:spacing w:after="0" w:line="240" w:lineRule="auto"/>
        <w:jc w:val="both"/>
        <w:rPr>
          <w:rFonts w:ascii="Simplified Arabic" w:hAnsi="Simplified Arabic" w:cs="Simplified Arabic"/>
          <w:sz w:val="28"/>
          <w:szCs w:val="28"/>
          <w:rtl/>
        </w:rPr>
      </w:pPr>
    </w:p>
    <w:p w14:paraId="76508EF9" w14:textId="77777777" w:rsidR="00EF51F6" w:rsidRPr="00EF51F6" w:rsidRDefault="00EF51F6" w:rsidP="007867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كما أظهرت الدراسة أن إسهام الإدارة الخضراء في تعزيز الاستدامة البيئية في هذه المشاريع يتجلى في خمسة مسارات رئيسة: خفض كثافة الأثر البيئي عبر التصميم والتشغيل، وتوسيع الاعتماد على الطاقة النظيفة، وتبني مبادئ الاقتصاد الدائري، وربط الحوكمة البيئية بالالتزامات المؤسسية، ورفع مستوى الحماية البيئية واستعادة النظم الطبيعية. ومع ذلك، تبين أن تقدير الأثر البيئي طويل المدى ما يزال بحاجة إلى مزيد من الإفصاح الكمي المقارن والمؤشرات التشغيلية المتسقة عبر الزمن، خاصة في المشاريع التي ما تزال في مراحل تطوير ممتدة.</w:t>
      </w:r>
    </w:p>
    <w:p w14:paraId="0B89DFC5" w14:textId="77777777" w:rsidR="00EF51F6" w:rsidRPr="00EF51F6" w:rsidRDefault="00EF51F6" w:rsidP="00786775">
      <w:pPr>
        <w:spacing w:after="0" w:line="240" w:lineRule="auto"/>
        <w:jc w:val="both"/>
        <w:rPr>
          <w:rFonts w:ascii="Simplified Arabic" w:hAnsi="Simplified Arabic" w:cs="Simplified Arabic"/>
          <w:sz w:val="28"/>
          <w:szCs w:val="28"/>
          <w:rtl/>
        </w:rPr>
      </w:pPr>
    </w:p>
    <w:p w14:paraId="435A3F0A" w14:textId="77777777" w:rsidR="00EF51F6" w:rsidRPr="00EF51F6" w:rsidRDefault="00EF51F6" w:rsidP="007867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وأوصت الدراسة بضرورة تعميق دمج الإدارة الخضراء في جميع مراحل دورة حياة المشروع، وبناء مؤشرات أداء بيئي أكثر توحيدًا وشفافية، وتوسيع التدقيق البيئي المستقل، وتعزيز القدرات البيئية للموردين والمقاولين، وربط الحوافز والقرارات التشغيلية بمؤشرات الاستدامة الفعلية، بما يسهم في نقل الالتزام البيئي من مستوى الخطط والتوجهات العامة إلى مستوى النتائج القابلة للقياس والمتابعة المستمرة.</w:t>
      </w:r>
    </w:p>
    <w:p w14:paraId="78313E7E" w14:textId="77777777" w:rsidR="00EF51F6" w:rsidRPr="00EF51F6" w:rsidRDefault="00EF51F6" w:rsidP="00786775">
      <w:pPr>
        <w:spacing w:after="0" w:line="240" w:lineRule="auto"/>
        <w:jc w:val="both"/>
        <w:rPr>
          <w:rFonts w:ascii="Simplified Arabic" w:hAnsi="Simplified Arabic" w:cs="Simplified Arabic"/>
          <w:sz w:val="28"/>
          <w:szCs w:val="28"/>
          <w:rtl/>
        </w:rPr>
      </w:pPr>
    </w:p>
    <w:p w14:paraId="14375C24" w14:textId="77777777" w:rsidR="00EF51F6" w:rsidRPr="00EF51F6" w:rsidRDefault="00EF51F6" w:rsidP="00786775">
      <w:pPr>
        <w:spacing w:after="0" w:line="240" w:lineRule="auto"/>
        <w:jc w:val="both"/>
        <w:rPr>
          <w:rFonts w:ascii="Simplified Arabic" w:hAnsi="Simplified Arabic" w:cs="Simplified Arabic"/>
          <w:sz w:val="28"/>
          <w:szCs w:val="28"/>
          <w:rtl/>
        </w:rPr>
      </w:pPr>
      <w:r w:rsidRPr="007A58C1">
        <w:rPr>
          <w:rFonts w:ascii="Simplified Arabic" w:hAnsi="Simplified Arabic" w:cs="Simplified Arabic"/>
          <w:b/>
          <w:bCs/>
          <w:sz w:val="28"/>
          <w:szCs w:val="28"/>
          <w:rtl/>
        </w:rPr>
        <w:t>الكلمات المفتاحية:</w:t>
      </w:r>
      <w:r w:rsidRPr="00EF51F6">
        <w:rPr>
          <w:rFonts w:ascii="Simplified Arabic" w:hAnsi="Simplified Arabic" w:cs="Simplified Arabic"/>
          <w:sz w:val="28"/>
          <w:szCs w:val="28"/>
          <w:rtl/>
        </w:rPr>
        <w:t xml:space="preserve"> الإدارة الخضراء، الاستدامة البيئية، المشاريع الهندسية العملاقة، صندوق الاستثمارات العامة، نيوم، البحر الأحمر الدولية، إدارة المشاريع، الحوكمة البيئية.</w:t>
      </w:r>
    </w:p>
    <w:p w14:paraId="2AD68801" w14:textId="77777777" w:rsidR="00EF51F6" w:rsidRPr="00EF51F6" w:rsidRDefault="00EF51F6" w:rsidP="007A58C1">
      <w:pPr>
        <w:spacing w:after="0" w:line="240" w:lineRule="auto"/>
        <w:jc w:val="center"/>
        <w:rPr>
          <w:rFonts w:ascii="Simplified Arabic" w:hAnsi="Simplified Arabic" w:cs="Simplified Arabic"/>
          <w:sz w:val="28"/>
          <w:szCs w:val="28"/>
        </w:rPr>
      </w:pPr>
    </w:p>
    <w:p w14:paraId="032C4750" w14:textId="77777777" w:rsidR="00EF51F6" w:rsidRPr="007A58C1" w:rsidRDefault="00EF51F6" w:rsidP="007A58C1">
      <w:pPr>
        <w:bidi w:val="0"/>
        <w:spacing w:after="0" w:line="240" w:lineRule="auto"/>
        <w:rPr>
          <w:rFonts w:asciiTheme="majorBidi" w:hAnsiTheme="majorBidi" w:cstheme="majorBidi"/>
          <w:b/>
          <w:bCs/>
          <w:sz w:val="32"/>
          <w:szCs w:val="32"/>
        </w:rPr>
      </w:pPr>
      <w:r w:rsidRPr="007A58C1">
        <w:rPr>
          <w:rFonts w:asciiTheme="majorBidi" w:hAnsiTheme="majorBidi" w:cstheme="majorBidi"/>
          <w:b/>
          <w:bCs/>
          <w:sz w:val="32"/>
          <w:szCs w:val="32"/>
        </w:rPr>
        <w:t>Abstract</w:t>
      </w:r>
    </w:p>
    <w:p w14:paraId="54B87D56" w14:textId="77777777" w:rsidR="00EF51F6" w:rsidRPr="007A58C1" w:rsidRDefault="00EF51F6" w:rsidP="007A58C1">
      <w:pPr>
        <w:bidi w:val="0"/>
        <w:spacing w:after="0" w:line="240" w:lineRule="auto"/>
        <w:rPr>
          <w:rFonts w:asciiTheme="majorBidi" w:hAnsiTheme="majorBidi" w:cstheme="majorBidi"/>
          <w:sz w:val="32"/>
          <w:szCs w:val="32"/>
          <w:rtl/>
        </w:rPr>
      </w:pPr>
    </w:p>
    <w:p w14:paraId="44AD2BB4" w14:textId="05F59673" w:rsidR="00EF51F6" w:rsidRPr="007A58C1" w:rsidRDefault="007A58C1" w:rsidP="007A58C1">
      <w:pPr>
        <w:bidi w:val="0"/>
        <w:spacing w:after="0" w:line="240" w:lineRule="auto"/>
        <w:jc w:val="both"/>
        <w:rPr>
          <w:rFonts w:asciiTheme="majorBidi" w:hAnsiTheme="majorBidi" w:cstheme="majorBidi"/>
          <w:sz w:val="24"/>
          <w:szCs w:val="24"/>
        </w:rPr>
      </w:pPr>
      <w:r>
        <w:rPr>
          <w:rFonts w:asciiTheme="majorBidi" w:hAnsiTheme="majorBidi" w:cstheme="majorBidi"/>
          <w:sz w:val="24"/>
          <w:szCs w:val="24"/>
        </w:rPr>
        <w:t xml:space="preserve">     </w:t>
      </w:r>
      <w:r w:rsidR="00EF51F6" w:rsidRPr="007A58C1">
        <w:rPr>
          <w:rFonts w:asciiTheme="majorBidi" w:hAnsiTheme="majorBidi" w:cstheme="majorBidi"/>
          <w:sz w:val="24"/>
          <w:szCs w:val="24"/>
        </w:rPr>
        <w:t>This study aimed to analyze the impact of green management implementation on enhancing environmental sustainability in mega engineering projects associated with the Saudi Public Investment Fund portfolio through a comparative analytical study of NEOM and Red Sea Global</w:t>
      </w:r>
      <w:r w:rsidR="00EF51F6" w:rsidRPr="007A58C1">
        <w:rPr>
          <w:rFonts w:asciiTheme="majorBidi" w:hAnsiTheme="majorBidi" w:cstheme="majorBidi"/>
          <w:sz w:val="24"/>
          <w:szCs w:val="24"/>
          <w:rtl/>
        </w:rPr>
        <w:t>.</w:t>
      </w:r>
    </w:p>
    <w:p w14:paraId="4272729B" w14:textId="77777777" w:rsidR="00EF51F6" w:rsidRPr="007A58C1" w:rsidRDefault="00EF51F6" w:rsidP="007A58C1">
      <w:pPr>
        <w:bidi w:val="0"/>
        <w:spacing w:after="0" w:line="240" w:lineRule="auto"/>
        <w:jc w:val="both"/>
        <w:rPr>
          <w:rFonts w:asciiTheme="majorBidi" w:hAnsiTheme="majorBidi" w:cstheme="majorBidi"/>
          <w:sz w:val="24"/>
          <w:szCs w:val="24"/>
          <w:rtl/>
        </w:rPr>
      </w:pPr>
    </w:p>
    <w:p w14:paraId="3BA37276" w14:textId="77777777" w:rsidR="00EF51F6" w:rsidRPr="007A58C1" w:rsidRDefault="00EF51F6" w:rsidP="007A58C1">
      <w:pPr>
        <w:bidi w:val="0"/>
        <w:spacing w:after="0" w:line="240" w:lineRule="auto"/>
        <w:jc w:val="both"/>
        <w:rPr>
          <w:rFonts w:asciiTheme="majorBidi" w:hAnsiTheme="majorBidi" w:cstheme="majorBidi"/>
          <w:sz w:val="24"/>
          <w:szCs w:val="24"/>
        </w:rPr>
      </w:pPr>
      <w:r w:rsidRPr="007A58C1">
        <w:rPr>
          <w:rFonts w:asciiTheme="majorBidi" w:hAnsiTheme="majorBidi" w:cstheme="majorBidi"/>
          <w:sz w:val="24"/>
          <w:szCs w:val="24"/>
        </w:rPr>
        <w:t>The study adopted the descriptive analytical approach and employed a comparative case study design supported by documentary content analysis of official materials published by NEOM, Red Sea Global, and the Public Investment Fund, in addition to using ISO 14001:2015 as a reference framework for environmental management systems (ISO, 2015). The study also relied on a documentary content analysis form built around five main analytical dimensions and applied to the official materials related to the two cases under investigation</w:t>
      </w:r>
      <w:r w:rsidRPr="007A58C1">
        <w:rPr>
          <w:rFonts w:asciiTheme="majorBidi" w:hAnsiTheme="majorBidi" w:cstheme="majorBidi"/>
          <w:sz w:val="24"/>
          <w:szCs w:val="24"/>
          <w:rtl/>
        </w:rPr>
        <w:t>.</w:t>
      </w:r>
    </w:p>
    <w:p w14:paraId="086ADDA8" w14:textId="77777777" w:rsidR="00EF51F6" w:rsidRPr="007A58C1" w:rsidRDefault="00EF51F6" w:rsidP="007A58C1">
      <w:pPr>
        <w:bidi w:val="0"/>
        <w:spacing w:after="0" w:line="240" w:lineRule="auto"/>
        <w:jc w:val="both"/>
        <w:rPr>
          <w:rFonts w:asciiTheme="majorBidi" w:hAnsiTheme="majorBidi" w:cstheme="majorBidi"/>
          <w:sz w:val="24"/>
          <w:szCs w:val="24"/>
          <w:rtl/>
        </w:rPr>
      </w:pPr>
    </w:p>
    <w:p w14:paraId="06C61FC5" w14:textId="77777777" w:rsidR="00EF51F6" w:rsidRPr="007A58C1" w:rsidRDefault="00EF51F6" w:rsidP="007A58C1">
      <w:pPr>
        <w:bidi w:val="0"/>
        <w:spacing w:after="0" w:line="240" w:lineRule="auto"/>
        <w:jc w:val="both"/>
        <w:rPr>
          <w:rFonts w:asciiTheme="majorBidi" w:hAnsiTheme="majorBidi" w:cstheme="majorBidi"/>
          <w:sz w:val="24"/>
          <w:szCs w:val="24"/>
        </w:rPr>
      </w:pPr>
      <w:r w:rsidRPr="007A58C1">
        <w:rPr>
          <w:rFonts w:asciiTheme="majorBidi" w:hAnsiTheme="majorBidi" w:cstheme="majorBidi"/>
          <w:sz w:val="24"/>
          <w:szCs w:val="24"/>
        </w:rPr>
        <w:t>The documentary analysis showed that green management is clearly present in both cases as an institutional orientation, although the degree of practical maturity varies depending on the environmental domain examined and the level of institutional disclosure of operational indicators. In NEOM, emphasis is particularly visible in large-scale nature protection, renewable energy ambition, net positive biodiversity, and circular water systems with zero liquid discharge to the marine environment. In Red Sea Global, the environmental agenda appears more explicitly articulated through specific institutional commitments, including operating destinations on 100% renewable energy and delivering a 30% net conservation benefit by 2040, alongside publicly reported sustainability indicators (NEOM, n.d.; Red Sea Global, 2025; Red Sea Global, n.d.)</w:t>
      </w:r>
      <w:r w:rsidRPr="007A58C1">
        <w:rPr>
          <w:rFonts w:asciiTheme="majorBidi" w:hAnsiTheme="majorBidi" w:cstheme="majorBidi"/>
          <w:sz w:val="24"/>
          <w:szCs w:val="24"/>
          <w:rtl/>
        </w:rPr>
        <w:t>.</w:t>
      </w:r>
    </w:p>
    <w:p w14:paraId="79BD82B5" w14:textId="77777777" w:rsidR="00EF51F6" w:rsidRPr="007A58C1" w:rsidRDefault="00EF51F6" w:rsidP="007A58C1">
      <w:pPr>
        <w:bidi w:val="0"/>
        <w:spacing w:after="0" w:line="240" w:lineRule="auto"/>
        <w:jc w:val="both"/>
        <w:rPr>
          <w:rFonts w:asciiTheme="majorBidi" w:hAnsiTheme="majorBidi" w:cstheme="majorBidi"/>
          <w:sz w:val="24"/>
          <w:szCs w:val="24"/>
          <w:rtl/>
        </w:rPr>
      </w:pPr>
    </w:p>
    <w:p w14:paraId="764C5828" w14:textId="77777777" w:rsidR="00EF51F6" w:rsidRPr="007A58C1" w:rsidRDefault="00EF51F6" w:rsidP="007A58C1">
      <w:pPr>
        <w:bidi w:val="0"/>
        <w:spacing w:after="0" w:line="240" w:lineRule="auto"/>
        <w:jc w:val="both"/>
        <w:rPr>
          <w:rFonts w:asciiTheme="majorBidi" w:hAnsiTheme="majorBidi" w:cstheme="majorBidi"/>
          <w:sz w:val="24"/>
          <w:szCs w:val="24"/>
        </w:rPr>
      </w:pPr>
      <w:r w:rsidRPr="007A58C1">
        <w:rPr>
          <w:rFonts w:asciiTheme="majorBidi" w:hAnsiTheme="majorBidi" w:cstheme="majorBidi"/>
          <w:sz w:val="24"/>
          <w:szCs w:val="24"/>
        </w:rPr>
        <w:t>The study concluded that the contribution of green management to environmental sustainability is reflected through five key pathways: reducing environmental footprint through design and operations, increasing reliance on clean energy, adopting circular economy principles, integrating environmental governance into institutional decision-making, and enhancing ecosystem protection and restoration. However, the study also found that evaluating long-term environmental impact still requires more standardized disclosure and stronger longitudinal performance indicators, especially in projects that remain under phased development</w:t>
      </w:r>
      <w:r w:rsidRPr="007A58C1">
        <w:rPr>
          <w:rFonts w:asciiTheme="majorBidi" w:hAnsiTheme="majorBidi" w:cstheme="majorBidi"/>
          <w:sz w:val="24"/>
          <w:szCs w:val="24"/>
          <w:rtl/>
        </w:rPr>
        <w:t>.</w:t>
      </w:r>
    </w:p>
    <w:p w14:paraId="69DEE0DA" w14:textId="77777777" w:rsidR="00EF51F6" w:rsidRPr="007A58C1" w:rsidRDefault="00EF51F6" w:rsidP="007A58C1">
      <w:pPr>
        <w:bidi w:val="0"/>
        <w:spacing w:after="0" w:line="240" w:lineRule="auto"/>
        <w:jc w:val="both"/>
        <w:rPr>
          <w:rFonts w:asciiTheme="majorBidi" w:hAnsiTheme="majorBidi" w:cstheme="majorBidi"/>
          <w:sz w:val="24"/>
          <w:szCs w:val="24"/>
          <w:rtl/>
        </w:rPr>
      </w:pPr>
    </w:p>
    <w:p w14:paraId="266501CF" w14:textId="77777777" w:rsidR="00EF51F6" w:rsidRPr="007A58C1" w:rsidRDefault="00EF51F6" w:rsidP="007A58C1">
      <w:pPr>
        <w:bidi w:val="0"/>
        <w:spacing w:after="0" w:line="240" w:lineRule="auto"/>
        <w:jc w:val="both"/>
        <w:rPr>
          <w:rFonts w:asciiTheme="majorBidi" w:hAnsiTheme="majorBidi" w:cstheme="majorBidi"/>
          <w:sz w:val="24"/>
          <w:szCs w:val="24"/>
        </w:rPr>
      </w:pPr>
      <w:r w:rsidRPr="007A58C1">
        <w:rPr>
          <w:rFonts w:asciiTheme="majorBidi" w:hAnsiTheme="majorBidi" w:cstheme="majorBidi"/>
          <w:sz w:val="24"/>
          <w:szCs w:val="24"/>
        </w:rPr>
        <w:t>The study recommends deeper integration of green management across the full project life cycle, stronger and more transparent environmental performance metrics, broader independent environmental audits, improved environmental capabilities among contractors and suppliers, and closer alignment between operational incentives and sustainability outcomes</w:t>
      </w:r>
      <w:r w:rsidRPr="007A58C1">
        <w:rPr>
          <w:rFonts w:asciiTheme="majorBidi" w:hAnsiTheme="majorBidi" w:cstheme="majorBidi"/>
          <w:sz w:val="24"/>
          <w:szCs w:val="24"/>
          <w:rtl/>
        </w:rPr>
        <w:t>.</w:t>
      </w:r>
    </w:p>
    <w:p w14:paraId="0C032A49" w14:textId="77777777" w:rsidR="00EF51F6" w:rsidRPr="007A58C1" w:rsidRDefault="00EF51F6" w:rsidP="007A58C1">
      <w:pPr>
        <w:bidi w:val="0"/>
        <w:spacing w:after="0" w:line="240" w:lineRule="auto"/>
        <w:jc w:val="both"/>
        <w:rPr>
          <w:rFonts w:asciiTheme="majorBidi" w:hAnsiTheme="majorBidi" w:cstheme="majorBidi"/>
          <w:sz w:val="24"/>
          <w:szCs w:val="24"/>
          <w:rtl/>
        </w:rPr>
      </w:pPr>
    </w:p>
    <w:p w14:paraId="7079DBF4" w14:textId="77777777" w:rsidR="00EF51F6" w:rsidRPr="007A58C1" w:rsidRDefault="00EF51F6" w:rsidP="007A58C1">
      <w:pPr>
        <w:bidi w:val="0"/>
        <w:spacing w:after="0" w:line="240" w:lineRule="auto"/>
        <w:jc w:val="both"/>
        <w:rPr>
          <w:rFonts w:asciiTheme="majorBidi" w:hAnsiTheme="majorBidi" w:cstheme="majorBidi"/>
          <w:sz w:val="24"/>
          <w:szCs w:val="24"/>
        </w:rPr>
      </w:pPr>
      <w:r w:rsidRPr="007A58C1">
        <w:rPr>
          <w:rFonts w:asciiTheme="majorBidi" w:hAnsiTheme="majorBidi" w:cstheme="majorBidi"/>
          <w:b/>
          <w:bCs/>
          <w:sz w:val="24"/>
          <w:szCs w:val="24"/>
        </w:rPr>
        <w:t xml:space="preserve">Keywords: </w:t>
      </w:r>
      <w:r w:rsidRPr="007A58C1">
        <w:rPr>
          <w:rFonts w:asciiTheme="majorBidi" w:hAnsiTheme="majorBidi" w:cstheme="majorBidi"/>
          <w:sz w:val="24"/>
          <w:szCs w:val="24"/>
        </w:rPr>
        <w:t>Green Management, Environmental Sustainability, Mega Engineering Projects, Public Investment Fund, NEOM, Red Sea Global, Environmental Governance, Project Management</w:t>
      </w:r>
      <w:r w:rsidRPr="007A58C1">
        <w:rPr>
          <w:rFonts w:asciiTheme="majorBidi" w:hAnsiTheme="majorBidi" w:cstheme="majorBidi"/>
          <w:sz w:val="24"/>
          <w:szCs w:val="24"/>
          <w:rtl/>
        </w:rPr>
        <w:t>.</w:t>
      </w:r>
    </w:p>
    <w:p w14:paraId="0DF80AA4" w14:textId="77777777" w:rsidR="00EF51F6" w:rsidRPr="007A58C1" w:rsidRDefault="00EF51F6" w:rsidP="00EF51F6">
      <w:pPr>
        <w:spacing w:after="0" w:line="240" w:lineRule="auto"/>
        <w:rPr>
          <w:rFonts w:ascii="Simplified Arabic" w:hAnsi="Simplified Arabic" w:cs="Simplified Arabic"/>
          <w:sz w:val="32"/>
          <w:szCs w:val="32"/>
          <w:rtl/>
        </w:rPr>
      </w:pPr>
    </w:p>
    <w:p w14:paraId="7FBCF7BC" w14:textId="77777777" w:rsidR="00EF51F6" w:rsidRPr="00E616DE" w:rsidRDefault="00EF51F6" w:rsidP="00EF51F6">
      <w:pPr>
        <w:spacing w:after="0" w:line="240" w:lineRule="auto"/>
        <w:rPr>
          <w:rFonts w:ascii="Simplified Arabic" w:hAnsi="Simplified Arabic" w:cs="Simplified Arabic"/>
          <w:b/>
          <w:bCs/>
          <w:sz w:val="36"/>
          <w:szCs w:val="36"/>
          <w:rtl/>
        </w:rPr>
      </w:pPr>
      <w:r w:rsidRPr="00E616DE">
        <w:rPr>
          <w:rFonts w:ascii="Simplified Arabic" w:hAnsi="Simplified Arabic" w:cs="Simplified Arabic"/>
          <w:b/>
          <w:bCs/>
          <w:sz w:val="36"/>
          <w:szCs w:val="36"/>
          <w:rtl/>
        </w:rPr>
        <w:t>فهرس المحتويات</w:t>
      </w:r>
    </w:p>
    <w:p w14:paraId="0F78F66A" w14:textId="77777777" w:rsidR="00EF51F6" w:rsidRPr="007A58C1" w:rsidRDefault="00EF51F6" w:rsidP="00EF51F6">
      <w:pPr>
        <w:spacing w:after="0" w:line="240" w:lineRule="auto"/>
        <w:rPr>
          <w:rFonts w:ascii="Simplified Arabic" w:hAnsi="Simplified Arabic" w:cs="Simplified Arabic"/>
          <w:sz w:val="36"/>
          <w:szCs w:val="36"/>
          <w:rtl/>
        </w:rPr>
      </w:pPr>
    </w:p>
    <w:p w14:paraId="2E91F196"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الإهداء</w:t>
      </w:r>
    </w:p>
    <w:p w14:paraId="2FEDE05C"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الشكر والتقدير</w:t>
      </w:r>
    </w:p>
    <w:p w14:paraId="53C4ED3B" w14:textId="29DA4DB5" w:rsidR="00EF51F6" w:rsidRPr="00EF51F6" w:rsidRDefault="007A58C1" w:rsidP="00EF51F6">
      <w:pPr>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حقوق الطباعة</w:t>
      </w:r>
    </w:p>
    <w:p w14:paraId="280BF7A0" w14:textId="58492DF8" w:rsidR="00EF51F6" w:rsidRPr="00EF51F6" w:rsidRDefault="00EF51F6" w:rsidP="007A58C1">
      <w:pPr>
        <w:spacing w:after="0" w:line="240" w:lineRule="auto"/>
        <w:rPr>
          <w:rFonts w:ascii="Simplified Arabic" w:hAnsi="Simplified Arabic" w:cs="Simplified Arabic"/>
          <w:sz w:val="28"/>
          <w:szCs w:val="28"/>
        </w:rPr>
      </w:pPr>
      <w:r w:rsidRPr="00EF51F6">
        <w:rPr>
          <w:rFonts w:ascii="Simplified Arabic" w:hAnsi="Simplified Arabic" w:cs="Simplified Arabic"/>
          <w:sz w:val="28"/>
          <w:szCs w:val="28"/>
          <w:rtl/>
        </w:rPr>
        <w:t>الملخص</w:t>
      </w:r>
      <w:r w:rsidR="007A58C1">
        <w:rPr>
          <w:rFonts w:ascii="Simplified Arabic" w:hAnsi="Simplified Arabic" w:cs="Simplified Arabic" w:hint="cs"/>
          <w:sz w:val="28"/>
          <w:szCs w:val="28"/>
          <w:rtl/>
        </w:rPr>
        <w:t xml:space="preserve"> / </w:t>
      </w:r>
      <w:r w:rsidRPr="007A58C1">
        <w:rPr>
          <w:rFonts w:asciiTheme="majorBidi" w:hAnsiTheme="majorBidi" w:cstheme="majorBidi"/>
          <w:sz w:val="24"/>
          <w:szCs w:val="24"/>
        </w:rPr>
        <w:t>Abstract</w:t>
      </w:r>
    </w:p>
    <w:p w14:paraId="6E27884B"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فهرس المحتويات</w:t>
      </w:r>
    </w:p>
    <w:p w14:paraId="7DA496E9"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فهرس الأشكال</w:t>
      </w:r>
    </w:p>
    <w:p w14:paraId="2E3E579D"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فهرس الجداول</w:t>
      </w:r>
    </w:p>
    <w:p w14:paraId="28B3FC53" w14:textId="77777777" w:rsidR="00EF51F6" w:rsidRPr="00EF51F6" w:rsidRDefault="00EF51F6" w:rsidP="00EF51F6">
      <w:pPr>
        <w:spacing w:after="0" w:line="240" w:lineRule="auto"/>
        <w:rPr>
          <w:rFonts w:ascii="Simplified Arabic" w:hAnsi="Simplified Arabic" w:cs="Simplified Arabic"/>
          <w:sz w:val="28"/>
          <w:szCs w:val="28"/>
          <w:rtl/>
        </w:rPr>
      </w:pPr>
    </w:p>
    <w:p w14:paraId="1BE3D146" w14:textId="77777777" w:rsidR="00EF51F6" w:rsidRPr="007A58C1" w:rsidRDefault="00EF51F6" w:rsidP="00EF51F6">
      <w:pPr>
        <w:spacing w:after="0" w:line="240" w:lineRule="auto"/>
        <w:rPr>
          <w:rFonts w:ascii="Simplified Arabic" w:hAnsi="Simplified Arabic" w:cs="Simplified Arabic"/>
          <w:b/>
          <w:bCs/>
          <w:sz w:val="28"/>
          <w:szCs w:val="28"/>
          <w:rtl/>
        </w:rPr>
      </w:pPr>
      <w:r w:rsidRPr="007A58C1">
        <w:rPr>
          <w:rFonts w:ascii="Simplified Arabic" w:hAnsi="Simplified Arabic" w:cs="Simplified Arabic"/>
          <w:b/>
          <w:bCs/>
          <w:sz w:val="28"/>
          <w:szCs w:val="28"/>
          <w:rtl/>
        </w:rPr>
        <w:t>الفصل الأول: الإطار العام للدراسة</w:t>
      </w:r>
    </w:p>
    <w:p w14:paraId="0DE02B19"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1.1 المقدمة</w:t>
      </w:r>
    </w:p>
    <w:p w14:paraId="6BE20830"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1.2 مشكلة الدراسة</w:t>
      </w:r>
    </w:p>
    <w:p w14:paraId="59611CC9"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1.3 أسئلة الدراسة</w:t>
      </w:r>
    </w:p>
    <w:p w14:paraId="7D9A34E4"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1.4 أهداف الدراسة</w:t>
      </w:r>
    </w:p>
    <w:p w14:paraId="1FEC01EC"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1.5 أهمية الدراسة</w:t>
      </w:r>
    </w:p>
    <w:p w14:paraId="3C126E36"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1.6 حدود الدراسة</w:t>
      </w:r>
    </w:p>
    <w:p w14:paraId="2A1ADF4A"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1.7 مصطلحات الدراسة</w:t>
      </w:r>
    </w:p>
    <w:p w14:paraId="63F4F345"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1.8 النموذج المفاهيمي للدراسة</w:t>
      </w:r>
    </w:p>
    <w:p w14:paraId="472592A8" w14:textId="77777777" w:rsidR="00EF51F6" w:rsidRPr="00EF51F6" w:rsidRDefault="00EF51F6" w:rsidP="00EF51F6">
      <w:pPr>
        <w:spacing w:after="0" w:line="240" w:lineRule="auto"/>
        <w:rPr>
          <w:rFonts w:ascii="Simplified Arabic" w:hAnsi="Simplified Arabic" w:cs="Simplified Arabic"/>
          <w:sz w:val="28"/>
          <w:szCs w:val="28"/>
          <w:rtl/>
        </w:rPr>
      </w:pPr>
    </w:p>
    <w:p w14:paraId="077802CA" w14:textId="77777777" w:rsidR="00EF51F6" w:rsidRPr="007A58C1" w:rsidRDefault="00EF51F6" w:rsidP="00EF51F6">
      <w:pPr>
        <w:spacing w:after="0" w:line="240" w:lineRule="auto"/>
        <w:rPr>
          <w:rFonts w:ascii="Simplified Arabic" w:hAnsi="Simplified Arabic" w:cs="Simplified Arabic"/>
          <w:b/>
          <w:bCs/>
          <w:sz w:val="28"/>
          <w:szCs w:val="28"/>
          <w:rtl/>
        </w:rPr>
      </w:pPr>
      <w:r w:rsidRPr="007A58C1">
        <w:rPr>
          <w:rFonts w:ascii="Simplified Arabic" w:hAnsi="Simplified Arabic" w:cs="Simplified Arabic"/>
          <w:b/>
          <w:bCs/>
          <w:sz w:val="28"/>
          <w:szCs w:val="28"/>
          <w:rtl/>
        </w:rPr>
        <w:t>الفصل الثاني: الإطار النظري والدراسات السابقة</w:t>
      </w:r>
    </w:p>
    <w:p w14:paraId="220FA500"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2.1 تمهيد</w:t>
      </w:r>
    </w:p>
    <w:p w14:paraId="4D39AB85"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2.2 مفهوم الإدارة الخضراء</w:t>
      </w:r>
    </w:p>
    <w:p w14:paraId="3875E1D6"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2.2.1 تطور مفهوم الإدارة الخضراء</w:t>
      </w:r>
    </w:p>
    <w:p w14:paraId="1D65A463"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2.3 مفهوم الاستدامة البيئية</w:t>
      </w:r>
    </w:p>
    <w:p w14:paraId="5F60350B"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2.3.1 الاستدامة البيئية عبر دورة حياة المشروع</w:t>
      </w:r>
    </w:p>
    <w:p w14:paraId="08DFC0FD"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2.4 المشاريع الهندسية العملاقة وخصائصها</w:t>
      </w:r>
    </w:p>
    <w:p w14:paraId="0AFB6329"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2.4.1 الحوكمة البيئية في المشاريع العملاقة</w:t>
      </w:r>
    </w:p>
    <w:p w14:paraId="6917C6AD"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2.5 العلاقة بين الإدارة الخضراء والاستدامة البيئية</w:t>
      </w:r>
    </w:p>
    <w:p w14:paraId="502DD02F"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2.5.1 الإدارة الخضراء والاقتصاد الدائري</w:t>
      </w:r>
    </w:p>
    <w:p w14:paraId="08988627"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2.5.2 الإدارة الخضراء والإفصاح البيئي</w:t>
      </w:r>
    </w:p>
    <w:p w14:paraId="5E5F28EF"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2.5.3 الإدارة الخضراء بوصفها قدرة مؤسسية لا مجرد التزام رمزي</w:t>
      </w:r>
    </w:p>
    <w:p w14:paraId="03B23D75"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2.6 المداخل النظرية المفسرة للدراسة</w:t>
      </w:r>
    </w:p>
    <w:p w14:paraId="67EC62CE"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2.7 الدراسات السابقة</w:t>
      </w:r>
    </w:p>
    <w:p w14:paraId="7297669A"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2.8 الفجوة البحثية</w:t>
      </w:r>
    </w:p>
    <w:p w14:paraId="3548261F"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2.9 خلاصة الفصل</w:t>
      </w:r>
    </w:p>
    <w:p w14:paraId="2BEB36A0" w14:textId="77777777" w:rsidR="00EF51F6" w:rsidRPr="00EF51F6" w:rsidRDefault="00EF51F6" w:rsidP="00EF51F6">
      <w:pPr>
        <w:spacing w:after="0" w:line="240" w:lineRule="auto"/>
        <w:rPr>
          <w:rFonts w:ascii="Simplified Arabic" w:hAnsi="Simplified Arabic" w:cs="Simplified Arabic"/>
          <w:sz w:val="28"/>
          <w:szCs w:val="28"/>
          <w:rtl/>
        </w:rPr>
      </w:pPr>
    </w:p>
    <w:p w14:paraId="799B56E9" w14:textId="77777777" w:rsidR="00EF51F6" w:rsidRPr="007A58C1" w:rsidRDefault="00EF51F6" w:rsidP="00EF51F6">
      <w:pPr>
        <w:spacing w:after="0" w:line="240" w:lineRule="auto"/>
        <w:rPr>
          <w:rFonts w:ascii="Simplified Arabic" w:hAnsi="Simplified Arabic" w:cs="Simplified Arabic"/>
          <w:b/>
          <w:bCs/>
          <w:sz w:val="28"/>
          <w:szCs w:val="28"/>
          <w:rtl/>
        </w:rPr>
      </w:pPr>
      <w:r w:rsidRPr="007A58C1">
        <w:rPr>
          <w:rFonts w:ascii="Simplified Arabic" w:hAnsi="Simplified Arabic" w:cs="Simplified Arabic"/>
          <w:b/>
          <w:bCs/>
          <w:sz w:val="28"/>
          <w:szCs w:val="28"/>
          <w:rtl/>
        </w:rPr>
        <w:t>الفصل الثالث: منهجية الدراسة وإجراءاتها</w:t>
      </w:r>
    </w:p>
    <w:p w14:paraId="57623116"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3.1 تمهيد</w:t>
      </w:r>
    </w:p>
    <w:p w14:paraId="6D02105A"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3.2 منهج الدراسة</w:t>
      </w:r>
    </w:p>
    <w:p w14:paraId="033A341A"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3.3 مجتمع الدراسة</w:t>
      </w:r>
    </w:p>
    <w:p w14:paraId="6AED7008"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3.4 وحدتا التحليل</w:t>
      </w:r>
    </w:p>
    <w:p w14:paraId="31EFD1A7"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3.5 مبررات اختيار الحالتين</w:t>
      </w:r>
    </w:p>
    <w:p w14:paraId="584AD00E"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3.6 مصادر البيانات ومعايير اختيار الوثائق</w:t>
      </w:r>
    </w:p>
    <w:p w14:paraId="491C8180"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3.7 أداة الدراسة</w:t>
      </w:r>
    </w:p>
    <w:p w14:paraId="65A0F23A"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3.8 إجراءات التحليل</w:t>
      </w:r>
    </w:p>
    <w:p w14:paraId="6A797608"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3.9 أسلوب المقارنة بين الحالتين</w:t>
      </w:r>
    </w:p>
    <w:p w14:paraId="50B1FE60"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3.10 معايير المصداقية العلمية</w:t>
      </w:r>
    </w:p>
    <w:p w14:paraId="5778912D"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3.10.1 الصدق التحليلي والموثوقية الإجرائية</w:t>
      </w:r>
    </w:p>
    <w:p w14:paraId="47663F31"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3.11 حدود المنهج</w:t>
      </w:r>
    </w:p>
    <w:p w14:paraId="38931E75"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3.12 الاعتبارات الأخلاقية</w:t>
      </w:r>
    </w:p>
    <w:p w14:paraId="7F04384E"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3.13 خلاصة الفصل</w:t>
      </w:r>
    </w:p>
    <w:p w14:paraId="5FF10551" w14:textId="77777777" w:rsidR="00EF51F6" w:rsidRPr="00EF51F6" w:rsidRDefault="00EF51F6" w:rsidP="00EF51F6">
      <w:pPr>
        <w:spacing w:after="0" w:line="240" w:lineRule="auto"/>
        <w:rPr>
          <w:rFonts w:ascii="Simplified Arabic" w:hAnsi="Simplified Arabic" w:cs="Simplified Arabic"/>
          <w:sz w:val="28"/>
          <w:szCs w:val="28"/>
          <w:rtl/>
        </w:rPr>
      </w:pPr>
    </w:p>
    <w:p w14:paraId="3C65CD5E" w14:textId="77777777" w:rsidR="00EF51F6" w:rsidRPr="007A58C1" w:rsidRDefault="00EF51F6" w:rsidP="00EF51F6">
      <w:pPr>
        <w:spacing w:after="0" w:line="240" w:lineRule="auto"/>
        <w:rPr>
          <w:rFonts w:ascii="Simplified Arabic" w:hAnsi="Simplified Arabic" w:cs="Simplified Arabic"/>
          <w:b/>
          <w:bCs/>
          <w:sz w:val="28"/>
          <w:szCs w:val="28"/>
          <w:rtl/>
        </w:rPr>
      </w:pPr>
      <w:r w:rsidRPr="007A58C1">
        <w:rPr>
          <w:rFonts w:ascii="Simplified Arabic" w:hAnsi="Simplified Arabic" w:cs="Simplified Arabic"/>
          <w:b/>
          <w:bCs/>
          <w:sz w:val="28"/>
          <w:szCs w:val="28"/>
          <w:rtl/>
        </w:rPr>
        <w:t>الفصل الرابع: عرض النتائج وتحليلها ومناقشتها</w:t>
      </w:r>
    </w:p>
    <w:p w14:paraId="288459EE"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4.1 تمهيد</w:t>
      </w:r>
    </w:p>
    <w:p w14:paraId="787ABD93"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4.2 نتائج تحليل حالة نيوم</w:t>
      </w:r>
    </w:p>
    <w:p w14:paraId="17C7A07F"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4.3 نتائج تحليل حالة البحر الأحمر الدولية</w:t>
      </w:r>
    </w:p>
    <w:p w14:paraId="6064F7C9"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4.4 النتائج المقارنة</w:t>
      </w:r>
    </w:p>
    <w:p w14:paraId="1C82B715"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4.4.1 مصفوفة المقارنة التحليلية بين الحالتين</w:t>
      </w:r>
    </w:p>
    <w:p w14:paraId="5DB66B08"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4.5 مناقشة النتائج</w:t>
      </w:r>
    </w:p>
    <w:p w14:paraId="3A34F9E8"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4.5.1 البعد النقدي في تفسير النتائج</w:t>
      </w:r>
    </w:p>
    <w:p w14:paraId="1D64179E"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4.6 خلاصة الفصل</w:t>
      </w:r>
    </w:p>
    <w:p w14:paraId="23EAD62D" w14:textId="77777777" w:rsidR="00EF51F6" w:rsidRPr="00EF51F6" w:rsidRDefault="00EF51F6" w:rsidP="00EF51F6">
      <w:pPr>
        <w:spacing w:after="0" w:line="240" w:lineRule="auto"/>
        <w:rPr>
          <w:rFonts w:ascii="Simplified Arabic" w:hAnsi="Simplified Arabic" w:cs="Simplified Arabic"/>
          <w:sz w:val="28"/>
          <w:szCs w:val="28"/>
          <w:rtl/>
        </w:rPr>
      </w:pPr>
    </w:p>
    <w:p w14:paraId="032744A8" w14:textId="77777777" w:rsidR="00EF51F6" w:rsidRPr="007A58C1" w:rsidRDefault="00EF51F6" w:rsidP="00EF51F6">
      <w:pPr>
        <w:spacing w:after="0" w:line="240" w:lineRule="auto"/>
        <w:rPr>
          <w:rFonts w:ascii="Simplified Arabic" w:hAnsi="Simplified Arabic" w:cs="Simplified Arabic"/>
          <w:b/>
          <w:bCs/>
          <w:sz w:val="28"/>
          <w:szCs w:val="28"/>
          <w:rtl/>
        </w:rPr>
      </w:pPr>
      <w:r w:rsidRPr="007A58C1">
        <w:rPr>
          <w:rFonts w:ascii="Simplified Arabic" w:hAnsi="Simplified Arabic" w:cs="Simplified Arabic"/>
          <w:b/>
          <w:bCs/>
          <w:sz w:val="28"/>
          <w:szCs w:val="28"/>
          <w:rtl/>
        </w:rPr>
        <w:t>الفصل الخامس: الخاتمة والتوصيات</w:t>
      </w:r>
    </w:p>
    <w:p w14:paraId="14819F60"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5.1 ملخص النتائج</w:t>
      </w:r>
    </w:p>
    <w:p w14:paraId="4BCBDE26"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5.2 الاستنتاجات</w:t>
      </w:r>
    </w:p>
    <w:p w14:paraId="67163217"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5.3 التوصيات</w:t>
      </w:r>
    </w:p>
    <w:p w14:paraId="598C97D6"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5.3.1 توصيات موجهة لصناع القرار</w:t>
      </w:r>
    </w:p>
    <w:p w14:paraId="01A9D3C6"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5.3.2 توصيات موجهة لإدارات المشاريع والمقاولين</w:t>
      </w:r>
    </w:p>
    <w:p w14:paraId="6B2DFD09"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5.4 مقترحات لدراسات مستقبلية</w:t>
      </w:r>
    </w:p>
    <w:p w14:paraId="5E51459E"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5.5 خاتمة الدراسة</w:t>
      </w:r>
    </w:p>
    <w:p w14:paraId="6EE8B3CF"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5.6 الإسهام العلمي للدراسة</w:t>
      </w:r>
    </w:p>
    <w:p w14:paraId="7046FE3D"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5.6.1 القيمة المنهجية والتطبيقية الممتدة للدراسة</w:t>
      </w:r>
    </w:p>
    <w:p w14:paraId="6E9455AE" w14:textId="77777777" w:rsidR="00EF51F6" w:rsidRPr="00EF51F6" w:rsidRDefault="00EF51F6" w:rsidP="00EF51F6">
      <w:pPr>
        <w:spacing w:after="0" w:line="240" w:lineRule="auto"/>
        <w:rPr>
          <w:rFonts w:ascii="Simplified Arabic" w:hAnsi="Simplified Arabic" w:cs="Simplified Arabic"/>
          <w:sz w:val="28"/>
          <w:szCs w:val="28"/>
          <w:rtl/>
        </w:rPr>
      </w:pPr>
    </w:p>
    <w:p w14:paraId="4BA7E73A"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المراجع</w:t>
      </w:r>
    </w:p>
    <w:p w14:paraId="035E6F05"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الملحقات</w:t>
      </w:r>
    </w:p>
    <w:p w14:paraId="58D5C937" w14:textId="77777777" w:rsidR="00EF51F6" w:rsidRPr="00EF51F6" w:rsidRDefault="00EF51F6" w:rsidP="00EF51F6">
      <w:pPr>
        <w:spacing w:after="0" w:line="240" w:lineRule="auto"/>
        <w:rPr>
          <w:rFonts w:ascii="Simplified Arabic" w:hAnsi="Simplified Arabic" w:cs="Simplified Arabic"/>
          <w:sz w:val="28"/>
          <w:szCs w:val="28"/>
          <w:rtl/>
        </w:rPr>
      </w:pPr>
    </w:p>
    <w:p w14:paraId="1C9517E0" w14:textId="77777777" w:rsidR="00EF51F6" w:rsidRPr="00E616DE" w:rsidRDefault="00EF51F6" w:rsidP="00EF51F6">
      <w:pPr>
        <w:spacing w:after="0" w:line="240" w:lineRule="auto"/>
        <w:rPr>
          <w:rFonts w:ascii="Simplified Arabic" w:hAnsi="Simplified Arabic" w:cs="Simplified Arabic"/>
          <w:b/>
          <w:bCs/>
          <w:sz w:val="36"/>
          <w:szCs w:val="36"/>
          <w:rtl/>
        </w:rPr>
      </w:pPr>
      <w:r w:rsidRPr="00E616DE">
        <w:rPr>
          <w:rFonts w:ascii="Simplified Arabic" w:hAnsi="Simplified Arabic" w:cs="Simplified Arabic"/>
          <w:b/>
          <w:bCs/>
          <w:sz w:val="36"/>
          <w:szCs w:val="36"/>
          <w:rtl/>
        </w:rPr>
        <w:t>فهرس الأشكال</w:t>
      </w:r>
    </w:p>
    <w:p w14:paraId="1EC1BE80" w14:textId="77777777" w:rsidR="00EF51F6" w:rsidRPr="007A58C1" w:rsidRDefault="00EF51F6" w:rsidP="00EF51F6">
      <w:pPr>
        <w:spacing w:after="0" w:line="240" w:lineRule="auto"/>
        <w:rPr>
          <w:rFonts w:ascii="Simplified Arabic" w:hAnsi="Simplified Arabic" w:cs="Simplified Arabic"/>
          <w:sz w:val="36"/>
          <w:szCs w:val="36"/>
          <w:rtl/>
        </w:rPr>
      </w:pPr>
    </w:p>
    <w:p w14:paraId="09B5EAFA"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شكل (1): النموذج المفاهيمي للعلاقة بين الإدارة الخضراء والاستدامة البيئية في المشاريع الهندسية العملاقة</w:t>
      </w:r>
    </w:p>
    <w:p w14:paraId="23042E52"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شكل (2): المقارنة التحليلية بين حالتي نيوم والبحر الأحمر الدولية وفق أبعاد الإدارة الخضراء</w:t>
      </w:r>
    </w:p>
    <w:p w14:paraId="7271CDC9"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شكل (3): مستويات الاستدلال التحليلي في دراسة أثر الإدارة الخضراء</w:t>
      </w:r>
    </w:p>
    <w:p w14:paraId="12F09B99" w14:textId="77777777" w:rsidR="00EF51F6" w:rsidRPr="00EF51F6" w:rsidRDefault="00EF51F6" w:rsidP="00EF51F6">
      <w:pPr>
        <w:spacing w:after="0" w:line="240" w:lineRule="auto"/>
        <w:rPr>
          <w:rFonts w:ascii="Simplified Arabic" w:hAnsi="Simplified Arabic" w:cs="Simplified Arabic"/>
          <w:sz w:val="28"/>
          <w:szCs w:val="28"/>
          <w:rtl/>
        </w:rPr>
      </w:pPr>
    </w:p>
    <w:p w14:paraId="338DEE8F" w14:textId="77777777" w:rsidR="00EF51F6" w:rsidRPr="00E616DE" w:rsidRDefault="00EF51F6" w:rsidP="00EF51F6">
      <w:pPr>
        <w:spacing w:after="0" w:line="240" w:lineRule="auto"/>
        <w:rPr>
          <w:rFonts w:ascii="Simplified Arabic" w:hAnsi="Simplified Arabic" w:cs="Simplified Arabic"/>
          <w:b/>
          <w:bCs/>
          <w:sz w:val="36"/>
          <w:szCs w:val="36"/>
          <w:rtl/>
        </w:rPr>
      </w:pPr>
      <w:r w:rsidRPr="00E616DE">
        <w:rPr>
          <w:rFonts w:ascii="Simplified Arabic" w:hAnsi="Simplified Arabic" w:cs="Simplified Arabic"/>
          <w:b/>
          <w:bCs/>
          <w:sz w:val="36"/>
          <w:szCs w:val="36"/>
          <w:rtl/>
        </w:rPr>
        <w:t>فهرس الجداول</w:t>
      </w:r>
    </w:p>
    <w:p w14:paraId="6705C3B5" w14:textId="77777777" w:rsidR="00EF51F6" w:rsidRPr="007A58C1" w:rsidRDefault="00EF51F6" w:rsidP="00EF51F6">
      <w:pPr>
        <w:spacing w:after="0" w:line="240" w:lineRule="auto"/>
        <w:rPr>
          <w:rFonts w:ascii="Simplified Arabic" w:hAnsi="Simplified Arabic" w:cs="Simplified Arabic"/>
          <w:sz w:val="36"/>
          <w:szCs w:val="36"/>
          <w:rtl/>
        </w:rPr>
      </w:pPr>
    </w:p>
    <w:p w14:paraId="6331D5D6"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جدول (1): جدول موجز للدراسات السابقة</w:t>
      </w:r>
    </w:p>
    <w:p w14:paraId="09E55FD7"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جدول (2): الأبعاد التحليلية ومؤشراتها الفرعية</w:t>
      </w:r>
    </w:p>
    <w:p w14:paraId="3F9A8090"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جدول (3): مصفوفة المقارنة التحليلية بين الحالتين</w:t>
      </w:r>
    </w:p>
    <w:p w14:paraId="2542FCC4"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جدول (4): مصفوفة المقارنة التفصيلية بين الحالتين</w:t>
      </w:r>
    </w:p>
    <w:p w14:paraId="15E7A6A0"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جدول (5): جدول ربط أسئلة الدراسة بالنتائج</w:t>
      </w:r>
    </w:p>
    <w:p w14:paraId="72EFFD2C" w14:textId="77777777" w:rsidR="00EF51F6" w:rsidRPr="003168B9" w:rsidRDefault="00EF51F6" w:rsidP="003168B9">
      <w:pPr>
        <w:spacing w:after="0" w:line="240" w:lineRule="auto"/>
        <w:rPr>
          <w:rFonts w:ascii="Simplified Arabic" w:hAnsi="Simplified Arabic" w:cs="Simplified Arabic"/>
          <w:sz w:val="28"/>
          <w:szCs w:val="28"/>
          <w:rtl/>
        </w:rPr>
      </w:pPr>
    </w:p>
    <w:p w14:paraId="758239A0" w14:textId="77777777" w:rsidR="003168B9" w:rsidRPr="003168B9" w:rsidRDefault="003168B9" w:rsidP="00E616DE">
      <w:pPr>
        <w:spacing w:after="0" w:line="240" w:lineRule="auto"/>
        <w:jc w:val="center"/>
        <w:rPr>
          <w:rFonts w:ascii="Simplified Arabic" w:hAnsi="Simplified Arabic" w:cs="Simplified Arabic"/>
          <w:sz w:val="400"/>
          <w:szCs w:val="400"/>
          <w:rtl/>
        </w:rPr>
      </w:pPr>
    </w:p>
    <w:p w14:paraId="7BD071E6" w14:textId="48D02E04" w:rsidR="00EF51F6" w:rsidRDefault="00EF51F6" w:rsidP="00E616DE">
      <w:pPr>
        <w:spacing w:after="0" w:line="240" w:lineRule="auto"/>
        <w:jc w:val="center"/>
        <w:rPr>
          <w:rFonts w:ascii="Simplified Arabic" w:hAnsi="Simplified Arabic" w:cs="Simplified Arabic"/>
          <w:sz w:val="40"/>
          <w:szCs w:val="40"/>
          <w:rtl/>
        </w:rPr>
      </w:pPr>
      <w:r w:rsidRPr="00E616DE">
        <w:rPr>
          <w:rFonts w:ascii="Simplified Arabic" w:hAnsi="Simplified Arabic" w:cs="Simplified Arabic"/>
          <w:sz w:val="40"/>
          <w:szCs w:val="40"/>
          <w:rtl/>
        </w:rPr>
        <w:t>الفصل الأول: الإطار العام للدراسة</w:t>
      </w:r>
    </w:p>
    <w:p w14:paraId="5F6E83EC" w14:textId="77777777" w:rsidR="003168B9" w:rsidRPr="003168B9" w:rsidRDefault="003168B9" w:rsidP="00E616DE">
      <w:pPr>
        <w:spacing w:after="0" w:line="240" w:lineRule="auto"/>
        <w:jc w:val="center"/>
        <w:rPr>
          <w:rFonts w:ascii="Simplified Arabic" w:hAnsi="Simplified Arabic" w:cs="Simplified Arabic"/>
          <w:sz w:val="420"/>
          <w:szCs w:val="420"/>
          <w:rtl/>
        </w:rPr>
      </w:pPr>
    </w:p>
    <w:p w14:paraId="06AE7A92" w14:textId="77777777" w:rsidR="00EF51F6" w:rsidRPr="00E616DE" w:rsidRDefault="00EF51F6" w:rsidP="00EF51F6">
      <w:pPr>
        <w:spacing w:after="0" w:line="240" w:lineRule="auto"/>
        <w:rPr>
          <w:rFonts w:ascii="Simplified Arabic" w:hAnsi="Simplified Arabic" w:cs="Simplified Arabic"/>
          <w:b/>
          <w:bCs/>
          <w:sz w:val="36"/>
          <w:szCs w:val="36"/>
          <w:rtl/>
        </w:rPr>
      </w:pPr>
      <w:r w:rsidRPr="00E616DE">
        <w:rPr>
          <w:rFonts w:ascii="Simplified Arabic" w:hAnsi="Simplified Arabic" w:cs="Simplified Arabic"/>
          <w:b/>
          <w:bCs/>
          <w:sz w:val="36"/>
          <w:szCs w:val="36"/>
          <w:rtl/>
        </w:rPr>
        <w:t>1.1 المقدمة</w:t>
      </w:r>
    </w:p>
    <w:p w14:paraId="6EA0E9CF" w14:textId="77777777" w:rsidR="00EF51F6" w:rsidRPr="003168B9" w:rsidRDefault="00EF51F6" w:rsidP="00EF51F6">
      <w:pPr>
        <w:spacing w:after="0" w:line="240" w:lineRule="auto"/>
        <w:rPr>
          <w:rFonts w:ascii="Simplified Arabic" w:hAnsi="Simplified Arabic" w:cs="Simplified Arabic"/>
          <w:sz w:val="36"/>
          <w:szCs w:val="36"/>
          <w:rtl/>
        </w:rPr>
      </w:pPr>
    </w:p>
    <w:p w14:paraId="2E36A1F0" w14:textId="3C34F6CC" w:rsidR="00EF51F6" w:rsidRPr="00EF51F6" w:rsidRDefault="003168B9" w:rsidP="003168B9">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شهد العالم خلال العقود الأخيرة تصاعدًا واضحًا في الاهتمام بقضايا البيئة وتغير المناخ وحوكمة الموارد، وأصبح من المتعذر النظر إلى المشروعات الكبرى بمعزل عن آثارها البيئية الممتدة على المدى الطويل. كما لم يعد نجاح المشروع في الأدبيات الإدارية المعاصرة مقصورًا على الالتزام بالزمن والتكلفة والجودة، بل امتد ليشمل درجة كفاءته في استخدام الطاقة والمياه والمواد، ومستوى مساهمته في خفض التلوث والانبعاثات، وقدرته على الاندماج ضمن نموذج تنموي أكثر استدامة.</w:t>
      </w:r>
    </w:p>
    <w:p w14:paraId="00EF31DC" w14:textId="77777777" w:rsidR="00EF51F6" w:rsidRPr="00EF51F6" w:rsidRDefault="00EF51F6" w:rsidP="003168B9">
      <w:pPr>
        <w:spacing w:after="0" w:line="240" w:lineRule="auto"/>
        <w:jc w:val="both"/>
        <w:rPr>
          <w:rFonts w:ascii="Simplified Arabic" w:hAnsi="Simplified Arabic" w:cs="Simplified Arabic"/>
          <w:sz w:val="28"/>
          <w:szCs w:val="28"/>
          <w:rtl/>
        </w:rPr>
      </w:pPr>
    </w:p>
    <w:p w14:paraId="735864D7" w14:textId="77777777" w:rsidR="00EF51F6" w:rsidRPr="00EF51F6" w:rsidRDefault="00EF51F6" w:rsidP="003168B9">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وفي المملكة العربية السعودية، اكتسب هذا التحول أهمية خاصة في ظل رؤية السعودية 2030، وما صاحبها من إطلاق مجموعة من المشاريع العملاقة التي تهدف إلى إعادة تشكيل البيئة الاقتصادية والعمرانية والتنموية للمملكة. ويؤدي صندوق الاستثمارات العامة دورًا محوريًا في هذا السياق، إذ يدعم عبر محفظته الاستثمارية وأطره التمويلية والاستراتيجية عددًا من المشروعات العملاقة التي تُقدَّم ضمن توجه وطني يستهدف التنويع الاقتصادي والاستدامة. ويؤكد الصندوق في وثائقه الرسمية أن إطار التمويل الأخضر نُشر أولًا في فبراير 2022 ثم جرى تحديثه في أغسطس 2024، كما أصدر تقارير تخصيص وأثر وتقويم أثر للسندات الخضراء في عام 2025 (</w:t>
      </w:r>
      <w:r w:rsidRPr="00EF51F6">
        <w:rPr>
          <w:rFonts w:ascii="Simplified Arabic" w:hAnsi="Simplified Arabic" w:cs="Simplified Arabic"/>
          <w:sz w:val="28"/>
          <w:szCs w:val="28"/>
        </w:rPr>
        <w:t>PIF, 2024; PIF, 2025a; PIF, 2025b</w:t>
      </w:r>
      <w:r w:rsidRPr="00EF51F6">
        <w:rPr>
          <w:rFonts w:ascii="Simplified Arabic" w:hAnsi="Simplified Arabic" w:cs="Simplified Arabic"/>
          <w:sz w:val="28"/>
          <w:szCs w:val="28"/>
          <w:rtl/>
        </w:rPr>
        <w:t>).</w:t>
      </w:r>
    </w:p>
    <w:p w14:paraId="2121747C" w14:textId="77777777" w:rsidR="00EF51F6" w:rsidRPr="00EF51F6" w:rsidRDefault="00EF51F6" w:rsidP="003168B9">
      <w:pPr>
        <w:spacing w:after="0" w:line="240" w:lineRule="auto"/>
        <w:jc w:val="both"/>
        <w:rPr>
          <w:rFonts w:ascii="Simplified Arabic" w:hAnsi="Simplified Arabic" w:cs="Simplified Arabic"/>
          <w:sz w:val="28"/>
          <w:szCs w:val="28"/>
          <w:rtl/>
        </w:rPr>
      </w:pPr>
    </w:p>
    <w:p w14:paraId="1B7E791D" w14:textId="010452EB" w:rsidR="00EF51F6" w:rsidRPr="00EF51F6" w:rsidRDefault="00EF51F6" w:rsidP="003168B9">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 xml:space="preserve">وفي هذا السياق، تبرز نيوم والبحر الأحمر الدولية بوصفهما حالتين غنيتين بالدراسة. </w:t>
      </w:r>
      <w:proofErr w:type="spellStart"/>
      <w:r w:rsidRPr="00EF51F6">
        <w:rPr>
          <w:rFonts w:ascii="Simplified Arabic" w:hAnsi="Simplified Arabic" w:cs="Simplified Arabic"/>
          <w:sz w:val="28"/>
          <w:szCs w:val="28"/>
          <w:rtl/>
        </w:rPr>
        <w:t>فنيوم</w:t>
      </w:r>
      <w:proofErr w:type="spellEnd"/>
      <w:r w:rsidRPr="00EF51F6">
        <w:rPr>
          <w:rFonts w:ascii="Simplified Arabic" w:hAnsi="Simplified Arabic" w:cs="Simplified Arabic"/>
          <w:sz w:val="28"/>
          <w:szCs w:val="28"/>
          <w:rtl/>
        </w:rPr>
        <w:t xml:space="preserve"> تعرض نفسها كمشروع يعتمد على الحماية الواسعة للطبيعة، والطاقة المتجددة، والتنوع الحيوي الإيجابي، والمياه </w:t>
      </w:r>
      <w:r w:rsidR="006C551D">
        <w:rPr>
          <w:rFonts w:ascii="Simplified Arabic" w:hAnsi="Simplified Arabic" w:cs="Simplified Arabic" w:hint="cs"/>
          <w:sz w:val="28"/>
          <w:szCs w:val="28"/>
          <w:rtl/>
        </w:rPr>
        <w:t>معادة التدوير</w:t>
      </w:r>
      <w:r w:rsidRPr="00EF51F6">
        <w:rPr>
          <w:rFonts w:ascii="Simplified Arabic" w:hAnsi="Simplified Arabic" w:cs="Simplified Arabic"/>
          <w:sz w:val="28"/>
          <w:szCs w:val="28"/>
          <w:rtl/>
        </w:rPr>
        <w:t xml:space="preserve"> مع عدم تصريف السوائل إلى البيئة البحرية، وتذكر رسميًا أن 95% من اليابسة والبحر مخصص للحماية. أما البحر الأحمر الدولية فتؤكد في موادها وتقاريرها الرسمية تشغيل الوجهات باستخدام 100% من الطاقة المتجددة، والسعي إلى تحقيق منفعة صافية للحفاظ على الطبيعة بنسبة 30% بحلول عام 2040، إلى جانب الإفصاح عن مؤشرات تشغيلية منشورة في تقارير الاستدامة (</w:t>
      </w:r>
      <w:r w:rsidRPr="00EF51F6">
        <w:rPr>
          <w:rFonts w:ascii="Simplified Arabic" w:hAnsi="Simplified Arabic" w:cs="Simplified Arabic"/>
          <w:sz w:val="28"/>
          <w:szCs w:val="28"/>
        </w:rPr>
        <w:t xml:space="preserve">NEOM, n.d.; Red Sea Global, 2025; Red Sea Global, </w:t>
      </w:r>
      <w:proofErr w:type="spellStart"/>
      <w:r w:rsidRPr="00EF51F6">
        <w:rPr>
          <w:rFonts w:ascii="Simplified Arabic" w:hAnsi="Simplified Arabic" w:cs="Simplified Arabic"/>
          <w:sz w:val="28"/>
          <w:szCs w:val="28"/>
        </w:rPr>
        <w:t>n.d</w:t>
      </w:r>
      <w:proofErr w:type="spellEnd"/>
      <w:r w:rsidRPr="00EF51F6">
        <w:rPr>
          <w:rFonts w:ascii="Simplified Arabic" w:hAnsi="Simplified Arabic" w:cs="Simplified Arabic"/>
          <w:sz w:val="28"/>
          <w:szCs w:val="28"/>
          <w:rtl/>
        </w:rPr>
        <w:t>.).</w:t>
      </w:r>
    </w:p>
    <w:p w14:paraId="5DF90CA0" w14:textId="77777777" w:rsidR="00EF51F6" w:rsidRPr="00EF51F6" w:rsidRDefault="00EF51F6" w:rsidP="003168B9">
      <w:pPr>
        <w:spacing w:after="0" w:line="240" w:lineRule="auto"/>
        <w:jc w:val="both"/>
        <w:rPr>
          <w:rFonts w:ascii="Simplified Arabic" w:hAnsi="Simplified Arabic" w:cs="Simplified Arabic"/>
          <w:sz w:val="28"/>
          <w:szCs w:val="28"/>
          <w:rtl/>
        </w:rPr>
      </w:pPr>
    </w:p>
    <w:p w14:paraId="36662DB8" w14:textId="77777777" w:rsidR="00EF51F6" w:rsidRPr="00EF51F6" w:rsidRDefault="00EF51F6" w:rsidP="003168B9">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ولا تنبع أهمية دراسة هاتين الحالتين من حجمهما الاستثماري أو رمزيتهما التنموية فقط، بل أيضًا من كونهما تمثلان مختبرًا واقعيًا لاختبار كيفية اندماج الإدارة الخضراء داخل المشاريع العملاقة بوصفها بنية حوكمية وتشغيلية، لا مجرد خطاب مؤسسي. فالمشاريع العملاقة، بحكم تعقيدها، وكثافة استهلاكها للموارد، وطول دورة حياتها، تجعل من البعد البيئي عنصرًا حاسمًا في الحكم على جودة الإدارة من ناحية، وفي الحكم على استدامة النموذج التنموي من ناحية أخرى.</w:t>
      </w:r>
    </w:p>
    <w:p w14:paraId="08F4AC49" w14:textId="77777777" w:rsidR="00EF51F6" w:rsidRPr="00EF51F6" w:rsidRDefault="00EF51F6" w:rsidP="003168B9">
      <w:pPr>
        <w:spacing w:after="0" w:line="240" w:lineRule="auto"/>
        <w:jc w:val="both"/>
        <w:rPr>
          <w:rFonts w:ascii="Simplified Arabic" w:hAnsi="Simplified Arabic" w:cs="Simplified Arabic"/>
          <w:sz w:val="28"/>
          <w:szCs w:val="28"/>
          <w:rtl/>
        </w:rPr>
      </w:pPr>
    </w:p>
    <w:p w14:paraId="2D822817" w14:textId="77777777" w:rsidR="00EF51F6" w:rsidRPr="00EF51F6" w:rsidRDefault="00EF51F6" w:rsidP="003168B9">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ولم يعد التحول نحو الاستدامة البيئية في إدارة المشاريع خيارًا تحسينيًا محدود الأثر، بل أصبح عنصرًا بنيويًا في الحكم على جودة المشروع وقدرته على الاستمرار والتكيف. فالأدبيات الحديثة لم تعد تتعامل مع المشروع بوصفه وحدة تنفيذية تنتهي قيمتها عند تسليم المخرج النهائي، وإنما بوصفه بنية تنظيمية وتشغيلية واستثمارية تنتج آثارًا ممتدة في الموارد والطاقة والمياه والنظم البيئية والمجتمعات المحيطة. وضمن هذا التحول، أصبح من غير الكافي قياس نجاح المشاريع العملاقة بمؤشرات الزمن والتكلفة والجودة فقط، إذ برزت الحاجة إلى تقويم أعمق يشمل الكفاءة البيئية، والحوكمة، والإفصاح، والقدرة على تقليل الأثر السلبي وتعزيز القيمة البيئية طويلة المدى.</w:t>
      </w:r>
    </w:p>
    <w:p w14:paraId="7548BD57" w14:textId="77777777" w:rsidR="00EF51F6" w:rsidRPr="00EF51F6" w:rsidRDefault="00EF51F6" w:rsidP="003168B9">
      <w:pPr>
        <w:spacing w:after="0" w:line="240" w:lineRule="auto"/>
        <w:jc w:val="both"/>
        <w:rPr>
          <w:rFonts w:ascii="Simplified Arabic" w:hAnsi="Simplified Arabic" w:cs="Simplified Arabic"/>
          <w:sz w:val="28"/>
          <w:szCs w:val="28"/>
          <w:rtl/>
        </w:rPr>
      </w:pPr>
    </w:p>
    <w:p w14:paraId="02949B49" w14:textId="77777777" w:rsidR="00EF51F6" w:rsidRPr="00EF51F6" w:rsidRDefault="00EF51F6" w:rsidP="003168B9">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وفي السياق السعودي، تتضاعف أهمية هذا التحول نظرًا إلى أن المشاريع العملاقة لا تمثل مجرد أدوات تنموية، بل تمثل أيضًا واجهات استراتيجية تعكس طبيعة النموذج التنموي الذي تتبناه الدولة في مرحلة التحول الاقتصادي. ومن ثم، فإن تحليل البعد البيئي داخل هذه المشاريع لا ينحصر في تقويم المخرجات الفنية فقط، بل يتصل أيضًا بتقويم نضج الحوكمة البيئية، ودرجة دمج البيئة في اتخاذ القرار، ومدى قدرة المؤسسات القائمة على المشاريع على تحويل الالتزام البيئي إلى ممارسات تشغيلية قابلة للتتبع.</w:t>
      </w:r>
    </w:p>
    <w:p w14:paraId="1A15E98F" w14:textId="77777777" w:rsidR="00EF51F6" w:rsidRPr="00EF51F6" w:rsidRDefault="00EF51F6" w:rsidP="003168B9">
      <w:pPr>
        <w:spacing w:after="0" w:line="240" w:lineRule="auto"/>
        <w:jc w:val="both"/>
        <w:rPr>
          <w:rFonts w:ascii="Simplified Arabic" w:hAnsi="Simplified Arabic" w:cs="Simplified Arabic"/>
          <w:sz w:val="28"/>
          <w:szCs w:val="28"/>
          <w:rtl/>
        </w:rPr>
      </w:pPr>
    </w:p>
    <w:p w14:paraId="55ADC29B" w14:textId="77777777" w:rsidR="00EF51F6" w:rsidRPr="00EF51F6" w:rsidRDefault="00EF51F6" w:rsidP="003168B9">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ومن هنا تنطلق هذه الدراسة لتحليل أثر تطبيق الإدارة الخضراء في تعزيز الاستدامة البيئية في المشاريع الهندسية العملاقة المرتبطة بمحفظة صندوق الاستثمارات العامة السعودي، من خلال دراسة تحليلية مقارنة على مشروعي نيوم والبحر الأحمر الدولية، بما يسهم في تعميق الفهم العلمي للعلاقة بين الممارسات الإدارية البيئية ومخرجات الاستدامة في المشروعات الضخمة، ويقدم معالجة أكاديمية عربية أكثر قربًا من الواقع السعودي المعاصر.</w:t>
      </w:r>
    </w:p>
    <w:p w14:paraId="060F92DF" w14:textId="77777777" w:rsidR="00EF51F6" w:rsidRPr="00EF51F6" w:rsidRDefault="00EF51F6" w:rsidP="00EF51F6">
      <w:pPr>
        <w:spacing w:after="0" w:line="240" w:lineRule="auto"/>
        <w:rPr>
          <w:rFonts w:ascii="Simplified Arabic" w:hAnsi="Simplified Arabic" w:cs="Simplified Arabic"/>
          <w:sz w:val="28"/>
          <w:szCs w:val="28"/>
          <w:rtl/>
        </w:rPr>
      </w:pPr>
    </w:p>
    <w:p w14:paraId="1E823155" w14:textId="77777777" w:rsidR="00EF51F6" w:rsidRPr="00E616DE" w:rsidRDefault="00EF51F6" w:rsidP="00EF51F6">
      <w:pPr>
        <w:spacing w:after="0" w:line="240" w:lineRule="auto"/>
        <w:rPr>
          <w:rFonts w:ascii="Simplified Arabic" w:hAnsi="Simplified Arabic" w:cs="Simplified Arabic"/>
          <w:b/>
          <w:bCs/>
          <w:sz w:val="36"/>
          <w:szCs w:val="36"/>
          <w:rtl/>
        </w:rPr>
      </w:pPr>
      <w:r w:rsidRPr="00E616DE">
        <w:rPr>
          <w:rFonts w:ascii="Simplified Arabic" w:hAnsi="Simplified Arabic" w:cs="Simplified Arabic"/>
          <w:b/>
          <w:bCs/>
          <w:sz w:val="36"/>
          <w:szCs w:val="36"/>
          <w:rtl/>
        </w:rPr>
        <w:t>1.2 مشكلة الدراسة</w:t>
      </w:r>
    </w:p>
    <w:p w14:paraId="03AB45D3" w14:textId="77777777" w:rsidR="00EF51F6" w:rsidRPr="003168B9" w:rsidRDefault="00EF51F6" w:rsidP="00EF51F6">
      <w:pPr>
        <w:spacing w:after="0" w:line="240" w:lineRule="auto"/>
        <w:rPr>
          <w:rFonts w:ascii="Simplified Arabic" w:hAnsi="Simplified Arabic" w:cs="Simplified Arabic"/>
          <w:sz w:val="36"/>
          <w:szCs w:val="36"/>
          <w:rtl/>
        </w:rPr>
      </w:pPr>
    </w:p>
    <w:p w14:paraId="5CA26F1D" w14:textId="6DB6DE65" w:rsidR="00EF51F6" w:rsidRPr="00EF51F6" w:rsidRDefault="003168B9" w:rsidP="003168B9">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على الرغم من ازدياد حضور مفاهيم الاستدامة البيئية في الخطابات المؤسسية للمشاريع الكبرى، فإن الإشكال الرئيس لا يكمن في مجرد وجود هذا الخطاب، بل في مدى تحوله إلى ممارسات إدارية منتظمة، وآليات تنفيذ، ونظم متابعة، ومؤشرات تقيس أثره البيئي القابل للتتبع. كما أن كثيرًا من المشاريع العملاقة تطرح التزامات بيئية طموحة، لكن الفارق بين الالتزام المؤسسي المعلن، والممارسة المؤسسية، والنتيجة البيئية القابلة للتتبع، يظل بحاجة إلى تحليل أكاديمي أدق.</w:t>
      </w:r>
    </w:p>
    <w:p w14:paraId="5E8DA5F7" w14:textId="77777777" w:rsidR="00EF51F6" w:rsidRPr="00EF51F6" w:rsidRDefault="00EF51F6" w:rsidP="003168B9">
      <w:pPr>
        <w:spacing w:after="0" w:line="240" w:lineRule="auto"/>
        <w:jc w:val="both"/>
        <w:rPr>
          <w:rFonts w:ascii="Simplified Arabic" w:hAnsi="Simplified Arabic" w:cs="Simplified Arabic"/>
          <w:sz w:val="28"/>
          <w:szCs w:val="28"/>
          <w:rtl/>
        </w:rPr>
      </w:pPr>
    </w:p>
    <w:p w14:paraId="7B24ED49" w14:textId="77777777" w:rsidR="00EF51F6" w:rsidRPr="00EF51F6" w:rsidRDefault="00EF51F6" w:rsidP="003168B9">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وتزداد هذه الإشكالية في المشاريع الهندسية العملاقة بسبب ارتفاع درجة التعقيد، وتعدد الفاعلين، وطول الأفق الزمني، وكثافة استهلاك الموارد، وتشابك القرار الإداري مع التقني والتشغيلي. ومن ثم، فإن السؤال المهم لا يتمثل فقط في: هل تتبنى هذه المشاريع خطابًا بيئيًا؟ بل في: كيف تتحول الالتزامات البيئية المعلنة إلى سياسات وممارسات ونظم حوكمة بيئية يمكن أن تسهم في تعزيز الاستدامة البيئية؟</w:t>
      </w:r>
    </w:p>
    <w:p w14:paraId="52B013B0" w14:textId="77777777" w:rsidR="00EF51F6" w:rsidRPr="00EF51F6" w:rsidRDefault="00EF51F6" w:rsidP="003168B9">
      <w:pPr>
        <w:spacing w:after="0" w:line="240" w:lineRule="auto"/>
        <w:jc w:val="both"/>
        <w:rPr>
          <w:rFonts w:ascii="Simplified Arabic" w:hAnsi="Simplified Arabic" w:cs="Simplified Arabic"/>
          <w:sz w:val="28"/>
          <w:szCs w:val="28"/>
          <w:rtl/>
        </w:rPr>
      </w:pPr>
    </w:p>
    <w:p w14:paraId="47F01EAE" w14:textId="77777777" w:rsidR="00EF51F6" w:rsidRPr="00EF51F6" w:rsidRDefault="00EF51F6" w:rsidP="003168B9">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كما أن تحليل الأثر في هذا النوع من المشاريع يواجه تحديًا إضافيًا يتمثل في تفاوت مستويات الإفصاح بين المشاريع، واختلاف مراحل التطوير والتشغيل، الأمر الذي يجعل من الضروري التمييز بين ثلاث طبقات تحليلية متداخلة: الالتزام المؤسسي المعلن، والمؤشر التشغيلي المنشور، والأثر البيئي طويل المدى. وغياب هذا التمييز قد يقود إلى أحكام مبسطة لا تعكس بدقة الواقع المؤسسي للمشاريع العملاقة.</w:t>
      </w:r>
    </w:p>
    <w:p w14:paraId="61D5C796" w14:textId="77777777" w:rsidR="00EF51F6" w:rsidRPr="00EF51F6" w:rsidRDefault="00EF51F6" w:rsidP="003168B9">
      <w:pPr>
        <w:spacing w:after="0" w:line="240" w:lineRule="auto"/>
        <w:jc w:val="both"/>
        <w:rPr>
          <w:rFonts w:ascii="Simplified Arabic" w:hAnsi="Simplified Arabic" w:cs="Simplified Arabic"/>
          <w:sz w:val="28"/>
          <w:szCs w:val="28"/>
          <w:rtl/>
        </w:rPr>
      </w:pPr>
    </w:p>
    <w:p w14:paraId="61569F2E" w14:textId="77777777" w:rsidR="00EF51F6" w:rsidRPr="00EF51F6" w:rsidRDefault="00EF51F6" w:rsidP="003168B9">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ويمكن إعادة صياغة مشكلة الدراسة بصورة أكثر عمقًا من خلال الإشارة إلى ثلاثة مستويات متداخلة من الإشكال. يتمثل المستوى الأول في الإشكال المعرفي، حيث ما تزال العلاقة بين الإدارة الخضراء والاستدامة البيئية في المشاريع العملاقة تُناقش في كثير من الأدبيات بوصفها علاقة عامة أو معيارية، دون تفكيك دقيق لكيفية تحول المبادئ البيئية إلى ممارسات مؤسسية قابلة للتحليل. أما المستوى الثاني فهو الإشكال المنهجي، ويتمثل في صعوبة التعامل مع “الأثر” في المشاريع الممتدة زمنيًا، خاصة عندما تتفاوت درجات الإفصاح بين حالة وأخرى، وعندما لا تكون البيانات التشغيلية النهائية متاحة بدرجة كافية. ويتمثل المستوى الثالث في الإشكال التطبيقي، حيث إن كثيرًا من الخطابات المؤسسية البيئية في المشاريع الكبرى تبدو طموحة ومتقدمة، إلا أن الحكم على نضجها الحقيقي يظل مرهونًا بقدرتها على إنتاج مؤشرات منتظمة، وخطوط أساس واضحة، وإفصاح يمكن تتبعه ومقارنته عبر الزمن.</w:t>
      </w:r>
    </w:p>
    <w:p w14:paraId="532591CF" w14:textId="77777777" w:rsidR="00EF51F6" w:rsidRPr="00EF51F6" w:rsidRDefault="00EF51F6" w:rsidP="003168B9">
      <w:pPr>
        <w:spacing w:after="0" w:line="240" w:lineRule="auto"/>
        <w:jc w:val="both"/>
        <w:rPr>
          <w:rFonts w:ascii="Simplified Arabic" w:hAnsi="Simplified Arabic" w:cs="Simplified Arabic"/>
          <w:sz w:val="28"/>
          <w:szCs w:val="28"/>
          <w:rtl/>
        </w:rPr>
      </w:pPr>
    </w:p>
    <w:p w14:paraId="635793D4" w14:textId="77777777" w:rsidR="00EF51F6" w:rsidRPr="00EF51F6" w:rsidRDefault="00EF51F6" w:rsidP="003168B9">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وعليه، تتمثل مشكلة الدراسة في محدودية الدراسات العربية المقارنة التي تفحص، من خلال تحليل وثائقي منظم، كيفية تحول الالتزامات البيئية المعلنة في المشاريع الهندسية العملاقة المرتبطة بمحفظة صندوق الاستثمارات العامة السعودي إلى ممارسات إدارية مؤسسية ومؤشرات استدامة بيئية قابلة للتتبع، مع التركيز على حالتي نيوم والبحر الأحمر الدولية.</w:t>
      </w:r>
    </w:p>
    <w:p w14:paraId="31CF1FDB" w14:textId="77777777" w:rsidR="00EF51F6" w:rsidRPr="00EF51F6" w:rsidRDefault="00EF51F6" w:rsidP="00EF51F6">
      <w:pPr>
        <w:spacing w:after="0" w:line="240" w:lineRule="auto"/>
        <w:rPr>
          <w:rFonts w:ascii="Simplified Arabic" w:hAnsi="Simplified Arabic" w:cs="Simplified Arabic"/>
          <w:sz w:val="28"/>
          <w:szCs w:val="28"/>
          <w:rtl/>
        </w:rPr>
      </w:pPr>
    </w:p>
    <w:p w14:paraId="7205E75A" w14:textId="77777777" w:rsidR="00EF51F6" w:rsidRPr="00E616DE" w:rsidRDefault="00EF51F6" w:rsidP="00EF51F6">
      <w:pPr>
        <w:spacing w:after="0" w:line="240" w:lineRule="auto"/>
        <w:rPr>
          <w:rFonts w:ascii="Simplified Arabic" w:hAnsi="Simplified Arabic" w:cs="Simplified Arabic"/>
          <w:b/>
          <w:bCs/>
          <w:sz w:val="36"/>
          <w:szCs w:val="36"/>
          <w:rtl/>
        </w:rPr>
      </w:pPr>
      <w:r w:rsidRPr="00E616DE">
        <w:rPr>
          <w:rFonts w:ascii="Simplified Arabic" w:hAnsi="Simplified Arabic" w:cs="Simplified Arabic"/>
          <w:b/>
          <w:bCs/>
          <w:sz w:val="36"/>
          <w:szCs w:val="36"/>
          <w:rtl/>
        </w:rPr>
        <w:t>1.3 أسئلة الدراسة</w:t>
      </w:r>
    </w:p>
    <w:p w14:paraId="67895CE2" w14:textId="77777777" w:rsidR="00EF51F6" w:rsidRPr="003168B9" w:rsidRDefault="00EF51F6" w:rsidP="00EF51F6">
      <w:pPr>
        <w:spacing w:after="0" w:line="240" w:lineRule="auto"/>
        <w:rPr>
          <w:rFonts w:ascii="Simplified Arabic" w:hAnsi="Simplified Arabic" w:cs="Simplified Arabic"/>
          <w:sz w:val="36"/>
          <w:szCs w:val="36"/>
          <w:rtl/>
        </w:rPr>
      </w:pPr>
    </w:p>
    <w:p w14:paraId="1BBD273D" w14:textId="77777777" w:rsidR="00EF51F6" w:rsidRPr="00026692" w:rsidRDefault="00EF51F6" w:rsidP="00EF51F6">
      <w:pPr>
        <w:spacing w:after="0" w:line="240" w:lineRule="auto"/>
        <w:rPr>
          <w:rFonts w:ascii="Simplified Arabic" w:hAnsi="Simplified Arabic" w:cs="Simplified Arabic"/>
          <w:b/>
          <w:bCs/>
          <w:sz w:val="28"/>
          <w:szCs w:val="28"/>
          <w:rtl/>
        </w:rPr>
      </w:pPr>
      <w:r w:rsidRPr="00026692">
        <w:rPr>
          <w:rFonts w:ascii="Simplified Arabic" w:hAnsi="Simplified Arabic" w:cs="Simplified Arabic"/>
          <w:b/>
          <w:bCs/>
          <w:sz w:val="28"/>
          <w:szCs w:val="28"/>
          <w:rtl/>
        </w:rPr>
        <w:t>السؤال الرئيس:</w:t>
      </w:r>
    </w:p>
    <w:p w14:paraId="42972088" w14:textId="6384AAB3" w:rsidR="00EF51F6" w:rsidRPr="00EF51F6" w:rsidRDefault="00026692" w:rsidP="00026692">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ما أثر تطبيق الإدارة الخضراء في تعزيز الاستدامة البيئية في المشاريع الهندسية العملاقة المرتبطة بمحفظة صندوق الاستثمارات العامة السعودي؟</w:t>
      </w:r>
    </w:p>
    <w:p w14:paraId="3AC7E549" w14:textId="77777777" w:rsidR="00EF51F6" w:rsidRPr="00EF51F6" w:rsidRDefault="00EF51F6" w:rsidP="00EF51F6">
      <w:pPr>
        <w:spacing w:after="0" w:line="240" w:lineRule="auto"/>
        <w:rPr>
          <w:rFonts w:ascii="Simplified Arabic" w:hAnsi="Simplified Arabic" w:cs="Simplified Arabic"/>
          <w:sz w:val="28"/>
          <w:szCs w:val="28"/>
          <w:rtl/>
        </w:rPr>
      </w:pPr>
    </w:p>
    <w:p w14:paraId="21B4003B" w14:textId="77777777" w:rsidR="00EF51F6" w:rsidRPr="00026692" w:rsidRDefault="00EF51F6" w:rsidP="00EF51F6">
      <w:pPr>
        <w:spacing w:after="0" w:line="240" w:lineRule="auto"/>
        <w:rPr>
          <w:rFonts w:ascii="Simplified Arabic" w:hAnsi="Simplified Arabic" w:cs="Simplified Arabic"/>
          <w:b/>
          <w:bCs/>
          <w:sz w:val="28"/>
          <w:szCs w:val="28"/>
          <w:rtl/>
        </w:rPr>
      </w:pPr>
      <w:r w:rsidRPr="00026692">
        <w:rPr>
          <w:rFonts w:ascii="Simplified Arabic" w:hAnsi="Simplified Arabic" w:cs="Simplified Arabic"/>
          <w:b/>
          <w:bCs/>
          <w:sz w:val="28"/>
          <w:szCs w:val="28"/>
          <w:rtl/>
        </w:rPr>
        <w:t>وتنبثق عنه الأسئلة الفرعية الآتية:</w:t>
      </w:r>
    </w:p>
    <w:p w14:paraId="1179A1B1"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ما المقصود بالإدارة الخضراء في سياق المشاريع الهندسية العملاقة؟</w:t>
      </w:r>
    </w:p>
    <w:p w14:paraId="023CB701"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ما أبرز مؤشرات الاستدامة البيئية ذات الصلة بالمشاريع العملاقة؟</w:t>
      </w:r>
    </w:p>
    <w:p w14:paraId="6E456193"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كيف تتجلى الإدارة الخضراء في الخطاب المؤسسي والممارسات المعلنة في نيوم والبحر الأحمر الدولية؟</w:t>
      </w:r>
    </w:p>
    <w:p w14:paraId="76BD37CB"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ما أوجه التشابه والاختلاف بين المشروعين في تطبيق الإدارة الخضراء؟</w:t>
      </w:r>
    </w:p>
    <w:p w14:paraId="54124D2C"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كيف ينعكس تطبيق الإدارة الخضراء على مؤشرات الاستدامة البيئية في الحالتين المدروستين؟</w:t>
      </w:r>
    </w:p>
    <w:p w14:paraId="5D277683"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ما أبرز التحديات التي قد تحد من تعظيم هذا الأثر؟</w:t>
      </w:r>
    </w:p>
    <w:p w14:paraId="4DFA5E26"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ما التوصيات التي يمكن أن تسهم في تطوير الإدارة الخضراء داخل المشاريع العملاقة في المملكة؟</w:t>
      </w:r>
    </w:p>
    <w:p w14:paraId="18FABA7D" w14:textId="77777777" w:rsidR="00EF51F6" w:rsidRPr="00EF51F6" w:rsidRDefault="00EF51F6" w:rsidP="00EF51F6">
      <w:pPr>
        <w:spacing w:after="0" w:line="240" w:lineRule="auto"/>
        <w:rPr>
          <w:rFonts w:ascii="Simplified Arabic" w:hAnsi="Simplified Arabic" w:cs="Simplified Arabic"/>
          <w:sz w:val="28"/>
          <w:szCs w:val="28"/>
        </w:rPr>
      </w:pPr>
    </w:p>
    <w:p w14:paraId="65D1095A" w14:textId="77777777" w:rsidR="00EF51F6" w:rsidRPr="00E616DE" w:rsidRDefault="00EF51F6" w:rsidP="00EF51F6">
      <w:pPr>
        <w:spacing w:after="0" w:line="240" w:lineRule="auto"/>
        <w:rPr>
          <w:rFonts w:ascii="Simplified Arabic" w:hAnsi="Simplified Arabic" w:cs="Simplified Arabic"/>
          <w:b/>
          <w:bCs/>
          <w:sz w:val="36"/>
          <w:szCs w:val="36"/>
          <w:rtl/>
        </w:rPr>
      </w:pPr>
      <w:r w:rsidRPr="00E616DE">
        <w:rPr>
          <w:rFonts w:ascii="Simplified Arabic" w:hAnsi="Simplified Arabic" w:cs="Simplified Arabic"/>
          <w:b/>
          <w:bCs/>
          <w:sz w:val="36"/>
          <w:szCs w:val="36"/>
          <w:rtl/>
        </w:rPr>
        <w:t>1.4 أهداف الدراسة</w:t>
      </w:r>
    </w:p>
    <w:p w14:paraId="1F60A786" w14:textId="77777777" w:rsidR="00EF51F6" w:rsidRPr="00026692" w:rsidRDefault="00EF51F6" w:rsidP="00EF51F6">
      <w:pPr>
        <w:spacing w:after="0" w:line="240" w:lineRule="auto"/>
        <w:rPr>
          <w:rFonts w:ascii="Simplified Arabic" w:hAnsi="Simplified Arabic" w:cs="Simplified Arabic"/>
          <w:sz w:val="36"/>
          <w:szCs w:val="36"/>
          <w:rtl/>
        </w:rPr>
      </w:pPr>
    </w:p>
    <w:p w14:paraId="5A0793BF" w14:textId="3263429C" w:rsidR="00EF51F6" w:rsidRPr="00EF51F6" w:rsidRDefault="00026692" w:rsidP="00EF51F6">
      <w:pPr>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تهدف هذه الدراسة إلى:</w:t>
      </w:r>
    </w:p>
    <w:p w14:paraId="6FBBFEF2" w14:textId="77777777" w:rsidR="00EF51F6" w:rsidRPr="00EF51F6" w:rsidRDefault="00EF51F6" w:rsidP="00EF51F6">
      <w:pPr>
        <w:spacing w:after="0" w:line="240" w:lineRule="auto"/>
        <w:rPr>
          <w:rFonts w:ascii="Simplified Arabic" w:hAnsi="Simplified Arabic" w:cs="Simplified Arabic"/>
          <w:sz w:val="28"/>
          <w:szCs w:val="28"/>
          <w:rtl/>
        </w:rPr>
      </w:pPr>
    </w:p>
    <w:p w14:paraId="1A306DB9" w14:textId="77777777" w:rsidR="00EF51F6" w:rsidRDefault="00EF51F6" w:rsidP="00026692">
      <w:pPr>
        <w:pStyle w:val="ListParagraph"/>
        <w:numPr>
          <w:ilvl w:val="0"/>
          <w:numId w:val="60"/>
        </w:numPr>
        <w:spacing w:after="0" w:line="240" w:lineRule="auto"/>
        <w:jc w:val="both"/>
        <w:rPr>
          <w:rFonts w:ascii="Simplified Arabic" w:hAnsi="Simplified Arabic" w:cs="Simplified Arabic"/>
          <w:sz w:val="28"/>
          <w:szCs w:val="28"/>
        </w:rPr>
      </w:pPr>
      <w:r w:rsidRPr="00026692">
        <w:rPr>
          <w:rFonts w:ascii="Simplified Arabic" w:hAnsi="Simplified Arabic" w:cs="Simplified Arabic"/>
          <w:sz w:val="28"/>
          <w:szCs w:val="28"/>
          <w:rtl/>
        </w:rPr>
        <w:t>تأصيل مفهوم الإدارة الخضراء في سياق المشاريع الهندسية العملاقة.</w:t>
      </w:r>
    </w:p>
    <w:p w14:paraId="4EEE0396" w14:textId="77777777" w:rsidR="00EF51F6" w:rsidRDefault="00EF51F6" w:rsidP="00026692">
      <w:pPr>
        <w:pStyle w:val="ListParagraph"/>
        <w:numPr>
          <w:ilvl w:val="0"/>
          <w:numId w:val="60"/>
        </w:numPr>
        <w:spacing w:after="0" w:line="240" w:lineRule="auto"/>
        <w:jc w:val="both"/>
        <w:rPr>
          <w:rFonts w:ascii="Simplified Arabic" w:hAnsi="Simplified Arabic" w:cs="Simplified Arabic"/>
          <w:sz w:val="28"/>
          <w:szCs w:val="28"/>
        </w:rPr>
      </w:pPr>
      <w:r w:rsidRPr="00026692">
        <w:rPr>
          <w:rFonts w:ascii="Simplified Arabic" w:hAnsi="Simplified Arabic" w:cs="Simplified Arabic"/>
          <w:sz w:val="28"/>
          <w:szCs w:val="28"/>
          <w:rtl/>
        </w:rPr>
        <w:t>تحديد مفهوم الاستدامة البيئية ومؤشراتها الرئيسة ذات الصلة بدورة حياة المشروع.</w:t>
      </w:r>
    </w:p>
    <w:p w14:paraId="0285CA2A" w14:textId="77777777" w:rsidR="00026692" w:rsidRDefault="00EF51F6" w:rsidP="00026692">
      <w:pPr>
        <w:pStyle w:val="ListParagraph"/>
        <w:numPr>
          <w:ilvl w:val="0"/>
          <w:numId w:val="60"/>
        </w:numPr>
        <w:spacing w:after="0" w:line="240" w:lineRule="auto"/>
        <w:jc w:val="both"/>
        <w:rPr>
          <w:rFonts w:ascii="Simplified Arabic" w:hAnsi="Simplified Arabic" w:cs="Simplified Arabic"/>
          <w:sz w:val="28"/>
          <w:szCs w:val="28"/>
        </w:rPr>
      </w:pPr>
      <w:r w:rsidRPr="00026692">
        <w:rPr>
          <w:rFonts w:ascii="Simplified Arabic" w:hAnsi="Simplified Arabic" w:cs="Simplified Arabic"/>
          <w:sz w:val="28"/>
          <w:szCs w:val="28"/>
          <w:rtl/>
        </w:rPr>
        <w:t>تحليل حضور الإدارة الخضراء في مشروعي نيوم والبحر الأحمر الدولية اعتمادًا على الوثائق والمصادر الرسمية.</w:t>
      </w:r>
    </w:p>
    <w:p w14:paraId="21C6A157" w14:textId="2B8E05EB" w:rsidR="00EF51F6" w:rsidRDefault="00EF51F6" w:rsidP="00026692">
      <w:pPr>
        <w:pStyle w:val="ListParagraph"/>
        <w:numPr>
          <w:ilvl w:val="0"/>
          <w:numId w:val="60"/>
        </w:numPr>
        <w:spacing w:after="0" w:line="240" w:lineRule="auto"/>
        <w:jc w:val="both"/>
        <w:rPr>
          <w:rFonts w:ascii="Simplified Arabic" w:hAnsi="Simplified Arabic" w:cs="Simplified Arabic"/>
          <w:sz w:val="28"/>
          <w:szCs w:val="28"/>
        </w:rPr>
      </w:pPr>
      <w:r w:rsidRPr="00026692">
        <w:rPr>
          <w:rFonts w:ascii="Simplified Arabic" w:hAnsi="Simplified Arabic" w:cs="Simplified Arabic"/>
          <w:sz w:val="28"/>
          <w:szCs w:val="28"/>
          <w:rtl/>
        </w:rPr>
        <w:t>تفسير الكيفية التي ترتبط بها الإدارة الخضراء بتحقيق الاستدامة البيئية في الحالتين المدروستين.</w:t>
      </w:r>
    </w:p>
    <w:p w14:paraId="5C284A57" w14:textId="77777777" w:rsidR="00EF51F6" w:rsidRDefault="00EF51F6" w:rsidP="00026692">
      <w:pPr>
        <w:pStyle w:val="ListParagraph"/>
        <w:numPr>
          <w:ilvl w:val="0"/>
          <w:numId w:val="60"/>
        </w:numPr>
        <w:spacing w:after="0" w:line="240" w:lineRule="auto"/>
        <w:jc w:val="both"/>
        <w:rPr>
          <w:rFonts w:ascii="Simplified Arabic" w:hAnsi="Simplified Arabic" w:cs="Simplified Arabic"/>
          <w:sz w:val="28"/>
          <w:szCs w:val="28"/>
        </w:rPr>
      </w:pPr>
      <w:r w:rsidRPr="00026692">
        <w:rPr>
          <w:rFonts w:ascii="Simplified Arabic" w:hAnsi="Simplified Arabic" w:cs="Simplified Arabic"/>
          <w:sz w:val="28"/>
          <w:szCs w:val="28"/>
          <w:rtl/>
        </w:rPr>
        <w:t>إجراء مقارنة تحليلية بين المشروعين في الأهداف والممارسات والمخرجات البيئية المعلنة.</w:t>
      </w:r>
    </w:p>
    <w:p w14:paraId="67D53C75" w14:textId="77777777" w:rsidR="00026692" w:rsidRDefault="00EF51F6" w:rsidP="00026692">
      <w:pPr>
        <w:pStyle w:val="ListParagraph"/>
        <w:numPr>
          <w:ilvl w:val="0"/>
          <w:numId w:val="60"/>
        </w:numPr>
        <w:spacing w:after="0" w:line="240" w:lineRule="auto"/>
        <w:jc w:val="both"/>
        <w:rPr>
          <w:rFonts w:ascii="Simplified Arabic" w:hAnsi="Simplified Arabic" w:cs="Simplified Arabic"/>
          <w:sz w:val="28"/>
          <w:szCs w:val="28"/>
        </w:rPr>
      </w:pPr>
      <w:r w:rsidRPr="00026692">
        <w:rPr>
          <w:rFonts w:ascii="Simplified Arabic" w:hAnsi="Simplified Arabic" w:cs="Simplified Arabic"/>
          <w:sz w:val="28"/>
          <w:szCs w:val="28"/>
          <w:rtl/>
        </w:rPr>
        <w:t>تحديد الجوانب التي ما تزال بحاجة إلى تطوير من حيث الحوكمة والقياس والإفصاح.</w:t>
      </w:r>
    </w:p>
    <w:p w14:paraId="1CA66AA3" w14:textId="55A64C98" w:rsidR="00EF51F6" w:rsidRPr="00026692" w:rsidRDefault="00EF51F6" w:rsidP="00026692">
      <w:pPr>
        <w:pStyle w:val="ListParagraph"/>
        <w:numPr>
          <w:ilvl w:val="0"/>
          <w:numId w:val="60"/>
        </w:numPr>
        <w:spacing w:after="0" w:line="240" w:lineRule="auto"/>
        <w:jc w:val="both"/>
        <w:rPr>
          <w:rFonts w:ascii="Simplified Arabic" w:hAnsi="Simplified Arabic" w:cs="Simplified Arabic"/>
          <w:sz w:val="28"/>
          <w:szCs w:val="28"/>
          <w:rtl/>
        </w:rPr>
      </w:pPr>
      <w:r w:rsidRPr="00026692">
        <w:rPr>
          <w:rFonts w:ascii="Simplified Arabic" w:hAnsi="Simplified Arabic" w:cs="Simplified Arabic"/>
          <w:sz w:val="28"/>
          <w:szCs w:val="28"/>
          <w:rtl/>
        </w:rPr>
        <w:t>تقديم توصيات عملية قابلة للاستفادة في المشاريع العملاقة الحالية والمستقبلية.</w:t>
      </w:r>
    </w:p>
    <w:p w14:paraId="3755C203" w14:textId="77777777" w:rsidR="00EF51F6" w:rsidRPr="00EF51F6" w:rsidRDefault="00EF51F6" w:rsidP="00EF51F6">
      <w:pPr>
        <w:spacing w:after="0" w:line="240" w:lineRule="auto"/>
        <w:rPr>
          <w:rFonts w:ascii="Simplified Arabic" w:hAnsi="Simplified Arabic" w:cs="Simplified Arabic"/>
          <w:sz w:val="28"/>
          <w:szCs w:val="28"/>
          <w:rtl/>
        </w:rPr>
      </w:pPr>
    </w:p>
    <w:p w14:paraId="7000BBE9" w14:textId="77777777" w:rsidR="00EF51F6" w:rsidRPr="00E616DE" w:rsidRDefault="00EF51F6" w:rsidP="00EF51F6">
      <w:pPr>
        <w:spacing w:after="0" w:line="240" w:lineRule="auto"/>
        <w:rPr>
          <w:rFonts w:ascii="Simplified Arabic" w:hAnsi="Simplified Arabic" w:cs="Simplified Arabic"/>
          <w:b/>
          <w:bCs/>
          <w:sz w:val="36"/>
          <w:szCs w:val="36"/>
          <w:rtl/>
        </w:rPr>
      </w:pPr>
      <w:r w:rsidRPr="00E616DE">
        <w:rPr>
          <w:rFonts w:ascii="Simplified Arabic" w:hAnsi="Simplified Arabic" w:cs="Simplified Arabic"/>
          <w:b/>
          <w:bCs/>
          <w:sz w:val="36"/>
          <w:szCs w:val="36"/>
          <w:rtl/>
        </w:rPr>
        <w:t>1.5 أهمية الدراسة</w:t>
      </w:r>
    </w:p>
    <w:p w14:paraId="6735DD24" w14:textId="77777777" w:rsidR="00EF51F6" w:rsidRPr="00026692" w:rsidRDefault="00EF51F6" w:rsidP="00EF51F6">
      <w:pPr>
        <w:spacing w:after="0" w:line="240" w:lineRule="auto"/>
        <w:rPr>
          <w:rFonts w:ascii="Simplified Arabic" w:hAnsi="Simplified Arabic" w:cs="Simplified Arabic"/>
          <w:sz w:val="36"/>
          <w:szCs w:val="36"/>
          <w:rtl/>
        </w:rPr>
      </w:pPr>
    </w:p>
    <w:p w14:paraId="1871A5E4" w14:textId="3A2304A8" w:rsidR="00EF51F6" w:rsidRPr="00EF51F6" w:rsidRDefault="00026692" w:rsidP="00026692">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تنبع الأهمية العلمية لهذه الدراسة من أنها تعالج موضوعًا معاصرًا يتقاطع فيه علم إدارة المشاريع مع الإدارة البيئية والاستدامة المؤسسية، كما أنها تسهم في سد نقص نسبي في الدراسات العربية التطبيقية التي تتناول الإدارة الخضراء داخل المشاريع العملاقة في السياق السعودي، وبخاصة الدراسات المقارنة التي تجمع بين التحليل المفاهيمي والتحليل الوثائقي التطبيقي.</w:t>
      </w:r>
    </w:p>
    <w:p w14:paraId="5AF5E050" w14:textId="77777777" w:rsidR="00EF51F6" w:rsidRPr="00EF51F6" w:rsidRDefault="00EF51F6" w:rsidP="00026692">
      <w:pPr>
        <w:spacing w:after="0" w:line="240" w:lineRule="auto"/>
        <w:jc w:val="both"/>
        <w:rPr>
          <w:rFonts w:ascii="Simplified Arabic" w:hAnsi="Simplified Arabic" w:cs="Simplified Arabic"/>
          <w:sz w:val="28"/>
          <w:szCs w:val="28"/>
          <w:rtl/>
        </w:rPr>
      </w:pPr>
    </w:p>
    <w:p w14:paraId="25AB37A7"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أما أهميتها التطبيقية، فتتمثل في أنها تقدم قراءة منظمة ومقارنة لواقع الالتزامات البيئية والممارسات الخضراء في حالتين من أبرز المشروعات السعودية، بما يفيد مديري المشاريع، وممارسي الاستدامة، وصناع القرار، والباحثين الأكاديميين، من خلال إبراز الفروق بين أنماط التعبير المؤسسي عن الإدارة الخضراء، والتمييز بين النضج التصميمي البنيوي والنضج الإفصاحي التنفيذي.</w:t>
      </w:r>
    </w:p>
    <w:p w14:paraId="3482CC4C" w14:textId="77777777" w:rsidR="00EF51F6" w:rsidRPr="00EF51F6" w:rsidRDefault="00EF51F6" w:rsidP="00026692">
      <w:pPr>
        <w:spacing w:after="0" w:line="240" w:lineRule="auto"/>
        <w:jc w:val="both"/>
        <w:rPr>
          <w:rFonts w:ascii="Simplified Arabic" w:hAnsi="Simplified Arabic" w:cs="Simplified Arabic"/>
          <w:sz w:val="28"/>
          <w:szCs w:val="28"/>
          <w:rtl/>
        </w:rPr>
      </w:pPr>
    </w:p>
    <w:p w14:paraId="18E45627"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وتنبع أهميتها الوطنية من توافقها مع التوجهات السعودية نحو التنويع الاقتصادي والاستدامة البيئية، وارتباطها بمشروعات يشرف عليها صندوق الاستثمارات العامة عبر محفظته الاستثمارية وأطره التمويلية، وهو ما يعزز أهمية تحليل العلاقة بين توجهات الاستثمار الكبرى ومتطلبات الإدارة البيئية الحديثة (</w:t>
      </w:r>
      <w:r w:rsidRPr="00EF51F6">
        <w:rPr>
          <w:rFonts w:ascii="Simplified Arabic" w:hAnsi="Simplified Arabic" w:cs="Simplified Arabic"/>
          <w:sz w:val="28"/>
          <w:szCs w:val="28"/>
        </w:rPr>
        <w:t>PIF, 2024; PIF, 2025a</w:t>
      </w:r>
      <w:r w:rsidRPr="00EF51F6">
        <w:rPr>
          <w:rFonts w:ascii="Simplified Arabic" w:hAnsi="Simplified Arabic" w:cs="Simplified Arabic"/>
          <w:sz w:val="28"/>
          <w:szCs w:val="28"/>
          <w:rtl/>
        </w:rPr>
        <w:t>).</w:t>
      </w:r>
    </w:p>
    <w:p w14:paraId="0AC9E825" w14:textId="77777777" w:rsidR="00EF51F6" w:rsidRPr="00EF51F6" w:rsidRDefault="00EF51F6" w:rsidP="00026692">
      <w:pPr>
        <w:spacing w:after="0" w:line="240" w:lineRule="auto"/>
        <w:jc w:val="both"/>
        <w:rPr>
          <w:rFonts w:ascii="Simplified Arabic" w:hAnsi="Simplified Arabic" w:cs="Simplified Arabic"/>
          <w:sz w:val="28"/>
          <w:szCs w:val="28"/>
          <w:rtl/>
        </w:rPr>
      </w:pPr>
    </w:p>
    <w:p w14:paraId="7EDB7BF9"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كما تتأكد أهمية هذه الدراسة من أنها لا تتعامل مع الإدارة الخضراء بوصفها مجرد مجموعة مبادرات بيئية منفصلة، بل بوصفها نمطًا إداريًا يمكن أن يعيد تشكيل منطق المشروع العملاق نفسه. ومن ثم، فإنها تقدم قيمة تتجاوز الوصف، إذ تسهم في تفسير الكيفية التي يصبح بها البعد البيئي جزءًا من الحوكمة، والتمويل، والتخطيط، والتشغيل، والإفصاح، وهو ما يجعلها ذات فائدة للباحثين والممارسين وصناع القرار على حد سواء.</w:t>
      </w:r>
    </w:p>
    <w:p w14:paraId="453009ED" w14:textId="77777777" w:rsidR="00EF51F6" w:rsidRPr="00EF51F6" w:rsidRDefault="00EF51F6" w:rsidP="00EF51F6">
      <w:pPr>
        <w:spacing w:after="0" w:line="240" w:lineRule="auto"/>
        <w:rPr>
          <w:rFonts w:ascii="Simplified Arabic" w:hAnsi="Simplified Arabic" w:cs="Simplified Arabic"/>
          <w:sz w:val="28"/>
          <w:szCs w:val="28"/>
          <w:rtl/>
        </w:rPr>
      </w:pPr>
    </w:p>
    <w:p w14:paraId="5EF99659" w14:textId="77777777" w:rsidR="00EF51F6" w:rsidRPr="00E616DE" w:rsidRDefault="00EF51F6" w:rsidP="00EF51F6">
      <w:pPr>
        <w:spacing w:after="0" w:line="240" w:lineRule="auto"/>
        <w:rPr>
          <w:rFonts w:ascii="Simplified Arabic" w:hAnsi="Simplified Arabic" w:cs="Simplified Arabic"/>
          <w:b/>
          <w:bCs/>
          <w:sz w:val="36"/>
          <w:szCs w:val="36"/>
          <w:rtl/>
        </w:rPr>
      </w:pPr>
      <w:r w:rsidRPr="00E616DE">
        <w:rPr>
          <w:rFonts w:ascii="Simplified Arabic" w:hAnsi="Simplified Arabic" w:cs="Simplified Arabic"/>
          <w:b/>
          <w:bCs/>
          <w:sz w:val="36"/>
          <w:szCs w:val="36"/>
          <w:rtl/>
        </w:rPr>
        <w:t>1.6 حدود الدراسة</w:t>
      </w:r>
    </w:p>
    <w:p w14:paraId="2809B896" w14:textId="77777777" w:rsidR="00EF51F6" w:rsidRPr="00026692" w:rsidRDefault="00EF51F6" w:rsidP="00EF51F6">
      <w:pPr>
        <w:spacing w:after="0" w:line="240" w:lineRule="auto"/>
        <w:rPr>
          <w:rFonts w:ascii="Simplified Arabic" w:hAnsi="Simplified Arabic" w:cs="Simplified Arabic"/>
          <w:sz w:val="36"/>
          <w:szCs w:val="36"/>
          <w:rtl/>
        </w:rPr>
      </w:pPr>
    </w:p>
    <w:p w14:paraId="17FB2DAF" w14:textId="77777777" w:rsidR="00EF51F6" w:rsidRPr="00026692" w:rsidRDefault="00EF51F6" w:rsidP="00026692">
      <w:pPr>
        <w:spacing w:after="0" w:line="240" w:lineRule="auto"/>
        <w:jc w:val="both"/>
        <w:rPr>
          <w:rFonts w:ascii="Simplified Arabic" w:hAnsi="Simplified Arabic" w:cs="Simplified Arabic"/>
          <w:b/>
          <w:bCs/>
          <w:sz w:val="28"/>
          <w:szCs w:val="28"/>
          <w:rtl/>
        </w:rPr>
      </w:pPr>
      <w:r w:rsidRPr="00026692">
        <w:rPr>
          <w:rFonts w:ascii="Simplified Arabic" w:hAnsi="Simplified Arabic" w:cs="Simplified Arabic"/>
          <w:b/>
          <w:bCs/>
          <w:sz w:val="28"/>
          <w:szCs w:val="28"/>
          <w:rtl/>
        </w:rPr>
        <w:t>الحدود الموضوعية:</w:t>
      </w:r>
    </w:p>
    <w:p w14:paraId="1A14483A"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تقتصر الدراسة على تحليل أثر الإدارة الخضراء على الاستدامة البيئية، دون التوسع في الأبعاد الاقتصادية والاجتماعية إلا بقدر ما يخدم التفسير.</w:t>
      </w:r>
    </w:p>
    <w:p w14:paraId="17238EA6" w14:textId="77777777" w:rsidR="00EF51F6" w:rsidRPr="00EF51F6" w:rsidRDefault="00EF51F6" w:rsidP="00026692">
      <w:pPr>
        <w:spacing w:after="0" w:line="240" w:lineRule="auto"/>
        <w:jc w:val="both"/>
        <w:rPr>
          <w:rFonts w:ascii="Simplified Arabic" w:hAnsi="Simplified Arabic" w:cs="Simplified Arabic"/>
          <w:sz w:val="28"/>
          <w:szCs w:val="28"/>
          <w:rtl/>
        </w:rPr>
      </w:pPr>
    </w:p>
    <w:p w14:paraId="4A2424E9" w14:textId="77777777" w:rsidR="00EF51F6" w:rsidRPr="00026692" w:rsidRDefault="00EF51F6" w:rsidP="00026692">
      <w:pPr>
        <w:spacing w:after="0" w:line="240" w:lineRule="auto"/>
        <w:jc w:val="both"/>
        <w:rPr>
          <w:rFonts w:ascii="Simplified Arabic" w:hAnsi="Simplified Arabic" w:cs="Simplified Arabic"/>
          <w:b/>
          <w:bCs/>
          <w:sz w:val="28"/>
          <w:szCs w:val="28"/>
          <w:rtl/>
        </w:rPr>
      </w:pPr>
      <w:r w:rsidRPr="00026692">
        <w:rPr>
          <w:rFonts w:ascii="Simplified Arabic" w:hAnsi="Simplified Arabic" w:cs="Simplified Arabic"/>
          <w:b/>
          <w:bCs/>
          <w:sz w:val="28"/>
          <w:szCs w:val="28"/>
          <w:rtl/>
        </w:rPr>
        <w:t>الحدود المكانية:</w:t>
      </w:r>
    </w:p>
    <w:p w14:paraId="67A8D7BB"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تقتصر الدراسة على حالتي نيوم والبحر الأحمر الدولية بوصفهما من أبرز المشاريع الهندسية العملاقة المرتبطة بمحفظة صندوق الاستثمارات العامة.</w:t>
      </w:r>
    </w:p>
    <w:p w14:paraId="53692003" w14:textId="77777777" w:rsidR="00EF51F6" w:rsidRPr="00EF51F6" w:rsidRDefault="00EF51F6" w:rsidP="00026692">
      <w:pPr>
        <w:spacing w:after="0" w:line="240" w:lineRule="auto"/>
        <w:jc w:val="both"/>
        <w:rPr>
          <w:rFonts w:ascii="Simplified Arabic" w:hAnsi="Simplified Arabic" w:cs="Simplified Arabic"/>
          <w:sz w:val="28"/>
          <w:szCs w:val="28"/>
          <w:rtl/>
        </w:rPr>
      </w:pPr>
    </w:p>
    <w:p w14:paraId="02FDEF55" w14:textId="77777777" w:rsidR="00EF51F6" w:rsidRPr="00026692" w:rsidRDefault="00EF51F6" w:rsidP="00026692">
      <w:pPr>
        <w:spacing w:after="0" w:line="240" w:lineRule="auto"/>
        <w:jc w:val="both"/>
        <w:rPr>
          <w:rFonts w:ascii="Simplified Arabic" w:hAnsi="Simplified Arabic" w:cs="Simplified Arabic"/>
          <w:b/>
          <w:bCs/>
          <w:sz w:val="28"/>
          <w:szCs w:val="28"/>
          <w:rtl/>
        </w:rPr>
      </w:pPr>
      <w:r w:rsidRPr="00026692">
        <w:rPr>
          <w:rFonts w:ascii="Simplified Arabic" w:hAnsi="Simplified Arabic" w:cs="Simplified Arabic"/>
          <w:b/>
          <w:bCs/>
          <w:sz w:val="28"/>
          <w:szCs w:val="28"/>
          <w:rtl/>
        </w:rPr>
        <w:t>الحدود الزمنية:</w:t>
      </w:r>
    </w:p>
    <w:p w14:paraId="62D333FE"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تعتمد الدراسة على الوثائق والمصادر الرسمية المتاحة حتى مارس 2026.</w:t>
      </w:r>
    </w:p>
    <w:p w14:paraId="5B7E863E" w14:textId="77777777" w:rsidR="00EF51F6" w:rsidRPr="00EF51F6" w:rsidRDefault="00EF51F6" w:rsidP="00026692">
      <w:pPr>
        <w:spacing w:after="0" w:line="240" w:lineRule="auto"/>
        <w:jc w:val="both"/>
        <w:rPr>
          <w:rFonts w:ascii="Simplified Arabic" w:hAnsi="Simplified Arabic" w:cs="Simplified Arabic"/>
          <w:sz w:val="28"/>
          <w:szCs w:val="28"/>
          <w:rtl/>
        </w:rPr>
      </w:pPr>
    </w:p>
    <w:p w14:paraId="1FF0E9BE" w14:textId="77777777" w:rsidR="00EF51F6" w:rsidRPr="00026692" w:rsidRDefault="00EF51F6" w:rsidP="00026692">
      <w:pPr>
        <w:spacing w:after="0" w:line="240" w:lineRule="auto"/>
        <w:jc w:val="both"/>
        <w:rPr>
          <w:rFonts w:ascii="Simplified Arabic" w:hAnsi="Simplified Arabic" w:cs="Simplified Arabic"/>
          <w:b/>
          <w:bCs/>
          <w:sz w:val="28"/>
          <w:szCs w:val="28"/>
          <w:rtl/>
        </w:rPr>
      </w:pPr>
      <w:r w:rsidRPr="00026692">
        <w:rPr>
          <w:rFonts w:ascii="Simplified Arabic" w:hAnsi="Simplified Arabic" w:cs="Simplified Arabic"/>
          <w:b/>
          <w:bCs/>
          <w:sz w:val="28"/>
          <w:szCs w:val="28"/>
          <w:rtl/>
        </w:rPr>
        <w:t>الحدود المنهجية:</w:t>
      </w:r>
    </w:p>
    <w:p w14:paraId="7843E31B"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تقوم الدراسة على التحليل الوثائقي المقارن، ولا تتضمن مسحًا ميدانيًا أو استبانة مطبقة فعليًا على المشاركين.</w:t>
      </w:r>
    </w:p>
    <w:p w14:paraId="61045F45" w14:textId="77777777" w:rsidR="00026692" w:rsidRDefault="00026692" w:rsidP="00EF51F6">
      <w:pPr>
        <w:spacing w:after="0" w:line="240" w:lineRule="auto"/>
        <w:rPr>
          <w:rFonts w:ascii="Simplified Arabic" w:hAnsi="Simplified Arabic" w:cs="Simplified Arabic"/>
          <w:sz w:val="28"/>
          <w:szCs w:val="28"/>
          <w:rtl/>
        </w:rPr>
      </w:pPr>
    </w:p>
    <w:p w14:paraId="2CBD8C67" w14:textId="77777777" w:rsidR="00026692" w:rsidRPr="00026692" w:rsidRDefault="00026692" w:rsidP="00EF51F6">
      <w:pPr>
        <w:spacing w:after="0" w:line="240" w:lineRule="auto"/>
        <w:rPr>
          <w:rFonts w:ascii="Simplified Arabic" w:hAnsi="Simplified Arabic" w:cs="Simplified Arabic"/>
          <w:sz w:val="72"/>
          <w:szCs w:val="72"/>
          <w:rtl/>
        </w:rPr>
      </w:pPr>
    </w:p>
    <w:p w14:paraId="5DE2BEC1" w14:textId="77777777" w:rsidR="00EF51F6" w:rsidRPr="00E616DE" w:rsidRDefault="00EF51F6" w:rsidP="00EF51F6">
      <w:pPr>
        <w:spacing w:after="0" w:line="240" w:lineRule="auto"/>
        <w:rPr>
          <w:rFonts w:ascii="Simplified Arabic" w:hAnsi="Simplified Arabic" w:cs="Simplified Arabic"/>
          <w:b/>
          <w:bCs/>
          <w:sz w:val="36"/>
          <w:szCs w:val="36"/>
          <w:rtl/>
        </w:rPr>
      </w:pPr>
      <w:r w:rsidRPr="00E616DE">
        <w:rPr>
          <w:rFonts w:ascii="Simplified Arabic" w:hAnsi="Simplified Arabic" w:cs="Simplified Arabic"/>
          <w:b/>
          <w:bCs/>
          <w:sz w:val="36"/>
          <w:szCs w:val="36"/>
          <w:rtl/>
        </w:rPr>
        <w:t>1.7 مصطلحات الدراسة</w:t>
      </w:r>
    </w:p>
    <w:p w14:paraId="5EBCD29F" w14:textId="77777777" w:rsidR="00EF51F6" w:rsidRPr="00026692" w:rsidRDefault="00EF51F6" w:rsidP="00EF51F6">
      <w:pPr>
        <w:spacing w:after="0" w:line="240" w:lineRule="auto"/>
        <w:rPr>
          <w:rFonts w:ascii="Simplified Arabic" w:hAnsi="Simplified Arabic" w:cs="Simplified Arabic"/>
          <w:sz w:val="36"/>
          <w:szCs w:val="36"/>
          <w:rtl/>
        </w:rPr>
      </w:pPr>
    </w:p>
    <w:p w14:paraId="0CE8F5CE" w14:textId="77777777" w:rsidR="00EF51F6" w:rsidRPr="00026692" w:rsidRDefault="00EF51F6" w:rsidP="00026692">
      <w:pPr>
        <w:spacing w:after="0" w:line="240" w:lineRule="auto"/>
        <w:jc w:val="both"/>
        <w:rPr>
          <w:rFonts w:ascii="Simplified Arabic" w:hAnsi="Simplified Arabic" w:cs="Simplified Arabic"/>
          <w:b/>
          <w:bCs/>
          <w:sz w:val="28"/>
          <w:szCs w:val="28"/>
          <w:rtl/>
        </w:rPr>
      </w:pPr>
      <w:r w:rsidRPr="00026692">
        <w:rPr>
          <w:rFonts w:ascii="Simplified Arabic" w:hAnsi="Simplified Arabic" w:cs="Simplified Arabic"/>
          <w:b/>
          <w:bCs/>
          <w:sz w:val="28"/>
          <w:szCs w:val="28"/>
          <w:rtl/>
        </w:rPr>
        <w:t>الإدارة الخضراء:</w:t>
      </w:r>
    </w:p>
    <w:p w14:paraId="602AA3B8"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مجموعة السياسات والعمليات والقرارات الإدارية التي تدمج الاعتبارات البيئية في التخطيط والتصميم والتنفيذ والتشغيل والرقابة، بهدف تقليل الأثر البيئي وتحسين كفاءة الموارد.</w:t>
      </w:r>
    </w:p>
    <w:p w14:paraId="5ED7B969" w14:textId="77777777" w:rsidR="00EF51F6" w:rsidRPr="00EF51F6" w:rsidRDefault="00EF51F6" w:rsidP="00026692">
      <w:pPr>
        <w:spacing w:after="0" w:line="240" w:lineRule="auto"/>
        <w:jc w:val="both"/>
        <w:rPr>
          <w:rFonts w:ascii="Simplified Arabic" w:hAnsi="Simplified Arabic" w:cs="Simplified Arabic"/>
          <w:sz w:val="28"/>
          <w:szCs w:val="28"/>
          <w:rtl/>
        </w:rPr>
      </w:pPr>
    </w:p>
    <w:p w14:paraId="14F0DCBF" w14:textId="77777777" w:rsidR="00EF51F6" w:rsidRPr="00026692" w:rsidRDefault="00EF51F6" w:rsidP="00026692">
      <w:pPr>
        <w:spacing w:after="0" w:line="240" w:lineRule="auto"/>
        <w:jc w:val="both"/>
        <w:rPr>
          <w:rFonts w:ascii="Simplified Arabic" w:hAnsi="Simplified Arabic" w:cs="Simplified Arabic"/>
          <w:b/>
          <w:bCs/>
          <w:sz w:val="28"/>
          <w:szCs w:val="28"/>
          <w:rtl/>
        </w:rPr>
      </w:pPr>
      <w:r w:rsidRPr="00026692">
        <w:rPr>
          <w:rFonts w:ascii="Simplified Arabic" w:hAnsi="Simplified Arabic" w:cs="Simplified Arabic"/>
          <w:b/>
          <w:bCs/>
          <w:sz w:val="28"/>
          <w:szCs w:val="28"/>
          <w:rtl/>
        </w:rPr>
        <w:t>الاستدامة البيئية:</w:t>
      </w:r>
    </w:p>
    <w:p w14:paraId="77513891"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قدرة المشروع على تقليل استنزاف الموارد، وخفض التلوث والانبعاثات، وإدارة المياه والطاقة والمواد بكفاءة، وحماية النظم الطبيعية على المدى الطويل.</w:t>
      </w:r>
    </w:p>
    <w:p w14:paraId="01F400D3" w14:textId="77777777" w:rsidR="00EF51F6" w:rsidRPr="00EF51F6" w:rsidRDefault="00EF51F6" w:rsidP="00026692">
      <w:pPr>
        <w:spacing w:after="0" w:line="240" w:lineRule="auto"/>
        <w:jc w:val="both"/>
        <w:rPr>
          <w:rFonts w:ascii="Simplified Arabic" w:hAnsi="Simplified Arabic" w:cs="Simplified Arabic"/>
          <w:sz w:val="28"/>
          <w:szCs w:val="28"/>
          <w:rtl/>
        </w:rPr>
      </w:pPr>
    </w:p>
    <w:p w14:paraId="08D052BB" w14:textId="77777777" w:rsidR="00EF51F6" w:rsidRPr="00026692" w:rsidRDefault="00EF51F6" w:rsidP="00026692">
      <w:pPr>
        <w:spacing w:after="0" w:line="240" w:lineRule="auto"/>
        <w:jc w:val="both"/>
        <w:rPr>
          <w:rFonts w:ascii="Simplified Arabic" w:hAnsi="Simplified Arabic" w:cs="Simplified Arabic"/>
          <w:b/>
          <w:bCs/>
          <w:sz w:val="28"/>
          <w:szCs w:val="28"/>
          <w:rtl/>
        </w:rPr>
      </w:pPr>
      <w:r w:rsidRPr="00026692">
        <w:rPr>
          <w:rFonts w:ascii="Simplified Arabic" w:hAnsi="Simplified Arabic" w:cs="Simplified Arabic"/>
          <w:b/>
          <w:bCs/>
          <w:sz w:val="28"/>
          <w:szCs w:val="28"/>
          <w:rtl/>
        </w:rPr>
        <w:t>المشاريع الهندسية العملاقة:</w:t>
      </w:r>
    </w:p>
    <w:p w14:paraId="3B028CA1" w14:textId="77777777" w:rsidR="00EF51F6" w:rsidRPr="00EF51F6" w:rsidRDefault="00EF51F6" w:rsidP="0002669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مشروعات واسعة النطاق، مرتفعة الكلفة، طويلة الأمد، متعددة الأطراف، عالية التعقيد، وينتج عنها أثر اقتصادي وعمراني وبيئي كبير.</w:t>
      </w:r>
    </w:p>
    <w:p w14:paraId="6BD9CBE7" w14:textId="77777777" w:rsidR="00EF51F6" w:rsidRPr="00EF51F6" w:rsidRDefault="00EF51F6" w:rsidP="00EF51F6">
      <w:pPr>
        <w:spacing w:after="0" w:line="240" w:lineRule="auto"/>
        <w:rPr>
          <w:rFonts w:ascii="Simplified Arabic" w:hAnsi="Simplified Arabic" w:cs="Simplified Arabic"/>
          <w:sz w:val="28"/>
          <w:szCs w:val="28"/>
          <w:rtl/>
        </w:rPr>
      </w:pPr>
    </w:p>
    <w:p w14:paraId="1D703C27" w14:textId="77777777" w:rsidR="00EF51F6" w:rsidRPr="00E616DE" w:rsidRDefault="00EF51F6" w:rsidP="00EF51F6">
      <w:pPr>
        <w:spacing w:after="0" w:line="240" w:lineRule="auto"/>
        <w:rPr>
          <w:rFonts w:ascii="Simplified Arabic" w:hAnsi="Simplified Arabic" w:cs="Simplified Arabic"/>
          <w:b/>
          <w:bCs/>
          <w:sz w:val="36"/>
          <w:szCs w:val="36"/>
          <w:rtl/>
        </w:rPr>
      </w:pPr>
      <w:r w:rsidRPr="00E616DE">
        <w:rPr>
          <w:rFonts w:ascii="Simplified Arabic" w:hAnsi="Simplified Arabic" w:cs="Simplified Arabic"/>
          <w:b/>
          <w:bCs/>
          <w:sz w:val="36"/>
          <w:szCs w:val="36"/>
          <w:rtl/>
        </w:rPr>
        <w:t>1.8 النموذج المفاهيمي للدراسة</w:t>
      </w:r>
    </w:p>
    <w:p w14:paraId="75C078E9" w14:textId="77777777" w:rsidR="00EF51F6" w:rsidRPr="00026692" w:rsidRDefault="00EF51F6" w:rsidP="00EF51F6">
      <w:pPr>
        <w:spacing w:after="0" w:line="240" w:lineRule="auto"/>
        <w:rPr>
          <w:rFonts w:ascii="Simplified Arabic" w:hAnsi="Simplified Arabic" w:cs="Simplified Arabic"/>
          <w:sz w:val="36"/>
          <w:szCs w:val="36"/>
          <w:rtl/>
        </w:rPr>
      </w:pPr>
    </w:p>
    <w:p w14:paraId="73EB6D31" w14:textId="3436B031" w:rsidR="00EF51F6" w:rsidRPr="00EF51F6" w:rsidRDefault="00026692" w:rsidP="006A27F1">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تنطلق الدراسة من نموذج مفاهيمي يفترض أن الإدارة الخضراء تمثل المتغير التفسيري، في حين تمثل الاستدامة البيئية المتغير الناتج أو المفسَّر. وبناءً على ذلك، تفترض الدراسة أن مستوى دمج الاعتبارات البيئية في بنية المشروع وسياساته وعملياته ينعكس على مستوى الاستدامة البيئية المعلنة والقابلة للتتبع.</w:t>
      </w:r>
    </w:p>
    <w:p w14:paraId="29C8D608" w14:textId="77777777" w:rsidR="00EF51F6" w:rsidRPr="00EF51F6" w:rsidRDefault="00EF51F6" w:rsidP="006A27F1">
      <w:pPr>
        <w:spacing w:after="0" w:line="240" w:lineRule="auto"/>
        <w:jc w:val="both"/>
        <w:rPr>
          <w:rFonts w:ascii="Simplified Arabic" w:hAnsi="Simplified Arabic" w:cs="Simplified Arabic"/>
          <w:sz w:val="28"/>
          <w:szCs w:val="28"/>
          <w:rtl/>
        </w:rPr>
      </w:pPr>
    </w:p>
    <w:p w14:paraId="18C7B3AC" w14:textId="77777777" w:rsidR="00EF51F6" w:rsidRPr="00EF51F6" w:rsidRDefault="00EF51F6" w:rsidP="006A27F1">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ويوضح الشكل (1) البناء المفاهيمي الذي اعتمدته الدراسة في تفسير العلاقة بين الإدارة الخضراء والاستدامة البيئية في سياق المشاريع الهندسية العملاقة.</w:t>
      </w:r>
    </w:p>
    <w:p w14:paraId="40447AE4" w14:textId="77777777" w:rsidR="00EF51F6" w:rsidRPr="00EF51F6" w:rsidRDefault="00EF51F6" w:rsidP="006A27F1">
      <w:pPr>
        <w:spacing w:after="0" w:line="240" w:lineRule="auto"/>
        <w:jc w:val="both"/>
        <w:rPr>
          <w:rFonts w:ascii="Simplified Arabic" w:hAnsi="Simplified Arabic" w:cs="Simplified Arabic"/>
          <w:sz w:val="28"/>
          <w:szCs w:val="28"/>
          <w:rtl/>
        </w:rPr>
      </w:pPr>
    </w:p>
    <w:p w14:paraId="39763794" w14:textId="14B3243F" w:rsidR="006A27F1" w:rsidRPr="006A27F1" w:rsidRDefault="006A27F1" w:rsidP="006A27F1">
      <w:pPr>
        <w:spacing w:after="0" w:line="240" w:lineRule="auto"/>
        <w:jc w:val="center"/>
        <w:rPr>
          <w:rFonts w:ascii="Simplified Arabic" w:hAnsi="Simplified Arabic" w:cs="Simplified Arabic"/>
          <w:b/>
          <w:bCs/>
          <w:sz w:val="24"/>
          <w:szCs w:val="24"/>
          <w:rtl/>
        </w:rPr>
      </w:pPr>
      <w:r>
        <w:rPr>
          <w:rFonts w:ascii="Simplified Arabic" w:hAnsi="Simplified Arabic" w:cs="Simplified Arabic"/>
          <w:noProof/>
          <w:sz w:val="24"/>
          <w:szCs w:val="24"/>
        </w:rPr>
        <w:drawing>
          <wp:inline distT="0" distB="0" distL="0" distR="0" wp14:anchorId="72E7F8C4" wp14:editId="0A9E39EE">
            <wp:extent cx="6121400" cy="3898900"/>
            <wp:effectExtent l="0" t="0" r="0" b="6350"/>
            <wp:docPr id="202853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1400" cy="3898900"/>
                    </a:xfrm>
                    <a:prstGeom prst="rect">
                      <a:avLst/>
                    </a:prstGeom>
                    <a:noFill/>
                    <a:ln>
                      <a:noFill/>
                    </a:ln>
                  </pic:spPr>
                </pic:pic>
              </a:graphicData>
            </a:graphic>
          </wp:inline>
        </w:drawing>
      </w:r>
      <w:r w:rsidRPr="006A27F1">
        <w:rPr>
          <w:rFonts w:ascii="Simplified Arabic" w:hAnsi="Simplified Arabic" w:cs="Simplified Arabic"/>
          <w:b/>
          <w:bCs/>
          <w:sz w:val="24"/>
          <w:szCs w:val="24"/>
          <w:rtl/>
        </w:rPr>
        <w:t xml:space="preserve"> شكل (1): النموذج المفاهيمي للعلاقة بين الإدارة الخضراء والاستدامة البيئية في المشاريع الهندسية العملاقة</w:t>
      </w:r>
    </w:p>
    <w:p w14:paraId="63E08FFB" w14:textId="77777777" w:rsidR="00EF51F6" w:rsidRPr="00EF51F6" w:rsidRDefault="00EF51F6" w:rsidP="006A27F1">
      <w:pPr>
        <w:spacing w:after="0" w:line="240" w:lineRule="auto"/>
        <w:jc w:val="both"/>
        <w:rPr>
          <w:rFonts w:ascii="Simplified Arabic" w:hAnsi="Simplified Arabic" w:cs="Simplified Arabic"/>
          <w:sz w:val="28"/>
          <w:szCs w:val="28"/>
          <w:rtl/>
        </w:rPr>
      </w:pPr>
    </w:p>
    <w:p w14:paraId="39006CA6" w14:textId="20AB9BAC" w:rsidR="00EF51F6" w:rsidRPr="00EF51F6" w:rsidRDefault="00EF51F6" w:rsidP="006A27F1">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 xml:space="preserve">يبين الشكل (1) أن الإدارة الخضراء تمثل المتغير التفسيري في الدراسة من خلال خمسة أبعاد رئيسة، هي: السياسات والالتزام المؤسسي، والطاقة والموارد، والمياه </w:t>
      </w:r>
      <w:r w:rsidR="006C551D">
        <w:rPr>
          <w:rFonts w:ascii="Simplified Arabic" w:hAnsi="Simplified Arabic" w:cs="Simplified Arabic" w:hint="cs"/>
          <w:sz w:val="28"/>
          <w:szCs w:val="28"/>
          <w:rtl/>
        </w:rPr>
        <w:t>معادة التدوير</w:t>
      </w:r>
      <w:r w:rsidRPr="00EF51F6">
        <w:rPr>
          <w:rFonts w:ascii="Simplified Arabic" w:hAnsi="Simplified Arabic" w:cs="Simplified Arabic"/>
          <w:sz w:val="28"/>
          <w:szCs w:val="28"/>
          <w:rtl/>
        </w:rPr>
        <w:t>، والنفايات والانبعاثات، والحماية البيئية والحوكمة. كما يوضح أن الاستدامة البيئية تمثل المتغير الناتج أو المفسَّر من خلال عدد من المؤشرات، مثل خفض الأثر البيئي، ورفع كفاءة استخدام الموارد، وتوسيع الاعتماد على الطاقة النظيفة، وتحسين إدارة المياه والمواد والنفايات، ودعم الحماية البيئية واستعادة النظم الطبيعية. ويساعد هذا الشكل في توضيح البناء التحليلي الذي استندت إليه الدراسة في قراءة الحالتين المدروستين.</w:t>
      </w:r>
    </w:p>
    <w:p w14:paraId="6054E2F6" w14:textId="77777777" w:rsidR="00EF51F6" w:rsidRPr="00EF51F6" w:rsidRDefault="00EF51F6" w:rsidP="006A27F1">
      <w:pPr>
        <w:spacing w:after="0" w:line="240" w:lineRule="auto"/>
        <w:jc w:val="both"/>
        <w:rPr>
          <w:rFonts w:ascii="Simplified Arabic" w:hAnsi="Simplified Arabic" w:cs="Simplified Arabic"/>
          <w:sz w:val="28"/>
          <w:szCs w:val="28"/>
          <w:rtl/>
        </w:rPr>
      </w:pPr>
    </w:p>
    <w:p w14:paraId="3393DC39" w14:textId="77777777" w:rsidR="00EF51F6" w:rsidRPr="00EF51F6" w:rsidRDefault="00EF51F6" w:rsidP="006A27F1">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وتتجلى الإدارة الخضراء في هذه الدراسة عبر خمسة أبعاد رئيسة:</w:t>
      </w:r>
    </w:p>
    <w:p w14:paraId="4A743CEA" w14:textId="77777777" w:rsidR="00EF51F6" w:rsidRDefault="00EF51F6" w:rsidP="006A27F1">
      <w:pPr>
        <w:pStyle w:val="ListParagraph"/>
        <w:numPr>
          <w:ilvl w:val="0"/>
          <w:numId w:val="61"/>
        </w:numPr>
        <w:spacing w:after="0" w:line="240" w:lineRule="auto"/>
        <w:jc w:val="both"/>
        <w:rPr>
          <w:rFonts w:ascii="Simplified Arabic" w:hAnsi="Simplified Arabic" w:cs="Simplified Arabic"/>
          <w:sz w:val="28"/>
          <w:szCs w:val="28"/>
        </w:rPr>
      </w:pPr>
      <w:r w:rsidRPr="006A27F1">
        <w:rPr>
          <w:rFonts w:ascii="Simplified Arabic" w:hAnsi="Simplified Arabic" w:cs="Simplified Arabic"/>
          <w:sz w:val="28"/>
          <w:szCs w:val="28"/>
          <w:rtl/>
        </w:rPr>
        <w:t>السياسات والالتزام المؤسسي.</w:t>
      </w:r>
    </w:p>
    <w:p w14:paraId="6851BE6A" w14:textId="77777777" w:rsidR="00EF51F6" w:rsidRDefault="00EF51F6" w:rsidP="006A27F1">
      <w:pPr>
        <w:pStyle w:val="ListParagraph"/>
        <w:numPr>
          <w:ilvl w:val="0"/>
          <w:numId w:val="61"/>
        </w:numPr>
        <w:spacing w:after="0" w:line="240" w:lineRule="auto"/>
        <w:jc w:val="both"/>
        <w:rPr>
          <w:rFonts w:ascii="Simplified Arabic" w:hAnsi="Simplified Arabic" w:cs="Simplified Arabic"/>
          <w:sz w:val="28"/>
          <w:szCs w:val="28"/>
        </w:rPr>
      </w:pPr>
      <w:r w:rsidRPr="006A27F1">
        <w:rPr>
          <w:rFonts w:ascii="Simplified Arabic" w:hAnsi="Simplified Arabic" w:cs="Simplified Arabic"/>
          <w:sz w:val="28"/>
          <w:szCs w:val="28"/>
          <w:rtl/>
        </w:rPr>
        <w:t>الطاقة والموارد.</w:t>
      </w:r>
    </w:p>
    <w:p w14:paraId="2302C772" w14:textId="08E4EFF6" w:rsidR="00EF51F6" w:rsidRDefault="00EF51F6" w:rsidP="006A27F1">
      <w:pPr>
        <w:pStyle w:val="ListParagraph"/>
        <w:numPr>
          <w:ilvl w:val="0"/>
          <w:numId w:val="61"/>
        </w:numPr>
        <w:spacing w:after="0" w:line="240" w:lineRule="auto"/>
        <w:jc w:val="both"/>
        <w:rPr>
          <w:rFonts w:ascii="Simplified Arabic" w:hAnsi="Simplified Arabic" w:cs="Simplified Arabic"/>
          <w:sz w:val="28"/>
          <w:szCs w:val="28"/>
        </w:rPr>
      </w:pPr>
      <w:r w:rsidRPr="006A27F1">
        <w:rPr>
          <w:rFonts w:ascii="Simplified Arabic" w:hAnsi="Simplified Arabic" w:cs="Simplified Arabic"/>
          <w:sz w:val="28"/>
          <w:szCs w:val="28"/>
          <w:rtl/>
        </w:rPr>
        <w:t xml:space="preserve">المياه </w:t>
      </w:r>
      <w:r w:rsidR="006C551D">
        <w:rPr>
          <w:rFonts w:ascii="Simplified Arabic" w:hAnsi="Simplified Arabic" w:cs="Simplified Arabic" w:hint="cs"/>
          <w:sz w:val="28"/>
          <w:szCs w:val="28"/>
          <w:rtl/>
        </w:rPr>
        <w:t>وإعادة تدويرها</w:t>
      </w:r>
      <w:r w:rsidRPr="006A27F1">
        <w:rPr>
          <w:rFonts w:ascii="Simplified Arabic" w:hAnsi="Simplified Arabic" w:cs="Simplified Arabic"/>
          <w:sz w:val="28"/>
          <w:szCs w:val="28"/>
          <w:rtl/>
        </w:rPr>
        <w:t>.</w:t>
      </w:r>
    </w:p>
    <w:p w14:paraId="3CAA1936" w14:textId="77777777" w:rsidR="00EF51F6" w:rsidRDefault="00EF51F6" w:rsidP="006A27F1">
      <w:pPr>
        <w:pStyle w:val="ListParagraph"/>
        <w:numPr>
          <w:ilvl w:val="0"/>
          <w:numId w:val="61"/>
        </w:numPr>
        <w:spacing w:after="0" w:line="240" w:lineRule="auto"/>
        <w:jc w:val="both"/>
        <w:rPr>
          <w:rFonts w:ascii="Simplified Arabic" w:hAnsi="Simplified Arabic" w:cs="Simplified Arabic"/>
          <w:sz w:val="28"/>
          <w:szCs w:val="28"/>
        </w:rPr>
      </w:pPr>
      <w:r w:rsidRPr="006A27F1">
        <w:rPr>
          <w:rFonts w:ascii="Simplified Arabic" w:hAnsi="Simplified Arabic" w:cs="Simplified Arabic"/>
          <w:sz w:val="28"/>
          <w:szCs w:val="28"/>
          <w:rtl/>
        </w:rPr>
        <w:t>النفايات والانبعاثات.</w:t>
      </w:r>
    </w:p>
    <w:p w14:paraId="6495FA51" w14:textId="77777777" w:rsidR="00EF51F6" w:rsidRPr="006A27F1" w:rsidRDefault="00EF51F6" w:rsidP="006A27F1">
      <w:pPr>
        <w:pStyle w:val="ListParagraph"/>
        <w:numPr>
          <w:ilvl w:val="0"/>
          <w:numId w:val="61"/>
        </w:numPr>
        <w:spacing w:after="0" w:line="240" w:lineRule="auto"/>
        <w:jc w:val="both"/>
        <w:rPr>
          <w:rFonts w:ascii="Simplified Arabic" w:hAnsi="Simplified Arabic" w:cs="Simplified Arabic"/>
          <w:sz w:val="28"/>
          <w:szCs w:val="28"/>
          <w:rtl/>
        </w:rPr>
      </w:pPr>
      <w:r w:rsidRPr="006A27F1">
        <w:rPr>
          <w:rFonts w:ascii="Simplified Arabic" w:hAnsi="Simplified Arabic" w:cs="Simplified Arabic"/>
          <w:sz w:val="28"/>
          <w:szCs w:val="28"/>
          <w:rtl/>
        </w:rPr>
        <w:t>الحماية البيئية والحوكمة.</w:t>
      </w:r>
    </w:p>
    <w:p w14:paraId="68B0DD20" w14:textId="77777777" w:rsidR="00EF51F6" w:rsidRPr="006A27F1" w:rsidRDefault="00EF51F6" w:rsidP="006A27F1">
      <w:pPr>
        <w:spacing w:after="0" w:line="240" w:lineRule="auto"/>
        <w:jc w:val="both"/>
        <w:rPr>
          <w:rFonts w:ascii="Simplified Arabic" w:hAnsi="Simplified Arabic" w:cs="Simplified Arabic"/>
          <w:sz w:val="72"/>
          <w:szCs w:val="72"/>
          <w:rtl/>
        </w:rPr>
      </w:pPr>
    </w:p>
    <w:p w14:paraId="641FFD73" w14:textId="77777777" w:rsidR="00EF51F6" w:rsidRPr="00EF51F6" w:rsidRDefault="00EF51F6" w:rsidP="006A27F1">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أما الاستدامة البيئية فتُقرأ من خلال مؤشرات تتمثل في:</w:t>
      </w:r>
    </w:p>
    <w:p w14:paraId="3A4B030A" w14:textId="77777777" w:rsidR="00EF51F6" w:rsidRDefault="00EF51F6" w:rsidP="006A27F1">
      <w:pPr>
        <w:pStyle w:val="ListParagraph"/>
        <w:numPr>
          <w:ilvl w:val="0"/>
          <w:numId w:val="62"/>
        </w:numPr>
        <w:spacing w:after="0" w:line="240" w:lineRule="auto"/>
        <w:jc w:val="both"/>
        <w:rPr>
          <w:rFonts w:ascii="Simplified Arabic" w:hAnsi="Simplified Arabic" w:cs="Simplified Arabic"/>
          <w:sz w:val="28"/>
          <w:szCs w:val="28"/>
        </w:rPr>
      </w:pPr>
      <w:r w:rsidRPr="006A27F1">
        <w:rPr>
          <w:rFonts w:ascii="Simplified Arabic" w:hAnsi="Simplified Arabic" w:cs="Simplified Arabic"/>
          <w:sz w:val="28"/>
          <w:szCs w:val="28"/>
          <w:rtl/>
        </w:rPr>
        <w:t>خفض الأثر البيئي.</w:t>
      </w:r>
    </w:p>
    <w:p w14:paraId="6AC05D70" w14:textId="77777777" w:rsidR="00EF51F6" w:rsidRDefault="00EF51F6" w:rsidP="006A27F1">
      <w:pPr>
        <w:pStyle w:val="ListParagraph"/>
        <w:numPr>
          <w:ilvl w:val="0"/>
          <w:numId w:val="62"/>
        </w:numPr>
        <w:spacing w:after="0" w:line="240" w:lineRule="auto"/>
        <w:jc w:val="both"/>
        <w:rPr>
          <w:rFonts w:ascii="Simplified Arabic" w:hAnsi="Simplified Arabic" w:cs="Simplified Arabic"/>
          <w:sz w:val="28"/>
          <w:szCs w:val="28"/>
        </w:rPr>
      </w:pPr>
      <w:r w:rsidRPr="006A27F1">
        <w:rPr>
          <w:rFonts w:ascii="Simplified Arabic" w:hAnsi="Simplified Arabic" w:cs="Simplified Arabic"/>
          <w:sz w:val="28"/>
          <w:szCs w:val="28"/>
          <w:rtl/>
        </w:rPr>
        <w:t>رفع كفاءة استخدام الموارد.</w:t>
      </w:r>
    </w:p>
    <w:p w14:paraId="70CD847A" w14:textId="77777777" w:rsidR="00EF51F6" w:rsidRDefault="00EF51F6" w:rsidP="006A27F1">
      <w:pPr>
        <w:pStyle w:val="ListParagraph"/>
        <w:numPr>
          <w:ilvl w:val="0"/>
          <w:numId w:val="62"/>
        </w:numPr>
        <w:spacing w:after="0" w:line="240" w:lineRule="auto"/>
        <w:jc w:val="both"/>
        <w:rPr>
          <w:rFonts w:ascii="Simplified Arabic" w:hAnsi="Simplified Arabic" w:cs="Simplified Arabic"/>
          <w:sz w:val="28"/>
          <w:szCs w:val="28"/>
        </w:rPr>
      </w:pPr>
      <w:r w:rsidRPr="006A27F1">
        <w:rPr>
          <w:rFonts w:ascii="Simplified Arabic" w:hAnsi="Simplified Arabic" w:cs="Simplified Arabic"/>
          <w:sz w:val="28"/>
          <w:szCs w:val="28"/>
          <w:rtl/>
        </w:rPr>
        <w:t>توسع الاعتماد على الطاقة النظيفة.</w:t>
      </w:r>
    </w:p>
    <w:p w14:paraId="176020A7" w14:textId="77777777" w:rsidR="00EF51F6" w:rsidRDefault="00EF51F6" w:rsidP="006A27F1">
      <w:pPr>
        <w:pStyle w:val="ListParagraph"/>
        <w:numPr>
          <w:ilvl w:val="0"/>
          <w:numId w:val="62"/>
        </w:numPr>
        <w:spacing w:after="0" w:line="240" w:lineRule="auto"/>
        <w:jc w:val="both"/>
        <w:rPr>
          <w:rFonts w:ascii="Simplified Arabic" w:hAnsi="Simplified Arabic" w:cs="Simplified Arabic"/>
          <w:sz w:val="28"/>
          <w:szCs w:val="28"/>
        </w:rPr>
      </w:pPr>
      <w:r w:rsidRPr="006A27F1">
        <w:rPr>
          <w:rFonts w:ascii="Simplified Arabic" w:hAnsi="Simplified Arabic" w:cs="Simplified Arabic"/>
          <w:sz w:val="28"/>
          <w:szCs w:val="28"/>
          <w:rtl/>
        </w:rPr>
        <w:t>تحسين إدارة المياه والمواد والنفايات.</w:t>
      </w:r>
    </w:p>
    <w:p w14:paraId="5DD16289" w14:textId="77777777" w:rsidR="00EF51F6" w:rsidRPr="006A27F1" w:rsidRDefault="00EF51F6" w:rsidP="006A27F1">
      <w:pPr>
        <w:pStyle w:val="ListParagraph"/>
        <w:numPr>
          <w:ilvl w:val="0"/>
          <w:numId w:val="62"/>
        </w:numPr>
        <w:spacing w:after="0" w:line="240" w:lineRule="auto"/>
        <w:jc w:val="both"/>
        <w:rPr>
          <w:rFonts w:ascii="Simplified Arabic" w:hAnsi="Simplified Arabic" w:cs="Simplified Arabic"/>
          <w:sz w:val="28"/>
          <w:szCs w:val="28"/>
          <w:rtl/>
        </w:rPr>
      </w:pPr>
      <w:r w:rsidRPr="006A27F1">
        <w:rPr>
          <w:rFonts w:ascii="Simplified Arabic" w:hAnsi="Simplified Arabic" w:cs="Simplified Arabic"/>
          <w:sz w:val="28"/>
          <w:szCs w:val="28"/>
          <w:rtl/>
        </w:rPr>
        <w:t>دعم الحماية البيئية واستعادة النظم الطبيعية.</w:t>
      </w:r>
    </w:p>
    <w:p w14:paraId="44BE00A1" w14:textId="77777777" w:rsidR="00EF51F6" w:rsidRPr="00EF51F6" w:rsidRDefault="00EF51F6" w:rsidP="006A27F1">
      <w:pPr>
        <w:spacing w:after="0" w:line="240" w:lineRule="auto"/>
        <w:jc w:val="both"/>
        <w:rPr>
          <w:rFonts w:ascii="Simplified Arabic" w:hAnsi="Simplified Arabic" w:cs="Simplified Arabic"/>
          <w:sz w:val="28"/>
          <w:szCs w:val="28"/>
          <w:rtl/>
        </w:rPr>
      </w:pPr>
    </w:p>
    <w:p w14:paraId="482AF8AE" w14:textId="77777777" w:rsidR="00EF51F6" w:rsidRPr="00EF51F6" w:rsidRDefault="00EF51F6" w:rsidP="006A27F1">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ويفترض هذا النموذج أن العلاقة بين المتغيرين لا تُقرأ في هذه الدراسة بوصفها علاقة سببية تجريبية مباشرة، بل بوصفها علاقة تفسيرية استدلالية تُفهم من خلال انتظام حضور الإدارة الخضراء داخل الخطاب المؤسسي، ومدى ترجمة هذا الحضور إلى آليات تشغيلية وإفصاح بيئي ومؤشرات قابلة للتتبع.</w:t>
      </w:r>
    </w:p>
    <w:p w14:paraId="3392FD09" w14:textId="77777777" w:rsidR="00EF51F6" w:rsidRPr="00065E75" w:rsidRDefault="00EF51F6" w:rsidP="00065E75">
      <w:pPr>
        <w:spacing w:after="0" w:line="240" w:lineRule="auto"/>
        <w:jc w:val="center"/>
        <w:rPr>
          <w:rFonts w:ascii="Simplified Arabic" w:hAnsi="Simplified Arabic" w:cs="Simplified Arabic"/>
          <w:sz w:val="580"/>
          <w:szCs w:val="580"/>
          <w:rtl/>
        </w:rPr>
      </w:pPr>
    </w:p>
    <w:p w14:paraId="5FF856F0" w14:textId="77777777" w:rsidR="00065E75" w:rsidRPr="00065E75" w:rsidRDefault="00065E75" w:rsidP="00065E75">
      <w:pPr>
        <w:spacing w:after="0" w:line="240" w:lineRule="auto"/>
        <w:jc w:val="center"/>
        <w:rPr>
          <w:rFonts w:ascii="Simplified Arabic" w:hAnsi="Simplified Arabic" w:cs="Simplified Arabic"/>
          <w:sz w:val="400"/>
          <w:szCs w:val="400"/>
          <w:rtl/>
        </w:rPr>
      </w:pPr>
    </w:p>
    <w:p w14:paraId="2902033C" w14:textId="77777777" w:rsidR="00EF51F6" w:rsidRDefault="00EF51F6" w:rsidP="00065E75">
      <w:pPr>
        <w:spacing w:after="0" w:line="240" w:lineRule="auto"/>
        <w:jc w:val="center"/>
        <w:rPr>
          <w:rFonts w:ascii="Simplified Arabic" w:hAnsi="Simplified Arabic" w:cs="Simplified Arabic"/>
          <w:sz w:val="40"/>
          <w:szCs w:val="40"/>
          <w:rtl/>
        </w:rPr>
      </w:pPr>
      <w:r w:rsidRPr="0025580F">
        <w:rPr>
          <w:rFonts w:ascii="Simplified Arabic" w:hAnsi="Simplified Arabic" w:cs="Simplified Arabic"/>
          <w:sz w:val="40"/>
          <w:szCs w:val="40"/>
          <w:rtl/>
        </w:rPr>
        <w:t>الفصل الثاني: الإطار النظري والدراسات السابقة</w:t>
      </w:r>
    </w:p>
    <w:p w14:paraId="16C4EBA8" w14:textId="77777777" w:rsidR="00065E75" w:rsidRPr="00065E75" w:rsidRDefault="00065E75" w:rsidP="00065E75">
      <w:pPr>
        <w:spacing w:after="0" w:line="240" w:lineRule="auto"/>
        <w:jc w:val="center"/>
        <w:rPr>
          <w:rFonts w:ascii="Simplified Arabic" w:hAnsi="Simplified Arabic" w:cs="Simplified Arabic"/>
          <w:sz w:val="420"/>
          <w:szCs w:val="420"/>
          <w:rtl/>
        </w:rPr>
      </w:pPr>
    </w:p>
    <w:p w14:paraId="4D42DAC8" w14:textId="77777777" w:rsidR="00EF51F6" w:rsidRPr="0025580F" w:rsidRDefault="00EF51F6" w:rsidP="00EF51F6">
      <w:pPr>
        <w:spacing w:after="0" w:line="240" w:lineRule="auto"/>
        <w:rPr>
          <w:rFonts w:ascii="Simplified Arabic" w:hAnsi="Simplified Arabic" w:cs="Simplified Arabic"/>
          <w:b/>
          <w:bCs/>
          <w:sz w:val="36"/>
          <w:szCs w:val="36"/>
          <w:rtl/>
        </w:rPr>
      </w:pPr>
      <w:r w:rsidRPr="0025580F">
        <w:rPr>
          <w:rFonts w:ascii="Simplified Arabic" w:hAnsi="Simplified Arabic" w:cs="Simplified Arabic"/>
          <w:b/>
          <w:bCs/>
          <w:sz w:val="36"/>
          <w:szCs w:val="36"/>
          <w:rtl/>
        </w:rPr>
        <w:t>2.1 تمهيد</w:t>
      </w:r>
    </w:p>
    <w:p w14:paraId="18CFF729" w14:textId="77777777" w:rsidR="00EF51F6" w:rsidRPr="00065E75" w:rsidRDefault="00EF51F6" w:rsidP="00EF51F6">
      <w:pPr>
        <w:spacing w:after="0" w:line="240" w:lineRule="auto"/>
        <w:rPr>
          <w:rFonts w:ascii="Simplified Arabic" w:hAnsi="Simplified Arabic" w:cs="Simplified Arabic"/>
          <w:sz w:val="36"/>
          <w:szCs w:val="36"/>
          <w:rtl/>
        </w:rPr>
      </w:pPr>
    </w:p>
    <w:p w14:paraId="7D49A4D3" w14:textId="58757692" w:rsidR="00EF51F6" w:rsidRPr="00EF51F6" w:rsidRDefault="00065E75" w:rsidP="00065E75">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يتناول هذا الفصل الخلفية النظرية والعلمية التي تستند إليها الدراسة، من خلال توضيح مفهوم الإدارة الخضراء، ومفهوم الاستدامة البيئية، وخصائص المشاريع الهندسية العملاقة، والعلاقة بين الإدارة الخضراء والاستدامة البيئية، ثم عرض المداخل النظرية المفسرة للدراسة، ومراجعة الدراسات السابقة، وصولًا إلى تحديد الفجوة البحثية التي تسعى الدراسة الحالية إلى معالجتها.</w:t>
      </w:r>
    </w:p>
    <w:p w14:paraId="0D45370E" w14:textId="77777777" w:rsidR="00EF51F6" w:rsidRPr="00EF51F6" w:rsidRDefault="00EF51F6" w:rsidP="00065E75">
      <w:pPr>
        <w:spacing w:after="0" w:line="240" w:lineRule="auto"/>
        <w:jc w:val="both"/>
        <w:rPr>
          <w:rFonts w:ascii="Simplified Arabic" w:hAnsi="Simplified Arabic" w:cs="Simplified Arabic"/>
          <w:sz w:val="28"/>
          <w:szCs w:val="28"/>
          <w:rtl/>
        </w:rPr>
      </w:pPr>
    </w:p>
    <w:p w14:paraId="335DC610" w14:textId="77777777" w:rsidR="00EF51F6" w:rsidRPr="00EF51F6" w:rsidRDefault="00EF51F6" w:rsidP="00065E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وتنبع أهمية هذا الفصل من كونه يضع الدراسة ضمن سياقها العلمي الأوسع، فلا يُنظر إلى حالتي نيوم والبحر الأحمر الدولية بوصفهما مجرد حالتين وصفيتين منفصلتين، بل بوصفهما تطبيقين واقعيين يمكن من خلالهما تحليل مفاهيم أوسع مرتبطة بالاستدامة في إدارة المشاريع، والحوكمة البيئية، والإدارة الخضراء في المشاريع العملاقة. وقد بينت مراجعات علمية منهجية أن البحث في استدامة المشاريع تطور بوصفه حقلًا معرفيًا متناميًا، لكنه ظل لفترة غير قصيرة حقلًا ناشئًا ومتفرقًا نسبيًا، وهو ما يبرر الحاجة إلى مزيد من الدراسات المقارنة المنضبطة، خاصة في البيئات التطبيقية الكبرى (</w:t>
      </w:r>
      <w:r w:rsidRPr="00EF51F6">
        <w:rPr>
          <w:rFonts w:ascii="Simplified Arabic" w:hAnsi="Simplified Arabic" w:cs="Simplified Arabic"/>
          <w:sz w:val="28"/>
          <w:szCs w:val="28"/>
        </w:rPr>
        <w:t>Aarseth et al., 2017</w:t>
      </w:r>
      <w:r w:rsidRPr="00EF51F6">
        <w:rPr>
          <w:rFonts w:ascii="Simplified Arabic" w:hAnsi="Simplified Arabic" w:cs="Simplified Arabic"/>
          <w:sz w:val="28"/>
          <w:szCs w:val="28"/>
          <w:rtl/>
        </w:rPr>
        <w:t>).</w:t>
      </w:r>
    </w:p>
    <w:p w14:paraId="2F843392" w14:textId="77777777" w:rsidR="00EF51F6" w:rsidRPr="00EF51F6" w:rsidRDefault="00EF51F6" w:rsidP="00065E75">
      <w:pPr>
        <w:spacing w:after="0" w:line="240" w:lineRule="auto"/>
        <w:jc w:val="both"/>
        <w:rPr>
          <w:rFonts w:ascii="Simplified Arabic" w:hAnsi="Simplified Arabic" w:cs="Simplified Arabic"/>
          <w:sz w:val="28"/>
          <w:szCs w:val="28"/>
          <w:rtl/>
        </w:rPr>
      </w:pPr>
    </w:p>
    <w:p w14:paraId="7DBB471F" w14:textId="77777777" w:rsidR="00EF51F6" w:rsidRPr="00EF51F6" w:rsidRDefault="00EF51F6" w:rsidP="00065E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كما أن هذا الفصل لا يهدف إلى عرض المفاهيم عرضًا منفصلًا، بل إلى بناء منطق نظري متكامل يفسر كيف يمكن للإدارة الخضراء أن تتحول في المشاريع العملاقة من مفهوم معياري عام إلى بنية إدارية وحوكمية وتشغيلية تؤثر في مستوى الاستدامة البيئية. ومن ثم، فإن القيمة الرئيسة لهذا الفصل تكمن في ربط الأدبيات العامة بالواقع التطبيقي للحالتين المدروستين.</w:t>
      </w:r>
    </w:p>
    <w:p w14:paraId="14A45D5C" w14:textId="77777777" w:rsidR="00EF51F6" w:rsidRPr="00EF51F6" w:rsidRDefault="00EF51F6" w:rsidP="00EF51F6">
      <w:pPr>
        <w:spacing w:after="0" w:line="240" w:lineRule="auto"/>
        <w:rPr>
          <w:rFonts w:ascii="Simplified Arabic" w:hAnsi="Simplified Arabic" w:cs="Simplified Arabic"/>
          <w:sz w:val="28"/>
          <w:szCs w:val="28"/>
          <w:rtl/>
        </w:rPr>
      </w:pPr>
    </w:p>
    <w:p w14:paraId="009E57E2" w14:textId="77777777" w:rsidR="00EF51F6" w:rsidRPr="0025580F" w:rsidRDefault="00EF51F6" w:rsidP="00EF51F6">
      <w:pPr>
        <w:spacing w:after="0" w:line="240" w:lineRule="auto"/>
        <w:rPr>
          <w:rFonts w:ascii="Simplified Arabic" w:hAnsi="Simplified Arabic" w:cs="Simplified Arabic"/>
          <w:b/>
          <w:bCs/>
          <w:sz w:val="36"/>
          <w:szCs w:val="36"/>
          <w:rtl/>
        </w:rPr>
      </w:pPr>
      <w:r w:rsidRPr="0025580F">
        <w:rPr>
          <w:rFonts w:ascii="Simplified Arabic" w:hAnsi="Simplified Arabic" w:cs="Simplified Arabic"/>
          <w:b/>
          <w:bCs/>
          <w:sz w:val="36"/>
          <w:szCs w:val="36"/>
          <w:rtl/>
        </w:rPr>
        <w:t>2.2 مفهوم الإدارة الخضراء</w:t>
      </w:r>
    </w:p>
    <w:p w14:paraId="559E3B30" w14:textId="77777777" w:rsidR="00EF51F6" w:rsidRPr="00EF51F6" w:rsidRDefault="00EF51F6" w:rsidP="00EF51F6">
      <w:pPr>
        <w:spacing w:after="0" w:line="240" w:lineRule="auto"/>
        <w:rPr>
          <w:rFonts w:ascii="Simplified Arabic" w:hAnsi="Simplified Arabic" w:cs="Simplified Arabic"/>
          <w:sz w:val="28"/>
          <w:szCs w:val="28"/>
          <w:rtl/>
        </w:rPr>
      </w:pPr>
    </w:p>
    <w:p w14:paraId="32518239" w14:textId="1FD5AE59" w:rsidR="00EF51F6" w:rsidRPr="00EF51F6" w:rsidRDefault="00D91AA2" w:rsidP="00065E75">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تشير الإدارة الخضراء إلى مجموعة السياسات والعمليات والقرارات الإدارية التي تدمج الاعتبارات البيئية في مختلف وظائف الإدارة، بما في ذلك التخطيط، والتصميم، والتنفيذ، والتشغيل، والمتابعة، والتقييم. وهي لا تعني مجرد تبني مبادرة بيئية جزئية أو إجراء تقني منفصل، بل تعني أن تصبح البيئة جزءًا من منطق اتخاذ القرار الإداري نفسه، بحيث يُعاد تنظيم الموارد والعمليات والعلاقات المؤسسية على نحو يقلل الأثر البيئي، ويرفع كفاءة استخدام الموارد، ويدعم التحسين المستمر.</w:t>
      </w:r>
    </w:p>
    <w:p w14:paraId="7BFD8538" w14:textId="77777777" w:rsidR="00EF51F6" w:rsidRPr="00EF51F6" w:rsidRDefault="00EF51F6" w:rsidP="00065E75">
      <w:pPr>
        <w:spacing w:after="0" w:line="240" w:lineRule="auto"/>
        <w:jc w:val="both"/>
        <w:rPr>
          <w:rFonts w:ascii="Simplified Arabic" w:hAnsi="Simplified Arabic" w:cs="Simplified Arabic"/>
          <w:sz w:val="28"/>
          <w:szCs w:val="28"/>
          <w:rtl/>
        </w:rPr>
      </w:pPr>
    </w:p>
    <w:p w14:paraId="47EC9E3E" w14:textId="77777777" w:rsidR="00EF51F6" w:rsidRPr="00EF51F6" w:rsidRDefault="00EF51F6" w:rsidP="00065E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ومن هذا المنظور، فإن الإدارة الخضراء تختلف عن الفهم الضيق للإدارة البيئية القائم فقط على الامتثال للأنظمة أو الحد من المخالفات. فالمفهوم الأوسع للإدارة الخضراء يربط البيئة بالحوكمة، وسلاسل الإمداد، واختيار الموردين، وقرارات الاستثمار، وآليات التقييم، وبناء الثقافة التنظيمية الداعمة للاستدامة. وقد أظهرت دراسات بحثية سعت إلى بناء معايير لتقييم الإدارة الخضراء في المشاريع أن هذا المفهوم يتكون من أبعاد داخلية وخارجية تشمل التنظيم، والعمليات، والبيئة المؤسسية، والعلاقات مع الموردين والعملاء وأصحاب المصلحة، وهو ما يؤكد أن الإدارة الخضراء ليست نشاطًا داخليًا محدودًا، بل منظومة إدارية ممتدة (</w:t>
      </w:r>
      <w:r w:rsidRPr="00EF51F6">
        <w:rPr>
          <w:rFonts w:ascii="Simplified Arabic" w:hAnsi="Simplified Arabic" w:cs="Simplified Arabic"/>
          <w:sz w:val="28"/>
          <w:szCs w:val="28"/>
        </w:rPr>
        <w:t>Chou et al., 2017</w:t>
      </w:r>
      <w:r w:rsidRPr="00EF51F6">
        <w:rPr>
          <w:rFonts w:ascii="Simplified Arabic" w:hAnsi="Simplified Arabic" w:cs="Simplified Arabic"/>
          <w:sz w:val="28"/>
          <w:szCs w:val="28"/>
          <w:rtl/>
        </w:rPr>
        <w:t>).</w:t>
      </w:r>
    </w:p>
    <w:p w14:paraId="5B7F95C0" w14:textId="77777777" w:rsidR="00EF51F6" w:rsidRPr="00EF51F6" w:rsidRDefault="00EF51F6" w:rsidP="00065E75">
      <w:pPr>
        <w:spacing w:after="0" w:line="240" w:lineRule="auto"/>
        <w:jc w:val="both"/>
        <w:rPr>
          <w:rFonts w:ascii="Simplified Arabic" w:hAnsi="Simplified Arabic" w:cs="Simplified Arabic"/>
          <w:sz w:val="28"/>
          <w:szCs w:val="28"/>
          <w:rtl/>
        </w:rPr>
      </w:pPr>
    </w:p>
    <w:p w14:paraId="48A0CFCD" w14:textId="77777777" w:rsidR="00EF51F6" w:rsidRPr="00EF51F6" w:rsidRDefault="00EF51F6" w:rsidP="00065E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 xml:space="preserve">كما أن معيار </w:t>
      </w:r>
      <w:r w:rsidRPr="00EF51F6">
        <w:rPr>
          <w:rFonts w:ascii="Simplified Arabic" w:hAnsi="Simplified Arabic" w:cs="Simplified Arabic"/>
          <w:sz w:val="28"/>
          <w:szCs w:val="28"/>
        </w:rPr>
        <w:t>ISO 14001:2015</w:t>
      </w:r>
      <w:r w:rsidRPr="00EF51F6">
        <w:rPr>
          <w:rFonts w:ascii="Simplified Arabic" w:hAnsi="Simplified Arabic" w:cs="Simplified Arabic"/>
          <w:sz w:val="28"/>
          <w:szCs w:val="28"/>
          <w:rtl/>
        </w:rPr>
        <w:t xml:space="preserve"> يقدم دعمًا مفاهيميًا مهمًا لفهم الإدارة الخضراء؛ إذ ينظر إلى الإدارة البيئية بوصفها نظامًا قائمًا على التخطيط والتنفيذ والرقابة والتحسين المستمر، ويهدف إلى تحسين الأداء البيئي، والحد من الآثار البيئية السلبية، ودعم الامتثال للالتزامات ذات الصلة (</w:t>
      </w:r>
      <w:r w:rsidRPr="00EF51F6">
        <w:rPr>
          <w:rFonts w:ascii="Simplified Arabic" w:hAnsi="Simplified Arabic" w:cs="Simplified Arabic"/>
          <w:sz w:val="28"/>
          <w:szCs w:val="28"/>
        </w:rPr>
        <w:t>ISO, 2015</w:t>
      </w:r>
      <w:r w:rsidRPr="00EF51F6">
        <w:rPr>
          <w:rFonts w:ascii="Simplified Arabic" w:hAnsi="Simplified Arabic" w:cs="Simplified Arabic"/>
          <w:sz w:val="28"/>
          <w:szCs w:val="28"/>
          <w:rtl/>
        </w:rPr>
        <w:t>). ومن ثم، يمكن فهم الإدارة الخضراء في سياق هذه الدراسة على أنها ترجمة مؤسسية وتشغيلية لفكرة دمج البيئة داخل بنية المشروع ونظامه الإداري، لا مجرد إعلان نوايا أو توجه عام.</w:t>
      </w:r>
    </w:p>
    <w:p w14:paraId="5C50B846" w14:textId="77777777" w:rsidR="00EF51F6" w:rsidRPr="00EF51F6" w:rsidRDefault="00EF51F6" w:rsidP="00065E75">
      <w:pPr>
        <w:spacing w:after="0" w:line="240" w:lineRule="auto"/>
        <w:jc w:val="both"/>
        <w:rPr>
          <w:rFonts w:ascii="Simplified Arabic" w:hAnsi="Simplified Arabic" w:cs="Simplified Arabic"/>
          <w:sz w:val="28"/>
          <w:szCs w:val="28"/>
          <w:rtl/>
        </w:rPr>
      </w:pPr>
    </w:p>
    <w:p w14:paraId="1FBA363D" w14:textId="77777777" w:rsidR="00EF51F6" w:rsidRPr="00EF51F6" w:rsidRDefault="00EF51F6" w:rsidP="00065E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وإذا نُظر إلى الإدارة الخضراء من زاوية المشاريع العملاقة تحديدًا، فإن المفهوم يكتسب بعدًا أعمق؛ لأن المشروع العملاق لا يُدار عبر قرار واحد أو فريق واحد، بل من خلال شبكات معقدة من المتعهدين والموردين والجهات التنظيمية والتمويلية والشركاء. وهذا يعني أن الإدارة الخضراء في هذا السياق لا يمكن اختزالها في سياسات داخلية أو مبادرات تجميلية، بل يجب أن تظهر في بنية الحوكمة، ومواصفات التوريد، ونظم المتابعة، وآليات المساءلة، وطريقة صياغة الأهداف البيئية على امتداد دورة حياة المشروع.</w:t>
      </w:r>
    </w:p>
    <w:p w14:paraId="45BF8FB6" w14:textId="77777777" w:rsidR="00EF51F6" w:rsidRPr="00EF51F6" w:rsidRDefault="00EF51F6" w:rsidP="00065E75">
      <w:pPr>
        <w:spacing w:after="0" w:line="240" w:lineRule="auto"/>
        <w:jc w:val="both"/>
        <w:rPr>
          <w:rFonts w:ascii="Simplified Arabic" w:hAnsi="Simplified Arabic" w:cs="Simplified Arabic"/>
          <w:sz w:val="28"/>
          <w:szCs w:val="28"/>
          <w:rtl/>
        </w:rPr>
      </w:pPr>
    </w:p>
    <w:p w14:paraId="60F912E1" w14:textId="77777777" w:rsidR="00EF51F6" w:rsidRPr="00EF51F6" w:rsidRDefault="00EF51F6" w:rsidP="00065E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وبناءً على ذلك، يمكن تعريف الإدارة الخضراء إجرائيًا في هذه الدراسة بأنها مجموعة السياسات والممارسات والآليات الإدارية التي تُدمج البعد البيئي في دورة حياة المشروع، بهدف خفض الأثر البيئي، ورفع كفاءة الموارد، وتعزيز الحوكمة البيئية، وتحويل الالتزامات البيئية إلى ممارسات ومؤشرات قابلة للتتبع.</w:t>
      </w:r>
    </w:p>
    <w:p w14:paraId="4E5632CE" w14:textId="77777777" w:rsidR="00EF51F6" w:rsidRPr="00EF51F6" w:rsidRDefault="00EF51F6" w:rsidP="00EF51F6">
      <w:pPr>
        <w:spacing w:after="0" w:line="240" w:lineRule="auto"/>
        <w:rPr>
          <w:rFonts w:ascii="Simplified Arabic" w:hAnsi="Simplified Arabic" w:cs="Simplified Arabic"/>
          <w:sz w:val="28"/>
          <w:szCs w:val="28"/>
          <w:rtl/>
        </w:rPr>
      </w:pPr>
    </w:p>
    <w:p w14:paraId="5BE7E658" w14:textId="77777777" w:rsidR="00EF51F6" w:rsidRPr="00065E75" w:rsidRDefault="00EF51F6" w:rsidP="00EF51F6">
      <w:pPr>
        <w:spacing w:after="0" w:line="240" w:lineRule="auto"/>
        <w:rPr>
          <w:rFonts w:ascii="Simplified Arabic" w:hAnsi="Simplified Arabic" w:cs="Simplified Arabic"/>
          <w:b/>
          <w:bCs/>
          <w:sz w:val="32"/>
          <w:szCs w:val="32"/>
          <w:rtl/>
        </w:rPr>
      </w:pPr>
      <w:r w:rsidRPr="00065E75">
        <w:rPr>
          <w:rFonts w:ascii="Simplified Arabic" w:hAnsi="Simplified Arabic" w:cs="Simplified Arabic"/>
          <w:b/>
          <w:bCs/>
          <w:sz w:val="32"/>
          <w:szCs w:val="32"/>
          <w:rtl/>
        </w:rPr>
        <w:t>2.2.1 تطور مفهوم الإدارة الخضراء</w:t>
      </w:r>
    </w:p>
    <w:p w14:paraId="6A7CB22E" w14:textId="77777777" w:rsidR="00EF51F6" w:rsidRPr="00065E75" w:rsidRDefault="00EF51F6" w:rsidP="00EF51F6">
      <w:pPr>
        <w:spacing w:after="0" w:line="240" w:lineRule="auto"/>
        <w:rPr>
          <w:rFonts w:ascii="Simplified Arabic" w:hAnsi="Simplified Arabic" w:cs="Simplified Arabic"/>
          <w:sz w:val="32"/>
          <w:szCs w:val="32"/>
          <w:rtl/>
        </w:rPr>
      </w:pPr>
    </w:p>
    <w:p w14:paraId="4CCC8459" w14:textId="291B7D02" w:rsidR="00EF51F6" w:rsidRPr="00EF51F6" w:rsidRDefault="00065E75" w:rsidP="00065E75">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لم ينشأ مفهوم الإدارة الخضراء بوصفه تصورًا واحدًا مكتملًا منذ البداية، بل تطور عبر مراحل متعاقبة. ففي مراحله المبكرة ارتبط بالامتثال البيئي وتقليل التلوث وتجنب المخالفات التنظيمية، ثم اتسع لاحقًا ليشمل كفاءة الموارد والوقاية من التلوث والإنتاج الأنظف. ومع اتساع مفاهيم الاستدامة المؤسسية والحوكمة البيئية، بدأ هذا المفهوم يُعاد تأطيره على نحو أشمل بوصفه إطارًا إداريًا يدمج البيئة في بنية القرار المؤسسي، لا مجرد مجموعة من الإجراءات الفنية المنفصلة.</w:t>
      </w:r>
    </w:p>
    <w:p w14:paraId="5CFE2AEA" w14:textId="77777777" w:rsidR="00EF51F6" w:rsidRPr="00EF51F6" w:rsidRDefault="00EF51F6" w:rsidP="00065E75">
      <w:pPr>
        <w:spacing w:after="0" w:line="240" w:lineRule="auto"/>
        <w:jc w:val="both"/>
        <w:rPr>
          <w:rFonts w:ascii="Simplified Arabic" w:hAnsi="Simplified Arabic" w:cs="Simplified Arabic"/>
          <w:sz w:val="28"/>
          <w:szCs w:val="28"/>
          <w:rtl/>
        </w:rPr>
      </w:pPr>
    </w:p>
    <w:p w14:paraId="1DC13205" w14:textId="77777777" w:rsidR="00EF51F6" w:rsidRPr="00EF51F6" w:rsidRDefault="00EF51F6" w:rsidP="00065E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وفي هذا المستوى المتقدم، أصبحت الإدارة الخضراء مرتبطة بمفاهيم مثل الحوكمة البيئية، والاستدامة المؤسسية، وسلاسل الإمداد الخضراء، والاقتصاد الدائري، والإفصاح البيئي. ويكتسب هذا التطور أهمية خاصة في سياق المشاريع العملاقة، لأن هذه المشاريع لا تكتفي بتبني إجراءات تشغيلية محدودة، بل تحتاج إلى إدارة بيئية قادرة على العمل داخل بيئة معقدة متعددة الفاعلين. ومن ثم، فإن الإدارة الخضراء في هذا السياق لا يمكن أن تُفهم على أنها وظيفة فرعية، بل هي جزء من النظام الإداري الكلي للمشروع.</w:t>
      </w:r>
    </w:p>
    <w:p w14:paraId="17A8A995" w14:textId="77777777" w:rsidR="00EF51F6" w:rsidRPr="00EF51F6" w:rsidRDefault="00EF51F6" w:rsidP="00EF51F6">
      <w:pPr>
        <w:spacing w:after="0" w:line="240" w:lineRule="auto"/>
        <w:rPr>
          <w:rFonts w:ascii="Simplified Arabic" w:hAnsi="Simplified Arabic" w:cs="Simplified Arabic"/>
          <w:sz w:val="28"/>
          <w:szCs w:val="28"/>
          <w:rtl/>
        </w:rPr>
      </w:pPr>
    </w:p>
    <w:p w14:paraId="3C7E82B6" w14:textId="77777777" w:rsidR="00EF51F6" w:rsidRPr="0025580F" w:rsidRDefault="00EF51F6" w:rsidP="00EF51F6">
      <w:pPr>
        <w:spacing w:after="0" w:line="240" w:lineRule="auto"/>
        <w:rPr>
          <w:rFonts w:ascii="Simplified Arabic" w:hAnsi="Simplified Arabic" w:cs="Simplified Arabic"/>
          <w:b/>
          <w:bCs/>
          <w:sz w:val="36"/>
          <w:szCs w:val="36"/>
          <w:rtl/>
        </w:rPr>
      </w:pPr>
      <w:r w:rsidRPr="0025580F">
        <w:rPr>
          <w:rFonts w:ascii="Simplified Arabic" w:hAnsi="Simplified Arabic" w:cs="Simplified Arabic"/>
          <w:b/>
          <w:bCs/>
          <w:sz w:val="36"/>
          <w:szCs w:val="36"/>
          <w:rtl/>
        </w:rPr>
        <w:t>2.3 مفهوم الاستدامة البيئية</w:t>
      </w:r>
    </w:p>
    <w:p w14:paraId="5C6941D4" w14:textId="77777777" w:rsidR="00EF51F6" w:rsidRPr="00065E75" w:rsidRDefault="00EF51F6" w:rsidP="00EF51F6">
      <w:pPr>
        <w:spacing w:after="0" w:line="240" w:lineRule="auto"/>
        <w:rPr>
          <w:rFonts w:ascii="Simplified Arabic" w:hAnsi="Simplified Arabic" w:cs="Simplified Arabic"/>
          <w:sz w:val="36"/>
          <w:szCs w:val="36"/>
          <w:rtl/>
        </w:rPr>
      </w:pPr>
    </w:p>
    <w:p w14:paraId="4D0F4751" w14:textId="2496B0F8" w:rsidR="00EF51F6" w:rsidRPr="00EF51F6" w:rsidRDefault="00065E75" w:rsidP="00065E75">
      <w:pPr>
        <w:spacing w:after="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تمثل الاستدامة البيئية أحد الأبعاد المركزية في مفهوم الاستدامة بمفهومه الشامل، وهي تركز على حماية النظم الطبيعية، وترشيد استهلاك الموارد، وتقليل التلوث والانبعاثات، وخفض الهدر، والحد من استنزاف البيئة، بما يضمن استدامة قدرة الأنظمة البيئية على دعم الحياة والتنمية على المدى الطويل. ويرتبط هذا المعنى ارتباطًا وثيقًا بالتصور الذي طرحته لجنة البيئة والتنمية العالمية في تقرير مستقبلنا المشترك، حين أكدت ضرورة تلبية احتياجات الحاضر دون الإضرار بقدرة الأجيال القادمة على تلبية احتياجاتها (</w:t>
      </w:r>
      <w:r w:rsidR="00EF51F6" w:rsidRPr="00EF51F6">
        <w:rPr>
          <w:rFonts w:ascii="Simplified Arabic" w:hAnsi="Simplified Arabic" w:cs="Simplified Arabic"/>
          <w:sz w:val="28"/>
          <w:szCs w:val="28"/>
        </w:rPr>
        <w:t>World Commission on Environment and Development, 1987</w:t>
      </w:r>
      <w:r w:rsidR="00EF51F6" w:rsidRPr="00EF51F6">
        <w:rPr>
          <w:rFonts w:ascii="Simplified Arabic" w:hAnsi="Simplified Arabic" w:cs="Simplified Arabic"/>
          <w:sz w:val="28"/>
          <w:szCs w:val="28"/>
          <w:rtl/>
        </w:rPr>
        <w:t>).</w:t>
      </w:r>
    </w:p>
    <w:p w14:paraId="5E2FDE71" w14:textId="77777777" w:rsidR="00EF51F6" w:rsidRPr="00EF51F6" w:rsidRDefault="00EF51F6" w:rsidP="00065E75">
      <w:pPr>
        <w:spacing w:after="0" w:line="240" w:lineRule="auto"/>
        <w:jc w:val="both"/>
        <w:rPr>
          <w:rFonts w:ascii="Simplified Arabic" w:hAnsi="Simplified Arabic" w:cs="Simplified Arabic"/>
          <w:sz w:val="28"/>
          <w:szCs w:val="28"/>
          <w:rtl/>
        </w:rPr>
      </w:pPr>
    </w:p>
    <w:p w14:paraId="6D758418" w14:textId="7A6DF790" w:rsidR="00EF51F6" w:rsidRPr="00EF51F6" w:rsidRDefault="00EF51F6" w:rsidP="00065E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 xml:space="preserve">وفي سياق المشاريع الهندسية، تُفهم الاستدامة البيئية بوصفها قدرة المشروع على إدارة علاقته بالموارد الطبيعية والبيئة المحيطة به على نحو يقلل الأثر السلبي ويعزز الكفاءة والاستعادة البيئية حيثما أمكن. فهي تشمل خفض الانبعاثات، وتحسين كفاءة الطاقة، وترشيد المياه، وتقليل النفايات، وإدماج مبادئ </w:t>
      </w:r>
      <w:r w:rsidR="006C551D">
        <w:rPr>
          <w:rFonts w:ascii="Simplified Arabic" w:hAnsi="Simplified Arabic" w:cs="Simplified Arabic" w:hint="cs"/>
          <w:sz w:val="28"/>
          <w:szCs w:val="28"/>
          <w:rtl/>
        </w:rPr>
        <w:t>إعادة التدوير</w:t>
      </w:r>
      <w:r w:rsidRPr="00EF51F6">
        <w:rPr>
          <w:rFonts w:ascii="Simplified Arabic" w:hAnsi="Simplified Arabic" w:cs="Simplified Arabic"/>
          <w:sz w:val="28"/>
          <w:szCs w:val="28"/>
          <w:rtl/>
        </w:rPr>
        <w:t>، وحماية التنوع الحيوي، والحد من الإضرار بالموائل الطبيعية.</w:t>
      </w:r>
    </w:p>
    <w:p w14:paraId="50596DE6" w14:textId="77777777" w:rsidR="00EF51F6" w:rsidRPr="00EF51F6" w:rsidRDefault="00EF51F6" w:rsidP="00065E75">
      <w:pPr>
        <w:spacing w:after="0" w:line="240" w:lineRule="auto"/>
        <w:jc w:val="both"/>
        <w:rPr>
          <w:rFonts w:ascii="Simplified Arabic" w:hAnsi="Simplified Arabic" w:cs="Simplified Arabic"/>
          <w:sz w:val="28"/>
          <w:szCs w:val="28"/>
          <w:rtl/>
        </w:rPr>
      </w:pPr>
    </w:p>
    <w:p w14:paraId="11DA0106" w14:textId="77777777" w:rsidR="00EF51F6" w:rsidRPr="00EF51F6" w:rsidRDefault="00EF51F6" w:rsidP="00065E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وتؤكد الأدبيات الحديثة أن الاستدامة البيئية في المشاريع لا ينبغي أن تُقاس فقط بما إذا كانت هناك أهداف بيئية معلنة، بل بمدى تحول تلك الأهداف إلى ممارسات تشغيلية ومؤشرات أداء قابلة للقياس والإفصاح. كما أن التقييم المنهجي للاستدامة البيئية يتطلب التمييز بين الالتزام المؤسسي المعلن، والمؤشر التشغيلي المنشور، والأثر البيئي طويل المدى، خاصة في مشاريع البنية التحتية والمشاريع العملاقة التي تمتد على مراحل زمنية طويلة (</w:t>
      </w:r>
      <w:r w:rsidRPr="00EF51F6">
        <w:rPr>
          <w:rFonts w:ascii="Simplified Arabic" w:hAnsi="Simplified Arabic" w:cs="Simplified Arabic"/>
          <w:sz w:val="28"/>
          <w:szCs w:val="28"/>
        </w:rPr>
        <w:t>Srivastava et al., 2024</w:t>
      </w:r>
      <w:r w:rsidRPr="00EF51F6">
        <w:rPr>
          <w:rFonts w:ascii="Simplified Arabic" w:hAnsi="Simplified Arabic" w:cs="Simplified Arabic"/>
          <w:sz w:val="28"/>
          <w:szCs w:val="28"/>
          <w:rtl/>
        </w:rPr>
        <w:t>).</w:t>
      </w:r>
    </w:p>
    <w:p w14:paraId="73660F4E" w14:textId="77777777" w:rsidR="00EF51F6" w:rsidRPr="00EF51F6" w:rsidRDefault="00EF51F6" w:rsidP="00065E75">
      <w:pPr>
        <w:spacing w:after="0" w:line="240" w:lineRule="auto"/>
        <w:jc w:val="both"/>
        <w:rPr>
          <w:rFonts w:ascii="Simplified Arabic" w:hAnsi="Simplified Arabic" w:cs="Simplified Arabic"/>
          <w:sz w:val="28"/>
          <w:szCs w:val="28"/>
          <w:rtl/>
        </w:rPr>
      </w:pPr>
    </w:p>
    <w:p w14:paraId="2D661228" w14:textId="77777777" w:rsidR="00EF51F6" w:rsidRPr="00EF51F6" w:rsidRDefault="00EF51F6" w:rsidP="00065E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كما أن الاستدامة البيئية في المشاريع العملاقة لا تقتصر على خفض الضرر أو التخفيف من الأثر السلبي، بل قد تمتد إلى تبني منطق تجديدي أو ترميمي في التعامل مع البيئة، بحيث يُعاد النظر في المشروع ليس باعتباره مصدر ضغط على النظام البيئي فقط، بل باعتباره فاعلًا مؤسسيًا قد يسهم في الحماية أو الاستعادة أو تحسين إدارة الموارد الطبيعية. وهذا التحول من منطق “تقليل الضرر” إلى منطق “إنتاج منفعة بيئية” يمثل أحد المؤشرات المتقدمة على نضج الإدارة البيئية في المشاريع الكبرى.</w:t>
      </w:r>
    </w:p>
    <w:p w14:paraId="3FD354E2" w14:textId="77777777" w:rsidR="00EF51F6" w:rsidRPr="00EF51F6" w:rsidRDefault="00EF51F6" w:rsidP="00065E75">
      <w:pPr>
        <w:spacing w:after="0" w:line="240" w:lineRule="auto"/>
        <w:jc w:val="both"/>
        <w:rPr>
          <w:rFonts w:ascii="Simplified Arabic" w:hAnsi="Simplified Arabic" w:cs="Simplified Arabic"/>
          <w:sz w:val="28"/>
          <w:szCs w:val="28"/>
          <w:rtl/>
        </w:rPr>
      </w:pPr>
    </w:p>
    <w:p w14:paraId="296C3F77" w14:textId="77777777" w:rsidR="00EF51F6" w:rsidRPr="00EF51F6" w:rsidRDefault="00EF51F6" w:rsidP="00065E75">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وعليه، يمكن تعريف الاستدامة البيئية في هذه الدراسة بأنها قدرة المشروع على تقليل استنزاف الموارد الطبيعية وخفض الانبعاثات والتلوث والهدر، وتحسين كفاءة الطاقة والمياه والمواد، وحماية النظم البيئية على المدى الطويل، من خلال سياسات وممارسات مؤسسية وتشغيلية قابلة للتتبع.</w:t>
      </w:r>
    </w:p>
    <w:p w14:paraId="38CB7825" w14:textId="77777777" w:rsidR="00EF51F6" w:rsidRPr="00EF51F6" w:rsidRDefault="00EF51F6" w:rsidP="00EF51F6">
      <w:pPr>
        <w:spacing w:after="0" w:line="240" w:lineRule="auto"/>
        <w:rPr>
          <w:rFonts w:ascii="Simplified Arabic" w:hAnsi="Simplified Arabic" w:cs="Simplified Arabic"/>
          <w:sz w:val="28"/>
          <w:szCs w:val="28"/>
          <w:rtl/>
        </w:rPr>
      </w:pPr>
    </w:p>
    <w:p w14:paraId="70CCFAF4" w14:textId="77777777" w:rsidR="00EF51F6" w:rsidRPr="00164E58" w:rsidRDefault="00EF51F6" w:rsidP="00EF51F6">
      <w:pPr>
        <w:spacing w:after="0" w:line="240" w:lineRule="auto"/>
        <w:rPr>
          <w:rFonts w:ascii="Simplified Arabic" w:hAnsi="Simplified Arabic" w:cs="Simplified Arabic"/>
          <w:b/>
          <w:bCs/>
          <w:sz w:val="32"/>
          <w:szCs w:val="32"/>
          <w:rtl/>
        </w:rPr>
      </w:pPr>
      <w:r w:rsidRPr="00164E58">
        <w:rPr>
          <w:rFonts w:ascii="Simplified Arabic" w:hAnsi="Simplified Arabic" w:cs="Simplified Arabic"/>
          <w:b/>
          <w:bCs/>
          <w:sz w:val="32"/>
          <w:szCs w:val="32"/>
          <w:rtl/>
        </w:rPr>
        <w:t>2.3.1 الاستدامة البيئية عبر دورة حياة المشروع</w:t>
      </w:r>
    </w:p>
    <w:p w14:paraId="02C468D7" w14:textId="77777777" w:rsidR="00EF51F6" w:rsidRPr="00164E58" w:rsidRDefault="00EF51F6" w:rsidP="00EF51F6">
      <w:pPr>
        <w:spacing w:after="0" w:line="240" w:lineRule="auto"/>
        <w:rPr>
          <w:rFonts w:ascii="Simplified Arabic" w:hAnsi="Simplified Arabic" w:cs="Simplified Arabic"/>
          <w:sz w:val="32"/>
          <w:szCs w:val="32"/>
          <w:rtl/>
        </w:rPr>
      </w:pPr>
    </w:p>
    <w:p w14:paraId="43F6BFDF" w14:textId="6C626FF9" w:rsidR="00EF51F6" w:rsidRPr="00EF51F6" w:rsidRDefault="00164E58" w:rsidP="00164E58">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تتضح قيمة الاستدامة البيئية بصورة أعمق إذا نُظر إليها من خلال دورة حياة المشروع. ففي مرحلة التهيئة والتخطيط تظهر في تحليل البدائل واختيار المواقع وتقدير المخاطر البيئية. وفي مرحلة التصميم تتجسد في كفاءة الطاقة والمياه والمواد وتقليل الأثر المستقبلي. أما في مرحلتي التنفيذ والتوريد فتظهر في إدارة المخلفات، والحد من الهدر، وضبط الانبعاثات، واختيار الموردين والمواد بصورة أكثر اتساقًا مع الأهداف البيئية. وفي مرحلة التشغيل تصبح الاستدامة البيئية مرتبطة مباشرة بكفاءة الأداء الفعلي، ونظم القياس والإفصاح، والتحسين المستمر.</w:t>
      </w:r>
    </w:p>
    <w:p w14:paraId="6C2B9797" w14:textId="77777777" w:rsidR="00EF51F6" w:rsidRPr="00EF51F6" w:rsidRDefault="00EF51F6" w:rsidP="00164E58">
      <w:pPr>
        <w:spacing w:after="0" w:line="240" w:lineRule="auto"/>
        <w:jc w:val="both"/>
        <w:rPr>
          <w:rFonts w:ascii="Simplified Arabic" w:hAnsi="Simplified Arabic" w:cs="Simplified Arabic"/>
          <w:sz w:val="28"/>
          <w:szCs w:val="28"/>
          <w:rtl/>
        </w:rPr>
      </w:pPr>
    </w:p>
    <w:p w14:paraId="5F637AEF" w14:textId="77777777" w:rsidR="00EF51F6" w:rsidRPr="00EF51F6" w:rsidRDefault="00EF51F6" w:rsidP="00164E58">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ويكشف هذا المنظور أن الاستدامة البيئية ليست مرحلة لاحقة أو ملحقًا تشغيليًا، بل حصيلة قرارات متراكمة عبر دورة حياة المشروع بأكملها. ومن ثم، فإن أي دراسة جادة للاستدامة في المشاريع العملاقة ينبغي أن تراعي أن الأثر البيئي النهائي ليس نتاج مرحلة واحدة، بل نتاج تراكم مؤسسي يبدأ من التخطيط ويستمر إلى التشغيل.</w:t>
      </w:r>
    </w:p>
    <w:p w14:paraId="066FFF11" w14:textId="77777777" w:rsidR="00EF51F6" w:rsidRPr="00EF51F6" w:rsidRDefault="00EF51F6" w:rsidP="00EF51F6">
      <w:pPr>
        <w:spacing w:after="0" w:line="240" w:lineRule="auto"/>
        <w:rPr>
          <w:rFonts w:ascii="Simplified Arabic" w:hAnsi="Simplified Arabic" w:cs="Simplified Arabic"/>
          <w:sz w:val="28"/>
          <w:szCs w:val="28"/>
          <w:rtl/>
        </w:rPr>
      </w:pPr>
    </w:p>
    <w:p w14:paraId="1198D34B" w14:textId="77777777" w:rsidR="00EF51F6" w:rsidRPr="0025580F" w:rsidRDefault="00EF51F6" w:rsidP="00EF51F6">
      <w:pPr>
        <w:spacing w:after="0" w:line="240" w:lineRule="auto"/>
        <w:rPr>
          <w:rFonts w:ascii="Simplified Arabic" w:hAnsi="Simplified Arabic" w:cs="Simplified Arabic"/>
          <w:b/>
          <w:bCs/>
          <w:sz w:val="36"/>
          <w:szCs w:val="36"/>
          <w:rtl/>
        </w:rPr>
      </w:pPr>
      <w:r w:rsidRPr="0025580F">
        <w:rPr>
          <w:rFonts w:ascii="Simplified Arabic" w:hAnsi="Simplified Arabic" w:cs="Simplified Arabic"/>
          <w:b/>
          <w:bCs/>
          <w:sz w:val="36"/>
          <w:szCs w:val="36"/>
          <w:rtl/>
        </w:rPr>
        <w:t>2.4 المشاريع الهندسية العملاقة وخصائصها</w:t>
      </w:r>
    </w:p>
    <w:p w14:paraId="2EEEACDA" w14:textId="77777777" w:rsidR="00EF51F6" w:rsidRPr="00164E58" w:rsidRDefault="00EF51F6" w:rsidP="00EF51F6">
      <w:pPr>
        <w:spacing w:after="0" w:line="240" w:lineRule="auto"/>
        <w:rPr>
          <w:rFonts w:ascii="Simplified Arabic" w:hAnsi="Simplified Arabic" w:cs="Simplified Arabic"/>
          <w:sz w:val="36"/>
          <w:szCs w:val="36"/>
          <w:rtl/>
        </w:rPr>
      </w:pPr>
    </w:p>
    <w:p w14:paraId="156A0169" w14:textId="5666BFD2" w:rsidR="00EF51F6" w:rsidRPr="00EF51F6" w:rsidRDefault="00164E58" w:rsidP="00164E58">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المشاريع الهندسية العملاقة هي مشاريع واسعة النطاق، مرتفعة التكلفة، طويلة الأمد، متعددة الأطراف، عالية التعقيد، وينتج عنها أثر اقتصادي وعمراني وبيئي ومؤسسي كبير. ولا تُعرف هذه المشاريع فقط بحجمها المالي أو الهندسي، بل أيضًا باتساع نطاقها المكاني، وتعدد الجهات الفاعلة فيها، وتداخل القرارات الفنية والإدارية والسياسية والتنظيمية فيها، وطول دورة حياتها من التخطيط إلى التشغيل.</w:t>
      </w:r>
    </w:p>
    <w:p w14:paraId="1EC4E74C" w14:textId="77777777" w:rsidR="00EF51F6" w:rsidRPr="00EF51F6" w:rsidRDefault="00EF51F6" w:rsidP="00164E58">
      <w:pPr>
        <w:spacing w:after="0" w:line="240" w:lineRule="auto"/>
        <w:jc w:val="both"/>
        <w:rPr>
          <w:rFonts w:ascii="Simplified Arabic" w:hAnsi="Simplified Arabic" w:cs="Simplified Arabic"/>
          <w:sz w:val="28"/>
          <w:szCs w:val="28"/>
          <w:rtl/>
        </w:rPr>
      </w:pPr>
    </w:p>
    <w:p w14:paraId="02EA1366" w14:textId="77777777" w:rsidR="00EF51F6" w:rsidRPr="00EF51F6" w:rsidRDefault="00EF51F6" w:rsidP="00164E58">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وقد بينت الأدبيات العلمية الخاصة باستدامة المشاريع العملاقة أن هذا النوع من المشاريع يتطلب قراءة مختلفة عن المشاريع التقليدية، لأن الاستدامة فيه لا ترتبط فقط بكفاءة التنفيذ أو جودة المخرج النهائي، بل أيضًا بمدى نضج الحوكمة، ووضوح الأدوار، وإدارة أصحاب المصلحة، والقدرة على التوفيق بين الطموحات التنموية والقيود البيئية والاجتماعية. كما أظهرت مراجعات علمية أن البحث العالمي حول استدامة إدارة المشاريع العملاقة أصبح حقلًا متناميًا، يضم موضوعات متعددة مثل البيئة، والحوكمة، والتخطيط، وأصحاب المصلحة، والتقييم طويل المدى (</w:t>
      </w:r>
      <w:r w:rsidRPr="00EF51F6">
        <w:rPr>
          <w:rFonts w:ascii="Simplified Arabic" w:hAnsi="Simplified Arabic" w:cs="Simplified Arabic"/>
          <w:sz w:val="28"/>
          <w:szCs w:val="28"/>
        </w:rPr>
        <w:t>Wang et al., 2020</w:t>
      </w:r>
      <w:r w:rsidRPr="00EF51F6">
        <w:rPr>
          <w:rFonts w:ascii="Simplified Arabic" w:hAnsi="Simplified Arabic" w:cs="Simplified Arabic"/>
          <w:sz w:val="28"/>
          <w:szCs w:val="28"/>
          <w:rtl/>
        </w:rPr>
        <w:t>).</w:t>
      </w:r>
    </w:p>
    <w:p w14:paraId="68F6D9CA" w14:textId="77777777" w:rsidR="00EF51F6" w:rsidRPr="00EF51F6" w:rsidRDefault="00EF51F6" w:rsidP="00164E58">
      <w:pPr>
        <w:spacing w:after="0" w:line="240" w:lineRule="auto"/>
        <w:jc w:val="both"/>
        <w:rPr>
          <w:rFonts w:ascii="Simplified Arabic" w:hAnsi="Simplified Arabic" w:cs="Simplified Arabic"/>
          <w:sz w:val="28"/>
          <w:szCs w:val="28"/>
          <w:rtl/>
        </w:rPr>
      </w:pPr>
    </w:p>
    <w:p w14:paraId="610DFAE4" w14:textId="77777777" w:rsidR="00EF51F6" w:rsidRPr="00EF51F6" w:rsidRDefault="00EF51F6" w:rsidP="00164E58">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وتكمن خصوصية البعد البيئي في المشاريع العملاقة في أن أي قرار خاطئ في التصميم أو التوريد أو التشغيل قد تكون له آثار ممتدة جغرافيًا وزمنيًا، نظرًا إلى كبر حجم المشروع وكثافة استهلاكه للموارد وتعدد الجهات المتداخلة فيه. وفي المقابل، فإن المشاريع العملاقة تمنح أيضًا فرصة غير مسبوقة لتبني نماذج تنموية جديدة إذا جرى دمج مبادئ الاستدامة منذ المراحل المبكرة في التخطيط والتصميم والتمويل والتشغيل.</w:t>
      </w:r>
    </w:p>
    <w:p w14:paraId="705EEBDF" w14:textId="77777777" w:rsidR="00EF51F6" w:rsidRPr="00EF51F6" w:rsidRDefault="00EF51F6" w:rsidP="00164E58">
      <w:pPr>
        <w:spacing w:after="0" w:line="240" w:lineRule="auto"/>
        <w:jc w:val="both"/>
        <w:rPr>
          <w:rFonts w:ascii="Simplified Arabic" w:hAnsi="Simplified Arabic" w:cs="Simplified Arabic"/>
          <w:sz w:val="28"/>
          <w:szCs w:val="28"/>
          <w:rtl/>
        </w:rPr>
      </w:pPr>
    </w:p>
    <w:p w14:paraId="048BAB33" w14:textId="77777777" w:rsidR="00EF51F6" w:rsidRPr="00EF51F6" w:rsidRDefault="00EF51F6" w:rsidP="00164E58">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وتكشف الأدبيات كذلك أن المشاريع العملاقة قد تُنتج فجوة بين الرؤية الاستراتيجية والواقع التنفيذي؛ فكلما اتسع حجم المشروع زادت احتمالية ظهور تفاوت بين الخطط المعلنة، والقدرات المؤسسية، ومستوى التنسيق بين الفاعلين، وآليات المتابعة، ووتيرة الإفصاح. ومن هنا تبرز أهمية دراسة الإدارة الخضراء في هذا النوع من المشاريع لا من زاوية النوايا المعلنة فقط، بل من زاوية قدرتها على الصمود داخل بيئة تنظيمية وتشغيلية معقدة.</w:t>
      </w:r>
    </w:p>
    <w:p w14:paraId="7D336744" w14:textId="77777777" w:rsidR="00EF51F6" w:rsidRPr="00EF51F6" w:rsidRDefault="00EF51F6" w:rsidP="00164E58">
      <w:pPr>
        <w:spacing w:after="0" w:line="240" w:lineRule="auto"/>
        <w:jc w:val="both"/>
        <w:rPr>
          <w:rFonts w:ascii="Simplified Arabic" w:hAnsi="Simplified Arabic" w:cs="Simplified Arabic"/>
          <w:sz w:val="28"/>
          <w:szCs w:val="28"/>
          <w:rtl/>
        </w:rPr>
      </w:pPr>
    </w:p>
    <w:p w14:paraId="380D8E32" w14:textId="77777777" w:rsidR="00EF51F6" w:rsidRPr="00EF51F6" w:rsidRDefault="00EF51F6" w:rsidP="00164E58">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وفي ضوء ذلك، يمكن القول إن المشاريع الهندسية العملاقة تمثل بيئة اختبار حقيقية لمستوى نضج الإدارة الخضراء؛ لأن نجاحها البيئي لا يتحقق بالمبادرات الجزئية، بل يتطلب دمج البيئة في البنية الإدارية والحوكمية والتشغيلية للمشروع بأكمله.</w:t>
      </w:r>
    </w:p>
    <w:p w14:paraId="7B14DC9E" w14:textId="77777777" w:rsidR="00EF51F6" w:rsidRPr="00EF51F6" w:rsidRDefault="00EF51F6" w:rsidP="00EF51F6">
      <w:pPr>
        <w:spacing w:after="0" w:line="240" w:lineRule="auto"/>
        <w:rPr>
          <w:rFonts w:ascii="Simplified Arabic" w:hAnsi="Simplified Arabic" w:cs="Simplified Arabic"/>
          <w:sz w:val="28"/>
          <w:szCs w:val="28"/>
          <w:rtl/>
        </w:rPr>
      </w:pPr>
    </w:p>
    <w:p w14:paraId="6A608C09" w14:textId="77777777" w:rsidR="00EF51F6" w:rsidRPr="00164E58" w:rsidRDefault="00EF51F6" w:rsidP="00EF51F6">
      <w:pPr>
        <w:spacing w:after="0" w:line="240" w:lineRule="auto"/>
        <w:rPr>
          <w:rFonts w:ascii="Simplified Arabic" w:hAnsi="Simplified Arabic" w:cs="Simplified Arabic"/>
          <w:b/>
          <w:bCs/>
          <w:sz w:val="32"/>
          <w:szCs w:val="32"/>
          <w:rtl/>
        </w:rPr>
      </w:pPr>
      <w:r w:rsidRPr="00164E58">
        <w:rPr>
          <w:rFonts w:ascii="Simplified Arabic" w:hAnsi="Simplified Arabic" w:cs="Simplified Arabic"/>
          <w:b/>
          <w:bCs/>
          <w:sz w:val="32"/>
          <w:szCs w:val="32"/>
          <w:rtl/>
        </w:rPr>
        <w:t>2.4.1 الحوكمة البيئية في المشاريع العملاقة</w:t>
      </w:r>
    </w:p>
    <w:p w14:paraId="14E9322E" w14:textId="77777777" w:rsidR="00EF51F6" w:rsidRPr="00164E58" w:rsidRDefault="00EF51F6" w:rsidP="00EF51F6">
      <w:pPr>
        <w:spacing w:after="0" w:line="240" w:lineRule="auto"/>
        <w:rPr>
          <w:rFonts w:ascii="Simplified Arabic" w:hAnsi="Simplified Arabic" w:cs="Simplified Arabic"/>
          <w:sz w:val="32"/>
          <w:szCs w:val="32"/>
          <w:rtl/>
        </w:rPr>
      </w:pPr>
    </w:p>
    <w:p w14:paraId="5136BA52" w14:textId="6BD661F0" w:rsidR="00EF51F6" w:rsidRPr="00EF51F6" w:rsidRDefault="00164E58" w:rsidP="00164E58">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تُعد الحوكمة البيئية من المفاتيح التفسيرية الجوهرية لفهم نجاح الإدارة الخضراء أو محدوديتها داخل المشاريع العملاقة. فالأهداف البيئية، مهما كانت طموحة، لا تتحول إلى نتائج قابلة للتتبع إلا إذا وُجدت بنية مؤسسية واضحة تحدد المسؤوليات، وتربط الأداء البيئي بآليات القرار والتعاقد والمتابعة والمساءلة. وتزداد أهمية هذا البعد في المشاريع العملاقة بسبب تعدد الجهات الفاعلة، واتساع النطاق الزمني والمكاني، والحاجة إلى توحيد لغة الأداء البيئي بين المالكين والمطورين والمقاولين والموردين والجهات التنظيمية.</w:t>
      </w:r>
    </w:p>
    <w:p w14:paraId="3B96AAB0" w14:textId="77777777" w:rsidR="00EF51F6" w:rsidRPr="00EF51F6" w:rsidRDefault="00EF51F6" w:rsidP="00164E58">
      <w:pPr>
        <w:spacing w:after="0" w:line="240" w:lineRule="auto"/>
        <w:jc w:val="both"/>
        <w:rPr>
          <w:rFonts w:ascii="Simplified Arabic" w:hAnsi="Simplified Arabic" w:cs="Simplified Arabic"/>
          <w:sz w:val="28"/>
          <w:szCs w:val="28"/>
          <w:rtl/>
        </w:rPr>
      </w:pPr>
    </w:p>
    <w:p w14:paraId="1E1F060B" w14:textId="77777777" w:rsidR="00EF51F6" w:rsidRPr="00EF51F6" w:rsidRDefault="00EF51F6" w:rsidP="00164E58">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ومن ثم، فإن الحوكمة البيئية لا تعني وجود سياسة بيئية عامة فحسب، بل تعني وجود آليات تشغيلية ومؤسسية تضمن ترجمة الالتزام البيئي إلى ممارسة قابلة للقياس والمراجعة. وكلما ارتفع مستوى الحوكمة البيئية، أصبح المشروع أكثر قدرة على الانتقال من إعلان الالتزام إلى تتبع الأداء، ومن الرؤية العامة إلى المؤشرات المحددة.</w:t>
      </w:r>
    </w:p>
    <w:p w14:paraId="2737A140" w14:textId="77777777" w:rsidR="00EF51F6" w:rsidRPr="00EF51F6" w:rsidRDefault="00EF51F6" w:rsidP="00EF51F6">
      <w:pPr>
        <w:spacing w:after="0" w:line="240" w:lineRule="auto"/>
        <w:rPr>
          <w:rFonts w:ascii="Simplified Arabic" w:hAnsi="Simplified Arabic" w:cs="Simplified Arabic"/>
          <w:sz w:val="28"/>
          <w:szCs w:val="28"/>
          <w:rtl/>
        </w:rPr>
      </w:pPr>
    </w:p>
    <w:p w14:paraId="1C31D225" w14:textId="77777777" w:rsidR="00EF51F6" w:rsidRPr="0025580F" w:rsidRDefault="00EF51F6" w:rsidP="00EF51F6">
      <w:pPr>
        <w:spacing w:after="0" w:line="240" w:lineRule="auto"/>
        <w:rPr>
          <w:rFonts w:ascii="Simplified Arabic" w:hAnsi="Simplified Arabic" w:cs="Simplified Arabic"/>
          <w:b/>
          <w:bCs/>
          <w:sz w:val="36"/>
          <w:szCs w:val="36"/>
          <w:rtl/>
        </w:rPr>
      </w:pPr>
      <w:r w:rsidRPr="0025580F">
        <w:rPr>
          <w:rFonts w:ascii="Simplified Arabic" w:hAnsi="Simplified Arabic" w:cs="Simplified Arabic"/>
          <w:b/>
          <w:bCs/>
          <w:sz w:val="36"/>
          <w:szCs w:val="36"/>
          <w:rtl/>
        </w:rPr>
        <w:t>2.5 العلاقة بين الإدارة الخضراء والاستدامة البيئية</w:t>
      </w:r>
    </w:p>
    <w:p w14:paraId="3E578A44" w14:textId="77777777" w:rsidR="00EF51F6" w:rsidRPr="00164E58" w:rsidRDefault="00EF51F6" w:rsidP="00EF51F6">
      <w:pPr>
        <w:spacing w:after="0" w:line="240" w:lineRule="auto"/>
        <w:rPr>
          <w:rFonts w:ascii="Simplified Arabic" w:hAnsi="Simplified Arabic" w:cs="Simplified Arabic"/>
          <w:sz w:val="36"/>
          <w:szCs w:val="36"/>
          <w:rtl/>
        </w:rPr>
      </w:pPr>
    </w:p>
    <w:p w14:paraId="3F602EB7" w14:textId="3DCA90E8" w:rsidR="00EF51F6" w:rsidRPr="00EF51F6" w:rsidRDefault="00164E58" w:rsidP="00164E58">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العلاقة بين الإدارة الخضراء والاستدامة البيئية هي علاقة تفسيرية يمكن قراءتها بوصفها علاقة وسيلة بنتيجة؛ فالإدارة الخضراء تمثل الإطار الإداري الذي يسمح بإدخال البيئة في بنية القرار، بينما تمثل الاستدامة البيئية الناتج الذي يعكس أثر ذلك الإدماج على أرض الواقع. وكلما أصبحت البيئة جزءًا من السياسات، والتخطيط، والحوكمة، والتصميم، والتوريد، والتشغيل، والقياس، زادت فرص تحقق نتائج بيئية أفضل.</w:t>
      </w:r>
    </w:p>
    <w:p w14:paraId="67ECFE6A" w14:textId="77777777" w:rsidR="00EF51F6" w:rsidRPr="00EF51F6" w:rsidRDefault="00EF51F6" w:rsidP="00164E58">
      <w:pPr>
        <w:spacing w:after="0" w:line="240" w:lineRule="auto"/>
        <w:jc w:val="both"/>
        <w:rPr>
          <w:rFonts w:ascii="Simplified Arabic" w:hAnsi="Simplified Arabic" w:cs="Simplified Arabic"/>
          <w:sz w:val="28"/>
          <w:szCs w:val="28"/>
          <w:rtl/>
        </w:rPr>
      </w:pPr>
    </w:p>
    <w:p w14:paraId="09E923D8" w14:textId="77777777" w:rsidR="00EF51F6" w:rsidRPr="00EF51F6" w:rsidRDefault="00EF51F6" w:rsidP="00164E58">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وتؤكد الأدبيات أن الاستدامة البيئية في المشاريع لا تنشأ تلقائيًا من وجود خطاب مؤسسي داعم أو من إعلان أهداف بيئية طموحة، بل تنشأ من خلال سلسلة إدارية متكاملة تبدأ بتحديد السياسات والالتزامات، ثم ترجمتها إلى أنظمة وإجراءات ومؤشرات، ثم تطبيقها ومتابعتها وتحسينها باستمرار. وقد أوضحت مراجعات علمية أن هناك نقصًا في دمج الاستدامة وإدارة المشاريع بصورة عملية على مستوى المشروع، وأن الحاجة ما تزال قائمة إلى تحويل المفاهيم العامة إلى أطر تطبيقية تدعم اتخاذ القرار داخل المشروع (</w:t>
      </w:r>
      <w:r w:rsidRPr="00EF51F6">
        <w:rPr>
          <w:rFonts w:ascii="Simplified Arabic" w:hAnsi="Simplified Arabic" w:cs="Simplified Arabic"/>
          <w:sz w:val="28"/>
          <w:szCs w:val="28"/>
        </w:rPr>
        <w:t>Marcelino-Sádaba et al., 2015</w:t>
      </w:r>
      <w:r w:rsidRPr="00EF51F6">
        <w:rPr>
          <w:rFonts w:ascii="Simplified Arabic" w:hAnsi="Simplified Arabic" w:cs="Simplified Arabic"/>
          <w:sz w:val="28"/>
          <w:szCs w:val="28"/>
          <w:rtl/>
        </w:rPr>
        <w:t>).</w:t>
      </w:r>
    </w:p>
    <w:p w14:paraId="5010C832" w14:textId="77777777" w:rsidR="00EF51F6" w:rsidRPr="00EF51F6" w:rsidRDefault="00EF51F6" w:rsidP="00164E58">
      <w:pPr>
        <w:spacing w:after="0" w:line="240" w:lineRule="auto"/>
        <w:jc w:val="both"/>
        <w:rPr>
          <w:rFonts w:ascii="Simplified Arabic" w:hAnsi="Simplified Arabic" w:cs="Simplified Arabic"/>
          <w:sz w:val="28"/>
          <w:szCs w:val="28"/>
          <w:rtl/>
        </w:rPr>
      </w:pPr>
    </w:p>
    <w:p w14:paraId="2EDCFEE1" w14:textId="77777777" w:rsidR="00EF51F6" w:rsidRPr="00EF51F6" w:rsidRDefault="00EF51F6" w:rsidP="00164E58">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ومن هذا المنظور، فإن الإدارة الخضراء تُعد الآلية التي تجعل الاستدامة البيئية ممكنة ومؤسسية وقابلة للتتبع. فهي التي تربط بين الأهداف البيئية العليا وبين القرارات اليومية المتعلقة بالطاقة، والمياه، والنفايات، والانبعاثات، والمواد، والتنوع الحيوي، والعلاقات مع الموردين والمتعاقدين. وبذلك تصبح الاستدامة البيئية ليست مجرد غاية خطابية، بل نتيجة متوقعة لنضج النظام الإداري البيئي داخل المشروع.</w:t>
      </w:r>
    </w:p>
    <w:p w14:paraId="6F2AD9F9" w14:textId="77777777" w:rsidR="00EF51F6" w:rsidRPr="00EF51F6" w:rsidRDefault="00EF51F6" w:rsidP="00164E58">
      <w:pPr>
        <w:spacing w:after="0" w:line="240" w:lineRule="auto"/>
        <w:jc w:val="both"/>
        <w:rPr>
          <w:rFonts w:ascii="Simplified Arabic" w:hAnsi="Simplified Arabic" w:cs="Simplified Arabic"/>
          <w:sz w:val="28"/>
          <w:szCs w:val="28"/>
          <w:rtl/>
        </w:rPr>
      </w:pPr>
    </w:p>
    <w:p w14:paraId="59F9164C" w14:textId="77777777" w:rsidR="00EF51F6" w:rsidRPr="00EF51F6" w:rsidRDefault="00EF51F6" w:rsidP="00164E58">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ويمكن صياغة هذه العلاقة بصورة أكثر دقة من خلال القول إن الإدارة الخضراء تؤثر في الاستدامة البيئية عبر مسارين متداخلين: مسار بنيوي يتمثل في إدماج البيئة في التصميم والسياسات والبنية المؤسسية، ومسار تشغيلي يتمثل في تحويل هذا الإدماج إلى إجراءات ومؤشرات وإفصاح ومراجعة. وإذا ضعف أحد المسارين، ظهرت فجوة بين الالتزام المؤسسي والأثر البيئي المتوقع. ومن هنا تأتي أهمية التمييز التحليلي بين قوة الرؤية البيئية من جهة، وقوة القدرة المؤسسية على القياس والتنفيذ من جهة أخرى.</w:t>
      </w:r>
    </w:p>
    <w:p w14:paraId="43D950BA" w14:textId="77777777" w:rsidR="00EF51F6" w:rsidRPr="00EF51F6" w:rsidRDefault="00EF51F6" w:rsidP="00EF51F6">
      <w:pPr>
        <w:spacing w:after="0" w:line="240" w:lineRule="auto"/>
        <w:rPr>
          <w:rFonts w:ascii="Simplified Arabic" w:hAnsi="Simplified Arabic" w:cs="Simplified Arabic"/>
          <w:sz w:val="28"/>
          <w:szCs w:val="28"/>
          <w:rtl/>
        </w:rPr>
      </w:pPr>
    </w:p>
    <w:p w14:paraId="02FAD7BA" w14:textId="77777777" w:rsidR="00EF51F6" w:rsidRPr="00164E58" w:rsidRDefault="00EF51F6" w:rsidP="00EF51F6">
      <w:pPr>
        <w:spacing w:after="0" w:line="240" w:lineRule="auto"/>
        <w:rPr>
          <w:rFonts w:ascii="Simplified Arabic" w:hAnsi="Simplified Arabic" w:cs="Simplified Arabic"/>
          <w:b/>
          <w:bCs/>
          <w:sz w:val="32"/>
          <w:szCs w:val="32"/>
          <w:rtl/>
        </w:rPr>
      </w:pPr>
      <w:r w:rsidRPr="00164E58">
        <w:rPr>
          <w:rFonts w:ascii="Simplified Arabic" w:hAnsi="Simplified Arabic" w:cs="Simplified Arabic"/>
          <w:b/>
          <w:bCs/>
          <w:sz w:val="32"/>
          <w:szCs w:val="32"/>
          <w:rtl/>
        </w:rPr>
        <w:t>2.5.1 الإدارة الخضراء والاقتصاد الدائري</w:t>
      </w:r>
    </w:p>
    <w:p w14:paraId="6C329A1D" w14:textId="77777777" w:rsidR="00EF51F6" w:rsidRPr="00164E58" w:rsidRDefault="00EF51F6" w:rsidP="00EF51F6">
      <w:pPr>
        <w:spacing w:after="0" w:line="240" w:lineRule="auto"/>
        <w:rPr>
          <w:rFonts w:ascii="Simplified Arabic" w:hAnsi="Simplified Arabic" w:cs="Simplified Arabic"/>
          <w:sz w:val="32"/>
          <w:szCs w:val="32"/>
          <w:rtl/>
        </w:rPr>
      </w:pPr>
    </w:p>
    <w:p w14:paraId="6C4F366F" w14:textId="65826E19" w:rsidR="00EF51F6" w:rsidRPr="00EF51F6" w:rsidRDefault="00D91AA2" w:rsidP="00164E58">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 xml:space="preserve">يرتبط الاقتصاد الدائري بالإدارة الخضراء ارتباطًا وثيقًا، لأن كليهما يتجاوز منطق الاستهلاك الخطي القائم على الاستخراج ثم الاستخدام ثم التخلص. ففي المنظور الدائري، تصبح الموارد جزءًا من تدفق متجدد يُعاد فيه الاستخدام، وتُسترجع القيمة، ويُخفض الهدر إلى أدنى حد ممكن. وبالنسبة للمشاريع العملاقة، فإن أهمية هذا المدخل تزداد لأن حجم استهلاك المياه والطاقة والمواد فيها يجعل من </w:t>
      </w:r>
      <w:r w:rsidR="005B5FEC">
        <w:rPr>
          <w:rFonts w:ascii="Simplified Arabic" w:hAnsi="Simplified Arabic" w:cs="Simplified Arabic" w:hint="cs"/>
          <w:sz w:val="28"/>
          <w:szCs w:val="28"/>
          <w:rtl/>
        </w:rPr>
        <w:t>إعادة التدوير</w:t>
      </w:r>
      <w:r w:rsidR="00EF51F6" w:rsidRPr="00EF51F6">
        <w:rPr>
          <w:rFonts w:ascii="Simplified Arabic" w:hAnsi="Simplified Arabic" w:cs="Simplified Arabic"/>
          <w:sz w:val="28"/>
          <w:szCs w:val="28"/>
          <w:rtl/>
        </w:rPr>
        <w:t xml:space="preserve"> مؤشرًا حاسمًا على نضج الإدارة البيئية.</w:t>
      </w:r>
    </w:p>
    <w:p w14:paraId="35E82075" w14:textId="77777777" w:rsidR="00EF51F6" w:rsidRPr="00EF51F6" w:rsidRDefault="00EF51F6" w:rsidP="00164E58">
      <w:pPr>
        <w:spacing w:after="0" w:line="240" w:lineRule="auto"/>
        <w:jc w:val="both"/>
        <w:rPr>
          <w:rFonts w:ascii="Simplified Arabic" w:hAnsi="Simplified Arabic" w:cs="Simplified Arabic"/>
          <w:sz w:val="28"/>
          <w:szCs w:val="28"/>
          <w:rtl/>
        </w:rPr>
      </w:pPr>
    </w:p>
    <w:p w14:paraId="25320425" w14:textId="0E1F5A76" w:rsidR="00EF51F6" w:rsidRPr="00EF51F6" w:rsidRDefault="00EF51F6" w:rsidP="00164E58">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 xml:space="preserve">ولا يقتصر حضور الاقتصاد الدائري على إدارة النفايات فقط، بل يشمل كذلك إعادة التفكير في المواد، والمياه، والطاقة، وسلاسل التوريد، والتشغيل طويل المدى. ولذلك فإن تبني </w:t>
      </w:r>
      <w:r w:rsidR="005B5FEC">
        <w:rPr>
          <w:rFonts w:ascii="Simplified Arabic" w:hAnsi="Simplified Arabic" w:cs="Simplified Arabic" w:hint="cs"/>
          <w:sz w:val="28"/>
          <w:szCs w:val="28"/>
          <w:rtl/>
        </w:rPr>
        <w:t>إعادة التدوير</w:t>
      </w:r>
      <w:r w:rsidRPr="00EF51F6">
        <w:rPr>
          <w:rFonts w:ascii="Simplified Arabic" w:hAnsi="Simplified Arabic" w:cs="Simplified Arabic"/>
          <w:sz w:val="28"/>
          <w:szCs w:val="28"/>
          <w:rtl/>
        </w:rPr>
        <w:t xml:space="preserve"> في المشاريع العملاقة يعد دليلًا على انتقال الإدارة الخضراء من مستوى التحسين الجزئي إلى مستوى إعادة تصميم المنظومة التشغيلية.</w:t>
      </w:r>
    </w:p>
    <w:p w14:paraId="0AD5B88A" w14:textId="77777777" w:rsidR="00EF51F6" w:rsidRPr="00EF51F6" w:rsidRDefault="00EF51F6" w:rsidP="00EF51F6">
      <w:pPr>
        <w:spacing w:after="0" w:line="240" w:lineRule="auto"/>
        <w:rPr>
          <w:rFonts w:ascii="Simplified Arabic" w:hAnsi="Simplified Arabic" w:cs="Simplified Arabic"/>
          <w:sz w:val="28"/>
          <w:szCs w:val="28"/>
          <w:rtl/>
        </w:rPr>
      </w:pPr>
    </w:p>
    <w:p w14:paraId="44154958" w14:textId="77777777" w:rsidR="00EF51F6" w:rsidRPr="00164E58" w:rsidRDefault="00EF51F6" w:rsidP="00EF51F6">
      <w:pPr>
        <w:spacing w:after="0" w:line="240" w:lineRule="auto"/>
        <w:rPr>
          <w:rFonts w:ascii="Simplified Arabic" w:hAnsi="Simplified Arabic" w:cs="Simplified Arabic"/>
          <w:b/>
          <w:bCs/>
          <w:sz w:val="32"/>
          <w:szCs w:val="32"/>
          <w:rtl/>
        </w:rPr>
      </w:pPr>
      <w:r w:rsidRPr="00164E58">
        <w:rPr>
          <w:rFonts w:ascii="Simplified Arabic" w:hAnsi="Simplified Arabic" w:cs="Simplified Arabic"/>
          <w:b/>
          <w:bCs/>
          <w:sz w:val="32"/>
          <w:szCs w:val="32"/>
          <w:rtl/>
        </w:rPr>
        <w:t>2.5.2 الإدارة الخضراء والإفصاح البيئي</w:t>
      </w:r>
    </w:p>
    <w:p w14:paraId="7FAB8C2F" w14:textId="77777777" w:rsidR="00EF51F6" w:rsidRPr="00164E58" w:rsidRDefault="00EF51F6" w:rsidP="00EF51F6">
      <w:pPr>
        <w:spacing w:after="0" w:line="240" w:lineRule="auto"/>
        <w:rPr>
          <w:rFonts w:ascii="Simplified Arabic" w:hAnsi="Simplified Arabic" w:cs="Simplified Arabic"/>
          <w:sz w:val="32"/>
          <w:szCs w:val="32"/>
          <w:rtl/>
        </w:rPr>
      </w:pPr>
    </w:p>
    <w:p w14:paraId="732DD165" w14:textId="78629CBB" w:rsidR="00EF51F6" w:rsidRPr="00EF51F6" w:rsidRDefault="00D91AA2" w:rsidP="00164E58">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لا يمكن فهم نضج الإدارة الخضراء في المشاريع العملاقة بمعزل عن طبيعة الإفصاح البيئي المؤسسي. فالإفصاح لا يمثل مجرد أداة تواصل خارجي، بل يمثل أيضًا مؤشرًا على قدرة المؤسسة على تنظيم البيانات البيئية، وتحويل الالتزامات العامة إلى مؤشرات محددة، وربط الأداء الفعلي بالزمن والمراجعة. وكلما كان الإفصاح أكثر انتظامًا وكمًّا واتساقًا، زادت قدرة الباحث على قراءة الإدارة الخضراء بوصفها نظامًا مؤسسيًا ناضجًا.</w:t>
      </w:r>
    </w:p>
    <w:p w14:paraId="3FC7064E" w14:textId="77777777" w:rsidR="00EF51F6" w:rsidRPr="00EF51F6" w:rsidRDefault="00EF51F6" w:rsidP="00164E58">
      <w:pPr>
        <w:spacing w:after="0" w:line="240" w:lineRule="auto"/>
        <w:jc w:val="both"/>
        <w:rPr>
          <w:rFonts w:ascii="Simplified Arabic" w:hAnsi="Simplified Arabic" w:cs="Simplified Arabic"/>
          <w:sz w:val="28"/>
          <w:szCs w:val="28"/>
          <w:rtl/>
        </w:rPr>
      </w:pPr>
    </w:p>
    <w:p w14:paraId="5149A67E" w14:textId="77777777" w:rsidR="00EF51F6" w:rsidRPr="00EF51F6" w:rsidRDefault="00EF51F6" w:rsidP="00164E58">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أما عندما يغلب الطابع التوجيهي أو الخطابي على الإفصاح، فإن التفسير يظل أكثر حذرًا ويعتمد بدرجة أكبر على تحليل الرؤية والبنية لا على تتبع النتائج التشغيلية. ومن ثم، فإن الإفصاح المؤسسي يعد في هذه الدراسة جزءًا من التحليل، لا مجرد وسيلة دعم خارجية.</w:t>
      </w:r>
    </w:p>
    <w:p w14:paraId="1185068B" w14:textId="77777777" w:rsidR="00EF51F6" w:rsidRPr="00EF51F6" w:rsidRDefault="00EF51F6" w:rsidP="00EF51F6">
      <w:pPr>
        <w:spacing w:after="0" w:line="240" w:lineRule="auto"/>
        <w:rPr>
          <w:rFonts w:ascii="Simplified Arabic" w:hAnsi="Simplified Arabic" w:cs="Simplified Arabic"/>
          <w:sz w:val="28"/>
          <w:szCs w:val="28"/>
          <w:rtl/>
        </w:rPr>
      </w:pPr>
    </w:p>
    <w:p w14:paraId="3758C303" w14:textId="77777777" w:rsidR="00EF51F6" w:rsidRPr="00164E58" w:rsidRDefault="00EF51F6" w:rsidP="00EF51F6">
      <w:pPr>
        <w:spacing w:after="0" w:line="240" w:lineRule="auto"/>
        <w:rPr>
          <w:rFonts w:ascii="Simplified Arabic" w:hAnsi="Simplified Arabic" w:cs="Simplified Arabic"/>
          <w:b/>
          <w:bCs/>
          <w:sz w:val="32"/>
          <w:szCs w:val="32"/>
          <w:rtl/>
        </w:rPr>
      </w:pPr>
      <w:r w:rsidRPr="00164E58">
        <w:rPr>
          <w:rFonts w:ascii="Simplified Arabic" w:hAnsi="Simplified Arabic" w:cs="Simplified Arabic"/>
          <w:b/>
          <w:bCs/>
          <w:sz w:val="32"/>
          <w:szCs w:val="32"/>
          <w:rtl/>
        </w:rPr>
        <w:t>2.5.3 الإدارة الخضراء بوصفها قدرة مؤسسية لا مجرد التزام رمزي</w:t>
      </w:r>
    </w:p>
    <w:p w14:paraId="633E0CA0" w14:textId="77777777" w:rsidR="00EF51F6" w:rsidRPr="00164E58" w:rsidRDefault="00EF51F6" w:rsidP="00EF51F6">
      <w:pPr>
        <w:spacing w:after="0" w:line="240" w:lineRule="auto"/>
        <w:rPr>
          <w:rFonts w:ascii="Simplified Arabic" w:hAnsi="Simplified Arabic" w:cs="Simplified Arabic"/>
          <w:sz w:val="32"/>
          <w:szCs w:val="32"/>
          <w:rtl/>
        </w:rPr>
      </w:pPr>
    </w:p>
    <w:p w14:paraId="5E773B5A" w14:textId="098F32A3" w:rsidR="00EF51F6" w:rsidRPr="00EF51F6" w:rsidRDefault="00D91AA2" w:rsidP="00164E58">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يمكن النظر إلى الإدارة الخضراء في المشاريع العملاقة لا بوصفها مجرد التزام رمزي أو استجابة خطابية للضغوط البيئية العالمية، بل بوصفها قدرة مؤسسية مركبة تتطلب توافر عدد من العناصر المتكاملة. ومن أهم هذه العناصر: وضوح الرؤية البيئية، ودمج البيئة في القرار الإداري، ووجود بنية حوكمية داعمة، وقدرة تشغيلية على القياس والمتابعة، وآليات إفصاح تسمح بتتبع الأداء، إلى جانب قابلية النظام المؤسسي للتحسين المستمر.</w:t>
      </w:r>
    </w:p>
    <w:p w14:paraId="1F2CD4BF" w14:textId="77777777" w:rsidR="00EF51F6" w:rsidRPr="00EF51F6" w:rsidRDefault="00EF51F6" w:rsidP="00164E58">
      <w:pPr>
        <w:spacing w:after="0" w:line="240" w:lineRule="auto"/>
        <w:jc w:val="both"/>
        <w:rPr>
          <w:rFonts w:ascii="Simplified Arabic" w:hAnsi="Simplified Arabic" w:cs="Simplified Arabic"/>
          <w:sz w:val="28"/>
          <w:szCs w:val="28"/>
          <w:rtl/>
        </w:rPr>
      </w:pPr>
    </w:p>
    <w:p w14:paraId="15EA7031" w14:textId="77777777" w:rsidR="00EF51F6" w:rsidRPr="00EF51F6" w:rsidRDefault="00EF51F6" w:rsidP="00164E58">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ومن هذا المنظور، لا يكفي أن يعلن المشروع عن أهداف بيئية طموحة حتى يُعد متمتعًا بإدارة خضراء ناضجة، بل ينبغي أن يظهر هذا النضج في درجة ترابط السياسات بالمؤشرات، وترابط الأهداف بالمتابعة، وترابط الخطاب المؤسسي بالممارسة. وتساعد هذه الرؤية في تفسير الفروق بين المشاريع التي تتقارب في قوة الخطاب البيئي، لكنها تختلف في مستوى التتبع والإفصاح والقياس.</w:t>
      </w:r>
    </w:p>
    <w:p w14:paraId="5DDEC23E" w14:textId="77777777" w:rsidR="00EF51F6" w:rsidRDefault="00EF51F6" w:rsidP="00EF51F6">
      <w:pPr>
        <w:spacing w:after="0" w:line="240" w:lineRule="auto"/>
        <w:rPr>
          <w:rFonts w:ascii="Simplified Arabic" w:hAnsi="Simplified Arabic" w:cs="Simplified Arabic"/>
          <w:sz w:val="28"/>
          <w:szCs w:val="28"/>
          <w:rtl/>
        </w:rPr>
      </w:pPr>
    </w:p>
    <w:p w14:paraId="4DD9399E" w14:textId="77777777" w:rsidR="00D91AA2" w:rsidRPr="00D91AA2" w:rsidRDefault="00D91AA2" w:rsidP="00D91AA2">
      <w:pPr>
        <w:spacing w:after="0" w:line="240" w:lineRule="auto"/>
        <w:jc w:val="center"/>
        <w:rPr>
          <w:rFonts w:ascii="Simplified Arabic" w:hAnsi="Simplified Arabic" w:cs="Simplified Arabic"/>
          <w:sz w:val="72"/>
          <w:szCs w:val="72"/>
          <w:rtl/>
        </w:rPr>
      </w:pPr>
    </w:p>
    <w:p w14:paraId="45CEB870" w14:textId="77777777" w:rsidR="00EF51F6" w:rsidRDefault="00EF51F6" w:rsidP="00EF51F6">
      <w:pPr>
        <w:spacing w:after="0" w:line="240" w:lineRule="auto"/>
        <w:rPr>
          <w:rFonts w:ascii="Simplified Arabic" w:hAnsi="Simplified Arabic" w:cs="Simplified Arabic"/>
          <w:b/>
          <w:bCs/>
          <w:sz w:val="36"/>
          <w:szCs w:val="36"/>
          <w:rtl/>
        </w:rPr>
      </w:pPr>
      <w:r w:rsidRPr="0025580F">
        <w:rPr>
          <w:rFonts w:ascii="Simplified Arabic" w:hAnsi="Simplified Arabic" w:cs="Simplified Arabic"/>
          <w:b/>
          <w:bCs/>
          <w:sz w:val="36"/>
          <w:szCs w:val="36"/>
          <w:rtl/>
        </w:rPr>
        <w:t>2.6 المداخل النظرية المفسرة للدراسة</w:t>
      </w:r>
    </w:p>
    <w:p w14:paraId="69583E35" w14:textId="77777777" w:rsidR="00D91AA2" w:rsidRPr="00D91AA2" w:rsidRDefault="00D91AA2" w:rsidP="00EF51F6">
      <w:pPr>
        <w:spacing w:after="0" w:line="240" w:lineRule="auto"/>
        <w:rPr>
          <w:rFonts w:ascii="Simplified Arabic" w:hAnsi="Simplified Arabic" w:cs="Simplified Arabic"/>
          <w:sz w:val="36"/>
          <w:szCs w:val="36"/>
          <w:rtl/>
        </w:rPr>
      </w:pPr>
    </w:p>
    <w:p w14:paraId="26867A74" w14:textId="77777777" w:rsidR="00EF51F6" w:rsidRPr="00D91AA2" w:rsidRDefault="00EF51F6" w:rsidP="00D91AA2">
      <w:pPr>
        <w:spacing w:after="0" w:line="240" w:lineRule="auto"/>
        <w:jc w:val="both"/>
        <w:rPr>
          <w:rFonts w:ascii="Simplified Arabic" w:hAnsi="Simplified Arabic" w:cs="Simplified Arabic"/>
          <w:b/>
          <w:bCs/>
          <w:sz w:val="28"/>
          <w:szCs w:val="28"/>
          <w:rtl/>
        </w:rPr>
      </w:pPr>
      <w:r w:rsidRPr="00D91AA2">
        <w:rPr>
          <w:rFonts w:ascii="Simplified Arabic" w:hAnsi="Simplified Arabic" w:cs="Simplified Arabic"/>
          <w:b/>
          <w:bCs/>
          <w:sz w:val="28"/>
          <w:szCs w:val="28"/>
          <w:rtl/>
        </w:rPr>
        <w:t>أولًا: نظرية التنمية المستدامة</w:t>
      </w:r>
    </w:p>
    <w:p w14:paraId="10147ED9"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7D5301FA"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تعد نظرية التنمية المستدامة الإطار الأشمل الذي تنتمي إليه الدراسة الحالية؛ لأنها تربط بين التنمية الحالية وحقوق الأجيال القادمة، وتؤكد أن النمو الاقتصادي لا ينبغي أن يتحقق على حساب البيئة والموارد الطبيعية. ويستند هذا التصور إلى الأدبيات الكلاسيكية في الاستدامة، وفي مقدمتها تقرير مستقبلنا المشترك (</w:t>
      </w:r>
      <w:r w:rsidRPr="00EF51F6">
        <w:rPr>
          <w:rFonts w:ascii="Simplified Arabic" w:hAnsi="Simplified Arabic" w:cs="Simplified Arabic"/>
          <w:sz w:val="28"/>
          <w:szCs w:val="28"/>
        </w:rPr>
        <w:t>World Commission on Environment and Development, 1987</w:t>
      </w:r>
      <w:r w:rsidRPr="00EF51F6">
        <w:rPr>
          <w:rFonts w:ascii="Simplified Arabic" w:hAnsi="Simplified Arabic" w:cs="Simplified Arabic"/>
          <w:sz w:val="28"/>
          <w:szCs w:val="28"/>
          <w:rtl/>
        </w:rPr>
        <w:t>). ومن خلال هذا المدخل، تُقرأ الإدارة الخضراء بوصفها أداة تساعد المشاريع العملاقة على المواءمة بين الطموح التنموي والحماية البيئية.</w:t>
      </w:r>
    </w:p>
    <w:p w14:paraId="747FC808"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6529D09E" w14:textId="77777777" w:rsidR="00EF51F6" w:rsidRPr="00D91AA2" w:rsidRDefault="00EF51F6" w:rsidP="00D91AA2">
      <w:pPr>
        <w:spacing w:after="0" w:line="240" w:lineRule="auto"/>
        <w:jc w:val="both"/>
        <w:rPr>
          <w:rFonts w:ascii="Simplified Arabic" w:hAnsi="Simplified Arabic" w:cs="Simplified Arabic"/>
          <w:b/>
          <w:bCs/>
          <w:sz w:val="28"/>
          <w:szCs w:val="28"/>
          <w:rtl/>
        </w:rPr>
      </w:pPr>
      <w:r w:rsidRPr="00D91AA2">
        <w:rPr>
          <w:rFonts w:ascii="Simplified Arabic" w:hAnsi="Simplified Arabic" w:cs="Simplified Arabic"/>
          <w:b/>
          <w:bCs/>
          <w:sz w:val="28"/>
          <w:szCs w:val="28"/>
          <w:rtl/>
        </w:rPr>
        <w:t>ثانيًا: مدخل نظم الإدارة البيئية</w:t>
      </w:r>
    </w:p>
    <w:p w14:paraId="10352507"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61DA3909"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 xml:space="preserve">يفسر هذا المدخل الإدارة الخضراء بوصفها نظامًا إداريًا منظمًا قائمًا على التخطيط والتنفيذ والمراجعة والتحسين المستمر. ويجد هذا المدخل مرجعيته في معيار </w:t>
      </w:r>
      <w:r w:rsidRPr="00EF51F6">
        <w:rPr>
          <w:rFonts w:ascii="Simplified Arabic" w:hAnsi="Simplified Arabic" w:cs="Simplified Arabic"/>
          <w:sz w:val="28"/>
          <w:szCs w:val="28"/>
        </w:rPr>
        <w:t>ISO 14001:2015</w:t>
      </w:r>
      <w:r w:rsidRPr="00EF51F6">
        <w:rPr>
          <w:rFonts w:ascii="Simplified Arabic" w:hAnsi="Simplified Arabic" w:cs="Simplified Arabic"/>
          <w:sz w:val="28"/>
          <w:szCs w:val="28"/>
          <w:rtl/>
        </w:rPr>
        <w:t>، الذي يؤكد أن الإدارة البيئية الفعالة لا تقوم على إجراءات منفصلة، بل على نظام مؤسسي متكامل. ومن خلال هذا الإطار، يمكن تحليل مدى نضج الحضور البيئي في المشاريع المدروسة من حيث وضوح السياسات، وآليات التنفيذ، والقياس، والمتابعة، والتحسين (</w:t>
      </w:r>
      <w:r w:rsidRPr="00EF51F6">
        <w:rPr>
          <w:rFonts w:ascii="Simplified Arabic" w:hAnsi="Simplified Arabic" w:cs="Simplified Arabic"/>
          <w:sz w:val="28"/>
          <w:szCs w:val="28"/>
        </w:rPr>
        <w:t>ISO, 2015</w:t>
      </w:r>
      <w:r w:rsidRPr="00EF51F6">
        <w:rPr>
          <w:rFonts w:ascii="Simplified Arabic" w:hAnsi="Simplified Arabic" w:cs="Simplified Arabic"/>
          <w:sz w:val="28"/>
          <w:szCs w:val="28"/>
          <w:rtl/>
        </w:rPr>
        <w:t>).</w:t>
      </w:r>
    </w:p>
    <w:p w14:paraId="0BCAF0A7"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037EFD1B" w14:textId="77777777" w:rsidR="00EF51F6" w:rsidRPr="00D91AA2" w:rsidRDefault="00EF51F6" w:rsidP="00D91AA2">
      <w:pPr>
        <w:spacing w:after="0" w:line="240" w:lineRule="auto"/>
        <w:jc w:val="both"/>
        <w:rPr>
          <w:rFonts w:ascii="Simplified Arabic" w:hAnsi="Simplified Arabic" w:cs="Simplified Arabic"/>
          <w:b/>
          <w:bCs/>
          <w:sz w:val="28"/>
          <w:szCs w:val="28"/>
          <w:rtl/>
        </w:rPr>
      </w:pPr>
      <w:r w:rsidRPr="00D91AA2">
        <w:rPr>
          <w:rFonts w:ascii="Simplified Arabic" w:hAnsi="Simplified Arabic" w:cs="Simplified Arabic"/>
          <w:b/>
          <w:bCs/>
          <w:sz w:val="28"/>
          <w:szCs w:val="28"/>
          <w:rtl/>
        </w:rPr>
        <w:t>ثالثًا: مدخل الاقتصاد الدائري</w:t>
      </w:r>
    </w:p>
    <w:p w14:paraId="39C09E65"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2D895B44" w14:textId="28C2F340"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 xml:space="preserve">يركز الاقتصاد الدائري على تقليل الفاقد، وإعادة الاستخدام، واسترجاع القيمة من الموارد، والحد من منطق الاستهلاك ثم التخلص. ويعد هذا المدخل مناسبًا للغاية لدراسة المشاريع الهندسية العملاقة؛ لأنها تستهلك كميات كبيرة من المياه والطاقة والمواد. ومن ثم، فإن تبني </w:t>
      </w:r>
      <w:r w:rsidR="005B5FEC">
        <w:rPr>
          <w:rFonts w:ascii="Simplified Arabic" w:hAnsi="Simplified Arabic" w:cs="Simplified Arabic" w:hint="cs"/>
          <w:sz w:val="28"/>
          <w:szCs w:val="28"/>
          <w:rtl/>
        </w:rPr>
        <w:t>إعادة التدوير</w:t>
      </w:r>
      <w:r w:rsidRPr="00EF51F6">
        <w:rPr>
          <w:rFonts w:ascii="Simplified Arabic" w:hAnsi="Simplified Arabic" w:cs="Simplified Arabic"/>
          <w:sz w:val="28"/>
          <w:szCs w:val="28"/>
          <w:rtl/>
        </w:rPr>
        <w:t xml:space="preserve"> في المياه، والمواد، والنفايات، يعد أحد المؤشرات المهمة على نضج الإدارة الخضراء داخل المشروع.</w:t>
      </w:r>
    </w:p>
    <w:p w14:paraId="097EF9A0"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673B3242" w14:textId="77777777" w:rsidR="00EF51F6" w:rsidRPr="00D91AA2" w:rsidRDefault="00EF51F6" w:rsidP="00D91AA2">
      <w:pPr>
        <w:spacing w:after="0" w:line="240" w:lineRule="auto"/>
        <w:jc w:val="both"/>
        <w:rPr>
          <w:rFonts w:ascii="Simplified Arabic" w:hAnsi="Simplified Arabic" w:cs="Simplified Arabic"/>
          <w:b/>
          <w:bCs/>
          <w:sz w:val="28"/>
          <w:szCs w:val="28"/>
          <w:rtl/>
        </w:rPr>
      </w:pPr>
      <w:r w:rsidRPr="00D91AA2">
        <w:rPr>
          <w:rFonts w:ascii="Simplified Arabic" w:hAnsi="Simplified Arabic" w:cs="Simplified Arabic"/>
          <w:b/>
          <w:bCs/>
          <w:sz w:val="28"/>
          <w:szCs w:val="28"/>
          <w:rtl/>
        </w:rPr>
        <w:t>رابعًا: نظرية أصحاب المصلحة</w:t>
      </w:r>
    </w:p>
    <w:p w14:paraId="65040496"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6630DCEF"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توضح هذه النظرية أن القرارات البيئية في المشاريع العملاقة لا تتعلق بالإدارة الداخلية فقط، بل تتأثر كذلك بعلاقات المشروع مع الجهات المالكة، والمستثمرين، والجهات التنظيمية، والموردين، والمقاولين، والمجتمع، والشركاء. وقد أظهرت الأدبيات أن استدامة المشاريع والإدارة الخضراء ترتبطان بدرجة كبيرة بالمنظمة المضيفة للمشروع وبالأطراف ذات العلاقة، وليس فقط بفريق التنفيذ المباشر (</w:t>
      </w:r>
      <w:r w:rsidRPr="00EF51F6">
        <w:rPr>
          <w:rFonts w:ascii="Simplified Arabic" w:hAnsi="Simplified Arabic" w:cs="Simplified Arabic"/>
          <w:sz w:val="28"/>
          <w:szCs w:val="28"/>
        </w:rPr>
        <w:t>Aarseth et al., 2017</w:t>
      </w:r>
      <w:r w:rsidRPr="00EF51F6">
        <w:rPr>
          <w:rFonts w:ascii="Simplified Arabic" w:hAnsi="Simplified Arabic" w:cs="Simplified Arabic"/>
          <w:sz w:val="28"/>
          <w:szCs w:val="28"/>
          <w:rtl/>
        </w:rPr>
        <w:t>).</w:t>
      </w:r>
    </w:p>
    <w:p w14:paraId="7B98B2FC"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2C17588C" w14:textId="77777777" w:rsidR="00EF51F6" w:rsidRPr="00D91AA2" w:rsidRDefault="00EF51F6" w:rsidP="00D91AA2">
      <w:pPr>
        <w:spacing w:after="0" w:line="240" w:lineRule="auto"/>
        <w:jc w:val="both"/>
        <w:rPr>
          <w:rFonts w:ascii="Simplified Arabic" w:hAnsi="Simplified Arabic" w:cs="Simplified Arabic"/>
          <w:b/>
          <w:bCs/>
          <w:sz w:val="28"/>
          <w:szCs w:val="28"/>
          <w:rtl/>
        </w:rPr>
      </w:pPr>
      <w:r w:rsidRPr="00D91AA2">
        <w:rPr>
          <w:rFonts w:ascii="Simplified Arabic" w:hAnsi="Simplified Arabic" w:cs="Simplified Arabic"/>
          <w:b/>
          <w:bCs/>
          <w:sz w:val="28"/>
          <w:szCs w:val="28"/>
          <w:rtl/>
        </w:rPr>
        <w:t>خامسًا: المدخل الحوكمي المؤسسي</w:t>
      </w:r>
    </w:p>
    <w:p w14:paraId="16ACB506"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7AA96990"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يمكن إضافة بعد تفسيري مكمل يتمثل في المدخل الحوكمي المؤسسي، الذي ينظر إلى الأداء البيئي في المشاريع العملاقة بوصفه نتاجًا لتوزيع السلطات، ووضوح المسؤوليات، وآليات الرقابة، وطبيعة الإفصاح، ودرجة إدماج البيئة ضمن القرار الاستثماري والإداري. ومن خلال هذا المدخل، لا تُفهم الإدارة الخضراء بوصفها مجرد محتوى فني، بل بوصفها أيضًا نظام مساءلة وتنظيم وتقرير. ويكتسب هذا المدخل أهمية خاصة في الدراسة الحالية لأن الحالتين المدروستين ترتبطان بسياق استثماري ومؤسسي كبير، حيث تؤثر الحوكمة المؤسسية في كيفية صياغة الالتزامات البيئية، والإفصاح عنها، وربطها بالنتائج التشغيلية.</w:t>
      </w:r>
    </w:p>
    <w:p w14:paraId="5043B6F7"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50CF1319"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وبناءً على هذه المداخل، تتبنى الدراسة الحالية منظورًا تكامليًا يرى أن الإدارة الخضراء في المشاريع العملاقة تُفهم بوصفها ظاهرة إدارية وحوكمية وتشغيلية في آن واحد، وأن الاستدامة البيئية تمثل الناتج التحليلي الذي يُستدل عليه من خلال مستوى دمج البيئة في النظام المؤسسي للمشروع.</w:t>
      </w:r>
    </w:p>
    <w:p w14:paraId="331C791B" w14:textId="77777777" w:rsidR="00EF51F6" w:rsidRPr="00EF51F6" w:rsidRDefault="00EF51F6" w:rsidP="00EF51F6">
      <w:pPr>
        <w:spacing w:after="0" w:line="240" w:lineRule="auto"/>
        <w:rPr>
          <w:rFonts w:ascii="Simplified Arabic" w:hAnsi="Simplified Arabic" w:cs="Simplified Arabic"/>
          <w:sz w:val="28"/>
          <w:szCs w:val="28"/>
          <w:rtl/>
        </w:rPr>
      </w:pPr>
    </w:p>
    <w:p w14:paraId="665EBE2C" w14:textId="77777777" w:rsidR="00EF51F6" w:rsidRPr="0025580F" w:rsidRDefault="00EF51F6" w:rsidP="00EF51F6">
      <w:pPr>
        <w:spacing w:after="0" w:line="240" w:lineRule="auto"/>
        <w:rPr>
          <w:rFonts w:ascii="Simplified Arabic" w:hAnsi="Simplified Arabic" w:cs="Simplified Arabic"/>
          <w:b/>
          <w:bCs/>
          <w:sz w:val="36"/>
          <w:szCs w:val="36"/>
          <w:rtl/>
        </w:rPr>
      </w:pPr>
      <w:r w:rsidRPr="0025580F">
        <w:rPr>
          <w:rFonts w:ascii="Simplified Arabic" w:hAnsi="Simplified Arabic" w:cs="Simplified Arabic"/>
          <w:b/>
          <w:bCs/>
          <w:sz w:val="36"/>
          <w:szCs w:val="36"/>
          <w:rtl/>
        </w:rPr>
        <w:t>2.7 الدراسات السابقة</w:t>
      </w:r>
    </w:p>
    <w:p w14:paraId="5BB2951E" w14:textId="77777777" w:rsidR="00EF51F6" w:rsidRPr="00D91AA2" w:rsidRDefault="00EF51F6" w:rsidP="00EF51F6">
      <w:pPr>
        <w:spacing w:after="0" w:line="240" w:lineRule="auto"/>
        <w:rPr>
          <w:rFonts w:ascii="Simplified Arabic" w:hAnsi="Simplified Arabic" w:cs="Simplified Arabic"/>
          <w:sz w:val="36"/>
          <w:szCs w:val="36"/>
          <w:rtl/>
        </w:rPr>
      </w:pPr>
    </w:p>
    <w:p w14:paraId="6D0F98C1" w14:textId="40A47E87" w:rsidR="00EF51F6" w:rsidRPr="00EF51F6" w:rsidRDefault="00D91AA2" w:rsidP="00D91AA2">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تُعد مراجعة الدراسات السابقة خطوة أساسية في بناء الإطار العلمي للدراسة؛ لأنها تكشف التطور المعرفي في الموضوع، وتوضح الاتجاهات البحثية السائدة، وتساعد في تحديد موقع الدراسة الحالية ضمن الحقل العلمي. وفي موضوع هذه الدراسة، يمكن تنظيم الأدبيات ذات الصلة في خمسة محاور رئيسة مترابطة: الأدبيات العامة حول الاستدامة في إدارة المشاريع، والأدبيات العامة حول الإدارة الخضراء والإدارة البيئية، والأدبيات المتعلقة باستدامة المشاريع العملاقة والحوكمة البيئية، والأدبيات المتعلقة بالقياس والإفصاح والاستدامة التشغيلية، ثم المصادر المؤسسية الرسمية المرتبطة بالحالتين محل الدراسة. وتشكل هذه المحاور مجتمعة الأساس النظري والتحليلي الذي تستند إليه الدراسة الحالية في تفسير العلاقة بين الإدارة الخضراء والاستدامة البيئية في المشاريع الهندسية العملاقة.</w:t>
      </w:r>
    </w:p>
    <w:p w14:paraId="0A6423CB" w14:textId="77777777" w:rsidR="00EF51F6" w:rsidRDefault="00EF51F6" w:rsidP="00EF51F6">
      <w:pPr>
        <w:spacing w:after="0" w:line="240" w:lineRule="auto"/>
        <w:rPr>
          <w:rFonts w:ascii="Simplified Arabic" w:hAnsi="Simplified Arabic" w:cs="Simplified Arabic"/>
          <w:sz w:val="28"/>
          <w:szCs w:val="28"/>
          <w:rtl/>
        </w:rPr>
      </w:pPr>
    </w:p>
    <w:p w14:paraId="1BE7EB2E" w14:textId="77777777" w:rsidR="00D91AA2" w:rsidRPr="00D91AA2" w:rsidRDefault="00D91AA2" w:rsidP="00D91AA2">
      <w:pPr>
        <w:spacing w:after="0" w:line="240" w:lineRule="auto"/>
        <w:jc w:val="center"/>
        <w:rPr>
          <w:rFonts w:ascii="Simplified Arabic" w:hAnsi="Simplified Arabic" w:cs="Simplified Arabic"/>
          <w:sz w:val="96"/>
          <w:szCs w:val="96"/>
          <w:rtl/>
        </w:rPr>
      </w:pPr>
    </w:p>
    <w:p w14:paraId="3EBDEA01" w14:textId="77777777" w:rsidR="00EF51F6" w:rsidRPr="00D91AA2" w:rsidRDefault="00EF51F6" w:rsidP="00EF51F6">
      <w:pPr>
        <w:spacing w:after="0" w:line="240" w:lineRule="auto"/>
        <w:rPr>
          <w:rFonts w:ascii="Simplified Arabic" w:hAnsi="Simplified Arabic" w:cs="Simplified Arabic"/>
          <w:b/>
          <w:bCs/>
          <w:sz w:val="32"/>
          <w:szCs w:val="32"/>
          <w:rtl/>
        </w:rPr>
      </w:pPr>
      <w:r w:rsidRPr="00D91AA2">
        <w:rPr>
          <w:rFonts w:ascii="Simplified Arabic" w:hAnsi="Simplified Arabic" w:cs="Simplified Arabic"/>
          <w:b/>
          <w:bCs/>
          <w:sz w:val="32"/>
          <w:szCs w:val="32"/>
          <w:rtl/>
        </w:rPr>
        <w:t>2.7.1 الأدبيات العامة حول الاستدامة في إدارة المشاريع</w:t>
      </w:r>
    </w:p>
    <w:p w14:paraId="16C6F83D" w14:textId="77777777" w:rsidR="00EF51F6" w:rsidRPr="00D91AA2" w:rsidRDefault="00EF51F6" w:rsidP="00EF51F6">
      <w:pPr>
        <w:spacing w:after="0" w:line="240" w:lineRule="auto"/>
        <w:rPr>
          <w:rFonts w:ascii="Simplified Arabic" w:hAnsi="Simplified Arabic" w:cs="Simplified Arabic"/>
          <w:sz w:val="32"/>
          <w:szCs w:val="32"/>
          <w:rtl/>
        </w:rPr>
      </w:pPr>
    </w:p>
    <w:p w14:paraId="6A2E07C3" w14:textId="2B291F9D" w:rsidR="00EF51F6" w:rsidRPr="00EF51F6" w:rsidRDefault="00D91AA2" w:rsidP="00D91AA2">
      <w:pPr>
        <w:spacing w:after="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أظهرت الأدبيات العامة في مجال إدارة المشاريع أن مفهوم الاستدامة لم يعد عنصرًا ثانويًا أو إضافة شكلية إلى ممارسات الإدارة التقليدية، بل أصبح اتجاهًا متناميًا يسعى إلى إعادة تعريف نجاح المشروع نفسه. فبدلًا من الاكتفاء بمعايير الوقت والتكلفة والجودة، بدأت الأدبيات تؤكد أن نجاح المشروع ينبغي أن يُقاس أيضًا بقدرته على مراعاة الآثار البيئية والاجتماعية والاقتصادية على المدى الطويل. وقد بينت مراجعة منهجية مؤثرة أن البحث في استدامة المشاريع ظل لفترة طويلة حقلًا ناشئًا ومتفرقًا نسبيًا، وأنه كان يفتقر إلى التكامل النظري الكافي مقارنةً بحقول إدارية أخرى أكثر نضجًا، كما كشفت عن وجود منظورين رئيسين في هذا الحقل: منظور ينطلق من منظمة المشروع التي تنفذ الأصل أو المخرج، ومنظور آخر ينطلق من المنظمة الحاضنة أو المالكة التي تحدد الأهداف الاستراتيجية العليا للمشروع (</w:t>
      </w:r>
      <w:r w:rsidR="00EF51F6" w:rsidRPr="00EF51F6">
        <w:rPr>
          <w:rFonts w:ascii="Simplified Arabic" w:hAnsi="Simplified Arabic" w:cs="Simplified Arabic"/>
          <w:sz w:val="28"/>
          <w:szCs w:val="28"/>
        </w:rPr>
        <w:t>Aarseth et al., 2017</w:t>
      </w:r>
      <w:r w:rsidR="00EF51F6" w:rsidRPr="00EF51F6">
        <w:rPr>
          <w:rFonts w:ascii="Simplified Arabic" w:hAnsi="Simplified Arabic" w:cs="Simplified Arabic"/>
          <w:sz w:val="28"/>
          <w:szCs w:val="28"/>
          <w:rtl/>
        </w:rPr>
        <w:t>).</w:t>
      </w:r>
    </w:p>
    <w:p w14:paraId="02ECA83F"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4BFF3BA6"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وتبرز أهمية هذا التمييز في كونه يوضح أن استدامة المشروع لا تتشكل داخل العمليات التنفيذية وحدها، بل تتأثر أيضًا بالإطار الاستراتيجي والمؤسسي الذي يعمل المشروع في داخله. فحين تكون الجهة المالكة أو الراعية للمشروع ذات توجهات استدامية واضحة، فإن ذلك ينعكس عادةً على صياغة الأهداف، ومعايير التوريد، ونظم المتابعة، وآليات الرقابة، وطبيعة المؤشرات التي يُطلب من المشروع الإفصاح عنها. أما إذا غاب هذا الإطار، فقد تبقى ممارسات الاستدامة مجزأة أو ظرفية أو محدودة بأبعاد فنية ضيقة. وهذا المعنى بالغ الصلة بالدراسة الحالية؛ لأن المشاريع المرتبطة بصندوق الاستثمارات العامة لا تعمل في فراغ، بل ضمن سياق مؤسسي واستراتيجي أوسع يؤثر في توجهاتها البيئية.</w:t>
      </w:r>
    </w:p>
    <w:p w14:paraId="19A02314"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2F6E8398"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كما أوضحت الأدبيات أن استدامة المشاريع لا ينبغي أن تُفهم على أنها مرحلة منفصلة أو إجراء لاحق، بل بوصفها منطقًا إداريًا يجب دمجه في مختلف مراحل دورة حياة المشروع. وقد أظهرت دراسة مراجعة شاملة أن هناك نقصًا في توجيه تطبيق الاستدامة على مستوى المشروع نفسه، واقترحت إطارًا مفاهيميًا يتكون من أربعة أعمدة: المنتج، والعمليات، والتنظيم، والمديرون، بما يعني أن الاستدامة ليست سمة تخص المخرج النهائي فقط، بل تشمل أيضًا طريقة الإدارة، وهيكل المؤسسة، وطبيعة العمليات التنفيذية (</w:t>
      </w:r>
      <w:r w:rsidRPr="00EF51F6">
        <w:rPr>
          <w:rFonts w:ascii="Simplified Arabic" w:hAnsi="Simplified Arabic" w:cs="Simplified Arabic"/>
          <w:sz w:val="28"/>
          <w:szCs w:val="28"/>
        </w:rPr>
        <w:t>Marcelino-Sádaba et al., 2015</w:t>
      </w:r>
      <w:r w:rsidRPr="00EF51F6">
        <w:rPr>
          <w:rFonts w:ascii="Simplified Arabic" w:hAnsi="Simplified Arabic" w:cs="Simplified Arabic"/>
          <w:sz w:val="28"/>
          <w:szCs w:val="28"/>
          <w:rtl/>
        </w:rPr>
        <w:t>).</w:t>
      </w:r>
    </w:p>
    <w:p w14:paraId="3DBB2314"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4F3D8D55"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كما أوضحت دراسة أحدث حول ممارسات الاستدامة في إدارة المشاريع أن الدمج الفعلي للاستدامة على المستوى الجزئي للمشروع يتطلب أدوات وممارسات واضحة عبر دورة الحياة، وأن التفاوت ما يزال قائمًا بين ما تقترحه الأدبيات وما يُطبق فعليًا في الممارسة (</w:t>
      </w:r>
      <w:r w:rsidRPr="00EF51F6">
        <w:rPr>
          <w:rFonts w:ascii="Simplified Arabic" w:hAnsi="Simplified Arabic" w:cs="Simplified Arabic"/>
          <w:sz w:val="28"/>
          <w:szCs w:val="28"/>
        </w:rPr>
        <w:t>Soares et al., 2024</w:t>
      </w:r>
      <w:r w:rsidRPr="00EF51F6">
        <w:rPr>
          <w:rFonts w:ascii="Simplified Arabic" w:hAnsi="Simplified Arabic" w:cs="Simplified Arabic"/>
          <w:sz w:val="28"/>
          <w:szCs w:val="28"/>
          <w:rtl/>
        </w:rPr>
        <w:t>).</w:t>
      </w:r>
    </w:p>
    <w:p w14:paraId="0763D245"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1B86531F"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ويستفاد من هذا المحور أن الأدبيات وسعت مفهوم نجاح المشروع وربطته بالبعد طويل المدى، إلا أنها لم تقدم معالجة مقارنة كافية لكيفية تحول الالتزامات البيئية في المشاريع العملاقة السعودية إلى ممارسات إدارية خضراء قابلة للتتبع، وهو ما تسعى الدراسة الحالية إلى معالجته.</w:t>
      </w:r>
    </w:p>
    <w:p w14:paraId="0B2F8CA1" w14:textId="77777777" w:rsidR="00EF51F6" w:rsidRPr="00EF51F6" w:rsidRDefault="00EF51F6" w:rsidP="00EF51F6">
      <w:pPr>
        <w:spacing w:after="0" w:line="240" w:lineRule="auto"/>
        <w:rPr>
          <w:rFonts w:ascii="Simplified Arabic" w:hAnsi="Simplified Arabic" w:cs="Simplified Arabic"/>
          <w:sz w:val="28"/>
          <w:szCs w:val="28"/>
          <w:rtl/>
        </w:rPr>
      </w:pPr>
    </w:p>
    <w:p w14:paraId="3A32B117" w14:textId="77777777" w:rsidR="00EF51F6" w:rsidRPr="00D91AA2" w:rsidRDefault="00EF51F6" w:rsidP="00EF51F6">
      <w:pPr>
        <w:spacing w:after="0" w:line="240" w:lineRule="auto"/>
        <w:rPr>
          <w:rFonts w:ascii="Simplified Arabic" w:hAnsi="Simplified Arabic" w:cs="Simplified Arabic"/>
          <w:b/>
          <w:bCs/>
          <w:sz w:val="32"/>
          <w:szCs w:val="32"/>
          <w:rtl/>
        </w:rPr>
      </w:pPr>
      <w:r w:rsidRPr="00D91AA2">
        <w:rPr>
          <w:rFonts w:ascii="Simplified Arabic" w:hAnsi="Simplified Arabic" w:cs="Simplified Arabic"/>
          <w:b/>
          <w:bCs/>
          <w:sz w:val="32"/>
          <w:szCs w:val="32"/>
          <w:rtl/>
        </w:rPr>
        <w:t>2.7.2 الأدبيات العامة حول الإدارة الخضراء والإدارة البيئية</w:t>
      </w:r>
    </w:p>
    <w:p w14:paraId="45C08676" w14:textId="77777777" w:rsidR="00EF51F6" w:rsidRPr="00D91AA2" w:rsidRDefault="00EF51F6" w:rsidP="00EF51F6">
      <w:pPr>
        <w:spacing w:after="0" w:line="240" w:lineRule="auto"/>
        <w:rPr>
          <w:rFonts w:ascii="Simplified Arabic" w:hAnsi="Simplified Arabic" w:cs="Simplified Arabic"/>
          <w:sz w:val="32"/>
          <w:szCs w:val="32"/>
          <w:rtl/>
        </w:rPr>
      </w:pPr>
    </w:p>
    <w:p w14:paraId="05F3452C" w14:textId="23B3F309" w:rsidR="00EF51F6" w:rsidRPr="00EF51F6" w:rsidRDefault="00D91AA2" w:rsidP="00D91AA2">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إذا كانت أدبيات الاستدامة في إدارة المشاريع قد ركزت على دمج البعد الاستدامي ضمن منطق إدارة المشروع، فإن الأدبيات العامة حول الإدارة الخضراء والإدارة البيئية تذهب خطوة أبعد، إذ تنظر إلى البيئة بوصفها عنصرًا بنيويًا في اتخاذ القرار الإداري، وليس مجرد قيد خارجي أو متطلب امتثال. فالإدارة الخضراء في هذا الحقل لا تُختزل في خفض النفايات أو تحسين كفاءة الطاقة فحسب، وإنما تشمل دمج الاعتبارات البيئية في التخطيط، والمشتريات، والعلاقات مع الموردين، وتصميم العمليات، واختيار الشركاء، ونظم الحوكمة، وآليات التقييم والتحسين المستمر (</w:t>
      </w:r>
      <w:r w:rsidR="00EF51F6" w:rsidRPr="00EF51F6">
        <w:rPr>
          <w:rFonts w:ascii="Simplified Arabic" w:hAnsi="Simplified Arabic" w:cs="Simplified Arabic"/>
          <w:sz w:val="28"/>
          <w:szCs w:val="28"/>
        </w:rPr>
        <w:t>Chou et al., 2017</w:t>
      </w:r>
      <w:r w:rsidR="00EF51F6" w:rsidRPr="00EF51F6">
        <w:rPr>
          <w:rFonts w:ascii="Simplified Arabic" w:hAnsi="Simplified Arabic" w:cs="Simplified Arabic"/>
          <w:sz w:val="28"/>
          <w:szCs w:val="28"/>
          <w:rtl/>
        </w:rPr>
        <w:t>).</w:t>
      </w:r>
    </w:p>
    <w:p w14:paraId="60B15677"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0E4EF6E3"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وفي هذا السياق، قدمت إحدى الدراسات إطارًا مخصصًا لتقييم الإدارة الخضراء في المشاريع، انطلاقًا من ملاحظة أن الأدبيات السابقة لم تكن توفر معيارًا متكاملًا وواضحًا لتقييم هذا المفهوم داخل بيئة المشروع. وقد اقترحت هذه الدراسة مجموعة معايير وأبعاد تشمل العوامل التنظيمية الداخلية، والبيئة الداخلية للمشروع، والعمليات الداخلية والخارجية، والبيئة الخارجية، مع التأكيد على أن نجاح الإدارة الخضراء لا يعتمد على الإدارة العليا فقط، بل يرتبط أيضًا بالموردين، والعملاء، والشركاء، وأصحاب المصلحة الآخرين. وتكمن أهمية هذه النتيجة في أنها توسع فهم الإدارة الخضراء من كونها ممارسة داخلية إلى كونها منظومة علاقات وحوكمة ممتدة عبر حدود المشروع التنظيمية (</w:t>
      </w:r>
      <w:r w:rsidRPr="00EF51F6">
        <w:rPr>
          <w:rFonts w:ascii="Simplified Arabic" w:hAnsi="Simplified Arabic" w:cs="Simplified Arabic"/>
          <w:sz w:val="28"/>
          <w:szCs w:val="28"/>
        </w:rPr>
        <w:t>Chou et al., 2017</w:t>
      </w:r>
      <w:r w:rsidRPr="00EF51F6">
        <w:rPr>
          <w:rFonts w:ascii="Simplified Arabic" w:hAnsi="Simplified Arabic" w:cs="Simplified Arabic"/>
          <w:sz w:val="28"/>
          <w:szCs w:val="28"/>
          <w:rtl/>
        </w:rPr>
        <w:t>).</w:t>
      </w:r>
    </w:p>
    <w:p w14:paraId="06622C46"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7F4929AE"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وتكشف هذه الأدبيات كذلك أن الإدارة الخضراء لا ينبغي أن تُقرأ فقط في ضوء المؤشرات البيئية النهائية، بل أيضًا في ضوء البنية الإدارية التي تنتج تلك المؤشرات. فقد يكون المشروع قادرًا على الإعلان عن أهداف بيئية طموحة، لكن من دون وجود سياسات واضحة، وأدوار محددة، ومساءلة تنظيمية، ومتابعة دورية، وتكامل مع الموردين والمتعاقدين، يصعب تحويل تلك الأهداف إلى نتائج فعلية قابلة للرصد. ومن ثم، فإن الإدارة الخضراء تصبح في الأدبيات المعاصرة أقرب إلى نظام إداري متكامل يستند إلى التزام القيادة، والحوكمة، والتنسيق بين الأطراف، وبناء القدرات، وتحسين العمليات، وليس مجرد برنامج بيئي منفصل عن باقي وظائف المؤسسة.</w:t>
      </w:r>
    </w:p>
    <w:p w14:paraId="34D0F784"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4FB44DCE"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ويستفاد من هذا المحور أن الإدارة الخضراء تُفهم بوصفها منظومة إدارية ممتدة تتجاوز الامتثال الجزئي، غير أن هذا الحقل ما يزال بحاجة إلى تطبيقات مقارنة أكثر تحديدًا داخل بيئات المشاريع العملاقة العربية والسعودية على وجه الخصوص.</w:t>
      </w:r>
    </w:p>
    <w:p w14:paraId="1E658D21" w14:textId="77777777" w:rsidR="00EF51F6" w:rsidRPr="00D91AA2" w:rsidRDefault="00EF51F6" w:rsidP="00EF51F6">
      <w:pPr>
        <w:spacing w:after="0" w:line="240" w:lineRule="auto"/>
        <w:rPr>
          <w:rFonts w:ascii="Simplified Arabic" w:hAnsi="Simplified Arabic" w:cs="Simplified Arabic"/>
          <w:b/>
          <w:bCs/>
          <w:sz w:val="32"/>
          <w:szCs w:val="32"/>
          <w:rtl/>
        </w:rPr>
      </w:pPr>
      <w:r w:rsidRPr="00D91AA2">
        <w:rPr>
          <w:rFonts w:ascii="Simplified Arabic" w:hAnsi="Simplified Arabic" w:cs="Simplified Arabic"/>
          <w:b/>
          <w:bCs/>
          <w:sz w:val="32"/>
          <w:szCs w:val="32"/>
          <w:rtl/>
        </w:rPr>
        <w:t>2.7.3 الأدبيات المتعلقة باستدامة المشاريع العملاقة والحوكمة البيئية</w:t>
      </w:r>
    </w:p>
    <w:p w14:paraId="38E3FB03" w14:textId="77777777" w:rsidR="00EF51F6" w:rsidRPr="00D91AA2" w:rsidRDefault="00EF51F6" w:rsidP="00EF51F6">
      <w:pPr>
        <w:spacing w:after="0" w:line="240" w:lineRule="auto"/>
        <w:rPr>
          <w:rFonts w:ascii="Simplified Arabic" w:hAnsi="Simplified Arabic" w:cs="Simplified Arabic"/>
          <w:sz w:val="32"/>
          <w:szCs w:val="32"/>
          <w:rtl/>
        </w:rPr>
      </w:pPr>
    </w:p>
    <w:p w14:paraId="1D217BA2" w14:textId="570118F4" w:rsidR="00EF51F6" w:rsidRPr="00EF51F6" w:rsidRDefault="00D91AA2" w:rsidP="00D91AA2">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تشير الأدبيات الخاصة بالمشاريع العملاقة إلى أن هذا النوع من المشاريع يتمتع بخصوصية تجعل قضايا الاستدامة فيه أكثر تعقيدًا من المشاريع الاعتيادية. فالمشاريع العملاقة لا تتسم فقط بكبر الحجم الرأسمالي، بل أيضًا باتساع النطاق الجغرافي، وطول المدى الزمني، وتعدد الجهات الفاعلة، وتشابك المصالح، وارتفاع مستوى المخاطر، وتأثيرها الواسع في البيئة والمجتمع والاقتصاد. ولهذا فإن استدامة المشاريع العملاقة لا يمكن اختزالها في حلول تقنية أو بيئية منفردة، بل يجب فهمها ضمن إطار أوسع يتعلق بالحوكمة، والشرعية المؤسسية، وإدارة أصحاب المصلحة، وآليات اتخاذ القرار، وقدرة المشروع على الموازنة بين الطموح التنموي والقيود البيئية (</w:t>
      </w:r>
      <w:r w:rsidR="00EF51F6" w:rsidRPr="00EF51F6">
        <w:rPr>
          <w:rFonts w:ascii="Simplified Arabic" w:hAnsi="Simplified Arabic" w:cs="Simplified Arabic"/>
          <w:sz w:val="28"/>
          <w:szCs w:val="28"/>
        </w:rPr>
        <w:t>Wang et al., 2020</w:t>
      </w:r>
      <w:r w:rsidR="00EF51F6" w:rsidRPr="00EF51F6">
        <w:rPr>
          <w:rFonts w:ascii="Simplified Arabic" w:hAnsi="Simplified Arabic" w:cs="Simplified Arabic"/>
          <w:sz w:val="28"/>
          <w:szCs w:val="28"/>
          <w:rtl/>
        </w:rPr>
        <w:t>).</w:t>
      </w:r>
    </w:p>
    <w:p w14:paraId="2890ABA7"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5115E92D"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وقد أوضحت مراجعة علمية كمية في هذا المجال أن البحث العالمي حول استدامة إدارة المشاريع العملاقة شهد نموًا ملحوظًا خلال العقدين الماضيين، وأن هذا الحقل البحثي بات يجمع بين موضوعات متعددة مثل البيئة، والحوكمة، والتخطيط، وأصحاب المصلحة، والسياسات العامة، والتقييم طويل المدى. وتبين من هذه المراجعة أن استدامة المشاريع العملاقة لم تعد موضوعًا هامشيًا، بل أصبحت حقلًا معرفيًا متناميًا يستدعي أدوات تحليل متعددة بسبب الطبيعة المركبة لهذا النوع من المشاريع (</w:t>
      </w:r>
      <w:r w:rsidRPr="00EF51F6">
        <w:rPr>
          <w:rFonts w:ascii="Simplified Arabic" w:hAnsi="Simplified Arabic" w:cs="Simplified Arabic"/>
          <w:sz w:val="28"/>
          <w:szCs w:val="28"/>
        </w:rPr>
        <w:t>Wang et al., 2020</w:t>
      </w:r>
      <w:r w:rsidRPr="00EF51F6">
        <w:rPr>
          <w:rFonts w:ascii="Simplified Arabic" w:hAnsi="Simplified Arabic" w:cs="Simplified Arabic"/>
          <w:sz w:val="28"/>
          <w:szCs w:val="28"/>
          <w:rtl/>
        </w:rPr>
        <w:t>).</w:t>
      </w:r>
    </w:p>
    <w:p w14:paraId="509F5670"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0BC3E088"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كما توحي هذه الأدبيات بأن القضايا البيئية في المشاريع العملاقة لا تنفصل عن طبيعة الحوكمة؛ فحين تكون الحوكمة البيئية أكثر نضجًا، تميل الأهداف البيئية إلى أن تصبح أوضح، وآليات التتبع أكثر انتظامًا، والقدرة على الإفصاح أكثر تماسكًا. وهذا يتصل مباشرة بهدف الدراسة الحالية التي لا تكتفي بقراءة الأهداف المعلنة، بل تنظر في نمط التعبير المؤسسي عنها ودرجة قابليتها للتحليل والمقارنة.</w:t>
      </w:r>
    </w:p>
    <w:p w14:paraId="74896CB6"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571C81DE"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ويتضح من هذا المحور أن فهم الاستدامة في المشاريع العملاقة يقتضي الجمع بين البعد البيئي والبعد الحوكمي، إلا أن الربط المقارن المباشر بين الإدارة الخضراء ومؤشرات الاستدامة البيئية في حالات سعودية محددة ما يزال محدودًا، وهو ما يبرز أهمية الدراسة الحالية.</w:t>
      </w:r>
    </w:p>
    <w:p w14:paraId="7BAF164F" w14:textId="77777777" w:rsidR="00EF51F6" w:rsidRPr="00EF51F6" w:rsidRDefault="00EF51F6" w:rsidP="00EF51F6">
      <w:pPr>
        <w:spacing w:after="0" w:line="240" w:lineRule="auto"/>
        <w:rPr>
          <w:rFonts w:ascii="Simplified Arabic" w:hAnsi="Simplified Arabic" w:cs="Simplified Arabic"/>
          <w:sz w:val="28"/>
          <w:szCs w:val="28"/>
          <w:rtl/>
        </w:rPr>
      </w:pPr>
    </w:p>
    <w:p w14:paraId="06F7CDCA" w14:textId="77777777" w:rsidR="00EF51F6" w:rsidRPr="00D91AA2" w:rsidRDefault="00EF51F6" w:rsidP="00EF51F6">
      <w:pPr>
        <w:spacing w:after="0" w:line="240" w:lineRule="auto"/>
        <w:rPr>
          <w:rFonts w:ascii="Simplified Arabic" w:hAnsi="Simplified Arabic" w:cs="Simplified Arabic"/>
          <w:b/>
          <w:bCs/>
          <w:sz w:val="32"/>
          <w:szCs w:val="32"/>
          <w:rtl/>
        </w:rPr>
      </w:pPr>
      <w:r w:rsidRPr="00D91AA2">
        <w:rPr>
          <w:rFonts w:ascii="Simplified Arabic" w:hAnsi="Simplified Arabic" w:cs="Simplified Arabic"/>
          <w:b/>
          <w:bCs/>
          <w:sz w:val="32"/>
          <w:szCs w:val="32"/>
          <w:rtl/>
        </w:rPr>
        <w:t>2.7.4 الأدبيات المتعلقة بالقياس والإفصاح والاستدامة التشغيلية</w:t>
      </w:r>
    </w:p>
    <w:p w14:paraId="6B9E5FE0" w14:textId="77777777" w:rsidR="00EF51F6" w:rsidRPr="00D91AA2" w:rsidRDefault="00EF51F6" w:rsidP="00EF51F6">
      <w:pPr>
        <w:spacing w:after="0" w:line="240" w:lineRule="auto"/>
        <w:rPr>
          <w:rFonts w:ascii="Simplified Arabic" w:hAnsi="Simplified Arabic" w:cs="Simplified Arabic"/>
          <w:sz w:val="32"/>
          <w:szCs w:val="32"/>
          <w:rtl/>
        </w:rPr>
      </w:pPr>
    </w:p>
    <w:p w14:paraId="35D0F5A2" w14:textId="2F6786DD" w:rsidR="00EF51F6" w:rsidRPr="00EF51F6" w:rsidRDefault="00D91AA2" w:rsidP="00D91AA2">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من الاتجاهات البحثية المهمة في الأدبيات الحديثة الانتقال من الاهتمام بالمفاهيم العامة للاستدامة إلى التركيز على كيفية قياسها والإفصاح عنها وتحويلها إلى أداء تشغيلي قابل للتتبع. ففي كثير من الحالات، لا تكمن المشكلة في غياب الخطاب الاستدامي، بل في ضعف توحيد المؤشرات، وعدم انتظام الإفصاح، وصعوبة المقارنة بين المشاريع أو عبر الزمن. وقد أشارت دراسات حديثة في مجال مشاريع البنية التحتية إلى أن القطاع لا يزال بطيئًا نسبيًا في تبني مبادئ تقييم الاستدامة والإبلاغ المنهجي عنها، وأن هناك حاجة إلى مقاربات أكثر تكاملًا لربط التقييم بالتقرير وبالأهداف التنموية الأوسع (</w:t>
      </w:r>
      <w:r w:rsidR="00EF51F6" w:rsidRPr="00EF51F6">
        <w:rPr>
          <w:rFonts w:ascii="Simplified Arabic" w:hAnsi="Simplified Arabic" w:cs="Simplified Arabic"/>
          <w:sz w:val="28"/>
          <w:szCs w:val="28"/>
        </w:rPr>
        <w:t>Srivastava et al., 2024</w:t>
      </w:r>
      <w:r w:rsidR="00EF51F6" w:rsidRPr="00EF51F6">
        <w:rPr>
          <w:rFonts w:ascii="Simplified Arabic" w:hAnsi="Simplified Arabic" w:cs="Simplified Arabic"/>
          <w:sz w:val="28"/>
          <w:szCs w:val="28"/>
          <w:rtl/>
        </w:rPr>
        <w:t>).</w:t>
      </w:r>
    </w:p>
    <w:p w14:paraId="2C6C1900"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4A07E3F9"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وتُظهر هذه الأدبيات أن وجود أهداف بيئية معلنة لا يكفي وحده للحكم على مستوى الاستدامة، ما لم تقترن تلك الأهداف بخطوط أساس، ومؤشرات أداء، وآليات متابعة، وتكرار زمني للإفصاح يسمح بملاحظة التقدم أو التعثر. كما أن التقييم العلمي يتطلب التمييز بين مستويات مختلفة من البيانات: مستوى الالتزام المؤسسي المعلن، ومستوى المؤشر التشغيلي المنشور، ومستوى الأثر البيئي طويل المدى.</w:t>
      </w:r>
    </w:p>
    <w:p w14:paraId="2BC1B288"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40EAD489"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وفي ضوء ذلك، تبدو قيمة الإفصاح المؤسسي في كونه ليس مجرد أداة تواصل خارجي، بل أداة حوكمة وقياس ومساءلة. فكلما كان الإفصاح أكثر انتظامًا وكميةً واتساقًا، أصبحت الإدارة الخضراء أقرب إلى النضج المؤسسي. أما عندما يغلب الطابع التوجيهي أو الخطابي على الإفصاح، فإن قراءة الأثر تصبح أكثر حذرًا وتظل بحاجة إلى مؤشرات طولية أعمق.</w:t>
      </w:r>
    </w:p>
    <w:p w14:paraId="0BE87067"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6F2CD0B8"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ويستفاد من هذا المحور أن المشكلة الرئيسة في كثير من السياقات لا تتمثل في ندرة الطموح البيئي، بل في بناء نظم قياس وإفصاح أكثر انتظامًا وقابلية للمقارنة، وهو ما يتصل مباشرة بهدف هذه الدراسة.</w:t>
      </w:r>
    </w:p>
    <w:p w14:paraId="2550109E" w14:textId="77777777" w:rsidR="00EF51F6" w:rsidRPr="00EF51F6" w:rsidRDefault="00EF51F6" w:rsidP="00EF51F6">
      <w:pPr>
        <w:spacing w:after="0" w:line="240" w:lineRule="auto"/>
        <w:rPr>
          <w:rFonts w:ascii="Simplified Arabic" w:hAnsi="Simplified Arabic" w:cs="Simplified Arabic"/>
          <w:sz w:val="28"/>
          <w:szCs w:val="28"/>
          <w:rtl/>
        </w:rPr>
      </w:pPr>
    </w:p>
    <w:p w14:paraId="0B9A34ED" w14:textId="77777777" w:rsidR="00EF51F6" w:rsidRPr="00D91AA2" w:rsidRDefault="00EF51F6" w:rsidP="00EF51F6">
      <w:pPr>
        <w:spacing w:after="0" w:line="240" w:lineRule="auto"/>
        <w:rPr>
          <w:rFonts w:ascii="Simplified Arabic" w:hAnsi="Simplified Arabic" w:cs="Simplified Arabic"/>
          <w:b/>
          <w:bCs/>
          <w:sz w:val="32"/>
          <w:szCs w:val="32"/>
          <w:rtl/>
        </w:rPr>
      </w:pPr>
      <w:r w:rsidRPr="00D91AA2">
        <w:rPr>
          <w:rFonts w:ascii="Simplified Arabic" w:hAnsi="Simplified Arabic" w:cs="Simplified Arabic"/>
          <w:b/>
          <w:bCs/>
          <w:sz w:val="32"/>
          <w:szCs w:val="32"/>
          <w:rtl/>
        </w:rPr>
        <w:t>2.7.5 المصادر المؤسسية الرسمية المرتبطة بالحالتين</w:t>
      </w:r>
    </w:p>
    <w:p w14:paraId="35ED0C10" w14:textId="77777777" w:rsidR="00EF51F6" w:rsidRPr="00D91AA2" w:rsidRDefault="00EF51F6" w:rsidP="00EF51F6">
      <w:pPr>
        <w:spacing w:after="0" w:line="240" w:lineRule="auto"/>
        <w:rPr>
          <w:rFonts w:ascii="Simplified Arabic" w:hAnsi="Simplified Arabic" w:cs="Simplified Arabic"/>
          <w:sz w:val="32"/>
          <w:szCs w:val="32"/>
          <w:rtl/>
        </w:rPr>
      </w:pPr>
    </w:p>
    <w:p w14:paraId="61F4A2D8" w14:textId="21E8B641" w:rsidR="00EF51F6" w:rsidRPr="00EF51F6" w:rsidRDefault="00D91AA2" w:rsidP="00D91AA2">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إلى جانب الأدبيات العلمية العامة، تمثل المواد المؤسسية الرسمية المرتبطة بنيوم والبحر الأحمر الدولية وصندوق الاستثمارات العامة مصدرًا تطبيقيًا مهمًا للدراسة الحالية. غير أن هذه المواد تختلف في طبيعتها عن الدراسات العلمية المحكمة؛ إذ إنها تمثل وثائق حالة تكشف عن الأهداف والسياسات والالتزامات والمؤشرات المعلنة، لكنها لا تُعامل بوصفها بديلًا عن الأدبيات النظرية أو التطبيقية الأوسع.</w:t>
      </w:r>
    </w:p>
    <w:p w14:paraId="01181AEE"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14CDC380" w14:textId="60AA794F" w:rsidR="00EF51F6" w:rsidRPr="00EF51F6" w:rsidRDefault="00EF51F6" w:rsidP="00D91AA2">
      <w:pPr>
        <w:spacing w:after="0" w:line="240" w:lineRule="auto"/>
        <w:jc w:val="both"/>
        <w:rPr>
          <w:rFonts w:ascii="Simplified Arabic" w:hAnsi="Simplified Arabic" w:cs="Simplified Arabic"/>
          <w:sz w:val="28"/>
          <w:szCs w:val="28"/>
        </w:rPr>
      </w:pPr>
      <w:r w:rsidRPr="00EF51F6">
        <w:rPr>
          <w:rFonts w:ascii="Simplified Arabic" w:hAnsi="Simplified Arabic" w:cs="Simplified Arabic"/>
          <w:sz w:val="28"/>
          <w:szCs w:val="28"/>
          <w:rtl/>
        </w:rPr>
        <w:t xml:space="preserve">وفي حالة نيوم، تُظهر المواد الرسمية أن المشروع يقدم نفسه بوصفه مشروعًا يعتمد على الحماية الواسعة للطبيعة، والطاقة المتجددة، والتنوع الحيوي الإيجابي، </w:t>
      </w:r>
      <w:r w:rsidR="005B5FEC">
        <w:rPr>
          <w:rFonts w:ascii="Simplified Arabic" w:hAnsi="Simplified Arabic" w:cs="Simplified Arabic" w:hint="cs"/>
          <w:sz w:val="28"/>
          <w:szCs w:val="28"/>
          <w:rtl/>
        </w:rPr>
        <w:t>وإعادة التدوير</w:t>
      </w:r>
      <w:r w:rsidRPr="00EF51F6">
        <w:rPr>
          <w:rFonts w:ascii="Simplified Arabic" w:hAnsi="Simplified Arabic" w:cs="Simplified Arabic"/>
          <w:sz w:val="28"/>
          <w:szCs w:val="28"/>
          <w:rtl/>
        </w:rPr>
        <w:t xml:space="preserve"> في الموارد والمياه، مع تخصيص 95% من اليابسة والبحر للحماية، والسعي إلى إنشاء نظام طاقة متجددة واسع النطاق، وإمداد مائي دائري مع عدم تصريف السوائل إلى البيئة البحرية. وفي حالة البحر الأحمر الدولية، تُظهر المواد الرسمية حضورًا أكثر تحديدًا من حيث الإفصاح الكمي والزمني، إذ تؤكد الالتزام بتشغيل الوجهات باستخدام 100% من الطاقة المتجددة، والسعي إلى تحقيق 30% منفعة صافية للحفاظ على الطبيعة بحلول عام 2040، إلى جانب نشر تقارير استدامة دورية تتضمن مؤشرات تشغيلية معلنة. أما صندوق الاستثمارات العامة فيقدم إطارًا تمويليًا وحوكميًا أوسع يحدد فئات المشاريع الخضراء المؤهلة ويضع آليات للتقرير عن التخصيص والأثر (</w:t>
      </w:r>
      <w:r w:rsidRPr="00EF51F6">
        <w:rPr>
          <w:rFonts w:ascii="Simplified Arabic" w:hAnsi="Simplified Arabic" w:cs="Simplified Arabic"/>
          <w:sz w:val="28"/>
          <w:szCs w:val="28"/>
        </w:rPr>
        <w:t>NEOM, n.d.; Red Sea Global, 2025; Red Sea Global, n.d.; PIF, 2024; PIF, 2025a; PIF, 2025b</w:t>
      </w:r>
      <w:r w:rsidRPr="00EF51F6">
        <w:rPr>
          <w:rFonts w:ascii="Simplified Arabic" w:hAnsi="Simplified Arabic" w:cs="Simplified Arabic"/>
          <w:sz w:val="28"/>
          <w:szCs w:val="28"/>
          <w:rtl/>
        </w:rPr>
        <w:t>).</w:t>
      </w:r>
    </w:p>
    <w:p w14:paraId="34D1D154"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705861F6"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وتكمن أهمية هذه المواد بالنسبة للدراسة الحالية في أنها توفر أساسًا تطبيقيًا لتحليل كيف يُعرض البعد البيئي مؤسسيًا داخل حالتين بارزتين في السياق السعودي، مع بقاء الحاجة إلى التعامل معها باعتبارها مواد تحليلية منضبطة لا بديلًا عن القياس الميداني المباشر. كما أن الاعتماد عليها يظل مشروعًا منهجيًا ما دامت الدراسة تعلن حدودها بوضوح، وتتعامل مع نتائجها بوصفها نتائج وثائقية تفسيرية لا قياسات ميدانية نهائية.</w:t>
      </w:r>
    </w:p>
    <w:p w14:paraId="09B305C8" w14:textId="77777777" w:rsidR="00EF51F6" w:rsidRPr="00EF51F6" w:rsidRDefault="00EF51F6" w:rsidP="00EF51F6">
      <w:pPr>
        <w:spacing w:after="0" w:line="240" w:lineRule="auto"/>
        <w:rPr>
          <w:rFonts w:ascii="Simplified Arabic" w:hAnsi="Simplified Arabic" w:cs="Simplified Arabic"/>
          <w:sz w:val="28"/>
          <w:szCs w:val="28"/>
          <w:rtl/>
        </w:rPr>
      </w:pPr>
    </w:p>
    <w:p w14:paraId="33F178A3" w14:textId="77777777" w:rsidR="00EF51F6" w:rsidRPr="00D91AA2" w:rsidRDefault="00EF51F6" w:rsidP="00EF51F6">
      <w:pPr>
        <w:spacing w:after="0" w:line="240" w:lineRule="auto"/>
        <w:rPr>
          <w:rFonts w:ascii="Simplified Arabic" w:hAnsi="Simplified Arabic" w:cs="Simplified Arabic"/>
          <w:b/>
          <w:bCs/>
          <w:sz w:val="32"/>
          <w:szCs w:val="32"/>
          <w:rtl/>
        </w:rPr>
      </w:pPr>
      <w:r w:rsidRPr="00D91AA2">
        <w:rPr>
          <w:rFonts w:ascii="Simplified Arabic" w:hAnsi="Simplified Arabic" w:cs="Simplified Arabic"/>
          <w:b/>
          <w:bCs/>
          <w:sz w:val="32"/>
          <w:szCs w:val="32"/>
          <w:rtl/>
        </w:rPr>
        <w:t>2.7.6 تعقيب تحليلي على الدراسات السابقة</w:t>
      </w:r>
    </w:p>
    <w:p w14:paraId="51ADDAC8" w14:textId="77777777" w:rsidR="00EF51F6" w:rsidRPr="00D91AA2" w:rsidRDefault="00EF51F6" w:rsidP="00EF51F6">
      <w:pPr>
        <w:spacing w:after="0" w:line="240" w:lineRule="auto"/>
        <w:rPr>
          <w:rFonts w:ascii="Simplified Arabic" w:hAnsi="Simplified Arabic" w:cs="Simplified Arabic"/>
          <w:sz w:val="32"/>
          <w:szCs w:val="32"/>
          <w:rtl/>
        </w:rPr>
      </w:pPr>
    </w:p>
    <w:p w14:paraId="15AF1522" w14:textId="1EDDE14A" w:rsidR="00EF51F6" w:rsidRPr="00EF51F6" w:rsidRDefault="00D91AA2" w:rsidP="00D91AA2">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يتضح من استعراض الدراسات السابقة أن الحقل العلمي ذي الصلة بالدراسة الحالية قد تطور على عدة مستويات متكاملة. فقد أسهمت الأدبيات العامة حول الاستدامة في إدارة المشاريع في توسيع مفهوم نجاح المشروع وربطه بالبعد طويل المدى، كما أسهمت الأدبيات المتعلقة بالإدارة الخضراء في نقل البيئة من مستوى الامتثال الجزئي إلى مستوى النظام الإداري والحوكمة، في حين بينت الأدبيات الخاصة بالمشاريع العملاقة أن الاستدامة في هذا النوع من المشاريع ترتبط بتعقيد الحوكمة وطول دورة الحياة وتعدد الفاعلين. أما الأدبيات المتعلقة بالقياس والإفصاح فقد أبرزت أن الفجوة الأساسية لا تكمن في كثرة الخطاب الاستدامي بقدر ما تكمن في تحويله إلى مؤشرات تشغيلية منتظمة قابلة للمقارنة عبر الزمن.</w:t>
      </w:r>
    </w:p>
    <w:p w14:paraId="78CA7118" w14:textId="77777777" w:rsidR="00EF51F6" w:rsidRPr="00EF51F6" w:rsidRDefault="00EF51F6" w:rsidP="00D91AA2">
      <w:pPr>
        <w:spacing w:after="0" w:line="240" w:lineRule="auto"/>
        <w:jc w:val="both"/>
        <w:rPr>
          <w:rFonts w:ascii="Simplified Arabic" w:hAnsi="Simplified Arabic" w:cs="Simplified Arabic"/>
          <w:sz w:val="28"/>
          <w:szCs w:val="28"/>
          <w:rtl/>
        </w:rPr>
      </w:pPr>
    </w:p>
    <w:p w14:paraId="0961AB52" w14:textId="77777777" w:rsidR="00EF51F6" w:rsidRPr="00EF51F6" w:rsidRDefault="00EF51F6" w:rsidP="00D91AA2">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كما تكشف هذه الأدبيات أن العلاقة بين الإدارة الخضراء والاستدامة البيئية ليست علاقة تلقائية أو خطية، بل علاقة مشروطة بوجود حوكمة بيئية فعالة، وآليات قياس، وإفصاح مؤسسي، وبنية تشغيلية قادرة على حمل الالتزامات من مستوى الرؤية إلى مستوى التطبيق. وهذا الاستنتاج يمثل الأساس النظري المباشر الذي تبنى عليه الدراسة الحالية مقاربتها المقارنة.</w:t>
      </w:r>
    </w:p>
    <w:p w14:paraId="02F6172C" w14:textId="77777777" w:rsidR="00EF51F6" w:rsidRDefault="00EF51F6" w:rsidP="00EF51F6">
      <w:pPr>
        <w:spacing w:after="0" w:line="240" w:lineRule="auto"/>
        <w:rPr>
          <w:rFonts w:ascii="Simplified Arabic" w:hAnsi="Simplified Arabic" w:cs="Simplified Arabic"/>
          <w:sz w:val="28"/>
          <w:szCs w:val="28"/>
          <w:rtl/>
        </w:rPr>
      </w:pPr>
    </w:p>
    <w:p w14:paraId="266063F2" w14:textId="77777777" w:rsidR="005173B7" w:rsidRPr="005173B7" w:rsidRDefault="005173B7" w:rsidP="005173B7">
      <w:pPr>
        <w:spacing w:after="0" w:line="240" w:lineRule="auto"/>
        <w:jc w:val="center"/>
        <w:rPr>
          <w:rFonts w:ascii="Simplified Arabic" w:hAnsi="Simplified Arabic" w:cs="Simplified Arabic"/>
          <w:sz w:val="200"/>
          <w:szCs w:val="200"/>
          <w:rtl/>
        </w:rPr>
      </w:pPr>
    </w:p>
    <w:p w14:paraId="35E3B72C" w14:textId="77777777" w:rsidR="00EF51F6" w:rsidRDefault="00EF51F6" w:rsidP="00EF51F6">
      <w:pPr>
        <w:spacing w:after="0" w:line="240" w:lineRule="auto"/>
        <w:rPr>
          <w:rFonts w:ascii="Simplified Arabic" w:hAnsi="Simplified Arabic" w:cs="Simplified Arabic"/>
          <w:b/>
          <w:bCs/>
          <w:sz w:val="32"/>
          <w:szCs w:val="32"/>
          <w:rtl/>
        </w:rPr>
      </w:pPr>
      <w:r w:rsidRPr="00D91AA2">
        <w:rPr>
          <w:rFonts w:ascii="Simplified Arabic" w:hAnsi="Simplified Arabic" w:cs="Simplified Arabic"/>
          <w:b/>
          <w:bCs/>
          <w:sz w:val="32"/>
          <w:szCs w:val="32"/>
          <w:rtl/>
        </w:rPr>
        <w:t>2.7.7 جدول موجز للدراسات السابقة</w:t>
      </w:r>
    </w:p>
    <w:p w14:paraId="57432749" w14:textId="77777777" w:rsidR="00D91AA2" w:rsidRPr="00D91AA2" w:rsidRDefault="00D91AA2" w:rsidP="00EF51F6">
      <w:pPr>
        <w:spacing w:after="0" w:line="240" w:lineRule="auto"/>
        <w:rPr>
          <w:rFonts w:ascii="Simplified Arabic" w:hAnsi="Simplified Arabic" w:cs="Simplified Arabic"/>
          <w:sz w:val="32"/>
          <w:szCs w:val="32"/>
          <w:rtl/>
        </w:rPr>
      </w:pPr>
    </w:p>
    <w:tbl>
      <w:tblPr>
        <w:tblStyle w:val="GridTable5Dark-Accent3"/>
        <w:bidiVisual/>
        <w:tblW w:w="5000" w:type="pct"/>
        <w:jc w:val="center"/>
        <w:tblLook w:val="04A0" w:firstRow="1" w:lastRow="0" w:firstColumn="1" w:lastColumn="0" w:noHBand="0" w:noVBand="1"/>
      </w:tblPr>
      <w:tblGrid>
        <w:gridCol w:w="1963"/>
        <w:gridCol w:w="2005"/>
        <w:gridCol w:w="1358"/>
        <w:gridCol w:w="2245"/>
        <w:gridCol w:w="2057"/>
      </w:tblGrid>
      <w:tr w:rsidR="005173B7" w:rsidRPr="005173B7" w14:paraId="15470025" w14:textId="77777777" w:rsidTr="002C3FD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19" w:type="pct"/>
            <w:vAlign w:val="center"/>
            <w:hideMark/>
          </w:tcPr>
          <w:p w14:paraId="4F77D767" w14:textId="77777777" w:rsidR="005173B7" w:rsidRPr="005173B7" w:rsidRDefault="005173B7" w:rsidP="005173B7">
            <w:pPr>
              <w:jc w:val="center"/>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الباحث والسنة</w:t>
            </w:r>
          </w:p>
        </w:tc>
        <w:tc>
          <w:tcPr>
            <w:tcW w:w="1041" w:type="pct"/>
            <w:vAlign w:val="center"/>
            <w:hideMark/>
          </w:tcPr>
          <w:p w14:paraId="438F6502" w14:textId="77777777" w:rsidR="005173B7" w:rsidRPr="005173B7" w:rsidRDefault="005173B7" w:rsidP="005173B7">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موضوع الدراسة</w:t>
            </w:r>
          </w:p>
        </w:tc>
        <w:tc>
          <w:tcPr>
            <w:tcW w:w="705" w:type="pct"/>
            <w:vAlign w:val="center"/>
            <w:hideMark/>
          </w:tcPr>
          <w:p w14:paraId="6F22C85A" w14:textId="77777777" w:rsidR="005173B7" w:rsidRPr="005173B7" w:rsidRDefault="005173B7" w:rsidP="005173B7">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المنهج</w:t>
            </w:r>
          </w:p>
        </w:tc>
        <w:tc>
          <w:tcPr>
            <w:tcW w:w="1166" w:type="pct"/>
            <w:vAlign w:val="center"/>
            <w:hideMark/>
          </w:tcPr>
          <w:p w14:paraId="246D219A" w14:textId="77777777" w:rsidR="005173B7" w:rsidRPr="005173B7" w:rsidRDefault="005173B7" w:rsidP="005173B7">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أهم النتائج</w:t>
            </w:r>
          </w:p>
        </w:tc>
        <w:tc>
          <w:tcPr>
            <w:tcW w:w="1068" w:type="pct"/>
            <w:vAlign w:val="center"/>
            <w:hideMark/>
          </w:tcPr>
          <w:p w14:paraId="09AEE2FF" w14:textId="77777777" w:rsidR="005173B7" w:rsidRPr="005173B7" w:rsidRDefault="005173B7" w:rsidP="005173B7">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وجه الإفادة</w:t>
            </w:r>
          </w:p>
        </w:tc>
      </w:tr>
      <w:tr w:rsidR="005173B7" w:rsidRPr="005173B7" w14:paraId="36DF36F8" w14:textId="77777777" w:rsidTr="002C3F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19" w:type="pct"/>
            <w:vAlign w:val="center"/>
            <w:hideMark/>
          </w:tcPr>
          <w:p w14:paraId="5FDD450F" w14:textId="77777777" w:rsidR="005173B7" w:rsidRPr="005173B7" w:rsidRDefault="005173B7" w:rsidP="005173B7">
            <w:pPr>
              <w:jc w:val="center"/>
              <w:rPr>
                <w:rFonts w:asciiTheme="majorBidi" w:eastAsia="Times New Roman" w:hAnsiTheme="majorBidi" w:cstheme="majorBidi"/>
                <w:kern w:val="0"/>
                <w:sz w:val="20"/>
                <w:szCs w:val="20"/>
                <w14:ligatures w14:val="none"/>
              </w:rPr>
            </w:pPr>
            <w:r w:rsidRPr="005173B7">
              <w:rPr>
                <w:rFonts w:asciiTheme="majorBidi" w:eastAsia="Times New Roman" w:hAnsiTheme="majorBidi" w:cstheme="majorBidi"/>
                <w:kern w:val="0"/>
                <w:sz w:val="20"/>
                <w:szCs w:val="20"/>
                <w14:ligatures w14:val="none"/>
              </w:rPr>
              <w:t>Aarseth et al., 2017</w:t>
            </w:r>
          </w:p>
        </w:tc>
        <w:tc>
          <w:tcPr>
            <w:tcW w:w="1041" w:type="pct"/>
            <w:vAlign w:val="center"/>
            <w:hideMark/>
          </w:tcPr>
          <w:p w14:paraId="46AF4470" w14:textId="77777777" w:rsidR="005173B7" w:rsidRPr="005173B7" w:rsidRDefault="005173B7" w:rsidP="005173B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استراتيجيات استدامة المشاريع</w:t>
            </w:r>
          </w:p>
        </w:tc>
        <w:tc>
          <w:tcPr>
            <w:tcW w:w="705" w:type="pct"/>
            <w:vAlign w:val="center"/>
            <w:hideMark/>
          </w:tcPr>
          <w:p w14:paraId="4CE15D6B" w14:textId="77777777" w:rsidR="005173B7" w:rsidRPr="005173B7" w:rsidRDefault="005173B7" w:rsidP="005173B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مراجعة أدبية منهجية</w:t>
            </w:r>
          </w:p>
        </w:tc>
        <w:tc>
          <w:tcPr>
            <w:tcW w:w="1166" w:type="pct"/>
            <w:vAlign w:val="center"/>
            <w:hideMark/>
          </w:tcPr>
          <w:p w14:paraId="7CC9BED0" w14:textId="77777777" w:rsidR="005173B7" w:rsidRPr="005173B7" w:rsidRDefault="005173B7" w:rsidP="005173B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الحقل متنامٍ لكنه ظل متفرقًا نسبيًا</w:t>
            </w:r>
          </w:p>
        </w:tc>
        <w:tc>
          <w:tcPr>
            <w:tcW w:w="1068" w:type="pct"/>
            <w:vAlign w:val="center"/>
            <w:hideMark/>
          </w:tcPr>
          <w:p w14:paraId="62AA35CF" w14:textId="77777777" w:rsidR="005173B7" w:rsidRPr="005173B7" w:rsidRDefault="005173B7" w:rsidP="005173B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دعم الإطار النظري وربط المشروع بالمنظمة الحاضنة</w:t>
            </w:r>
          </w:p>
        </w:tc>
      </w:tr>
      <w:tr w:rsidR="005173B7" w:rsidRPr="005173B7" w14:paraId="0DA4F87D" w14:textId="77777777" w:rsidTr="002C3FD6">
        <w:trPr>
          <w:jc w:val="center"/>
        </w:trPr>
        <w:tc>
          <w:tcPr>
            <w:cnfStyle w:val="001000000000" w:firstRow="0" w:lastRow="0" w:firstColumn="1" w:lastColumn="0" w:oddVBand="0" w:evenVBand="0" w:oddHBand="0" w:evenHBand="0" w:firstRowFirstColumn="0" w:firstRowLastColumn="0" w:lastRowFirstColumn="0" w:lastRowLastColumn="0"/>
            <w:tcW w:w="1019" w:type="pct"/>
            <w:vAlign w:val="center"/>
            <w:hideMark/>
          </w:tcPr>
          <w:p w14:paraId="2C4C89BC" w14:textId="77777777" w:rsidR="005173B7" w:rsidRPr="005173B7" w:rsidRDefault="005173B7" w:rsidP="005173B7">
            <w:pPr>
              <w:jc w:val="center"/>
              <w:rPr>
                <w:rFonts w:asciiTheme="majorBidi" w:eastAsia="Times New Roman" w:hAnsiTheme="majorBidi" w:cstheme="majorBidi"/>
                <w:kern w:val="0"/>
                <w:sz w:val="20"/>
                <w:szCs w:val="20"/>
                <w14:ligatures w14:val="none"/>
              </w:rPr>
            </w:pPr>
            <w:r w:rsidRPr="005173B7">
              <w:rPr>
                <w:rFonts w:asciiTheme="majorBidi" w:eastAsia="Times New Roman" w:hAnsiTheme="majorBidi" w:cstheme="majorBidi"/>
                <w:kern w:val="0"/>
                <w:sz w:val="20"/>
                <w:szCs w:val="20"/>
                <w14:ligatures w14:val="none"/>
              </w:rPr>
              <w:t>Marcelino-Sádaba et al., 2015</w:t>
            </w:r>
          </w:p>
        </w:tc>
        <w:tc>
          <w:tcPr>
            <w:tcW w:w="1041" w:type="pct"/>
            <w:vAlign w:val="center"/>
            <w:hideMark/>
          </w:tcPr>
          <w:p w14:paraId="0F4CA946" w14:textId="77777777" w:rsidR="005173B7" w:rsidRPr="005173B7" w:rsidRDefault="005173B7" w:rsidP="005173B7">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إدارة المشاريع كمدخل للاستدامة</w:t>
            </w:r>
          </w:p>
        </w:tc>
        <w:tc>
          <w:tcPr>
            <w:tcW w:w="705" w:type="pct"/>
            <w:vAlign w:val="center"/>
            <w:hideMark/>
          </w:tcPr>
          <w:p w14:paraId="0B0689D8" w14:textId="77777777" w:rsidR="005173B7" w:rsidRPr="005173B7" w:rsidRDefault="005173B7" w:rsidP="005173B7">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مراجعة شاملة وإطار مفاهيمي</w:t>
            </w:r>
          </w:p>
        </w:tc>
        <w:tc>
          <w:tcPr>
            <w:tcW w:w="1166" w:type="pct"/>
            <w:vAlign w:val="center"/>
            <w:hideMark/>
          </w:tcPr>
          <w:p w14:paraId="14E2EBC7" w14:textId="77777777" w:rsidR="005173B7" w:rsidRPr="005173B7" w:rsidRDefault="005173B7" w:rsidP="005173B7">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ضرورة دمج الاستدامة في المنتج والعمليات والتنظيم والمديرين</w:t>
            </w:r>
          </w:p>
        </w:tc>
        <w:tc>
          <w:tcPr>
            <w:tcW w:w="1068" w:type="pct"/>
            <w:vAlign w:val="center"/>
            <w:hideMark/>
          </w:tcPr>
          <w:p w14:paraId="607BEFA2" w14:textId="77777777" w:rsidR="005173B7" w:rsidRPr="005173B7" w:rsidRDefault="005173B7" w:rsidP="005173B7">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دعم العلاقة بين الإدارة الخضراء والاستدامة</w:t>
            </w:r>
          </w:p>
        </w:tc>
      </w:tr>
      <w:tr w:rsidR="005173B7" w:rsidRPr="005173B7" w14:paraId="73168E49" w14:textId="77777777" w:rsidTr="002C3F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19" w:type="pct"/>
            <w:vAlign w:val="center"/>
            <w:hideMark/>
          </w:tcPr>
          <w:p w14:paraId="0CDD96B3" w14:textId="77777777" w:rsidR="005173B7" w:rsidRPr="005173B7" w:rsidRDefault="005173B7" w:rsidP="005173B7">
            <w:pPr>
              <w:jc w:val="center"/>
              <w:rPr>
                <w:rFonts w:asciiTheme="majorBidi" w:eastAsia="Times New Roman" w:hAnsiTheme="majorBidi" w:cstheme="majorBidi"/>
                <w:kern w:val="0"/>
                <w:sz w:val="20"/>
                <w:szCs w:val="20"/>
                <w14:ligatures w14:val="none"/>
              </w:rPr>
            </w:pPr>
            <w:r w:rsidRPr="005173B7">
              <w:rPr>
                <w:rFonts w:asciiTheme="majorBidi" w:eastAsia="Times New Roman" w:hAnsiTheme="majorBidi" w:cstheme="majorBidi"/>
                <w:kern w:val="0"/>
                <w:sz w:val="20"/>
                <w:szCs w:val="20"/>
                <w14:ligatures w14:val="none"/>
              </w:rPr>
              <w:t>Chou et al., 2017</w:t>
            </w:r>
          </w:p>
        </w:tc>
        <w:tc>
          <w:tcPr>
            <w:tcW w:w="1041" w:type="pct"/>
            <w:vAlign w:val="center"/>
            <w:hideMark/>
          </w:tcPr>
          <w:p w14:paraId="2BEB08DA" w14:textId="77777777" w:rsidR="005173B7" w:rsidRPr="005173B7" w:rsidRDefault="005173B7" w:rsidP="005173B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تقييم الإدارة الخضراء في المشاريع</w:t>
            </w:r>
          </w:p>
        </w:tc>
        <w:tc>
          <w:tcPr>
            <w:tcW w:w="705" w:type="pct"/>
            <w:vAlign w:val="center"/>
            <w:hideMark/>
          </w:tcPr>
          <w:p w14:paraId="72BF5308" w14:textId="77777777" w:rsidR="005173B7" w:rsidRPr="005173B7" w:rsidRDefault="005173B7" w:rsidP="005173B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تطوير معايير تقييم</w:t>
            </w:r>
          </w:p>
        </w:tc>
        <w:tc>
          <w:tcPr>
            <w:tcW w:w="1166" w:type="pct"/>
            <w:vAlign w:val="center"/>
            <w:hideMark/>
          </w:tcPr>
          <w:p w14:paraId="30E150D2" w14:textId="77777777" w:rsidR="005173B7" w:rsidRPr="005173B7" w:rsidRDefault="005173B7" w:rsidP="005173B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الإدارة الخضراء منظومة داخلية وخارجية ممتدة</w:t>
            </w:r>
          </w:p>
        </w:tc>
        <w:tc>
          <w:tcPr>
            <w:tcW w:w="1068" w:type="pct"/>
            <w:vAlign w:val="center"/>
            <w:hideMark/>
          </w:tcPr>
          <w:p w14:paraId="4EE645F4" w14:textId="77777777" w:rsidR="005173B7" w:rsidRPr="005173B7" w:rsidRDefault="005173B7" w:rsidP="005173B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دعم أبعاد التحليل في الدراسة</w:t>
            </w:r>
          </w:p>
        </w:tc>
      </w:tr>
      <w:tr w:rsidR="005173B7" w:rsidRPr="005173B7" w14:paraId="0C3C2545" w14:textId="77777777" w:rsidTr="002C3FD6">
        <w:trPr>
          <w:jc w:val="center"/>
        </w:trPr>
        <w:tc>
          <w:tcPr>
            <w:cnfStyle w:val="001000000000" w:firstRow="0" w:lastRow="0" w:firstColumn="1" w:lastColumn="0" w:oddVBand="0" w:evenVBand="0" w:oddHBand="0" w:evenHBand="0" w:firstRowFirstColumn="0" w:firstRowLastColumn="0" w:lastRowFirstColumn="0" w:lastRowLastColumn="0"/>
            <w:tcW w:w="1019" w:type="pct"/>
            <w:vAlign w:val="center"/>
            <w:hideMark/>
          </w:tcPr>
          <w:p w14:paraId="435D6EE5" w14:textId="77777777" w:rsidR="005173B7" w:rsidRPr="005173B7" w:rsidRDefault="005173B7" w:rsidP="005173B7">
            <w:pPr>
              <w:jc w:val="center"/>
              <w:rPr>
                <w:rFonts w:asciiTheme="majorBidi" w:eastAsia="Times New Roman" w:hAnsiTheme="majorBidi" w:cstheme="majorBidi"/>
                <w:kern w:val="0"/>
                <w:sz w:val="20"/>
                <w:szCs w:val="20"/>
                <w14:ligatures w14:val="none"/>
              </w:rPr>
            </w:pPr>
            <w:r w:rsidRPr="005173B7">
              <w:rPr>
                <w:rFonts w:asciiTheme="majorBidi" w:eastAsia="Times New Roman" w:hAnsiTheme="majorBidi" w:cstheme="majorBidi"/>
                <w:kern w:val="0"/>
                <w:sz w:val="20"/>
                <w:szCs w:val="20"/>
                <w14:ligatures w14:val="none"/>
              </w:rPr>
              <w:t>Wang et al., 2020</w:t>
            </w:r>
          </w:p>
        </w:tc>
        <w:tc>
          <w:tcPr>
            <w:tcW w:w="1041" w:type="pct"/>
            <w:vAlign w:val="center"/>
            <w:hideMark/>
          </w:tcPr>
          <w:p w14:paraId="72742214" w14:textId="77777777" w:rsidR="005173B7" w:rsidRPr="005173B7" w:rsidRDefault="005173B7" w:rsidP="005173B7">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استدامة إدارة المشاريع العملاقة</w:t>
            </w:r>
          </w:p>
        </w:tc>
        <w:tc>
          <w:tcPr>
            <w:tcW w:w="705" w:type="pct"/>
            <w:vAlign w:val="center"/>
            <w:hideMark/>
          </w:tcPr>
          <w:p w14:paraId="6C4C3FC4" w14:textId="77777777" w:rsidR="005173B7" w:rsidRPr="005173B7" w:rsidRDefault="005173B7" w:rsidP="005173B7">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مراجعة علمية كمية</w:t>
            </w:r>
          </w:p>
        </w:tc>
        <w:tc>
          <w:tcPr>
            <w:tcW w:w="1166" w:type="pct"/>
            <w:vAlign w:val="center"/>
            <w:hideMark/>
          </w:tcPr>
          <w:p w14:paraId="44372EA0" w14:textId="77777777" w:rsidR="005173B7" w:rsidRPr="005173B7" w:rsidRDefault="005173B7" w:rsidP="005173B7">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الحقل متعدد الأبعاد ويرتبط بالحوكمة والبيئة وأصحاب المصلحة</w:t>
            </w:r>
          </w:p>
        </w:tc>
        <w:tc>
          <w:tcPr>
            <w:tcW w:w="1068" w:type="pct"/>
            <w:vAlign w:val="center"/>
            <w:hideMark/>
          </w:tcPr>
          <w:p w14:paraId="140483AC" w14:textId="77777777" w:rsidR="005173B7" w:rsidRPr="005173B7" w:rsidRDefault="005173B7" w:rsidP="005173B7">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تأصيل خصوصية المشاريع العملاقة</w:t>
            </w:r>
          </w:p>
        </w:tc>
      </w:tr>
      <w:tr w:rsidR="005173B7" w:rsidRPr="005173B7" w14:paraId="3C846F8F" w14:textId="77777777" w:rsidTr="002C3FD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19" w:type="pct"/>
            <w:vAlign w:val="center"/>
            <w:hideMark/>
          </w:tcPr>
          <w:p w14:paraId="7A6E7BFD" w14:textId="77777777" w:rsidR="005173B7" w:rsidRPr="005173B7" w:rsidRDefault="005173B7" w:rsidP="005173B7">
            <w:pPr>
              <w:jc w:val="center"/>
              <w:rPr>
                <w:rFonts w:asciiTheme="majorBidi" w:eastAsia="Times New Roman" w:hAnsiTheme="majorBidi" w:cstheme="majorBidi"/>
                <w:kern w:val="0"/>
                <w:sz w:val="20"/>
                <w:szCs w:val="20"/>
                <w14:ligatures w14:val="none"/>
              </w:rPr>
            </w:pPr>
            <w:r w:rsidRPr="005173B7">
              <w:rPr>
                <w:rFonts w:asciiTheme="majorBidi" w:eastAsia="Times New Roman" w:hAnsiTheme="majorBidi" w:cstheme="majorBidi"/>
                <w:kern w:val="0"/>
                <w:sz w:val="20"/>
                <w:szCs w:val="20"/>
                <w14:ligatures w14:val="none"/>
              </w:rPr>
              <w:t>Soares et al., 2024</w:t>
            </w:r>
          </w:p>
        </w:tc>
        <w:tc>
          <w:tcPr>
            <w:tcW w:w="1041" w:type="pct"/>
            <w:vAlign w:val="center"/>
            <w:hideMark/>
          </w:tcPr>
          <w:p w14:paraId="7B979463" w14:textId="77777777" w:rsidR="005173B7" w:rsidRPr="005173B7" w:rsidRDefault="005173B7" w:rsidP="005173B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الاستدامة في ممارسات إدارة المشاريع</w:t>
            </w:r>
          </w:p>
        </w:tc>
        <w:tc>
          <w:tcPr>
            <w:tcW w:w="705" w:type="pct"/>
            <w:vAlign w:val="center"/>
            <w:hideMark/>
          </w:tcPr>
          <w:p w14:paraId="0124A75C" w14:textId="77777777" w:rsidR="005173B7" w:rsidRPr="005173B7" w:rsidRDefault="005173B7" w:rsidP="005173B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دراسة حديثة</w:t>
            </w:r>
          </w:p>
        </w:tc>
        <w:tc>
          <w:tcPr>
            <w:tcW w:w="1166" w:type="pct"/>
            <w:vAlign w:val="center"/>
            <w:hideMark/>
          </w:tcPr>
          <w:p w14:paraId="76351E9B" w14:textId="77777777" w:rsidR="005173B7" w:rsidRPr="005173B7" w:rsidRDefault="005173B7" w:rsidP="005173B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استمرار الفجوة بين الأدبيات والتطبيق</w:t>
            </w:r>
          </w:p>
        </w:tc>
        <w:tc>
          <w:tcPr>
            <w:tcW w:w="1068" w:type="pct"/>
            <w:vAlign w:val="center"/>
            <w:hideMark/>
          </w:tcPr>
          <w:p w14:paraId="6EE40443" w14:textId="77777777" w:rsidR="005173B7" w:rsidRPr="005173B7" w:rsidRDefault="005173B7" w:rsidP="005173B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دعم الفجوة التطبيقية</w:t>
            </w:r>
          </w:p>
        </w:tc>
      </w:tr>
      <w:tr w:rsidR="005173B7" w:rsidRPr="005173B7" w14:paraId="5DFB77D5" w14:textId="77777777" w:rsidTr="002C3FD6">
        <w:trPr>
          <w:jc w:val="center"/>
        </w:trPr>
        <w:tc>
          <w:tcPr>
            <w:cnfStyle w:val="001000000000" w:firstRow="0" w:lastRow="0" w:firstColumn="1" w:lastColumn="0" w:oddVBand="0" w:evenVBand="0" w:oddHBand="0" w:evenHBand="0" w:firstRowFirstColumn="0" w:firstRowLastColumn="0" w:lastRowFirstColumn="0" w:lastRowLastColumn="0"/>
            <w:tcW w:w="1019" w:type="pct"/>
            <w:vAlign w:val="center"/>
            <w:hideMark/>
          </w:tcPr>
          <w:p w14:paraId="3FB8861C" w14:textId="77777777" w:rsidR="005173B7" w:rsidRPr="005173B7" w:rsidRDefault="005173B7" w:rsidP="005173B7">
            <w:pPr>
              <w:jc w:val="center"/>
              <w:rPr>
                <w:rFonts w:asciiTheme="majorBidi" w:eastAsia="Times New Roman" w:hAnsiTheme="majorBidi" w:cstheme="majorBidi"/>
                <w:kern w:val="0"/>
                <w:sz w:val="20"/>
                <w:szCs w:val="20"/>
                <w14:ligatures w14:val="none"/>
              </w:rPr>
            </w:pPr>
            <w:r w:rsidRPr="005173B7">
              <w:rPr>
                <w:rFonts w:asciiTheme="majorBidi" w:eastAsia="Times New Roman" w:hAnsiTheme="majorBidi" w:cstheme="majorBidi"/>
                <w:kern w:val="0"/>
                <w:sz w:val="20"/>
                <w:szCs w:val="20"/>
                <w14:ligatures w14:val="none"/>
              </w:rPr>
              <w:t>Srivastava et al., 2024</w:t>
            </w:r>
          </w:p>
        </w:tc>
        <w:tc>
          <w:tcPr>
            <w:tcW w:w="1041" w:type="pct"/>
            <w:vAlign w:val="center"/>
            <w:hideMark/>
          </w:tcPr>
          <w:p w14:paraId="24FDACC0" w14:textId="77777777" w:rsidR="005173B7" w:rsidRPr="005173B7" w:rsidRDefault="005173B7" w:rsidP="005173B7">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تقييم الاستدامة والإبلاغ في مشاريع البنية التحتية</w:t>
            </w:r>
          </w:p>
        </w:tc>
        <w:tc>
          <w:tcPr>
            <w:tcW w:w="705" w:type="pct"/>
            <w:vAlign w:val="center"/>
            <w:hideMark/>
          </w:tcPr>
          <w:p w14:paraId="32D90DA7" w14:textId="77777777" w:rsidR="005173B7" w:rsidRPr="005173B7" w:rsidRDefault="005173B7" w:rsidP="005173B7">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معالجة متكاملة</w:t>
            </w:r>
          </w:p>
        </w:tc>
        <w:tc>
          <w:tcPr>
            <w:tcW w:w="1166" w:type="pct"/>
            <w:vAlign w:val="center"/>
            <w:hideMark/>
          </w:tcPr>
          <w:p w14:paraId="4BED9995" w14:textId="77777777" w:rsidR="005173B7" w:rsidRPr="005173B7" w:rsidRDefault="005173B7" w:rsidP="005173B7">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الحاجة إلى تقييم وإفصاح أكثر انتظامًا</w:t>
            </w:r>
          </w:p>
        </w:tc>
        <w:tc>
          <w:tcPr>
            <w:tcW w:w="1068" w:type="pct"/>
            <w:vAlign w:val="center"/>
            <w:hideMark/>
          </w:tcPr>
          <w:p w14:paraId="7529C1C4" w14:textId="77777777" w:rsidR="005173B7" w:rsidRPr="005173B7" w:rsidRDefault="005173B7" w:rsidP="005173B7">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5173B7">
              <w:rPr>
                <w:rFonts w:ascii="Simplified Arabic" w:eastAsia="Times New Roman" w:hAnsi="Simplified Arabic" w:cs="Simplified Arabic"/>
                <w:kern w:val="0"/>
                <w:sz w:val="24"/>
                <w:szCs w:val="24"/>
                <w:rtl/>
                <w14:ligatures w14:val="none"/>
              </w:rPr>
              <w:t>دعم بعد القياس والإفصاح</w:t>
            </w:r>
          </w:p>
        </w:tc>
      </w:tr>
    </w:tbl>
    <w:p w14:paraId="5F78A306" w14:textId="77777777" w:rsidR="005173B7" w:rsidRPr="004A39FF" w:rsidRDefault="005173B7" w:rsidP="00EF51F6">
      <w:pPr>
        <w:spacing w:after="0" w:line="240" w:lineRule="auto"/>
        <w:rPr>
          <w:rFonts w:ascii="Simplified Arabic" w:hAnsi="Simplified Arabic" w:cs="Simplified Arabic"/>
          <w:sz w:val="32"/>
          <w:szCs w:val="32"/>
          <w:rtl/>
        </w:rPr>
      </w:pPr>
    </w:p>
    <w:p w14:paraId="2AE4E3E1" w14:textId="77777777" w:rsidR="00EF51F6" w:rsidRPr="0025580F" w:rsidRDefault="00EF51F6" w:rsidP="00EF51F6">
      <w:pPr>
        <w:spacing w:after="0" w:line="240" w:lineRule="auto"/>
        <w:rPr>
          <w:rFonts w:ascii="Simplified Arabic" w:hAnsi="Simplified Arabic" w:cs="Simplified Arabic"/>
          <w:b/>
          <w:bCs/>
          <w:sz w:val="36"/>
          <w:szCs w:val="36"/>
          <w:rtl/>
        </w:rPr>
      </w:pPr>
      <w:r w:rsidRPr="0025580F">
        <w:rPr>
          <w:rFonts w:ascii="Simplified Arabic" w:hAnsi="Simplified Arabic" w:cs="Simplified Arabic"/>
          <w:b/>
          <w:bCs/>
          <w:sz w:val="36"/>
          <w:szCs w:val="36"/>
          <w:rtl/>
        </w:rPr>
        <w:t>2.8 الفجوة البحثية</w:t>
      </w:r>
    </w:p>
    <w:p w14:paraId="2A06E9DC" w14:textId="77777777" w:rsidR="00EF51F6" w:rsidRPr="00D91AA2" w:rsidRDefault="00EF51F6" w:rsidP="00EF51F6">
      <w:pPr>
        <w:spacing w:after="0" w:line="240" w:lineRule="auto"/>
        <w:rPr>
          <w:rFonts w:ascii="Simplified Arabic" w:hAnsi="Simplified Arabic" w:cs="Simplified Arabic"/>
          <w:sz w:val="36"/>
          <w:szCs w:val="36"/>
          <w:rtl/>
        </w:rPr>
      </w:pPr>
    </w:p>
    <w:p w14:paraId="66465C76" w14:textId="49388376" w:rsidR="00EF51F6" w:rsidRPr="00EF51F6" w:rsidRDefault="00D91AA2" w:rsidP="002C3FD6">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EF51F6" w:rsidRPr="00EF51F6">
        <w:rPr>
          <w:rFonts w:ascii="Simplified Arabic" w:hAnsi="Simplified Arabic" w:cs="Simplified Arabic"/>
          <w:sz w:val="28"/>
          <w:szCs w:val="28"/>
          <w:rtl/>
        </w:rPr>
        <w:t>على الرغم من اتساع الأدبيات المتعلقة بالاستدامة وإدارة المشاريع والإدارة البيئية، فإن مراجعة الدراسات السابقة تكشف أن هناك فجوة بحثية واضحة تتعلق بطبيعة الربط بين هذه الحقول داخل سياق المشاريع العملاقة السعودية. فمن ناحية أولى، ركزت كثير من الأدبيات على الاستدامة في إدارة المشاريع بوصفها مفهومًا عامًا أو إطارًا نظريًا، من دون التخصص في البعد البيئي بوصفه محورًا تحليليًا مستقلًا. ومن ناحية ثانية، تناولت بعض الأدبيات الإدارة الخضراء من زاوية مؤسسية أو تشغيلية عامة، لكنها لم تربطها بصورة منهجية بمشاريع عملاقة محددة داخل سياق وطني بعينه. ومن ناحية ثالثة، فإن الأدبيات الخاصة بالمشاريع العملاقة ركزت كثيرًا على الحوكمة، وأصحاب المصلحة، والتعقيد، والشرعية، في حين ظل الربط المقارن المباشر بين أبعاد الإدارة الخضراء ومؤشرات الاستدامة البيئية في حالات سعودية محددة محدودًا نسبيًا.</w:t>
      </w:r>
    </w:p>
    <w:p w14:paraId="3455F5E8" w14:textId="77777777" w:rsidR="00EF51F6" w:rsidRPr="00EF51F6" w:rsidRDefault="00EF51F6" w:rsidP="00EF51F6">
      <w:pPr>
        <w:spacing w:after="0" w:line="240" w:lineRule="auto"/>
        <w:rPr>
          <w:rFonts w:ascii="Simplified Arabic" w:hAnsi="Simplified Arabic" w:cs="Simplified Arabic"/>
          <w:sz w:val="28"/>
          <w:szCs w:val="28"/>
          <w:rtl/>
        </w:rPr>
      </w:pPr>
    </w:p>
    <w:p w14:paraId="60C7935B"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وتتمثل الفجوة البحثية في هذه الدراسة في محدودية الدراسات العربية والمقارنة التي تفحص بصورة منهجية كيف تتحول الالتزامات البيئية المعلنة في المشاريع الهندسية العملاقة المرتبطة بمحفظة صندوق الاستثمارات العامة إلى ممارسات إدارية خضراء ومؤشرات استدامة بيئية قابلة للتتبع، مع التركيز على حالتين سعوديتين واضحتين هما نيوم والبحر الأحمر الدولية. كما تتمثل الفجوة في الحاجة إلى دراسة تتعامل مع “الأثر” تعاملاً تحليليًا استدلاليًا منضبطًا، بحيث تربط بين الإدارة الخضراء والاستدامة البيئية من خلال الوثائق الرسمية والمؤشرات المنشورة، من دون الادعاء بقياس سببية تجريبية نهائية.</w:t>
      </w:r>
    </w:p>
    <w:p w14:paraId="636CEE3C" w14:textId="77777777" w:rsidR="00EF51F6" w:rsidRPr="00EF51F6" w:rsidRDefault="00EF51F6" w:rsidP="00EF51F6">
      <w:pPr>
        <w:spacing w:after="0" w:line="240" w:lineRule="auto"/>
        <w:rPr>
          <w:rFonts w:ascii="Simplified Arabic" w:hAnsi="Simplified Arabic" w:cs="Simplified Arabic"/>
          <w:sz w:val="28"/>
          <w:szCs w:val="28"/>
          <w:rtl/>
        </w:rPr>
      </w:pPr>
    </w:p>
    <w:p w14:paraId="64FC6E61" w14:textId="77777777" w:rsidR="00EF51F6" w:rsidRPr="00EF51F6" w:rsidRDefault="00EF51F6" w:rsidP="00EF51F6">
      <w:pPr>
        <w:spacing w:after="0" w:line="240" w:lineRule="auto"/>
        <w:rPr>
          <w:rFonts w:ascii="Simplified Arabic" w:hAnsi="Simplified Arabic" w:cs="Simplified Arabic"/>
          <w:sz w:val="28"/>
          <w:szCs w:val="28"/>
          <w:rtl/>
        </w:rPr>
      </w:pPr>
      <w:r w:rsidRPr="00EF51F6">
        <w:rPr>
          <w:rFonts w:ascii="Simplified Arabic" w:hAnsi="Simplified Arabic" w:cs="Simplified Arabic"/>
          <w:sz w:val="28"/>
          <w:szCs w:val="28"/>
          <w:rtl/>
        </w:rPr>
        <w:t>وتضيف الدراسة الحالية إلى هذه الفجوة بعدًا آخر يتمثل في محاولة التمييز بين أنماط النضج البيئي المؤسسي؛ فالمشروعات قد تتقارب في قوة خطابها البيئي، لكنها تختلف في درجة تحويل هذا الخطاب إلى مؤشرات كمية، وآليات إفصاح، ومستويات تتبع. ومن ثم، فإن المقارنة لا تستهدف فقط التحقق من حضور الإدارة الخضراء من عدمه، بل تهدف أيضًا إلى فهم الكيفية التي تحضر بها، والدرجة التي تبلغها في كل حالة.</w:t>
      </w:r>
    </w:p>
    <w:p w14:paraId="43235F5F" w14:textId="77777777" w:rsidR="00EF51F6" w:rsidRPr="00EF51F6" w:rsidRDefault="00EF51F6" w:rsidP="00EF51F6">
      <w:pPr>
        <w:spacing w:after="0" w:line="240" w:lineRule="auto"/>
        <w:rPr>
          <w:rFonts w:ascii="Simplified Arabic" w:hAnsi="Simplified Arabic" w:cs="Simplified Arabic"/>
          <w:sz w:val="28"/>
          <w:szCs w:val="28"/>
          <w:rtl/>
        </w:rPr>
      </w:pPr>
    </w:p>
    <w:p w14:paraId="3F0E9B13" w14:textId="77777777" w:rsidR="00EF51F6" w:rsidRPr="0025580F" w:rsidRDefault="00EF51F6" w:rsidP="00EF51F6">
      <w:pPr>
        <w:spacing w:after="0" w:line="240" w:lineRule="auto"/>
        <w:rPr>
          <w:rFonts w:ascii="Simplified Arabic" w:hAnsi="Simplified Arabic" w:cs="Simplified Arabic"/>
          <w:b/>
          <w:bCs/>
          <w:sz w:val="36"/>
          <w:szCs w:val="36"/>
          <w:rtl/>
        </w:rPr>
      </w:pPr>
      <w:r w:rsidRPr="0025580F">
        <w:rPr>
          <w:rFonts w:ascii="Simplified Arabic" w:hAnsi="Simplified Arabic" w:cs="Simplified Arabic"/>
          <w:b/>
          <w:bCs/>
          <w:sz w:val="36"/>
          <w:szCs w:val="36"/>
          <w:rtl/>
        </w:rPr>
        <w:t>2.9 خلاصة الفصل</w:t>
      </w:r>
    </w:p>
    <w:p w14:paraId="2E600065" w14:textId="77777777" w:rsidR="00EF51F6" w:rsidRPr="002C3FD6" w:rsidRDefault="00EF51F6" w:rsidP="00EF51F6">
      <w:pPr>
        <w:spacing w:after="0" w:line="240" w:lineRule="auto"/>
        <w:rPr>
          <w:rFonts w:ascii="Simplified Arabic" w:hAnsi="Simplified Arabic" w:cs="Simplified Arabic"/>
          <w:sz w:val="36"/>
          <w:szCs w:val="36"/>
          <w:rtl/>
        </w:rPr>
      </w:pPr>
    </w:p>
    <w:p w14:paraId="213EE780" w14:textId="56B4FA6C" w:rsidR="002C3FD6" w:rsidRPr="00BB7E13" w:rsidRDefault="00EF51F6" w:rsidP="00BB7E13">
      <w:pPr>
        <w:spacing w:after="0" w:line="240" w:lineRule="auto"/>
        <w:jc w:val="both"/>
        <w:rPr>
          <w:rFonts w:ascii="Simplified Arabic" w:hAnsi="Simplified Arabic" w:cs="Simplified Arabic"/>
          <w:sz w:val="28"/>
          <w:szCs w:val="28"/>
          <w:rtl/>
        </w:rPr>
      </w:pPr>
      <w:r w:rsidRPr="00EF51F6">
        <w:rPr>
          <w:rFonts w:ascii="Simplified Arabic" w:hAnsi="Simplified Arabic" w:cs="Simplified Arabic"/>
          <w:sz w:val="28"/>
          <w:szCs w:val="28"/>
          <w:rtl/>
        </w:rPr>
        <w:t>يتضح من هذا الفصل أن الإدارة الخضراء والاستدامة البيئية في المشاريع العملاقة تمثلان حقلًا معرفيًا متداخلًا يجمع بين البعد الإداري والحوكمي والتشغيلي. كما يتبين أن الأدبيات السابقة، على الرغم من ثرائها، ما تزال تترك مساحة بحثية تتعلق بالمعالجة المقارنة المنهجية لحالات سعودية محددة، وبكيفية الانتقال من تحليل الالتزامات البيئية المعلنة إلى تفسير مستوى النضج البيئي المؤسسي. ومن هنا تنتقل الدراسة في الفصل التالي إلى توضيح المنهجية والإجراءات التي اعتمدت عليها لتحليل حالتي نيوم والبحر الأحمر الدولية.</w:t>
      </w:r>
    </w:p>
    <w:sectPr w:rsidR="002C3FD6" w:rsidRPr="00BB7E13" w:rsidSect="00001D4C">
      <w:headerReference w:type="default" r:id="rId10"/>
      <w:footerReference w:type="default" r:id="rId11"/>
      <w:pgSz w:w="11906" w:h="16838" w:code="9"/>
      <w:pgMar w:top="1134" w:right="1134" w:bottom="1134" w:left="1134" w:header="567" w:footer="567"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E6A48" w14:textId="77777777" w:rsidR="009D0AD0" w:rsidRDefault="009D0AD0" w:rsidP="009125CE">
      <w:pPr>
        <w:spacing w:after="0" w:line="240" w:lineRule="auto"/>
      </w:pPr>
      <w:r>
        <w:separator/>
      </w:r>
    </w:p>
  </w:endnote>
  <w:endnote w:type="continuationSeparator" w:id="0">
    <w:p w14:paraId="110B4EB9" w14:textId="77777777" w:rsidR="009D0AD0" w:rsidRDefault="009D0AD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AAD65" w14:textId="711B45FD" w:rsidR="0071139A" w:rsidRPr="00D211B9" w:rsidRDefault="00001D4C" w:rsidP="00D211B9">
    <w:pPr>
      <w:pStyle w:val="Footer"/>
      <w:jc w:val="center"/>
      <w:rPr>
        <w:rFonts w:ascii="Simplified Arabic" w:hAnsi="Simplified Arabic" w:cs="Simplified Arabic"/>
      </w:rPr>
    </w:pPr>
    <w:r>
      <w:rPr>
        <w:rFonts w:ascii="Simplified Arabic" w:hAnsi="Simplified Arabic" w:cs="Simplified Arabic" w:hint="cs"/>
        <w:sz w:val="24"/>
        <w:szCs w:val="24"/>
        <w:rtl/>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B016D" w14:textId="77777777" w:rsidR="009D0AD0" w:rsidRDefault="009D0AD0" w:rsidP="009125CE">
      <w:pPr>
        <w:spacing w:after="0" w:line="240" w:lineRule="auto"/>
      </w:pPr>
      <w:r>
        <w:separator/>
      </w:r>
    </w:p>
  </w:footnote>
  <w:footnote w:type="continuationSeparator" w:id="0">
    <w:p w14:paraId="1ED0F4FF" w14:textId="77777777" w:rsidR="009D0AD0" w:rsidRDefault="009D0AD0"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4AB4" w14:textId="77777777" w:rsidR="00D211B9" w:rsidRPr="00D211B9" w:rsidRDefault="00D211B9" w:rsidP="00D211B9">
    <w:pPr>
      <w:pStyle w:val="Header"/>
      <w:jc w:val="center"/>
      <w:rPr>
        <w:rFonts w:ascii="Simplified Arabic" w:hAnsi="Simplified Arabic" w:cs="Simplified Arabic"/>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DC2"/>
    <w:multiLevelType w:val="multilevel"/>
    <w:tmpl w:val="ACA81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9635A0"/>
    <w:multiLevelType w:val="hybridMultilevel"/>
    <w:tmpl w:val="1904F6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CA1D5F"/>
    <w:multiLevelType w:val="multilevel"/>
    <w:tmpl w:val="E62C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B10B4"/>
    <w:multiLevelType w:val="multilevel"/>
    <w:tmpl w:val="FC26C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F67E7"/>
    <w:multiLevelType w:val="hybridMultilevel"/>
    <w:tmpl w:val="95242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1E1F03"/>
    <w:multiLevelType w:val="multilevel"/>
    <w:tmpl w:val="C10A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994637"/>
    <w:multiLevelType w:val="multilevel"/>
    <w:tmpl w:val="02386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D27633"/>
    <w:multiLevelType w:val="multilevel"/>
    <w:tmpl w:val="A710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DC4F1C"/>
    <w:multiLevelType w:val="multilevel"/>
    <w:tmpl w:val="37ECA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66687A"/>
    <w:multiLevelType w:val="multilevel"/>
    <w:tmpl w:val="AE78D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9004B3"/>
    <w:multiLevelType w:val="hybridMultilevel"/>
    <w:tmpl w:val="028C37A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666347"/>
    <w:multiLevelType w:val="multilevel"/>
    <w:tmpl w:val="C9AE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8A475F"/>
    <w:multiLevelType w:val="hybridMultilevel"/>
    <w:tmpl w:val="ADB22F0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CE07CA"/>
    <w:multiLevelType w:val="multilevel"/>
    <w:tmpl w:val="23C0E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95742D6"/>
    <w:multiLevelType w:val="hybridMultilevel"/>
    <w:tmpl w:val="649AC570"/>
    <w:lvl w:ilvl="0" w:tplc="CEA29498">
      <w:numFmt w:val="bullet"/>
      <w:lvlText w:val="-"/>
      <w:lvlJc w:val="left"/>
      <w:pPr>
        <w:ind w:left="720" w:hanging="360"/>
      </w:pPr>
      <w:rPr>
        <w:rFonts w:ascii="Simplified Arabic" w:eastAsiaTheme="minorHAnsi" w:hAnsi="Simplified Arabic" w:cs="Simplified Arabic"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036487"/>
    <w:multiLevelType w:val="hybridMultilevel"/>
    <w:tmpl w:val="9FB09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4E6564"/>
    <w:multiLevelType w:val="multilevel"/>
    <w:tmpl w:val="F0C8C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D22689"/>
    <w:multiLevelType w:val="multilevel"/>
    <w:tmpl w:val="0F546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034736"/>
    <w:multiLevelType w:val="multilevel"/>
    <w:tmpl w:val="3D623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8272AC1"/>
    <w:multiLevelType w:val="hybridMultilevel"/>
    <w:tmpl w:val="F73E8E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8C3D85"/>
    <w:multiLevelType w:val="multilevel"/>
    <w:tmpl w:val="90BC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E92E0B"/>
    <w:multiLevelType w:val="hybridMultilevel"/>
    <w:tmpl w:val="4DAC1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625E01"/>
    <w:multiLevelType w:val="multilevel"/>
    <w:tmpl w:val="0ED8F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8A201C"/>
    <w:multiLevelType w:val="hybridMultilevel"/>
    <w:tmpl w:val="F5F65E4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5C1599"/>
    <w:multiLevelType w:val="multilevel"/>
    <w:tmpl w:val="7FEC2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6E11D7"/>
    <w:multiLevelType w:val="multilevel"/>
    <w:tmpl w:val="1F10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9018E1"/>
    <w:multiLevelType w:val="multilevel"/>
    <w:tmpl w:val="56E88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1050FE"/>
    <w:multiLevelType w:val="multilevel"/>
    <w:tmpl w:val="AB5EC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4049C0"/>
    <w:multiLevelType w:val="hybridMultilevel"/>
    <w:tmpl w:val="4446A6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FC7059"/>
    <w:multiLevelType w:val="multilevel"/>
    <w:tmpl w:val="AF76E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3E639A"/>
    <w:multiLevelType w:val="multilevel"/>
    <w:tmpl w:val="AE06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9C5A4E"/>
    <w:multiLevelType w:val="multilevel"/>
    <w:tmpl w:val="48DCA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E70C2D"/>
    <w:multiLevelType w:val="multilevel"/>
    <w:tmpl w:val="7778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E44064"/>
    <w:multiLevelType w:val="multilevel"/>
    <w:tmpl w:val="15C2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AE27A0"/>
    <w:multiLevelType w:val="hybridMultilevel"/>
    <w:tmpl w:val="A202B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A371D95"/>
    <w:multiLevelType w:val="multilevel"/>
    <w:tmpl w:val="0DCA4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740AF1"/>
    <w:multiLevelType w:val="multilevel"/>
    <w:tmpl w:val="03D42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F326DA"/>
    <w:multiLevelType w:val="multilevel"/>
    <w:tmpl w:val="4276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C34F0F"/>
    <w:multiLevelType w:val="multilevel"/>
    <w:tmpl w:val="65EC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690F8E"/>
    <w:multiLevelType w:val="multilevel"/>
    <w:tmpl w:val="C96C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853E4B"/>
    <w:multiLevelType w:val="multilevel"/>
    <w:tmpl w:val="02A01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0193471"/>
    <w:multiLevelType w:val="multilevel"/>
    <w:tmpl w:val="16C61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0A8300B"/>
    <w:multiLevelType w:val="multilevel"/>
    <w:tmpl w:val="A7F4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F52877"/>
    <w:multiLevelType w:val="multilevel"/>
    <w:tmpl w:val="1AE07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12B45D3"/>
    <w:multiLevelType w:val="hybridMultilevel"/>
    <w:tmpl w:val="C38097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322363"/>
    <w:multiLevelType w:val="multilevel"/>
    <w:tmpl w:val="99E8F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4A023B"/>
    <w:multiLevelType w:val="hybridMultilevel"/>
    <w:tmpl w:val="8F122A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5568CD"/>
    <w:multiLevelType w:val="hybridMultilevel"/>
    <w:tmpl w:val="AF18C7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A69549B"/>
    <w:multiLevelType w:val="hybridMultilevel"/>
    <w:tmpl w:val="F63634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B53292"/>
    <w:multiLevelType w:val="multilevel"/>
    <w:tmpl w:val="9028E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BDE3736"/>
    <w:multiLevelType w:val="multilevel"/>
    <w:tmpl w:val="C2E8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C2C08A7"/>
    <w:multiLevelType w:val="multilevel"/>
    <w:tmpl w:val="29249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C7E372A"/>
    <w:multiLevelType w:val="hybridMultilevel"/>
    <w:tmpl w:val="081C92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18565D"/>
    <w:multiLevelType w:val="multilevel"/>
    <w:tmpl w:val="CE42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DAC08E1"/>
    <w:multiLevelType w:val="multilevel"/>
    <w:tmpl w:val="C1185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1666B0A"/>
    <w:multiLevelType w:val="multilevel"/>
    <w:tmpl w:val="5E4C1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2DF045C"/>
    <w:multiLevelType w:val="multilevel"/>
    <w:tmpl w:val="DE1A1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50A2228"/>
    <w:multiLevelType w:val="multilevel"/>
    <w:tmpl w:val="088C5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DE72B00"/>
    <w:multiLevelType w:val="multilevel"/>
    <w:tmpl w:val="C4F4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E407A82"/>
    <w:multiLevelType w:val="hybridMultilevel"/>
    <w:tmpl w:val="39E2F5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EFB1EE8"/>
    <w:multiLevelType w:val="multilevel"/>
    <w:tmpl w:val="C90C6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F743B01"/>
    <w:multiLevelType w:val="multilevel"/>
    <w:tmpl w:val="8EE68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403B5A"/>
    <w:multiLevelType w:val="multilevel"/>
    <w:tmpl w:val="647A0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25678F"/>
    <w:multiLevelType w:val="hybridMultilevel"/>
    <w:tmpl w:val="38E058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41709FE"/>
    <w:multiLevelType w:val="hybridMultilevel"/>
    <w:tmpl w:val="FB3A8C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4FD03B6"/>
    <w:multiLevelType w:val="multilevel"/>
    <w:tmpl w:val="00A62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856098"/>
    <w:multiLevelType w:val="multilevel"/>
    <w:tmpl w:val="CDE4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5AA08F1"/>
    <w:multiLevelType w:val="multilevel"/>
    <w:tmpl w:val="698E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AAD325F"/>
    <w:multiLevelType w:val="multilevel"/>
    <w:tmpl w:val="54442D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C0423F0"/>
    <w:multiLevelType w:val="multilevel"/>
    <w:tmpl w:val="EA78B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DEF274D"/>
    <w:multiLevelType w:val="multilevel"/>
    <w:tmpl w:val="EBCEB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DF93004"/>
    <w:multiLevelType w:val="multilevel"/>
    <w:tmpl w:val="840AF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EC01380"/>
    <w:multiLevelType w:val="multilevel"/>
    <w:tmpl w:val="B862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121455F"/>
    <w:multiLevelType w:val="multilevel"/>
    <w:tmpl w:val="0390E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23247A3"/>
    <w:multiLevelType w:val="multilevel"/>
    <w:tmpl w:val="E0026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526ABE"/>
    <w:multiLevelType w:val="multilevel"/>
    <w:tmpl w:val="7898C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6A57AA1"/>
    <w:multiLevelType w:val="multilevel"/>
    <w:tmpl w:val="96D4C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A4A36F6"/>
    <w:multiLevelType w:val="multilevel"/>
    <w:tmpl w:val="87A68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4935091">
    <w:abstractNumId w:val="65"/>
  </w:num>
  <w:num w:numId="2" w16cid:durableId="7216547">
    <w:abstractNumId w:val="8"/>
  </w:num>
  <w:num w:numId="3" w16cid:durableId="957107936">
    <w:abstractNumId w:val="36"/>
  </w:num>
  <w:num w:numId="4" w16cid:durableId="1194997485">
    <w:abstractNumId w:val="38"/>
  </w:num>
  <w:num w:numId="5" w16cid:durableId="857498579">
    <w:abstractNumId w:val="0"/>
  </w:num>
  <w:num w:numId="6" w16cid:durableId="1457522656">
    <w:abstractNumId w:val="18"/>
  </w:num>
  <w:num w:numId="7" w16cid:durableId="607010340">
    <w:abstractNumId w:val="54"/>
  </w:num>
  <w:num w:numId="8" w16cid:durableId="36516003">
    <w:abstractNumId w:val="31"/>
  </w:num>
  <w:num w:numId="9" w16cid:durableId="616570966">
    <w:abstractNumId w:val="17"/>
  </w:num>
  <w:num w:numId="10" w16cid:durableId="1559196947">
    <w:abstractNumId w:val="16"/>
  </w:num>
  <w:num w:numId="11" w16cid:durableId="236869111">
    <w:abstractNumId w:val="25"/>
  </w:num>
  <w:num w:numId="12" w16cid:durableId="319425124">
    <w:abstractNumId w:val="33"/>
  </w:num>
  <w:num w:numId="13" w16cid:durableId="1311784869">
    <w:abstractNumId w:val="42"/>
  </w:num>
  <w:num w:numId="14" w16cid:durableId="856118265">
    <w:abstractNumId w:val="53"/>
  </w:num>
  <w:num w:numId="15" w16cid:durableId="968365874">
    <w:abstractNumId w:val="73"/>
  </w:num>
  <w:num w:numId="16" w16cid:durableId="112942515">
    <w:abstractNumId w:val="6"/>
  </w:num>
  <w:num w:numId="17" w16cid:durableId="309140503">
    <w:abstractNumId w:val="57"/>
  </w:num>
  <w:num w:numId="18" w16cid:durableId="2062552033">
    <w:abstractNumId w:val="9"/>
  </w:num>
  <w:num w:numId="19" w16cid:durableId="1257209504">
    <w:abstractNumId w:val="69"/>
  </w:num>
  <w:num w:numId="20" w16cid:durableId="1282956234">
    <w:abstractNumId w:val="2"/>
  </w:num>
  <w:num w:numId="21" w16cid:durableId="2031253869">
    <w:abstractNumId w:val="29"/>
  </w:num>
  <w:num w:numId="22" w16cid:durableId="2015566041">
    <w:abstractNumId w:val="13"/>
  </w:num>
  <w:num w:numId="23" w16cid:durableId="2093309427">
    <w:abstractNumId w:val="26"/>
  </w:num>
  <w:num w:numId="24" w16cid:durableId="1583565138">
    <w:abstractNumId w:val="5"/>
  </w:num>
  <w:num w:numId="25" w16cid:durableId="1524395853">
    <w:abstractNumId w:val="3"/>
  </w:num>
  <w:num w:numId="26" w16cid:durableId="386879622">
    <w:abstractNumId w:val="30"/>
  </w:num>
  <w:num w:numId="27" w16cid:durableId="1816676291">
    <w:abstractNumId w:val="58"/>
  </w:num>
  <w:num w:numId="28" w16cid:durableId="1516462439">
    <w:abstractNumId w:val="51"/>
  </w:num>
  <w:num w:numId="29" w16cid:durableId="1635481172">
    <w:abstractNumId w:val="71"/>
  </w:num>
  <w:num w:numId="30" w16cid:durableId="1822886736">
    <w:abstractNumId w:val="40"/>
  </w:num>
  <w:num w:numId="31" w16cid:durableId="995187423">
    <w:abstractNumId w:val="20"/>
  </w:num>
  <w:num w:numId="32" w16cid:durableId="1849906724">
    <w:abstractNumId w:val="70"/>
  </w:num>
  <w:num w:numId="33" w16cid:durableId="1675767860">
    <w:abstractNumId w:val="66"/>
  </w:num>
  <w:num w:numId="34" w16cid:durableId="720404346">
    <w:abstractNumId w:val="61"/>
  </w:num>
  <w:num w:numId="35" w16cid:durableId="1083720891">
    <w:abstractNumId w:val="45"/>
  </w:num>
  <w:num w:numId="36" w16cid:durableId="1154832546">
    <w:abstractNumId w:val="76"/>
  </w:num>
  <w:num w:numId="37" w16cid:durableId="2071616260">
    <w:abstractNumId w:val="11"/>
  </w:num>
  <w:num w:numId="38" w16cid:durableId="1979646223">
    <w:abstractNumId w:val="72"/>
  </w:num>
  <w:num w:numId="39" w16cid:durableId="1014653997">
    <w:abstractNumId w:val="41"/>
  </w:num>
  <w:num w:numId="40" w16cid:durableId="1069494450">
    <w:abstractNumId w:val="62"/>
  </w:num>
  <w:num w:numId="41" w16cid:durableId="1372682934">
    <w:abstractNumId w:val="50"/>
  </w:num>
  <w:num w:numId="42" w16cid:durableId="1459179520">
    <w:abstractNumId w:val="67"/>
  </w:num>
  <w:num w:numId="43" w16cid:durableId="1978899">
    <w:abstractNumId w:val="56"/>
  </w:num>
  <w:num w:numId="44" w16cid:durableId="314726740">
    <w:abstractNumId w:val="55"/>
  </w:num>
  <w:num w:numId="45" w16cid:durableId="1749763546">
    <w:abstractNumId w:val="39"/>
  </w:num>
  <w:num w:numId="46" w16cid:durableId="680550695">
    <w:abstractNumId w:val="75"/>
  </w:num>
  <w:num w:numId="47" w16cid:durableId="291905160">
    <w:abstractNumId w:val="60"/>
  </w:num>
  <w:num w:numId="48" w16cid:durableId="608856642">
    <w:abstractNumId w:val="74"/>
  </w:num>
  <w:num w:numId="49" w16cid:durableId="1545871846">
    <w:abstractNumId w:val="27"/>
  </w:num>
  <w:num w:numId="50" w16cid:durableId="1963730026">
    <w:abstractNumId w:val="32"/>
  </w:num>
  <w:num w:numId="51" w16cid:durableId="969631985">
    <w:abstractNumId w:val="37"/>
  </w:num>
  <w:num w:numId="52" w16cid:durableId="1150055615">
    <w:abstractNumId w:val="35"/>
  </w:num>
  <w:num w:numId="53" w16cid:durableId="704522660">
    <w:abstractNumId w:val="7"/>
  </w:num>
  <w:num w:numId="54" w16cid:durableId="755857159">
    <w:abstractNumId w:val="22"/>
  </w:num>
  <w:num w:numId="55" w16cid:durableId="1317997580">
    <w:abstractNumId w:val="24"/>
  </w:num>
  <w:num w:numId="56" w16cid:durableId="62797970">
    <w:abstractNumId w:val="43"/>
  </w:num>
  <w:num w:numId="57" w16cid:durableId="1784568523">
    <w:abstractNumId w:val="77"/>
  </w:num>
  <w:num w:numId="58" w16cid:durableId="1232883942">
    <w:abstractNumId w:val="68"/>
  </w:num>
  <w:num w:numId="59" w16cid:durableId="2130199189">
    <w:abstractNumId w:val="49"/>
  </w:num>
  <w:num w:numId="60" w16cid:durableId="371732540">
    <w:abstractNumId w:val="14"/>
  </w:num>
  <w:num w:numId="61" w16cid:durableId="521096297">
    <w:abstractNumId w:val="21"/>
  </w:num>
  <w:num w:numId="62" w16cid:durableId="1984698823">
    <w:abstractNumId w:val="19"/>
  </w:num>
  <w:num w:numId="63" w16cid:durableId="668796744">
    <w:abstractNumId w:val="1"/>
  </w:num>
  <w:num w:numId="64" w16cid:durableId="1901868160">
    <w:abstractNumId w:val="63"/>
  </w:num>
  <w:num w:numId="65" w16cid:durableId="1707372305">
    <w:abstractNumId w:val="28"/>
  </w:num>
  <w:num w:numId="66" w16cid:durableId="133648524">
    <w:abstractNumId w:val="44"/>
  </w:num>
  <w:num w:numId="67" w16cid:durableId="1548106539">
    <w:abstractNumId w:val="12"/>
  </w:num>
  <w:num w:numId="68" w16cid:durableId="2013992399">
    <w:abstractNumId w:val="47"/>
  </w:num>
  <w:num w:numId="69" w16cid:durableId="568153105">
    <w:abstractNumId w:val="59"/>
  </w:num>
  <w:num w:numId="70" w16cid:durableId="2000424445">
    <w:abstractNumId w:val="64"/>
  </w:num>
  <w:num w:numId="71" w16cid:durableId="427506138">
    <w:abstractNumId w:val="23"/>
  </w:num>
  <w:num w:numId="72" w16cid:durableId="213661245">
    <w:abstractNumId w:val="10"/>
  </w:num>
  <w:num w:numId="73" w16cid:durableId="1554390022">
    <w:abstractNumId w:val="46"/>
  </w:num>
  <w:num w:numId="74" w16cid:durableId="262152045">
    <w:abstractNumId w:val="48"/>
  </w:num>
  <w:num w:numId="75" w16cid:durableId="281301749">
    <w:abstractNumId w:val="52"/>
  </w:num>
  <w:num w:numId="76" w16cid:durableId="672880862">
    <w:abstractNumId w:val="4"/>
  </w:num>
  <w:num w:numId="77" w16cid:durableId="1125662133">
    <w:abstractNumId w:val="15"/>
  </w:num>
  <w:num w:numId="78" w16cid:durableId="217396578">
    <w:abstractNumId w:val="3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D4C"/>
    <w:rsid w:val="00012F88"/>
    <w:rsid w:val="00026692"/>
    <w:rsid w:val="00053DE4"/>
    <w:rsid w:val="00065E75"/>
    <w:rsid w:val="00075CBF"/>
    <w:rsid w:val="00075F59"/>
    <w:rsid w:val="000E4271"/>
    <w:rsid w:val="000F44B4"/>
    <w:rsid w:val="0013694F"/>
    <w:rsid w:val="00145DE4"/>
    <w:rsid w:val="00164E58"/>
    <w:rsid w:val="001902DB"/>
    <w:rsid w:val="001C2162"/>
    <w:rsid w:val="002177F9"/>
    <w:rsid w:val="0025580F"/>
    <w:rsid w:val="002A6CCE"/>
    <w:rsid w:val="002C3FD6"/>
    <w:rsid w:val="00310C6C"/>
    <w:rsid w:val="003168B9"/>
    <w:rsid w:val="00351BFA"/>
    <w:rsid w:val="00357D31"/>
    <w:rsid w:val="00374218"/>
    <w:rsid w:val="003772D7"/>
    <w:rsid w:val="003801F7"/>
    <w:rsid w:val="003D1031"/>
    <w:rsid w:val="003D1425"/>
    <w:rsid w:val="003D319E"/>
    <w:rsid w:val="00415663"/>
    <w:rsid w:val="00471DB3"/>
    <w:rsid w:val="004A39FF"/>
    <w:rsid w:val="004F4E71"/>
    <w:rsid w:val="005173B7"/>
    <w:rsid w:val="0053628D"/>
    <w:rsid w:val="00541026"/>
    <w:rsid w:val="00590B27"/>
    <w:rsid w:val="005B4345"/>
    <w:rsid w:val="005B5FEC"/>
    <w:rsid w:val="005E03E1"/>
    <w:rsid w:val="005E1F51"/>
    <w:rsid w:val="005E4D11"/>
    <w:rsid w:val="0062761F"/>
    <w:rsid w:val="00630418"/>
    <w:rsid w:val="006316C3"/>
    <w:rsid w:val="00665EED"/>
    <w:rsid w:val="00684F82"/>
    <w:rsid w:val="006866CA"/>
    <w:rsid w:val="006948DE"/>
    <w:rsid w:val="006A27F1"/>
    <w:rsid w:val="006C551D"/>
    <w:rsid w:val="006D53FF"/>
    <w:rsid w:val="006E3FDF"/>
    <w:rsid w:val="006F6C6A"/>
    <w:rsid w:val="0071139A"/>
    <w:rsid w:val="00722651"/>
    <w:rsid w:val="00763104"/>
    <w:rsid w:val="00786775"/>
    <w:rsid w:val="007A01B9"/>
    <w:rsid w:val="007A58C1"/>
    <w:rsid w:val="007B0E54"/>
    <w:rsid w:val="007D44E1"/>
    <w:rsid w:val="007E3A20"/>
    <w:rsid w:val="00877AAC"/>
    <w:rsid w:val="00885467"/>
    <w:rsid w:val="008958CD"/>
    <w:rsid w:val="008F1EAE"/>
    <w:rsid w:val="00910153"/>
    <w:rsid w:val="009125CE"/>
    <w:rsid w:val="00914466"/>
    <w:rsid w:val="00931039"/>
    <w:rsid w:val="009B6888"/>
    <w:rsid w:val="009C0161"/>
    <w:rsid w:val="009D0AD0"/>
    <w:rsid w:val="009D108D"/>
    <w:rsid w:val="009E1436"/>
    <w:rsid w:val="009E5668"/>
    <w:rsid w:val="00A016B8"/>
    <w:rsid w:val="00A53E86"/>
    <w:rsid w:val="00A74F76"/>
    <w:rsid w:val="00AA79E9"/>
    <w:rsid w:val="00AB0A70"/>
    <w:rsid w:val="00AD5D69"/>
    <w:rsid w:val="00B55620"/>
    <w:rsid w:val="00B63B0F"/>
    <w:rsid w:val="00B7678A"/>
    <w:rsid w:val="00BB7E13"/>
    <w:rsid w:val="00BD4D2A"/>
    <w:rsid w:val="00BE5235"/>
    <w:rsid w:val="00C04D0B"/>
    <w:rsid w:val="00C62074"/>
    <w:rsid w:val="00C70C7D"/>
    <w:rsid w:val="00C71E18"/>
    <w:rsid w:val="00D211B9"/>
    <w:rsid w:val="00D22171"/>
    <w:rsid w:val="00D91AA2"/>
    <w:rsid w:val="00DC185D"/>
    <w:rsid w:val="00DE33BE"/>
    <w:rsid w:val="00E37710"/>
    <w:rsid w:val="00E52483"/>
    <w:rsid w:val="00E52BE1"/>
    <w:rsid w:val="00E5761D"/>
    <w:rsid w:val="00E616DE"/>
    <w:rsid w:val="00E71C79"/>
    <w:rsid w:val="00E80FD9"/>
    <w:rsid w:val="00EA63A9"/>
    <w:rsid w:val="00EA6B5D"/>
    <w:rsid w:val="00EB32C8"/>
    <w:rsid w:val="00ED0AB5"/>
    <w:rsid w:val="00ED654F"/>
    <w:rsid w:val="00ED6D50"/>
    <w:rsid w:val="00EF51F6"/>
    <w:rsid w:val="00F546CE"/>
    <w:rsid w:val="00F73E7C"/>
    <w:rsid w:val="00F8462C"/>
    <w:rsid w:val="00F92470"/>
    <w:rsid w:val="00FC49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ED6D50"/>
    <w:rPr>
      <w:color w:val="0563C1" w:themeColor="hyperlink"/>
      <w:u w:val="single"/>
    </w:rPr>
  </w:style>
  <w:style w:type="character" w:styleId="UnresolvedMention">
    <w:name w:val="Unresolved Mention"/>
    <w:basedOn w:val="DefaultParagraphFont"/>
    <w:uiPriority w:val="99"/>
    <w:semiHidden/>
    <w:unhideWhenUsed/>
    <w:rsid w:val="00ED6D50"/>
    <w:rPr>
      <w:color w:val="605E5C"/>
      <w:shd w:val="clear" w:color="auto" w:fill="E1DFDD"/>
    </w:rPr>
  </w:style>
  <w:style w:type="paragraph" w:styleId="ListParagraph">
    <w:name w:val="List Paragraph"/>
    <w:basedOn w:val="Normal"/>
    <w:uiPriority w:val="34"/>
    <w:qFormat/>
    <w:rsid w:val="00026692"/>
    <w:pPr>
      <w:ind w:left="720"/>
      <w:contextualSpacing/>
    </w:pPr>
  </w:style>
  <w:style w:type="table" w:styleId="GridTable5Dark-Accent3">
    <w:name w:val="Grid Table 5 Dark Accent 3"/>
    <w:basedOn w:val="TableNormal"/>
    <w:uiPriority w:val="50"/>
    <w:rsid w:val="005173B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4FB41-AACB-4293-86FD-09C244181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7961</Words>
  <Characters>45384</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ALHaniah</cp:lastModifiedBy>
  <cp:revision>2</cp:revision>
  <dcterms:created xsi:type="dcterms:W3CDTF">2026-03-27T18:50:00Z</dcterms:created>
  <dcterms:modified xsi:type="dcterms:W3CDTF">2026-03-27T18:50:00Z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