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9F2FB9" w14:textId="77777777" w:rsidR="00E06703" w:rsidRPr="00822632" w:rsidRDefault="00E06703" w:rsidP="00E06703">
      <w:pPr>
        <w:spacing w:after="200"/>
        <w:rPr>
          <w:rFonts w:ascii="Times New Roman" w:eastAsia="Times New Roman" w:hAnsi="Times New Roman" w:cs="Times New Roman"/>
          <w:color w:val="1C1C1C"/>
          <w:sz w:val="24"/>
          <w:szCs w:val="24"/>
        </w:rPr>
      </w:pPr>
      <w:r>
        <w:rPr>
          <w:rFonts w:ascii="Times New Roman" w:eastAsia="Times New Roman" w:hAnsi="Times New Roman" w:cs="Times New Roman"/>
          <w:noProof/>
          <w:color w:val="1C1C1C"/>
          <w:sz w:val="24"/>
          <w:szCs w:val="24"/>
        </w:rPr>
        <w:drawing>
          <wp:anchor distT="0" distB="0" distL="114300" distR="114300" simplePos="0" relativeHeight="251661312" behindDoc="0" locked="0" layoutInCell="1" allowOverlap="1" wp14:anchorId="58DE2DA3" wp14:editId="5E89B6AE">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CF68DC5" w14:textId="77777777" w:rsidR="00E06703" w:rsidRPr="00822632" w:rsidRDefault="00E06703" w:rsidP="00E06703">
      <w:pPr>
        <w:spacing w:after="200" w:line="276" w:lineRule="auto"/>
        <w:rPr>
          <w:rFonts w:ascii="Times New Roman" w:eastAsia="Times New Roman" w:hAnsi="Times New Roman" w:cs="Times New Roman"/>
          <w:color w:val="1C1C1C"/>
          <w:sz w:val="24"/>
          <w:szCs w:val="24"/>
          <w:rtl/>
        </w:rPr>
      </w:pPr>
      <w:r>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2336" behindDoc="0" locked="0" layoutInCell="1" allowOverlap="1" wp14:anchorId="643223B3" wp14:editId="46AF26C3">
                <wp:simplePos x="0" y="0"/>
                <wp:positionH relativeFrom="column">
                  <wp:posOffset>4426124</wp:posOffset>
                </wp:positionH>
                <wp:positionV relativeFrom="paragraph">
                  <wp:posOffset>154940</wp:posOffset>
                </wp:positionV>
                <wp:extent cx="1457960" cy="602673"/>
                <wp:effectExtent l="0" t="0" r="15240" b="6985"/>
                <wp:wrapNone/>
                <wp:docPr id="2036171770" name="Rectangle 53"/>
                <wp:cNvGraphicFramePr/>
                <a:graphic xmlns:a="http://schemas.openxmlformats.org/drawingml/2006/main">
                  <a:graphicData uri="http://schemas.microsoft.com/office/word/2010/wordprocessingShape">
                    <wps:wsp>
                      <wps:cNvSpPr/>
                      <wps:spPr>
                        <a:xfrm>
                          <a:off x="0" y="0"/>
                          <a:ext cx="1457960" cy="602673"/>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38A183" w14:textId="77777777" w:rsidR="00E06703" w:rsidRPr="0039166C" w:rsidRDefault="00E06703" w:rsidP="00E06703">
                            <w:pPr>
                              <w:jc w:val="center"/>
                              <w:rPr>
                                <w:b/>
                                <w:bCs/>
                                <w:sz w:val="28"/>
                                <w:szCs w:val="28"/>
                                <w:rtl/>
                                <w:lang w:bidi="ar-EG"/>
                              </w:rPr>
                            </w:pPr>
                            <w:r>
                              <w:rPr>
                                <w:rFonts w:hint="cs"/>
                                <w:b/>
                                <w:bCs/>
                                <w:sz w:val="28"/>
                                <w:szCs w:val="28"/>
                                <w:rtl/>
                                <w:lang w:bidi="ar-EG"/>
                              </w:rPr>
                              <w:t xml:space="preserve">جامعة ميد اوشن </w:t>
                            </w:r>
                          </w:p>
                          <w:p w14:paraId="4198F296" w14:textId="77777777" w:rsidR="00E06703" w:rsidRPr="0039166C" w:rsidRDefault="00E06703" w:rsidP="00E06703">
                            <w:pPr>
                              <w:jc w:val="center"/>
                              <w:rPr>
                                <w:sz w:val="28"/>
                                <w:szCs w:val="28"/>
                                <w:lang w:bidi="ar-EG"/>
                              </w:rPr>
                            </w:pPr>
                            <w:r>
                              <w:rPr>
                                <w:rFonts w:hint="cs"/>
                                <w:b/>
                                <w:bCs/>
                                <w:sz w:val="28"/>
                                <w:szCs w:val="28"/>
                                <w:rtl/>
                                <w:lang w:bidi="ar-EG"/>
                              </w:rPr>
                              <w:t>برنامج الدكتوراة</w:t>
                            </w:r>
                            <w:r>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223B3" id="Rectangle 53" o:spid="_x0000_s1026" style="position:absolute;margin-left:348.5pt;margin-top:12.2pt;width:114.8pt;height:4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" fillcolor="window" strokecolor="window" strokeweight="1pt">
                <v:textbox>
                  <w:txbxContent>
                    <w:p w14:paraId="3238A183" w14:textId="77777777" w:rsidR="00E06703" w:rsidRPr="0039166C" w:rsidRDefault="00E06703" w:rsidP="00E06703">
                      <w:pPr>
                        <w:jc w:val="center"/>
                        <w:rPr>
                          <w:b/>
                          <w:bCs/>
                          <w:sz w:val="28"/>
                          <w:szCs w:val="28"/>
                          <w:rtl/>
                          <w:lang w:bidi="ar-EG"/>
                        </w:rPr>
                      </w:pPr>
                      <w:r>
                        <w:rPr>
                          <w:rFonts w:hint="cs"/>
                          <w:b/>
                          <w:bCs/>
                          <w:sz w:val="28"/>
                          <w:szCs w:val="28"/>
                          <w:rtl/>
                          <w:lang w:bidi="ar-EG"/>
                        </w:rPr>
                        <w:t xml:space="preserve">جامعة ميد اوشن </w:t>
                      </w:r>
                    </w:p>
                    <w:p w14:paraId="4198F296" w14:textId="77777777" w:rsidR="00E06703" w:rsidRPr="0039166C" w:rsidRDefault="00E06703" w:rsidP="00E06703">
                      <w:pPr>
                        <w:jc w:val="center"/>
                        <w:rPr>
                          <w:sz w:val="28"/>
                          <w:szCs w:val="28"/>
                          <w:lang w:bidi="ar-EG"/>
                        </w:rPr>
                      </w:pPr>
                      <w:r>
                        <w:rPr>
                          <w:rFonts w:hint="cs"/>
                          <w:b/>
                          <w:bCs/>
                          <w:sz w:val="28"/>
                          <w:szCs w:val="28"/>
                          <w:rtl/>
                          <w:lang w:bidi="ar-EG"/>
                        </w:rPr>
                        <w:t>برنامج الدكتوراة</w:t>
                      </w:r>
                      <w:r>
                        <w:rPr>
                          <w:rFonts w:hint="cs"/>
                          <w:sz w:val="28"/>
                          <w:szCs w:val="28"/>
                          <w:rtl/>
                          <w:lang w:bidi="ar-EG"/>
                        </w:rPr>
                        <w:t xml:space="preserve"> </w:t>
                      </w:r>
                    </w:p>
                  </w:txbxContent>
                </v:textbox>
              </v:rect>
            </w:pict>
          </mc:Fallback>
        </mc:AlternateContent>
      </w:r>
    </w:p>
    <w:p w14:paraId="09A995F0" w14:textId="77777777" w:rsidR="00E06703" w:rsidRPr="00822632" w:rsidRDefault="00E06703" w:rsidP="00E06703">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06703" w:rsidRPr="00822632" w14:paraId="04CBCD61" w14:textId="77777777" w:rsidTr="009A264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9E9C3B8" w14:textId="77777777" w:rsidR="00E06703" w:rsidRDefault="00E06703" w:rsidP="009A264F">
            <w:pPr>
              <w:jc w:val="center"/>
              <w:rPr>
                <w:rFonts w:ascii="Times New Roman" w:eastAsia="Times New Roman" w:hAnsi="Times New Roman" w:cs="Times New Roman"/>
                <w:color w:val="1C1C1C"/>
                <w:sz w:val="24"/>
                <w:szCs w:val="24"/>
                <w:rtl/>
              </w:rPr>
            </w:pPr>
          </w:p>
          <w:p w14:paraId="28065824" w14:textId="77777777" w:rsidR="00E06703" w:rsidRPr="00822632" w:rsidRDefault="00E06703" w:rsidP="009A264F">
            <w:pPr>
              <w:jc w:val="center"/>
              <w:rPr>
                <w:rFonts w:ascii="Times New Roman" w:eastAsia="Times New Roman" w:hAnsi="Times New Roman" w:cs="Times New Roman"/>
                <w:color w:val="1C1C1C"/>
                <w:sz w:val="24"/>
                <w:szCs w:val="24"/>
              </w:rPr>
            </w:pPr>
          </w:p>
          <w:p w14:paraId="16701EF1" w14:textId="77777777" w:rsidR="00E06703" w:rsidRPr="00822632" w:rsidRDefault="00E06703" w:rsidP="009A264F">
            <w:pPr>
              <w:jc w:val="right"/>
              <w:rPr>
                <w:rFonts w:ascii="Times New Roman" w:eastAsia="Times New Roman" w:hAnsi="Times New Roman" w:cs="Times New Roman"/>
                <w:color w:val="1C1C1C"/>
                <w:sz w:val="24"/>
                <w:szCs w:val="24"/>
              </w:rPr>
            </w:pPr>
          </w:p>
          <w:p w14:paraId="665FD06D" w14:textId="77777777" w:rsidR="00E06703" w:rsidRPr="00822632" w:rsidRDefault="00E06703" w:rsidP="009A264F">
            <w:pPr>
              <w:spacing w:before="60"/>
              <w:jc w:val="right"/>
              <w:rPr>
                <w:rFonts w:ascii="Times New Roman" w:eastAsia="Times New Roman" w:hAnsi="Times New Roman" w:cs="Times New Roman"/>
                <w:color w:val="1C1C1C"/>
                <w:sz w:val="24"/>
                <w:szCs w:val="24"/>
              </w:rPr>
            </w:pPr>
          </w:p>
        </w:tc>
      </w:tr>
    </w:tbl>
    <w:p w14:paraId="1992A54F" w14:textId="77777777" w:rsidR="00E06703" w:rsidRPr="00822632" w:rsidRDefault="00E06703" w:rsidP="00E06703">
      <w:pPr>
        <w:keepNext/>
        <w:pBdr>
          <w:top w:val="nil"/>
          <w:left w:val="nil"/>
          <w:bottom w:val="nil"/>
          <w:right w:val="nil"/>
          <w:between w:val="nil"/>
          <w:bar w:val="nil"/>
        </w:pBdr>
        <w:bidi/>
        <w:spacing w:before="50" w:after="50"/>
        <w:ind w:left="432" w:right="432"/>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الدور الوسيط للنضج الرقمي في تأثير تبني الذكاء الاصطناعي على جودة القرار الإداري: دراسة ميدانية في منظمات القطاع غير الربحي السعودي.</w:t>
      </w:r>
    </w:p>
    <w:p w14:paraId="29DC7B7A" w14:textId="77777777" w:rsidR="00E06703" w:rsidRPr="00822632" w:rsidRDefault="00E06703" w:rsidP="00E06703">
      <w:pPr>
        <w:spacing w:after="80"/>
        <w:jc w:val="center"/>
        <w:rPr>
          <w:rFonts w:ascii="Times New Roman" w:eastAsia="Times New Roman" w:hAnsi="Times New Roman" w:cs="Times New Roman"/>
          <w:b/>
          <w:bCs/>
          <w:color w:val="1C1C1C"/>
          <w:sz w:val="32"/>
          <w:szCs w:val="32"/>
        </w:rPr>
      </w:pPr>
    </w:p>
    <w:p w14:paraId="0A79BE81" w14:textId="77777777" w:rsidR="00E06703" w:rsidRPr="00822632" w:rsidRDefault="00E06703" w:rsidP="00E06703">
      <w:pPr>
        <w:spacing w:after="80"/>
        <w:jc w:val="center"/>
        <w:rPr>
          <w:rFonts w:ascii="Times New Roman" w:eastAsia="Times New Roman" w:hAnsi="Times New Roman" w:cs="Times New Roman"/>
          <w:b/>
          <w:bCs/>
          <w:color w:val="1C1C1C"/>
          <w:sz w:val="32"/>
          <w:szCs w:val="32"/>
        </w:rPr>
      </w:pPr>
    </w:p>
    <w:p w14:paraId="7B8E23C4" w14:textId="77777777" w:rsidR="00E06703" w:rsidRPr="00822632" w:rsidRDefault="00E06703" w:rsidP="00E06703">
      <w:pPr>
        <w:spacing w:after="80"/>
        <w:jc w:val="center"/>
        <w:rPr>
          <w:rFonts w:ascii="Times New Roman" w:eastAsia="Times New Roman" w:hAnsi="Times New Roman" w:cs="Times New Roman"/>
          <w:color w:val="1C1C1C"/>
          <w:sz w:val="28"/>
          <w:szCs w:val="28"/>
        </w:rPr>
      </w:pPr>
    </w:p>
    <w:p w14:paraId="16FF0C4B" w14:textId="77777777" w:rsidR="00E06703" w:rsidRPr="00822632" w:rsidRDefault="00E06703" w:rsidP="00E06703">
      <w:pPr>
        <w:spacing w:after="80"/>
        <w:jc w:val="center"/>
        <w:rPr>
          <w:rFonts w:ascii="Times New Roman" w:eastAsia="Times New Roman" w:hAnsi="Times New Roman" w:cs="Times New Roman"/>
          <w:color w:val="1C1C1C"/>
          <w:sz w:val="32"/>
          <w:szCs w:val="32"/>
        </w:rPr>
      </w:pPr>
    </w:p>
    <w:p w14:paraId="518756E9" w14:textId="77777777" w:rsidR="00E06703" w:rsidRPr="00822632" w:rsidRDefault="00E06703" w:rsidP="00E06703">
      <w:pPr>
        <w:spacing w:after="80"/>
        <w:jc w:val="center"/>
        <w:rPr>
          <w:rFonts w:ascii="Times New Roman" w:eastAsia="Times New Roman" w:hAnsi="Times New Roman" w:cs="Times New Roman"/>
          <w:color w:val="1C1C1C"/>
          <w:sz w:val="32"/>
          <w:szCs w:val="32"/>
          <w:rtl/>
        </w:rPr>
      </w:pPr>
      <w:r>
        <w:rPr>
          <w:rFonts w:ascii="Times New Roman" w:eastAsia="Times New Roman" w:hAnsi="Times New Roman" w:cs="Times New Roman" w:hint="cs"/>
          <w:color w:val="1C1C1C"/>
          <w:sz w:val="32"/>
          <w:szCs w:val="32"/>
          <w:rtl/>
        </w:rPr>
        <w:t>إعداد</w:t>
      </w:r>
    </w:p>
    <w:p w14:paraId="501E154A" w14:textId="77777777" w:rsidR="00E06703" w:rsidRPr="00822632" w:rsidRDefault="00E06703" w:rsidP="00E06703">
      <w:pPr>
        <w:pBdr>
          <w:top w:val="nil"/>
          <w:left w:val="nil"/>
          <w:bottom w:val="nil"/>
          <w:right w:val="nil"/>
          <w:between w:val="nil"/>
          <w:bar w:val="nil"/>
        </w:pBdr>
        <w:bidi/>
        <w:spacing w:before="50" w:after="50"/>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أحمد عبدربه التميمي</w:t>
      </w:r>
    </w:p>
    <w:p w14:paraId="2D23A042" w14:textId="77777777" w:rsidR="00E06703" w:rsidRPr="00822632" w:rsidRDefault="00E06703" w:rsidP="00E06703">
      <w:pPr>
        <w:spacing w:after="60"/>
        <w:rPr>
          <w:rFonts w:ascii="Times New Roman" w:eastAsia="Times New Roman" w:hAnsi="Times New Roman" w:cs="Times New Roman"/>
          <w:color w:val="1C1C1C"/>
          <w:sz w:val="28"/>
          <w:szCs w:val="28"/>
        </w:rPr>
      </w:pPr>
    </w:p>
    <w:p w14:paraId="4AC7DECA" w14:textId="77777777" w:rsidR="00E06703" w:rsidRPr="00822632" w:rsidRDefault="00E06703" w:rsidP="00E06703">
      <w:pPr>
        <w:spacing w:after="60"/>
        <w:rPr>
          <w:rFonts w:ascii="Times New Roman" w:eastAsia="Times New Roman" w:hAnsi="Times New Roman" w:cs="Times New Roman"/>
          <w:color w:val="1C1C1C"/>
          <w:sz w:val="28"/>
          <w:szCs w:val="28"/>
          <w:rtl/>
        </w:rPr>
      </w:pPr>
    </w:p>
    <w:p w14:paraId="70BACAEA" w14:textId="77777777" w:rsidR="00E06703" w:rsidRPr="00822632" w:rsidRDefault="00E06703" w:rsidP="00E06703">
      <w:pPr>
        <w:spacing w:after="60" w:line="276" w:lineRule="auto"/>
        <w:rPr>
          <w:rFonts w:ascii="Times New Roman" w:eastAsia="Times New Roman" w:hAnsi="Times New Roman" w:cs="Times New Roman"/>
          <w:color w:val="1C1C1C"/>
          <w:sz w:val="28"/>
          <w:szCs w:val="28"/>
        </w:rPr>
      </w:pPr>
      <w:bookmarkStart w:id="0" w:name="OLE_LINK2"/>
    </w:p>
    <w:p w14:paraId="4907638D" w14:textId="3E11CF75" w:rsidR="00E06703" w:rsidRPr="00822632" w:rsidRDefault="00E06703" w:rsidP="00E06703">
      <w:pPr>
        <w:bidi/>
        <w:spacing w:after="60" w:line="276" w:lineRule="auto"/>
        <w:jc w:val="center"/>
        <w:rPr>
          <w:rFonts w:ascii="Times New Roman" w:eastAsia="Times New Roman" w:hAnsi="Times New Roman" w:cs="Times New Roman"/>
          <w:color w:val="1C1C1C"/>
          <w:sz w:val="28"/>
          <w:szCs w:val="28"/>
          <w:rtl/>
        </w:rPr>
      </w:pPr>
      <w:r>
        <w:rPr>
          <w:rFonts w:ascii="Times New Roman" w:eastAsia="Times New Roman" w:hAnsi="Times New Roman" w:cs="Times New Roman"/>
          <w:color w:val="1C1C1C"/>
          <w:sz w:val="28"/>
          <w:szCs w:val="28"/>
          <w:rtl/>
        </w:rPr>
        <w:t xml:space="preserve">رسالة مقدمة إلى </w:t>
      </w:r>
      <w:r>
        <w:rPr>
          <w:rFonts w:ascii="Times New Roman" w:eastAsia="Times New Roman" w:hAnsi="Times New Roman" w:cs="Times New Roman" w:hint="cs"/>
          <w:color w:val="1C1C1C"/>
          <w:sz w:val="28"/>
          <w:szCs w:val="28"/>
          <w:rtl/>
        </w:rPr>
        <w:t>برنامج الدكتوراة</w:t>
      </w:r>
    </w:p>
    <w:p w14:paraId="3B82EB52" w14:textId="5DAACED7" w:rsidR="00E06703" w:rsidRPr="00822632" w:rsidRDefault="00E06703" w:rsidP="00E06703">
      <w:pPr>
        <w:bidi/>
        <w:spacing w:line="276" w:lineRule="auto"/>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w:t>
      </w:r>
      <w:r w:rsidR="0065208B">
        <w:rPr>
          <w:rFonts w:ascii="Times New Roman" w:eastAsia="Times New Roman" w:hAnsi="Times New Roman" w:cs="Times New Roman" w:hint="cs"/>
          <w:b/>
          <w:bCs/>
          <w:color w:val="1C1C1C"/>
          <w:sz w:val="28"/>
          <w:szCs w:val="28"/>
          <w:rtl/>
        </w:rPr>
        <w:t>إ</w:t>
      </w:r>
      <w:r>
        <w:rPr>
          <w:rFonts w:ascii="Times New Roman" w:eastAsia="Times New Roman" w:hAnsi="Times New Roman" w:cs="Times New Roman" w:hint="cs"/>
          <w:b/>
          <w:bCs/>
          <w:color w:val="1C1C1C"/>
          <w:sz w:val="28"/>
          <w:szCs w:val="28"/>
          <w:rtl/>
        </w:rPr>
        <w:t>دارة</w:t>
      </w:r>
    </w:p>
    <w:bookmarkEnd w:id="0"/>
    <w:p w14:paraId="288A6D20" w14:textId="77777777" w:rsidR="00E06703" w:rsidRPr="00822632" w:rsidRDefault="00E06703" w:rsidP="00E06703">
      <w:pPr>
        <w:bidi/>
        <w:spacing w:line="276" w:lineRule="auto"/>
        <w:jc w:val="center"/>
        <w:rPr>
          <w:rFonts w:ascii="Times New Roman" w:eastAsia="Times New Roman" w:hAnsi="Times New Roman" w:cs="Times New Roman"/>
          <w:color w:val="1C1C1C"/>
          <w:sz w:val="28"/>
          <w:szCs w:val="28"/>
          <w:rtl/>
        </w:rPr>
      </w:pPr>
    </w:p>
    <w:p w14:paraId="61893146" w14:textId="77777777" w:rsidR="00E06703" w:rsidRPr="00822632" w:rsidRDefault="00E06703" w:rsidP="00E06703">
      <w:pPr>
        <w:bidi/>
        <w:spacing w:line="276" w:lineRule="auto"/>
        <w:jc w:val="center"/>
        <w:rPr>
          <w:rFonts w:ascii="Times New Roman" w:eastAsia="Times New Roman" w:hAnsi="Times New Roman" w:cs="Times New Roman"/>
          <w:color w:val="1C1C1C"/>
          <w:sz w:val="28"/>
          <w:szCs w:val="28"/>
          <w:rtl/>
        </w:rPr>
      </w:pPr>
    </w:p>
    <w:p w14:paraId="673443A9" w14:textId="77777777" w:rsidR="00E06703" w:rsidRPr="00822632" w:rsidRDefault="00E06703" w:rsidP="00E06703">
      <w:pPr>
        <w:bidi/>
        <w:spacing w:line="276" w:lineRule="auto"/>
        <w:jc w:val="center"/>
        <w:rPr>
          <w:rFonts w:ascii="Times New Roman" w:eastAsia="Times New Roman" w:hAnsi="Times New Roman" w:cs="Times New Roman"/>
          <w:color w:val="1C1C1C"/>
          <w:sz w:val="28"/>
          <w:szCs w:val="28"/>
          <w:rtl/>
        </w:rPr>
      </w:pPr>
    </w:p>
    <w:p w14:paraId="5B14A68D" w14:textId="0217F19F" w:rsidR="00E06703" w:rsidRDefault="00E06703" w:rsidP="00E06703">
      <w:pPr>
        <w:tabs>
          <w:tab w:val="left" w:pos="3666"/>
        </w:tabs>
        <w:bidi/>
        <w:spacing w:line="360" w:lineRule="auto"/>
        <w:jc w:val="center"/>
        <w:rPr>
          <w:rFonts w:ascii="Traditional Arabic" w:eastAsia="Calibri" w:hAnsi="Traditional Arabic" w:cs="Traditional Arabic"/>
          <w:b/>
          <w:bCs/>
          <w:sz w:val="28"/>
          <w:szCs w:val="28"/>
          <w:rtl/>
        </w:rPr>
      </w:pPr>
      <w:r>
        <w:rPr>
          <w:rFonts w:ascii="Times New Roman" w:eastAsia="Times New Roman" w:hAnsi="Times New Roman" w:cs="Times New Roman"/>
          <w:color w:val="1C1C1C"/>
          <w:sz w:val="28"/>
          <w:szCs w:val="28"/>
          <w:rtl/>
        </w:rPr>
        <w:t>العام الجامعي</w:t>
      </w:r>
      <w:r>
        <w:rPr>
          <w:rFonts w:ascii="Times New Roman" w:eastAsia="Times New Roman" w:hAnsi="Times New Roman" w:cs="Times New Roman"/>
          <w:color w:val="1C1C1C"/>
          <w:sz w:val="28"/>
          <w:szCs w:val="28"/>
        </w:rPr>
        <w:t>2026 </w:t>
      </w:r>
      <w:r>
        <w:rPr>
          <w:rFonts w:ascii="Times New Roman" w:eastAsia="Times New Roman" w:hAnsi="Times New Roman" w:cs="Times New Roman"/>
          <w:color w:val="1C1C1C"/>
          <w:sz w:val="28"/>
          <w:szCs w:val="28"/>
          <w:rtl/>
        </w:rPr>
        <w:t>م</w:t>
      </w:r>
      <w:r>
        <w:rPr>
          <w:rFonts w:ascii="Times New Roman" w:eastAsia="Times New Roman" w:hAnsi="Times New Roman" w:cs="Times New Roman"/>
          <w:b/>
          <w:bCs/>
          <w:color w:val="1C1C1C"/>
          <w:sz w:val="28"/>
          <w:szCs w:val="28"/>
          <w:rtl/>
        </w:rPr>
        <w:t> </w:t>
      </w:r>
      <w:r>
        <w:rPr>
          <w:rFonts w:ascii="Times New Roman" w:eastAsia="Times New Roman" w:hAnsi="Times New Roman" w:cs="Times New Roman"/>
          <w:b/>
          <w:bCs/>
          <w:color w:val="1C1C1C"/>
          <w:sz w:val="28"/>
          <w:szCs w:val="28"/>
        </w:rPr>
        <w:br/>
      </w:r>
      <w:r>
        <w:rPr>
          <w:rFonts w:ascii="Traditional Arabic" w:eastAsia="Calibri" w:hAnsi="Traditional Arabic" w:cs="Traditional Arabic"/>
          <w:b/>
          <w:bCs/>
          <w:sz w:val="28"/>
          <w:szCs w:val="28"/>
          <w:rtl/>
          <w:lang w:bidi="ar-EG"/>
        </w:rPr>
        <w:t xml:space="preserve">1447ه‍ - </w:t>
      </w:r>
      <w:r>
        <w:rPr>
          <w:rFonts w:ascii="Traditional Arabic" w:eastAsia="Calibri" w:hAnsi="Traditional Arabic" w:cs="Traditional Arabic" w:hint="cs"/>
          <w:b/>
          <w:bCs/>
          <w:sz w:val="28"/>
          <w:szCs w:val="28"/>
          <w:rtl/>
          <w:lang w:bidi="ar-EG"/>
        </w:rPr>
        <w:t>1448</w:t>
      </w:r>
      <w:r>
        <w:rPr>
          <w:rFonts w:ascii="Traditional Arabic" w:eastAsia="Calibri" w:hAnsi="Traditional Arabic" w:cs="Traditional Arabic" w:hint="cs"/>
          <w:b/>
          <w:bCs/>
          <w:sz w:val="28"/>
          <w:szCs w:val="28"/>
          <w:rtl/>
        </w:rPr>
        <w:t>هـ</w:t>
      </w:r>
    </w:p>
    <w:p w14:paraId="0509EF3C" w14:textId="77777777" w:rsidR="00305577" w:rsidRDefault="00305577" w:rsidP="00305577">
      <w:pPr>
        <w:tabs>
          <w:tab w:val="left" w:pos="3666"/>
        </w:tabs>
        <w:bidi/>
        <w:spacing w:line="360" w:lineRule="auto"/>
        <w:jc w:val="center"/>
        <w:rPr>
          <w:rFonts w:ascii="Traditional Arabic" w:eastAsia="Calibri" w:hAnsi="Traditional Arabic" w:cs="Traditional Arabic"/>
          <w:b/>
          <w:bCs/>
          <w:sz w:val="28"/>
          <w:szCs w:val="28"/>
          <w:rtl/>
        </w:rPr>
      </w:pPr>
    </w:p>
    <w:p w14:paraId="48090DF8" w14:textId="3B899086" w:rsidR="00A628F6" w:rsidRPr="00822632" w:rsidRDefault="005067B7" w:rsidP="00A628F6">
      <w:pPr>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65408" behindDoc="0" locked="0" layoutInCell="1" allowOverlap="1" wp14:anchorId="4F0AE708" wp14:editId="0F84E74E">
            <wp:simplePos x="0" y="0"/>
            <wp:positionH relativeFrom="column">
              <wp:posOffset>-292331</wp:posOffset>
            </wp:positionH>
            <wp:positionV relativeFrom="paragraph">
              <wp:posOffset>91808</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00A628F6"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64384" behindDoc="0" locked="0" layoutInCell="1" allowOverlap="1" wp14:anchorId="7CE0ACA1" wp14:editId="0461C020">
                <wp:simplePos x="0" y="0"/>
                <wp:positionH relativeFrom="column">
                  <wp:posOffset>4147457</wp:posOffset>
                </wp:positionH>
                <wp:positionV relativeFrom="paragraph">
                  <wp:posOffset>260532</wp:posOffset>
                </wp:positionV>
                <wp:extent cx="1971675" cy="929640"/>
                <wp:effectExtent l="0" t="0" r="9525" b="10160"/>
                <wp:wrapSquare wrapText="bothSides"/>
                <wp:docPr id="1" name="Rectangle 9"/>
                <wp:cNvGraphicFramePr/>
                <a:graphic xmlns:a="http://schemas.openxmlformats.org/drawingml/2006/main">
                  <a:graphicData uri="http://schemas.microsoft.com/office/word/2010/wordprocessingShape">
                    <wps:wsp>
                      <wps:cNvSpPr/>
                      <wps:spPr>
                        <a:xfrm>
                          <a:off x="0" y="0"/>
                          <a:ext cx="1971675"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7EB5726" w14:textId="77777777" w:rsidR="00A628F6" w:rsidRPr="004B71EE" w:rsidRDefault="00A628F6" w:rsidP="00A628F6">
                            <w:pPr>
                              <w:jc w:val="center"/>
                              <w:rPr>
                                <w:rFonts w:ascii="Times New Roman" w:hAnsi="Times New Roman" w:cs="Times New Roman"/>
                                <w:b/>
                                <w:bCs/>
                                <w:sz w:val="28"/>
                                <w:szCs w:val="28"/>
                                <w:rtl/>
                                <w:lang w:bidi="ar-EG"/>
                              </w:rPr>
                            </w:pPr>
                            <w:r w:rsidRPr="004B71EE">
                              <w:rPr>
                                <w:rFonts w:ascii="Times New Roman" w:hAnsi="Times New Roman" w:cs="Times New Roman"/>
                                <w:b/>
                                <w:bCs/>
                                <w:sz w:val="28"/>
                                <w:szCs w:val="28"/>
                                <w:lang w:bidi="ar-EG"/>
                              </w:rPr>
                              <w:t>Midocean University</w:t>
                            </w:r>
                          </w:p>
                          <w:p w14:paraId="0A7B0561" w14:textId="2825DA0D" w:rsidR="00A628F6" w:rsidRPr="004B71EE" w:rsidRDefault="00A628F6" w:rsidP="00A628F6">
                            <w:pPr>
                              <w:jc w:val="center"/>
                              <w:rPr>
                                <w:rFonts w:ascii="Times New Roman" w:hAnsi="Times New Roman" w:cs="Times New Roman"/>
                                <w:b/>
                                <w:bCs/>
                                <w:sz w:val="28"/>
                                <w:szCs w:val="28"/>
                                <w:lang w:bidi="ar-EG"/>
                              </w:rPr>
                            </w:pPr>
                            <w:r w:rsidRPr="004B71EE">
                              <w:rPr>
                                <w:rFonts w:ascii="Times New Roman" w:hAnsi="Times New Roman" w:cs="Times New Roman"/>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E0ACA1" id="Rectangle 9" o:spid="_x0000_s1027" style="position:absolute;margin-left:326.55pt;margin-top:20.5pt;width:155.25pt;height:73.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" fillcolor="window" strokecolor="window" strokeweight="1pt">
                <v:textbox>
                  <w:txbxContent>
                    <w:p w14:paraId="27EB5726" w14:textId="77777777" w:rsidR="00A628F6" w:rsidRPr="004B71EE" w:rsidRDefault="00A628F6" w:rsidP="00A628F6">
                      <w:pPr>
                        <w:jc w:val="center"/>
                        <w:rPr>
                          <w:rFonts w:ascii="Times New Roman" w:hAnsi="Times New Roman" w:cs="Times New Roman"/>
                          <w:b/>
                          <w:bCs/>
                          <w:sz w:val="28"/>
                          <w:szCs w:val="28"/>
                          <w:rtl/>
                          <w:lang w:bidi="ar-EG"/>
                        </w:rPr>
                      </w:pPr>
                      <w:r w:rsidRPr="004B71EE">
                        <w:rPr>
                          <w:rFonts w:ascii="Times New Roman" w:hAnsi="Times New Roman" w:cs="Times New Roman"/>
                          <w:b/>
                          <w:bCs/>
                          <w:sz w:val="28"/>
                          <w:szCs w:val="28"/>
                          <w:lang w:bidi="ar-EG"/>
                        </w:rPr>
                        <w:t>Midocean University</w:t>
                      </w:r>
                    </w:p>
                    <w:p w14:paraId="0A7B0561" w14:textId="2825DA0D" w:rsidR="00A628F6" w:rsidRPr="004B71EE" w:rsidRDefault="00A628F6" w:rsidP="00A628F6">
                      <w:pPr>
                        <w:jc w:val="center"/>
                        <w:rPr>
                          <w:rFonts w:ascii="Times New Roman" w:hAnsi="Times New Roman" w:cs="Times New Roman"/>
                          <w:b/>
                          <w:bCs/>
                          <w:sz w:val="28"/>
                          <w:szCs w:val="28"/>
                          <w:lang w:bidi="ar-EG"/>
                        </w:rPr>
                      </w:pPr>
                      <w:r w:rsidRPr="004B71EE">
                        <w:rPr>
                          <w:rFonts w:ascii="Times New Roman" w:hAnsi="Times New Roman" w:cs="Times New Roman"/>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A628F6" w:rsidRPr="00822632" w14:paraId="58FB99C7" w14:textId="77777777" w:rsidTr="00595DB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E69CACC" w14:textId="77777777" w:rsidR="00A628F6" w:rsidRPr="00822632" w:rsidRDefault="00A628F6" w:rsidP="00595DBE">
            <w:pPr>
              <w:jc w:val="center"/>
              <w:rPr>
                <w:rFonts w:ascii="Times New Roman" w:eastAsia="Times New Roman" w:hAnsi="Times New Roman" w:cs="Times New Roman"/>
                <w:color w:val="1C1C1C"/>
                <w:sz w:val="24"/>
                <w:szCs w:val="24"/>
              </w:rPr>
            </w:pPr>
          </w:p>
          <w:p w14:paraId="5B95B692" w14:textId="77777777" w:rsidR="00A628F6" w:rsidRPr="00822632" w:rsidRDefault="00A628F6" w:rsidP="00595DBE">
            <w:pPr>
              <w:jc w:val="center"/>
              <w:rPr>
                <w:rFonts w:ascii="Times New Roman" w:eastAsia="Times New Roman" w:hAnsi="Times New Roman" w:cs="Times New Roman"/>
                <w:color w:val="1C1C1C"/>
                <w:sz w:val="24"/>
                <w:szCs w:val="24"/>
              </w:rPr>
            </w:pPr>
          </w:p>
          <w:p w14:paraId="1989DD4D" w14:textId="77777777" w:rsidR="00A628F6" w:rsidRPr="00822632" w:rsidRDefault="00A628F6" w:rsidP="00595DBE">
            <w:pPr>
              <w:spacing w:before="60"/>
              <w:jc w:val="right"/>
              <w:rPr>
                <w:rFonts w:ascii="Times New Roman" w:eastAsia="Times New Roman" w:hAnsi="Times New Roman" w:cs="Times New Roman"/>
                <w:color w:val="1C1C1C"/>
                <w:sz w:val="24"/>
                <w:szCs w:val="24"/>
              </w:rPr>
            </w:pPr>
          </w:p>
        </w:tc>
      </w:tr>
    </w:tbl>
    <w:p w14:paraId="0C5E1A79" w14:textId="3113DE47" w:rsidR="00A628F6" w:rsidRPr="004B71EE" w:rsidRDefault="00A628F6" w:rsidP="005067B7">
      <w:pPr>
        <w:pStyle w:val="ad"/>
        <w:jc w:val="center"/>
        <w:rPr>
          <w:sz w:val="36"/>
          <w:szCs w:val="36"/>
        </w:rPr>
      </w:pPr>
      <w:r w:rsidRPr="004B71EE">
        <w:rPr>
          <w:rStyle w:val="ae"/>
          <w:sz w:val="36"/>
          <w:szCs w:val="36"/>
        </w:rPr>
        <w:t xml:space="preserve">The Mediating Role of Digital Maturity in the Impact of Artificial Intelligence Adoption </w:t>
      </w:r>
      <w:r w:rsidR="00533B11">
        <w:rPr>
          <w:rStyle w:val="ae"/>
          <w:sz w:val="36"/>
          <w:szCs w:val="36"/>
        </w:rPr>
        <w:t xml:space="preserve">on </w:t>
      </w:r>
      <w:r w:rsidR="00533B11" w:rsidRPr="00533B11">
        <w:rPr>
          <w:rStyle w:val="ae"/>
          <w:sz w:val="36"/>
          <w:szCs w:val="36"/>
          <w:highlight w:val="yellow"/>
        </w:rPr>
        <w:t>the Quality</w:t>
      </w:r>
      <w:r w:rsidR="00533B11">
        <w:rPr>
          <w:rStyle w:val="ae"/>
          <w:sz w:val="36"/>
          <w:szCs w:val="36"/>
        </w:rPr>
        <w:t xml:space="preserve"> </w:t>
      </w:r>
      <w:r w:rsidRPr="004B71EE">
        <w:rPr>
          <w:rStyle w:val="ae"/>
          <w:sz w:val="36"/>
          <w:szCs w:val="36"/>
        </w:rPr>
        <w:t>Administrative Decision: A Field Study in Saudi Nonprofit Sector Organizations</w:t>
      </w:r>
    </w:p>
    <w:p w14:paraId="1757BBF6" w14:textId="77777777" w:rsidR="00A628F6" w:rsidRPr="00822632" w:rsidRDefault="00A628F6" w:rsidP="005067B7">
      <w:pPr>
        <w:spacing w:after="80"/>
        <w:jc w:val="center"/>
        <w:rPr>
          <w:rFonts w:ascii="Times New Roman" w:eastAsia="Times New Roman" w:hAnsi="Times New Roman" w:cs="Times New Roman"/>
          <w:color w:val="1C1C1C"/>
          <w:sz w:val="28"/>
          <w:szCs w:val="28"/>
        </w:rPr>
      </w:pPr>
    </w:p>
    <w:p w14:paraId="1BD2882A" w14:textId="77777777" w:rsidR="00A628F6" w:rsidRPr="00822632" w:rsidRDefault="00A628F6" w:rsidP="005067B7">
      <w:pPr>
        <w:spacing w:after="80"/>
        <w:jc w:val="center"/>
        <w:rPr>
          <w:rFonts w:ascii="Times New Roman" w:eastAsia="Times New Roman" w:hAnsi="Times New Roman" w:cs="Times New Roman"/>
          <w:color w:val="1C1C1C"/>
          <w:sz w:val="28"/>
          <w:szCs w:val="28"/>
        </w:rPr>
      </w:pPr>
    </w:p>
    <w:p w14:paraId="76BE64C8" w14:textId="77777777" w:rsidR="00A628F6" w:rsidRPr="004B71EE" w:rsidRDefault="00A628F6" w:rsidP="005067B7">
      <w:pPr>
        <w:spacing w:after="80"/>
        <w:jc w:val="center"/>
        <w:rPr>
          <w:rFonts w:ascii="Times New Roman" w:eastAsia="Times New Roman" w:hAnsi="Times New Roman" w:cs="Times New Roman"/>
          <w:b/>
          <w:bCs/>
          <w:color w:val="1C1C1C"/>
          <w:sz w:val="28"/>
          <w:szCs w:val="28"/>
        </w:rPr>
      </w:pPr>
      <w:r w:rsidRPr="004B71EE">
        <w:rPr>
          <w:rFonts w:ascii="Times New Roman" w:eastAsia="Times New Roman" w:hAnsi="Times New Roman" w:cs="Times New Roman"/>
          <w:b/>
          <w:bCs/>
          <w:color w:val="1C1C1C"/>
          <w:sz w:val="28"/>
          <w:szCs w:val="28"/>
        </w:rPr>
        <w:t>Prepared by</w:t>
      </w:r>
    </w:p>
    <w:p w14:paraId="42494153" w14:textId="277A2844" w:rsidR="00A628F6" w:rsidRPr="004B71EE" w:rsidRDefault="00A628F6" w:rsidP="005067B7">
      <w:pPr>
        <w:spacing w:after="300"/>
        <w:jc w:val="center"/>
        <w:rPr>
          <w:rFonts w:ascii="Times New Roman" w:eastAsia="Times New Roman" w:hAnsi="Times New Roman" w:cs="Times New Roman"/>
          <w:b/>
          <w:bCs/>
          <w:color w:val="1C1C1C"/>
          <w:sz w:val="28"/>
          <w:szCs w:val="28"/>
        </w:rPr>
      </w:pPr>
      <w:r w:rsidRPr="004B71EE">
        <w:rPr>
          <w:rFonts w:ascii="Times New Roman" w:eastAsia="Times New Roman" w:hAnsi="Times New Roman" w:cs="Times New Roman"/>
          <w:b/>
          <w:bCs/>
          <w:color w:val="1C1C1C"/>
          <w:sz w:val="28"/>
          <w:szCs w:val="28"/>
        </w:rPr>
        <w:t xml:space="preserve">Ahmad Abdurabh </w:t>
      </w:r>
      <w:r w:rsidR="004B71EE" w:rsidRPr="004B71EE">
        <w:rPr>
          <w:rFonts w:ascii="Times New Roman" w:eastAsia="Times New Roman" w:hAnsi="Times New Roman" w:cs="Times New Roman"/>
          <w:b/>
          <w:bCs/>
          <w:color w:val="1C1C1C"/>
          <w:sz w:val="28"/>
          <w:szCs w:val="28"/>
        </w:rPr>
        <w:t>Altamimi</w:t>
      </w:r>
    </w:p>
    <w:p w14:paraId="0F5BF801" w14:textId="77777777" w:rsidR="00A628F6" w:rsidRPr="00822632" w:rsidRDefault="00A628F6" w:rsidP="005067B7">
      <w:pPr>
        <w:spacing w:after="60"/>
        <w:jc w:val="center"/>
        <w:rPr>
          <w:rFonts w:ascii="Times New Roman" w:eastAsia="Times New Roman" w:hAnsi="Times New Roman" w:cs="Times New Roman"/>
          <w:color w:val="1C1C1C"/>
          <w:sz w:val="24"/>
          <w:szCs w:val="24"/>
        </w:rPr>
      </w:pPr>
    </w:p>
    <w:p w14:paraId="5645FE0D" w14:textId="77777777" w:rsidR="00A628F6" w:rsidRPr="00822632" w:rsidRDefault="00A628F6" w:rsidP="005067B7">
      <w:pPr>
        <w:spacing w:after="60"/>
        <w:jc w:val="center"/>
        <w:rPr>
          <w:rFonts w:ascii="Times New Roman" w:eastAsia="Times New Roman" w:hAnsi="Times New Roman" w:cs="Times New Roman"/>
          <w:color w:val="1C1C1C"/>
          <w:sz w:val="24"/>
          <w:szCs w:val="24"/>
        </w:rPr>
      </w:pPr>
    </w:p>
    <w:p w14:paraId="563021B2" w14:textId="77777777" w:rsidR="00A628F6" w:rsidRPr="00822632" w:rsidRDefault="00A628F6" w:rsidP="005067B7">
      <w:pPr>
        <w:spacing w:after="60" w:line="276" w:lineRule="auto"/>
        <w:jc w:val="center"/>
        <w:rPr>
          <w:rFonts w:ascii="Times New Roman" w:eastAsia="Times New Roman" w:hAnsi="Times New Roman" w:cs="Times New Roman"/>
          <w:color w:val="1C1C1C"/>
          <w:sz w:val="24"/>
          <w:szCs w:val="24"/>
        </w:rPr>
      </w:pPr>
    </w:p>
    <w:p w14:paraId="2375E87C" w14:textId="77777777" w:rsidR="005067B7" w:rsidRDefault="00A628F6" w:rsidP="005067B7">
      <w:pPr>
        <w:spacing w:after="60" w:line="276" w:lineRule="auto"/>
        <w:jc w:val="center"/>
        <w:rPr>
          <w:rFonts w:ascii="Times New Roman" w:eastAsia="Times New Roman" w:hAnsi="Times New Roman" w:cs="Times New Roman"/>
          <w:color w:val="1C1C1C"/>
          <w:sz w:val="24"/>
          <w:szCs w:val="24"/>
        </w:rPr>
      </w:pPr>
      <w:r w:rsidRPr="00822632">
        <w:rPr>
          <w:rFonts w:ascii="Times New Roman" w:eastAsia="Times New Roman" w:hAnsi="Times New Roman" w:cs="Times New Roman"/>
          <w:color w:val="1C1C1C"/>
          <w:sz w:val="24"/>
          <w:szCs w:val="24"/>
        </w:rPr>
        <w:t>A Dissertation submitted to Doctorate Program</w:t>
      </w:r>
    </w:p>
    <w:p w14:paraId="2C46FDDA" w14:textId="115C780B" w:rsidR="00A628F6" w:rsidRPr="00822632" w:rsidRDefault="00A628F6" w:rsidP="005067B7">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3A85615F" w14:textId="3DBE17D2" w:rsidR="00A628F6" w:rsidRPr="002D494F" w:rsidRDefault="00A628F6" w:rsidP="005067B7">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Management</w:t>
      </w:r>
    </w:p>
    <w:p w14:paraId="29F556CD" w14:textId="77777777" w:rsidR="00A628F6" w:rsidRPr="002D494F" w:rsidRDefault="00A628F6" w:rsidP="005067B7">
      <w:pPr>
        <w:spacing w:line="276" w:lineRule="auto"/>
        <w:jc w:val="center"/>
        <w:rPr>
          <w:rFonts w:ascii="Times New Roman" w:eastAsia="Times New Roman" w:hAnsi="Times New Roman" w:cs="Times New Roman"/>
          <w:b/>
          <w:bCs/>
          <w:color w:val="1C1C1C"/>
          <w:sz w:val="24"/>
          <w:szCs w:val="24"/>
          <w:lang w:val="en"/>
        </w:rPr>
      </w:pPr>
    </w:p>
    <w:p w14:paraId="440FAF6B" w14:textId="77777777" w:rsidR="00A628F6" w:rsidRPr="00822632" w:rsidRDefault="00A628F6" w:rsidP="005067B7">
      <w:pPr>
        <w:spacing w:line="276" w:lineRule="auto"/>
        <w:jc w:val="center"/>
        <w:rPr>
          <w:rFonts w:ascii="Times New Roman" w:eastAsia="Times New Roman" w:hAnsi="Times New Roman" w:cs="Times New Roman"/>
          <w:color w:val="1C1C1C"/>
          <w:sz w:val="24"/>
          <w:szCs w:val="24"/>
          <w:rtl/>
        </w:rPr>
      </w:pPr>
    </w:p>
    <w:p w14:paraId="28C97783" w14:textId="77777777" w:rsidR="00A628F6" w:rsidRPr="00822632" w:rsidRDefault="00A628F6" w:rsidP="005067B7">
      <w:pPr>
        <w:spacing w:line="276" w:lineRule="auto"/>
        <w:jc w:val="center"/>
        <w:rPr>
          <w:rFonts w:ascii="Times New Roman" w:eastAsia="Times New Roman" w:hAnsi="Times New Roman" w:cs="Times New Roman"/>
          <w:color w:val="1C1C1C"/>
          <w:sz w:val="24"/>
          <w:szCs w:val="24"/>
          <w:rtl/>
        </w:rPr>
      </w:pPr>
    </w:p>
    <w:p w14:paraId="53FA95AF" w14:textId="77777777" w:rsidR="00A628F6" w:rsidRPr="00822632" w:rsidRDefault="00A628F6" w:rsidP="005067B7">
      <w:pPr>
        <w:spacing w:line="276" w:lineRule="auto"/>
        <w:jc w:val="center"/>
        <w:rPr>
          <w:rFonts w:ascii="Times New Roman" w:eastAsia="Times New Roman" w:hAnsi="Times New Roman" w:cs="Times New Roman"/>
          <w:color w:val="1C1C1C"/>
          <w:sz w:val="24"/>
          <w:szCs w:val="24"/>
          <w:rtl/>
        </w:rPr>
      </w:pPr>
    </w:p>
    <w:p w14:paraId="4DE93604" w14:textId="77777777" w:rsidR="005067B7" w:rsidRDefault="00A628F6" w:rsidP="005067B7">
      <w:pPr>
        <w:pBdr>
          <w:top w:val="nil"/>
          <w:left w:val="nil"/>
          <w:bottom w:val="nil"/>
          <w:right w:val="nil"/>
          <w:between w:val="nil"/>
          <w:bar w:val="nil"/>
        </w:pBdr>
        <w:spacing w:before="50" w:after="50"/>
        <w:ind w:left="4"/>
        <w:jc w:val="center"/>
        <w:rPr>
          <w:rFonts w:ascii="Times New Roman" w:eastAsia="Times New Roman" w:hAnsi="Times New Roman" w:cs="Times New Roman"/>
          <w:color w:val="1C1C1C"/>
          <w:sz w:val="24"/>
          <w:szCs w:val="24"/>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p>
    <w:p w14:paraId="4F4D4426" w14:textId="779FF0E3" w:rsidR="00A628F6" w:rsidRPr="00822632" w:rsidRDefault="00A628F6" w:rsidP="005067B7">
      <w:pPr>
        <w:pBdr>
          <w:top w:val="nil"/>
          <w:left w:val="nil"/>
          <w:bottom w:val="nil"/>
          <w:right w:val="nil"/>
          <w:between w:val="nil"/>
          <w:bar w:val="nil"/>
        </w:pBdr>
        <w:spacing w:before="50" w:after="50"/>
        <w:ind w:left="4"/>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623C3D05" w14:textId="77777777" w:rsidR="00A628F6" w:rsidRDefault="00A628F6" w:rsidP="005067B7">
      <w:pPr>
        <w:tabs>
          <w:tab w:val="left" w:pos="3666"/>
        </w:tabs>
        <w:bidi/>
        <w:spacing w:line="360" w:lineRule="auto"/>
        <w:jc w:val="center"/>
        <w:rPr>
          <w:rFonts w:ascii="Traditional Arabic" w:eastAsia="Calibri" w:hAnsi="Traditional Arabic" w:cs="Traditional Arabic"/>
          <w:b/>
          <w:bCs/>
          <w:sz w:val="28"/>
          <w:szCs w:val="28"/>
          <w:rtl/>
          <w:lang w:bidi="ar-EG"/>
        </w:rPr>
      </w:pPr>
    </w:p>
    <w:p w14:paraId="3BFDD324" w14:textId="77777777" w:rsidR="00A628F6" w:rsidRDefault="00A628F6" w:rsidP="00A628F6">
      <w:pPr>
        <w:tabs>
          <w:tab w:val="left" w:pos="3666"/>
        </w:tabs>
        <w:bidi/>
        <w:spacing w:line="360" w:lineRule="auto"/>
        <w:jc w:val="center"/>
        <w:rPr>
          <w:rFonts w:ascii="Traditional Arabic" w:eastAsia="Calibri" w:hAnsi="Traditional Arabic" w:cs="Traditional Arabic"/>
          <w:b/>
          <w:bCs/>
          <w:sz w:val="28"/>
          <w:szCs w:val="28"/>
          <w:rtl/>
          <w:lang w:bidi="ar-EG"/>
        </w:rPr>
      </w:pPr>
    </w:p>
    <w:p w14:paraId="1399DC41" w14:textId="77777777" w:rsidR="00A628F6" w:rsidRDefault="00A628F6" w:rsidP="00A628F6">
      <w:pPr>
        <w:tabs>
          <w:tab w:val="left" w:pos="3666"/>
        </w:tabs>
        <w:bidi/>
        <w:spacing w:line="360" w:lineRule="auto"/>
        <w:jc w:val="center"/>
        <w:rPr>
          <w:rFonts w:ascii="Traditional Arabic" w:eastAsia="Calibri" w:hAnsi="Traditional Arabic" w:cs="Traditional Arabic"/>
          <w:b/>
          <w:bCs/>
          <w:sz w:val="28"/>
          <w:szCs w:val="28"/>
          <w:rtl/>
          <w:lang w:bidi="ar-EG"/>
        </w:rPr>
      </w:pPr>
    </w:p>
    <w:p w14:paraId="45CCE681" w14:textId="0CCB24E4" w:rsidR="008615C2" w:rsidRPr="005F5C76" w:rsidRDefault="0014044F" w:rsidP="00A109ED">
      <w:pPr>
        <w:pStyle w:val="2"/>
        <w:bidi/>
        <w:spacing w:before="0" w:after="0"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 xml:space="preserve">1-1: </w:t>
      </w:r>
      <w:r>
        <w:rPr>
          <w:rFonts w:ascii="Traditional Arabic" w:hAnsi="Traditional Arabic" w:cs="Traditional Arabic"/>
          <w:sz w:val="32"/>
          <w:szCs w:val="32"/>
          <w:rtl/>
        </w:rPr>
        <w:t>مقدمة الدراسة</w:t>
      </w:r>
      <w:r>
        <w:rPr>
          <w:rFonts w:ascii="Traditional Arabic" w:hAnsi="Traditional Arabic" w:cs="Traditional Arabic" w:hint="cs"/>
          <w:sz w:val="32"/>
          <w:szCs w:val="32"/>
          <w:rtl/>
        </w:rPr>
        <w:t>:</w:t>
      </w:r>
    </w:p>
    <w:p w14:paraId="0B6280D4" w14:textId="5CF50A9F" w:rsidR="00A109ED"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تُعدّ جودة القرار الإداري الجوهرَ الحقيقي للعملية الإدارية والمحركَ الأساسي لنجاح المنظمات في تحقيق أهدافها بكفاءة وفعالية، لا سيما في البيئات المعقدة التي تتسم بندرة الموارد وتعدد أصحاب المصلحة (آل عزام وابن ظفرة، 2023). فالقرارات الإدارية ليست مجرد خيارات روتينية، بل هي استجابات استراتيجية تحدد مسار المنظمات وقدرتها على البقاء والاستدامة في بيئات متغيرة. وتتضاعف هذه الأهمية في منظمات القطاع غير الربحي (القطاع الثالث) التي تواجه تحدياً مزدوجاً يتمثل في ندرة الموارد المالية والتشغيلية من جهة، والطلب المتزايد على تقديم خدمات تنموية واجتماعية ذات أثر ملموس من جهة أخرى (الحازمي، 2026).</w:t>
      </w:r>
    </w:p>
    <w:p w14:paraId="4AA40F92" w14:textId="3FA56C26" w:rsidR="00D02E54"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وفي ظل الثورة التكنولوجية الرابعة وتدفق البيانات الضخمة، برز تبني تقنيات "الذكاء الاصطناعي"  كأحد أهم الممكنات الاستراتيجية التي يُعوَّل عليها لدعم متخذي القرار، وتقليل التحيزات البشرية، ومعالجة البيانات المتعددة لاستخراج رؤى تنبؤية دقيقة تساهم في تحسين جودة البرامج التنموية (مكرمي وآخرون، 2023). فالذكاء الاصطناعي لم يعد مجرد أداة للأتمتة الروتينية، بل تحوّل إلى شريك استراتيجي يتيح فهم سلوك الجهات المانحة، والتنبؤ بأنماط الدعم، وتحسين استجابة المنظمات للاحتياجات المجتمعية الطارئة (المشاري والشريف، 2024).</w:t>
      </w:r>
    </w:p>
    <w:p w14:paraId="07BB5464" w14:textId="4832C758" w:rsidR="00D02E54"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ومع ذلك، تؤكد الأدبيات الإدارية المعاصرة أن تبني هذه التقنيات المتقدمة لا يحقق العوائد المرجوة تلقائياً، بل يتطلب ما يُعرف بـ"النضج الرقمي" (</w:t>
      </w:r>
      <w:r>
        <w:rPr>
          <w:rFonts w:ascii="Traditional Arabic" w:hAnsi="Traditional Arabic" w:cs="Traditional Arabic"/>
          <w:sz w:val="24"/>
          <w:szCs w:val="24"/>
        </w:rPr>
        <w:t>Digital Maturity</w:t>
      </w:r>
      <w:r>
        <w:rPr>
          <w:rFonts w:ascii="Traditional Arabic" w:hAnsi="Traditional Arabic" w:cs="Traditional Arabic"/>
          <w:sz w:val="24"/>
          <w:szCs w:val="24"/>
          <w:rtl/>
        </w:rPr>
        <w:t>)، وهو قدرة المنظمة الشاملة على التكيف مع التغيرات التكنولوجية ودمجها بفعالية في ثقافتها وعملياتها وبنيتها التحتية (</w:t>
      </w:r>
      <w:r>
        <w:rPr>
          <w:rFonts w:ascii="Traditional Arabic" w:hAnsi="Traditional Arabic" w:cs="Traditional Arabic"/>
          <w:sz w:val="24"/>
          <w:szCs w:val="24"/>
        </w:rPr>
        <w:t>Aslanova &amp; Kulichkina</w:t>
      </w:r>
      <w:r>
        <w:rPr>
          <w:rFonts w:ascii="Traditional Arabic" w:hAnsi="Traditional Arabic" w:cs="Traditional Arabic"/>
          <w:sz w:val="24"/>
          <w:szCs w:val="24"/>
          <w:rtl/>
        </w:rPr>
        <w:t>, 2020). فالتحول الرقمي في جوهره برنامج تغيير تنظيمي شامل يهدف للمواءمة بين المكونات الثقافية والعملياتية والتكنولوجية لضمان عدم تضخيم العيوب الإدارية القائمة من خلال الرقمنة العشوائية (</w:t>
      </w:r>
      <w:r>
        <w:rPr>
          <w:rFonts w:ascii="Traditional Arabic" w:hAnsi="Traditional Arabic" w:cs="Traditional Arabic"/>
          <w:sz w:val="24"/>
          <w:szCs w:val="24"/>
        </w:rPr>
        <w:t>Nijhum</w:t>
      </w:r>
      <w:r>
        <w:rPr>
          <w:rFonts w:ascii="Traditional Arabic" w:hAnsi="Traditional Arabic" w:cs="Traditional Arabic"/>
          <w:sz w:val="24"/>
          <w:szCs w:val="24"/>
          <w:rtl/>
        </w:rPr>
        <w:t>, 2025).</w:t>
      </w:r>
    </w:p>
    <w:p w14:paraId="1AD75CD0" w14:textId="5F165721" w:rsidR="00D02E54"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وعلى صعيد السياق الوطني، أدركت المملكة العربية السعودية الأهمية البالغة لهذه التحولات، فجعلت الاقتصاد الرقمي القائم على البيانات والابتكار ركيزةً محوريةً في وثيقة رؤية المملكة 2030 (رؤية السعودية 2030، 2016). وتوّجت هذه الجهود بتأسيس الهيئة السعودية للبيانات والذكاء الاصطناعي (سدايا) لتكون المرجعَ الوطني لتنظيم هذا القطاع وتطويره. وفي سبتمبر 2024، خلال القمة العالمية للذكاء الاصطناعي (</w:t>
      </w:r>
      <w:r>
        <w:rPr>
          <w:rFonts w:ascii="Traditional Arabic" w:hAnsi="Traditional Arabic" w:cs="Traditional Arabic"/>
          <w:sz w:val="24"/>
          <w:szCs w:val="24"/>
        </w:rPr>
        <w:t>GAIN</w:t>
      </w:r>
      <w:r>
        <w:rPr>
          <w:rFonts w:ascii="Traditional Arabic" w:hAnsi="Traditional Arabic" w:cs="Traditional Arabic"/>
          <w:sz w:val="24"/>
          <w:szCs w:val="24"/>
          <w:rtl/>
        </w:rPr>
        <w:t>) في نسختها الثالثة، أطلقت سدايا "إطار تبني الذكاء الاصطناعي" لتقديم خريطة طريق استراتيجية تُمكّن الجهاتِ من تأسيس وحدات ذكاء اصطناعي متخصصة، وتقييم جاهزيتها عبر أربعة مستويات نضج هي: الناشئ، والمتطور، والمحترف، والمتقدم (الهيئة السعودية للبيانات والذكاء الاصطناعي [سدايا]، 2024).</w:t>
      </w:r>
    </w:p>
    <w:p w14:paraId="54E73C95" w14:textId="77777777" w:rsidR="008615C2"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xml:space="preserve">وفي سياق هذه التحولات الهيكلية، يمر القطاع غير الربحي في المملكة بمرحلة تحول تنظيمي هائل تحت إشراف المركز الوطني لتنمية القطاع غير الربحي، هادفاً للانتقال من الممارسات الرعوية التقليدية إلى الاستدامة التنموية الشاملة (المركز الوطني لتنمية القطاع غير الربحي، 2024). وتتجه هذه المنظمات بشكل متزايد نحو تبني حلول الذكاء الاصطناعي لتحسين كفاءة الإنفاق، وحوكمة الموارد، وتعزيز الثقة والشفافية مع الشركاء </w:t>
      </w:r>
      <w:r>
        <w:rPr>
          <w:rFonts w:ascii="Traditional Arabic" w:hAnsi="Traditional Arabic" w:cs="Traditional Arabic"/>
          <w:sz w:val="24"/>
          <w:szCs w:val="24"/>
          <w:rtl/>
        </w:rPr>
        <w:lastRenderedPageBreak/>
        <w:t>والمانحين (القرعاوي، 2022). من هنا، تأتي هذه الدراسة لتبني نموذجاً هيكلياً يربط بين تبني الذكاء الاصطناعي كمتغير مستقل، وجودة القرار الإداري كمتغير تابع، عبر دراسة الدور الوسيط للنضج الرقمي داخل بيئة منظمات القطاع غير الربحي في المملكة العربية السعودية.</w:t>
      </w:r>
    </w:p>
    <w:p w14:paraId="5418014C" w14:textId="77777777" w:rsidR="00A109ED" w:rsidRPr="005F5C76" w:rsidRDefault="00A109ED"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p>
    <w:p w14:paraId="558FA49C" w14:textId="4A5699E2" w:rsidR="008615C2" w:rsidRPr="005F5C76" w:rsidRDefault="00000000" w:rsidP="00A109ED">
      <w:pPr>
        <w:pStyle w:val="2"/>
        <w:bidi/>
        <w:spacing w:before="0" w:after="0"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2-1: مشكلة الدراسة</w:t>
      </w:r>
      <w:r>
        <w:rPr>
          <w:rFonts w:ascii="Traditional Arabic" w:hAnsi="Traditional Arabic" w:cs="Traditional Arabic" w:hint="cs"/>
          <w:sz w:val="32"/>
          <w:szCs w:val="32"/>
          <w:rtl/>
        </w:rPr>
        <w:t>:</w:t>
      </w:r>
    </w:p>
    <w:p w14:paraId="02AACA52"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تعمل منظمات القطاع غير الربحي السعودي في بيئة تشريعية وتنموية متسارعة تفرض عليها الالتزامَ التام بمعايير الحوكمة والشفافية والتميز المؤسسي تماشياً مع مستهدفات رؤية 2030 (المركز الوطني لتنمية القطاع غير الربحي، 2024). وبالرغم من تسارع وتيرة تبني تطبيقات الذكاء الاصطناعي في العمليات الإدارية، إلا أن هناك فجوةً تنظيمية وعملياتية تحول دون تحقيق العائد الفعلي من هذه الاستثمارات التقنية؛ إذ تعاني كثير من المنظمات من تشتت البيانات بين ملفات وجداول متعددة، وبطء إجراءات العمل الداخلي، والتركيز على اقتناء الأداة التقنية ذاتها كبديل للمفهوم الشامل للتحول الرقمي (حكمي وآخرون، 2022).</w:t>
      </w:r>
    </w:p>
    <w:p w14:paraId="6D205080" w14:textId="72461BEF"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وتزداد إشكالية الدراسة عمقاً مع فرض "نظام حماية البيانات الشخصية" (</w:t>
      </w:r>
      <w:r>
        <w:rPr>
          <w:rFonts w:ascii="Traditional Arabic" w:hAnsi="Traditional Arabic" w:cs="Traditional Arabic"/>
          <w:sz w:val="24"/>
          <w:szCs w:val="24"/>
        </w:rPr>
        <w:t>PDPL</w:t>
      </w:r>
      <w:r>
        <w:rPr>
          <w:rFonts w:ascii="Traditional Arabic" w:hAnsi="Traditional Arabic" w:cs="Traditional Arabic"/>
          <w:sz w:val="24"/>
          <w:szCs w:val="24"/>
          <w:rtl/>
        </w:rPr>
        <w:t>) واللوائح التنفيذية الصادرة عنه من قِبَل سدايا عام 2024، والتي تُلزم الكيانات كافةً بحوكمة معالجة البيانات، وإخفاء الهوية الرقمية للمستفيدين، وتطبيق مبدأ "البيانات الأقل تكفي"، مع فرض عقوبات صارمة في حالات تسريب بيانات الفئات الحساسة (الهيئة السعودية للبيانات والذكاء الاصطناعي [سدايا]، 2024). هذا الواقع التشريعي يتطلب من القيادات الإدارية اتخاذ قرارات حاسمة مبنية على البيانات والتحليلات الدقيقة مع الالتزام التام بالضوابط الأخلاقية والقانونية للأمن السيبراني، وهو ما لا يمكن تحقيقه إلا بوجود قاعدة متينة من النضج الرقمي (الشبعاني، 2025).</w:t>
      </w:r>
    </w:p>
    <w:p w14:paraId="0BBD3EDC"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إن المشكلة الحقيقية تكمن في غياب الفهم الواضح لآلية تأثير تبني الذكاء الاصطناعي على جودة القرارات الإدارية، وبشكل خاص الدورِ الذي يلعبه النضج الرقمي كمتغير وسيط في تفسير هذه العلاقة داخل منظمات القطاع الثالث السعودي. فالتبني التقني بدون نضج تنظيمي وثقافة مرنة تدعم الابتكار قد يؤدي إلى نتائج سلبية وتراجع في الكفاءة التشغيلية (</w:t>
      </w:r>
      <w:r>
        <w:rPr>
          <w:rFonts w:ascii="Traditional Arabic" w:hAnsi="Traditional Arabic" w:cs="Traditional Arabic"/>
          <w:sz w:val="24"/>
          <w:szCs w:val="24"/>
        </w:rPr>
        <w:t>Nijhum, 2025; Kozanoglu &amp; Abedin</w:t>
      </w:r>
      <w:r>
        <w:rPr>
          <w:rFonts w:ascii="Traditional Arabic" w:hAnsi="Traditional Arabic" w:cs="Traditional Arabic"/>
          <w:sz w:val="24"/>
          <w:szCs w:val="24"/>
          <w:rtl/>
        </w:rPr>
        <w:t>, 2023).</w:t>
      </w:r>
    </w:p>
    <w:p w14:paraId="3500F0ED" w14:textId="77777777" w:rsidR="00D02E54" w:rsidRPr="005F5C76" w:rsidRDefault="00D02E54" w:rsidP="00A109ED">
      <w:pPr>
        <w:pBdr>
          <w:top w:val="nil"/>
          <w:left w:val="nil"/>
          <w:bottom w:val="nil"/>
          <w:right w:val="nil"/>
          <w:between w:val="nil"/>
        </w:pBdr>
        <w:bidi/>
        <w:spacing w:line="360" w:lineRule="auto"/>
        <w:jc w:val="both"/>
        <w:rPr>
          <w:rFonts w:ascii="Traditional Arabic" w:hAnsi="Traditional Arabic" w:cs="Traditional Arabic"/>
          <w:sz w:val="24"/>
          <w:szCs w:val="24"/>
        </w:rPr>
      </w:pPr>
    </w:p>
    <w:p w14:paraId="762127CE" w14:textId="77777777" w:rsidR="008615C2" w:rsidRPr="00A109ED" w:rsidRDefault="00000000" w:rsidP="00A109ED">
      <w:pPr>
        <w:pBdr>
          <w:top w:val="nil"/>
          <w:left w:val="nil"/>
          <w:bottom w:val="nil"/>
          <w:right w:val="nil"/>
          <w:between w:val="nil"/>
        </w:pBdr>
        <w:bidi/>
        <w:spacing w:line="360" w:lineRule="auto"/>
        <w:jc w:val="both"/>
        <w:rPr>
          <w:rFonts w:ascii="Traditional Arabic" w:hAnsi="Traditional Arabic" w:cs="Traditional Arabic"/>
          <w:b/>
          <w:bCs/>
          <w:sz w:val="24"/>
          <w:szCs w:val="24"/>
        </w:rPr>
      </w:pPr>
      <w:r>
        <w:rPr>
          <w:rFonts w:ascii="Traditional Arabic" w:hAnsi="Traditional Arabic" w:cs="Traditional Arabic"/>
          <w:b/>
          <w:bCs/>
          <w:sz w:val="24"/>
          <w:szCs w:val="24"/>
          <w:rtl/>
        </w:rPr>
        <w:t>ولصياغة هذه المشكلة صياغةً علمية تسد الفجوة المعرفية، تمت مراجعة الأدبيات السابقة ومقارنتها بالدراسة الحالية كما يوضح الجدول (1-1):</w:t>
      </w:r>
    </w:p>
    <w:p w14:paraId="7100F847" w14:textId="00277DC2" w:rsidR="008615C2" w:rsidRPr="005F5C76" w:rsidRDefault="00000000" w:rsidP="00A109ED">
      <w:pPr>
        <w:pStyle w:val="3"/>
        <w:bidi/>
        <w:spacing w:before="0" w:after="0" w:line="360" w:lineRule="auto"/>
        <w:jc w:val="both"/>
        <w:rPr>
          <w:rFonts w:ascii="Traditional Arabic" w:hAnsi="Traditional Arabic" w:cs="Traditional Arabic"/>
          <w:b w:val="0"/>
          <w:bCs w:val="0"/>
          <w:sz w:val="24"/>
          <w:szCs w:val="24"/>
        </w:rPr>
      </w:pPr>
      <w:r>
        <w:rPr>
          <w:rFonts w:ascii="Traditional Arabic" w:hAnsi="Traditional Arabic" w:cs="Traditional Arabic"/>
          <w:b w:val="0"/>
          <w:bCs w:val="0"/>
          <w:sz w:val="24"/>
          <w:szCs w:val="24"/>
          <w:rtl/>
        </w:rPr>
        <w:t>جدول (1-1): تحليل الفجوة البحثية بين الدراسات السابقة والدراسة الحالية</w:t>
      </w:r>
    </w:p>
    <w:tbl>
      <w:tblPr>
        <w:tblStyle w:val="a5"/>
        <w:bidiVisual/>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8615C2" w:rsidRPr="008048E3" w14:paraId="181DF7A4" w14:textId="77777777" w:rsidTr="00B25B81">
        <w:trPr>
          <w:tblHeader/>
        </w:trPr>
        <w:tc>
          <w:tcPr>
            <w:tcW w:w="2340" w:type="dxa"/>
            <w:tcMar>
              <w:top w:w="0" w:type="dxa"/>
              <w:left w:w="0" w:type="dxa"/>
              <w:bottom w:w="0" w:type="dxa"/>
              <w:right w:w="0" w:type="dxa"/>
            </w:tcMar>
            <w:vAlign w:val="center"/>
          </w:tcPr>
          <w:p w14:paraId="4D41B1F4"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الباحث والسنة</w:t>
            </w:r>
          </w:p>
        </w:tc>
        <w:tc>
          <w:tcPr>
            <w:tcW w:w="2340" w:type="dxa"/>
            <w:tcMar>
              <w:top w:w="0" w:type="dxa"/>
              <w:left w:w="0" w:type="dxa"/>
              <w:bottom w:w="0" w:type="dxa"/>
              <w:right w:w="0" w:type="dxa"/>
            </w:tcMar>
            <w:vAlign w:val="center"/>
          </w:tcPr>
          <w:p w14:paraId="6C54C8B6"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b/>
                <w:bCs/>
                <w:sz w:val="24"/>
                <w:szCs w:val="24"/>
              </w:rPr>
            </w:pPr>
            <w:r>
              <w:rPr>
                <w:rFonts w:ascii="Traditional Arabic" w:hAnsi="Traditional Arabic" w:cs="Traditional Arabic"/>
                <w:b/>
                <w:bCs/>
                <w:sz w:val="24"/>
                <w:szCs w:val="24"/>
                <w:rtl/>
              </w:rPr>
              <w:t>متغيرات الدراسة والسياق التطبيقي</w:t>
            </w:r>
          </w:p>
        </w:tc>
        <w:tc>
          <w:tcPr>
            <w:tcW w:w="2340" w:type="dxa"/>
            <w:tcMar>
              <w:top w:w="0" w:type="dxa"/>
              <w:left w:w="0" w:type="dxa"/>
              <w:bottom w:w="0" w:type="dxa"/>
              <w:right w:w="0" w:type="dxa"/>
            </w:tcMar>
            <w:vAlign w:val="center"/>
          </w:tcPr>
          <w:p w14:paraId="0BA4DD9D"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b/>
                <w:bCs/>
                <w:sz w:val="24"/>
                <w:szCs w:val="24"/>
              </w:rPr>
            </w:pPr>
            <w:r>
              <w:rPr>
                <w:rFonts w:ascii="Traditional Arabic" w:hAnsi="Traditional Arabic" w:cs="Traditional Arabic"/>
                <w:b/>
                <w:bCs/>
                <w:sz w:val="24"/>
                <w:szCs w:val="24"/>
                <w:rtl/>
              </w:rPr>
              <w:t>أهم النتائج التي تم التوصل إليها</w:t>
            </w:r>
          </w:p>
        </w:tc>
        <w:tc>
          <w:tcPr>
            <w:tcW w:w="2340" w:type="dxa"/>
            <w:tcMar>
              <w:top w:w="0" w:type="dxa"/>
              <w:left w:w="0" w:type="dxa"/>
              <w:bottom w:w="0" w:type="dxa"/>
              <w:right w:w="0" w:type="dxa"/>
            </w:tcMar>
            <w:vAlign w:val="center"/>
          </w:tcPr>
          <w:p w14:paraId="4ED68E4D"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b/>
                <w:bCs/>
                <w:sz w:val="24"/>
                <w:szCs w:val="24"/>
              </w:rPr>
            </w:pPr>
            <w:r>
              <w:rPr>
                <w:rFonts w:ascii="Traditional Arabic" w:hAnsi="Traditional Arabic" w:cs="Traditional Arabic"/>
                <w:b/>
                <w:bCs/>
                <w:sz w:val="24"/>
                <w:szCs w:val="24"/>
                <w:rtl/>
              </w:rPr>
              <w:t>الفجوة البحثية ومساهمة الدراسة الحالية</w:t>
            </w:r>
          </w:p>
        </w:tc>
      </w:tr>
      <w:tr w:rsidR="008615C2" w:rsidRPr="008048E3" w14:paraId="1C5B6649" w14:textId="77777777" w:rsidTr="00B25B81">
        <w:tc>
          <w:tcPr>
            <w:tcW w:w="2340" w:type="dxa"/>
            <w:tcMar>
              <w:top w:w="0" w:type="dxa"/>
              <w:left w:w="0" w:type="dxa"/>
              <w:bottom w:w="0" w:type="dxa"/>
              <w:right w:w="0" w:type="dxa"/>
            </w:tcMar>
            <w:vAlign w:val="center"/>
          </w:tcPr>
          <w:p w14:paraId="50B215FC"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sz w:val="24"/>
                <w:szCs w:val="24"/>
              </w:rPr>
            </w:pPr>
            <w:r>
              <w:rPr>
                <w:rFonts w:ascii="Traditional Arabic" w:hAnsi="Traditional Arabic" w:cs="Traditional Arabic"/>
                <w:sz w:val="24"/>
                <w:szCs w:val="24"/>
                <w:rtl/>
              </w:rPr>
              <w:t>السلمان (2024)</w:t>
            </w:r>
          </w:p>
        </w:tc>
        <w:tc>
          <w:tcPr>
            <w:tcW w:w="2340" w:type="dxa"/>
            <w:tcMar>
              <w:top w:w="0" w:type="dxa"/>
              <w:left w:w="0" w:type="dxa"/>
              <w:bottom w:w="0" w:type="dxa"/>
              <w:right w:w="0" w:type="dxa"/>
            </w:tcMar>
            <w:vAlign w:val="center"/>
          </w:tcPr>
          <w:p w14:paraId="5B02425B"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 xml:space="preserve">الذكاء الاصطناعي وصنع القرارات </w:t>
            </w:r>
            <w:r>
              <w:rPr>
                <w:rFonts w:ascii="Traditional Arabic" w:hAnsi="Traditional Arabic" w:cs="Traditional Arabic"/>
                <w:sz w:val="24"/>
                <w:szCs w:val="24"/>
                <w:rtl/>
              </w:rPr>
              <w:lastRenderedPageBreak/>
              <w:t>الاستراتيجية في الجامعات السعودية.</w:t>
            </w:r>
          </w:p>
        </w:tc>
        <w:tc>
          <w:tcPr>
            <w:tcW w:w="2340" w:type="dxa"/>
            <w:tcMar>
              <w:top w:w="0" w:type="dxa"/>
              <w:left w:w="0" w:type="dxa"/>
              <w:bottom w:w="0" w:type="dxa"/>
              <w:right w:w="0" w:type="dxa"/>
            </w:tcMar>
            <w:vAlign w:val="center"/>
          </w:tcPr>
          <w:p w14:paraId="00B886C9"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lastRenderedPageBreak/>
              <w:t xml:space="preserve">تتيح أدوات الذكاء الاصطناعي </w:t>
            </w:r>
            <w:r>
              <w:rPr>
                <w:rFonts w:ascii="Traditional Arabic" w:hAnsi="Traditional Arabic" w:cs="Traditional Arabic"/>
                <w:sz w:val="24"/>
                <w:szCs w:val="24"/>
                <w:rtl/>
              </w:rPr>
              <w:lastRenderedPageBreak/>
              <w:t>استشراف التوجهات وصنع قرارات دقيقة وتحسين الأداء المؤسسي.</w:t>
            </w:r>
          </w:p>
        </w:tc>
        <w:tc>
          <w:tcPr>
            <w:tcW w:w="2340" w:type="dxa"/>
            <w:tcMar>
              <w:top w:w="0" w:type="dxa"/>
              <w:left w:w="0" w:type="dxa"/>
              <w:bottom w:w="0" w:type="dxa"/>
              <w:right w:w="0" w:type="dxa"/>
            </w:tcMar>
            <w:vAlign w:val="center"/>
          </w:tcPr>
          <w:p w14:paraId="42178BCF"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lastRenderedPageBreak/>
              <w:t xml:space="preserve">اقتصرت على البيئة الأكاديمية </w:t>
            </w:r>
            <w:r>
              <w:rPr>
                <w:rFonts w:ascii="Traditional Arabic" w:hAnsi="Traditional Arabic" w:cs="Traditional Arabic"/>
                <w:sz w:val="24"/>
                <w:szCs w:val="24"/>
                <w:rtl/>
              </w:rPr>
              <w:lastRenderedPageBreak/>
              <w:t>وقياس التأثير المباشر، بينما تركز الدراسة الحالية على منظمات القطاع الثالث وتُدخل النضج الرقمي متغيراً وسيطاً.</w:t>
            </w:r>
          </w:p>
        </w:tc>
      </w:tr>
      <w:tr w:rsidR="008615C2" w:rsidRPr="008048E3" w14:paraId="3DDED36D" w14:textId="77777777" w:rsidTr="00B25B81">
        <w:tc>
          <w:tcPr>
            <w:tcW w:w="2340" w:type="dxa"/>
            <w:tcMar>
              <w:top w:w="0" w:type="dxa"/>
              <w:left w:w="0" w:type="dxa"/>
              <w:bottom w:w="0" w:type="dxa"/>
              <w:right w:w="0" w:type="dxa"/>
            </w:tcMar>
            <w:vAlign w:val="center"/>
          </w:tcPr>
          <w:p w14:paraId="796FB48A"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sz w:val="24"/>
                <w:szCs w:val="24"/>
              </w:rPr>
            </w:pPr>
            <w:r>
              <w:rPr>
                <w:rFonts w:ascii="Traditional Arabic" w:hAnsi="Traditional Arabic" w:cs="Traditional Arabic"/>
                <w:sz w:val="24"/>
                <w:szCs w:val="24"/>
                <w:rtl/>
              </w:rPr>
              <w:lastRenderedPageBreak/>
              <w:t>آل عزام وابن ظفرة (2023)</w:t>
            </w:r>
          </w:p>
        </w:tc>
        <w:tc>
          <w:tcPr>
            <w:tcW w:w="2340" w:type="dxa"/>
            <w:tcMar>
              <w:top w:w="0" w:type="dxa"/>
              <w:left w:w="0" w:type="dxa"/>
              <w:bottom w:w="0" w:type="dxa"/>
              <w:right w:w="0" w:type="dxa"/>
            </w:tcMar>
            <w:vAlign w:val="center"/>
          </w:tcPr>
          <w:p w14:paraId="4D6E10E9"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أثر تطبيق الذكاء الاصطناعي على جودة اتخاذ القرارات في إمارة منطقة عسير.</w:t>
            </w:r>
          </w:p>
        </w:tc>
        <w:tc>
          <w:tcPr>
            <w:tcW w:w="2340" w:type="dxa"/>
            <w:tcMar>
              <w:top w:w="0" w:type="dxa"/>
              <w:left w:w="0" w:type="dxa"/>
              <w:bottom w:w="0" w:type="dxa"/>
              <w:right w:w="0" w:type="dxa"/>
            </w:tcMar>
            <w:vAlign w:val="center"/>
          </w:tcPr>
          <w:p w14:paraId="128BA160"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وجود أثر إيجابي مباشر لتطبيقات الذكاء الاصطناعي في جودة القرارات وسرعتها وفاعليتها الميدانية.</w:t>
            </w:r>
          </w:p>
        </w:tc>
        <w:tc>
          <w:tcPr>
            <w:tcW w:w="2340" w:type="dxa"/>
            <w:tcMar>
              <w:top w:w="0" w:type="dxa"/>
              <w:left w:w="0" w:type="dxa"/>
              <w:bottom w:w="0" w:type="dxa"/>
              <w:right w:w="0" w:type="dxa"/>
            </w:tcMar>
            <w:vAlign w:val="center"/>
          </w:tcPr>
          <w:p w14:paraId="11BA947A"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ركزت على البيئة الحكومية المحلية وإجراءات الإدارة الإقليمية، بينما تركز الدراسة الحالية على منظمات القطاع غير الربحي التنموية.</w:t>
            </w:r>
          </w:p>
        </w:tc>
      </w:tr>
      <w:tr w:rsidR="008615C2" w:rsidRPr="008048E3" w14:paraId="7ABDCE59" w14:textId="77777777" w:rsidTr="00B25B81">
        <w:tc>
          <w:tcPr>
            <w:tcW w:w="2340" w:type="dxa"/>
            <w:tcMar>
              <w:top w:w="0" w:type="dxa"/>
              <w:left w:w="0" w:type="dxa"/>
              <w:bottom w:w="0" w:type="dxa"/>
              <w:right w:w="0" w:type="dxa"/>
            </w:tcMar>
            <w:vAlign w:val="center"/>
          </w:tcPr>
          <w:p w14:paraId="2861E4E6"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sz w:val="24"/>
                <w:szCs w:val="24"/>
              </w:rPr>
            </w:pPr>
            <w:r>
              <w:rPr>
                <w:rFonts w:ascii="Traditional Arabic" w:hAnsi="Traditional Arabic" w:cs="Traditional Arabic"/>
                <w:sz w:val="24"/>
                <w:szCs w:val="24"/>
                <w:rtl/>
              </w:rPr>
              <w:t>مكرمي وآخرون (2023)</w:t>
            </w:r>
          </w:p>
        </w:tc>
        <w:tc>
          <w:tcPr>
            <w:tcW w:w="2340" w:type="dxa"/>
            <w:tcMar>
              <w:top w:w="0" w:type="dxa"/>
              <w:left w:w="0" w:type="dxa"/>
              <w:bottom w:w="0" w:type="dxa"/>
              <w:right w:w="0" w:type="dxa"/>
            </w:tcMar>
            <w:vAlign w:val="center"/>
          </w:tcPr>
          <w:p w14:paraId="4E971F66"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أثر الذكاء الاصطناعي على جودة اتخاذ القرار في المستشفيات الحكومية السعودية.</w:t>
            </w:r>
          </w:p>
        </w:tc>
        <w:tc>
          <w:tcPr>
            <w:tcW w:w="2340" w:type="dxa"/>
            <w:tcMar>
              <w:top w:w="0" w:type="dxa"/>
              <w:left w:w="0" w:type="dxa"/>
              <w:bottom w:w="0" w:type="dxa"/>
              <w:right w:w="0" w:type="dxa"/>
            </w:tcMar>
            <w:vAlign w:val="center"/>
          </w:tcPr>
          <w:p w14:paraId="169C6FB6"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وجود نتائج إيجابية ملموسة في سرعة القرارات شريطة توفر الجاهزية التنظيمية.</w:t>
            </w:r>
          </w:p>
        </w:tc>
        <w:tc>
          <w:tcPr>
            <w:tcW w:w="2340" w:type="dxa"/>
            <w:tcMar>
              <w:top w:w="0" w:type="dxa"/>
              <w:left w:w="0" w:type="dxa"/>
              <w:bottom w:w="0" w:type="dxa"/>
              <w:right w:w="0" w:type="dxa"/>
            </w:tcMar>
            <w:vAlign w:val="center"/>
          </w:tcPr>
          <w:p w14:paraId="0A7662ED"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ركزت على الرعاية الصحية والقرارات الطبية، بينما تركز الدراسة الحالية على القرارات الإدارية بالجمعيات الأهلية.</w:t>
            </w:r>
          </w:p>
        </w:tc>
      </w:tr>
      <w:tr w:rsidR="008615C2" w:rsidRPr="008048E3" w14:paraId="04080153" w14:textId="77777777" w:rsidTr="00B25B81">
        <w:tc>
          <w:tcPr>
            <w:tcW w:w="2340" w:type="dxa"/>
            <w:tcMar>
              <w:top w:w="0" w:type="dxa"/>
              <w:left w:w="0" w:type="dxa"/>
              <w:bottom w:w="0" w:type="dxa"/>
              <w:right w:w="0" w:type="dxa"/>
            </w:tcMar>
            <w:vAlign w:val="center"/>
          </w:tcPr>
          <w:p w14:paraId="5EA22BA2"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sz w:val="24"/>
                <w:szCs w:val="24"/>
              </w:rPr>
            </w:pPr>
            <w:r>
              <w:rPr>
                <w:rFonts w:ascii="Traditional Arabic" w:hAnsi="Traditional Arabic" w:cs="Traditional Arabic"/>
                <w:sz w:val="24"/>
                <w:szCs w:val="24"/>
              </w:rPr>
              <w:t>Tubis (2023)</w:t>
            </w:r>
          </w:p>
        </w:tc>
        <w:tc>
          <w:tcPr>
            <w:tcW w:w="2340" w:type="dxa"/>
            <w:tcMar>
              <w:top w:w="0" w:type="dxa"/>
              <w:left w:w="0" w:type="dxa"/>
              <w:bottom w:w="0" w:type="dxa"/>
              <w:right w:w="0" w:type="dxa"/>
            </w:tcMar>
            <w:vAlign w:val="center"/>
          </w:tcPr>
          <w:p w14:paraId="0E70D712"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بناء نموذج لتقييم النضج الرقمي التنظيمي والعملياتي.</w:t>
            </w:r>
          </w:p>
        </w:tc>
        <w:tc>
          <w:tcPr>
            <w:tcW w:w="2340" w:type="dxa"/>
            <w:tcMar>
              <w:top w:w="0" w:type="dxa"/>
              <w:left w:w="0" w:type="dxa"/>
              <w:bottom w:w="0" w:type="dxa"/>
              <w:right w:w="0" w:type="dxa"/>
            </w:tcMar>
            <w:vAlign w:val="center"/>
          </w:tcPr>
          <w:p w14:paraId="19F792A0"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الثقافة الرقمية والالتزام بحوكمة واضحة هما الأقدر على دعم استكمال التحول الرقمي.</w:t>
            </w:r>
          </w:p>
        </w:tc>
        <w:tc>
          <w:tcPr>
            <w:tcW w:w="2340" w:type="dxa"/>
            <w:tcMar>
              <w:top w:w="0" w:type="dxa"/>
              <w:left w:w="0" w:type="dxa"/>
              <w:bottom w:w="0" w:type="dxa"/>
              <w:right w:w="0" w:type="dxa"/>
            </w:tcMar>
            <w:vAlign w:val="center"/>
          </w:tcPr>
          <w:p w14:paraId="49C0C9BC"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ركزت على البناء الوصفي لنموذج عام، بينما تختبر الدراسة الحالية النضج الرقمي وسيطاً في نموذج هيكلي كمي مركب.</w:t>
            </w:r>
          </w:p>
        </w:tc>
      </w:tr>
      <w:tr w:rsidR="008615C2" w:rsidRPr="008048E3" w14:paraId="6971C720" w14:textId="77777777" w:rsidTr="00B25B81">
        <w:tc>
          <w:tcPr>
            <w:tcW w:w="2340" w:type="dxa"/>
            <w:tcMar>
              <w:top w:w="0" w:type="dxa"/>
              <w:left w:w="0" w:type="dxa"/>
              <w:bottom w:w="0" w:type="dxa"/>
              <w:right w:w="0" w:type="dxa"/>
            </w:tcMar>
            <w:vAlign w:val="center"/>
          </w:tcPr>
          <w:p w14:paraId="42278054"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sz w:val="24"/>
                <w:szCs w:val="24"/>
              </w:rPr>
            </w:pPr>
            <w:r>
              <w:rPr>
                <w:rFonts w:ascii="Traditional Arabic" w:hAnsi="Traditional Arabic" w:cs="Traditional Arabic"/>
                <w:sz w:val="24"/>
                <w:szCs w:val="24"/>
              </w:rPr>
              <w:t>Nijhum (2025)</w:t>
            </w:r>
          </w:p>
        </w:tc>
        <w:tc>
          <w:tcPr>
            <w:tcW w:w="2340" w:type="dxa"/>
            <w:tcMar>
              <w:top w:w="0" w:type="dxa"/>
              <w:left w:w="0" w:type="dxa"/>
              <w:bottom w:w="0" w:type="dxa"/>
              <w:right w:w="0" w:type="dxa"/>
            </w:tcMar>
            <w:vAlign w:val="center"/>
          </w:tcPr>
          <w:p w14:paraId="0072F2AE"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تأثير الذكاء الاصطناعي والنضج الرقمي على كفاءة القرارات في الشركات الدولية.</w:t>
            </w:r>
          </w:p>
        </w:tc>
        <w:tc>
          <w:tcPr>
            <w:tcW w:w="2340" w:type="dxa"/>
            <w:tcMar>
              <w:top w:w="0" w:type="dxa"/>
              <w:left w:w="0" w:type="dxa"/>
              <w:bottom w:w="0" w:type="dxa"/>
              <w:right w:w="0" w:type="dxa"/>
            </w:tcMar>
            <w:vAlign w:val="center"/>
          </w:tcPr>
          <w:p w14:paraId="54D4C0B8"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النضج الرقمي يمثل المحرك الأساسي الذي يعزز مسار العلاقة ويعدّله بقوة.</w:t>
            </w:r>
          </w:p>
        </w:tc>
        <w:tc>
          <w:tcPr>
            <w:tcW w:w="2340" w:type="dxa"/>
            <w:tcMar>
              <w:top w:w="0" w:type="dxa"/>
              <w:left w:w="0" w:type="dxa"/>
              <w:bottom w:w="0" w:type="dxa"/>
              <w:right w:w="0" w:type="dxa"/>
            </w:tcMar>
            <w:vAlign w:val="center"/>
          </w:tcPr>
          <w:p w14:paraId="00F245F0"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طُبّقت على منظمات ربحية تسعى لتعظيم الأرباح، بينما تختبر الدراسة الحالية النموذج في منظمات تسعى لتعظيم الأثر الاجتماعي بموارد محدودة.</w:t>
            </w:r>
          </w:p>
        </w:tc>
      </w:tr>
      <w:tr w:rsidR="008615C2" w:rsidRPr="008048E3" w14:paraId="76BD7518" w14:textId="77777777" w:rsidTr="00B25B81">
        <w:tc>
          <w:tcPr>
            <w:tcW w:w="2340" w:type="dxa"/>
            <w:tcMar>
              <w:top w:w="0" w:type="dxa"/>
              <w:left w:w="0" w:type="dxa"/>
              <w:bottom w:w="0" w:type="dxa"/>
              <w:right w:w="0" w:type="dxa"/>
            </w:tcMar>
            <w:vAlign w:val="center"/>
          </w:tcPr>
          <w:p w14:paraId="4CF106A5" w14:textId="77777777" w:rsidR="008615C2" w:rsidRPr="008048E3" w:rsidRDefault="00000000" w:rsidP="00A109ED">
            <w:pPr>
              <w:pBdr>
                <w:top w:val="nil"/>
                <w:left w:val="nil"/>
                <w:bottom w:val="nil"/>
                <w:right w:val="nil"/>
                <w:between w:val="nil"/>
              </w:pBdr>
              <w:bidi/>
              <w:jc w:val="center"/>
              <w:rPr>
                <w:rFonts w:ascii="Traditional Arabic" w:hAnsi="Traditional Arabic" w:cs="Traditional Arabic"/>
                <w:sz w:val="24"/>
                <w:szCs w:val="24"/>
              </w:rPr>
            </w:pPr>
            <w:r>
              <w:rPr>
                <w:rFonts w:ascii="Traditional Arabic" w:hAnsi="Traditional Arabic" w:cs="Traditional Arabic"/>
                <w:sz w:val="24"/>
                <w:szCs w:val="24"/>
                <w:rtl/>
              </w:rPr>
              <w:t>أبو غبن والمدهون (2023)</w:t>
            </w:r>
          </w:p>
        </w:tc>
        <w:tc>
          <w:tcPr>
            <w:tcW w:w="2340" w:type="dxa"/>
            <w:tcMar>
              <w:top w:w="0" w:type="dxa"/>
              <w:left w:w="0" w:type="dxa"/>
              <w:bottom w:w="0" w:type="dxa"/>
              <w:right w:w="0" w:type="dxa"/>
            </w:tcMar>
            <w:vAlign w:val="center"/>
          </w:tcPr>
          <w:p w14:paraId="5598BC16"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دور التحول الرقمي في تحقيق التميز المؤسسي بالتطبيق على العاملين في بلدية غزة.</w:t>
            </w:r>
          </w:p>
        </w:tc>
        <w:tc>
          <w:tcPr>
            <w:tcW w:w="2340" w:type="dxa"/>
            <w:tcMar>
              <w:top w:w="0" w:type="dxa"/>
              <w:left w:w="0" w:type="dxa"/>
              <w:bottom w:w="0" w:type="dxa"/>
              <w:right w:w="0" w:type="dxa"/>
            </w:tcMar>
            <w:vAlign w:val="center"/>
          </w:tcPr>
          <w:p w14:paraId="5F747128"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التحول الرقمي يسهم بفاعلية في رفع جودة الأداء المؤسسي وتقليل التكاليف.</w:t>
            </w:r>
          </w:p>
        </w:tc>
        <w:tc>
          <w:tcPr>
            <w:tcW w:w="2340" w:type="dxa"/>
            <w:tcMar>
              <w:top w:w="0" w:type="dxa"/>
              <w:left w:w="0" w:type="dxa"/>
              <w:bottom w:w="0" w:type="dxa"/>
              <w:right w:w="0" w:type="dxa"/>
            </w:tcMar>
            <w:vAlign w:val="center"/>
          </w:tcPr>
          <w:p w14:paraId="1125EB38" w14:textId="77777777" w:rsidR="008615C2" w:rsidRPr="008048E3"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ركزت على الخدمات البلدية المحلية، بينما تبحث الدراسة الحالية في جودة القرار الإداري للجمعيات الأهلية لضمان الاستدامة المالية والتنموية.</w:t>
            </w:r>
          </w:p>
        </w:tc>
      </w:tr>
    </w:tbl>
    <w:p w14:paraId="2D9D5B6E" w14:textId="77777777" w:rsidR="00D02E54" w:rsidRPr="005F5C76" w:rsidRDefault="00D02E54" w:rsidP="00A109ED">
      <w:pPr>
        <w:pBdr>
          <w:top w:val="nil"/>
          <w:left w:val="nil"/>
          <w:bottom w:val="nil"/>
          <w:right w:val="nil"/>
          <w:between w:val="nil"/>
        </w:pBdr>
        <w:bidi/>
        <w:spacing w:line="360" w:lineRule="auto"/>
        <w:jc w:val="both"/>
        <w:rPr>
          <w:rFonts w:ascii="Traditional Arabic" w:hAnsi="Traditional Arabic" w:cs="Traditional Arabic"/>
          <w:rtl/>
        </w:rPr>
      </w:pPr>
    </w:p>
    <w:p w14:paraId="5D420AEF" w14:textId="2EF950CC"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xml:space="preserve">يتضح من تحليل الأدبيات وجود فجوة معرفية وميدانية واضحة؛ إذ انصبت غالبية الدراسات على القطاعات الربحية أو الحكومية أو الصحية، واكتفت بقياس العلاقات المباشرة دون استكشاف دور الوسيط. وتتميز هذه الدراسة بسدّ هذه الفجوة من خلال تسليط الضوء حصرياً على الجمعيات والمؤسسات الأهلية السعودية الخاضعة لإشراف المركز الوطني لتنمية القطاع غير الربحي، مع اختبار النضج الرقمي متغيراً وسيطاً يفسّر </w:t>
      </w:r>
      <w:r>
        <w:rPr>
          <w:rFonts w:ascii="Traditional Arabic" w:hAnsi="Traditional Arabic" w:cs="Traditional Arabic"/>
          <w:sz w:val="24"/>
          <w:szCs w:val="24"/>
          <w:rtl/>
        </w:rPr>
        <w:lastRenderedPageBreak/>
        <w:t>ميكانيكية تأثير تبني الذكاء الاصطناعي في جودة القرار الإداري، وهو مسار نمذجة هيكلية متقدم لم ينل الاهتمامَ الكافي في البيئة العربية عموماً والسعودية على وجه الخصوص.</w:t>
      </w:r>
    </w:p>
    <w:p w14:paraId="49AA5E59" w14:textId="77777777" w:rsidR="008615C2"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بناءً على ما تقدّم، تتحدد مشكلة الدراسة في الإجابة عن التساؤل الرئيس الآتي: "ما هو الدور الوسيط للنضج الرقمي في تأثير تبني الذكاء الاصطناعي على جودة القرار الإداري في منظمات القطاع غير الربحي السعودي؟"</w:t>
      </w:r>
    </w:p>
    <w:p w14:paraId="65E2B362" w14:textId="77777777" w:rsidR="00A109ED" w:rsidRPr="005F5C76" w:rsidRDefault="00A109ED" w:rsidP="00A109ED">
      <w:pPr>
        <w:pBdr>
          <w:top w:val="nil"/>
          <w:left w:val="nil"/>
          <w:bottom w:val="nil"/>
          <w:right w:val="nil"/>
          <w:between w:val="nil"/>
        </w:pBdr>
        <w:bidi/>
        <w:spacing w:line="360" w:lineRule="auto"/>
        <w:jc w:val="both"/>
        <w:rPr>
          <w:rFonts w:ascii="Traditional Arabic" w:hAnsi="Traditional Arabic" w:cs="Traditional Arabic"/>
          <w:sz w:val="24"/>
          <w:szCs w:val="24"/>
        </w:rPr>
      </w:pPr>
    </w:p>
    <w:p w14:paraId="27F248E9"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ويتفرع من هذا التساؤل المحوري التساؤلات الفرعية الآتية:</w:t>
      </w:r>
    </w:p>
    <w:p w14:paraId="14E3DE8D" w14:textId="77777777" w:rsidR="008615C2" w:rsidRPr="005F5C76"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ما هو مستوى جودة القرار الإداري لدى القيادات في منظمات القطاع غير الربحي السعودي؟</w:t>
      </w:r>
    </w:p>
    <w:p w14:paraId="04DD7AC7" w14:textId="77777777" w:rsidR="008615C2" w:rsidRPr="005F5C76"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ما هو مستوى تبني تقنيات الذكاء الاصطناعي بأبعادها المختلفة (الاستراتيجية، الحوكمة، البيانات، البنية التحتية) في هذه المنظمات من وجهة نظر قياداتها الإدارية؟</w:t>
      </w:r>
    </w:p>
    <w:p w14:paraId="3FBBD692" w14:textId="77777777" w:rsidR="008615C2" w:rsidRPr="005F5C76"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ما هو مستوى النضج الرقمي التنظيمي بأبعاده (التكنولوجيا، الثقافة التنظيمية، العمليات، الرؤى) في منظمات القطاع غير الربحي السعودي؟</w:t>
      </w:r>
    </w:p>
    <w:p w14:paraId="2423744F" w14:textId="06A23C8E" w:rsidR="008615C2" w:rsidRPr="005F5C76"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هل يوجد تأثير مباشر ذو دلالة إحصائية لتبني الذكاء الاصطناعي على جودة القرار الإداري</w:t>
      </w:r>
      <w:r>
        <w:rPr>
          <w:rFonts w:ascii="Traditional Arabic" w:hAnsi="Traditional Arabic" w:cs="Traditional Arabic" w:hint="cs"/>
          <w:sz w:val="24"/>
          <w:szCs w:val="24"/>
          <w:rtl/>
        </w:rPr>
        <w:t xml:space="preserve"> </w:t>
      </w:r>
      <w:r>
        <w:rPr>
          <w:rFonts w:ascii="Traditional Arabic" w:hAnsi="Traditional Arabic" w:cs="Traditional Arabic"/>
          <w:sz w:val="24"/>
          <w:szCs w:val="24"/>
          <w:highlight w:val="yellow"/>
          <w:rtl/>
        </w:rPr>
        <w:t xml:space="preserve">في منظمات القطاع غير الربحي </w:t>
      </w:r>
      <w:r>
        <w:rPr>
          <w:rFonts w:ascii="Traditional Arabic" w:hAnsi="Traditional Arabic" w:cs="Traditional Arabic" w:hint="cs"/>
          <w:sz w:val="24"/>
          <w:szCs w:val="24"/>
          <w:highlight w:val="yellow"/>
          <w:rtl/>
        </w:rPr>
        <w:t>السعودي؟</w:t>
      </w:r>
    </w:p>
    <w:p w14:paraId="7F31C94C" w14:textId="4387A76C" w:rsidR="008615C2" w:rsidRPr="005F5C76"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هل يوجد تأثير مباشر ذو دلالة إحصائية لتبني الذكاء الاصطناعي على مستويات النضج الرقمي</w:t>
      </w:r>
      <w:r>
        <w:rPr>
          <w:rFonts w:ascii="Traditional Arabic" w:hAnsi="Traditional Arabic" w:cs="Traditional Arabic" w:hint="cs"/>
          <w:sz w:val="24"/>
          <w:szCs w:val="24"/>
          <w:rtl/>
        </w:rPr>
        <w:t xml:space="preserve"> </w:t>
      </w:r>
      <w:r>
        <w:rPr>
          <w:rFonts w:ascii="Traditional Arabic" w:hAnsi="Traditional Arabic" w:cs="Traditional Arabic"/>
          <w:sz w:val="24"/>
          <w:szCs w:val="24"/>
          <w:highlight w:val="yellow"/>
          <w:rtl/>
        </w:rPr>
        <w:t xml:space="preserve">في منظمات القطاع غير الربحي </w:t>
      </w:r>
      <w:r>
        <w:rPr>
          <w:rFonts w:ascii="Traditional Arabic" w:hAnsi="Traditional Arabic" w:cs="Traditional Arabic" w:hint="cs"/>
          <w:sz w:val="24"/>
          <w:szCs w:val="24"/>
          <w:highlight w:val="yellow"/>
          <w:rtl/>
        </w:rPr>
        <w:t>السعودي؟</w:t>
      </w:r>
    </w:p>
    <w:p w14:paraId="34045734" w14:textId="2E6619AE" w:rsidR="008615C2" w:rsidRPr="005F5C76"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هل يوجد تأثير مباشر ذو دلالة إحصائية للنضج الرقمي على جودة القرار الإداري </w:t>
      </w:r>
      <w:r>
        <w:rPr>
          <w:rFonts w:ascii="Traditional Arabic" w:hAnsi="Traditional Arabic" w:cs="Traditional Arabic"/>
          <w:sz w:val="24"/>
          <w:szCs w:val="24"/>
          <w:highlight w:val="yellow"/>
          <w:rtl/>
        </w:rPr>
        <w:t xml:space="preserve">في منظمات القطاع غير الربحي </w:t>
      </w:r>
      <w:r>
        <w:rPr>
          <w:rFonts w:ascii="Traditional Arabic" w:hAnsi="Traditional Arabic" w:cs="Traditional Arabic" w:hint="cs"/>
          <w:sz w:val="24"/>
          <w:szCs w:val="24"/>
          <w:highlight w:val="yellow"/>
          <w:rtl/>
        </w:rPr>
        <w:t>السعودي؟</w:t>
      </w:r>
    </w:p>
    <w:p w14:paraId="259243A1" w14:textId="51837C3C" w:rsidR="008615C2" w:rsidRPr="00305577" w:rsidRDefault="00000000" w:rsidP="00A109ED">
      <w:pPr>
        <w:numPr>
          <w:ilvl w:val="0"/>
          <w:numId w:val="1"/>
        </w:numPr>
        <w:pBdr>
          <w:top w:val="nil"/>
          <w:left w:val="nil"/>
          <w:bottom w:val="nil"/>
          <w:right w:val="nil"/>
          <w:between w:val="nil"/>
        </w:pBdr>
        <w:bidi/>
        <w:spacing w:line="360" w:lineRule="auto"/>
        <w:jc w:val="both"/>
        <w:rPr>
          <w:rFonts w:ascii="Traditional Arabic" w:hAnsi="Traditional Arabic" w:cs="Traditional Arabic"/>
          <w:sz w:val="24"/>
          <w:szCs w:val="24"/>
          <w:highlight w:val="yellow"/>
        </w:rPr>
      </w:pPr>
      <w:r>
        <w:rPr>
          <w:rFonts w:ascii="Traditional Arabic" w:hAnsi="Traditional Arabic" w:cs="Traditional Arabic"/>
          <w:sz w:val="24"/>
          <w:szCs w:val="24"/>
          <w:highlight w:val="yellow"/>
          <w:rtl/>
        </w:rPr>
        <w:t>هل يتوسط النضج الرقمي العلاقةَ بشكل دال إحصائياً بين تبني الذكاء الاصطناعي وجودة القرار الإداري في منظمات القطاع غير الربحي السعودي؟</w:t>
      </w:r>
    </w:p>
    <w:p w14:paraId="7809B49C" w14:textId="77777777" w:rsidR="00A109ED" w:rsidRPr="005F5C76" w:rsidRDefault="00A109ED" w:rsidP="00A109ED">
      <w:pPr>
        <w:pBdr>
          <w:top w:val="nil"/>
          <w:left w:val="nil"/>
          <w:bottom w:val="nil"/>
          <w:right w:val="nil"/>
          <w:between w:val="nil"/>
        </w:pBdr>
        <w:bidi/>
        <w:spacing w:line="360" w:lineRule="auto"/>
        <w:ind w:left="600"/>
        <w:jc w:val="both"/>
        <w:rPr>
          <w:rFonts w:ascii="Traditional Arabic" w:hAnsi="Traditional Arabic" w:cs="Traditional Arabic"/>
          <w:sz w:val="24"/>
          <w:szCs w:val="24"/>
        </w:rPr>
      </w:pPr>
    </w:p>
    <w:p w14:paraId="773933E1" w14:textId="6D274644" w:rsidR="008615C2" w:rsidRPr="005F5C76" w:rsidRDefault="0014044F" w:rsidP="00A109ED">
      <w:pPr>
        <w:pStyle w:val="2"/>
        <w:bidi/>
        <w:spacing w:before="0" w:after="0" w:line="360" w:lineRule="auto"/>
        <w:jc w:val="both"/>
        <w:rPr>
          <w:rFonts w:ascii="Traditional Arabic" w:hAnsi="Traditional Arabic" w:cs="Traditional Arabic"/>
          <w:sz w:val="32"/>
          <w:szCs w:val="32"/>
        </w:rPr>
      </w:pPr>
      <w:r>
        <w:rPr>
          <w:rFonts w:ascii="Traditional Arabic" w:hAnsi="Traditional Arabic" w:cs="Traditional Arabic" w:hint="cs"/>
          <w:sz w:val="32"/>
          <w:szCs w:val="32"/>
          <w:rtl/>
        </w:rPr>
        <w:t xml:space="preserve">3-1: </w:t>
      </w:r>
      <w:r>
        <w:rPr>
          <w:rFonts w:ascii="Traditional Arabic" w:hAnsi="Traditional Arabic" w:cs="Traditional Arabic"/>
          <w:sz w:val="32"/>
          <w:szCs w:val="32"/>
          <w:rtl/>
        </w:rPr>
        <w:t>أهداف الدراسة</w:t>
      </w:r>
      <w:r>
        <w:rPr>
          <w:rFonts w:ascii="Traditional Arabic" w:hAnsi="Traditional Arabic" w:cs="Traditional Arabic" w:hint="cs"/>
          <w:sz w:val="32"/>
          <w:szCs w:val="32"/>
          <w:rtl/>
        </w:rPr>
        <w:t>:</w:t>
      </w:r>
    </w:p>
    <w:p w14:paraId="68882803" w14:textId="0F11F1EB"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t>تسعى الدراسة الحالية عبر مرحلتها الميدانية والتحليلية إلى تحقيق الآتية:</w:t>
      </w:r>
      <w:r>
        <w:rPr>
          <w:rFonts w:ascii="Traditional Arabic" w:hAnsi="Traditional Arabic" w:cs="Traditional Arabic" w:hint="cs"/>
          <w:b/>
          <w:bCs/>
          <w:sz w:val="28"/>
          <w:szCs w:val="28"/>
          <w:rtl/>
        </w:rPr>
        <w:t xml:space="preserve"> </w:t>
      </w:r>
      <w:r w:rsidRPr="0065208B">
        <w:rPr>
          <w:rFonts w:ascii="Traditional Arabic" w:hAnsi="Traditional Arabic" w:cs="Traditional Arabic" w:hint="cs"/>
          <w:b/>
          <w:bCs/>
          <w:i/>
          <w:iCs/>
          <w:color w:val="1F497D" w:themeColor="text2"/>
          <w:sz w:val="21"/>
          <w:szCs w:val="21"/>
          <w:highlight w:val="yellow"/>
          <w:rtl/>
        </w:rPr>
        <w:t>(تم التعديل على الفقرات)</w:t>
      </w:r>
    </w:p>
    <w:p w14:paraId="4A73DCDF" w14:textId="010F1118" w:rsidR="008615C2" w:rsidRPr="00305577" w:rsidRDefault="0066738C" w:rsidP="00A109ED">
      <w:pPr>
        <w:numPr>
          <w:ilvl w:val="0"/>
          <w:numId w:val="4"/>
        </w:numPr>
        <w:pBdr>
          <w:top w:val="nil"/>
          <w:left w:val="nil"/>
          <w:bottom w:val="nil"/>
          <w:right w:val="nil"/>
          <w:between w:val="nil"/>
        </w:pBdr>
        <w:bidi/>
        <w:spacing w:line="360" w:lineRule="auto"/>
        <w:jc w:val="both"/>
        <w:rPr>
          <w:rFonts w:ascii="Traditional Arabic" w:hAnsi="Traditional Arabic" w:cs="Traditional Arabic"/>
          <w:sz w:val="24"/>
          <w:szCs w:val="24"/>
          <w:highlight w:val="yellow"/>
        </w:rPr>
      </w:pPr>
      <w:r>
        <w:rPr>
          <w:rFonts w:ascii="Traditional Arabic" w:hAnsi="Traditional Arabic" w:cs="Traditional Arabic" w:hint="cs"/>
          <w:sz w:val="24"/>
          <w:szCs w:val="24"/>
          <w:highlight w:val="yellow"/>
          <w:rtl/>
        </w:rPr>
        <w:t>تحديد</w:t>
      </w:r>
      <w:r>
        <w:rPr>
          <w:rFonts w:ascii="Traditional Arabic" w:hAnsi="Traditional Arabic" w:cs="Traditional Arabic"/>
          <w:sz w:val="24"/>
          <w:szCs w:val="24"/>
          <w:highlight w:val="yellow"/>
          <w:rtl/>
        </w:rPr>
        <w:t xml:space="preserve"> وتحليل مستوى جودة القرارات الإدارية المتخذة من قِبَل القيادات الإدارية في المنظمات غير الربحية السعودية عبر أبعادها الأربعة (العقلانية، التوقيت، الدقة، الكفاءة)، ومقارنتها بالمعايير القياسية والمؤشرات المعتمدة لدى المركز الوطني لتنمية القطاع غير الربحي لعام 2024.</w:t>
      </w:r>
    </w:p>
    <w:p w14:paraId="59ED326C" w14:textId="34A21690" w:rsidR="008615C2" w:rsidRPr="00305577" w:rsidRDefault="0066738C" w:rsidP="00A109ED">
      <w:pPr>
        <w:numPr>
          <w:ilvl w:val="0"/>
          <w:numId w:val="4"/>
        </w:numPr>
        <w:pBdr>
          <w:top w:val="nil"/>
          <w:left w:val="nil"/>
          <w:bottom w:val="nil"/>
          <w:right w:val="nil"/>
          <w:between w:val="nil"/>
        </w:pBdr>
        <w:bidi/>
        <w:spacing w:line="360" w:lineRule="auto"/>
        <w:jc w:val="both"/>
        <w:rPr>
          <w:rFonts w:ascii="Traditional Arabic" w:hAnsi="Traditional Arabic" w:cs="Traditional Arabic"/>
          <w:sz w:val="24"/>
          <w:szCs w:val="24"/>
          <w:highlight w:val="yellow"/>
        </w:rPr>
      </w:pPr>
      <w:r>
        <w:rPr>
          <w:rFonts w:ascii="Traditional Arabic" w:hAnsi="Traditional Arabic" w:cs="Traditional Arabic" w:hint="cs"/>
          <w:sz w:val="24"/>
          <w:szCs w:val="24"/>
          <w:highlight w:val="yellow"/>
          <w:rtl/>
        </w:rPr>
        <w:t>تباين</w:t>
      </w:r>
      <w:r>
        <w:rPr>
          <w:rFonts w:ascii="Traditional Arabic" w:hAnsi="Traditional Arabic" w:cs="Traditional Arabic"/>
          <w:sz w:val="24"/>
          <w:szCs w:val="24"/>
          <w:highlight w:val="yellow"/>
          <w:rtl/>
        </w:rPr>
        <w:t xml:space="preserve"> وتشخيص مستوى تبني الذكاء الاصطناعي في المنظمات غير الربحية المستهدفة وفق الأبعاد التنظيمية الأربعة لإطار سدايا (الاستراتيجية، الحوكمة، البيانات، البنية التحتية) بدقة علمية ملموسة.</w:t>
      </w:r>
    </w:p>
    <w:p w14:paraId="7BB44A26" w14:textId="77777777" w:rsidR="008615C2" w:rsidRPr="00305577" w:rsidRDefault="00000000" w:rsidP="00A109ED">
      <w:pPr>
        <w:numPr>
          <w:ilvl w:val="0"/>
          <w:numId w:val="4"/>
        </w:numPr>
        <w:pBdr>
          <w:top w:val="nil"/>
          <w:left w:val="nil"/>
          <w:bottom w:val="nil"/>
          <w:right w:val="nil"/>
          <w:between w:val="nil"/>
        </w:pBdr>
        <w:bidi/>
        <w:spacing w:line="360" w:lineRule="auto"/>
        <w:jc w:val="both"/>
        <w:rPr>
          <w:rFonts w:ascii="Traditional Arabic" w:hAnsi="Traditional Arabic" w:cs="Traditional Arabic"/>
          <w:sz w:val="24"/>
          <w:szCs w:val="24"/>
          <w:highlight w:val="yellow"/>
        </w:rPr>
      </w:pPr>
      <w:r>
        <w:rPr>
          <w:rFonts w:ascii="Traditional Arabic" w:hAnsi="Traditional Arabic" w:cs="Traditional Arabic"/>
          <w:sz w:val="24"/>
          <w:szCs w:val="24"/>
          <w:highlight w:val="yellow"/>
          <w:rtl/>
        </w:rPr>
        <w:lastRenderedPageBreak/>
        <w:t>تقييم وتصنيف درجة النضج الرقمي المتوفرة حالياً في منظمات القطاع الثالث السعودي وفق أبعاد نموذج نت هوب (التكنولوجيا، الثقافة التنظيمية، العمليات، الرؤى) لوصف الفجوة التقنية القائمة.</w:t>
      </w:r>
    </w:p>
    <w:p w14:paraId="26EA141E" w14:textId="38CF60BD" w:rsidR="008615C2" w:rsidRPr="00305577" w:rsidRDefault="00000000" w:rsidP="00A109ED">
      <w:pPr>
        <w:numPr>
          <w:ilvl w:val="0"/>
          <w:numId w:val="4"/>
        </w:numPr>
        <w:pBdr>
          <w:top w:val="nil"/>
          <w:left w:val="nil"/>
          <w:bottom w:val="nil"/>
          <w:right w:val="nil"/>
          <w:between w:val="nil"/>
        </w:pBdr>
        <w:bidi/>
        <w:spacing w:line="360" w:lineRule="auto"/>
        <w:jc w:val="both"/>
        <w:rPr>
          <w:rFonts w:ascii="Traditional Arabic" w:hAnsi="Traditional Arabic" w:cs="Traditional Arabic"/>
          <w:sz w:val="24"/>
          <w:szCs w:val="24"/>
          <w:highlight w:val="yellow"/>
        </w:rPr>
      </w:pPr>
      <w:r>
        <w:rPr>
          <w:rFonts w:ascii="Traditional Arabic" w:hAnsi="Traditional Arabic" w:cs="Traditional Arabic"/>
          <w:sz w:val="24"/>
          <w:szCs w:val="24"/>
          <w:highlight w:val="yellow"/>
          <w:rtl/>
        </w:rPr>
        <w:t>تحليل واختبار فرضية التوسط الإحصائي للنضج الرقمي في العلاقة بين تبني الذكاء الاصطناعي وجودة القرار الإداري، وتحديد طبيعة هذا التوسط (جزئي أم كلي) كبدائل اختبارية.</w:t>
      </w:r>
    </w:p>
    <w:p w14:paraId="7D12916B" w14:textId="77777777" w:rsidR="008615C2" w:rsidRPr="00305577" w:rsidRDefault="00000000" w:rsidP="00A109ED">
      <w:pPr>
        <w:numPr>
          <w:ilvl w:val="0"/>
          <w:numId w:val="4"/>
        </w:numPr>
        <w:pBdr>
          <w:top w:val="nil"/>
          <w:left w:val="nil"/>
          <w:bottom w:val="nil"/>
          <w:right w:val="nil"/>
          <w:between w:val="nil"/>
        </w:pBdr>
        <w:bidi/>
        <w:spacing w:line="360" w:lineRule="auto"/>
        <w:jc w:val="both"/>
        <w:rPr>
          <w:rFonts w:ascii="Traditional Arabic" w:hAnsi="Traditional Arabic" w:cs="Traditional Arabic"/>
          <w:sz w:val="24"/>
          <w:szCs w:val="24"/>
          <w:highlight w:val="yellow"/>
        </w:rPr>
      </w:pPr>
      <w:r>
        <w:rPr>
          <w:rFonts w:ascii="Traditional Arabic" w:hAnsi="Traditional Arabic" w:cs="Traditional Arabic"/>
          <w:sz w:val="24"/>
          <w:szCs w:val="24"/>
          <w:highlight w:val="yellow"/>
          <w:rtl/>
        </w:rPr>
        <w:t>تقديم استراتيجية مقترحة وخريطة طريق عملية مبنية على الأدلة الميدانية لتمكين الجمعيات والمؤسسات الأهلية والجهات الإشرافية في المملكة من تعظيم العوائد التنموية والأثر الاجتماعي المترتب على التحول الرقمي الذكي والمسؤول والممتثل للوائح المنظمة.</w:t>
      </w:r>
    </w:p>
    <w:p w14:paraId="485EB351" w14:textId="77777777" w:rsidR="009422C8" w:rsidRPr="005F5C76" w:rsidRDefault="009422C8" w:rsidP="00A109ED">
      <w:pPr>
        <w:pStyle w:val="2"/>
        <w:bidi/>
        <w:spacing w:before="0" w:after="0" w:line="360" w:lineRule="auto"/>
        <w:jc w:val="both"/>
        <w:rPr>
          <w:rFonts w:ascii="Traditional Arabic" w:hAnsi="Traditional Arabic" w:cs="Traditional Arabic"/>
          <w:b w:val="0"/>
          <w:bCs w:val="0"/>
          <w:rtl/>
        </w:rPr>
      </w:pPr>
    </w:p>
    <w:p w14:paraId="4C61C3DC" w14:textId="34B2BF39" w:rsidR="008615C2" w:rsidRPr="005F5C76" w:rsidRDefault="00000000" w:rsidP="00A109ED">
      <w:pPr>
        <w:pStyle w:val="2"/>
        <w:bidi/>
        <w:spacing w:before="0" w:after="0"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4-1: فرضيات الدراسة</w:t>
      </w:r>
    </w:p>
    <w:p w14:paraId="5DA3B0DA" w14:textId="1320567C"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استناداً لمراجعة الأدبيات ولنظريتَي قبول التكنلوجيا (</w:t>
      </w:r>
      <w:r>
        <w:rPr>
          <w:rFonts w:ascii="Traditional Arabic" w:hAnsi="Traditional Arabic" w:cs="Traditional Arabic"/>
          <w:sz w:val="24"/>
          <w:szCs w:val="24"/>
        </w:rPr>
        <w:t>TAM</w:t>
      </w:r>
      <w:r>
        <w:rPr>
          <w:rFonts w:ascii="Traditional Arabic" w:hAnsi="Traditional Arabic" w:cs="Traditional Arabic"/>
          <w:sz w:val="24"/>
          <w:szCs w:val="24"/>
          <w:rtl/>
        </w:rPr>
        <w:t>)، والقدرات الديناميكية، تمت صياغة الفرضيات الآتية لتخضع للاختبار والمعالجات الإحصائية المتقدمة:</w:t>
      </w:r>
    </w:p>
    <w:p w14:paraId="6BC4848B" w14:textId="7CEE76FE" w:rsidR="008615C2" w:rsidRPr="005F5C76" w:rsidRDefault="00000000" w:rsidP="00A109ED">
      <w:pPr>
        <w:numPr>
          <w:ilvl w:val="0"/>
          <w:numId w:val="5"/>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eastAsia="Times New Roman" w:hAnsi="Traditional Arabic" w:cs="Traditional Arabic"/>
          <w:sz w:val="24"/>
          <w:szCs w:val="24"/>
          <w:rtl/>
        </w:rPr>
        <w:t>الفرضية الرئيسة الأولى (</w:t>
      </w:r>
      <m:oMath>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ctrlPr>
              <w:rPr>
                <w:rFonts w:ascii="Cambria Math" w:eastAsia="Times New Roman" w:hAnsi="Cambria Math" w:cs="Traditional Arabic"/>
                <w:sz w:val="24"/>
                <w:szCs w:val="24"/>
                <w:rtl/>
              </w:rPr>
            </m:ctrlPr>
          </m:e>
          <m:sub>
            <m:r>
              <m:rPr>
                <m:sty m:val="p"/>
              </m:rPr>
              <w:rPr>
                <w:rFonts w:ascii="Cambria Math" w:eastAsia="Times New Roman" w:hAnsi="Cambria Math" w:cs="Traditional Arabic"/>
                <w:sz w:val="24"/>
                <w:szCs w:val="24"/>
                <w:rtl/>
              </w:rPr>
              <m:t>1</m:t>
            </m:r>
          </m:sub>
        </m:sSub>
      </m:oMath>
      <w:r>
        <w:rPr>
          <w:rFonts w:ascii="Traditional Arabic" w:eastAsia="Times New Roman" w:hAnsi="Traditional Arabic" w:cs="Traditional Arabic"/>
          <w:sz w:val="24"/>
          <w:szCs w:val="24"/>
          <w:rtl/>
        </w:rPr>
        <w:t>): يوجد تأثير إيجابي مباشر ذو دلالة إحصائية عند مستوى دلالة (</w:t>
      </w:r>
      <m:oMath>
        <m:r>
          <w:rPr>
            <w:rFonts w:ascii="Cambria Math" w:eastAsia="Times New Roman" w:hAnsi="Cambria Math" w:cs="Traditional Arabic"/>
            <w:sz w:val="24"/>
            <w:szCs w:val="24"/>
          </w:rPr>
          <m:t>α</m:t>
        </m:r>
        <m:r>
          <m:rPr>
            <m:sty m:val="p"/>
          </m:rPr>
          <w:rPr>
            <w:rFonts w:ascii="Cambria Math" w:eastAsia="Times New Roman" w:hAnsi="Cambria Math" w:cs="Traditional Arabic"/>
            <w:sz w:val="24"/>
            <w:szCs w:val="24"/>
          </w:rPr>
          <m:t xml:space="preserve"> ≤0.05</m:t>
        </m:r>
      </m:oMath>
      <w:r>
        <w:rPr>
          <w:rFonts w:ascii="Traditional Arabic" w:eastAsia="Times New Roman" w:hAnsi="Traditional Arabic" w:cs="Traditional Arabic"/>
          <w:sz w:val="24"/>
          <w:szCs w:val="24"/>
          <w:rtl/>
        </w:rPr>
        <w:t>) لتبني الذكاء الاصطناعي على جودة القرار الإداري في منظمات القطاع غير الربحي السعودي.</w:t>
      </w:r>
    </w:p>
    <w:p w14:paraId="6D1DB12B" w14:textId="6C8840F6" w:rsidR="008615C2" w:rsidRPr="005F5C76" w:rsidRDefault="00000000" w:rsidP="00A109ED">
      <w:pPr>
        <w:numPr>
          <w:ilvl w:val="0"/>
          <w:numId w:val="5"/>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eastAsia="Times New Roman" w:hAnsi="Traditional Arabic" w:cs="Traditional Arabic"/>
          <w:sz w:val="24"/>
          <w:szCs w:val="24"/>
          <w:rtl/>
        </w:rPr>
        <w:t>الفرضية الرئيسة الثانية (</w:t>
      </w:r>
      <m:oMath>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ctrlPr>
              <w:rPr>
                <w:rFonts w:ascii="Cambria Math" w:eastAsia="Times New Roman" w:hAnsi="Cambria Math" w:cs="Traditional Arabic"/>
                <w:sz w:val="24"/>
                <w:szCs w:val="24"/>
                <w:rtl/>
              </w:rPr>
            </m:ctrlPr>
          </m:e>
          <m:sub>
            <m:r>
              <m:rPr>
                <m:sty m:val="p"/>
              </m:rPr>
              <w:rPr>
                <w:rFonts w:ascii="Cambria Math" w:eastAsia="Times New Roman" w:hAnsi="Cambria Math" w:cs="Traditional Arabic"/>
                <w:sz w:val="24"/>
                <w:szCs w:val="24"/>
                <w:rtl/>
              </w:rPr>
              <m:t>2</m:t>
            </m:r>
          </m:sub>
        </m:sSub>
      </m:oMath>
      <w:r>
        <w:rPr>
          <w:rFonts w:ascii="Traditional Arabic" w:eastAsia="Times New Roman" w:hAnsi="Traditional Arabic" w:cs="Traditional Arabic"/>
          <w:sz w:val="24"/>
          <w:szCs w:val="24"/>
          <w:rtl/>
        </w:rPr>
        <w:t xml:space="preserve">): يوجد تأثير إيجابي مباشر ذو دلالة إحصائية عند مستوى دلالة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α</m:t>
            </m:r>
            <m:r>
              <m:rPr>
                <m:sty m:val="p"/>
              </m:rPr>
              <w:rPr>
                <w:rFonts w:ascii="Cambria Math" w:eastAsia="Times New Roman" w:hAnsi="Cambria Math" w:cs="Traditional Arabic"/>
                <w:sz w:val="24"/>
                <w:szCs w:val="24"/>
              </w:rPr>
              <m:t xml:space="preserve"> ≤0.05</m:t>
            </m:r>
          </m:e>
        </m:d>
      </m:oMath>
      <w:r>
        <w:rPr>
          <w:rFonts w:ascii="Traditional Arabic" w:eastAsia="Times New Roman" w:hAnsi="Traditional Arabic" w:cs="Traditional Arabic"/>
          <w:sz w:val="24"/>
          <w:szCs w:val="24"/>
          <w:rtl/>
        </w:rPr>
        <w:t xml:space="preserve"> لتبني الذكاء الاصطناعي على مستوى النضج الرقمي في منظمات القطاع غير الربحي السعودي.</w:t>
      </w:r>
    </w:p>
    <w:p w14:paraId="2722B562" w14:textId="6279D7D6" w:rsidR="008615C2" w:rsidRPr="005F5C76" w:rsidRDefault="00000000" w:rsidP="00A109ED">
      <w:pPr>
        <w:numPr>
          <w:ilvl w:val="0"/>
          <w:numId w:val="5"/>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eastAsia="Times New Roman" w:hAnsi="Traditional Arabic" w:cs="Traditional Arabic"/>
          <w:sz w:val="24"/>
          <w:szCs w:val="24"/>
          <w:rtl/>
        </w:rPr>
        <w:t xml:space="preserve">الفرضية الرئيسة الثالثة </w:t>
      </w:r>
      <m:oMath>
        <m:d>
          <m:dPr>
            <m:ctrlPr>
              <w:rPr>
                <w:rFonts w:ascii="Cambria Math" w:eastAsia="Times New Roman" w:hAnsi="Cambria Math" w:cs="Traditional Arabic"/>
                <w:sz w:val="24"/>
                <w:szCs w:val="24"/>
              </w:rPr>
            </m:ctrlPr>
          </m:dPr>
          <m:e>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e>
              <m:sub>
                <m:r>
                  <m:rPr>
                    <m:sty m:val="p"/>
                  </m:rPr>
                  <w:rPr>
                    <w:rFonts w:ascii="Cambria Math" w:eastAsia="Times New Roman" w:hAnsi="Cambria Math" w:cs="Traditional Arabic"/>
                    <w:sz w:val="24"/>
                    <w:szCs w:val="24"/>
                    <w:rtl/>
                  </w:rPr>
                  <m:t>3</m:t>
                </m:r>
              </m:sub>
            </m:sSub>
          </m:e>
        </m:d>
      </m:oMath>
      <w:r>
        <w:rPr>
          <w:rFonts w:ascii="Traditional Arabic" w:eastAsia="Times New Roman" w:hAnsi="Traditional Arabic" w:cs="Traditional Arabic"/>
          <w:sz w:val="24"/>
          <w:szCs w:val="24"/>
          <w:rtl/>
        </w:rPr>
        <w:t xml:space="preserve">: يوجد تأثير إيجابي مباشر ذو دلالة إحصائية عند مستوى دلالة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α</m:t>
            </m:r>
            <m:r>
              <m:rPr>
                <m:sty m:val="p"/>
              </m:rPr>
              <w:rPr>
                <w:rFonts w:ascii="Cambria Math" w:eastAsia="Times New Roman" w:hAnsi="Cambria Math" w:cs="Traditional Arabic"/>
                <w:sz w:val="24"/>
                <w:szCs w:val="24"/>
              </w:rPr>
              <m:t xml:space="preserve"> ≤0.05</m:t>
            </m:r>
          </m:e>
        </m:d>
      </m:oMath>
      <w:r>
        <w:rPr>
          <w:rFonts w:ascii="Traditional Arabic" w:eastAsia="Times New Roman" w:hAnsi="Traditional Arabic" w:cs="Traditional Arabic"/>
          <w:sz w:val="24"/>
          <w:szCs w:val="24"/>
          <w:rtl/>
        </w:rPr>
        <w:t xml:space="preserve"> للنضج الرقمي على جودة القرار الإداري في منظمات القطاع غير الربحي السعودي.</w:t>
      </w:r>
    </w:p>
    <w:p w14:paraId="799546B1" w14:textId="2A4D423E" w:rsidR="008615C2" w:rsidRPr="005F5C76" w:rsidRDefault="00000000" w:rsidP="00A109ED">
      <w:pPr>
        <w:numPr>
          <w:ilvl w:val="0"/>
          <w:numId w:val="5"/>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eastAsia="Times New Roman" w:hAnsi="Traditional Arabic" w:cs="Traditional Arabic"/>
          <w:sz w:val="24"/>
          <w:szCs w:val="24"/>
          <w:rtl/>
        </w:rPr>
        <w:t xml:space="preserve">الفرضية الرئيسة الرابعة </w:t>
      </w:r>
      <m:oMath>
        <m:d>
          <m:dPr>
            <m:ctrlPr>
              <w:rPr>
                <w:rFonts w:ascii="Cambria Math" w:eastAsia="Times New Roman" w:hAnsi="Cambria Math" w:cs="Traditional Arabic"/>
                <w:sz w:val="24"/>
                <w:szCs w:val="24"/>
              </w:rPr>
            </m:ctrlPr>
          </m:dPr>
          <m:e>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e>
              <m:sub>
                <m:r>
                  <m:rPr>
                    <m:sty m:val="p"/>
                  </m:rPr>
                  <w:rPr>
                    <w:rFonts w:ascii="Cambria Math" w:eastAsia="Times New Roman" w:hAnsi="Cambria Math" w:cs="Traditional Arabic"/>
                    <w:sz w:val="24"/>
                    <w:szCs w:val="24"/>
                    <w:rtl/>
                  </w:rPr>
                  <m:t>4</m:t>
                </m:r>
              </m:sub>
            </m:sSub>
          </m:e>
        </m:d>
      </m:oMath>
      <w:r>
        <w:rPr>
          <w:rFonts w:ascii="Traditional Arabic" w:eastAsia="Times New Roman" w:hAnsi="Traditional Arabic" w:cs="Traditional Arabic"/>
          <w:sz w:val="24"/>
          <w:szCs w:val="24"/>
          <w:rtl/>
        </w:rPr>
        <w:t xml:space="preserve">: يتوسط النضج الرقمي العلاقةَ بين تبني الذكاء الاصطناعي وجودة القرار الإداري في منظمات القطاع غير الربحي السعودي، تأثيراً وسيطاً ذا دلالة إحصائية عند مستوى دلالة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α</m:t>
            </m:r>
            <m:r>
              <m:rPr>
                <m:sty m:val="p"/>
              </m:rPr>
              <w:rPr>
                <w:rFonts w:ascii="Cambria Math" w:eastAsia="Times New Roman" w:hAnsi="Cambria Math" w:cs="Traditional Arabic"/>
                <w:sz w:val="24"/>
                <w:szCs w:val="24"/>
              </w:rPr>
              <m:t xml:space="preserve"> ≤0.05</m:t>
            </m:r>
          </m:e>
        </m:d>
      </m:oMath>
      <w:r>
        <w:rPr>
          <w:rFonts w:ascii="Traditional Arabic" w:eastAsia="Times New Roman" w:hAnsi="Traditional Arabic" w:cs="Traditional Arabic"/>
          <w:sz w:val="24"/>
          <w:szCs w:val="24"/>
          <w:rtl/>
        </w:rPr>
        <w:t>.</w:t>
      </w:r>
    </w:p>
    <w:p w14:paraId="70C1E750" w14:textId="77777777" w:rsidR="009422C8" w:rsidRPr="005F5C76" w:rsidRDefault="009422C8" w:rsidP="00A109ED">
      <w:pPr>
        <w:pStyle w:val="2"/>
        <w:bidi/>
        <w:spacing w:before="0" w:after="0" w:line="360" w:lineRule="auto"/>
        <w:jc w:val="both"/>
        <w:rPr>
          <w:rFonts w:ascii="Traditional Arabic" w:hAnsi="Traditional Arabic" w:cs="Traditional Arabic"/>
          <w:b w:val="0"/>
          <w:bCs w:val="0"/>
          <w:rtl/>
        </w:rPr>
      </w:pPr>
    </w:p>
    <w:p w14:paraId="23583430" w14:textId="7411FA72" w:rsidR="008615C2" w:rsidRPr="005F5C76" w:rsidRDefault="00000000" w:rsidP="00A109ED">
      <w:pPr>
        <w:pStyle w:val="2"/>
        <w:bidi/>
        <w:spacing w:before="0" w:after="0"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5-1: أهمية الدراسة</w:t>
      </w:r>
    </w:p>
    <w:p w14:paraId="09D6E5C4" w14:textId="77777777" w:rsidR="008615C2"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تكتسب هذه الدراسة أهميتها الأكاديمية والتطبيقية من خلال تقديم مساهمات نوعية لسد الثغرات النظرية والميدانية على النحو التالي:</w:t>
      </w:r>
    </w:p>
    <w:p w14:paraId="2DC7284D" w14:textId="77777777" w:rsidR="00A109ED" w:rsidRPr="005F5C76" w:rsidRDefault="00A109ED" w:rsidP="00A109ED">
      <w:pPr>
        <w:pBdr>
          <w:top w:val="nil"/>
          <w:left w:val="nil"/>
          <w:bottom w:val="nil"/>
          <w:right w:val="nil"/>
          <w:between w:val="nil"/>
        </w:pBdr>
        <w:bidi/>
        <w:spacing w:line="360" w:lineRule="auto"/>
        <w:jc w:val="both"/>
        <w:rPr>
          <w:rFonts w:ascii="Traditional Arabic" w:hAnsi="Traditional Arabic" w:cs="Traditional Arabic"/>
          <w:sz w:val="24"/>
          <w:szCs w:val="24"/>
        </w:rPr>
      </w:pPr>
    </w:p>
    <w:p w14:paraId="143938E4" w14:textId="5553BA82" w:rsidR="008615C2" w:rsidRPr="005F5C76" w:rsidRDefault="00000000" w:rsidP="00A109ED">
      <w:pPr>
        <w:pStyle w:val="3"/>
        <w:bidi/>
        <w:spacing w:before="0" w:after="0" w:line="360" w:lineRule="auto"/>
        <w:jc w:val="both"/>
        <w:rPr>
          <w:rFonts w:ascii="Traditional Arabic" w:hAnsi="Traditional Arabic" w:cs="Traditional Arabic"/>
        </w:rPr>
      </w:pPr>
      <w:r>
        <w:rPr>
          <w:rFonts w:ascii="Traditional Arabic" w:hAnsi="Traditional Arabic" w:cs="Traditional Arabic"/>
          <w:rtl/>
        </w:rPr>
        <w:lastRenderedPageBreak/>
        <w:t>1-5-1: الأهمية النظرية:</w:t>
      </w:r>
    </w:p>
    <w:p w14:paraId="72484E81" w14:textId="77777777" w:rsidR="008615C2" w:rsidRPr="005F5C76" w:rsidRDefault="00000000" w:rsidP="00A109ED">
      <w:pPr>
        <w:numPr>
          <w:ilvl w:val="0"/>
          <w:numId w:val="7"/>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تطوير وتكامل النماذج النظرية للإدارة التكنولوجية: تسهم الدراسة في إثراء نموذج </w:t>
      </w:r>
      <w:r>
        <w:rPr>
          <w:rFonts w:ascii="Traditional Arabic" w:hAnsi="Traditional Arabic" w:cs="Traditional Arabic"/>
          <w:sz w:val="24"/>
          <w:szCs w:val="24"/>
        </w:rPr>
        <w:t>TAM</w:t>
      </w:r>
      <w:r>
        <w:rPr>
          <w:rFonts w:ascii="Traditional Arabic" w:hAnsi="Traditional Arabic" w:cs="Traditional Arabic"/>
          <w:sz w:val="24"/>
          <w:szCs w:val="24"/>
          <w:rtl/>
        </w:rPr>
        <w:t xml:space="preserve"> ونظرية القدرات الديناميكية من خلال بناء نموذج هيكلي مركب يختبر النضج الرقمي وسيطاً يفسّر الآليات الحقيقية التي يتم عبرها تحويل القدرات التقنية للذكاء الاصطناعي إلى جودة قرارات تنظيمية ملموسة (</w:t>
      </w:r>
      <w:r>
        <w:rPr>
          <w:rFonts w:ascii="Traditional Arabic" w:hAnsi="Traditional Arabic" w:cs="Traditional Arabic"/>
          <w:sz w:val="24"/>
          <w:szCs w:val="24"/>
        </w:rPr>
        <w:t>Saeede, 2025; Nijhum</w:t>
      </w:r>
      <w:r>
        <w:rPr>
          <w:rFonts w:ascii="Traditional Arabic" w:hAnsi="Traditional Arabic" w:cs="Traditional Arabic"/>
          <w:sz w:val="24"/>
          <w:szCs w:val="24"/>
          <w:rtl/>
        </w:rPr>
        <w:t>, 2025).</w:t>
      </w:r>
    </w:p>
    <w:p w14:paraId="5AF8963C" w14:textId="77777777" w:rsidR="008615C2" w:rsidRPr="00305577" w:rsidRDefault="00000000" w:rsidP="00A109ED">
      <w:pPr>
        <w:numPr>
          <w:ilvl w:val="0"/>
          <w:numId w:val="7"/>
        </w:numPr>
        <w:pBdr>
          <w:top w:val="nil"/>
          <w:left w:val="nil"/>
          <w:bottom w:val="nil"/>
          <w:right w:val="nil"/>
          <w:between w:val="nil"/>
        </w:pBdr>
        <w:bidi/>
        <w:spacing w:line="360" w:lineRule="auto"/>
        <w:jc w:val="both"/>
        <w:rPr>
          <w:rFonts w:ascii="Traditional Arabic" w:hAnsi="Traditional Arabic" w:cs="Traditional Arabic"/>
          <w:sz w:val="24"/>
          <w:szCs w:val="24"/>
          <w:highlight w:val="yellow"/>
        </w:rPr>
      </w:pPr>
      <w:r>
        <w:rPr>
          <w:rFonts w:ascii="Traditional Arabic" w:hAnsi="Traditional Arabic" w:cs="Traditional Arabic"/>
          <w:sz w:val="24"/>
          <w:szCs w:val="24"/>
          <w:highlight w:val="yellow"/>
          <w:rtl/>
        </w:rPr>
        <w:t>التأصيل المفاهيمي المدمج والحديث: توفر الدراسة إطاراً نظرياً شاملاً يدمج أبعاد إطار تبني الذكاء الاصطناعي الصادر حديثاً عن (الهيئة السعودية للبيانات والذكاء الاصطناعي [سدايا]، 2024)، مع أبعاد نماذج النضج الرقمي العالمية المخصصة للقطاع الثالث (</w:t>
      </w:r>
      <w:r>
        <w:rPr>
          <w:rFonts w:ascii="Traditional Arabic" w:hAnsi="Traditional Arabic" w:cs="Traditional Arabic"/>
          <w:sz w:val="24"/>
          <w:szCs w:val="24"/>
          <w:highlight w:val="yellow"/>
        </w:rPr>
        <w:t>NetHope</w:t>
      </w:r>
      <w:r>
        <w:rPr>
          <w:rFonts w:ascii="Traditional Arabic" w:hAnsi="Traditional Arabic" w:cs="Traditional Arabic"/>
          <w:sz w:val="24"/>
          <w:szCs w:val="24"/>
          <w:highlight w:val="yellow"/>
          <w:rtl/>
        </w:rPr>
        <w:t>, 2023)، وهو دمج علمي رائد لم يُختبر بهذا الشمول في البيئة العربية والمحلية مسبقاً.</w:t>
      </w:r>
    </w:p>
    <w:p w14:paraId="0C143CE6" w14:textId="77777777" w:rsidR="00A109ED" w:rsidRPr="005F5C76" w:rsidRDefault="00A109ED" w:rsidP="00A109ED">
      <w:pPr>
        <w:pBdr>
          <w:top w:val="nil"/>
          <w:left w:val="nil"/>
          <w:bottom w:val="nil"/>
          <w:right w:val="nil"/>
          <w:between w:val="nil"/>
        </w:pBdr>
        <w:bidi/>
        <w:spacing w:line="360" w:lineRule="auto"/>
        <w:ind w:left="600"/>
        <w:jc w:val="both"/>
        <w:rPr>
          <w:rFonts w:ascii="Traditional Arabic" w:hAnsi="Traditional Arabic" w:cs="Traditional Arabic"/>
          <w:sz w:val="24"/>
          <w:szCs w:val="24"/>
        </w:rPr>
      </w:pPr>
    </w:p>
    <w:p w14:paraId="0DA860E1" w14:textId="59D3EAA9" w:rsidR="008615C2" w:rsidRPr="005F5C76" w:rsidRDefault="00000000" w:rsidP="00A109ED">
      <w:pPr>
        <w:pStyle w:val="3"/>
        <w:bidi/>
        <w:spacing w:before="0" w:after="0" w:line="360" w:lineRule="auto"/>
        <w:jc w:val="both"/>
        <w:rPr>
          <w:rFonts w:ascii="Traditional Arabic" w:hAnsi="Traditional Arabic" w:cs="Traditional Arabic"/>
        </w:rPr>
      </w:pPr>
      <w:r>
        <w:rPr>
          <w:rFonts w:ascii="Traditional Arabic" w:hAnsi="Traditional Arabic" w:cs="Traditional Arabic"/>
          <w:rtl/>
        </w:rPr>
        <w:t>2-5-1: الأهمية التطبيقية (العملية):</w:t>
      </w:r>
    </w:p>
    <w:p w14:paraId="0F994C7E" w14:textId="77777777" w:rsidR="008615C2" w:rsidRPr="005F5C76" w:rsidRDefault="00000000" w:rsidP="00A109ED">
      <w:pPr>
        <w:numPr>
          <w:ilvl w:val="0"/>
          <w:numId w:val="8"/>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سد الفجوة الميدانية في القطاع غير الربحي: تندر الدراسات الميدانية الهيكلية الرصينة لتبني الذكاء الاصطناعي وحوكمته داخل الكيانات الأهلية السعودية، وتأتي هذه الدراسة لتزود الكوادر الإدارية بأداة تقييم موضوعية تؤطر مسيرتهم نحو الرقمنة الفعالة وتساعدهم في قياس فاعلية نظم أتمتة العمليات والتحول التنظيمي (حكمي وآخرون, 2022).</w:t>
      </w:r>
    </w:p>
    <w:p w14:paraId="07182C75" w14:textId="77777777" w:rsidR="008615C2" w:rsidRPr="005F5C76" w:rsidRDefault="00000000" w:rsidP="00A109ED">
      <w:pPr>
        <w:numPr>
          <w:ilvl w:val="0"/>
          <w:numId w:val="8"/>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المواءمة الاستراتيجية مع رؤية المملكة 2030: تتماشى الدراسة بشكل مباشر مع برنامج التحول الوطني ومستهدفات المركز الوطني لتنمية القطاع غير الربحي الرامية للوصول بمستويات الحوكمة والشفافية والتميز المؤسسي في المنظمات الأهلية إلى مستويات عالية تضمن استدامتها (المركز الوطني لتنمية القطاع غير الربحي، 2024).</w:t>
      </w:r>
    </w:p>
    <w:p w14:paraId="456E3E33" w14:textId="5DEDB6D5" w:rsidR="008615C2" w:rsidRPr="00305577" w:rsidRDefault="00000000" w:rsidP="00A109ED">
      <w:pPr>
        <w:numPr>
          <w:ilvl w:val="0"/>
          <w:numId w:val="8"/>
        </w:numPr>
        <w:pBdr>
          <w:top w:val="nil"/>
          <w:left w:val="nil"/>
          <w:bottom w:val="nil"/>
          <w:right w:val="nil"/>
          <w:between w:val="nil"/>
        </w:pBdr>
        <w:bidi/>
        <w:spacing w:line="360" w:lineRule="auto"/>
        <w:jc w:val="both"/>
        <w:rPr>
          <w:rFonts w:ascii="Traditional Arabic" w:hAnsi="Traditional Arabic" w:cs="Traditional Arabic"/>
          <w:sz w:val="24"/>
          <w:szCs w:val="24"/>
          <w:highlight w:val="yellow"/>
        </w:rPr>
      </w:pPr>
      <w:r>
        <w:rPr>
          <w:rFonts w:ascii="Traditional Arabic" w:hAnsi="Traditional Arabic" w:cs="Traditional Arabic"/>
          <w:sz w:val="24"/>
          <w:szCs w:val="24"/>
          <w:highlight w:val="yellow"/>
          <w:rtl/>
        </w:rPr>
        <w:t xml:space="preserve">دعم وتمكين صناع القرار وتقليل المخاطر التشغيلية: توفر الدراسة أدلة إحصائية ميدانية </w:t>
      </w:r>
      <w:r>
        <w:rPr>
          <w:rFonts w:ascii="Traditional Arabic" w:hAnsi="Traditional Arabic" w:cs="Traditional Arabic" w:hint="cs"/>
          <w:sz w:val="24"/>
          <w:szCs w:val="24"/>
          <w:highlight w:val="yellow"/>
          <w:rtl/>
        </w:rPr>
        <w:t>قد تساعد</w:t>
      </w:r>
      <w:r>
        <w:rPr>
          <w:rFonts w:ascii="Traditional Arabic" w:hAnsi="Traditional Arabic" w:cs="Traditional Arabic"/>
          <w:sz w:val="24"/>
          <w:szCs w:val="24"/>
          <w:highlight w:val="yellow"/>
          <w:rtl/>
        </w:rPr>
        <w:t xml:space="preserve"> مجالس الإدارة والمديرين التنفيذيين بالجمعيات والمؤسسات الأهلية من توجيه استثماراتهم التقنية المستقبلية بكفاءة، وقيادة جهود التغيير للتغلب على مقاومة التحول الرقمي ومكافحة فشل المشاريع التقنية (</w:t>
      </w:r>
      <w:r>
        <w:rPr>
          <w:rFonts w:ascii="Traditional Arabic" w:hAnsi="Traditional Arabic" w:cs="Traditional Arabic"/>
          <w:sz w:val="24"/>
          <w:szCs w:val="24"/>
          <w:highlight w:val="yellow"/>
        </w:rPr>
        <w:t>Brewer</w:t>
      </w:r>
      <w:r>
        <w:rPr>
          <w:rFonts w:ascii="Traditional Arabic" w:hAnsi="Traditional Arabic" w:cs="Traditional Arabic"/>
          <w:sz w:val="24"/>
          <w:szCs w:val="24"/>
          <w:highlight w:val="yellow"/>
          <w:rtl/>
        </w:rPr>
        <w:t>, 2023). كما تسهم في ضمان حماية بيانات المستفيدين الحساسة والامتثال لنظام حماية البيانات الشخصية (</w:t>
      </w:r>
      <w:r>
        <w:rPr>
          <w:rFonts w:ascii="Traditional Arabic" w:hAnsi="Traditional Arabic" w:cs="Traditional Arabic"/>
          <w:sz w:val="24"/>
          <w:szCs w:val="24"/>
          <w:highlight w:val="yellow"/>
        </w:rPr>
        <w:t>PDPL</w:t>
      </w:r>
      <w:r>
        <w:rPr>
          <w:rFonts w:ascii="Traditional Arabic" w:hAnsi="Traditional Arabic" w:cs="Traditional Arabic"/>
          <w:sz w:val="24"/>
          <w:szCs w:val="24"/>
          <w:highlight w:val="yellow"/>
          <w:rtl/>
        </w:rPr>
        <w:t>) تفادياً لأي غرامات قد تصل لـ 5 ملايين ريال سعودي (الهيئة السعودية للبيانات والذكاء الاصطناعي [سدايا]، 2024)</w:t>
      </w:r>
      <w:r>
        <w:rPr>
          <w:rFonts w:ascii="Traditional Arabic" w:hAnsi="Traditional Arabic" w:cs="Traditional Arabic" w:hint="cs"/>
          <w:sz w:val="24"/>
          <w:szCs w:val="24"/>
          <w:highlight w:val="yellow"/>
          <w:rtl/>
        </w:rPr>
        <w:t>، فيما لو تم الأخذ بها</w:t>
      </w:r>
      <w:r>
        <w:rPr>
          <w:rFonts w:ascii="Traditional Arabic" w:hAnsi="Traditional Arabic" w:cs="Traditional Arabic"/>
          <w:sz w:val="24"/>
          <w:szCs w:val="24"/>
          <w:highlight w:val="yellow"/>
          <w:rtl/>
        </w:rPr>
        <w:t>.</w:t>
      </w:r>
    </w:p>
    <w:p w14:paraId="61A0B341" w14:textId="77777777" w:rsidR="00A109ED" w:rsidRPr="005F5C76" w:rsidRDefault="00A109ED" w:rsidP="00A109ED">
      <w:pPr>
        <w:pBdr>
          <w:top w:val="nil"/>
          <w:left w:val="nil"/>
          <w:bottom w:val="nil"/>
          <w:right w:val="nil"/>
          <w:between w:val="nil"/>
        </w:pBdr>
        <w:bidi/>
        <w:spacing w:line="360" w:lineRule="auto"/>
        <w:ind w:left="600"/>
        <w:jc w:val="both"/>
        <w:rPr>
          <w:rFonts w:ascii="Traditional Arabic" w:hAnsi="Traditional Arabic" w:cs="Traditional Arabic"/>
          <w:sz w:val="24"/>
          <w:szCs w:val="24"/>
        </w:rPr>
      </w:pPr>
    </w:p>
    <w:p w14:paraId="3154FF1F" w14:textId="373C3AA3" w:rsidR="008615C2" w:rsidRPr="005F5C76" w:rsidRDefault="00000000" w:rsidP="00A109ED">
      <w:pPr>
        <w:pStyle w:val="2"/>
        <w:bidi/>
        <w:spacing w:before="0" w:after="0"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6-1: نموذج ومتغيرات الدراسة</w:t>
      </w:r>
    </w:p>
    <w:p w14:paraId="24CC24E0" w14:textId="0F5532FE" w:rsidR="008615C2" w:rsidRPr="00A109ED"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يعكس نموذج الدراسة التفاعلاتِ المباشرة وغير المباشرة بين المتغيرات الأساسية الثلاثة، إذ يربط المتغيرَ المستقل بالمتغير التابع عبر الممر الوسيط للنضج </w:t>
      </w:r>
      <w:r>
        <w:rPr>
          <w:rFonts w:ascii="Traditional Arabic" w:hAnsi="Traditional Arabic" w:cs="Traditional Arabic"/>
          <w:sz w:val="24"/>
          <w:szCs w:val="24"/>
          <w:rtl/>
        </w:rPr>
        <w:lastRenderedPageBreak/>
        <w:t>الرقمي. ويُمثَّل الشكل (1-1) هذه العلاقات البنائية على النحو الآتي:</w:t>
      </w:r>
    </w:p>
    <w:p w14:paraId="77343716" w14:textId="691A217C" w:rsidR="005F5C76" w:rsidRDefault="00A109ED" w:rsidP="008048E3">
      <w:pPr>
        <w:pStyle w:val="3"/>
        <w:bidi/>
        <w:spacing w:before="0" w:after="0" w:line="360" w:lineRule="auto"/>
        <w:jc w:val="both"/>
        <w:rPr>
          <w:rFonts w:ascii="Traditional Arabic" w:hAnsi="Traditional Arabic" w:cs="Traditional Arabic"/>
          <w:rtl/>
        </w:rPr>
      </w:pPr>
      <w:r>
        <w:rPr>
          <w:rFonts w:ascii="Traditional Arabic" w:hAnsi="Traditional Arabic" w:cs="Traditional Arabic"/>
          <w:noProof/>
          <w:rtl/>
          <w:lang w:val="ar-SA"/>
        </w:rPr>
        <mc:AlternateContent>
          <mc:Choice Requires="wpg">
            <w:drawing>
              <wp:anchor distT="0" distB="0" distL="114300" distR="114300" simplePos="0" relativeHeight="251659264" behindDoc="0" locked="0" layoutInCell="1" allowOverlap="1" wp14:anchorId="42F679B8" wp14:editId="3E36C702">
                <wp:simplePos x="0" y="0"/>
                <wp:positionH relativeFrom="column">
                  <wp:posOffset>763905</wp:posOffset>
                </wp:positionH>
                <wp:positionV relativeFrom="paragraph">
                  <wp:posOffset>573881</wp:posOffset>
                </wp:positionV>
                <wp:extent cx="4609474" cy="2244217"/>
                <wp:effectExtent l="0" t="0" r="13335" b="0"/>
                <wp:wrapTopAndBottom/>
                <wp:docPr id="1356387768" name="مجموعة 17"/>
                <wp:cNvGraphicFramePr/>
                <a:graphic xmlns:a="http://schemas.openxmlformats.org/drawingml/2006/main">
                  <a:graphicData uri="http://schemas.microsoft.com/office/word/2010/wordprocessingGroup">
                    <wpg:wgp>
                      <wpg:cNvGrpSpPr/>
                      <wpg:grpSpPr>
                        <a:xfrm>
                          <a:off x="0" y="0"/>
                          <a:ext cx="4609474" cy="2244217"/>
                          <a:chOff x="0" y="0"/>
                          <a:chExt cx="4609474" cy="2244217"/>
                        </a:xfrm>
                      </wpg:grpSpPr>
                      <wps:wsp>
                        <wps:cNvPr id="1065159328" name="مستطيل 1"/>
                        <wps:cNvSpPr/>
                        <wps:spPr>
                          <a:xfrm>
                            <a:off x="1114425" y="0"/>
                            <a:ext cx="2149806" cy="532014"/>
                          </a:xfrm>
                          <a:prstGeom prst="rect">
                            <a:avLst/>
                          </a:prstGeom>
                          <a:ln w="6350"/>
                        </wps:spPr>
                        <wps:style>
                          <a:lnRef idx="2">
                            <a:schemeClr val="dk1"/>
                          </a:lnRef>
                          <a:fillRef idx="1">
                            <a:schemeClr val="lt1"/>
                          </a:fillRef>
                          <a:effectRef idx="0">
                            <a:schemeClr val="dk1"/>
                          </a:effectRef>
                          <a:fontRef idx="minor">
                            <a:schemeClr val="dk1"/>
                          </a:fontRef>
                        </wps:style>
                        <wps:txbx>
                          <w:txbxContent>
                            <w:p w14:paraId="7BAA01D8" w14:textId="77777777" w:rsidR="00A109ED" w:rsidRPr="00A109ED" w:rsidRDefault="00A109ED" w:rsidP="00A109ED">
                              <w:pPr>
                                <w:jc w:val="center"/>
                                <w:rPr>
                                  <w:rFonts w:ascii="Traditional Arabic" w:hAnsi="Traditional Arabic" w:cs="Traditional Arabic"/>
                                  <w:rtl/>
                                </w:rPr>
                              </w:pPr>
                              <w:r>
                                <w:rPr>
                                  <w:rFonts w:ascii="Traditional Arabic" w:hAnsi="Traditional Arabic" w:cs="Traditional Arabic"/>
                                  <w:rtl/>
                                </w:rPr>
                                <w:t>النضج الرقمي (متغير وسيط)</w:t>
                              </w:r>
                            </w:p>
                            <w:p w14:paraId="4415AAD1" w14:textId="77777777" w:rsidR="00A109ED" w:rsidRPr="00A109ED" w:rsidRDefault="00A109ED" w:rsidP="00A109ED">
                              <w:pPr>
                                <w:jc w:val="center"/>
                                <w:rPr>
                                  <w:rFonts w:ascii="Traditional Arabic" w:hAnsi="Traditional Arabic" w:cs="Traditional Arabic"/>
                                </w:rPr>
                              </w:pPr>
                              <w:r>
                                <w:rPr>
                                  <w:rFonts w:ascii="Traditional Arabic" w:hAnsi="Traditional Arabic" w:cs="Traditional Arabic"/>
                                  <w:rtl/>
                                </w:rPr>
                                <w:t>(تكنولوجيا، ثقافة، عمليات، رؤى)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233538" name="مستطيل 1"/>
                        <wps:cNvSpPr/>
                        <wps:spPr>
                          <a:xfrm>
                            <a:off x="2614613" y="1000125"/>
                            <a:ext cx="1994861" cy="532014"/>
                          </a:xfrm>
                          <a:prstGeom prst="rect">
                            <a:avLst/>
                          </a:prstGeom>
                          <a:ln w="6350"/>
                        </wps:spPr>
                        <wps:style>
                          <a:lnRef idx="2">
                            <a:schemeClr val="dk1"/>
                          </a:lnRef>
                          <a:fillRef idx="1">
                            <a:schemeClr val="lt1"/>
                          </a:fillRef>
                          <a:effectRef idx="0">
                            <a:schemeClr val="dk1"/>
                          </a:effectRef>
                          <a:fontRef idx="minor">
                            <a:schemeClr val="dk1"/>
                          </a:fontRef>
                        </wps:style>
                        <wps:txbx>
                          <w:txbxContent>
                            <w:p w14:paraId="0E46DB30" w14:textId="77777777" w:rsidR="00A109ED" w:rsidRPr="00A109ED" w:rsidRDefault="00A109ED" w:rsidP="00A109ED">
                              <w:pPr>
                                <w:jc w:val="center"/>
                                <w:rPr>
                                  <w:rFonts w:ascii="Traditional Arabic" w:hAnsi="Traditional Arabic" w:cs="Traditional Arabic"/>
                                  <w:rtl/>
                                </w:rPr>
                              </w:pPr>
                              <w:r>
                                <w:rPr>
                                  <w:rFonts w:ascii="Traditional Arabic" w:hAnsi="Traditional Arabic" w:cs="Traditional Arabic"/>
                                  <w:rtl/>
                                </w:rPr>
                                <w:t>جودة القرار الإداري (تابع)</w:t>
                              </w:r>
                            </w:p>
                            <w:p w14:paraId="4F5369F2" w14:textId="77777777" w:rsidR="00A109ED" w:rsidRPr="00A109ED" w:rsidRDefault="00A109ED" w:rsidP="00A109ED">
                              <w:pPr>
                                <w:jc w:val="center"/>
                                <w:rPr>
                                  <w:rFonts w:ascii="Traditional Arabic" w:hAnsi="Traditional Arabic" w:cs="Traditional Arabic"/>
                                </w:rPr>
                              </w:pPr>
                              <w:r>
                                <w:rPr>
                                  <w:rFonts w:ascii="Traditional Arabic" w:hAnsi="Traditional Arabic" w:cs="Traditional Arabic"/>
                                  <w:rtl/>
                                </w:rPr>
                                <w:t>(استراتيجية، حوكمة، بيانات، بنية تحتية)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48601665" name="مستطيل 1"/>
                        <wps:cNvSpPr/>
                        <wps:spPr>
                          <a:xfrm>
                            <a:off x="0" y="1000125"/>
                            <a:ext cx="1994861" cy="532014"/>
                          </a:xfrm>
                          <a:prstGeom prst="rect">
                            <a:avLst/>
                          </a:prstGeom>
                          <a:ln w="6350"/>
                        </wps:spPr>
                        <wps:style>
                          <a:lnRef idx="2">
                            <a:schemeClr val="dk1"/>
                          </a:lnRef>
                          <a:fillRef idx="1">
                            <a:schemeClr val="lt1"/>
                          </a:fillRef>
                          <a:effectRef idx="0">
                            <a:schemeClr val="dk1"/>
                          </a:effectRef>
                          <a:fontRef idx="minor">
                            <a:schemeClr val="dk1"/>
                          </a:fontRef>
                        </wps:style>
                        <wps:txbx>
                          <w:txbxContent>
                            <w:p w14:paraId="4E145AE1" w14:textId="77777777" w:rsidR="00A109ED" w:rsidRPr="00A109ED" w:rsidRDefault="00A109ED" w:rsidP="00A109ED">
                              <w:pPr>
                                <w:jc w:val="center"/>
                                <w:rPr>
                                  <w:rFonts w:ascii="Traditional Arabic" w:hAnsi="Traditional Arabic" w:cs="Traditional Arabic"/>
                                  <w:rtl/>
                                </w:rPr>
                              </w:pPr>
                              <w:r>
                                <w:rPr>
                                  <w:rFonts w:ascii="Traditional Arabic" w:hAnsi="Traditional Arabic" w:cs="Traditional Arabic"/>
                                  <w:rtl/>
                                </w:rPr>
                                <w:t>تبني الذكاء الاصطناعي (مستقل)</w:t>
                              </w:r>
                            </w:p>
                            <w:p w14:paraId="7DEF4E24" w14:textId="77777777" w:rsidR="00A109ED" w:rsidRPr="00A109ED" w:rsidRDefault="00A109ED" w:rsidP="00A109ED">
                              <w:pPr>
                                <w:jc w:val="center"/>
                                <w:rPr>
                                  <w:rFonts w:ascii="Traditional Arabic" w:hAnsi="Traditional Arabic" w:cs="Traditional Arabic"/>
                                </w:rPr>
                              </w:pPr>
                              <w:r>
                                <w:rPr>
                                  <w:rFonts w:ascii="Traditional Arabic" w:hAnsi="Traditional Arabic" w:cs="Traditional Arabic"/>
                                  <w:rtl/>
                                </w:rPr>
                                <w:t>(عقلانية، توقيت، دقة، كفاءة)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44206635" name="رابط كسهم مستقيم 10"/>
                        <wps:cNvCnPr/>
                        <wps:spPr>
                          <a:xfrm flipH="1">
                            <a:off x="1993107" y="1250950"/>
                            <a:ext cx="624976" cy="0"/>
                          </a:xfrm>
                          <a:prstGeom prst="straightConnector1">
                            <a:avLst/>
                          </a:prstGeom>
                          <a:ln w="3175">
                            <a:tailEnd type="triangle"/>
                          </a:ln>
                        </wps:spPr>
                        <wps:style>
                          <a:lnRef idx="1">
                            <a:schemeClr val="dk1"/>
                          </a:lnRef>
                          <a:fillRef idx="0">
                            <a:schemeClr val="dk1"/>
                          </a:fillRef>
                          <a:effectRef idx="0">
                            <a:schemeClr val="dk1"/>
                          </a:effectRef>
                          <a:fontRef idx="minor">
                            <a:schemeClr val="tx1"/>
                          </a:fontRef>
                        </wps:style>
                        <wps:bodyPr/>
                      </wps:wsp>
                      <wps:wsp>
                        <wps:cNvPr id="1305432098" name="رابط كسهم مستقيم 11"/>
                        <wps:cNvCnPr/>
                        <wps:spPr>
                          <a:xfrm flipV="1">
                            <a:off x="3071019" y="532606"/>
                            <a:ext cx="0" cy="462388"/>
                          </a:xfrm>
                          <a:prstGeom prst="straightConnector1">
                            <a:avLst/>
                          </a:prstGeom>
                          <a:ln w="31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937192726" name="رابط كسهم مستقيم 12"/>
                        <wps:cNvCnPr/>
                        <wps:spPr>
                          <a:xfrm>
                            <a:off x="1506538" y="535781"/>
                            <a:ext cx="0" cy="462388"/>
                          </a:xfrm>
                          <a:prstGeom prst="straightConnector1">
                            <a:avLst/>
                          </a:prstGeom>
                          <a:ln w="31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g:grpSp>
                        <wpg:cNvPr id="207314090" name="مجموعة 15"/>
                        <wpg:cNvGrpSpPr/>
                        <wpg:grpSpPr>
                          <a:xfrm>
                            <a:off x="1506538" y="1525587"/>
                            <a:ext cx="1606269" cy="335700"/>
                            <a:chOff x="0" y="0"/>
                            <a:chExt cx="1606274" cy="335722"/>
                          </a:xfrm>
                        </wpg:grpSpPr>
                        <wps:wsp>
                          <wps:cNvPr id="2077586905" name="رابط كسهم مستقيم 11"/>
                          <wps:cNvCnPr/>
                          <wps:spPr>
                            <a:xfrm flipV="1">
                              <a:off x="1657" y="25400"/>
                              <a:ext cx="0" cy="310322"/>
                            </a:xfrm>
                            <a:prstGeom prst="straightConnector1">
                              <a:avLst/>
                            </a:prstGeom>
                            <a:ln w="31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856866281" name="موصل مستقيم 13"/>
                          <wps:cNvCnPr/>
                          <wps:spPr>
                            <a:xfrm>
                              <a:off x="0" y="335722"/>
                              <a:ext cx="1606274" cy="0"/>
                            </a:xfrm>
                            <a:prstGeom prst="line">
                              <a:avLst/>
                            </a:prstGeom>
                            <a:ln w="3175">
                              <a:solidFill>
                                <a:schemeClr val="tx1"/>
                              </a:solidFill>
                            </a:ln>
                          </wps:spPr>
                          <wps:style>
                            <a:lnRef idx="1">
                              <a:schemeClr val="dk1"/>
                            </a:lnRef>
                            <a:fillRef idx="0">
                              <a:schemeClr val="dk1"/>
                            </a:fillRef>
                            <a:effectRef idx="0">
                              <a:schemeClr val="dk1"/>
                            </a:effectRef>
                            <a:fontRef idx="minor">
                              <a:schemeClr val="tx1"/>
                            </a:fontRef>
                          </wps:style>
                          <wps:bodyPr/>
                        </wps:wsp>
                        <wps:wsp>
                          <wps:cNvPr id="76944982" name="موصل مستقيم 14"/>
                          <wps:cNvCnPr/>
                          <wps:spPr>
                            <a:xfrm flipV="1">
                              <a:off x="1603513" y="0"/>
                              <a:ext cx="0" cy="333872"/>
                            </a:xfrm>
                            <a:prstGeom prst="line">
                              <a:avLst/>
                            </a:prstGeom>
                            <a:ln w="3175">
                              <a:solidFill>
                                <a:schemeClr val="tx1"/>
                              </a:solidFill>
                            </a:ln>
                          </wps:spPr>
                          <wps:style>
                            <a:lnRef idx="1">
                              <a:schemeClr val="dk1"/>
                            </a:lnRef>
                            <a:fillRef idx="0">
                              <a:schemeClr val="dk1"/>
                            </a:fillRef>
                            <a:effectRef idx="0">
                              <a:schemeClr val="dk1"/>
                            </a:effectRef>
                            <a:fontRef idx="minor">
                              <a:schemeClr val="tx1"/>
                            </a:fontRef>
                          </wps:style>
                          <wps:bodyPr/>
                        </wps:wsp>
                      </wpg:grpSp>
                      <wps:wsp>
                        <wps:cNvPr id="256049496" name="مستطيل 1"/>
                        <wps:cNvSpPr/>
                        <wps:spPr>
                          <a:xfrm>
                            <a:off x="1314450" y="1964531"/>
                            <a:ext cx="1994529" cy="279686"/>
                          </a:xfrm>
                          <a:prstGeom prst="rect">
                            <a:avLst/>
                          </a:prstGeom>
                          <a:noFill/>
                          <a:ln w="6350">
                            <a:noFill/>
                          </a:ln>
                        </wps:spPr>
                        <wps:style>
                          <a:lnRef idx="2">
                            <a:schemeClr val="dk1"/>
                          </a:lnRef>
                          <a:fillRef idx="1">
                            <a:schemeClr val="lt1"/>
                          </a:fillRef>
                          <a:effectRef idx="0">
                            <a:schemeClr val="dk1"/>
                          </a:effectRef>
                          <a:fontRef idx="minor">
                            <a:schemeClr val="dk1"/>
                          </a:fontRef>
                        </wps:style>
                        <wps:txbx>
                          <w:txbxContent>
                            <w:p w14:paraId="6095A433" w14:textId="77777777" w:rsidR="00A109ED" w:rsidRPr="00A109ED" w:rsidRDefault="00A109ED" w:rsidP="00A109ED">
                              <w:pPr>
                                <w:bidi/>
                                <w:jc w:val="center"/>
                                <w:rPr>
                                  <w:rFonts w:ascii="Traditional Arabic" w:hAnsi="Traditional Arabic" w:cs="Traditional Arabic"/>
                                </w:rPr>
                              </w:pPr>
                              <w:r>
                                <w:rPr>
                                  <w:rFonts w:ascii="Traditional Arabic" w:hAnsi="Traditional Arabic" w:cs="Traditional Arabic"/>
                                  <w:rtl/>
                                </w:rPr>
                                <w:t>التأثير الوسيط عبر (</w:t>
                              </w:r>
                              <w:r>
                                <w:rPr>
                                  <w:rFonts w:ascii="Traditional Arabic" w:hAnsi="Traditional Arabic" w:cs="Traditional Arabic"/>
                                </w:rPr>
                                <w:t>H2+H3</w:t>
                              </w:r>
                              <w:r>
                                <w:rPr>
                                  <w:rFonts w:ascii="Traditional Arabic" w:hAnsi="Traditional Arabic" w:cs="Traditional Arabic"/>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72933565" name="مستطيل 1"/>
                        <wps:cNvSpPr/>
                        <wps:spPr>
                          <a:xfrm>
                            <a:off x="2150269" y="1743075"/>
                            <a:ext cx="353391" cy="256191"/>
                          </a:xfrm>
                          <a:prstGeom prst="rect">
                            <a:avLst/>
                          </a:prstGeom>
                          <a:solidFill>
                            <a:schemeClr val="bg1"/>
                          </a:solidFill>
                          <a:ln w="6350">
                            <a:noFill/>
                          </a:ln>
                        </wps:spPr>
                        <wps:style>
                          <a:lnRef idx="2">
                            <a:schemeClr val="dk1"/>
                          </a:lnRef>
                          <a:fillRef idx="1">
                            <a:schemeClr val="lt1"/>
                          </a:fillRef>
                          <a:effectRef idx="0">
                            <a:schemeClr val="dk1"/>
                          </a:effectRef>
                          <a:fontRef idx="minor">
                            <a:schemeClr val="dk1"/>
                          </a:fontRef>
                        </wps:style>
                        <wps:txbx>
                          <w:txbxContent>
                            <w:p w14:paraId="67C932BC" w14:textId="77777777" w:rsidR="00A109ED" w:rsidRPr="00A109ED" w:rsidRDefault="00A109ED" w:rsidP="00A109ED">
                              <w:pPr>
                                <w:bidi/>
                                <w:jc w:val="center"/>
                                <w:rPr>
                                  <w:rFonts w:ascii="Traditional Arabic" w:hAnsi="Traditional Arabic" w:cs="Traditional Arabic"/>
                                  <w:sz w:val="20"/>
                                  <w:szCs w:val="20"/>
                                </w:rPr>
                              </w:pPr>
                              <w:r>
                                <w:rPr>
                                  <w:rFonts w:ascii="Traditional Arabic" w:hAnsi="Traditional Arabic" w:cs="Traditional Arabic"/>
                                  <w:sz w:val="20"/>
                                  <w:szCs w:val="20"/>
                                </w:rP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9858073" name="مستطيل 1"/>
                        <wps:cNvSpPr/>
                        <wps:spPr>
                          <a:xfrm>
                            <a:off x="2078832" y="1278731"/>
                            <a:ext cx="467910" cy="256191"/>
                          </a:xfrm>
                          <a:prstGeom prst="rect">
                            <a:avLst/>
                          </a:prstGeom>
                          <a:solidFill>
                            <a:schemeClr val="bg1"/>
                          </a:solidFill>
                          <a:ln w="6350">
                            <a:noFill/>
                          </a:ln>
                        </wps:spPr>
                        <wps:style>
                          <a:lnRef idx="2">
                            <a:schemeClr val="dk1"/>
                          </a:lnRef>
                          <a:fillRef idx="1">
                            <a:schemeClr val="lt1"/>
                          </a:fillRef>
                          <a:effectRef idx="0">
                            <a:schemeClr val="dk1"/>
                          </a:effectRef>
                          <a:fontRef idx="minor">
                            <a:schemeClr val="dk1"/>
                          </a:fontRef>
                        </wps:style>
                        <wps:txbx>
                          <w:txbxContent>
                            <w:p w14:paraId="2CAC39F4" w14:textId="77777777" w:rsidR="00A109ED" w:rsidRPr="00A109ED" w:rsidRDefault="00A109ED" w:rsidP="00A109ED">
                              <w:pPr>
                                <w:bidi/>
                                <w:jc w:val="center"/>
                                <w:rPr>
                                  <w:rFonts w:ascii="Traditional Arabic" w:hAnsi="Traditional Arabic" w:cs="Traditional Arabic"/>
                                  <w:sz w:val="20"/>
                                  <w:szCs w:val="20"/>
                                </w:rPr>
                              </w:pPr>
                              <w:r>
                                <w:rPr>
                                  <w:rFonts w:ascii="Traditional Arabic" w:hAnsi="Traditional Arabic" w:cs="Traditional Arabic"/>
                                  <w:sz w:val="20"/>
                                  <w:szCs w:val="20"/>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72284161" name="مستطيل 1"/>
                        <wps:cNvSpPr/>
                        <wps:spPr>
                          <a:xfrm>
                            <a:off x="3128963" y="671512"/>
                            <a:ext cx="467910" cy="256191"/>
                          </a:xfrm>
                          <a:prstGeom prst="rect">
                            <a:avLst/>
                          </a:prstGeom>
                          <a:solidFill>
                            <a:schemeClr val="bg1"/>
                          </a:solidFill>
                          <a:ln w="6350">
                            <a:noFill/>
                          </a:ln>
                        </wps:spPr>
                        <wps:style>
                          <a:lnRef idx="2">
                            <a:schemeClr val="dk1"/>
                          </a:lnRef>
                          <a:fillRef idx="1">
                            <a:schemeClr val="lt1"/>
                          </a:fillRef>
                          <a:effectRef idx="0">
                            <a:schemeClr val="dk1"/>
                          </a:effectRef>
                          <a:fontRef idx="minor">
                            <a:schemeClr val="dk1"/>
                          </a:fontRef>
                        </wps:style>
                        <wps:txbx>
                          <w:txbxContent>
                            <w:p w14:paraId="66380F71" w14:textId="77777777" w:rsidR="00A109ED" w:rsidRPr="00A109ED" w:rsidRDefault="00A109ED" w:rsidP="00A109ED">
                              <w:pPr>
                                <w:bidi/>
                                <w:jc w:val="center"/>
                                <w:rPr>
                                  <w:rFonts w:ascii="Traditional Arabic" w:hAnsi="Traditional Arabic" w:cs="Traditional Arabic"/>
                                  <w:sz w:val="20"/>
                                  <w:szCs w:val="20"/>
                                </w:rPr>
                              </w:pPr>
                              <w:r>
                                <w:rPr>
                                  <w:rFonts w:ascii="Traditional Arabic" w:hAnsi="Traditional Arabic" w:cs="Traditional Arabic"/>
                                  <w:sz w:val="20"/>
                                  <w:szCs w:val="20"/>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95400275" name="مستطيل 1"/>
                        <wps:cNvSpPr/>
                        <wps:spPr>
                          <a:xfrm>
                            <a:off x="1000125" y="635794"/>
                            <a:ext cx="467910" cy="256191"/>
                          </a:xfrm>
                          <a:prstGeom prst="rect">
                            <a:avLst/>
                          </a:prstGeom>
                          <a:solidFill>
                            <a:schemeClr val="bg1"/>
                          </a:solidFill>
                          <a:ln w="6350">
                            <a:noFill/>
                          </a:ln>
                        </wps:spPr>
                        <wps:style>
                          <a:lnRef idx="2">
                            <a:schemeClr val="dk1"/>
                          </a:lnRef>
                          <a:fillRef idx="1">
                            <a:schemeClr val="lt1"/>
                          </a:fillRef>
                          <a:effectRef idx="0">
                            <a:schemeClr val="dk1"/>
                          </a:effectRef>
                          <a:fontRef idx="minor">
                            <a:schemeClr val="dk1"/>
                          </a:fontRef>
                        </wps:style>
                        <wps:txbx>
                          <w:txbxContent>
                            <w:p w14:paraId="0FB55F09" w14:textId="77777777" w:rsidR="00A109ED" w:rsidRPr="00A109ED" w:rsidRDefault="00A109ED" w:rsidP="00A109ED">
                              <w:pPr>
                                <w:bidi/>
                                <w:jc w:val="center"/>
                                <w:rPr>
                                  <w:rFonts w:ascii="Traditional Arabic" w:hAnsi="Traditional Arabic" w:cs="Traditional Arabic"/>
                                  <w:sz w:val="20"/>
                                  <w:szCs w:val="20"/>
                                </w:rPr>
                              </w:pPr>
                              <w:r>
                                <w:rPr>
                                  <w:rFonts w:ascii="Traditional Arabic" w:hAnsi="Traditional Arabic" w:cs="Traditional Arabic"/>
                                  <w:sz w:val="20"/>
                                  <w:szCs w:val="20"/>
                                </w:rP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42F679B8" id="مجموعة 17" o:spid="_x0000_s1028" style="position:absolute;left:0;text-align:left;margin-left:60.15pt;margin-top:45.2pt;width:362.95pt;height:176.7pt;z-index:251659264" coordsize="46094,224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">
                <v:rect id="مستطيل 1" o:spid="_x0000_s1029" style="position:absolute;left:11144;width:21498;height:53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" fillcolor="white [3201]" strokecolor="black [3200]" strokeweight=".5pt">
                  <v:textbox>
                    <w:txbxContent>
                      <w:p w14:paraId="7BAA01D8" w14:textId="77777777" w:rsidR="00A109ED" w:rsidRPr="00A109ED" w:rsidRDefault="00A109ED" w:rsidP="00A109ED">
                        <w:pPr>
                          <w:jc w:val="center"/>
                          <w:rPr>
                            <w:rFonts w:ascii="Traditional Arabic" w:hAnsi="Traditional Arabic" w:cs="Traditional Arabic"/>
                            <w:rtl/>
                          </w:rPr>
                        </w:pPr>
                        <w:r>
                          <w:rPr>
                            <w:rFonts w:ascii="Traditional Arabic" w:hAnsi="Traditional Arabic" w:cs="Traditional Arabic"/>
                            <w:rtl/>
                          </w:rPr>
                          <w:t>النضج الرقمي (متغير وسيط)</w:t>
                        </w:r>
                      </w:p>
                      <w:p w14:paraId="4415AAD1" w14:textId="77777777" w:rsidR="00A109ED" w:rsidRPr="00A109ED" w:rsidRDefault="00A109ED" w:rsidP="00A109ED">
                        <w:pPr>
                          <w:jc w:val="center"/>
                          <w:rPr>
                            <w:rFonts w:ascii="Traditional Arabic" w:hAnsi="Traditional Arabic" w:cs="Traditional Arabic"/>
                          </w:rPr>
                        </w:pPr>
                        <w:r>
                          <w:rPr>
                            <w:rFonts w:ascii="Traditional Arabic" w:hAnsi="Traditional Arabic" w:cs="Traditional Arabic"/>
                            <w:rtl/>
                          </w:rPr>
                          <w:t>(تكنولوجيا، ثقافة، عمليات، رؤى)</w:t>
                        </w:r>
                      </w:p>
                    </w:txbxContent>
                  </v:textbox>
                </v:rect>
                <v:rect id="مستطيل 1" o:spid="_x0000_s1030" style="position:absolute;left:26146;top:10001;width:19948;height:53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" fillcolor="white [3201]" strokecolor="black [3200]" strokeweight=".5pt">
                  <v:textbox>
                    <w:txbxContent>
                      <w:p w14:paraId="0E46DB30" w14:textId="77777777" w:rsidR="00A109ED" w:rsidRPr="00A109ED" w:rsidRDefault="00A109ED" w:rsidP="00A109ED">
                        <w:pPr>
                          <w:jc w:val="center"/>
                          <w:rPr>
                            <w:rFonts w:ascii="Traditional Arabic" w:hAnsi="Traditional Arabic" w:cs="Traditional Arabic"/>
                            <w:rtl/>
                          </w:rPr>
                        </w:pPr>
                        <w:r>
                          <w:rPr>
                            <w:rFonts w:ascii="Traditional Arabic" w:hAnsi="Traditional Arabic" w:cs="Traditional Arabic"/>
                            <w:rtl/>
                          </w:rPr>
                          <w:t>جودة القرار الإداري (تابع)</w:t>
                        </w:r>
                      </w:p>
                      <w:p w14:paraId="4F5369F2" w14:textId="77777777" w:rsidR="00A109ED" w:rsidRPr="00A109ED" w:rsidRDefault="00A109ED" w:rsidP="00A109ED">
                        <w:pPr>
                          <w:jc w:val="center"/>
                          <w:rPr>
                            <w:rFonts w:ascii="Traditional Arabic" w:hAnsi="Traditional Arabic" w:cs="Traditional Arabic"/>
                          </w:rPr>
                        </w:pPr>
                        <w:r>
                          <w:rPr>
                            <w:rFonts w:ascii="Traditional Arabic" w:hAnsi="Traditional Arabic" w:cs="Traditional Arabic"/>
                            <w:rtl/>
                          </w:rPr>
                          <w:t>(استراتيجية، حوكمة، بيانات، بنية تحتية)</w:t>
                        </w:r>
                      </w:p>
                    </w:txbxContent>
                  </v:textbox>
                </v:rect>
                <v:rect id="مستطيل 1" o:spid="_x0000_s1031" style="position:absolute;top:10001;width:19948;height:53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" fillcolor="white [3201]" strokecolor="black [3200]" strokeweight=".5pt">
                  <v:textbox>
                    <w:txbxContent>
                      <w:p w14:paraId="4E145AE1" w14:textId="77777777" w:rsidR="00A109ED" w:rsidRPr="00A109ED" w:rsidRDefault="00A109ED" w:rsidP="00A109ED">
                        <w:pPr>
                          <w:jc w:val="center"/>
                          <w:rPr>
                            <w:rFonts w:ascii="Traditional Arabic" w:hAnsi="Traditional Arabic" w:cs="Traditional Arabic"/>
                            <w:rtl/>
                          </w:rPr>
                        </w:pPr>
                        <w:r>
                          <w:rPr>
                            <w:rFonts w:ascii="Traditional Arabic" w:hAnsi="Traditional Arabic" w:cs="Traditional Arabic"/>
                            <w:rtl/>
                          </w:rPr>
                          <w:t>تبني الذكاء الاصطناعي (مستقل)</w:t>
                        </w:r>
                      </w:p>
                      <w:p w14:paraId="7DEF4E24" w14:textId="77777777" w:rsidR="00A109ED" w:rsidRPr="00A109ED" w:rsidRDefault="00A109ED" w:rsidP="00A109ED">
                        <w:pPr>
                          <w:jc w:val="center"/>
                          <w:rPr>
                            <w:rFonts w:ascii="Traditional Arabic" w:hAnsi="Traditional Arabic" w:cs="Traditional Arabic"/>
                          </w:rPr>
                        </w:pPr>
                        <w:r>
                          <w:rPr>
                            <w:rFonts w:ascii="Traditional Arabic" w:hAnsi="Traditional Arabic" w:cs="Traditional Arabic"/>
                            <w:rtl/>
                          </w:rPr>
                          <w:t>(عقلانية، توقيت، دقة، كفاءة)</w:t>
                        </w:r>
                      </w:p>
                    </w:txbxContent>
                  </v:textbox>
                </v:rect>
                <v:shapetype id="_x0000_t32" coordsize="21600,21600" o:spt="32" o:oned="t" path="m,l21600,21600e" filled="f">
                  <v:path arrowok="t" fillok="f" o:connecttype="none"/>
                  <o:lock v:ext="edit" shapetype="t"/>
                </v:shapetype>
                <v:shape id="رابط كسهم مستقيم 10" o:spid="_x0000_s1032" type="#_x0000_t32" style="position:absolute;left:19931;top:12509;width:6249;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" strokecolor="black [3040]" strokeweight=".25pt">
                  <v:stroke endarrow="block"/>
                </v:shape>
                <v:shape id="رابط كسهم مستقيم 11" o:spid="_x0000_s1033" type="#_x0000_t32" style="position:absolute;left:30710;top:5326;width:0;height:4623;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" strokecolor="black [3213]" strokeweight=".25pt">
                  <v:stroke endarrow="block"/>
                </v:shape>
                <v:shape id="رابط كسهم مستقيم 12" o:spid="_x0000_s1034" type="#_x0000_t32" style="position:absolute;left:15065;top:5357;width:0;height:462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" strokecolor="black [3213]" strokeweight=".25pt">
                  <v:stroke endarrow="block"/>
                </v:shape>
                <v:group id="مجموعة 15" o:spid="_x0000_s1035" style="position:absolute;left:15065;top:15255;width:16063;height:3357" coordsize="16062,33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">
                  <v:shape id="رابط كسهم مستقيم 11" o:spid="_x0000_s1036" type="#_x0000_t32" style="position:absolute;left:16;top:254;width:0;height:3103;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" strokecolor="black [3213]" strokeweight=".25pt">
                    <v:stroke endarrow="block"/>
                  </v:shape>
                  <v:line id="موصل مستقيم 13" o:spid="_x0000_s1037" style="position:absolute;visibility:visible;mso-wrap-style:square" from="0,3357" to="16062,3357"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" strokecolor="black [3213]" strokeweight=".25pt"/>
                  <v:line id="موصل مستقيم 14" o:spid="_x0000_s1038" style="position:absolute;flip:y;visibility:visible;mso-wrap-style:square" from="16035,0" to="16035,3338"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" strokecolor="black [3213]" strokeweight=".25pt"/>
                </v:group>
                <v:rect id="مستطيل 1" o:spid="_x0000_s1039" style="position:absolute;left:13144;top:19645;width:19945;height:27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" filled="f" stroked="f" strokeweight=".5pt">
                  <v:textbox>
                    <w:txbxContent>
                      <w:p w14:paraId="6095A433" w14:textId="77777777" w:rsidR="00A109ED" w:rsidRPr="00A109ED" w:rsidRDefault="00A109ED" w:rsidP="00A109ED">
                        <w:pPr>
                          <w:bidi/>
                          <w:jc w:val="center"/>
                          <w:rPr>
                            <w:rFonts w:ascii="Traditional Arabic" w:hAnsi="Traditional Arabic" w:cs="Traditional Arabic"/>
                          </w:rPr>
                        </w:pPr>
                        <w:r>
                          <w:rPr>
                            <w:rFonts w:ascii="Traditional Arabic" w:hAnsi="Traditional Arabic" w:cs="Traditional Arabic"/>
                            <w:rtl/>
                          </w:rPr>
                          <w:t>التأثير الوسيط عبر (</w:t>
                        </w:r>
                        <w:r>
                          <w:rPr>
                            <w:rFonts w:ascii="Traditional Arabic" w:hAnsi="Traditional Arabic" w:cs="Traditional Arabic"/>
                          </w:rPr>
                          <w:t>H2+H3</w:t>
                        </w:r>
                        <w:r>
                          <w:rPr>
                            <w:rFonts w:ascii="Traditional Arabic" w:hAnsi="Traditional Arabic" w:cs="Traditional Arabic"/>
                            <w:rtl/>
                          </w:rPr>
                          <w:t>)</w:t>
                        </w:r>
                      </w:p>
                    </w:txbxContent>
                  </v:textbox>
                </v:rect>
                <v:rect id="مستطيل 1" o:spid="_x0000_s1040" style="position:absolute;left:21502;top:17430;width:3534;height:25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" fillcolor="white [3212]" stroked="f" strokeweight=".5pt">
                  <v:textbox>
                    <w:txbxContent>
                      <w:p w14:paraId="67C932BC" w14:textId="77777777" w:rsidR="00A109ED" w:rsidRPr="00A109ED" w:rsidRDefault="00A109ED" w:rsidP="00A109ED">
                        <w:pPr>
                          <w:bidi/>
                          <w:jc w:val="center"/>
                          <w:rPr>
                            <w:rFonts w:ascii="Traditional Arabic" w:hAnsi="Traditional Arabic" w:cs="Traditional Arabic"/>
                            <w:sz w:val="20"/>
                            <w:szCs w:val="20"/>
                          </w:rPr>
                        </w:pPr>
                        <w:r>
                          <w:rPr>
                            <w:rFonts w:ascii="Traditional Arabic" w:hAnsi="Traditional Arabic" w:cs="Traditional Arabic"/>
                            <w:sz w:val="20"/>
                            <w:szCs w:val="20"/>
                          </w:rPr>
                          <w:t>H4</w:t>
                        </w:r>
                      </w:p>
                    </w:txbxContent>
                  </v:textbox>
                </v:rect>
                <v:rect id="مستطيل 1" o:spid="_x0000_s1041" style="position:absolute;left:20788;top:12787;width:4679;height:25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" fillcolor="white [3212]" stroked="f" strokeweight=".5pt">
                  <v:textbox>
                    <w:txbxContent>
                      <w:p w14:paraId="2CAC39F4" w14:textId="77777777" w:rsidR="00A109ED" w:rsidRPr="00A109ED" w:rsidRDefault="00A109ED" w:rsidP="00A109ED">
                        <w:pPr>
                          <w:bidi/>
                          <w:jc w:val="center"/>
                          <w:rPr>
                            <w:rFonts w:ascii="Traditional Arabic" w:hAnsi="Traditional Arabic" w:cs="Traditional Arabic"/>
                            <w:sz w:val="20"/>
                            <w:szCs w:val="20"/>
                          </w:rPr>
                        </w:pPr>
                        <w:r>
                          <w:rPr>
                            <w:rFonts w:ascii="Traditional Arabic" w:hAnsi="Traditional Arabic" w:cs="Traditional Arabic"/>
                            <w:sz w:val="20"/>
                            <w:szCs w:val="20"/>
                          </w:rPr>
                          <w:t>(H1)</w:t>
                        </w:r>
                      </w:p>
                    </w:txbxContent>
                  </v:textbox>
                </v:rect>
                <v:rect id="مستطيل 1" o:spid="_x0000_s1042" style="position:absolute;left:31289;top:6715;width:4679;height:25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" fillcolor="white [3212]" stroked="f" strokeweight=".5pt">
                  <v:textbox>
                    <w:txbxContent>
                      <w:p w14:paraId="66380F71" w14:textId="77777777" w:rsidR="00A109ED" w:rsidRPr="00A109ED" w:rsidRDefault="00A109ED" w:rsidP="00A109ED">
                        <w:pPr>
                          <w:bidi/>
                          <w:jc w:val="center"/>
                          <w:rPr>
                            <w:rFonts w:ascii="Traditional Arabic" w:hAnsi="Traditional Arabic" w:cs="Traditional Arabic"/>
                            <w:sz w:val="20"/>
                            <w:szCs w:val="20"/>
                          </w:rPr>
                        </w:pPr>
                        <w:r>
                          <w:rPr>
                            <w:rFonts w:ascii="Traditional Arabic" w:hAnsi="Traditional Arabic" w:cs="Traditional Arabic"/>
                            <w:sz w:val="20"/>
                            <w:szCs w:val="20"/>
                          </w:rPr>
                          <w:t>(H2)</w:t>
                        </w:r>
                      </w:p>
                    </w:txbxContent>
                  </v:textbox>
                </v:rect>
                <v:rect id="مستطيل 1" o:spid="_x0000_s1043" style="position:absolute;left:10001;top:6357;width:4679;height:256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" fillcolor="white [3212]" stroked="f" strokeweight=".5pt">
                  <v:textbox>
                    <w:txbxContent>
                      <w:p w14:paraId="0FB55F09" w14:textId="77777777" w:rsidR="00A109ED" w:rsidRPr="00A109ED" w:rsidRDefault="00A109ED" w:rsidP="00A109ED">
                        <w:pPr>
                          <w:bidi/>
                          <w:jc w:val="center"/>
                          <w:rPr>
                            <w:rFonts w:ascii="Traditional Arabic" w:hAnsi="Traditional Arabic" w:cs="Traditional Arabic"/>
                            <w:sz w:val="20"/>
                            <w:szCs w:val="20"/>
                          </w:rPr>
                        </w:pPr>
                        <w:r>
                          <w:rPr>
                            <w:rFonts w:ascii="Traditional Arabic" w:hAnsi="Traditional Arabic" w:cs="Traditional Arabic"/>
                            <w:sz w:val="20"/>
                            <w:szCs w:val="20"/>
                          </w:rPr>
                          <w:t>(H3)</w:t>
                        </w:r>
                      </w:p>
                    </w:txbxContent>
                  </v:textbox>
                </v:rect>
                <w10:wrap type="topAndBottom"/>
              </v:group>
            </w:pict>
          </mc:Fallback>
        </mc:AlternateContent>
      </w:r>
    </w:p>
    <w:p w14:paraId="023CDC17" w14:textId="51D28D29" w:rsidR="00A109ED" w:rsidRDefault="00A109ED" w:rsidP="00A109ED">
      <w:pPr>
        <w:pStyle w:val="3"/>
        <w:bidi/>
        <w:spacing w:before="0" w:after="0" w:line="360" w:lineRule="auto"/>
        <w:jc w:val="both"/>
        <w:rPr>
          <w:rFonts w:ascii="Traditional Arabic" w:hAnsi="Traditional Arabic" w:cs="Traditional Arabic"/>
          <w:rtl/>
        </w:rPr>
      </w:pPr>
    </w:p>
    <w:p w14:paraId="46AF6C55" w14:textId="40F498D8" w:rsidR="008615C2" w:rsidRPr="00A109ED" w:rsidRDefault="00000000" w:rsidP="00A109ED">
      <w:pPr>
        <w:pStyle w:val="3"/>
        <w:bidi/>
        <w:spacing w:before="0" w:after="0" w:line="360" w:lineRule="auto"/>
        <w:jc w:val="center"/>
        <w:rPr>
          <w:rFonts w:ascii="Traditional Arabic" w:hAnsi="Traditional Arabic" w:cs="Traditional Arabic"/>
          <w:b w:val="0"/>
          <w:bCs w:val="0"/>
          <w:sz w:val="24"/>
          <w:szCs w:val="24"/>
          <w:rtl/>
        </w:rPr>
      </w:pPr>
      <w:r>
        <w:rPr>
          <w:rFonts w:ascii="Traditional Arabic" w:hAnsi="Traditional Arabic" w:cs="Traditional Arabic"/>
          <w:b w:val="0"/>
          <w:bCs w:val="0"/>
          <w:sz w:val="24"/>
          <w:szCs w:val="24"/>
          <w:rtl/>
        </w:rPr>
        <w:t>الشكل (1-1): النموذج الهيكلي المقترح للدراسة</w:t>
      </w:r>
    </w:p>
    <w:p w14:paraId="5643CD9C" w14:textId="5D899E0C" w:rsidR="008615C2" w:rsidRPr="005F5C76" w:rsidRDefault="00000000" w:rsidP="00A109ED">
      <w:pPr>
        <w:pBdr>
          <w:top w:val="nil"/>
          <w:left w:val="nil"/>
          <w:bottom w:val="nil"/>
          <w:right w:val="nil"/>
          <w:between w:val="nil"/>
        </w:pBdr>
        <w:bidi/>
        <w:spacing w:line="360" w:lineRule="auto"/>
        <w:jc w:val="center"/>
        <w:rPr>
          <w:rFonts w:ascii="Traditional Arabic" w:hAnsi="Traditional Arabic" w:cs="Traditional Arabic"/>
        </w:rPr>
      </w:pPr>
      <w:r>
        <w:rPr>
          <w:rFonts w:ascii="Traditional Arabic" w:hAnsi="Traditional Arabic" w:cs="Traditional Arabic"/>
          <w:highlight w:val="yellow"/>
          <w:rtl/>
        </w:rPr>
        <w:t xml:space="preserve">المصدر: </w:t>
      </w:r>
      <w:r>
        <w:rPr>
          <w:rFonts w:ascii="Traditional Arabic" w:hAnsi="Traditional Arabic" w:cs="Traditional Arabic" w:hint="cs"/>
          <w:highlight w:val="yellow"/>
          <w:rtl/>
        </w:rPr>
        <w:t>إعداد الباحث بالاستفادة من الدراسات السابقة.</w:t>
      </w:r>
    </w:p>
    <w:p w14:paraId="25B19292" w14:textId="77777777" w:rsidR="00A109ED" w:rsidRDefault="00A109ED" w:rsidP="00A109ED">
      <w:pPr>
        <w:pStyle w:val="2"/>
        <w:bidi/>
        <w:spacing w:before="0" w:after="0" w:line="360" w:lineRule="auto"/>
        <w:jc w:val="both"/>
        <w:rPr>
          <w:rFonts w:ascii="Traditional Arabic" w:hAnsi="Traditional Arabic" w:cs="Traditional Arabic"/>
          <w:sz w:val="32"/>
          <w:szCs w:val="32"/>
          <w:rtl/>
        </w:rPr>
      </w:pPr>
    </w:p>
    <w:p w14:paraId="69EE9C1C" w14:textId="6D09A2A5" w:rsidR="008615C2" w:rsidRPr="00A109ED" w:rsidRDefault="00000000" w:rsidP="00A109ED">
      <w:pPr>
        <w:pStyle w:val="2"/>
        <w:bidi/>
        <w:spacing w:before="0" w:after="0"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7-1: مفاهيم الدراسة وتعريفاتها</w:t>
      </w:r>
    </w:p>
    <w:p w14:paraId="01E7CDBF" w14:textId="214B5313"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المفاهيم العلمية المرتبطة بالمتغيرات، </w:t>
      </w:r>
      <w:r w:rsidR="00B80974">
        <w:rPr>
          <w:rFonts w:ascii="Traditional Arabic" w:hAnsi="Traditional Arabic" w:cs="Traditional Arabic" w:hint="cs"/>
          <w:sz w:val="24"/>
          <w:szCs w:val="24"/>
          <w:rtl/>
        </w:rPr>
        <w:t>والفرق</w:t>
      </w:r>
      <w:r>
        <w:rPr>
          <w:rFonts w:ascii="Traditional Arabic" w:hAnsi="Traditional Arabic" w:cs="Traditional Arabic"/>
          <w:sz w:val="24"/>
          <w:szCs w:val="24"/>
          <w:rtl/>
        </w:rPr>
        <w:t xml:space="preserve"> بين المفهوم الاصطلاحي المستمد من الأدبيات، والمفهوم الإجرائي التطبيقي الذي سيخضع للقياس الكمي في هذه الدراسة:</w:t>
      </w:r>
    </w:p>
    <w:p w14:paraId="3D757F39" w14:textId="77777777" w:rsidR="00A109ED" w:rsidRDefault="00A109ED" w:rsidP="00A109ED">
      <w:pPr>
        <w:pStyle w:val="3"/>
        <w:bidi/>
        <w:spacing w:before="0" w:after="0" w:line="360" w:lineRule="auto"/>
        <w:jc w:val="both"/>
        <w:rPr>
          <w:rFonts w:ascii="Traditional Arabic" w:hAnsi="Traditional Arabic" w:cs="Traditional Arabic"/>
          <w:rtl/>
        </w:rPr>
      </w:pPr>
    </w:p>
    <w:p w14:paraId="34CCB742" w14:textId="2850C3D5" w:rsidR="008615C2" w:rsidRPr="00A109ED" w:rsidRDefault="00000000" w:rsidP="00A109ED">
      <w:pPr>
        <w:pStyle w:val="3"/>
        <w:bidi/>
        <w:spacing w:before="0" w:after="0" w:line="360" w:lineRule="auto"/>
        <w:jc w:val="both"/>
        <w:rPr>
          <w:rFonts w:ascii="Traditional Arabic" w:hAnsi="Traditional Arabic" w:cs="Traditional Arabic"/>
        </w:rPr>
      </w:pPr>
      <w:r>
        <w:rPr>
          <w:rFonts w:ascii="Traditional Arabic" w:hAnsi="Traditional Arabic" w:cs="Traditional Arabic"/>
          <w:rtl/>
        </w:rPr>
        <w:t>المفاهيم الاصطلاحية:</w:t>
      </w:r>
    </w:p>
    <w:p w14:paraId="2C9F3287" w14:textId="1E983585" w:rsidR="008615C2" w:rsidRPr="005F5C76" w:rsidRDefault="00000000" w:rsidP="00A109ED">
      <w:pPr>
        <w:numPr>
          <w:ilvl w:val="0"/>
          <w:numId w:val="9"/>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تبني الذكاء الاصطناعي (</w:t>
      </w:r>
      <w:r>
        <w:rPr>
          <w:rFonts w:ascii="Traditional Arabic" w:hAnsi="Traditional Arabic" w:cs="Traditional Arabic"/>
        </w:rPr>
        <w:t>Artificial Intelligence Adoption</w:t>
      </w:r>
      <w:r>
        <w:rPr>
          <w:rFonts w:ascii="Traditional Arabic" w:hAnsi="Traditional Arabic" w:cs="Traditional Arabic"/>
          <w:sz w:val="24"/>
          <w:szCs w:val="24"/>
          <w:rtl/>
        </w:rPr>
        <w:t>): هو عملية دمج واستخدام التقنيات الحاسوبية المتقدمة التي تحاكي الذكاء البشري — كخوارزميات تعلّم الآلة والتعلم العميق والذكاء الاصطناعي التوليدي — وتطبيقها رسمياً داخل العمليات اليومية والاستراتيجية للمنظمة لتغيير طريقة العمل وصنع القيمة الاجتماعية (</w:t>
      </w:r>
      <w:r>
        <w:rPr>
          <w:rFonts w:ascii="Traditional Arabic" w:hAnsi="Traditional Arabic" w:cs="Traditional Arabic"/>
          <w:sz w:val="24"/>
          <w:szCs w:val="24"/>
        </w:rPr>
        <w:t>Fortinet</w:t>
      </w:r>
      <w:r>
        <w:rPr>
          <w:rFonts w:ascii="Traditional Arabic" w:hAnsi="Traditional Arabic" w:cs="Traditional Arabic"/>
          <w:sz w:val="24"/>
          <w:szCs w:val="24"/>
          <w:rtl/>
        </w:rPr>
        <w:t>, 2024).</w:t>
      </w:r>
    </w:p>
    <w:p w14:paraId="72621D76" w14:textId="3317E200" w:rsidR="008615C2" w:rsidRPr="005F5C76" w:rsidRDefault="00000000" w:rsidP="00A109ED">
      <w:pPr>
        <w:numPr>
          <w:ilvl w:val="0"/>
          <w:numId w:val="9"/>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النضج الرقمي (</w:t>
      </w:r>
      <w:r>
        <w:rPr>
          <w:rFonts w:ascii="Traditional Arabic" w:hAnsi="Traditional Arabic" w:cs="Traditional Arabic"/>
        </w:rPr>
        <w:t>Digital Maturity</w:t>
      </w:r>
      <w:r>
        <w:rPr>
          <w:rFonts w:ascii="Traditional Arabic" w:hAnsi="Traditional Arabic" w:cs="Traditional Arabic"/>
          <w:sz w:val="24"/>
          <w:szCs w:val="24"/>
          <w:rtl/>
        </w:rPr>
        <w:t xml:space="preserve">): هو مدى تطور قدرة المنظمة الشاملة واستعدادها المستمر لتهيئة هيكلها وعملياتها وثقافتها </w:t>
      </w:r>
      <w:r>
        <w:rPr>
          <w:rFonts w:ascii="Traditional Arabic" w:hAnsi="Traditional Arabic" w:cs="Traditional Arabic"/>
          <w:sz w:val="24"/>
          <w:szCs w:val="24"/>
          <w:rtl/>
        </w:rPr>
        <w:lastRenderedPageBreak/>
        <w:t>التنظيمية ومواردها البشرية للتكيف والاندماج مع البيئة التكنولوجية المتغيرة، لتحقيق أهدافها التنموية بكفاءة (</w:t>
      </w:r>
      <w:r>
        <w:rPr>
          <w:rFonts w:ascii="Traditional Arabic" w:hAnsi="Traditional Arabic" w:cs="Traditional Arabic"/>
          <w:sz w:val="24"/>
          <w:szCs w:val="24"/>
        </w:rPr>
        <w:t>Aslanova &amp; Kulichkina</w:t>
      </w:r>
      <w:r>
        <w:rPr>
          <w:rFonts w:ascii="Traditional Arabic" w:hAnsi="Traditional Arabic" w:cs="Traditional Arabic"/>
          <w:sz w:val="24"/>
          <w:szCs w:val="24"/>
          <w:rtl/>
        </w:rPr>
        <w:t>, 2020).</w:t>
      </w:r>
    </w:p>
    <w:p w14:paraId="39112F74" w14:textId="71B0E6EC" w:rsidR="008615C2" w:rsidRPr="005F5C76" w:rsidRDefault="00000000" w:rsidP="00A109ED">
      <w:pPr>
        <w:numPr>
          <w:ilvl w:val="0"/>
          <w:numId w:val="9"/>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جودة القرار الإداري (</w:t>
      </w:r>
      <w:r>
        <w:rPr>
          <w:rFonts w:ascii="Traditional Arabic" w:hAnsi="Traditional Arabic" w:cs="Traditional Arabic"/>
        </w:rPr>
        <w:t>Administrative Decision Quality</w:t>
      </w:r>
      <w:r>
        <w:rPr>
          <w:rFonts w:ascii="Traditional Arabic" w:hAnsi="Traditional Arabic" w:cs="Traditional Arabic"/>
          <w:sz w:val="24"/>
          <w:szCs w:val="24"/>
          <w:rtl/>
        </w:rPr>
        <w:t>): هي عملية منهجية تضمن اتخاذ قرارات مبنية على العقلانية والمنطق والبيانات الدقيقة والموثوقة، بما يُسهم في تحقيق أهداف المنظمة بأعلى كفاءة وأقل مخاطر وهدر مالي وزمني (</w:t>
      </w:r>
      <w:r>
        <w:rPr>
          <w:rFonts w:ascii="Traditional Arabic" w:hAnsi="Traditional Arabic" w:cs="Traditional Arabic"/>
          <w:sz w:val="24"/>
          <w:szCs w:val="24"/>
        </w:rPr>
        <w:t>Center for Decision Quality</w:t>
      </w:r>
      <w:r>
        <w:rPr>
          <w:rFonts w:ascii="Traditional Arabic" w:hAnsi="Traditional Arabic" w:cs="Traditional Arabic"/>
          <w:sz w:val="24"/>
          <w:szCs w:val="24"/>
          <w:rtl/>
        </w:rPr>
        <w:t>, 2024).</w:t>
      </w:r>
    </w:p>
    <w:p w14:paraId="5CD77928" w14:textId="77777777" w:rsidR="00A109ED" w:rsidRDefault="00A109ED" w:rsidP="00A109ED">
      <w:pPr>
        <w:pStyle w:val="3"/>
        <w:bidi/>
        <w:spacing w:before="0" w:after="0" w:line="360" w:lineRule="auto"/>
        <w:jc w:val="both"/>
        <w:rPr>
          <w:rFonts w:ascii="Traditional Arabic" w:hAnsi="Traditional Arabic" w:cs="Traditional Arabic"/>
          <w:rtl/>
        </w:rPr>
      </w:pPr>
    </w:p>
    <w:p w14:paraId="63564B15" w14:textId="5F9E7410" w:rsidR="008615C2" w:rsidRPr="00A109ED" w:rsidRDefault="00000000" w:rsidP="00A109ED">
      <w:pPr>
        <w:pStyle w:val="3"/>
        <w:bidi/>
        <w:spacing w:before="0" w:after="0" w:line="360" w:lineRule="auto"/>
        <w:jc w:val="both"/>
        <w:rPr>
          <w:rFonts w:ascii="Traditional Arabic" w:hAnsi="Traditional Arabic" w:cs="Traditional Arabic"/>
        </w:rPr>
      </w:pPr>
      <w:r>
        <w:rPr>
          <w:rFonts w:ascii="Traditional Arabic" w:hAnsi="Traditional Arabic" w:cs="Traditional Arabic"/>
          <w:rtl/>
        </w:rPr>
        <w:t>التعريفات الإجرائية:</w:t>
      </w:r>
    </w:p>
    <w:p w14:paraId="008B4B96" w14:textId="04DFA17E" w:rsidR="008615C2" w:rsidRPr="005F5C76" w:rsidRDefault="00725851" w:rsidP="00A109ED">
      <w:pPr>
        <w:numPr>
          <w:ilvl w:val="0"/>
          <w:numId w:val="10"/>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تبني الذكاء الاصطناعي (</w:t>
      </w:r>
      <w:r>
        <w:rPr>
          <w:rFonts w:ascii="Traditional Arabic" w:hAnsi="Traditional Arabic" w:cs="Traditional Arabic"/>
        </w:rPr>
        <w:t>Artificial Intelligence Adoption</w:t>
      </w:r>
      <w:r>
        <w:rPr>
          <w:rFonts w:ascii="Traditional Arabic" w:hAnsi="Traditional Arabic" w:cs="Traditional Arabic"/>
          <w:sz w:val="24"/>
          <w:szCs w:val="24"/>
          <w:rtl/>
        </w:rPr>
        <w:t xml:space="preserve">) اجرائيًا: هو التقييم الذاتي من قِبَل القيادات الإدارية لمدى تفعيل وتطبيق تطبيقات الذكاء الاصطناعي في </w:t>
      </w:r>
      <w:r w:rsidR="00B80974">
        <w:rPr>
          <w:rFonts w:ascii="Traditional Arabic" w:hAnsi="Traditional Arabic" w:cs="Traditional Arabic" w:hint="cs"/>
          <w:sz w:val="24"/>
          <w:szCs w:val="24"/>
          <w:rtl/>
        </w:rPr>
        <w:t>المنظمة</w:t>
      </w:r>
      <w:r>
        <w:rPr>
          <w:rFonts w:ascii="Traditional Arabic" w:hAnsi="Traditional Arabic" w:cs="Traditional Arabic"/>
          <w:sz w:val="24"/>
          <w:szCs w:val="24"/>
          <w:rtl/>
        </w:rPr>
        <w:t>، ويُقاس عبر الأبعاد الأربعة لإطار سدايا لعام 2024 (الاستراتيجية، الحوكمة، البيانات، البنية التحتية) باستخدام الاستبانة المُعدَّة للدراسة.</w:t>
      </w:r>
    </w:p>
    <w:p w14:paraId="7ADF5CA1" w14:textId="687BD45B" w:rsidR="008615C2" w:rsidRPr="005F5C76" w:rsidRDefault="00725851" w:rsidP="00A109ED">
      <w:pPr>
        <w:numPr>
          <w:ilvl w:val="0"/>
          <w:numId w:val="10"/>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النضج الرقمي (</w:t>
      </w:r>
      <w:r>
        <w:rPr>
          <w:rFonts w:ascii="Traditional Arabic" w:hAnsi="Traditional Arabic" w:cs="Traditional Arabic"/>
        </w:rPr>
        <w:t>Digital Maturity</w:t>
      </w:r>
      <w:r>
        <w:rPr>
          <w:rFonts w:ascii="Traditional Arabic" w:hAnsi="Traditional Arabic" w:cs="Traditional Arabic"/>
          <w:sz w:val="24"/>
          <w:szCs w:val="24"/>
          <w:rtl/>
        </w:rPr>
        <w:t xml:space="preserve">) اجرائيًا: هو المستوى التنظيمي الفعلي الذي وصلت إليه </w:t>
      </w:r>
      <w:r w:rsidR="002E0C01">
        <w:rPr>
          <w:rFonts w:ascii="Traditional Arabic" w:hAnsi="Traditional Arabic" w:cs="Traditional Arabic" w:hint="cs"/>
          <w:sz w:val="24"/>
          <w:szCs w:val="24"/>
          <w:rtl/>
        </w:rPr>
        <w:t>المنظمة</w:t>
      </w:r>
      <w:r>
        <w:rPr>
          <w:rFonts w:ascii="Traditional Arabic" w:hAnsi="Traditional Arabic" w:cs="Traditional Arabic"/>
          <w:sz w:val="24"/>
          <w:szCs w:val="24"/>
          <w:rtl/>
        </w:rPr>
        <w:t xml:space="preserve"> في رحلة تحولها الرقمي الشامل، ويُقاس بالدرجة الكلية التي يحصل عليها المستجيب في أبعاد نموذج نت هوب لعام 2023 (التكنولوجيا، الثقافة التنظيمية، العمليات، الرؤى).</w:t>
      </w:r>
    </w:p>
    <w:p w14:paraId="65F193F5" w14:textId="0111C4E2" w:rsidR="008615C2" w:rsidRPr="005F5C76" w:rsidRDefault="00725851" w:rsidP="00A109ED">
      <w:pPr>
        <w:numPr>
          <w:ilvl w:val="0"/>
          <w:numId w:val="10"/>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جودة القرار الإداري (</w:t>
      </w:r>
      <w:r>
        <w:rPr>
          <w:rFonts w:ascii="Traditional Arabic" w:hAnsi="Traditional Arabic" w:cs="Traditional Arabic"/>
        </w:rPr>
        <w:t>Administrative Decision Quality</w:t>
      </w:r>
      <w:r>
        <w:rPr>
          <w:rFonts w:ascii="Traditional Arabic" w:hAnsi="Traditional Arabic" w:cs="Traditional Arabic"/>
          <w:sz w:val="24"/>
          <w:szCs w:val="24"/>
          <w:rtl/>
        </w:rPr>
        <w:t xml:space="preserve">) اجرائيًا: هي مدى كفاءة القرارات المتخذة من القيادات العليا </w:t>
      </w:r>
      <w:r w:rsidR="002E0C01">
        <w:rPr>
          <w:rFonts w:ascii="Traditional Arabic" w:hAnsi="Traditional Arabic" w:cs="Traditional Arabic" w:hint="cs"/>
          <w:sz w:val="24"/>
          <w:szCs w:val="24"/>
          <w:rtl/>
        </w:rPr>
        <w:t>بالمنظمة</w:t>
      </w:r>
      <w:r>
        <w:rPr>
          <w:rFonts w:ascii="Traditional Arabic" w:hAnsi="Traditional Arabic" w:cs="Traditional Arabic"/>
          <w:sz w:val="24"/>
          <w:szCs w:val="24"/>
          <w:rtl/>
        </w:rPr>
        <w:t xml:space="preserve"> وفق أربعة أبعاد هي (العقلانية، التوقيت، الدقة، الكفاءة)، وتُقاس إحصائياً بالدرجة التقديرية الممنوحة من قِبَل عينة الدراسة عبر مقياس ليكرت الخماسي.</w:t>
      </w:r>
    </w:p>
    <w:p w14:paraId="7D0DCC9D" w14:textId="77777777" w:rsidR="00A109ED" w:rsidRDefault="00A109ED" w:rsidP="00A109ED">
      <w:pPr>
        <w:pStyle w:val="2"/>
        <w:bidi/>
        <w:spacing w:before="0" w:after="0" w:line="360" w:lineRule="auto"/>
        <w:jc w:val="both"/>
        <w:rPr>
          <w:rFonts w:ascii="Traditional Arabic" w:hAnsi="Traditional Arabic" w:cs="Traditional Arabic"/>
          <w:sz w:val="32"/>
          <w:szCs w:val="32"/>
          <w:rtl/>
        </w:rPr>
      </w:pPr>
    </w:p>
    <w:p w14:paraId="7FC612F7" w14:textId="514FCA39" w:rsidR="008615C2" w:rsidRPr="00A109ED" w:rsidRDefault="00000000" w:rsidP="00A109ED">
      <w:pPr>
        <w:pStyle w:val="2"/>
        <w:bidi/>
        <w:spacing w:before="0" w:after="0"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8-1: حدود الدراسة</w:t>
      </w:r>
    </w:p>
    <w:p w14:paraId="6CD27C52"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لتأطير النتائج وضمان دقتها وقابليتها للتعميم، </w:t>
      </w:r>
      <w:r w:rsidRPr="00F87AE0">
        <w:rPr>
          <w:rFonts w:ascii="Traditional Arabic" w:hAnsi="Traditional Arabic" w:cs="Traditional Arabic"/>
          <w:sz w:val="24"/>
          <w:szCs w:val="24"/>
          <w:highlight w:val="yellow"/>
          <w:rtl/>
        </w:rPr>
        <w:t>يلتزم الباحث</w:t>
      </w:r>
      <w:r>
        <w:rPr>
          <w:rFonts w:ascii="Traditional Arabic" w:hAnsi="Traditional Arabic" w:cs="Traditional Arabic"/>
          <w:sz w:val="24"/>
          <w:szCs w:val="24"/>
          <w:rtl/>
        </w:rPr>
        <w:t xml:space="preserve"> بالحدود الآتية مع تقديم مسوّغات علمية واضحة:</w:t>
      </w:r>
    </w:p>
    <w:p w14:paraId="61F859E3" w14:textId="77777777" w:rsidR="008615C2" w:rsidRPr="005F5C76" w:rsidRDefault="00000000" w:rsidP="00A109ED">
      <w:pPr>
        <w:numPr>
          <w:ilvl w:val="0"/>
          <w:numId w:val="11"/>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الحدود الموضوعية ومسوغاتها: يقتصر البحث موضوعياً على قياس تأثير (تبني الذكاء الاصطناعي) كمتغير مستقل في (جودة القرار الإداري) كمتغير تابع، واختبار الدور الوسيط لـ (النضج الرقمي) كمتغير وسيط. والمسوّغ المنهجي: رغبة الباحث في تفكيك العلاقات المركبة وتوفير نموذج هيكلي دقيق يسهم في تفسير فجوة الكفاءة التقنية دون تشتيت النموذج بمتغيرات فرعية أخرى قد تضعف القوة التفسيرية </w:t>
      </w:r>
      <w:r>
        <w:rPr>
          <w:rFonts w:ascii="Traditional Arabic" w:hAnsi="Traditional Arabic" w:cs="Traditional Arabic"/>
          <w:sz w:val="24"/>
          <w:szCs w:val="24"/>
          <w:rtl/>
        </w:rPr>
        <w:lastRenderedPageBreak/>
        <w:t xml:space="preserve">لـ </w:t>
      </w:r>
      <w:r>
        <w:rPr>
          <w:rFonts w:ascii="Traditional Arabic" w:hAnsi="Traditional Arabic" w:cs="Traditional Arabic"/>
          <w:sz w:val="24"/>
          <w:szCs w:val="24"/>
        </w:rPr>
        <w:t>PLS-SEM</w:t>
      </w:r>
      <w:r>
        <w:rPr>
          <w:rFonts w:ascii="Traditional Arabic" w:hAnsi="Traditional Arabic" w:cs="Traditional Arabic"/>
          <w:sz w:val="24"/>
          <w:szCs w:val="24"/>
          <w:rtl/>
        </w:rPr>
        <w:t>.</w:t>
      </w:r>
    </w:p>
    <w:p w14:paraId="0F9D3C4C" w14:textId="77777777" w:rsidR="008615C2" w:rsidRPr="005F5C76" w:rsidRDefault="00000000" w:rsidP="00A109ED">
      <w:pPr>
        <w:numPr>
          <w:ilvl w:val="0"/>
          <w:numId w:val="11"/>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الحدود المكانية ومسوغاتها: تقتصر الدراسة على منظمات القطاع غير الربحي بفئاتها الثلاث (الجمعيات الأهلية، والمؤسسات الأهلية، والصناديق العائلية) المسجّلة رسمياً في المملكة العربية السعودية تحت إشراف المركز الوطني لتنمية القطاع غير الربحي، والبالغ عددها بدقة 5,757 منظمة بنهاية عام 2024 وفقاً للبيانات المعتمدة للمنجزات الوطنية (المركز الوطني لتنمية القطاع غير الربحي، 2024). والمسوّغ التنظيمي: ريادة المملكة الاستثنائية التي حققت المرتبة الأولى عالمياً في مؤشر الاستراتيجية الحكومية للذكاء الاصطناعي لعام 2023 وفق تصنيف </w:t>
      </w:r>
      <w:r>
        <w:rPr>
          <w:rFonts w:ascii="Traditional Arabic" w:hAnsi="Traditional Arabic" w:cs="Traditional Arabic"/>
          <w:sz w:val="24"/>
          <w:szCs w:val="24"/>
        </w:rPr>
        <w:t>Tortoise Intelligence</w:t>
      </w:r>
      <w:r>
        <w:rPr>
          <w:rFonts w:ascii="Traditional Arabic" w:hAnsi="Traditional Arabic" w:cs="Traditional Arabic"/>
          <w:sz w:val="24"/>
          <w:szCs w:val="24"/>
          <w:rtl/>
        </w:rPr>
        <w:t xml:space="preserve"> (سدايا، 2024)، مما يجعل دراسة بيئتها التنظيمية وتشريعاتها التقنية نموذجاً متميزاً جديراً بالدراسة والتعميم إقليمياً وعالمياً.</w:t>
      </w:r>
    </w:p>
    <w:p w14:paraId="1E1EF97E" w14:textId="39008F42" w:rsidR="008615C2" w:rsidRPr="005F5C76" w:rsidRDefault="00000000" w:rsidP="00A109ED">
      <w:pPr>
        <w:numPr>
          <w:ilvl w:val="0"/>
          <w:numId w:val="11"/>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الحدود الزمنية ومسوغاتها: تُجرى الدراسة خلال الفترة من (202</w:t>
      </w:r>
      <w:r w:rsidR="00F87AE0">
        <w:rPr>
          <w:rFonts w:ascii="Traditional Arabic" w:hAnsi="Traditional Arabic" w:cs="Traditional Arabic" w:hint="cs"/>
          <w:sz w:val="24"/>
          <w:szCs w:val="24"/>
          <w:rtl/>
        </w:rPr>
        <w:t>7</w:t>
      </w:r>
      <w:r>
        <w:rPr>
          <w:rFonts w:ascii="Traditional Arabic" w:hAnsi="Traditional Arabic" w:cs="Traditional Arabic"/>
          <w:sz w:val="24"/>
          <w:szCs w:val="24"/>
          <w:rtl/>
        </w:rPr>
        <w:t xml:space="preserve">م – </w:t>
      </w:r>
      <w:r w:rsidR="00F87AE0">
        <w:rPr>
          <w:rFonts w:ascii="Traditional Arabic" w:hAnsi="Traditional Arabic" w:cs="Traditional Arabic" w:hint="cs"/>
          <w:sz w:val="24"/>
          <w:szCs w:val="24"/>
          <w:rtl/>
        </w:rPr>
        <w:t>202</w:t>
      </w:r>
      <w:r w:rsidR="00966645">
        <w:rPr>
          <w:rFonts w:ascii="Traditional Arabic" w:hAnsi="Traditional Arabic" w:cs="Traditional Arabic" w:hint="cs"/>
          <w:sz w:val="24"/>
          <w:szCs w:val="24"/>
          <w:rtl/>
        </w:rPr>
        <w:t>8</w:t>
      </w:r>
      <w:r>
        <w:rPr>
          <w:rFonts w:ascii="Traditional Arabic" w:hAnsi="Traditional Arabic" w:cs="Traditional Arabic"/>
          <w:sz w:val="24"/>
          <w:szCs w:val="24"/>
          <w:rtl/>
        </w:rPr>
        <w:t>م). والمسوّغ: مواءمة الدراسة مع مرحلة النضج الكامل والبدء في التقييم الفعلي لإطار سدايا لتبني الذكاء الاصطناعي الصادر عن الهيئة لعام (2024)، والتطبيق الإلزامي لنظام حماية البيانات الشخصية (</w:t>
      </w:r>
      <w:r>
        <w:rPr>
          <w:rFonts w:ascii="Traditional Arabic" w:hAnsi="Traditional Arabic" w:cs="Traditional Arabic"/>
          <w:sz w:val="24"/>
          <w:szCs w:val="24"/>
        </w:rPr>
        <w:t>PDPL</w:t>
      </w:r>
      <w:r>
        <w:rPr>
          <w:rFonts w:ascii="Traditional Arabic" w:hAnsi="Traditional Arabic" w:cs="Traditional Arabic"/>
          <w:sz w:val="24"/>
          <w:szCs w:val="24"/>
          <w:rtl/>
        </w:rPr>
        <w:t>) بالمملكة.</w:t>
      </w:r>
    </w:p>
    <w:p w14:paraId="25560DFF" w14:textId="77777777" w:rsidR="008615C2" w:rsidRPr="005F5C76" w:rsidRDefault="00000000" w:rsidP="00A109ED">
      <w:pPr>
        <w:numPr>
          <w:ilvl w:val="0"/>
          <w:numId w:val="11"/>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الحدود البشرية ومسوغاتها: تقتصر عينة الدراسة على الكوادر التي تشغل وظائف قيادية وإشرافية وإدارية وتنفيذية عليا في منظمات القطاع غير الربحي السعودي. والمسوّغ التنظيمي: أن هذه الفئات تمثّل "صناع القرار الفعليين" المنوط بهم رسم الخطط وتخصيص الميزانيات، وهم الأقدر على تقديم تقييم موضوعي وشامل لمستويات النضج الرقمي وتحديات التغيير الثقافي داخل جمعياتهم (حكمي وآخرون، 2022).</w:t>
      </w:r>
    </w:p>
    <w:p w14:paraId="73F64E03" w14:textId="77777777" w:rsidR="00A109ED" w:rsidRDefault="00A109ED" w:rsidP="00A109ED">
      <w:pPr>
        <w:pStyle w:val="2"/>
        <w:bidi/>
        <w:spacing w:before="0" w:after="0" w:line="360" w:lineRule="auto"/>
        <w:jc w:val="both"/>
        <w:rPr>
          <w:rFonts w:ascii="Traditional Arabic" w:hAnsi="Traditional Arabic" w:cs="Traditional Arabic"/>
          <w:sz w:val="32"/>
          <w:szCs w:val="32"/>
          <w:rtl/>
        </w:rPr>
      </w:pPr>
    </w:p>
    <w:p w14:paraId="7163C474" w14:textId="156F900F" w:rsidR="008615C2" w:rsidRPr="00A109ED" w:rsidRDefault="00000000" w:rsidP="00A109ED">
      <w:pPr>
        <w:pStyle w:val="2"/>
        <w:bidi/>
        <w:spacing w:before="0" w:after="0" w:line="360" w:lineRule="auto"/>
        <w:jc w:val="both"/>
        <w:rPr>
          <w:rFonts w:ascii="Traditional Arabic" w:hAnsi="Traditional Arabic" w:cs="Traditional Arabic"/>
          <w:sz w:val="32"/>
          <w:szCs w:val="32"/>
        </w:rPr>
      </w:pPr>
      <w:r>
        <w:rPr>
          <w:rFonts w:ascii="Traditional Arabic" w:hAnsi="Traditional Arabic" w:cs="Traditional Arabic"/>
          <w:sz w:val="32"/>
          <w:szCs w:val="32"/>
          <w:rtl/>
        </w:rPr>
        <w:t>9-1: منهجية وإجراءات الدراسة</w:t>
      </w:r>
    </w:p>
    <w:p w14:paraId="1B7487A9" w14:textId="7DBD6256"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لضمان الدقة والالتزام التام بالمعايير الأكاديمية المعتمدة لرسائل الدكتوراه</w:t>
      </w:r>
      <w:r w:rsidR="00966645">
        <w:rPr>
          <w:rFonts w:ascii="Traditional Arabic" w:hAnsi="Traditional Arabic" w:cs="Traditional Arabic" w:hint="cs"/>
          <w:sz w:val="24"/>
          <w:szCs w:val="24"/>
          <w:rtl/>
        </w:rPr>
        <w:t>، تم اعتماد</w:t>
      </w:r>
      <w:r>
        <w:rPr>
          <w:rFonts w:ascii="Traditional Arabic" w:hAnsi="Traditional Arabic" w:cs="Traditional Arabic"/>
          <w:sz w:val="24"/>
          <w:szCs w:val="24"/>
          <w:rtl/>
        </w:rPr>
        <w:t xml:space="preserve"> التصميم المنهجي والإجراءات المتبعة على النحو الآتي:</w:t>
      </w:r>
    </w:p>
    <w:p w14:paraId="022049C7" w14:textId="77777777" w:rsidR="00A109ED" w:rsidRDefault="00A109ED" w:rsidP="00A109ED">
      <w:pPr>
        <w:pStyle w:val="3"/>
        <w:bidi/>
        <w:spacing w:before="0" w:after="0" w:line="360" w:lineRule="auto"/>
        <w:jc w:val="both"/>
        <w:rPr>
          <w:rFonts w:ascii="Traditional Arabic" w:hAnsi="Traditional Arabic" w:cs="Traditional Arabic"/>
          <w:rtl/>
        </w:rPr>
      </w:pPr>
    </w:p>
    <w:p w14:paraId="60851910" w14:textId="4B1BBCA1" w:rsidR="008615C2" w:rsidRPr="00A109ED" w:rsidRDefault="00000000" w:rsidP="00A109ED">
      <w:pPr>
        <w:pStyle w:val="3"/>
        <w:bidi/>
        <w:spacing w:before="0" w:after="0" w:line="360" w:lineRule="auto"/>
        <w:jc w:val="both"/>
        <w:rPr>
          <w:rFonts w:ascii="Traditional Arabic" w:hAnsi="Traditional Arabic" w:cs="Traditional Arabic"/>
        </w:rPr>
      </w:pPr>
      <w:r>
        <w:rPr>
          <w:rFonts w:ascii="Traditional Arabic" w:hAnsi="Traditional Arabic" w:cs="Traditional Arabic"/>
          <w:rtl/>
        </w:rPr>
        <w:t>1-9-1: منهج الدراسة</w:t>
      </w:r>
    </w:p>
    <w:p w14:paraId="6D1F5D44"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تعتمد الدراسة على المنهج الوصفي التحليلي الارتباطي. ويتلاءم هذا المنهج مع متطلبات نمذجة المعادلات البنائية؛ حيث لا يقف عند مجرد جمع البيانات ووصف مستويات المتغيرات، بل يتجاوز ذلك لتفسير آليات التفاعل والتأثير المباشر وغير المباشر، واختبار دلالة التوسط الإحصائي للنضج الرقمي بكفاءة تنبؤية عالية.</w:t>
      </w:r>
    </w:p>
    <w:p w14:paraId="426ACFCD" w14:textId="77777777" w:rsidR="00A109ED" w:rsidRDefault="00A109ED" w:rsidP="00A109ED">
      <w:pPr>
        <w:pStyle w:val="3"/>
        <w:bidi/>
        <w:spacing w:before="0" w:after="0" w:line="360" w:lineRule="auto"/>
        <w:jc w:val="both"/>
        <w:rPr>
          <w:rFonts w:ascii="Traditional Arabic" w:hAnsi="Traditional Arabic" w:cs="Traditional Arabic"/>
          <w:rtl/>
        </w:rPr>
      </w:pPr>
    </w:p>
    <w:p w14:paraId="6749ED77" w14:textId="2BBB103D" w:rsidR="008615C2" w:rsidRPr="00A109ED" w:rsidRDefault="00000000" w:rsidP="00A109ED">
      <w:pPr>
        <w:pStyle w:val="3"/>
        <w:bidi/>
        <w:spacing w:before="0" w:after="0" w:line="360" w:lineRule="auto"/>
        <w:jc w:val="both"/>
        <w:rPr>
          <w:rFonts w:ascii="Traditional Arabic" w:hAnsi="Traditional Arabic" w:cs="Traditional Arabic"/>
        </w:rPr>
      </w:pPr>
      <w:r>
        <w:rPr>
          <w:rFonts w:ascii="Traditional Arabic" w:hAnsi="Traditional Arabic" w:cs="Traditional Arabic"/>
          <w:rtl/>
        </w:rPr>
        <w:lastRenderedPageBreak/>
        <w:t>2-9-1: مجتمع وعينة الدراسة</w:t>
      </w:r>
    </w:p>
    <w:p w14:paraId="1A27E080" w14:textId="77777777" w:rsidR="008615C2" w:rsidRPr="005F5C76" w:rsidRDefault="00000000" w:rsidP="00A109ED">
      <w:pPr>
        <w:numPr>
          <w:ilvl w:val="0"/>
          <w:numId w:val="12"/>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مجتمع الدراسة: يتكون مجتمع الدراسة من كافة الكوادر الشاغلين للوظائف القيادية والإشرافية والإدارية والتنفيذية في منظمات القطاع غير الربحي العاملة تحت مظلة المركز الوطني لتنمية القطاع غير الربحي في المملكة العربية السعودية، ويُصنَّف هذا القطاع إلى ثلاث فئات رئيسية: (الجمعيات الأهلية، والمؤسسات الأهلية، والصناديق العائلية). ويصل عدد هذه المنظمات المستهدفة إجمالياً إلى 5,757 منظمة بنهاية عام 2024 وفقاً للمؤشرات الرسمية (المركز الوطني لتنمية القطاع غير الربحي، 2024).</w:t>
      </w:r>
    </w:p>
    <w:p w14:paraId="06DC420E" w14:textId="38E5DA94" w:rsidR="008615C2" w:rsidRPr="005F5C76" w:rsidRDefault="00000000" w:rsidP="00A109ED">
      <w:pPr>
        <w:numPr>
          <w:ilvl w:val="0"/>
          <w:numId w:val="12"/>
        </w:num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 xml:space="preserve">عينة الدراسة: سيتم تطبيق العينة العشوائية الطبقية لضمان تمثيل كافة التخصصات والأنشطة (صحية، تنموية، ثقافية، اجتماعية) ومختلف المناطق الجغرافية الـ 13 بالمملكة. </w:t>
      </w:r>
      <w:r>
        <w:rPr>
          <w:rFonts w:ascii="Traditional Arabic" w:hAnsi="Traditional Arabic" w:cs="Traditional Arabic"/>
          <w:sz w:val="24"/>
          <w:szCs w:val="24"/>
          <w:highlight w:val="yellow"/>
          <w:rtl/>
        </w:rPr>
        <w:t xml:space="preserve">ويُحدَّد حجم العينة </w:t>
      </w:r>
      <w:r>
        <w:rPr>
          <w:rFonts w:ascii="Traditional Arabic" w:hAnsi="Traditional Arabic" w:cs="Traditional Arabic" w:hint="cs"/>
          <w:sz w:val="24"/>
          <w:szCs w:val="24"/>
          <w:highlight w:val="yellow"/>
          <w:rtl/>
        </w:rPr>
        <w:t>لا يقل عن (384) مفردة عند مستوى ثقة 95٪، وهامش خطأ 5٪</w:t>
      </w:r>
      <w:r>
        <w:rPr>
          <w:rFonts w:ascii="Traditional Arabic" w:hAnsi="Traditional Arabic" w:cs="Traditional Arabic"/>
          <w:sz w:val="24"/>
          <w:szCs w:val="24"/>
          <w:highlight w:val="yellow"/>
          <w:rtl/>
        </w:rPr>
        <w:t>،</w:t>
      </w:r>
      <w:r>
        <w:rPr>
          <w:rFonts w:ascii="Traditional Arabic" w:hAnsi="Traditional Arabic" w:cs="Traditional Arabic"/>
          <w:sz w:val="24"/>
          <w:szCs w:val="24"/>
          <w:rtl/>
        </w:rPr>
        <w:t xml:space="preserve"> وهو ما يُوفر القوة التنبؤية الكافية للنموذج المقترح لتشبع معاملات المسار وفقاً لمعايير </w:t>
      </w:r>
      <w:r>
        <w:rPr>
          <w:rFonts w:ascii="Traditional Arabic" w:hAnsi="Traditional Arabic" w:cs="Traditional Arabic"/>
          <w:sz w:val="24"/>
          <w:szCs w:val="24"/>
        </w:rPr>
        <w:t>PLS-SEM (Hair et al</w:t>
      </w:r>
      <w:r>
        <w:rPr>
          <w:rFonts w:ascii="Traditional Arabic" w:hAnsi="Traditional Arabic" w:cs="Traditional Arabic"/>
          <w:sz w:val="24"/>
          <w:szCs w:val="24"/>
          <w:rtl/>
        </w:rPr>
        <w:t>., 2022).</w:t>
      </w:r>
    </w:p>
    <w:p w14:paraId="61D2B08C" w14:textId="77777777" w:rsidR="00A109ED" w:rsidRDefault="00A109ED" w:rsidP="00A109ED">
      <w:pPr>
        <w:pStyle w:val="3"/>
        <w:bidi/>
        <w:spacing w:before="0" w:after="0" w:line="360" w:lineRule="auto"/>
        <w:jc w:val="both"/>
        <w:rPr>
          <w:rFonts w:ascii="Traditional Arabic" w:hAnsi="Traditional Arabic" w:cs="Traditional Arabic"/>
          <w:rtl/>
        </w:rPr>
      </w:pPr>
    </w:p>
    <w:p w14:paraId="4ADEC55D" w14:textId="16B2BB93" w:rsidR="008615C2" w:rsidRPr="00A109ED" w:rsidRDefault="00000000" w:rsidP="00A109ED">
      <w:pPr>
        <w:pStyle w:val="3"/>
        <w:bidi/>
        <w:spacing w:before="0" w:after="0" w:line="360" w:lineRule="auto"/>
        <w:jc w:val="both"/>
        <w:rPr>
          <w:rFonts w:ascii="Traditional Arabic" w:hAnsi="Traditional Arabic" w:cs="Traditional Arabic"/>
        </w:rPr>
      </w:pPr>
      <w:r>
        <w:rPr>
          <w:rFonts w:ascii="Traditional Arabic" w:hAnsi="Traditional Arabic" w:cs="Traditional Arabic"/>
          <w:rtl/>
        </w:rPr>
        <w:t>3-9-1: جمع البيانات</w:t>
      </w:r>
    </w:p>
    <w:p w14:paraId="64821872" w14:textId="65727EF1" w:rsidR="008615C2" w:rsidRPr="005F5C76" w:rsidRDefault="003C0276"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 xml:space="preserve">يتم جمع البيانات الأولية من الاستبانة الإلكترونية، تعتمد على مقياس ليكرت الخماسي لجمع الاستجابات. </w:t>
      </w:r>
    </w:p>
    <w:p w14:paraId="28C9D342" w14:textId="789CF4B8" w:rsidR="00EE36EB" w:rsidRPr="005F5C76" w:rsidRDefault="003C0276" w:rsidP="00A109ED">
      <w:pPr>
        <w:pBdr>
          <w:top w:val="nil"/>
          <w:left w:val="nil"/>
          <w:bottom w:val="nil"/>
          <w:right w:val="nil"/>
          <w:between w:val="nil"/>
        </w:pBdr>
        <w:bidi/>
        <w:spacing w:line="360" w:lineRule="auto"/>
        <w:jc w:val="both"/>
        <w:rPr>
          <w:rFonts w:ascii="Traditional Arabic" w:hAnsi="Traditional Arabic" w:cs="Traditional Arabic"/>
          <w:sz w:val="24"/>
          <w:szCs w:val="24"/>
          <w:rtl/>
        </w:rPr>
      </w:pPr>
      <w:r>
        <w:rPr>
          <w:rFonts w:ascii="Traditional Arabic" w:hAnsi="Traditional Arabic" w:cs="Traditional Arabic"/>
          <w:sz w:val="24"/>
          <w:szCs w:val="24"/>
          <w:rtl/>
        </w:rPr>
        <w:t>ويتم الحصول على البيانات الثانوية من الكتب والمقالات والأبحاث العليمة العربية والأجنبية المحكمة.</w:t>
      </w:r>
    </w:p>
    <w:p w14:paraId="1E25D74C" w14:textId="77777777" w:rsidR="003C0276" w:rsidRPr="005F5C76" w:rsidRDefault="003C0276" w:rsidP="00A109ED">
      <w:pPr>
        <w:pBdr>
          <w:top w:val="nil"/>
          <w:left w:val="nil"/>
          <w:bottom w:val="nil"/>
          <w:right w:val="nil"/>
          <w:between w:val="nil"/>
        </w:pBdr>
        <w:bidi/>
        <w:spacing w:line="360" w:lineRule="auto"/>
        <w:jc w:val="both"/>
        <w:rPr>
          <w:rFonts w:ascii="Traditional Arabic" w:hAnsi="Traditional Arabic" w:cs="Traditional Arabic"/>
          <w:sz w:val="24"/>
          <w:szCs w:val="24"/>
        </w:rPr>
      </w:pPr>
    </w:p>
    <w:p w14:paraId="6DF0C838" w14:textId="59E0CC8F" w:rsidR="008615C2" w:rsidRPr="00A109ED" w:rsidRDefault="00000000" w:rsidP="00A109ED">
      <w:pPr>
        <w:pStyle w:val="3"/>
        <w:bidi/>
        <w:spacing w:before="0" w:after="0" w:line="360" w:lineRule="auto"/>
        <w:jc w:val="both"/>
        <w:rPr>
          <w:rFonts w:ascii="Traditional Arabic" w:hAnsi="Traditional Arabic" w:cs="Traditional Arabic"/>
        </w:rPr>
      </w:pPr>
      <w:r>
        <w:rPr>
          <w:rFonts w:ascii="Traditional Arabic" w:hAnsi="Traditional Arabic" w:cs="Traditional Arabic"/>
          <w:rtl/>
        </w:rPr>
        <w:t>4-9-1: الأساليب الإحصائية المقترحة</w:t>
      </w:r>
    </w:p>
    <w:p w14:paraId="493E0162" w14:textId="77777777" w:rsidR="008615C2" w:rsidRPr="005F5C76" w:rsidRDefault="00000000" w:rsidP="00A109ED">
      <w:pPr>
        <w:pBdr>
          <w:top w:val="nil"/>
          <w:left w:val="nil"/>
          <w:bottom w:val="nil"/>
          <w:right w:val="nil"/>
          <w:between w:val="nil"/>
        </w:pBdr>
        <w:bidi/>
        <w:spacing w:line="360" w:lineRule="auto"/>
        <w:jc w:val="both"/>
        <w:rPr>
          <w:rFonts w:ascii="Traditional Arabic" w:hAnsi="Traditional Arabic" w:cs="Traditional Arabic"/>
          <w:sz w:val="24"/>
          <w:szCs w:val="24"/>
        </w:rPr>
      </w:pPr>
      <w:r>
        <w:rPr>
          <w:rFonts w:ascii="Traditional Arabic" w:hAnsi="Traditional Arabic" w:cs="Traditional Arabic"/>
          <w:sz w:val="24"/>
          <w:szCs w:val="24"/>
          <w:rtl/>
        </w:rPr>
        <w:t>تم تحديد الأساليب والمعالجات الإحصائية بما يتوافق مع أهداف الدراسة وفرضياتها الهيكلية، كما يوضح الجدول (1-3):</w:t>
      </w:r>
    </w:p>
    <w:p w14:paraId="6AC7DBCC" w14:textId="77777777" w:rsidR="008615C2" w:rsidRPr="00A109ED" w:rsidRDefault="00000000" w:rsidP="00A109ED">
      <w:pPr>
        <w:pStyle w:val="3"/>
        <w:bidi/>
        <w:spacing w:before="0" w:after="0" w:line="360" w:lineRule="auto"/>
        <w:jc w:val="both"/>
        <w:rPr>
          <w:rFonts w:ascii="Traditional Arabic" w:hAnsi="Traditional Arabic" w:cs="Traditional Arabic"/>
          <w:b w:val="0"/>
          <w:bCs w:val="0"/>
          <w:sz w:val="24"/>
          <w:szCs w:val="24"/>
        </w:rPr>
      </w:pPr>
      <w:r>
        <w:rPr>
          <w:rFonts w:ascii="Traditional Arabic" w:hAnsi="Traditional Arabic" w:cs="Traditional Arabic"/>
          <w:b w:val="0"/>
          <w:bCs w:val="0"/>
          <w:sz w:val="24"/>
          <w:szCs w:val="24"/>
          <w:rtl/>
        </w:rPr>
        <w:t>جدول (1-3): الأساليب الإحصائية المعتمدة لاختبار فرضيات الدراسة</w:t>
      </w:r>
    </w:p>
    <w:tbl>
      <w:tblPr>
        <w:tblStyle w:val="a7"/>
        <w:bidiVisual/>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00"/>
        <w:gridCol w:w="4536"/>
        <w:gridCol w:w="3124"/>
      </w:tblGrid>
      <w:tr w:rsidR="008615C2" w:rsidRPr="00A109ED" w14:paraId="2CA7718E" w14:textId="77777777" w:rsidTr="00A109ED">
        <w:trPr>
          <w:tblHeader/>
        </w:trPr>
        <w:tc>
          <w:tcPr>
            <w:tcW w:w="1700" w:type="dxa"/>
            <w:tcMar>
              <w:top w:w="0" w:type="dxa"/>
              <w:left w:w="0" w:type="dxa"/>
              <w:bottom w:w="0" w:type="dxa"/>
              <w:right w:w="0" w:type="dxa"/>
            </w:tcMar>
            <w:vAlign w:val="center"/>
          </w:tcPr>
          <w:p w14:paraId="10482117" w14:textId="77777777" w:rsidR="008615C2" w:rsidRPr="00A109ED" w:rsidRDefault="00000000" w:rsidP="00A109ED">
            <w:pPr>
              <w:pBdr>
                <w:top w:val="nil"/>
                <w:left w:val="nil"/>
                <w:bottom w:val="nil"/>
                <w:right w:val="nil"/>
                <w:between w:val="nil"/>
              </w:pBdr>
              <w:bidi/>
              <w:jc w:val="center"/>
              <w:rPr>
                <w:rFonts w:ascii="Traditional Arabic" w:hAnsi="Traditional Arabic" w:cs="Traditional Arabic"/>
                <w:sz w:val="24"/>
                <w:szCs w:val="24"/>
              </w:rPr>
            </w:pPr>
            <w:r>
              <w:rPr>
                <w:rFonts w:ascii="Traditional Arabic" w:hAnsi="Traditional Arabic" w:cs="Traditional Arabic"/>
                <w:sz w:val="24"/>
                <w:szCs w:val="24"/>
                <w:rtl/>
              </w:rPr>
              <w:t>البرنامج الإحصائي</w:t>
            </w:r>
          </w:p>
        </w:tc>
        <w:tc>
          <w:tcPr>
            <w:tcW w:w="4536" w:type="dxa"/>
            <w:tcMar>
              <w:top w:w="0" w:type="dxa"/>
              <w:left w:w="0" w:type="dxa"/>
              <w:bottom w:w="0" w:type="dxa"/>
              <w:right w:w="0" w:type="dxa"/>
            </w:tcMar>
            <w:vAlign w:val="center"/>
          </w:tcPr>
          <w:p w14:paraId="3A2A2C1F" w14:textId="77777777" w:rsidR="008615C2" w:rsidRPr="00A109ED" w:rsidRDefault="00000000" w:rsidP="00A109ED">
            <w:pPr>
              <w:pBdr>
                <w:top w:val="nil"/>
                <w:left w:val="nil"/>
                <w:bottom w:val="nil"/>
                <w:right w:val="nil"/>
                <w:between w:val="nil"/>
              </w:pBdr>
              <w:bidi/>
              <w:jc w:val="center"/>
              <w:rPr>
                <w:rFonts w:ascii="Traditional Arabic" w:hAnsi="Traditional Arabic" w:cs="Traditional Arabic"/>
                <w:sz w:val="24"/>
                <w:szCs w:val="24"/>
              </w:rPr>
            </w:pPr>
            <w:r>
              <w:rPr>
                <w:rFonts w:ascii="Traditional Arabic" w:hAnsi="Traditional Arabic" w:cs="Traditional Arabic"/>
                <w:sz w:val="24"/>
                <w:szCs w:val="24"/>
                <w:rtl/>
              </w:rPr>
              <w:t>المعالجة الإحصائية المستهدفة</w:t>
            </w:r>
          </w:p>
        </w:tc>
        <w:tc>
          <w:tcPr>
            <w:tcW w:w="3124" w:type="dxa"/>
            <w:tcMar>
              <w:top w:w="0" w:type="dxa"/>
              <w:left w:w="0" w:type="dxa"/>
              <w:bottom w:w="0" w:type="dxa"/>
              <w:right w:w="0" w:type="dxa"/>
            </w:tcMar>
            <w:vAlign w:val="center"/>
          </w:tcPr>
          <w:p w14:paraId="7EEB8703" w14:textId="77777777" w:rsidR="008615C2" w:rsidRPr="00A109ED" w:rsidRDefault="00000000" w:rsidP="00A109ED">
            <w:pPr>
              <w:pBdr>
                <w:top w:val="nil"/>
                <w:left w:val="nil"/>
                <w:bottom w:val="nil"/>
                <w:right w:val="nil"/>
                <w:between w:val="nil"/>
              </w:pBdr>
              <w:bidi/>
              <w:jc w:val="center"/>
              <w:rPr>
                <w:rFonts w:ascii="Traditional Arabic" w:hAnsi="Traditional Arabic" w:cs="Traditional Arabic"/>
                <w:sz w:val="24"/>
                <w:szCs w:val="24"/>
              </w:rPr>
            </w:pPr>
            <w:r>
              <w:rPr>
                <w:rFonts w:ascii="Traditional Arabic" w:hAnsi="Traditional Arabic" w:cs="Traditional Arabic"/>
                <w:sz w:val="24"/>
                <w:szCs w:val="24"/>
                <w:rtl/>
              </w:rPr>
              <w:t>الهدف العلمي والمنهجي من المعالجة</w:t>
            </w:r>
          </w:p>
        </w:tc>
      </w:tr>
      <w:tr w:rsidR="008615C2" w:rsidRPr="00A109ED" w14:paraId="0C3FE268" w14:textId="77777777" w:rsidTr="00A109ED">
        <w:tc>
          <w:tcPr>
            <w:tcW w:w="1700" w:type="dxa"/>
            <w:tcMar>
              <w:top w:w="0" w:type="dxa"/>
              <w:left w:w="0" w:type="dxa"/>
              <w:bottom w:w="0" w:type="dxa"/>
              <w:right w:w="0" w:type="dxa"/>
            </w:tcMar>
            <w:vAlign w:val="center"/>
          </w:tcPr>
          <w:p w14:paraId="2EBC2AFB" w14:textId="77777777" w:rsidR="008615C2" w:rsidRPr="00A109ED" w:rsidRDefault="00000000" w:rsidP="00A109ED">
            <w:pPr>
              <w:pBdr>
                <w:top w:val="nil"/>
                <w:left w:val="nil"/>
                <w:bottom w:val="nil"/>
                <w:right w:val="nil"/>
                <w:between w:val="nil"/>
              </w:pBdr>
              <w:bidi/>
              <w:jc w:val="center"/>
              <w:rPr>
                <w:rFonts w:ascii="Traditional Arabic" w:hAnsi="Traditional Arabic" w:cs="Traditional Arabic"/>
                <w:sz w:val="24"/>
                <w:szCs w:val="24"/>
              </w:rPr>
            </w:pPr>
            <w:r>
              <w:rPr>
                <w:rFonts w:ascii="Traditional Arabic" w:hAnsi="Traditional Arabic" w:cs="Traditional Arabic"/>
                <w:sz w:val="24"/>
                <w:szCs w:val="24"/>
              </w:rPr>
              <w:t>SPSS</w:t>
            </w:r>
          </w:p>
        </w:tc>
        <w:tc>
          <w:tcPr>
            <w:tcW w:w="4536" w:type="dxa"/>
            <w:tcMar>
              <w:top w:w="0" w:type="dxa"/>
              <w:left w:w="0" w:type="dxa"/>
              <w:bottom w:w="0" w:type="dxa"/>
              <w:right w:w="0" w:type="dxa"/>
            </w:tcMar>
            <w:vAlign w:val="center"/>
          </w:tcPr>
          <w:p w14:paraId="2001BE90" w14:textId="77777777" w:rsidR="00D854B7" w:rsidRPr="00A109ED" w:rsidRDefault="00000000" w:rsidP="00A109ED">
            <w:pPr>
              <w:pBdr>
                <w:top w:val="nil"/>
                <w:left w:val="nil"/>
                <w:bottom w:val="nil"/>
                <w:right w:val="nil"/>
                <w:between w:val="nil"/>
              </w:pBdr>
              <w:bidi/>
              <w:rPr>
                <w:rFonts w:ascii="Traditional Arabic" w:hAnsi="Traditional Arabic" w:cs="Traditional Arabic"/>
                <w:sz w:val="24"/>
                <w:szCs w:val="24"/>
                <w:rtl/>
              </w:rPr>
            </w:pPr>
            <w:r>
              <w:rPr>
                <w:rFonts w:ascii="Traditional Arabic" w:hAnsi="Traditional Arabic" w:cs="Traditional Arabic"/>
                <w:sz w:val="24"/>
                <w:szCs w:val="24"/>
                <w:rtl/>
              </w:rPr>
              <w:t>- التكرارات والنسب المئوية والمتوسطات الحسابية والانحرافات المعيارية.</w:t>
            </w:r>
          </w:p>
          <w:p w14:paraId="03C9A339" w14:textId="77467976" w:rsidR="008615C2" w:rsidRPr="00A109ED"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 xml:space="preserve"> - تصفية القيم المتطرفة والشاذة عبر منهجية النطاق الربعي </w:t>
            </w:r>
            <m:oMath>
              <m:d>
                <m:dPr>
                  <m:ctrlPr>
                    <w:rPr>
                      <w:rFonts w:ascii="Cambria Math" w:hAnsi="Cambria Math" w:cs="Traditional Arabic"/>
                      <w:sz w:val="24"/>
                      <w:szCs w:val="24"/>
                    </w:rPr>
                  </m:ctrlPr>
                </m:dPr>
                <m:e>
                  <m:r>
                    <w:rPr>
                      <w:rFonts w:ascii="Cambria Math" w:hAnsi="Cambria Math" w:cs="Traditional Arabic"/>
                      <w:sz w:val="24"/>
                      <w:szCs w:val="24"/>
                    </w:rPr>
                    <m:t>IQR</m:t>
                  </m:r>
                </m:e>
              </m:d>
            </m:oMath>
            <w:r>
              <w:rPr>
                <w:rFonts w:ascii="Traditional Arabic" w:hAnsi="Traditional Arabic" w:cs="Traditional Arabic"/>
                <w:sz w:val="24"/>
                <w:szCs w:val="24"/>
                <w:rtl/>
              </w:rPr>
              <w:t>.</w:t>
            </w:r>
          </w:p>
        </w:tc>
        <w:tc>
          <w:tcPr>
            <w:tcW w:w="3124" w:type="dxa"/>
            <w:tcMar>
              <w:top w:w="0" w:type="dxa"/>
              <w:left w:w="0" w:type="dxa"/>
              <w:bottom w:w="0" w:type="dxa"/>
              <w:right w:w="0" w:type="dxa"/>
            </w:tcMar>
            <w:vAlign w:val="center"/>
          </w:tcPr>
          <w:p w14:paraId="6987727C" w14:textId="77777777" w:rsidR="008615C2" w:rsidRPr="00A109ED"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 توصيف الخصائص الديموغرافية والوظيفية لعينة الدراسة وتحديد مستويات المتغيرات بدقة. - سلامة وتصفية البيانات وضمان خلو مخرجات التحليل من التشوهات.</w:t>
            </w:r>
          </w:p>
        </w:tc>
      </w:tr>
      <w:tr w:rsidR="008615C2" w:rsidRPr="00A109ED" w14:paraId="70628CE2" w14:textId="77777777" w:rsidTr="00A109ED">
        <w:tc>
          <w:tcPr>
            <w:tcW w:w="1700" w:type="dxa"/>
            <w:tcMar>
              <w:top w:w="0" w:type="dxa"/>
              <w:left w:w="0" w:type="dxa"/>
              <w:bottom w:w="0" w:type="dxa"/>
              <w:right w:w="0" w:type="dxa"/>
            </w:tcMar>
            <w:vAlign w:val="center"/>
          </w:tcPr>
          <w:p w14:paraId="09DD5DB7" w14:textId="77777777" w:rsidR="008615C2" w:rsidRPr="00A109ED" w:rsidRDefault="00000000" w:rsidP="00A109ED">
            <w:pPr>
              <w:pBdr>
                <w:top w:val="nil"/>
                <w:left w:val="nil"/>
                <w:bottom w:val="nil"/>
                <w:right w:val="nil"/>
                <w:between w:val="nil"/>
              </w:pBdr>
              <w:bidi/>
              <w:jc w:val="center"/>
              <w:rPr>
                <w:rFonts w:ascii="Traditional Arabic" w:hAnsi="Traditional Arabic" w:cs="Traditional Arabic"/>
                <w:sz w:val="24"/>
                <w:szCs w:val="24"/>
              </w:rPr>
            </w:pPr>
            <w:r>
              <w:rPr>
                <w:rFonts w:ascii="Traditional Arabic" w:hAnsi="Traditional Arabic" w:cs="Traditional Arabic"/>
                <w:sz w:val="24"/>
                <w:szCs w:val="24"/>
              </w:rPr>
              <w:t>SmartPLS 4</w:t>
            </w:r>
          </w:p>
        </w:tc>
        <w:tc>
          <w:tcPr>
            <w:tcW w:w="4536" w:type="dxa"/>
            <w:tcMar>
              <w:top w:w="0" w:type="dxa"/>
              <w:left w:w="0" w:type="dxa"/>
              <w:bottom w:w="0" w:type="dxa"/>
              <w:right w:w="0" w:type="dxa"/>
            </w:tcMar>
            <w:vAlign w:val="center"/>
          </w:tcPr>
          <w:p w14:paraId="3C50F316" w14:textId="780B8F26" w:rsidR="00D854B7" w:rsidRPr="00A109ED" w:rsidRDefault="00000000" w:rsidP="00A109ED">
            <w:pPr>
              <w:pBdr>
                <w:top w:val="nil"/>
                <w:left w:val="nil"/>
                <w:bottom w:val="nil"/>
                <w:right w:val="nil"/>
                <w:between w:val="nil"/>
              </w:pBdr>
              <w:bidi/>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tl/>
              </w:rPr>
              <w:t>- تقييم نموذج القياس (</w:t>
            </w:r>
            <w:r>
              <w:rPr>
                <w:rFonts w:ascii="Traditional Arabic" w:eastAsia="Times New Roman" w:hAnsi="Traditional Arabic" w:cs="Traditional Arabic"/>
                <w:sz w:val="24"/>
                <w:szCs w:val="24"/>
              </w:rPr>
              <w:t>Measurement</w:t>
            </w:r>
            <w:r>
              <w:rPr>
                <w:rFonts w:ascii="Traditional Arabic" w:eastAsia="Times New Roman" w:hAnsi="Traditional Arabic" w:cs="Traditional Arabic"/>
                <w:sz w:val="24"/>
                <w:szCs w:val="24"/>
                <w:rtl/>
              </w:rPr>
              <w:t xml:space="preserve"> </w:t>
            </w:r>
            <w:r>
              <w:rPr>
                <w:rFonts w:ascii="Traditional Arabic" w:eastAsia="Times New Roman" w:hAnsi="Traditional Arabic" w:cs="Traditional Arabic"/>
                <w:sz w:val="24"/>
                <w:szCs w:val="24"/>
              </w:rPr>
              <w:t>Model</w:t>
            </w:r>
            <w:r>
              <w:rPr>
                <w:rFonts w:ascii="Traditional Arabic" w:eastAsia="Times New Roman" w:hAnsi="Traditional Arabic" w:cs="Traditional Arabic"/>
                <w:sz w:val="24"/>
                <w:szCs w:val="24"/>
                <w:rtl/>
              </w:rPr>
              <w:t xml:space="preserve">): الصدق التقاربي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AVE</m:t>
                  </m:r>
                </m:e>
              </m:d>
            </m:oMath>
            <w:r>
              <w:rPr>
                <w:rFonts w:ascii="Traditional Arabic" w:eastAsia="Times New Roman" w:hAnsi="Traditional Arabic" w:cs="Traditional Arabic"/>
                <w:sz w:val="24"/>
                <w:szCs w:val="24"/>
                <w:rtl/>
              </w:rPr>
              <w:t xml:space="preserve">, والصدق التمييزي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HTMT</m:t>
                  </m:r>
                </m:e>
              </m:d>
            </m:oMath>
            <w:r>
              <w:rPr>
                <w:rFonts w:ascii="Traditional Arabic" w:eastAsia="Times New Roman" w:hAnsi="Traditional Arabic" w:cs="Traditional Arabic"/>
                <w:sz w:val="24"/>
                <w:szCs w:val="24"/>
                <w:rtl/>
              </w:rPr>
              <w:t xml:space="preserve">, والثبات المركب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CR</m:t>
                  </m:r>
                </m:e>
              </m:d>
            </m:oMath>
            <w:r>
              <w:rPr>
                <w:rFonts w:ascii="Traditional Arabic" w:eastAsia="Times New Roman" w:hAnsi="Traditional Arabic" w:cs="Traditional Arabic"/>
                <w:sz w:val="24"/>
                <w:szCs w:val="24"/>
                <w:rtl/>
              </w:rPr>
              <w:t xml:space="preserve">, وألفا كرونباخ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α</m:t>
                  </m:r>
                </m:e>
              </m:d>
            </m:oMath>
            <w:r>
              <w:rPr>
                <w:rFonts w:ascii="Traditional Arabic" w:eastAsia="Times New Roman" w:hAnsi="Traditional Arabic" w:cs="Traditional Arabic"/>
                <w:sz w:val="24"/>
                <w:szCs w:val="24"/>
                <w:rtl/>
              </w:rPr>
              <w:t>.</w:t>
            </w:r>
          </w:p>
          <w:p w14:paraId="0C60F639" w14:textId="306BC09A" w:rsidR="008615C2" w:rsidRPr="00A109ED" w:rsidRDefault="00000000" w:rsidP="00A109ED">
            <w:pPr>
              <w:pBdr>
                <w:top w:val="nil"/>
                <w:left w:val="nil"/>
                <w:bottom w:val="nil"/>
                <w:right w:val="nil"/>
                <w:between w:val="nil"/>
              </w:pBdr>
              <w:bidi/>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tl/>
              </w:rPr>
              <w:t xml:space="preserve"> - تقييم النموذج الهيكلي (</w:t>
            </w:r>
            <w:r>
              <w:rPr>
                <w:rFonts w:ascii="Traditional Arabic" w:eastAsia="Times New Roman" w:hAnsi="Traditional Arabic" w:cs="Traditional Arabic"/>
                <w:sz w:val="24"/>
                <w:szCs w:val="24"/>
              </w:rPr>
              <w:t>Structural\text{ }Model</w:t>
            </w:r>
            <w:r>
              <w:rPr>
                <w:rFonts w:ascii="Traditional Arabic" w:eastAsia="Times New Roman" w:hAnsi="Traditional Arabic" w:cs="Traditional Arabic"/>
                <w:sz w:val="24"/>
                <w:szCs w:val="24"/>
                <w:rtl/>
              </w:rPr>
              <w:t xml:space="preserve">): اختبار معاملات المسار </w:t>
            </w:r>
            <m:oMath>
              <m:d>
                <m:dPr>
                  <m:ctrlPr>
                    <w:rPr>
                      <w:rFonts w:ascii="Cambria Math" w:eastAsia="Times New Roman" w:hAnsi="Cambria Math" w:cs="Traditional Arabic"/>
                      <w:sz w:val="24"/>
                      <w:szCs w:val="24"/>
                    </w:rPr>
                  </m:ctrlPr>
                </m:dPr>
                <m:e>
                  <m:r>
                    <w:rPr>
                      <w:rFonts w:ascii="Cambria Math" w:eastAsia="Times New Roman" w:hAnsi="Cambria Math" w:cs="Traditional Arabic"/>
                      <w:sz w:val="24"/>
                      <w:szCs w:val="24"/>
                    </w:rPr>
                    <m:t>β</m:t>
                  </m:r>
                </m:e>
              </m:d>
            </m:oMath>
            <w:r>
              <w:rPr>
                <w:rFonts w:ascii="Traditional Arabic" w:eastAsia="Times New Roman" w:hAnsi="Traditional Arabic" w:cs="Traditional Arabic"/>
                <w:sz w:val="24"/>
                <w:szCs w:val="24"/>
                <w:rtl/>
              </w:rPr>
              <w:t xml:space="preserve"> وقيمة </w:t>
            </w:r>
            <w:r>
              <w:rPr>
                <w:rFonts w:ascii="Traditional Arabic" w:eastAsia="Times New Roman" w:hAnsi="Traditional Arabic" w:cs="Traditional Arabic"/>
                <w:sz w:val="24"/>
                <w:szCs w:val="24"/>
              </w:rPr>
              <w:t>T -value</w:t>
            </w:r>
            <w:r>
              <w:rPr>
                <w:rFonts w:ascii="Traditional Arabic" w:eastAsia="Times New Roman" w:hAnsi="Traditional Arabic" w:cs="Traditional Arabic"/>
                <w:sz w:val="24"/>
                <w:szCs w:val="24"/>
                <w:rtl/>
              </w:rPr>
              <w:t xml:space="preserve"> وقيمة </w:t>
            </w:r>
            <w:r>
              <w:rPr>
                <w:rFonts w:ascii="Traditional Arabic" w:eastAsia="Times New Roman" w:hAnsi="Traditional Arabic" w:cs="Traditional Arabic"/>
                <w:sz w:val="24"/>
                <w:szCs w:val="24"/>
              </w:rPr>
              <w:t>P -</w:t>
            </w:r>
            <w:r>
              <w:rPr>
                <w:rFonts w:ascii="Traditional Arabic" w:eastAsia="Times New Roman" w:hAnsi="Traditional Arabic" w:cs="Traditional Arabic"/>
                <w:sz w:val="24"/>
                <w:szCs w:val="24"/>
              </w:rPr>
              <w:lastRenderedPageBreak/>
              <w:t>value</w:t>
            </w:r>
            <w:r>
              <w:rPr>
                <w:rFonts w:ascii="Traditional Arabic" w:eastAsia="Times New Roman" w:hAnsi="Traditional Arabic" w:cs="Traditional Arabic"/>
                <w:sz w:val="24"/>
                <w:szCs w:val="24"/>
                <w:rtl/>
              </w:rPr>
              <w:t xml:space="preserve"> </w:t>
            </w:r>
            <w:r>
              <w:rPr>
                <w:rFonts w:ascii="Traditional Arabic" w:eastAsia="Times New Roman" w:hAnsi="Traditional Arabic" w:cs="Traditional Arabic"/>
                <w:sz w:val="24"/>
                <w:szCs w:val="24"/>
              </w:rPr>
              <w:t>.</w:t>
            </w:r>
          </w:p>
        </w:tc>
        <w:tc>
          <w:tcPr>
            <w:tcW w:w="3124" w:type="dxa"/>
            <w:tcMar>
              <w:top w:w="0" w:type="dxa"/>
              <w:left w:w="0" w:type="dxa"/>
              <w:bottom w:w="0" w:type="dxa"/>
              <w:right w:w="0" w:type="dxa"/>
            </w:tcMar>
            <w:vAlign w:val="center"/>
          </w:tcPr>
          <w:p w14:paraId="4110BDF7" w14:textId="77777777" w:rsidR="00D854B7" w:rsidRPr="00A109ED" w:rsidRDefault="00000000" w:rsidP="00A109ED">
            <w:pPr>
              <w:pBdr>
                <w:top w:val="nil"/>
                <w:left w:val="nil"/>
                <w:bottom w:val="nil"/>
                <w:right w:val="nil"/>
                <w:between w:val="nil"/>
              </w:pBdr>
              <w:bidi/>
              <w:rPr>
                <w:rFonts w:ascii="Traditional Arabic" w:eastAsia="Times New Roman" w:hAnsi="Traditional Arabic" w:cs="Traditional Arabic"/>
                <w:sz w:val="24"/>
                <w:szCs w:val="24"/>
                <w:rtl/>
              </w:rPr>
            </w:pPr>
            <w:r>
              <w:rPr>
                <w:rFonts w:ascii="Traditional Arabic" w:eastAsia="Times New Roman" w:hAnsi="Traditional Arabic" w:cs="Traditional Arabic"/>
                <w:sz w:val="24"/>
                <w:szCs w:val="24"/>
                <w:rtl/>
              </w:rPr>
              <w:lastRenderedPageBreak/>
              <w:t xml:space="preserve">- التحقق من صدق وموثوقية وثبات مقاييس المتغيرات وصلاحية الفقرات الممثلة لكل بعد تنظيمي. </w:t>
            </w:r>
          </w:p>
          <w:p w14:paraId="7ED299C8" w14:textId="6C8DC8EB" w:rsidR="008615C2" w:rsidRPr="00A109ED" w:rsidRDefault="00000000" w:rsidP="00A109ED">
            <w:pPr>
              <w:pBdr>
                <w:top w:val="nil"/>
                <w:left w:val="nil"/>
                <w:bottom w:val="nil"/>
                <w:right w:val="nil"/>
                <w:between w:val="nil"/>
              </w:pBdr>
              <w:bidi/>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tl/>
              </w:rPr>
              <w:t xml:space="preserve">- اختبار الفرضيات المباشرة </w:t>
            </w:r>
            <m:oMath>
              <m:d>
                <m:dPr>
                  <m:ctrlPr>
                    <w:rPr>
                      <w:rFonts w:ascii="Cambria Math" w:eastAsia="Times New Roman" w:hAnsi="Cambria Math" w:cs="Traditional Arabic"/>
                      <w:sz w:val="24"/>
                      <w:szCs w:val="24"/>
                    </w:rPr>
                  </m:ctrlPr>
                </m:dPr>
                <m:e>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e>
                    <m:sub>
                      <m:r>
                        <m:rPr>
                          <m:sty m:val="p"/>
                        </m:rPr>
                        <w:rPr>
                          <w:rFonts w:ascii="Cambria Math" w:eastAsia="Times New Roman" w:hAnsi="Cambria Math" w:cs="Traditional Arabic"/>
                          <w:sz w:val="24"/>
                          <w:szCs w:val="24"/>
                        </w:rPr>
                        <m:t>1</m:t>
                      </m:r>
                    </m:sub>
                  </m:sSub>
                  <m:r>
                    <m:rPr>
                      <m:sty m:val="p"/>
                    </m:rPr>
                    <w:rPr>
                      <w:rFonts w:ascii="Cambria Math" w:eastAsia="Times New Roman" w:hAnsi="Cambria Math" w:cs="Traditional Arabic"/>
                      <w:sz w:val="24"/>
                      <w:szCs w:val="24"/>
                    </w:rPr>
                    <m:t xml:space="preserve">, </m:t>
                  </m:r>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e>
                    <m:sub>
                      <m:r>
                        <m:rPr>
                          <m:sty m:val="p"/>
                        </m:rPr>
                        <w:rPr>
                          <w:rFonts w:ascii="Cambria Math" w:eastAsia="Times New Roman" w:hAnsi="Cambria Math" w:cs="Traditional Arabic"/>
                          <w:sz w:val="24"/>
                          <w:szCs w:val="24"/>
                        </w:rPr>
                        <m:t>2</m:t>
                      </m:r>
                    </m:sub>
                  </m:sSub>
                  <m:r>
                    <m:rPr>
                      <m:sty m:val="p"/>
                    </m:rPr>
                    <w:rPr>
                      <w:rFonts w:ascii="Cambria Math" w:eastAsia="Times New Roman" w:hAnsi="Cambria Math" w:cs="Traditional Arabic"/>
                      <w:sz w:val="24"/>
                      <w:szCs w:val="24"/>
                    </w:rPr>
                    <m:t xml:space="preserve">, </m:t>
                  </m:r>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e>
                    <m:sub>
                      <m:r>
                        <m:rPr>
                          <m:sty m:val="p"/>
                        </m:rPr>
                        <w:rPr>
                          <w:rFonts w:ascii="Cambria Math" w:eastAsia="Times New Roman" w:hAnsi="Cambria Math" w:cs="Traditional Arabic"/>
                          <w:sz w:val="24"/>
                          <w:szCs w:val="24"/>
                          <w:rtl/>
                        </w:rPr>
                        <m:t>3</m:t>
                      </m:r>
                    </m:sub>
                  </m:sSub>
                </m:e>
              </m:d>
            </m:oMath>
            <w:r>
              <w:rPr>
                <w:rFonts w:ascii="Traditional Arabic" w:eastAsia="Times New Roman" w:hAnsi="Traditional Arabic" w:cs="Traditional Arabic"/>
                <w:sz w:val="24"/>
                <w:szCs w:val="24"/>
                <w:rtl/>
              </w:rPr>
              <w:t xml:space="preserve"> والتحقق من معنوية روابط التأثير المباشرة بين </w:t>
            </w:r>
            <w:r>
              <w:rPr>
                <w:rFonts w:ascii="Traditional Arabic" w:eastAsia="Times New Roman" w:hAnsi="Traditional Arabic" w:cs="Traditional Arabic"/>
                <w:sz w:val="24"/>
                <w:szCs w:val="24"/>
                <w:rtl/>
              </w:rPr>
              <w:lastRenderedPageBreak/>
              <w:t>المتغيرات الثلاثة.</w:t>
            </w:r>
          </w:p>
        </w:tc>
      </w:tr>
      <w:tr w:rsidR="008615C2" w:rsidRPr="00A109ED" w14:paraId="69791D66" w14:textId="77777777" w:rsidTr="00A109ED">
        <w:tc>
          <w:tcPr>
            <w:tcW w:w="1700" w:type="dxa"/>
            <w:tcMar>
              <w:top w:w="0" w:type="dxa"/>
              <w:left w:w="0" w:type="dxa"/>
              <w:bottom w:w="0" w:type="dxa"/>
              <w:right w:w="0" w:type="dxa"/>
            </w:tcMar>
            <w:vAlign w:val="center"/>
          </w:tcPr>
          <w:p w14:paraId="0FC3A447" w14:textId="77777777" w:rsidR="008615C2" w:rsidRPr="00A109ED" w:rsidRDefault="00000000" w:rsidP="00A109ED">
            <w:pPr>
              <w:pBdr>
                <w:top w:val="nil"/>
                <w:left w:val="nil"/>
                <w:bottom w:val="nil"/>
                <w:right w:val="nil"/>
                <w:between w:val="nil"/>
              </w:pBdr>
              <w:bidi/>
              <w:jc w:val="center"/>
              <w:rPr>
                <w:rFonts w:ascii="Traditional Arabic" w:hAnsi="Traditional Arabic" w:cs="Traditional Arabic"/>
                <w:sz w:val="24"/>
                <w:szCs w:val="24"/>
              </w:rPr>
            </w:pPr>
            <w:r>
              <w:rPr>
                <w:rFonts w:ascii="Traditional Arabic" w:hAnsi="Traditional Arabic" w:cs="Traditional Arabic"/>
                <w:sz w:val="24"/>
                <w:szCs w:val="24"/>
              </w:rPr>
              <w:lastRenderedPageBreak/>
              <w:t>SmartPLS 4 (Bootstrapping)</w:t>
            </w:r>
          </w:p>
        </w:tc>
        <w:tc>
          <w:tcPr>
            <w:tcW w:w="4536" w:type="dxa"/>
            <w:tcMar>
              <w:top w:w="0" w:type="dxa"/>
              <w:left w:w="0" w:type="dxa"/>
              <w:bottom w:w="0" w:type="dxa"/>
              <w:right w:w="0" w:type="dxa"/>
            </w:tcMar>
            <w:vAlign w:val="center"/>
          </w:tcPr>
          <w:p w14:paraId="5822DC0E" w14:textId="460A88CF" w:rsidR="00D854B7" w:rsidRPr="00A109ED" w:rsidRDefault="00000000" w:rsidP="00A109ED">
            <w:pPr>
              <w:pBdr>
                <w:top w:val="nil"/>
                <w:left w:val="nil"/>
                <w:bottom w:val="nil"/>
                <w:right w:val="nil"/>
                <w:between w:val="nil"/>
              </w:pBdr>
              <w:bidi/>
              <w:rPr>
                <w:rFonts w:ascii="Traditional Arabic" w:hAnsi="Traditional Arabic" w:cs="Traditional Arabic"/>
                <w:sz w:val="24"/>
                <w:szCs w:val="24"/>
                <w:rtl/>
              </w:rPr>
            </w:pPr>
            <w:r>
              <w:rPr>
                <w:rFonts w:ascii="Traditional Arabic" w:hAnsi="Traditional Arabic" w:cs="Traditional Arabic"/>
                <w:sz w:val="24"/>
                <w:szCs w:val="24"/>
                <w:rtl/>
              </w:rPr>
              <w:t>- تحليل التوسط الإحصائي (</w:t>
            </w:r>
            <w:r>
              <w:rPr>
                <w:rFonts w:ascii="Traditional Arabic" w:hAnsi="Traditional Arabic" w:cs="Traditional Arabic"/>
                <w:sz w:val="24"/>
                <w:szCs w:val="24"/>
              </w:rPr>
              <w:t>Mediation</w:t>
            </w:r>
            <w:r>
              <w:rPr>
                <w:rFonts w:ascii="Traditional Arabic" w:hAnsi="Traditional Arabic" w:cs="Traditional Arabic"/>
                <w:sz w:val="24"/>
                <w:szCs w:val="24"/>
                <w:rtl/>
              </w:rPr>
              <w:t xml:space="preserve"> </w:t>
            </w:r>
            <w:r>
              <w:rPr>
                <w:rFonts w:ascii="Traditional Arabic" w:hAnsi="Traditional Arabic" w:cs="Traditional Arabic"/>
                <w:sz w:val="24"/>
                <w:szCs w:val="24"/>
              </w:rPr>
              <w:t>Analysis</w:t>
            </w:r>
            <w:r>
              <w:rPr>
                <w:rFonts w:ascii="Traditional Arabic" w:hAnsi="Traditional Arabic" w:cs="Traditional Arabic"/>
                <w:sz w:val="24"/>
                <w:szCs w:val="24"/>
                <w:rtl/>
              </w:rPr>
              <w:t>) والتحقق من معنوية الأثر غير المباشر الكلي والجزئي.</w:t>
            </w:r>
          </w:p>
          <w:p w14:paraId="5F81FA1A" w14:textId="175152D6" w:rsidR="008615C2" w:rsidRPr="00A109ED" w:rsidRDefault="00000000" w:rsidP="00A109ED">
            <w:pPr>
              <w:pBdr>
                <w:top w:val="nil"/>
                <w:left w:val="nil"/>
                <w:bottom w:val="nil"/>
                <w:right w:val="nil"/>
                <w:between w:val="nil"/>
              </w:pBdr>
              <w:bidi/>
              <w:rPr>
                <w:rFonts w:ascii="Traditional Arabic" w:hAnsi="Traditional Arabic" w:cs="Traditional Arabic"/>
                <w:sz w:val="24"/>
                <w:szCs w:val="24"/>
              </w:rPr>
            </w:pPr>
            <w:r>
              <w:rPr>
                <w:rFonts w:ascii="Traditional Arabic" w:hAnsi="Traditional Arabic" w:cs="Traditional Arabic"/>
                <w:sz w:val="24"/>
                <w:szCs w:val="24"/>
                <w:rtl/>
              </w:rPr>
              <w:t xml:space="preserve"> - حساب قيمة ومؤشر </w:t>
            </w:r>
            <m:oMath>
              <m:d>
                <m:dPr>
                  <m:ctrlPr>
                    <w:rPr>
                      <w:rFonts w:ascii="Cambria Math" w:hAnsi="Cambria Math" w:cs="Traditional Arabic"/>
                      <w:sz w:val="24"/>
                      <w:szCs w:val="24"/>
                    </w:rPr>
                  </m:ctrlPr>
                </m:dPr>
                <m:e>
                  <m:r>
                    <w:rPr>
                      <w:rFonts w:ascii="Cambria Math" w:hAnsi="Cambria Math" w:cs="Traditional Arabic"/>
                      <w:sz w:val="24"/>
                      <w:szCs w:val="24"/>
                    </w:rPr>
                    <m:t>VAF</m:t>
                  </m:r>
                </m:e>
              </m:d>
            </m:oMath>
            <w:r>
              <w:rPr>
                <w:rFonts w:ascii="Traditional Arabic" w:hAnsi="Traditional Arabic" w:cs="Traditional Arabic"/>
                <w:sz w:val="24"/>
                <w:szCs w:val="24"/>
                <w:rtl/>
              </w:rPr>
              <w:t xml:space="preserve"> لتصنيف طبيعة التوسط.</w:t>
            </w:r>
          </w:p>
        </w:tc>
        <w:tc>
          <w:tcPr>
            <w:tcW w:w="3124" w:type="dxa"/>
            <w:tcMar>
              <w:top w:w="0" w:type="dxa"/>
              <w:left w:w="0" w:type="dxa"/>
              <w:bottom w:w="0" w:type="dxa"/>
              <w:right w:w="0" w:type="dxa"/>
            </w:tcMar>
            <w:vAlign w:val="center"/>
          </w:tcPr>
          <w:p w14:paraId="1864AE22" w14:textId="4AACEC23" w:rsidR="008615C2" w:rsidRPr="00A109ED" w:rsidRDefault="00000000" w:rsidP="00A109ED">
            <w:pPr>
              <w:pBdr>
                <w:top w:val="nil"/>
                <w:left w:val="nil"/>
                <w:bottom w:val="nil"/>
                <w:right w:val="nil"/>
                <w:between w:val="nil"/>
              </w:pBdr>
              <w:bidi/>
              <w:rPr>
                <w:rFonts w:ascii="Traditional Arabic" w:eastAsia="Times New Roman" w:hAnsi="Traditional Arabic" w:cs="Traditional Arabic"/>
                <w:sz w:val="24"/>
                <w:szCs w:val="24"/>
              </w:rPr>
            </w:pPr>
            <w:r>
              <w:rPr>
                <w:rFonts w:ascii="Traditional Arabic" w:eastAsia="Times New Roman" w:hAnsi="Traditional Arabic" w:cs="Traditional Arabic"/>
                <w:sz w:val="24"/>
                <w:szCs w:val="24"/>
                <w:rtl/>
              </w:rPr>
              <w:t xml:space="preserve">- الكشف عن طبيعة توسط النضج الرقمي (جزئي أم كلي كسيناريوهات بديلة) وتحديد قدرته التفسيرية للعلاقة بين المتغيرات </w:t>
            </w:r>
            <m:oMath>
              <m:d>
                <m:dPr>
                  <m:ctrlPr>
                    <w:rPr>
                      <w:rFonts w:ascii="Cambria Math" w:eastAsia="Times New Roman" w:hAnsi="Cambria Math" w:cs="Traditional Arabic"/>
                      <w:sz w:val="24"/>
                      <w:szCs w:val="24"/>
                    </w:rPr>
                  </m:ctrlPr>
                </m:dPr>
                <m:e>
                  <m:sSub>
                    <m:sSubPr>
                      <m:ctrlPr>
                        <w:rPr>
                          <w:rFonts w:ascii="Cambria Math" w:eastAsia="Times New Roman" w:hAnsi="Cambria Math" w:cs="Traditional Arabic"/>
                          <w:sz w:val="24"/>
                          <w:szCs w:val="24"/>
                        </w:rPr>
                      </m:ctrlPr>
                    </m:sSubPr>
                    <m:e>
                      <m:r>
                        <w:rPr>
                          <w:rFonts w:ascii="Cambria Math" w:eastAsia="Times New Roman" w:hAnsi="Cambria Math" w:cs="Traditional Arabic"/>
                          <w:sz w:val="24"/>
                          <w:szCs w:val="24"/>
                        </w:rPr>
                        <m:t>H</m:t>
                      </m:r>
                    </m:e>
                    <m:sub>
                      <m:r>
                        <m:rPr>
                          <m:sty m:val="p"/>
                        </m:rPr>
                        <w:rPr>
                          <w:rFonts w:ascii="Cambria Math" w:eastAsia="Times New Roman" w:hAnsi="Cambria Math" w:cs="Traditional Arabic"/>
                          <w:sz w:val="24"/>
                          <w:szCs w:val="24"/>
                          <w:rtl/>
                        </w:rPr>
                        <m:t>4</m:t>
                      </m:r>
                    </m:sub>
                  </m:sSub>
                </m:e>
              </m:d>
            </m:oMath>
            <w:r>
              <w:rPr>
                <w:rFonts w:ascii="Traditional Arabic" w:eastAsia="Times New Roman" w:hAnsi="Traditional Arabic" w:cs="Traditional Arabic"/>
                <w:sz w:val="24"/>
                <w:szCs w:val="24"/>
                <w:rtl/>
              </w:rPr>
              <w:t>.</w:t>
            </w:r>
          </w:p>
        </w:tc>
      </w:tr>
    </w:tbl>
    <w:p w14:paraId="3D975F74" w14:textId="77777777" w:rsidR="00A109ED" w:rsidRDefault="00A109ED" w:rsidP="00A109ED">
      <w:pPr>
        <w:pStyle w:val="2"/>
        <w:bidi/>
        <w:spacing w:before="0" w:after="0" w:line="360" w:lineRule="auto"/>
        <w:jc w:val="both"/>
        <w:rPr>
          <w:rFonts w:ascii="Traditional Arabic" w:hAnsi="Traditional Arabic" w:cs="Traditional Arabic"/>
          <w:sz w:val="32"/>
          <w:szCs w:val="32"/>
          <w:rtl/>
        </w:rPr>
      </w:pPr>
    </w:p>
    <w:p w14:paraId="413B8E97" w14:textId="2A958390" w:rsidR="003C0276" w:rsidRPr="00A109ED" w:rsidRDefault="00FE5113" w:rsidP="00FE5113">
      <w:pPr>
        <w:pStyle w:val="2"/>
        <w:bidi/>
        <w:spacing w:before="0" w:after="0" w:line="360" w:lineRule="auto"/>
        <w:jc w:val="both"/>
        <w:rPr>
          <w:rFonts w:ascii="Traditional Arabic" w:hAnsi="Traditional Arabic" w:cs="Traditional Arabic" w:hint="cs"/>
          <w:sz w:val="24"/>
          <w:szCs w:val="24"/>
          <w:rtl/>
        </w:rPr>
      </w:pPr>
      <w:r w:rsidRPr="00FE5113">
        <w:rPr>
          <w:rFonts w:ascii="Traditional Arabic" w:hAnsi="Traditional Arabic" w:cs="Traditional Arabic" w:hint="cs"/>
          <w:sz w:val="32"/>
          <w:szCs w:val="32"/>
          <w:highlight w:val="yellow"/>
          <w:rtl/>
        </w:rPr>
        <w:t>تم حذف الجزء والفقرات المتعلقة بالدراسة المرجعية</w:t>
      </w:r>
      <w:r>
        <w:rPr>
          <w:rFonts w:ascii="Traditional Arabic" w:hAnsi="Traditional Arabic" w:cs="Traditional Arabic" w:hint="cs"/>
          <w:sz w:val="32"/>
          <w:szCs w:val="32"/>
          <w:rtl/>
        </w:rPr>
        <w:t xml:space="preserve"> </w:t>
      </w:r>
    </w:p>
    <w:sectPr w:rsidR="003C0276" w:rsidRPr="00A109ED" w:rsidSect="005067B7">
      <w:footerReference w:type="even" r:id="rId9"/>
      <w:footerReference w:type="default" r:id="rId10"/>
      <w:pgSz w:w="12240" w:h="15840"/>
      <w:pgMar w:top="1440" w:right="1440" w:bottom="1440" w:left="1440" w:header="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4F38048" w14:textId="77777777" w:rsidR="00E3424A" w:rsidRDefault="00E3424A" w:rsidP="00A109ED">
      <w:r>
        <w:separator/>
      </w:r>
    </w:p>
  </w:endnote>
  <w:endnote w:type="continuationSeparator" w:id="0">
    <w:p w14:paraId="27D6E26E" w14:textId="77777777" w:rsidR="00E3424A" w:rsidRDefault="00E3424A" w:rsidP="00A10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6A7007B8-891B-794F-8B9B-FD7C1BEC7EA9}"/>
    <w:embedBold r:id="rId2" w:fontKey="{897BEC69-BDF7-5247-8184-947E19EF7C13}"/>
    <w:embedItalic r:id="rId3" w:fontKey="{D6AA82B0-A7C5-9B49-B926-381A8FF2D082}"/>
    <w:embedBoldItalic r:id="rId4" w:fontKey="{20E2B558-EECC-5444-B184-6C17B26E661A}"/>
  </w:font>
  <w:font w:name="Times New Roman">
    <w:panose1 w:val="02020603050405020304"/>
    <w:charset w:val="00"/>
    <w:family w:val="roman"/>
    <w:pitch w:val="variable"/>
    <w:sig w:usb0="E0002EFF" w:usb1="C000785B" w:usb2="00000009" w:usb3="00000000" w:csb0="000001FF" w:csb1="00000000"/>
    <w:embedRegular r:id="rId5" w:fontKey="{0F89A13B-ED95-D74E-900E-3FC92DA63770}"/>
    <w:embedBold r:id="rId6" w:fontKey="{834968C6-291B-E64C-B581-F0B78D2D11F8}"/>
    <w:embedItalic r:id="rId7" w:fontKey="{3078524D-C23C-4449-8995-0E12E6574A5E}"/>
  </w:font>
  <w:font w:name="Georgia">
    <w:panose1 w:val="02040502050405020303"/>
    <w:charset w:val="00"/>
    <w:family w:val="roman"/>
    <w:pitch w:val="variable"/>
    <w:sig w:usb0="00000287" w:usb1="00000000" w:usb2="00000000" w:usb3="00000000" w:csb0="0000009F" w:csb1="00000000"/>
    <w:embedItalic r:id="rId8" w:fontKey="{58F49161-2BAE-7C43-B8D6-7DC2F53FE69F}"/>
  </w:font>
  <w:font w:name="Traditional Arabic">
    <w:panose1 w:val="00000000000000000000"/>
    <w:charset w:val="B2"/>
    <w:family w:val="auto"/>
    <w:pitch w:val="variable"/>
    <w:sig w:usb0="00002001" w:usb1="00000000" w:usb2="00000000" w:usb3="00000000" w:csb0="00000041" w:csb1="00000000"/>
    <w:embedRegular r:id="rId9" w:fontKey="{63EBEC78-9207-F145-8A1A-CE0AE3F51079}"/>
    <w:embedBold r:id="rId10" w:fontKey="{4D65E623-C11F-D245-B5E9-2DF9983F3290}"/>
    <w:embedBoldItalic r:id="rId11" w:fontKey="{66422B75-316F-314B-BF0F-E51E623614D8}"/>
  </w:font>
  <w:font w:name="Calibri">
    <w:panose1 w:val="020F0502020204030204"/>
    <w:charset w:val="00"/>
    <w:family w:val="swiss"/>
    <w:pitch w:val="variable"/>
    <w:sig w:usb0="E4002EFF" w:usb1="C000247B" w:usb2="00000009" w:usb3="00000000" w:csb0="000001FF" w:csb1="00000000"/>
    <w:embedRegular r:id="rId12" w:fontKey="{E77F60E4-1BCA-4F47-A13E-F9606A820A01}"/>
    <w:embedBold r:id="rId13" w:fontKey="{08F33066-56DE-6543-ABCF-7940144A704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00"/>
    <w:family w:val="roman"/>
    <w:pitch w:val="variable"/>
    <w:sig w:usb0="00002003" w:usb1="80000000" w:usb2="00000008" w:usb3="00000000" w:csb0="00000041" w:csb1="00000000"/>
    <w:embedBold r:id="rId14" w:fontKey="{04CD4D74-8E27-D348-88FF-29379C820152}"/>
  </w:font>
  <w:font w:name="Cambria Math">
    <w:panose1 w:val="02040503050406030204"/>
    <w:charset w:val="00"/>
    <w:family w:val="roman"/>
    <w:pitch w:val="variable"/>
    <w:sig w:usb0="E00002FF" w:usb1="420024FF" w:usb2="00000000" w:usb3="00000000" w:csb0="0000019F" w:csb1="00000000"/>
    <w:embedRegular r:id="rId15" w:fontKey="{8A45A29A-2A70-9242-8578-9A72DA98A397}"/>
    <w:embedItalic r:id="rId16" w:fontKey="{BCA34A63-31B5-6645-9D8A-92A5F651AB1D}"/>
  </w:font>
  <w:font w:name="Cambria">
    <w:panose1 w:val="02040503050406030204"/>
    <w:charset w:val="00"/>
    <w:family w:val="roman"/>
    <w:pitch w:val="variable"/>
    <w:sig w:usb0="E00002FF" w:usb1="400004FF" w:usb2="00000000" w:usb3="00000000" w:csb0="0000019F" w:csb1="00000000"/>
    <w:embedRegular r:id="rId17" w:fontKey="{15717DDA-D780-0143-B179-72DFF1AE5D9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c"/>
      </w:rPr>
      <w:id w:val="-482696410"/>
      <w:docPartObj>
        <w:docPartGallery w:val="Page Numbers (Bottom of Page)"/>
        <w:docPartUnique/>
      </w:docPartObj>
    </w:sdtPr>
    <w:sdtContent>
      <w:p w14:paraId="08A6C7B7" w14:textId="5469B196" w:rsidR="00305577" w:rsidRDefault="00305577" w:rsidP="005C52FD">
        <w:pPr>
          <w:pStyle w:val="ab"/>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rPr>
          <w:fldChar w:fldCharType="end"/>
        </w:r>
      </w:p>
    </w:sdtContent>
  </w:sdt>
  <w:p w14:paraId="434D5446" w14:textId="77777777" w:rsidR="00305577" w:rsidRDefault="0030557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c"/>
      </w:rPr>
      <w:id w:val="-277182438"/>
      <w:docPartObj>
        <w:docPartGallery w:val="Page Numbers (Bottom of Page)"/>
        <w:docPartUnique/>
      </w:docPartObj>
    </w:sdtPr>
    <w:sdtContent>
      <w:p w14:paraId="28A8F5FC" w14:textId="5C1FEFB9" w:rsidR="00305577" w:rsidRDefault="00305577" w:rsidP="005C52FD">
        <w:pPr>
          <w:pStyle w:val="ab"/>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2</w:t>
        </w:r>
        <w:r>
          <w:rPr>
            <w:rStyle w:val="ac"/>
          </w:rPr>
          <w:fldChar w:fldCharType="end"/>
        </w:r>
      </w:p>
    </w:sdtContent>
  </w:sdt>
  <w:p w14:paraId="42F769F7" w14:textId="77777777" w:rsidR="00305577" w:rsidRDefault="0030557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3E788E" w14:textId="77777777" w:rsidR="00E3424A" w:rsidRDefault="00E3424A" w:rsidP="00A109ED">
      <w:r>
        <w:separator/>
      </w:r>
    </w:p>
  </w:footnote>
  <w:footnote w:type="continuationSeparator" w:id="0">
    <w:p w14:paraId="4107C80A" w14:textId="77777777" w:rsidR="00E3424A" w:rsidRDefault="00E3424A" w:rsidP="00A109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1D543C"/>
    <w:multiLevelType w:val="multilevel"/>
    <w:tmpl w:val="B830AC1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F6E13C8"/>
    <w:multiLevelType w:val="multilevel"/>
    <w:tmpl w:val="41FE0DA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FB6714D"/>
    <w:multiLevelType w:val="multilevel"/>
    <w:tmpl w:val="AB14911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14C9263D"/>
    <w:multiLevelType w:val="multilevel"/>
    <w:tmpl w:val="55CCF554"/>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24B579B7"/>
    <w:multiLevelType w:val="multilevel"/>
    <w:tmpl w:val="5D7AAACC"/>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379B6B93"/>
    <w:multiLevelType w:val="multilevel"/>
    <w:tmpl w:val="45AA0BCA"/>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41F34E41"/>
    <w:multiLevelType w:val="multilevel"/>
    <w:tmpl w:val="907EC94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422E2812"/>
    <w:multiLevelType w:val="multilevel"/>
    <w:tmpl w:val="CF00D328"/>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46852BAB"/>
    <w:multiLevelType w:val="multilevel"/>
    <w:tmpl w:val="CFC43CE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542267F8"/>
    <w:multiLevelType w:val="multilevel"/>
    <w:tmpl w:val="33C69E3A"/>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579704B4"/>
    <w:multiLevelType w:val="multilevel"/>
    <w:tmpl w:val="22A6850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5F2E2330"/>
    <w:multiLevelType w:val="multilevel"/>
    <w:tmpl w:val="46BADF14"/>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63FE4D8D"/>
    <w:multiLevelType w:val="multilevel"/>
    <w:tmpl w:val="D080344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642238F8"/>
    <w:multiLevelType w:val="multilevel"/>
    <w:tmpl w:val="6EFC3E1E"/>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73DE5FA7"/>
    <w:multiLevelType w:val="multilevel"/>
    <w:tmpl w:val="9D2ACB00"/>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7D1E4860"/>
    <w:multiLevelType w:val="multilevel"/>
    <w:tmpl w:val="7BA60C3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7FB5244C"/>
    <w:multiLevelType w:val="multilevel"/>
    <w:tmpl w:val="673E340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644652559">
    <w:abstractNumId w:val="9"/>
  </w:num>
  <w:num w:numId="2" w16cid:durableId="943850280">
    <w:abstractNumId w:val="11"/>
  </w:num>
  <w:num w:numId="3" w16cid:durableId="2033409073">
    <w:abstractNumId w:val="13"/>
  </w:num>
  <w:num w:numId="4" w16cid:durableId="1288050403">
    <w:abstractNumId w:val="4"/>
  </w:num>
  <w:num w:numId="5" w16cid:durableId="267086335">
    <w:abstractNumId w:val="7"/>
  </w:num>
  <w:num w:numId="6" w16cid:durableId="966742899">
    <w:abstractNumId w:val="0"/>
  </w:num>
  <w:num w:numId="7" w16cid:durableId="1639874097">
    <w:abstractNumId w:val="3"/>
  </w:num>
  <w:num w:numId="8" w16cid:durableId="503208916">
    <w:abstractNumId w:val="2"/>
  </w:num>
  <w:num w:numId="9" w16cid:durableId="1704091124">
    <w:abstractNumId w:val="15"/>
  </w:num>
  <w:num w:numId="10" w16cid:durableId="1245917439">
    <w:abstractNumId w:val="14"/>
  </w:num>
  <w:num w:numId="11" w16cid:durableId="1240217203">
    <w:abstractNumId w:val="1"/>
  </w:num>
  <w:num w:numId="12" w16cid:durableId="1039626378">
    <w:abstractNumId w:val="6"/>
  </w:num>
  <w:num w:numId="13" w16cid:durableId="855457661">
    <w:abstractNumId w:val="8"/>
  </w:num>
  <w:num w:numId="14" w16cid:durableId="1500076201">
    <w:abstractNumId w:val="16"/>
  </w:num>
  <w:num w:numId="15" w16cid:durableId="1754161671">
    <w:abstractNumId w:val="12"/>
  </w:num>
  <w:num w:numId="16" w16cid:durableId="1479882869">
    <w:abstractNumId w:val="10"/>
  </w:num>
  <w:num w:numId="17" w16cid:durableId="1745225181">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3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5C2"/>
    <w:rsid w:val="000312A6"/>
    <w:rsid w:val="0009135A"/>
    <w:rsid w:val="0014044F"/>
    <w:rsid w:val="0015089E"/>
    <w:rsid w:val="0017262D"/>
    <w:rsid w:val="001C4C67"/>
    <w:rsid w:val="001D3A38"/>
    <w:rsid w:val="002445DF"/>
    <w:rsid w:val="002769E6"/>
    <w:rsid w:val="002E0C01"/>
    <w:rsid w:val="002F1437"/>
    <w:rsid w:val="00304438"/>
    <w:rsid w:val="00305577"/>
    <w:rsid w:val="00306013"/>
    <w:rsid w:val="00345FF5"/>
    <w:rsid w:val="003C0276"/>
    <w:rsid w:val="003E4640"/>
    <w:rsid w:val="003E6A6A"/>
    <w:rsid w:val="004540FC"/>
    <w:rsid w:val="004B71EE"/>
    <w:rsid w:val="005067B7"/>
    <w:rsid w:val="00533B11"/>
    <w:rsid w:val="005552C7"/>
    <w:rsid w:val="00555F29"/>
    <w:rsid w:val="005D69F8"/>
    <w:rsid w:val="005E26AA"/>
    <w:rsid w:val="005F5C76"/>
    <w:rsid w:val="00615CCB"/>
    <w:rsid w:val="00643AE1"/>
    <w:rsid w:val="0065208B"/>
    <w:rsid w:val="0066738C"/>
    <w:rsid w:val="006D2ACA"/>
    <w:rsid w:val="00725851"/>
    <w:rsid w:val="00745CEA"/>
    <w:rsid w:val="008048E3"/>
    <w:rsid w:val="00831831"/>
    <w:rsid w:val="008615C2"/>
    <w:rsid w:val="009022D6"/>
    <w:rsid w:val="009318A0"/>
    <w:rsid w:val="009422C8"/>
    <w:rsid w:val="00965DAC"/>
    <w:rsid w:val="00966645"/>
    <w:rsid w:val="00997F91"/>
    <w:rsid w:val="00A109ED"/>
    <w:rsid w:val="00A628F6"/>
    <w:rsid w:val="00A73B82"/>
    <w:rsid w:val="00A86D2F"/>
    <w:rsid w:val="00AB0796"/>
    <w:rsid w:val="00AF67FF"/>
    <w:rsid w:val="00B25B81"/>
    <w:rsid w:val="00B80974"/>
    <w:rsid w:val="00B92EE1"/>
    <w:rsid w:val="00C231FB"/>
    <w:rsid w:val="00C24057"/>
    <w:rsid w:val="00C32F14"/>
    <w:rsid w:val="00C65827"/>
    <w:rsid w:val="00C65A15"/>
    <w:rsid w:val="00CC50D6"/>
    <w:rsid w:val="00D02E54"/>
    <w:rsid w:val="00D406E9"/>
    <w:rsid w:val="00D854B7"/>
    <w:rsid w:val="00E06703"/>
    <w:rsid w:val="00E11255"/>
    <w:rsid w:val="00E3424A"/>
    <w:rsid w:val="00E941BA"/>
    <w:rsid w:val="00EE36EB"/>
    <w:rsid w:val="00F637EB"/>
    <w:rsid w:val="00F651AA"/>
    <w:rsid w:val="00F87AE0"/>
    <w:rsid w:val="00FE51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95399"/>
  <w15:docId w15:val="{EA684D89-493E-E545-B7A2-EC074925F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spacing w:before="240" w:after="240"/>
      <w:outlineLvl w:val="0"/>
    </w:pPr>
    <w:rPr>
      <w:b/>
      <w:bCs/>
      <w:sz w:val="48"/>
      <w:szCs w:val="48"/>
    </w:rPr>
  </w:style>
  <w:style w:type="paragraph" w:styleId="2">
    <w:name w:val="heading 2"/>
    <w:basedOn w:val="a"/>
    <w:next w:val="a"/>
    <w:uiPriority w:val="9"/>
    <w:unhideWhenUsed/>
    <w:qFormat/>
    <w:pPr>
      <w:pBdr>
        <w:top w:val="nil"/>
        <w:left w:val="nil"/>
        <w:bottom w:val="nil"/>
        <w:right w:val="nil"/>
        <w:between w:val="nil"/>
      </w:pBdr>
      <w:spacing w:before="225" w:after="225"/>
      <w:outlineLvl w:val="1"/>
    </w:pPr>
    <w:rPr>
      <w:b/>
      <w:bCs/>
      <w:sz w:val="36"/>
      <w:szCs w:val="36"/>
    </w:rPr>
  </w:style>
  <w:style w:type="paragraph" w:styleId="3">
    <w:name w:val="heading 3"/>
    <w:basedOn w:val="a"/>
    <w:next w:val="a"/>
    <w:uiPriority w:val="9"/>
    <w:unhideWhenUsed/>
    <w:qFormat/>
    <w:pPr>
      <w:pBdr>
        <w:top w:val="nil"/>
        <w:left w:val="nil"/>
        <w:bottom w:val="nil"/>
        <w:right w:val="nil"/>
        <w:between w:val="nil"/>
      </w:pBdr>
      <w:spacing w:before="240" w:after="240"/>
      <w:outlineLvl w:val="2"/>
    </w:pPr>
    <w:rPr>
      <w:b/>
      <w:bCs/>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character" w:styleId="a8">
    <w:name w:val="Placeholder Text"/>
    <w:basedOn w:val="a0"/>
    <w:uiPriority w:val="99"/>
    <w:semiHidden/>
    <w:rsid w:val="00D02E54"/>
    <w:rPr>
      <w:color w:val="666666"/>
    </w:rPr>
  </w:style>
  <w:style w:type="paragraph" w:styleId="a9">
    <w:name w:val="List Paragraph"/>
    <w:basedOn w:val="a"/>
    <w:uiPriority w:val="34"/>
    <w:qFormat/>
    <w:rsid w:val="0017262D"/>
    <w:pPr>
      <w:ind w:left="720"/>
      <w:contextualSpacing/>
    </w:pPr>
  </w:style>
  <w:style w:type="paragraph" w:styleId="aa">
    <w:name w:val="header"/>
    <w:basedOn w:val="a"/>
    <w:link w:val="Char"/>
    <w:uiPriority w:val="99"/>
    <w:unhideWhenUsed/>
    <w:rsid w:val="00A109ED"/>
    <w:pPr>
      <w:tabs>
        <w:tab w:val="center" w:pos="4153"/>
        <w:tab w:val="right" w:pos="8306"/>
      </w:tabs>
    </w:pPr>
  </w:style>
  <w:style w:type="character" w:customStyle="1" w:styleId="Char">
    <w:name w:val="رأس الصفحة Char"/>
    <w:basedOn w:val="a0"/>
    <w:link w:val="aa"/>
    <w:uiPriority w:val="99"/>
    <w:rsid w:val="00A109ED"/>
  </w:style>
  <w:style w:type="paragraph" w:styleId="ab">
    <w:name w:val="footer"/>
    <w:basedOn w:val="a"/>
    <w:link w:val="Char0"/>
    <w:uiPriority w:val="99"/>
    <w:unhideWhenUsed/>
    <w:rsid w:val="00A109ED"/>
    <w:pPr>
      <w:tabs>
        <w:tab w:val="center" w:pos="4153"/>
        <w:tab w:val="right" w:pos="8306"/>
      </w:tabs>
    </w:pPr>
  </w:style>
  <w:style w:type="character" w:customStyle="1" w:styleId="Char0">
    <w:name w:val="تذييل الصفحة Char"/>
    <w:basedOn w:val="a0"/>
    <w:link w:val="ab"/>
    <w:uiPriority w:val="99"/>
    <w:rsid w:val="00A109ED"/>
  </w:style>
  <w:style w:type="character" w:styleId="ac">
    <w:name w:val="page number"/>
    <w:basedOn w:val="a0"/>
    <w:uiPriority w:val="99"/>
    <w:semiHidden/>
    <w:unhideWhenUsed/>
    <w:rsid w:val="00305577"/>
  </w:style>
  <w:style w:type="paragraph" w:styleId="ad">
    <w:name w:val="Normal (Web)"/>
    <w:basedOn w:val="a"/>
    <w:uiPriority w:val="99"/>
    <w:semiHidden/>
    <w:unhideWhenUsed/>
    <w:rsid w:val="00A628F6"/>
    <w:pPr>
      <w:widowControl/>
      <w:spacing w:before="100" w:beforeAutospacing="1" w:after="100" w:afterAutospacing="1"/>
    </w:pPr>
    <w:rPr>
      <w:rFonts w:ascii="Times New Roman" w:eastAsia="Times New Roman" w:hAnsi="Times New Roman" w:cs="Times New Roman"/>
      <w:sz w:val="24"/>
      <w:szCs w:val="24"/>
    </w:rPr>
  </w:style>
  <w:style w:type="character" w:styleId="ae">
    <w:name w:val="Strong"/>
    <w:basedOn w:val="a0"/>
    <w:uiPriority w:val="22"/>
    <w:qFormat/>
    <w:rsid w:val="00A628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281C4-D7A6-E048-B2E6-4457723E1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13</Pages>
  <Words>2994</Words>
  <Characters>17070</Characters>
  <Application>Microsoft Office Word</Application>
  <DocSecurity>0</DocSecurity>
  <Lines>142</Lines>
  <Paragraphs>40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Altamimi</cp:lastModifiedBy>
  <cp:revision>3</cp:revision>
  <dcterms:created xsi:type="dcterms:W3CDTF">2026-08-15T01:37:00Z</dcterms:created>
  <dcterms:modified xsi:type="dcterms:W3CDTF">2026-08-15T01:44:00Z</dcterms:modified>
</cp:coreProperties>
</file>