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6581265" w:rsidR="002C1A51" w:rsidRPr="00235A24" w:rsidRDefault="002C1A51" w:rsidP="002C1A51">
      <w:pPr>
        <w:jc w:val="center"/>
        <w:rPr>
          <w:rFonts w:ascii="Bahij TheSansArabic Bold" w:hAnsi="Bahij TheSansArabic Bold" w:cs="Bahij TheSansArabic Bold"/>
          <w:b/>
          <w:bCs/>
          <w:sz w:val="32"/>
          <w:szCs w:val="32"/>
          <w:rtl/>
        </w:rPr>
      </w:pPr>
      <w:r w:rsidRPr="00235A24">
        <w:rPr>
          <w:rFonts w:ascii="Bahij TheSansArabic Bold" w:hAnsi="Bahij TheSansArabic Bold" w:cs="Bahij TheSansArabic Bold"/>
          <w:sz w:val="32"/>
          <w:szCs w:val="32"/>
          <w:rtl/>
        </w:rPr>
        <w:t>خطة بحثية مقدمة لدرجة البكالوريوس في الإعلام الرقمي</w:t>
      </w:r>
      <w:r w:rsidR="006836C4" w:rsidRPr="00235A24">
        <w:rPr>
          <w:rFonts w:ascii="Bahij TheSansArabic Bold" w:hAnsi="Bahij TheSansArabic Bold" w:cs="Bahij TheSansArabic Bold"/>
          <w:b/>
          <w:bCs/>
          <w:sz w:val="32"/>
          <w:szCs w:val="32"/>
          <w:rtl/>
        </w:rPr>
        <w:t xml:space="preserve"> </w:t>
      </w:r>
    </w:p>
    <w:p w14:paraId="4A21BE69" w14:textId="162709B4" w:rsidR="002C1A51" w:rsidRPr="00235A24" w:rsidRDefault="002C1A51" w:rsidP="002C1A51">
      <w:pPr>
        <w:jc w:val="center"/>
        <w:rPr>
          <w:rFonts w:ascii="Bahij TheSansArabic Bold" w:hAnsi="Bahij TheSansArabic Bold" w:cs="Bahij TheSansArabic Bold"/>
          <w:b/>
          <w:bCs/>
          <w:sz w:val="36"/>
          <w:szCs w:val="36"/>
          <w:rtl/>
        </w:rPr>
      </w:pPr>
      <w:r w:rsidRPr="00235A24">
        <w:rPr>
          <w:rFonts w:ascii="Bahij TheSansArabic Bold" w:hAnsi="Bahij TheSansArabic Bold" w:cs="Bahij TheSansArabic Bold"/>
          <w:b/>
          <w:bCs/>
          <w:sz w:val="36"/>
          <w:szCs w:val="36"/>
          <w:rtl/>
        </w:rPr>
        <w:t>"</w:t>
      </w:r>
      <w:r w:rsidR="001340AA">
        <w:rPr>
          <w:rFonts w:ascii="Bahij TheSansArabic Bold" w:hAnsi="Bahij TheSansArabic Bold" w:cs="Bahij TheSansArabic Bold" w:hint="cs"/>
          <w:b/>
          <w:bCs/>
          <w:sz w:val="36"/>
          <w:szCs w:val="36"/>
          <w:rtl/>
        </w:rPr>
        <w:t xml:space="preserve"> أثر المؤثرين في قرارات الشراء لدى المستهلكين</w:t>
      </w:r>
      <w:r w:rsidR="008F0F95">
        <w:rPr>
          <w:rFonts w:ascii="Bahij TheSansArabic Bold" w:hAnsi="Bahij TheSansArabic Bold" w:cs="Bahij TheSansArabic Bold" w:hint="cs"/>
          <w:b/>
          <w:bCs/>
          <w:sz w:val="36"/>
          <w:szCs w:val="36"/>
          <w:rtl/>
        </w:rPr>
        <w:t xml:space="preserve"> </w:t>
      </w:r>
      <w:r w:rsidRPr="00235A24">
        <w:rPr>
          <w:rFonts w:ascii="Bahij TheSansArabic Bold" w:hAnsi="Bahij TheSansArabic Bold" w:cs="Bahij TheSansArabic Bold"/>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6E033017" w:rsidR="002C1A51" w:rsidRPr="00235A24" w:rsidRDefault="002C1A51" w:rsidP="006836C4">
      <w:pP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 xml:space="preserve">إعداد: </w:t>
      </w:r>
      <w:r w:rsidR="008F0F95" w:rsidRPr="00FE7F92">
        <w:rPr>
          <w:rFonts w:ascii="Bahij TheSansArabic Bold" w:hAnsi="Bahij TheSansArabic Bold" w:cs="Bahij TheSansArabic Bold" w:hint="cs"/>
          <w:sz w:val="32"/>
          <w:szCs w:val="32"/>
          <w:rtl/>
        </w:rPr>
        <w:t>محمد بن فهد المزيد</w:t>
      </w:r>
    </w:p>
    <w:p w14:paraId="636B66F6" w14:textId="3AC948E2" w:rsidR="002C1A51" w:rsidRDefault="002C1A51" w:rsidP="006836C4">
      <w:pP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الرقم الأكاديمي:</w:t>
      </w:r>
      <w:r w:rsidR="008F0F95">
        <w:rPr>
          <w:rFonts w:ascii="Bahij TheSansArabic Bold" w:hAnsi="Bahij TheSansArabic Bold" w:cs="Bahij TheSansArabic Bold" w:hint="cs"/>
          <w:sz w:val="32"/>
          <w:szCs w:val="32"/>
          <w:rtl/>
        </w:rPr>
        <w:t xml:space="preserve"> </w:t>
      </w:r>
      <w:r w:rsidR="00FE7F92">
        <w:rPr>
          <w:rFonts w:ascii="Bahij TheSansArabic Bold" w:hAnsi="Bahij TheSansArabic Bold" w:cs="Bahij TheSansArabic Bold" w:hint="cs"/>
          <w:sz w:val="32"/>
          <w:szCs w:val="32"/>
          <w:rtl/>
        </w:rPr>
        <w:t>233000648</w:t>
      </w:r>
    </w:p>
    <w:p w14:paraId="2B69F701" w14:textId="77777777" w:rsidR="0012324F" w:rsidRPr="00235A24" w:rsidRDefault="0012324F" w:rsidP="006836C4">
      <w:pPr>
        <w:rPr>
          <w:rFonts w:ascii="Bahij TheSansArabic Bold" w:hAnsi="Bahij TheSansArabic Bold" w:cs="Bahij TheSansArabic Bold"/>
          <w:sz w:val="32"/>
          <w:szCs w:val="32"/>
          <w:rtl/>
        </w:rPr>
      </w:pPr>
    </w:p>
    <w:p w14:paraId="2D5B229C" w14:textId="7A1D5B2C" w:rsidR="002C1A51" w:rsidRPr="00235A24" w:rsidRDefault="002C1A51" w:rsidP="002C1A51">
      <w:pPr>
        <w:jc w:val="cente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إشراف:</w:t>
      </w:r>
    </w:p>
    <w:p w14:paraId="740E588F" w14:textId="65685AB0" w:rsidR="002C1A51" w:rsidRPr="00235A24" w:rsidRDefault="002C1A51" w:rsidP="002C1A51">
      <w:pPr>
        <w:jc w:val="center"/>
        <w:rPr>
          <w:rFonts w:ascii="Bahij TheSansArabic Bold" w:hAnsi="Bahij TheSansArabic Bold" w:cs="Bahij TheSansArabic Bold"/>
          <w:sz w:val="32"/>
          <w:szCs w:val="32"/>
          <w:rtl/>
        </w:rPr>
      </w:pPr>
      <w:r w:rsidRPr="00235A24">
        <w:rPr>
          <w:rFonts w:ascii="Bahij TheSansArabic Bold" w:hAnsi="Bahij TheSansArabic Bold" w:cs="Bahij TheSansArabic Bold"/>
          <w:sz w:val="32"/>
          <w:szCs w:val="32"/>
          <w:rtl/>
        </w:rPr>
        <w:t>د. توفيق عمري</w:t>
      </w:r>
    </w:p>
    <w:p w14:paraId="12D0FB91" w14:textId="77777777" w:rsidR="002C1A51" w:rsidRPr="00235A24" w:rsidRDefault="002C1A51" w:rsidP="002C1A51">
      <w:pPr>
        <w:jc w:val="center"/>
        <w:rPr>
          <w:rFonts w:ascii="Bahij TheSansArabic Bold" w:hAnsi="Bahij TheSansArabic Bold" w:cs="Bahij TheSansArabic Bold"/>
          <w:sz w:val="32"/>
          <w:szCs w:val="32"/>
          <w:rtl/>
        </w:rPr>
      </w:pPr>
    </w:p>
    <w:p w14:paraId="209AAF9C" w14:textId="50128F3E" w:rsidR="002C1A51" w:rsidRDefault="002C1A51" w:rsidP="002C1A51">
      <w:pPr>
        <w:jc w:val="center"/>
        <w:rPr>
          <w:rFonts w:ascii="Bahij TheSansArabic Bold" w:hAnsi="Bahij TheSansArabic Bold" w:cs="Bahij TheSansArabic Bold"/>
          <w:sz w:val="32"/>
          <w:szCs w:val="32"/>
          <w:rtl/>
        </w:rPr>
      </w:pPr>
      <w:r w:rsidRPr="00235A24">
        <w:rPr>
          <w:rFonts w:ascii="Bahij TheSansArabic Bold" w:hAnsi="Bahij TheSansArabic Bold" w:cs="Bahij TheSansArabic Bold"/>
          <w:sz w:val="26"/>
          <w:szCs w:val="26"/>
          <w:rtl/>
        </w:rPr>
        <w:t>2026</w:t>
      </w:r>
      <w:r w:rsidR="006836C4" w:rsidRPr="00235A24">
        <w:rPr>
          <w:rFonts w:ascii="Bahij TheSansArabic Bold" w:hAnsi="Bahij TheSansArabic Bold" w:cs="Bahij TheSansArabic Bold"/>
          <w:sz w:val="32"/>
          <w:szCs w:val="32"/>
          <w:rtl/>
        </w:rPr>
        <w:t xml:space="preserve"> </w:t>
      </w:r>
    </w:p>
    <w:p w14:paraId="44093EAA" w14:textId="77777777" w:rsidR="00B716AA" w:rsidRDefault="00B716AA" w:rsidP="00EA6006">
      <w:pPr>
        <w:rPr>
          <w:rFonts w:ascii="Bahij TheSansArabic Bold" w:hAnsi="Bahij TheSansArabic Bold" w:cs="Bahij TheSansArabic Bold"/>
          <w:sz w:val="32"/>
          <w:szCs w:val="32"/>
          <w:rtl/>
        </w:rPr>
      </w:pPr>
    </w:p>
    <w:p w14:paraId="043C08C6" w14:textId="77777777" w:rsidR="00F2793A" w:rsidRDefault="00F2793A" w:rsidP="00EA6006">
      <w:pPr>
        <w:rPr>
          <w:rFonts w:ascii="Bahij TheSansArabic Bold" w:hAnsi="Bahij TheSansArabic Bold" w:cs="Bahij TheSansArabic Bold"/>
          <w:sz w:val="32"/>
          <w:szCs w:val="32"/>
          <w:rtl/>
        </w:rPr>
      </w:pPr>
    </w:p>
    <w:p w14:paraId="531A6A24" w14:textId="77777777" w:rsidR="00F2793A" w:rsidRDefault="00F2793A" w:rsidP="00F2793A">
      <w:pPr>
        <w:spacing w:after="0" w:line="240" w:lineRule="auto"/>
        <w:rPr>
          <w:rFonts w:ascii="Bahij TheSansArabic Bold" w:hAnsi="Bahij TheSansArabic Bold" w:cs="Bahij TheSansArabic Bold"/>
          <w:sz w:val="30"/>
          <w:szCs w:val="30"/>
          <w:rtl/>
        </w:rPr>
      </w:pPr>
    </w:p>
    <w:p w14:paraId="4844443E" w14:textId="77777777" w:rsidR="001C3D20" w:rsidRPr="001C3D20" w:rsidRDefault="001C3D20" w:rsidP="00F2793A">
      <w:pPr>
        <w:spacing w:after="0" w:line="240" w:lineRule="auto"/>
        <w:rPr>
          <w:rFonts w:ascii="Bahij TheSansArabic Bold" w:hAnsi="Bahij TheSansArabic Bold" w:cs="Bahij TheSansArabic Bold"/>
          <w:sz w:val="16"/>
          <w:szCs w:val="16"/>
          <w:rtl/>
        </w:rPr>
      </w:pPr>
    </w:p>
    <w:p w14:paraId="0EE916FD" w14:textId="77777777" w:rsidR="002E06C6" w:rsidRDefault="002E06C6" w:rsidP="002E06C6">
      <w:pPr>
        <w:spacing w:after="0" w:line="240" w:lineRule="auto"/>
        <w:rPr>
          <w:rFonts w:ascii="Bahij TheSansArabic Bold" w:hAnsi="Bahij TheSansArabic Bold" w:cs="Bahij TheSansArabic Bold"/>
          <w:sz w:val="30"/>
          <w:szCs w:val="30"/>
          <w:rtl/>
        </w:rPr>
      </w:pPr>
      <w:r w:rsidRPr="002E06C6">
        <w:rPr>
          <w:rFonts w:ascii="Bahij TheSansArabic Bold" w:hAnsi="Bahij TheSansArabic Bold" w:cs="Bahij TheSansArabic Bold"/>
          <w:sz w:val="30"/>
          <w:szCs w:val="30"/>
          <w:rtl/>
        </w:rPr>
        <w:t>أولًا: إشكالية الدراسة</w:t>
      </w:r>
    </w:p>
    <w:p w14:paraId="7700159C" w14:textId="77777777" w:rsidR="00745FEF" w:rsidRPr="00745FEF" w:rsidRDefault="00745FEF" w:rsidP="002E06C6">
      <w:pPr>
        <w:spacing w:after="0" w:line="240" w:lineRule="auto"/>
        <w:rPr>
          <w:rFonts w:ascii="Bahij TheSansArabic Bold" w:hAnsi="Bahij TheSansArabic Bold" w:cs="Bahij TheSansArabic Bold"/>
          <w:sz w:val="20"/>
          <w:szCs w:val="20"/>
          <w:rtl/>
        </w:rPr>
      </w:pPr>
    </w:p>
    <w:p w14:paraId="1F23B0AB" w14:textId="77777777" w:rsidR="002E06C6" w:rsidRDefault="002E06C6" w:rsidP="00745FEF">
      <w:pPr>
        <w:spacing w:after="0"/>
        <w:jc w:val="lowKashida"/>
        <w:rPr>
          <w:rFonts w:ascii="Tajawal" w:hAnsi="Tajawal" w:cs="Tajawal"/>
          <w:b/>
          <w:bCs/>
          <w:rtl/>
        </w:rPr>
      </w:pPr>
      <w:r w:rsidRPr="002E06C6">
        <w:rPr>
          <w:rFonts w:ascii="Tajawal" w:hAnsi="Tajawal" w:cs="Tajawal"/>
          <w:b/>
          <w:bCs/>
          <w:rtl/>
        </w:rPr>
        <w:t>شهدت منصات التواصل الاجتماعي خلال السنوات الأخيرة تطورًا متسارعًا، وأصبحت من أهم وسائل الاتصال والتواصل بين الأفراد، كما تحولت إلى إحدى أبرز الأدوات التي تعتمد عليها المؤسسات والشركات في تسويق منتجاتها وخدماتها. ومع هذا التطور برزت فئة جديدة تُعرف بالمؤثرين، وهم أشخاص يمتلكون القدرة على الوصول إلى عدد كبير من المتابعين والتأثير في آرائهم واتجاهاتهم من خلال المحتوى الذي يقدمونه عبر المنصات الرقمية المختلفة.</w:t>
      </w:r>
    </w:p>
    <w:p w14:paraId="38A7E8F4" w14:textId="77777777" w:rsidR="00745FEF" w:rsidRPr="002E06C6" w:rsidRDefault="00745FEF" w:rsidP="00745FEF">
      <w:pPr>
        <w:spacing w:after="0"/>
        <w:jc w:val="lowKashida"/>
        <w:rPr>
          <w:rFonts w:ascii="Tajawal" w:hAnsi="Tajawal" w:cs="Tajawal"/>
          <w:b/>
          <w:bCs/>
          <w:rtl/>
        </w:rPr>
      </w:pPr>
    </w:p>
    <w:p w14:paraId="373D51E9" w14:textId="77777777" w:rsidR="002E06C6" w:rsidRDefault="002E06C6" w:rsidP="00745FEF">
      <w:pPr>
        <w:spacing w:after="0"/>
        <w:jc w:val="lowKashida"/>
        <w:rPr>
          <w:rFonts w:ascii="Tajawal" w:hAnsi="Tajawal" w:cs="Tajawal"/>
          <w:b/>
          <w:bCs/>
          <w:rtl/>
        </w:rPr>
      </w:pPr>
      <w:r w:rsidRPr="002E06C6">
        <w:rPr>
          <w:rFonts w:ascii="Tajawal" w:hAnsi="Tajawal" w:cs="Tajawal"/>
          <w:b/>
          <w:bCs/>
          <w:rtl/>
        </w:rPr>
        <w:t>وأصبح المؤثرون جزءًا أساسيًا من استراتيجيات التسويق الحديثة، حيث تعتمد عليهم العديد من العلامات التجارية للتعريف بمنتجاتها وتعزيز صورتها الذهنية لدى المستهلكين. كما أن المحتوى الذي يقدمه المؤثرون، سواء كان في صورة تجارب شخصية أو مراجعات للمنتجات أو توصيات مباشرة، أصبح مصدرًا للمعلومات لدى كثير من المستهلكين قبل اتخاذ قرار الشراء.</w:t>
      </w:r>
    </w:p>
    <w:p w14:paraId="5CAF618F" w14:textId="77777777" w:rsidR="00745FEF" w:rsidRPr="002E06C6" w:rsidRDefault="00745FEF" w:rsidP="00745FEF">
      <w:pPr>
        <w:spacing w:after="0"/>
        <w:jc w:val="lowKashida"/>
        <w:rPr>
          <w:rFonts w:ascii="Tajawal" w:hAnsi="Tajawal" w:cs="Tajawal"/>
          <w:b/>
          <w:bCs/>
          <w:rtl/>
        </w:rPr>
      </w:pPr>
    </w:p>
    <w:p w14:paraId="467C1D8D" w14:textId="77777777" w:rsidR="002E06C6" w:rsidRDefault="002E06C6" w:rsidP="00745FEF">
      <w:pPr>
        <w:spacing w:after="0"/>
        <w:jc w:val="lowKashida"/>
        <w:rPr>
          <w:rFonts w:ascii="Tajawal" w:hAnsi="Tajawal" w:cs="Tajawal"/>
          <w:b/>
          <w:bCs/>
          <w:rtl/>
        </w:rPr>
      </w:pPr>
      <w:r w:rsidRPr="002E06C6">
        <w:rPr>
          <w:rFonts w:ascii="Tajawal" w:hAnsi="Tajawal" w:cs="Tajawal"/>
          <w:b/>
          <w:bCs/>
          <w:rtl/>
        </w:rPr>
        <w:t>ورغم الأهمية المتزايدة للمؤثرين، إلا أن درجة تأثيرهم تختلف من مستهلك إلى آخر، فقد يعتمد بعض المستهلكين بصورة كبيرة على توصيات المؤثرين عند اتخاذ قرار الشراء، بينما يفضل آخرون الاعتماد على مصادر مختلفة للمعلومات قبل اتخاذ القرار. كما أن هناك عوامل متعددة قد تؤثر في هذا التأثير، مثل مصداقية المؤثر، ومستوى الثقة به، وطبيعة المحتوى الذي يقدمه، ومدى توافقه مع احتياجات واهتمامات المستهلك.</w:t>
      </w:r>
    </w:p>
    <w:p w14:paraId="30671DCB" w14:textId="77777777" w:rsidR="00745FEF" w:rsidRPr="002E06C6" w:rsidRDefault="00745FEF" w:rsidP="00745FEF">
      <w:pPr>
        <w:spacing w:after="0"/>
        <w:jc w:val="lowKashida"/>
        <w:rPr>
          <w:rFonts w:ascii="Tajawal" w:hAnsi="Tajawal" w:cs="Tajawal"/>
          <w:b/>
          <w:bCs/>
          <w:rtl/>
        </w:rPr>
      </w:pPr>
    </w:p>
    <w:p w14:paraId="2286961F" w14:textId="77777777" w:rsidR="002E06C6" w:rsidRDefault="002E06C6" w:rsidP="00745FEF">
      <w:pPr>
        <w:spacing w:after="0"/>
        <w:jc w:val="lowKashida"/>
        <w:rPr>
          <w:rFonts w:ascii="Tajawal" w:hAnsi="Tajawal" w:cs="Tajawal"/>
          <w:b/>
          <w:bCs/>
          <w:rtl/>
        </w:rPr>
      </w:pPr>
      <w:r w:rsidRPr="002E06C6">
        <w:rPr>
          <w:rFonts w:ascii="Tajawal" w:hAnsi="Tajawal" w:cs="Tajawal"/>
          <w:b/>
          <w:bCs/>
          <w:rtl/>
        </w:rPr>
        <w:t>ومن هنا تبرز إشكالية الدراسة في محاولة التعرف على مدى تأثير المؤثرين عبر منصات التواصل الاجتماعي في قرارات الشراء لدى المستهلكين، والكشف عن طبيعة العلاقة بين متابعة المؤثرين والسلوك الشرائي، إضافة إلى التعرف على أهم العوامل التي تزيد أو تقلل من تأثير المؤثرين في قرارات الشراء.</w:t>
      </w:r>
    </w:p>
    <w:p w14:paraId="26F74A84" w14:textId="77777777" w:rsidR="00745FEF" w:rsidRPr="002E06C6" w:rsidRDefault="00745FEF" w:rsidP="00745FEF">
      <w:pPr>
        <w:spacing w:after="0"/>
        <w:jc w:val="lowKashida"/>
        <w:rPr>
          <w:rFonts w:ascii="Tajawal" w:hAnsi="Tajawal" w:cs="Tajawal"/>
          <w:b/>
          <w:bCs/>
          <w:rtl/>
        </w:rPr>
      </w:pPr>
    </w:p>
    <w:p w14:paraId="457ACB6E" w14:textId="2039EC52" w:rsidR="00C36016" w:rsidRPr="002E06C6" w:rsidRDefault="002E06C6" w:rsidP="00745FEF">
      <w:pPr>
        <w:spacing w:after="0"/>
        <w:jc w:val="lowKashida"/>
        <w:rPr>
          <w:rFonts w:ascii="Tajawal" w:hAnsi="Tajawal" w:cs="Tajawal"/>
          <w:b/>
          <w:bCs/>
          <w:rtl/>
        </w:rPr>
      </w:pPr>
      <w:r w:rsidRPr="002E06C6">
        <w:rPr>
          <w:rFonts w:ascii="Tajawal" w:hAnsi="Tajawal" w:cs="Tajawal"/>
          <w:b/>
          <w:bCs/>
          <w:rtl/>
        </w:rPr>
        <w:t>وتسعى هذه الدراسة إلى تقديم فهم علمي لهذه الظاهرة في ظل التوسع المستمر في استخدام وسائل التواصل الاجتماعي، وزيادة اعتماد الشركات على التسويق عبر المؤثرين، الأمر الذي يجعل دراسة هذا الموضوع ذات أهمية علمية وعملية في مجال الإعلام الرقمي.</w:t>
      </w:r>
    </w:p>
    <w:p w14:paraId="7C7FCE33" w14:textId="77777777" w:rsidR="00C36016" w:rsidRDefault="00C36016" w:rsidP="00F2793A">
      <w:pPr>
        <w:spacing w:after="0" w:line="240" w:lineRule="auto"/>
        <w:rPr>
          <w:rFonts w:ascii="Bahij TheSansArabic Bold" w:hAnsi="Bahij TheSansArabic Bold" w:cs="Bahij TheSansArabic Bold"/>
          <w:sz w:val="30"/>
          <w:szCs w:val="30"/>
          <w:rtl/>
        </w:rPr>
      </w:pPr>
    </w:p>
    <w:p w14:paraId="4C4D2DB0" w14:textId="77777777" w:rsidR="00C36016" w:rsidRDefault="00C36016" w:rsidP="00F2793A">
      <w:pPr>
        <w:spacing w:after="0" w:line="240" w:lineRule="auto"/>
        <w:rPr>
          <w:rFonts w:ascii="Bahij TheSansArabic Bold" w:hAnsi="Bahij TheSansArabic Bold" w:cs="Bahij TheSansArabic Bold"/>
          <w:sz w:val="30"/>
          <w:szCs w:val="30"/>
          <w:rtl/>
        </w:rPr>
      </w:pPr>
    </w:p>
    <w:p w14:paraId="407550AE" w14:textId="77777777" w:rsidR="00C36016" w:rsidRDefault="00C36016" w:rsidP="00F2793A">
      <w:pPr>
        <w:spacing w:after="0" w:line="240" w:lineRule="auto"/>
        <w:rPr>
          <w:rFonts w:ascii="Bahij TheSansArabic Bold" w:hAnsi="Bahij TheSansArabic Bold" w:cs="Bahij TheSansArabic Bold"/>
          <w:sz w:val="30"/>
          <w:szCs w:val="30"/>
          <w:rtl/>
        </w:rPr>
      </w:pPr>
    </w:p>
    <w:p w14:paraId="28F3FD3B" w14:textId="77777777" w:rsidR="00C36016" w:rsidRDefault="00C36016" w:rsidP="00F2793A">
      <w:pPr>
        <w:spacing w:after="0" w:line="240" w:lineRule="auto"/>
        <w:rPr>
          <w:rFonts w:ascii="Bahij TheSansArabic Bold" w:hAnsi="Bahij TheSansArabic Bold" w:cs="Bahij TheSansArabic Bold"/>
          <w:sz w:val="30"/>
          <w:szCs w:val="30"/>
          <w:rtl/>
        </w:rPr>
      </w:pPr>
    </w:p>
    <w:p w14:paraId="34155E12" w14:textId="77777777" w:rsidR="00C36016" w:rsidRDefault="00C36016" w:rsidP="00F2793A">
      <w:pPr>
        <w:spacing w:after="0" w:line="240" w:lineRule="auto"/>
        <w:rPr>
          <w:rFonts w:ascii="Bahij TheSansArabic Bold" w:hAnsi="Bahij TheSansArabic Bold" w:cs="Bahij TheSansArabic Bold"/>
          <w:sz w:val="30"/>
          <w:szCs w:val="30"/>
          <w:rtl/>
        </w:rPr>
      </w:pPr>
    </w:p>
    <w:p w14:paraId="0261FCB0" w14:textId="77777777" w:rsidR="00BE14E2" w:rsidRDefault="00BE14E2" w:rsidP="00BE14E2">
      <w:pPr>
        <w:spacing w:after="0" w:line="240" w:lineRule="auto"/>
        <w:rPr>
          <w:rFonts w:ascii="Bahij TheSansArabic Bold" w:hAnsi="Bahij TheSansArabic Bold" w:cs="Bahij TheSansArabic Bold"/>
          <w:sz w:val="30"/>
          <w:szCs w:val="30"/>
          <w:rtl/>
        </w:rPr>
      </w:pPr>
      <w:r w:rsidRPr="00BE14E2">
        <w:rPr>
          <w:rFonts w:ascii="Bahij TheSansArabic Bold" w:hAnsi="Bahij TheSansArabic Bold" w:cs="Bahij TheSansArabic Bold"/>
          <w:sz w:val="30"/>
          <w:szCs w:val="30"/>
          <w:rtl/>
        </w:rPr>
        <w:lastRenderedPageBreak/>
        <w:t>ثانيًا: تساؤلات الدراسة</w:t>
      </w:r>
    </w:p>
    <w:p w14:paraId="189C6C0B" w14:textId="77777777" w:rsidR="00BE14E2" w:rsidRPr="00BE14E2" w:rsidRDefault="00BE14E2" w:rsidP="00BE14E2">
      <w:pPr>
        <w:spacing w:after="0" w:line="240" w:lineRule="auto"/>
        <w:rPr>
          <w:rFonts w:ascii="Bahij TheSansArabic Bold" w:hAnsi="Bahij TheSansArabic Bold" w:cs="Bahij TheSansArabic Bold"/>
          <w:sz w:val="10"/>
          <w:szCs w:val="10"/>
          <w:rtl/>
        </w:rPr>
      </w:pPr>
    </w:p>
    <w:p w14:paraId="042791C8" w14:textId="70888B98" w:rsidR="00BE14E2" w:rsidRPr="00BE14E2" w:rsidRDefault="00BE14E2" w:rsidP="00BE14E2">
      <w:pPr>
        <w:spacing w:after="0" w:line="240" w:lineRule="auto"/>
        <w:rPr>
          <w:rFonts w:ascii="Tajawal" w:hAnsi="Tajawal" w:cs="Tajawal"/>
          <w:b/>
          <w:bCs/>
          <w:rtl/>
        </w:rPr>
      </w:pPr>
      <w:r w:rsidRPr="00BE14E2">
        <w:rPr>
          <w:rFonts w:ascii="Tajawal" w:hAnsi="Tajawal" w:cs="Tajawal"/>
          <w:b/>
          <w:bCs/>
          <w:rtl/>
        </w:rPr>
        <w:t>تسعى الدراسة إلى الإجابة عن السؤال الرئيس</w:t>
      </w:r>
      <w:r w:rsidR="002E79F8">
        <w:rPr>
          <w:rFonts w:ascii="Tajawal" w:hAnsi="Tajawal" w:cs="Tajawal" w:hint="cs"/>
          <w:b/>
          <w:bCs/>
          <w:rtl/>
        </w:rPr>
        <w:t>ي</w:t>
      </w:r>
      <w:r w:rsidRPr="00BE14E2">
        <w:rPr>
          <w:rFonts w:ascii="Tajawal" w:hAnsi="Tajawal" w:cs="Tajawal"/>
          <w:b/>
          <w:bCs/>
          <w:rtl/>
        </w:rPr>
        <w:t xml:space="preserve"> الآتي:</w:t>
      </w:r>
    </w:p>
    <w:p w14:paraId="7D104EB7" w14:textId="77777777" w:rsidR="00BE14E2" w:rsidRPr="00BE14E2" w:rsidRDefault="00BE14E2" w:rsidP="00BE14E2">
      <w:pPr>
        <w:spacing w:after="0" w:line="240" w:lineRule="auto"/>
        <w:rPr>
          <w:rFonts w:ascii="Tajawal" w:hAnsi="Tajawal" w:cs="Tajawal"/>
          <w:b/>
          <w:bCs/>
          <w:rtl/>
        </w:rPr>
      </w:pPr>
      <w:r w:rsidRPr="00BE14E2">
        <w:rPr>
          <w:rFonts w:ascii="Tajawal" w:hAnsi="Tajawal" w:cs="Tajawal"/>
          <w:b/>
          <w:bCs/>
          <w:rtl/>
        </w:rPr>
        <w:t>ما أثر المؤثرين عبر منصات التواصل الاجتماعي في قرارات الشراء لدى المستهلكين؟</w:t>
      </w:r>
    </w:p>
    <w:p w14:paraId="75A8C7FE" w14:textId="7F459BFC" w:rsidR="00BE14E2" w:rsidRPr="00BE14E2" w:rsidRDefault="00BE14E2" w:rsidP="00BE14E2">
      <w:pPr>
        <w:spacing w:after="0" w:line="240" w:lineRule="auto"/>
        <w:rPr>
          <w:rFonts w:ascii="Tajawal" w:hAnsi="Tajawal" w:cs="Tajawal"/>
          <w:b/>
          <w:bCs/>
          <w:rtl/>
        </w:rPr>
      </w:pPr>
      <w:r w:rsidRPr="00BE14E2">
        <w:rPr>
          <w:rFonts w:ascii="Tajawal" w:hAnsi="Tajawal" w:cs="Tajawal"/>
          <w:b/>
          <w:bCs/>
          <w:rtl/>
        </w:rPr>
        <w:t>وينبثق عن هذا السؤال الرئيس</w:t>
      </w:r>
      <w:r>
        <w:rPr>
          <w:rFonts w:ascii="Tajawal" w:hAnsi="Tajawal" w:cs="Tajawal" w:hint="cs"/>
          <w:b/>
          <w:bCs/>
          <w:rtl/>
        </w:rPr>
        <w:t>ي</w:t>
      </w:r>
      <w:r w:rsidRPr="00BE14E2">
        <w:rPr>
          <w:rFonts w:ascii="Tajawal" w:hAnsi="Tajawal" w:cs="Tajawal"/>
          <w:b/>
          <w:bCs/>
          <w:rtl/>
        </w:rPr>
        <w:t xml:space="preserve"> عدد من التساؤلات الفرعية، وهي:</w:t>
      </w:r>
    </w:p>
    <w:p w14:paraId="670D4033" w14:textId="7662BEA3" w:rsidR="00BE14E2" w:rsidRPr="00BE14E2" w:rsidRDefault="00BE14E2" w:rsidP="00BE14E2">
      <w:pPr>
        <w:pStyle w:val="ListParagraph"/>
        <w:numPr>
          <w:ilvl w:val="0"/>
          <w:numId w:val="2"/>
        </w:numPr>
        <w:spacing w:after="0" w:line="240" w:lineRule="auto"/>
        <w:rPr>
          <w:rFonts w:ascii="Tajawal" w:hAnsi="Tajawal" w:cs="Tajawal"/>
          <w:b/>
          <w:bCs/>
          <w:rtl/>
        </w:rPr>
      </w:pPr>
      <w:r w:rsidRPr="00BE14E2">
        <w:rPr>
          <w:rFonts w:ascii="Tajawal" w:hAnsi="Tajawal" w:cs="Tajawal"/>
          <w:b/>
          <w:bCs/>
          <w:rtl/>
        </w:rPr>
        <w:t>ما مدى اعتماد المستهلكين على المؤثرين عند اتخاذ قرارات الشراء؟</w:t>
      </w:r>
    </w:p>
    <w:p w14:paraId="0264D825" w14:textId="0A805E91" w:rsidR="00BE14E2" w:rsidRPr="00BE14E2" w:rsidRDefault="00BE14E2" w:rsidP="00BE14E2">
      <w:pPr>
        <w:pStyle w:val="ListParagraph"/>
        <w:numPr>
          <w:ilvl w:val="0"/>
          <w:numId w:val="2"/>
        </w:numPr>
        <w:spacing w:after="0" w:line="240" w:lineRule="auto"/>
        <w:rPr>
          <w:rFonts w:ascii="Tajawal" w:hAnsi="Tajawal" w:cs="Tajawal"/>
          <w:b/>
          <w:bCs/>
          <w:rtl/>
        </w:rPr>
      </w:pPr>
      <w:r w:rsidRPr="00BE14E2">
        <w:rPr>
          <w:rFonts w:ascii="Tajawal" w:hAnsi="Tajawal" w:cs="Tajawal"/>
          <w:b/>
          <w:bCs/>
          <w:rtl/>
        </w:rPr>
        <w:t>ما أثر مصداقية المؤثر في قرارات الشراء لدى المستهلكين؟</w:t>
      </w:r>
    </w:p>
    <w:p w14:paraId="71C4C154" w14:textId="0098008A" w:rsidR="00BE14E2" w:rsidRPr="00BE14E2" w:rsidRDefault="00BE14E2" w:rsidP="00BE14E2">
      <w:pPr>
        <w:pStyle w:val="ListParagraph"/>
        <w:numPr>
          <w:ilvl w:val="0"/>
          <w:numId w:val="2"/>
        </w:numPr>
        <w:spacing w:after="0" w:line="240" w:lineRule="auto"/>
        <w:rPr>
          <w:rFonts w:ascii="Tajawal" w:hAnsi="Tajawal" w:cs="Tajawal"/>
          <w:b/>
          <w:bCs/>
          <w:rtl/>
        </w:rPr>
      </w:pPr>
      <w:r w:rsidRPr="00BE14E2">
        <w:rPr>
          <w:rFonts w:ascii="Tajawal" w:hAnsi="Tajawal" w:cs="Tajawal"/>
          <w:b/>
          <w:bCs/>
          <w:rtl/>
        </w:rPr>
        <w:t>إلى أي مدى يؤثر المحتوى الذي يقدمه المؤثرون في تشكيل اتجاهات المستهلكين نحو المنتجات والخدمات؟</w:t>
      </w:r>
    </w:p>
    <w:p w14:paraId="2439B512" w14:textId="30FF68F1" w:rsidR="00BE14E2" w:rsidRPr="00BE14E2" w:rsidRDefault="00BE14E2" w:rsidP="00BE14E2">
      <w:pPr>
        <w:pStyle w:val="ListParagraph"/>
        <w:numPr>
          <w:ilvl w:val="0"/>
          <w:numId w:val="2"/>
        </w:numPr>
        <w:spacing w:after="0" w:line="240" w:lineRule="auto"/>
        <w:rPr>
          <w:rFonts w:ascii="Tajawal" w:hAnsi="Tajawal" w:cs="Tajawal"/>
          <w:b/>
          <w:bCs/>
          <w:rtl/>
        </w:rPr>
      </w:pPr>
      <w:r w:rsidRPr="00BE14E2">
        <w:rPr>
          <w:rFonts w:ascii="Tajawal" w:hAnsi="Tajawal" w:cs="Tajawal"/>
          <w:b/>
          <w:bCs/>
          <w:rtl/>
        </w:rPr>
        <w:t>ما العوامل التي تزيد من تأثير المؤثرين في قرارات الشراء؟</w:t>
      </w:r>
    </w:p>
    <w:p w14:paraId="2AE27502" w14:textId="7EB9BC94" w:rsidR="00745FEF" w:rsidRPr="00BE14E2" w:rsidRDefault="00BE14E2" w:rsidP="00BE14E2">
      <w:pPr>
        <w:pStyle w:val="ListParagraph"/>
        <w:numPr>
          <w:ilvl w:val="0"/>
          <w:numId w:val="2"/>
        </w:numPr>
        <w:spacing w:after="0" w:line="240" w:lineRule="auto"/>
        <w:rPr>
          <w:rFonts w:ascii="Tajawal" w:hAnsi="Tajawal" w:cs="Tajawal"/>
          <w:b/>
          <w:bCs/>
          <w:rtl/>
        </w:rPr>
      </w:pPr>
      <w:r w:rsidRPr="00BE14E2">
        <w:rPr>
          <w:rFonts w:ascii="Tajawal" w:hAnsi="Tajawal" w:cs="Tajawal"/>
          <w:b/>
          <w:bCs/>
          <w:rtl/>
        </w:rPr>
        <w:t>هل تختلف درجة تأثير المؤثرين في قرارات الشراء باختلاف الخصائص الديموغرافية للمستهلكين؟</w:t>
      </w:r>
    </w:p>
    <w:p w14:paraId="0C00C18D" w14:textId="77777777" w:rsidR="00C36016" w:rsidRPr="00BE14E2" w:rsidRDefault="00C36016" w:rsidP="00F2793A">
      <w:pPr>
        <w:spacing w:after="0" w:line="240" w:lineRule="auto"/>
        <w:rPr>
          <w:rFonts w:ascii="Tajawal" w:hAnsi="Tajawal" w:cs="Tajawal"/>
          <w:b/>
          <w:bCs/>
          <w:rtl/>
        </w:rPr>
      </w:pPr>
    </w:p>
    <w:p w14:paraId="317FE142" w14:textId="77777777" w:rsidR="00041D50" w:rsidRPr="00041D50" w:rsidRDefault="00041D50" w:rsidP="00041D50">
      <w:pPr>
        <w:spacing w:after="0" w:line="240" w:lineRule="auto"/>
        <w:rPr>
          <w:rFonts w:ascii="Bahij TheSansArabic Bold" w:hAnsi="Bahij TheSansArabic Bold" w:cs="Bahij TheSansArabic Bold"/>
          <w:sz w:val="30"/>
          <w:szCs w:val="30"/>
          <w:rtl/>
        </w:rPr>
      </w:pPr>
      <w:r w:rsidRPr="00041D50">
        <w:rPr>
          <w:rFonts w:ascii="Bahij TheSansArabic Bold" w:hAnsi="Bahij TheSansArabic Bold" w:cs="Bahij TheSansArabic Bold"/>
          <w:sz w:val="30"/>
          <w:szCs w:val="30"/>
          <w:rtl/>
        </w:rPr>
        <w:t>ثالثًا: أسباب اختيار الموضوع</w:t>
      </w:r>
    </w:p>
    <w:p w14:paraId="36E66988" w14:textId="77777777" w:rsidR="006D536E" w:rsidRPr="00041D50" w:rsidRDefault="006D536E" w:rsidP="00041D50">
      <w:pPr>
        <w:spacing w:after="0" w:line="240" w:lineRule="auto"/>
        <w:jc w:val="lowKashida"/>
        <w:rPr>
          <w:rFonts w:ascii="Tajawal" w:hAnsi="Tajawal" w:cs="Tajawal"/>
          <w:b/>
          <w:bCs/>
          <w:rtl/>
        </w:rPr>
      </w:pPr>
    </w:p>
    <w:p w14:paraId="7369CA7D" w14:textId="0AAFD489" w:rsidR="00041D50" w:rsidRPr="00041D50" w:rsidRDefault="00041D50" w:rsidP="00041D50">
      <w:pPr>
        <w:pStyle w:val="ListParagraph"/>
        <w:numPr>
          <w:ilvl w:val="0"/>
          <w:numId w:val="3"/>
        </w:numPr>
        <w:spacing w:after="0" w:line="240" w:lineRule="auto"/>
        <w:jc w:val="lowKashida"/>
        <w:rPr>
          <w:rFonts w:ascii="Tajawal" w:hAnsi="Tajawal" w:cs="Tajawal"/>
          <w:b/>
          <w:bCs/>
          <w:rtl/>
        </w:rPr>
      </w:pPr>
      <w:r w:rsidRPr="00041D50">
        <w:rPr>
          <w:rFonts w:ascii="Tajawal" w:hAnsi="Tajawal" w:cs="Tajawal"/>
          <w:b/>
          <w:bCs/>
          <w:rtl/>
        </w:rPr>
        <w:t>الانتشار الواسع لمنصات التواصل الاجتماعي، واعتماد شريحة كبيرة من الأفراد عليها في الحصول على المعلومات المتعلقة بالمنتجات والخدمات قبل اتخاذ قرار الشراء.</w:t>
      </w:r>
    </w:p>
    <w:p w14:paraId="3C8A1AB1" w14:textId="036C3607" w:rsidR="00041D50" w:rsidRPr="00041D50" w:rsidRDefault="00041D50" w:rsidP="00041D50">
      <w:pPr>
        <w:pStyle w:val="ListParagraph"/>
        <w:numPr>
          <w:ilvl w:val="0"/>
          <w:numId w:val="3"/>
        </w:numPr>
        <w:spacing w:after="0" w:line="240" w:lineRule="auto"/>
        <w:jc w:val="lowKashida"/>
        <w:rPr>
          <w:rFonts w:ascii="Tajawal" w:hAnsi="Tajawal" w:cs="Tajawal"/>
          <w:b/>
          <w:bCs/>
          <w:rtl/>
        </w:rPr>
      </w:pPr>
      <w:r w:rsidRPr="00041D50">
        <w:rPr>
          <w:rFonts w:ascii="Tajawal" w:hAnsi="Tajawal" w:cs="Tajawal"/>
          <w:b/>
          <w:bCs/>
          <w:rtl/>
        </w:rPr>
        <w:t>النمو المتزايد لدور المؤثرين في مجال التسويق الرقمي، واعتماد العديد من الشركات والعلامات التجارية عليهم بوصفهم وسيلة فعالة للوصول إلى الجمهور المستهدف والتأثير في سلوكه الشرائي.</w:t>
      </w:r>
    </w:p>
    <w:p w14:paraId="192EC6C1" w14:textId="7D1A2F31" w:rsidR="00041D50" w:rsidRPr="00041D50" w:rsidRDefault="00041D50" w:rsidP="00041D50">
      <w:pPr>
        <w:pStyle w:val="ListParagraph"/>
        <w:numPr>
          <w:ilvl w:val="0"/>
          <w:numId w:val="3"/>
        </w:numPr>
        <w:spacing w:after="0" w:line="240" w:lineRule="auto"/>
        <w:jc w:val="lowKashida"/>
        <w:rPr>
          <w:rFonts w:ascii="Tajawal" w:hAnsi="Tajawal" w:cs="Tajawal"/>
          <w:b/>
          <w:bCs/>
          <w:rtl/>
        </w:rPr>
      </w:pPr>
      <w:r w:rsidRPr="00041D50">
        <w:rPr>
          <w:rFonts w:ascii="Tajawal" w:hAnsi="Tajawal" w:cs="Tajawal"/>
          <w:b/>
          <w:bCs/>
          <w:rtl/>
        </w:rPr>
        <w:t>ارتباط موضوع الدراسة بتخصص الإعلام الرقمي، حيث يُعد التسويق عبر المؤثرين من أبرز الموضوعات الحديثة التي تشهد اهتمامًا متزايدًا في الدراسات الإعلامية.</w:t>
      </w:r>
    </w:p>
    <w:p w14:paraId="328B9469" w14:textId="08B3E582" w:rsidR="00041D50" w:rsidRPr="00041D50" w:rsidRDefault="00041D50" w:rsidP="00041D50">
      <w:pPr>
        <w:pStyle w:val="ListParagraph"/>
        <w:numPr>
          <w:ilvl w:val="0"/>
          <w:numId w:val="3"/>
        </w:numPr>
        <w:spacing w:after="0" w:line="240" w:lineRule="auto"/>
        <w:jc w:val="lowKashida"/>
        <w:rPr>
          <w:rFonts w:ascii="Tajawal" w:hAnsi="Tajawal" w:cs="Tajawal"/>
          <w:b/>
          <w:bCs/>
          <w:rtl/>
        </w:rPr>
      </w:pPr>
      <w:r w:rsidRPr="00041D50">
        <w:rPr>
          <w:rFonts w:ascii="Tajawal" w:hAnsi="Tajawal" w:cs="Tajawal"/>
          <w:b/>
          <w:bCs/>
          <w:rtl/>
        </w:rPr>
        <w:t>الرغبة في التعرف على العوامل التي تجعل المستهلك يتأثر بتوصيات المؤثرين، ومدى انعكاس ذلك على قراراته الشرائية، بما يسهم في فهم هذه الظاهرة بصورة علمية.</w:t>
      </w:r>
    </w:p>
    <w:p w14:paraId="2FC93FC3" w14:textId="6B78579A" w:rsidR="00041D50" w:rsidRPr="00041D50" w:rsidRDefault="00041D50" w:rsidP="00041D50">
      <w:pPr>
        <w:pStyle w:val="ListParagraph"/>
        <w:numPr>
          <w:ilvl w:val="0"/>
          <w:numId w:val="3"/>
        </w:numPr>
        <w:spacing w:after="0" w:line="240" w:lineRule="auto"/>
        <w:jc w:val="lowKashida"/>
        <w:rPr>
          <w:rFonts w:ascii="Tajawal" w:hAnsi="Tajawal" w:cs="Tajawal"/>
          <w:b/>
          <w:bCs/>
          <w:rtl/>
        </w:rPr>
      </w:pPr>
      <w:r w:rsidRPr="00041D50">
        <w:rPr>
          <w:rFonts w:ascii="Tajawal" w:hAnsi="Tajawal" w:cs="Tajawal"/>
          <w:b/>
          <w:bCs/>
          <w:rtl/>
        </w:rPr>
        <w:t>إمكانية الاستفادة من نتائج الدراسة من قبل الباحثين، والجهات الأكاديمية، والشركات، والعاملين في مجال التسويق الرقمي، من خلال تطوير استراتيجيات أكثر فاعلية في التسويق عبر المؤثرين.</w:t>
      </w:r>
    </w:p>
    <w:p w14:paraId="039F2074" w14:textId="77777777" w:rsidR="00C36016" w:rsidRDefault="00C36016" w:rsidP="00F2793A">
      <w:pPr>
        <w:spacing w:after="0" w:line="240" w:lineRule="auto"/>
        <w:rPr>
          <w:rFonts w:ascii="Bahij TheSansArabic Bold" w:hAnsi="Bahij TheSansArabic Bold" w:cs="Bahij TheSansArabic Bold"/>
          <w:sz w:val="30"/>
          <w:szCs w:val="30"/>
          <w:rtl/>
        </w:rPr>
      </w:pPr>
    </w:p>
    <w:p w14:paraId="3D9E5574" w14:textId="77777777" w:rsidR="002E42CD" w:rsidRPr="002E42CD" w:rsidRDefault="002E42CD" w:rsidP="002E42CD">
      <w:pPr>
        <w:spacing w:after="0" w:line="240" w:lineRule="auto"/>
        <w:rPr>
          <w:rFonts w:ascii="Bahij TheSansArabic Bold" w:hAnsi="Bahij TheSansArabic Bold" w:cs="Bahij TheSansArabic Bold"/>
          <w:sz w:val="30"/>
          <w:szCs w:val="30"/>
          <w:rtl/>
        </w:rPr>
      </w:pPr>
      <w:r w:rsidRPr="002E42CD">
        <w:rPr>
          <w:rFonts w:ascii="Bahij TheSansArabic Bold" w:hAnsi="Bahij TheSansArabic Bold" w:cs="Bahij TheSansArabic Bold"/>
          <w:sz w:val="30"/>
          <w:szCs w:val="30"/>
          <w:rtl/>
        </w:rPr>
        <w:t>رابعًا: أهداف الدراسة</w:t>
      </w:r>
    </w:p>
    <w:p w14:paraId="7E411D93" w14:textId="77777777" w:rsidR="002E42CD" w:rsidRPr="002E42CD" w:rsidRDefault="002E42CD" w:rsidP="002E79F8">
      <w:pPr>
        <w:spacing w:after="0" w:line="240" w:lineRule="auto"/>
        <w:jc w:val="lowKashida"/>
        <w:rPr>
          <w:rFonts w:ascii="Tajawal" w:hAnsi="Tajawal" w:cs="Tajawal"/>
          <w:b/>
          <w:bCs/>
          <w:rtl/>
        </w:rPr>
      </w:pPr>
      <w:r w:rsidRPr="002E42CD">
        <w:rPr>
          <w:rFonts w:ascii="Tajawal" w:hAnsi="Tajawal" w:cs="Tajawal"/>
          <w:b/>
          <w:bCs/>
          <w:rtl/>
        </w:rPr>
        <w:t>تهدف هذه الدراسة بصورة رئيسة إلى التعرف على أثر المؤثرين عبر منصات التواصل الاجتماعي في قرارات الشراء لدى المستهلكين، ويتفرع عن هذا الهدف مجموعة من الأهداف الفرعية، تتمثل فيما يأتي:</w:t>
      </w:r>
    </w:p>
    <w:p w14:paraId="231899D3" w14:textId="63198F7A" w:rsidR="002E42CD" w:rsidRPr="002E79F8" w:rsidRDefault="002E42CD" w:rsidP="002E79F8">
      <w:pPr>
        <w:pStyle w:val="ListParagraph"/>
        <w:numPr>
          <w:ilvl w:val="0"/>
          <w:numId w:val="4"/>
        </w:numPr>
        <w:spacing w:after="0" w:line="240" w:lineRule="auto"/>
        <w:jc w:val="lowKashida"/>
        <w:rPr>
          <w:rFonts w:ascii="Tajawal" w:hAnsi="Tajawal" w:cs="Tajawal"/>
          <w:b/>
          <w:bCs/>
          <w:rtl/>
        </w:rPr>
      </w:pPr>
      <w:r w:rsidRPr="002E79F8">
        <w:rPr>
          <w:rFonts w:ascii="Tajawal" w:hAnsi="Tajawal" w:cs="Tajawal"/>
          <w:b/>
          <w:bCs/>
          <w:rtl/>
        </w:rPr>
        <w:t>التعرف على مدى اعتماد المستهلكين على المؤثرين عند اتخاذ قرارات الشراء.</w:t>
      </w:r>
    </w:p>
    <w:p w14:paraId="01D1EC3A" w14:textId="38DBE5BA" w:rsidR="002E42CD" w:rsidRPr="002E79F8" w:rsidRDefault="002E42CD" w:rsidP="002E79F8">
      <w:pPr>
        <w:pStyle w:val="ListParagraph"/>
        <w:numPr>
          <w:ilvl w:val="0"/>
          <w:numId w:val="4"/>
        </w:numPr>
        <w:spacing w:after="0" w:line="240" w:lineRule="auto"/>
        <w:jc w:val="lowKashida"/>
        <w:rPr>
          <w:rFonts w:ascii="Tajawal" w:hAnsi="Tajawal" w:cs="Tajawal"/>
          <w:b/>
          <w:bCs/>
          <w:rtl/>
        </w:rPr>
      </w:pPr>
      <w:r w:rsidRPr="002E79F8">
        <w:rPr>
          <w:rFonts w:ascii="Tajawal" w:hAnsi="Tajawal" w:cs="Tajawal"/>
          <w:b/>
          <w:bCs/>
          <w:rtl/>
        </w:rPr>
        <w:t>قياس أثر مصداقية المؤثر في تعزيز ثقة المستهلكين بالمنتجات أو الخدمات.</w:t>
      </w:r>
    </w:p>
    <w:p w14:paraId="6D6025DD" w14:textId="22D3F471" w:rsidR="002E42CD" w:rsidRPr="002E79F8" w:rsidRDefault="002E42CD" w:rsidP="002E79F8">
      <w:pPr>
        <w:pStyle w:val="ListParagraph"/>
        <w:numPr>
          <w:ilvl w:val="0"/>
          <w:numId w:val="4"/>
        </w:numPr>
        <w:spacing w:after="0" w:line="240" w:lineRule="auto"/>
        <w:jc w:val="lowKashida"/>
        <w:rPr>
          <w:rFonts w:ascii="Tajawal" w:hAnsi="Tajawal" w:cs="Tajawal"/>
          <w:b/>
          <w:bCs/>
          <w:rtl/>
        </w:rPr>
      </w:pPr>
      <w:r w:rsidRPr="002E79F8">
        <w:rPr>
          <w:rFonts w:ascii="Tajawal" w:hAnsi="Tajawal" w:cs="Tajawal"/>
          <w:b/>
          <w:bCs/>
          <w:rtl/>
        </w:rPr>
        <w:t>التعرف على مدى تأثير المحتوى الذي يقدمه المؤثرون في تكوين اتجاهات المستهلكين نحو العلامات التجارية.</w:t>
      </w:r>
    </w:p>
    <w:p w14:paraId="1C99835B" w14:textId="72C17173" w:rsidR="002E42CD" w:rsidRPr="002E79F8" w:rsidRDefault="002E42CD" w:rsidP="002E79F8">
      <w:pPr>
        <w:pStyle w:val="ListParagraph"/>
        <w:numPr>
          <w:ilvl w:val="0"/>
          <w:numId w:val="4"/>
        </w:numPr>
        <w:spacing w:after="0" w:line="240" w:lineRule="auto"/>
        <w:jc w:val="lowKashida"/>
        <w:rPr>
          <w:rFonts w:ascii="Tajawal" w:hAnsi="Tajawal" w:cs="Tajawal"/>
          <w:b/>
          <w:bCs/>
          <w:rtl/>
        </w:rPr>
      </w:pPr>
      <w:r w:rsidRPr="002E79F8">
        <w:rPr>
          <w:rFonts w:ascii="Tajawal" w:hAnsi="Tajawal" w:cs="Tajawal"/>
          <w:b/>
          <w:bCs/>
          <w:rtl/>
        </w:rPr>
        <w:t>الكشف عن أبرز العوامل التي تسهم في زيادة أو انخفاض تأثير المؤثرين في قرارات الشراء لدى المستهلكين.</w:t>
      </w:r>
    </w:p>
    <w:p w14:paraId="4850EC09" w14:textId="21A063A8" w:rsidR="002E42CD" w:rsidRPr="002E79F8" w:rsidRDefault="002E42CD" w:rsidP="002E79F8">
      <w:pPr>
        <w:pStyle w:val="ListParagraph"/>
        <w:numPr>
          <w:ilvl w:val="0"/>
          <w:numId w:val="4"/>
        </w:numPr>
        <w:spacing w:after="0" w:line="240" w:lineRule="auto"/>
        <w:jc w:val="lowKashida"/>
        <w:rPr>
          <w:rFonts w:ascii="Tajawal" w:hAnsi="Tajawal" w:cs="Tajawal"/>
          <w:b/>
          <w:bCs/>
          <w:rtl/>
        </w:rPr>
      </w:pPr>
      <w:r w:rsidRPr="002E79F8">
        <w:rPr>
          <w:rFonts w:ascii="Tajawal" w:hAnsi="Tajawal" w:cs="Tajawal"/>
          <w:b/>
          <w:bCs/>
          <w:rtl/>
        </w:rPr>
        <w:lastRenderedPageBreak/>
        <w:t>التعرف على العلاقة بين متابعة المؤثرين عبر منصات التواصل الاجتماعي والسلوك الشرائي للمستهلكين.</w:t>
      </w:r>
    </w:p>
    <w:p w14:paraId="1CA6B842" w14:textId="461FF990" w:rsidR="00C36016" w:rsidRPr="002E79F8" w:rsidRDefault="002E42CD" w:rsidP="002E79F8">
      <w:pPr>
        <w:pStyle w:val="ListParagraph"/>
        <w:numPr>
          <w:ilvl w:val="0"/>
          <w:numId w:val="4"/>
        </w:numPr>
        <w:spacing w:after="0" w:line="240" w:lineRule="auto"/>
        <w:jc w:val="lowKashida"/>
        <w:rPr>
          <w:rFonts w:ascii="Tajawal" w:hAnsi="Tajawal" w:cs="Tajawal"/>
          <w:b/>
          <w:bCs/>
          <w:rtl/>
        </w:rPr>
      </w:pPr>
      <w:r w:rsidRPr="002E79F8">
        <w:rPr>
          <w:rFonts w:ascii="Tajawal" w:hAnsi="Tajawal" w:cs="Tajawal"/>
          <w:b/>
          <w:bCs/>
          <w:rtl/>
        </w:rPr>
        <w:t>تقديم مجموعة من النتائج والتوصيات التي يمكن أن تسهم في تطوير أساليب التسويق عبر المؤثرين، والاستفادة منها في مجال الإعلام الرقمي.</w:t>
      </w:r>
    </w:p>
    <w:p w14:paraId="29EBA1C5" w14:textId="77777777" w:rsidR="00C36016" w:rsidRPr="002E42CD" w:rsidRDefault="00C36016" w:rsidP="00F2793A">
      <w:pPr>
        <w:spacing w:after="0" w:line="240" w:lineRule="auto"/>
        <w:rPr>
          <w:rFonts w:ascii="Tajawal" w:hAnsi="Tajawal" w:cs="Tajawal"/>
          <w:b/>
          <w:bCs/>
          <w:rtl/>
        </w:rPr>
      </w:pPr>
    </w:p>
    <w:p w14:paraId="74A92EC7" w14:textId="77777777" w:rsidR="00187F81" w:rsidRPr="00187F81" w:rsidRDefault="00187F81" w:rsidP="00187F81">
      <w:pPr>
        <w:spacing w:after="0" w:line="240" w:lineRule="auto"/>
        <w:rPr>
          <w:rFonts w:ascii="Bahij TheSansArabic Bold" w:hAnsi="Bahij TheSansArabic Bold" w:cs="Bahij TheSansArabic Bold"/>
          <w:sz w:val="30"/>
          <w:szCs w:val="30"/>
          <w:rtl/>
        </w:rPr>
      </w:pPr>
      <w:r w:rsidRPr="00187F81">
        <w:rPr>
          <w:rFonts w:ascii="Bahij TheSansArabic Bold" w:hAnsi="Bahij TheSansArabic Bold" w:cs="Bahij TheSansArabic Bold"/>
          <w:sz w:val="30"/>
          <w:szCs w:val="30"/>
          <w:rtl/>
        </w:rPr>
        <w:t>خامسًا: الدراسات السابقة</w:t>
      </w:r>
    </w:p>
    <w:p w14:paraId="197475D7" w14:textId="77777777" w:rsidR="00187F81" w:rsidRPr="00187F81" w:rsidRDefault="00187F81" w:rsidP="00187F81">
      <w:pPr>
        <w:spacing w:after="0" w:line="240" w:lineRule="auto"/>
        <w:jc w:val="lowKashida"/>
        <w:rPr>
          <w:rFonts w:ascii="Tajawal" w:hAnsi="Tajawal" w:cs="Tajawal"/>
          <w:b/>
          <w:bCs/>
          <w:rtl/>
        </w:rPr>
      </w:pPr>
      <w:r w:rsidRPr="00187F81">
        <w:rPr>
          <w:rFonts w:ascii="Tajawal" w:hAnsi="Tajawal" w:cs="Tajawal"/>
          <w:b/>
          <w:bCs/>
          <w:rtl/>
        </w:rPr>
        <w:t>استعان الباحث بعدد من الدراسات السابقة التي تناولت موضوع التسويق عبر المؤثرين وأثره في سلوك المستهلك وقرارات الشراء، وذلك للاستفادة منها في بناء الإطار العلمي للدراسة الحالية، والتعرف على أبرز النتائج التي توصلت إليها، وتحديد أوجه الاتفاق والاختلاف بينها وبين الدراسة الحالية.</w:t>
      </w:r>
    </w:p>
    <w:p w14:paraId="23D9822A" w14:textId="77777777" w:rsidR="00187F81" w:rsidRPr="0082225A" w:rsidRDefault="00187F81" w:rsidP="0082225A">
      <w:pPr>
        <w:pStyle w:val="ListParagraph"/>
        <w:numPr>
          <w:ilvl w:val="0"/>
          <w:numId w:val="5"/>
        </w:numPr>
        <w:spacing w:after="0" w:line="240" w:lineRule="auto"/>
        <w:jc w:val="lowKashida"/>
        <w:rPr>
          <w:rFonts w:ascii="Tajawal" w:hAnsi="Tajawal" w:cs="Tajawal"/>
          <w:b/>
          <w:bCs/>
          <w:sz w:val="28"/>
          <w:szCs w:val="28"/>
          <w:rtl/>
        </w:rPr>
      </w:pPr>
      <w:r w:rsidRPr="0082225A">
        <w:rPr>
          <w:rFonts w:ascii="Tajawal" w:hAnsi="Tajawal" w:cs="Tajawal"/>
          <w:b/>
          <w:bCs/>
          <w:sz w:val="28"/>
          <w:szCs w:val="28"/>
          <w:rtl/>
        </w:rPr>
        <w:t>الدراسة الأولى:</w:t>
      </w:r>
    </w:p>
    <w:p w14:paraId="6A633C8D" w14:textId="77777777" w:rsidR="00187F81" w:rsidRPr="00187F81" w:rsidRDefault="00187F81" w:rsidP="00187F81">
      <w:pPr>
        <w:spacing w:after="0" w:line="240" w:lineRule="auto"/>
        <w:jc w:val="lowKashida"/>
        <w:rPr>
          <w:rFonts w:ascii="Tajawal" w:hAnsi="Tajawal" w:cs="Tajawal"/>
          <w:b/>
          <w:bCs/>
          <w:rtl/>
        </w:rPr>
      </w:pPr>
      <w:r w:rsidRPr="00187F81">
        <w:rPr>
          <w:rFonts w:ascii="Tajawal" w:hAnsi="Tajawal" w:cs="Tajawal"/>
          <w:b/>
          <w:bCs/>
          <w:rtl/>
        </w:rPr>
        <w:t xml:space="preserve">دراسة </w:t>
      </w:r>
      <w:r w:rsidRPr="00187F81">
        <w:rPr>
          <w:rFonts w:ascii="Tajawal" w:hAnsi="Tajawal" w:cs="Tajawal"/>
          <w:b/>
          <w:bCs/>
        </w:rPr>
        <w:t>Liu &amp; Zheng</w:t>
      </w:r>
      <w:r w:rsidRPr="00187F81">
        <w:rPr>
          <w:rFonts w:ascii="Tajawal" w:hAnsi="Tajawal" w:cs="Tajawal"/>
          <w:b/>
          <w:bCs/>
          <w:rtl/>
        </w:rPr>
        <w:t xml:space="preserve"> (2024) بعنوان: </w:t>
      </w:r>
      <w:r w:rsidRPr="00187F81">
        <w:rPr>
          <w:rFonts w:ascii="Tajawal" w:hAnsi="Tajawal" w:cs="Tajawal"/>
          <w:b/>
          <w:bCs/>
        </w:rPr>
        <w:t>The Persuasive Power of Social Media Influencers in Brand Credibility and Purchase Intention</w:t>
      </w:r>
      <w:r w:rsidRPr="00187F81">
        <w:rPr>
          <w:rFonts w:ascii="Tajawal" w:hAnsi="Tajawal" w:cs="Tajawal"/>
          <w:b/>
          <w:bCs/>
          <w:rtl/>
        </w:rPr>
        <w:t>، وهدفت إلى التعرف على أثر مصداقية المؤثرين في تعزيز مصداقية العلامة التجارية ونية الشراء لدى المستهلكين. اعتمدت الدراسة على المنهج الكمي باستخدام الاستبيان، وتوصلت إلى وجود علاقة إيجابية بين مصداقية المؤثر وزيادة نية الشراء لدى المستهلكين، كما أكدت أن جودة المحتوى والثقة بالمؤثر تؤديان دورًا مهمًا في تعزيز قرارات الشراء.</w:t>
      </w:r>
    </w:p>
    <w:p w14:paraId="7C16EF5F" w14:textId="77777777" w:rsidR="00187F81" w:rsidRPr="0082225A" w:rsidRDefault="00187F81" w:rsidP="0082225A">
      <w:pPr>
        <w:pStyle w:val="ListParagraph"/>
        <w:numPr>
          <w:ilvl w:val="0"/>
          <w:numId w:val="5"/>
        </w:numPr>
        <w:spacing w:after="0" w:line="240" w:lineRule="auto"/>
        <w:jc w:val="lowKashida"/>
        <w:rPr>
          <w:rFonts w:ascii="Tajawal" w:hAnsi="Tajawal" w:cs="Tajawal"/>
          <w:b/>
          <w:bCs/>
          <w:sz w:val="28"/>
          <w:szCs w:val="28"/>
          <w:rtl/>
        </w:rPr>
      </w:pPr>
      <w:r w:rsidRPr="0082225A">
        <w:rPr>
          <w:rFonts w:ascii="Tajawal" w:hAnsi="Tajawal" w:cs="Tajawal"/>
          <w:b/>
          <w:bCs/>
          <w:sz w:val="28"/>
          <w:szCs w:val="28"/>
          <w:rtl/>
        </w:rPr>
        <w:t>الدراسة الثانية:</w:t>
      </w:r>
    </w:p>
    <w:p w14:paraId="16E9FCE9" w14:textId="77777777" w:rsidR="00187F81" w:rsidRPr="00187F81" w:rsidRDefault="00187F81" w:rsidP="00187F81">
      <w:pPr>
        <w:spacing w:after="0" w:line="240" w:lineRule="auto"/>
        <w:jc w:val="lowKashida"/>
        <w:rPr>
          <w:rFonts w:ascii="Tajawal" w:hAnsi="Tajawal" w:cs="Tajawal"/>
          <w:b/>
          <w:bCs/>
          <w:rtl/>
        </w:rPr>
      </w:pPr>
      <w:r w:rsidRPr="00187F81">
        <w:rPr>
          <w:rFonts w:ascii="Tajawal" w:hAnsi="Tajawal" w:cs="Tajawal"/>
          <w:b/>
          <w:bCs/>
          <w:rtl/>
        </w:rPr>
        <w:t xml:space="preserve">دراسة </w:t>
      </w:r>
      <w:proofErr w:type="spellStart"/>
      <w:r w:rsidRPr="00187F81">
        <w:rPr>
          <w:rFonts w:ascii="Tajawal" w:hAnsi="Tajawal" w:cs="Tajawal"/>
          <w:b/>
          <w:bCs/>
        </w:rPr>
        <w:t>Mrisha</w:t>
      </w:r>
      <w:proofErr w:type="spellEnd"/>
      <w:r w:rsidRPr="00187F81">
        <w:rPr>
          <w:rFonts w:ascii="Tajawal" w:hAnsi="Tajawal" w:cs="Tajawal"/>
          <w:b/>
          <w:bCs/>
        </w:rPr>
        <w:t xml:space="preserve"> &amp; </w:t>
      </w:r>
      <w:proofErr w:type="spellStart"/>
      <w:r w:rsidRPr="00187F81">
        <w:rPr>
          <w:rFonts w:ascii="Tajawal" w:hAnsi="Tajawal" w:cs="Tajawal"/>
          <w:b/>
          <w:bCs/>
        </w:rPr>
        <w:t>Xixiang</w:t>
      </w:r>
      <w:proofErr w:type="spellEnd"/>
      <w:r w:rsidRPr="00187F81">
        <w:rPr>
          <w:rFonts w:ascii="Tajawal" w:hAnsi="Tajawal" w:cs="Tajawal"/>
          <w:b/>
          <w:bCs/>
          <w:rtl/>
        </w:rPr>
        <w:t xml:space="preserve"> (2024) بعنوان: </w:t>
      </w:r>
      <w:r w:rsidRPr="00187F81">
        <w:rPr>
          <w:rFonts w:ascii="Tajawal" w:hAnsi="Tajawal" w:cs="Tajawal"/>
          <w:b/>
          <w:bCs/>
        </w:rPr>
        <w:t>The Power of Influence: How Social Media Influencers Are Shaping Consumer Decision Making in the Digital Age</w:t>
      </w:r>
      <w:r w:rsidRPr="00187F81">
        <w:rPr>
          <w:rFonts w:ascii="Tajawal" w:hAnsi="Tajawal" w:cs="Tajawal"/>
          <w:b/>
          <w:bCs/>
          <w:rtl/>
        </w:rPr>
        <w:t>، وهدفت إلى دراسة تأثير المؤثرين في عملية اتخاذ القرار الشرائي. وأظهرت نتائج الدراسة أن العلاقة الإيجابية بين المؤثر والمتابع، إلى جانب جودة المحتوى ودرجة المصداقية، تُعد من أهم العوامل المؤثرة في قرار الشراء.</w:t>
      </w:r>
    </w:p>
    <w:p w14:paraId="2998319D" w14:textId="77777777" w:rsidR="00187F81" w:rsidRPr="0082225A" w:rsidRDefault="00187F81" w:rsidP="0082225A">
      <w:pPr>
        <w:pStyle w:val="ListParagraph"/>
        <w:numPr>
          <w:ilvl w:val="0"/>
          <w:numId w:val="5"/>
        </w:numPr>
        <w:spacing w:after="0" w:line="240" w:lineRule="auto"/>
        <w:jc w:val="lowKashida"/>
        <w:rPr>
          <w:rFonts w:ascii="Tajawal" w:hAnsi="Tajawal" w:cs="Tajawal"/>
          <w:b/>
          <w:bCs/>
          <w:sz w:val="28"/>
          <w:szCs w:val="28"/>
          <w:rtl/>
        </w:rPr>
      </w:pPr>
      <w:r w:rsidRPr="0082225A">
        <w:rPr>
          <w:rFonts w:ascii="Tajawal" w:hAnsi="Tajawal" w:cs="Tajawal"/>
          <w:b/>
          <w:bCs/>
          <w:sz w:val="28"/>
          <w:szCs w:val="28"/>
          <w:rtl/>
        </w:rPr>
        <w:t>الدراسة الثالثة:</w:t>
      </w:r>
    </w:p>
    <w:p w14:paraId="4EB42C00" w14:textId="77777777" w:rsidR="00187F81" w:rsidRPr="00187F81" w:rsidRDefault="00187F81" w:rsidP="00187F81">
      <w:pPr>
        <w:spacing w:after="0" w:line="240" w:lineRule="auto"/>
        <w:jc w:val="lowKashida"/>
        <w:rPr>
          <w:rFonts w:ascii="Tajawal" w:hAnsi="Tajawal" w:cs="Tajawal"/>
          <w:b/>
          <w:bCs/>
          <w:rtl/>
        </w:rPr>
      </w:pPr>
      <w:r w:rsidRPr="00187F81">
        <w:rPr>
          <w:rFonts w:ascii="Tajawal" w:hAnsi="Tajawal" w:cs="Tajawal"/>
          <w:b/>
          <w:bCs/>
          <w:rtl/>
        </w:rPr>
        <w:t xml:space="preserve">دراسة </w:t>
      </w:r>
      <w:r w:rsidRPr="00187F81">
        <w:rPr>
          <w:rFonts w:ascii="Tajawal" w:hAnsi="Tajawal" w:cs="Tajawal"/>
          <w:b/>
          <w:bCs/>
        </w:rPr>
        <w:t>Shamim &amp; Azam</w:t>
      </w:r>
      <w:r w:rsidRPr="00187F81">
        <w:rPr>
          <w:rFonts w:ascii="Tajawal" w:hAnsi="Tajawal" w:cs="Tajawal"/>
          <w:b/>
          <w:bCs/>
          <w:rtl/>
        </w:rPr>
        <w:t xml:space="preserve"> (2024) بعنوان: </w:t>
      </w:r>
      <w:r w:rsidRPr="00187F81">
        <w:rPr>
          <w:rFonts w:ascii="Tajawal" w:hAnsi="Tajawal" w:cs="Tajawal"/>
          <w:b/>
          <w:bCs/>
        </w:rPr>
        <w:t xml:space="preserve">The Power of Social Media Influencers: Unveiling the Impact on Consumers’ Impulse Buying </w:t>
      </w:r>
      <w:proofErr w:type="spellStart"/>
      <w:r w:rsidRPr="00187F81">
        <w:rPr>
          <w:rFonts w:ascii="Tajawal" w:hAnsi="Tajawal" w:cs="Tajawal"/>
          <w:b/>
          <w:bCs/>
        </w:rPr>
        <w:t>Behaviour</w:t>
      </w:r>
      <w:proofErr w:type="spellEnd"/>
      <w:r w:rsidRPr="00187F81">
        <w:rPr>
          <w:rFonts w:ascii="Tajawal" w:hAnsi="Tajawal" w:cs="Tajawal"/>
          <w:b/>
          <w:bCs/>
          <w:rtl/>
        </w:rPr>
        <w:t>، والتي هدفت إلى التعرف على أثر محتوى المؤثرين في سلوك الشراء الاندفاعي للمستهلكين. وأشارت نتائج الدراسة إلى وجود تأثير إيجابي للمؤثرين في زيادة الرغبة في الشراء، خاصة عندما يتمتع المؤثر بالمصداقية ويقدم محتوى يتسم بالأصالة والشفافية.</w:t>
      </w:r>
    </w:p>
    <w:p w14:paraId="4C9053C9" w14:textId="77777777" w:rsidR="00192602" w:rsidRDefault="00192602" w:rsidP="007836C8">
      <w:pPr>
        <w:spacing w:after="0" w:line="240" w:lineRule="auto"/>
        <w:jc w:val="lowKashida"/>
        <w:rPr>
          <w:rFonts w:ascii="Tajawal" w:hAnsi="Tajawal" w:cs="Tajawal"/>
          <w:b/>
          <w:bCs/>
          <w:rtl/>
        </w:rPr>
      </w:pPr>
    </w:p>
    <w:p w14:paraId="2F6160F6" w14:textId="77777777" w:rsidR="00192602" w:rsidRPr="007836C8" w:rsidRDefault="00192602" w:rsidP="007836C8">
      <w:pPr>
        <w:spacing w:after="0" w:line="240" w:lineRule="auto"/>
        <w:jc w:val="lowKashida"/>
        <w:rPr>
          <w:rFonts w:ascii="Tajawal" w:hAnsi="Tajawal" w:cs="Tajawal"/>
          <w:b/>
          <w:bCs/>
          <w:rtl/>
        </w:rPr>
      </w:pPr>
    </w:p>
    <w:p w14:paraId="145FBB6F" w14:textId="2F0F4794" w:rsidR="00597CD8" w:rsidRPr="00F2793A" w:rsidRDefault="00284754" w:rsidP="00F2793A">
      <w:pPr>
        <w:spacing w:after="0" w:line="240" w:lineRule="auto"/>
        <w:rPr>
          <w:rFonts w:ascii="Bahij TheSansArabic Bold" w:hAnsi="Bahij TheSansArabic Bold" w:cs="Bahij TheSansArabic Bold"/>
          <w:sz w:val="30"/>
          <w:szCs w:val="30"/>
          <w:rtl/>
        </w:rPr>
      </w:pPr>
      <w:r>
        <w:rPr>
          <w:rFonts w:ascii="Bahij TheSansArabic Bold" w:hAnsi="Bahij TheSansArabic Bold" w:cs="Bahij TheSansArabic Bold" w:hint="cs"/>
          <w:sz w:val="30"/>
          <w:szCs w:val="30"/>
          <w:rtl/>
        </w:rPr>
        <w:t xml:space="preserve">سادساً </w:t>
      </w:r>
      <w:r w:rsidR="00034A36">
        <w:rPr>
          <w:rFonts w:ascii="Bahij TheSansArabic Bold" w:hAnsi="Bahij TheSansArabic Bold" w:cs="Bahij TheSansArabic Bold" w:hint="cs"/>
          <w:sz w:val="30"/>
          <w:szCs w:val="30"/>
          <w:rtl/>
        </w:rPr>
        <w:t xml:space="preserve">- </w:t>
      </w:r>
      <w:r w:rsidR="00B52BE6" w:rsidRPr="00F2793A">
        <w:rPr>
          <w:rFonts w:ascii="Bahij TheSansArabic Bold" w:hAnsi="Bahij TheSansArabic Bold" w:cs="Bahij TheSansArabic Bold"/>
          <w:sz w:val="30"/>
          <w:szCs w:val="30"/>
          <w:rtl/>
        </w:rPr>
        <w:t>نظرية الدراسة</w:t>
      </w:r>
      <w:r w:rsidR="00597CD8" w:rsidRPr="00F2793A">
        <w:rPr>
          <w:rFonts w:ascii="Bahij TheSansArabic Bold" w:hAnsi="Bahij TheSansArabic Bold" w:cs="Bahij TheSansArabic Bold" w:hint="cs"/>
          <w:sz w:val="30"/>
          <w:szCs w:val="30"/>
          <w:rtl/>
        </w:rPr>
        <w:t>:</w:t>
      </w:r>
    </w:p>
    <w:p w14:paraId="2638B1D9" w14:textId="77777777" w:rsidR="00380A78" w:rsidRPr="00380A78" w:rsidRDefault="00380A78" w:rsidP="00EA6006">
      <w:pPr>
        <w:rPr>
          <w:rFonts w:ascii="Bahij TheSansArabic Bold" w:hAnsi="Bahij TheSansArabic Bold" w:cs="Bahij TheSansArabic Bold"/>
          <w:sz w:val="2"/>
          <w:szCs w:val="2"/>
          <w:rtl/>
        </w:rPr>
      </w:pPr>
    </w:p>
    <w:p w14:paraId="1A80877B"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تعتمد هذه الدراسة على نظرية التأثير الاجتماعي (</w:t>
      </w:r>
      <w:r w:rsidRPr="00380A78">
        <w:rPr>
          <w:rFonts w:ascii="Tajawal" w:hAnsi="Tajawal" w:cs="Tajawal"/>
          <w:b/>
          <w:bCs/>
        </w:rPr>
        <w:t>Social Influence Theory</w:t>
      </w:r>
      <w:r w:rsidRPr="00380A78">
        <w:rPr>
          <w:rFonts w:ascii="Tajawal" w:hAnsi="Tajawal" w:cs="Tajawal"/>
          <w:b/>
          <w:bCs/>
          <w:rtl/>
        </w:rPr>
        <w:t>)، التي تُعد من أبرز النظريات المستخدمة في تفسير كيفية تأثر الأفراد بآراء الآخرين وسلوكياتهم، وانعكاس ذلك على اتجاهاتهم وقراراتهم. وترى هذه النظرية أن الإنسان بطبيعته يتفاعل مع البيئة الاجتماعية المحيطة به، ويتأثر بالأفراد الذين يمتلكون مكانة اجتماعية أو خبرة أو مصداقية، مما قد يدفعه إلى تعديل آرائه أو تغيير سلوكه بما يتوافق مع ما يراه أو يسمعه من هؤلاء الأشخاص.</w:t>
      </w:r>
    </w:p>
    <w:p w14:paraId="4FDA4343"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lastRenderedPageBreak/>
        <w:t xml:space="preserve">وقد قدمت النظرية تفسيرًا واضحًا لعمليات التأثير التي يتعرض لها الأفراد في حياتهم اليومية، حيث أوضح الباحث </w:t>
      </w:r>
      <w:r w:rsidRPr="00380A78">
        <w:rPr>
          <w:rFonts w:ascii="Tajawal" w:hAnsi="Tajawal" w:cs="Tajawal"/>
          <w:b/>
          <w:bCs/>
        </w:rPr>
        <w:t>Herbert Kelman</w:t>
      </w:r>
      <w:r w:rsidRPr="00380A78">
        <w:rPr>
          <w:rFonts w:ascii="Tajawal" w:hAnsi="Tajawal" w:cs="Tajawal"/>
          <w:b/>
          <w:bCs/>
          <w:rtl/>
        </w:rPr>
        <w:t xml:space="preserve"> أن التأثير الاجتماعي يتحقق من خلال ثلاثة أنماط رئيسة، وهي الامتثال، والتماهي، </w:t>
      </w:r>
      <w:proofErr w:type="spellStart"/>
      <w:r w:rsidRPr="00380A78">
        <w:rPr>
          <w:rFonts w:ascii="Tajawal" w:hAnsi="Tajawal" w:cs="Tajawal"/>
          <w:b/>
          <w:bCs/>
          <w:rtl/>
        </w:rPr>
        <w:t>والاستدماج</w:t>
      </w:r>
      <w:proofErr w:type="spellEnd"/>
      <w:r w:rsidRPr="00380A78">
        <w:rPr>
          <w:rFonts w:ascii="Tajawal" w:hAnsi="Tajawal" w:cs="Tajawal"/>
          <w:b/>
          <w:bCs/>
          <w:rtl/>
        </w:rPr>
        <w:t xml:space="preserve">. فالامتثال يحدث عندما يتبنى الفرد سلوكًا معينًا استجابةً لتأثير الآخرين، بينما يحدث التماهي عندما يسعى الفرد إلى تقليد شخص يقدره أو يرى فيه نموذجًا يحتذى به، أما </w:t>
      </w:r>
      <w:proofErr w:type="spellStart"/>
      <w:r w:rsidRPr="00380A78">
        <w:rPr>
          <w:rFonts w:ascii="Tajawal" w:hAnsi="Tajawal" w:cs="Tajawal"/>
          <w:b/>
          <w:bCs/>
          <w:rtl/>
        </w:rPr>
        <w:t>الاستدماج</w:t>
      </w:r>
      <w:proofErr w:type="spellEnd"/>
      <w:r w:rsidRPr="00380A78">
        <w:rPr>
          <w:rFonts w:ascii="Tajawal" w:hAnsi="Tajawal" w:cs="Tajawal"/>
          <w:b/>
          <w:bCs/>
          <w:rtl/>
        </w:rPr>
        <w:t xml:space="preserve"> فيتمثل في اقتناع الفرد بالأفكار أو السلوكيات الجديدة حتى تصبح جزءًا من قناعاته الشخصية.</w:t>
      </w:r>
    </w:p>
    <w:p w14:paraId="0353496B"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وفي السنوات الأخيرة، أصبح مفهوم التأثير الاجتماعي أكثر ارتباطًا بوسائل التواصل الاجتماعي، بعد أن أوجدت هذه المنصات فئة جديدة من الشخصيات المؤثرة، يُطلق عليهم “المؤثرون”. ويقوم هؤلاء بإنتاج محتوى متنوع في مجالات عديدة، مثل التقنية، والأزياء، والجمال، والسفر، والرياضة، ونمط الحياة، ويملكون القدرة على الوصول إلى أعداد كبيرة من المتابعين، مما يجعلهم مصدرًا مهمًا للمعلومات والآراء بالنسبة للمستهلكين.</w:t>
      </w:r>
    </w:p>
    <w:p w14:paraId="2D344CD0"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ولا يقتصر دور المؤثرين على عرض المنتجات أو الخدمات، بل يمتد إلى تكوين اتجاهات المتابعين نحو العلامات التجارية، من خلال مشاركة التجارب الشخصية، أو تقديم مراجعات للمنتجات، أو نشر توصيات مباشرة وغير مباشرة. ويؤدي هذا النوع من المحتوى إلى تعزيز ثقة بعض المستهلكين بالمنتج، خاصة إذا كانوا يرون أن المؤثر يتمتع بالمصداقية والخبرة والشفافية في عرض آرائه، وهو ما ينعكس في كثير من الأحيان على قرار الشراء.</w:t>
      </w:r>
    </w:p>
    <w:p w14:paraId="4A739138"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وتفسر نظرية التأثير الاجتماعي هذه العلاقة بصورة واضحة، إذ تشير إلى أن المستهلك قد يتأثر بآراء المؤثرين نتيجة الثقة التي يمنحها لهم، أو نتيجة شعوره بالتقارب معهم، أو لرغبته في محاكاة أسلوب حياتهم. ومع تكرار التعرض للمحتوى، قد تتشكل لدى المستهلك اتجاهات إيجابية نحو منتج أو خدمة معينة، الأمر الذي يزيد من احتمالية اتخاذ قرار الشراء.</w:t>
      </w:r>
    </w:p>
    <w:p w14:paraId="4E96F107" w14:textId="77777777" w:rsidR="00BD21B8" w:rsidRPr="00380A78" w:rsidRDefault="00BD21B8" w:rsidP="00380A78">
      <w:pPr>
        <w:spacing w:line="240" w:lineRule="auto"/>
        <w:jc w:val="lowKashida"/>
        <w:rPr>
          <w:rFonts w:ascii="Tajawal" w:hAnsi="Tajawal" w:cs="Tajawal"/>
          <w:b/>
          <w:bCs/>
          <w:rtl/>
        </w:rPr>
      </w:pPr>
      <w:r w:rsidRPr="00380A78">
        <w:rPr>
          <w:rFonts w:ascii="Tajawal" w:hAnsi="Tajawal" w:cs="Tajawal"/>
          <w:b/>
          <w:bCs/>
          <w:rtl/>
        </w:rPr>
        <w:t>وتتوافق هذه النظرية بشكل مباشر مع موضوع الدراسة الحالية، الذي يتناول أثر المؤثرين في قرارات الشراء لدى المستهلكين، إذ تساعد في تفسير طبيعة العلاقة بين المحتوى الذي يقدمه المؤثرون عبر منصات التواصل الاجتماعي وبين السلوك الشرائي للمستهلكين، كما تتيح فهم العوامل التي تجعل بعض المؤثرين أكثر قدرة على التأثير من غيرهم، مثل المصداقية، والخبرة، والثقة، وطريقة عرض المحتوى.</w:t>
      </w:r>
    </w:p>
    <w:p w14:paraId="1C5C4D2C" w14:textId="533899FE" w:rsidR="001C3D20" w:rsidRPr="007836C8" w:rsidRDefault="00BD21B8" w:rsidP="007836C8">
      <w:pPr>
        <w:spacing w:line="240" w:lineRule="auto"/>
        <w:jc w:val="lowKashida"/>
        <w:rPr>
          <w:rFonts w:ascii="Tajawal" w:hAnsi="Tajawal" w:cs="Tajawal"/>
          <w:rtl/>
        </w:rPr>
      </w:pPr>
      <w:r w:rsidRPr="00380A78">
        <w:rPr>
          <w:rFonts w:ascii="Tajawal" w:hAnsi="Tajawal" w:cs="Tajawal"/>
          <w:b/>
          <w:bCs/>
          <w:rtl/>
        </w:rPr>
        <w:t>وبناءً على ذلك، تعتمد الدراسة الحالية على نظرية التأثير الاجتماعي بوصفها الإطار النظري الذي تستند إليه في تفسير النتائج وتحليلها، لكونها من أكثر النظريات ارتباطًا بموضوع الدراسة، وتوفر أساسًا علميًا مناسبًا لفهم أثر المؤثرين في تشكيل اتجاهات المستهلكين والتأثير في قراراتهم الشرائية في ظل البيئة الرقمية الحديثة.</w:t>
      </w:r>
    </w:p>
    <w:p w14:paraId="1FF157C0" w14:textId="132CE53F" w:rsidR="00380A78" w:rsidRPr="007836C8" w:rsidRDefault="00034A36" w:rsidP="007836C8">
      <w:pPr>
        <w:rPr>
          <w:rFonts w:ascii="Bahij TheSansArabic Bold" w:hAnsi="Bahij TheSansArabic Bold" w:cs="Bahij TheSansArabic Bold"/>
          <w:sz w:val="32"/>
          <w:szCs w:val="32"/>
          <w:rtl/>
        </w:rPr>
      </w:pPr>
      <w:r>
        <w:rPr>
          <w:rFonts w:ascii="Bahij TheSansArabic Bold" w:hAnsi="Bahij TheSansArabic Bold" w:cs="Bahij TheSansArabic Bold" w:hint="cs"/>
          <w:sz w:val="32"/>
          <w:szCs w:val="32"/>
          <w:rtl/>
        </w:rPr>
        <w:t xml:space="preserve">سابعاً - </w:t>
      </w:r>
      <w:r w:rsidR="00EA6006" w:rsidRPr="00EA6006">
        <w:rPr>
          <w:rFonts w:ascii="Bahij TheSansArabic Bold" w:hAnsi="Bahij TheSansArabic Bold" w:cs="Bahij TheSansArabic Bold"/>
          <w:sz w:val="32"/>
          <w:szCs w:val="32"/>
          <w:rtl/>
        </w:rPr>
        <w:t>منهج ونوع الدراسة</w:t>
      </w:r>
      <w:r w:rsidR="00EA6006">
        <w:rPr>
          <w:rFonts w:ascii="Bahij TheSansArabic Bold" w:hAnsi="Bahij TheSansArabic Bold" w:cs="Bahij TheSansArabic Bold" w:hint="cs"/>
          <w:sz w:val="32"/>
          <w:szCs w:val="32"/>
          <w:rtl/>
        </w:rPr>
        <w:t>:</w:t>
      </w:r>
    </w:p>
    <w:p w14:paraId="055D133F"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t>تعتمد هذه الدراسة على المنهج الوصفي المسحي، ويُعد من أكثر المناهج استخدامًا في البحوث الإعلامية والاجتماعية التي تهدف إلى دراسة الظواهر كما هي في الواقع، ووصفها وتحليلها بطريقة علمية منظمة، دون تدخل الباحث في المتغيرات أو التأثير عليها. ويتميز هذا المنهج بقدرته على جمع بيانات كمية من عدد كبير من أفراد المجتمع المستهدف، وتحليلها للوصول إلى نتائج تساعد في فهم الظاهرة محل الدراسة وتفسيرها.</w:t>
      </w:r>
    </w:p>
    <w:p w14:paraId="5EB818FF"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lastRenderedPageBreak/>
        <w:t>ويُعد اختيار المنهج الوصفي المسحي مناسبًا لموضوع هذه الدراسة، التي تتناول أثر المؤثرين في قرارات الشراء لدى المستهلكين، إذ تسعى إلى التعرف على طبيعة العلاقة بين متابعة المؤثرين عبر منصات التواصل الاجتماعي وبين السلوك الشرائي للمستهلكين، وقياس درجة هذا التأثير من خلال استجابات أفراد العينة، دون إجراء أي تجربة أو التلاعب بمتغيرات الدراسة.</w:t>
      </w:r>
    </w:p>
    <w:p w14:paraId="57A3E8EB"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t>وتندرج هذه الدراسة ضمن الدراسات الوصفية، لأنها تهدف إلى وصف واقع تأثير المؤثرين في قرارات الشراء لدى المستهلكين، وتحليل اتجاهات وآراء أفراد العينة تجاه المحتوى الذي يقدمه المؤثرون، ومدى اعتمادهم عليه عند اتخاذ قرار شراء منتج أو خدمة. كما تهدف إلى التعرف على العوامل التي قد تعزز هذا التأثير، مثل مصداقية المؤثر، والثقة به، وجودة المحتوى، ومدى تكرار متابعته.</w:t>
      </w:r>
    </w:p>
    <w:p w14:paraId="462B69FE" w14:textId="77777777" w:rsidR="00012AC6" w:rsidRPr="00380A78" w:rsidRDefault="00012AC6" w:rsidP="00380A78">
      <w:pPr>
        <w:spacing w:line="240" w:lineRule="auto"/>
        <w:jc w:val="lowKashida"/>
        <w:rPr>
          <w:rFonts w:ascii="Tajawal" w:hAnsi="Tajawal" w:cs="Tajawal"/>
          <w:b/>
          <w:bCs/>
          <w:rtl/>
        </w:rPr>
      </w:pPr>
      <w:r w:rsidRPr="00380A78">
        <w:rPr>
          <w:rFonts w:ascii="Tajawal" w:hAnsi="Tajawal" w:cs="Tajawal"/>
          <w:b/>
          <w:bCs/>
          <w:rtl/>
        </w:rPr>
        <w:t>ويعتمد المنهج الوصفي المسحي في هذه الدراسة على جمع البيانات باستخدام الاستبيان الإلكتروني، ثم تصنيفها وتحليلها باستخدام الأساليب الإحصائية المناسبة؛ بهدف الوصول إلى نتائج دقيقة تسهم في الإجابة عن أسئلة الدراسة وتحقيق أهدافها. ويُعد هذا المنهج مناسبًا لطبيعة البحث الحالي، نظرًا لإمكانية تطبيقه على عدد كبير من المشاركين، وإتاحة الفرصة لاستخلاص نتائج يمكن الاستفادة منها في فهم تأثير المؤثرين على السلوك الشرائي للمستهلكين.</w:t>
      </w:r>
    </w:p>
    <w:p w14:paraId="6C9FF9B1" w14:textId="1C680B0E" w:rsidR="00667FA9" w:rsidRPr="007836C8" w:rsidRDefault="00012AC6" w:rsidP="007836C8">
      <w:pPr>
        <w:spacing w:line="240" w:lineRule="auto"/>
        <w:jc w:val="lowKashida"/>
        <w:rPr>
          <w:rFonts w:ascii="Bahij TheSansArabic Bold" w:hAnsi="Bahij TheSansArabic Bold" w:cs="Bahij TheSansArabic Bold"/>
          <w:rtl/>
        </w:rPr>
      </w:pPr>
      <w:r w:rsidRPr="00380A78">
        <w:rPr>
          <w:rFonts w:ascii="Tajawal" w:hAnsi="Tajawal" w:cs="Tajawal"/>
          <w:b/>
          <w:bCs/>
          <w:rtl/>
        </w:rPr>
        <w:t>كما يسهم هذا المنهج في تقديم صورة واقعية عن الظاهرة محل الدراسة، من خلال تحليل البيانات التي يتم جمعها من أفراد العينة، واستخلاص العلاقات بين متغيرات الدراسة، بما يساعد في تفسير النتائج في ضوء الإطار النظري والدراسات السابقة. ولهذا السبب يُعد المنهج الوصفي المسحي الخيار الأنسب لتحقيق أهداف هذه الدراسة والوصول إلى نتائج تتسم بالموضوعية والدقة العلمية.</w:t>
      </w:r>
    </w:p>
    <w:p w14:paraId="47502EFC" w14:textId="2B946DFA" w:rsidR="00540A1C" w:rsidRPr="00540A1C" w:rsidRDefault="00034A36" w:rsidP="00D262BA">
      <w:pPr>
        <w:rPr>
          <w:rFonts w:ascii="Bahij TheSansArabic Bold" w:hAnsi="Bahij TheSansArabic Bold" w:cs="Bahij TheSansArabic Bold"/>
          <w:sz w:val="32"/>
          <w:szCs w:val="32"/>
          <w:rtl/>
        </w:rPr>
      </w:pPr>
      <w:r>
        <w:rPr>
          <w:rFonts w:ascii="Bahij TheSansArabic Bold" w:hAnsi="Bahij TheSansArabic Bold" w:cs="Bahij TheSansArabic Bold" w:hint="cs"/>
          <w:sz w:val="32"/>
          <w:szCs w:val="32"/>
          <w:rtl/>
        </w:rPr>
        <w:t xml:space="preserve">ثامناً - </w:t>
      </w:r>
      <w:r w:rsidR="00540A1C" w:rsidRPr="00540A1C">
        <w:rPr>
          <w:rFonts w:ascii="Bahij TheSansArabic Bold" w:hAnsi="Bahij TheSansArabic Bold" w:cs="Bahij TheSansArabic Bold"/>
          <w:sz w:val="32"/>
          <w:szCs w:val="32"/>
          <w:rtl/>
        </w:rPr>
        <w:t>عينة الدراسة</w:t>
      </w:r>
      <w:r>
        <w:rPr>
          <w:rFonts w:ascii="Bahij TheSansArabic Bold" w:hAnsi="Bahij TheSansArabic Bold" w:cs="Bahij TheSansArabic Bold" w:hint="cs"/>
          <w:sz w:val="32"/>
          <w:szCs w:val="32"/>
          <w:rtl/>
        </w:rPr>
        <w:t>:</w:t>
      </w:r>
    </w:p>
    <w:p w14:paraId="3A383178"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t>تتمثل عينة الدراسة في المستهلكين المستخدمين لمنصات التواصل الاجتماعي، باعتبارهم الفئة الأكثر ارتباطًا بموضوع الدراسة، والأكثر تعرضًا للمحتوى الذي يقدمه المؤثرون عبر المنصات الرقمية المختلفة. وقد أصبح استخدام منصات التواصل الاجتماعي جزءًا من الحياة اليومية لشريحة واسعة من المستهلكين، مما يجعلهم المجتمع الأنسب لدراسة مدى تأثير المؤثرين في قراراتهم الشرائية.</w:t>
      </w:r>
    </w:p>
    <w:p w14:paraId="18CEAB47"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t>وسيتم اختيار أفراد العينة باستخدام العينة العشوائية البسيطة، وهي إحدى أساليب المعاينة الاحتمالية التي تمنح جميع أفراد المجتمع المستهدف فرصًا متساوية للمشاركة في الدراسة، الأمر الذي يسهم في تقليل التحيز وزيادة موضوعية النتائج. ويعد هذا النوع من العينات مناسبًا للدراسات الوصفية التي تعتمد على الاستبيان، لما يوفره من سهولة في التطبيق وإمكانية الوصول إلى عدد مناسب من المشاركين.</w:t>
      </w:r>
    </w:p>
    <w:p w14:paraId="4B8D7EBC"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t>ويشمل مجتمع الدراسة المستهلكين الذين يستخدمون منصات التواصل الاجتماعي بصورة منتظمة، ويتابعون المؤثرين أو يتعرضون للمحتوى الذي يقدمونه، سواء كان متعلقًا بالمنتجات أو الخدمات أو التجارب الشخصية. ويُتوقع أن تضم العينة أفرادًا من فئات عمرية ومستويات تعليمية ومهنية مختلفة، بهدف الحصول على بيانات تعكس تنوع آراء المستهلكين واختلاف تجاربهم في التعامل مع محتوى المؤثرين.</w:t>
      </w:r>
    </w:p>
    <w:p w14:paraId="0E43D821" w14:textId="77777777" w:rsidR="00012AC6" w:rsidRPr="00667FA9" w:rsidRDefault="00012AC6" w:rsidP="00380A78">
      <w:pPr>
        <w:spacing w:line="240" w:lineRule="auto"/>
        <w:jc w:val="lowKashida"/>
        <w:rPr>
          <w:rFonts w:ascii="Tajawal" w:hAnsi="Tajawal" w:cs="Tajawal"/>
          <w:b/>
          <w:bCs/>
          <w:rtl/>
        </w:rPr>
      </w:pPr>
      <w:r w:rsidRPr="00667FA9">
        <w:rPr>
          <w:rFonts w:ascii="Tajawal" w:hAnsi="Tajawal" w:cs="Tajawal"/>
          <w:b/>
          <w:bCs/>
          <w:rtl/>
        </w:rPr>
        <w:lastRenderedPageBreak/>
        <w:t>ويستند اختيار هذه العينة إلى طبيعة موضوع الدراسة، إذ لا يمكن قياس أثر المؤثرين في قرارات الشراء إلا من خلال الأشخاص الذين يستخدمون منصات التواصل الاجتماعي ويتفاعلون مع محتواها بصورة مستمرة. كما يسهم تنوع أفراد العينة في زيادة دقة النتائج، وإبراز الفروق في مستوى التأثر بالمؤثرين تبعًا لاختلاف الخصائص الديموغرافية للمشاركين.</w:t>
      </w:r>
    </w:p>
    <w:p w14:paraId="3438D503" w14:textId="5BC717B1" w:rsidR="00F30DF2" w:rsidRDefault="00012AC6" w:rsidP="00380A78">
      <w:pPr>
        <w:spacing w:line="240" w:lineRule="auto"/>
        <w:jc w:val="lowKashida"/>
        <w:rPr>
          <w:rFonts w:ascii="Tajawal" w:hAnsi="Tajawal" w:cs="Tajawal"/>
          <w:b/>
          <w:bCs/>
          <w:rtl/>
        </w:rPr>
      </w:pPr>
      <w:r w:rsidRPr="00667FA9">
        <w:rPr>
          <w:rFonts w:ascii="Tajawal" w:hAnsi="Tajawal" w:cs="Tajawal"/>
          <w:b/>
          <w:bCs/>
          <w:rtl/>
        </w:rPr>
        <w:t>ومن المتوقع أن توفر البيانات التي سيتم جمعها من أفراد العينة تصورًا واضحًا عن مدى تأثير المؤثرين في السلوك الشرائي للمستهلكين، والعوامل التي تجعل بعض المستهلكين أكثر تأثرًا من غيرهم، وهو ما يساعد في تحقيق أهداف الدراسة والإجابة عن أسئلتها، والخروج بنتائج يمكن الاستفادة منها في مجال الإعلام الرقمي والتسويق عبر المؤثرين.</w:t>
      </w:r>
    </w:p>
    <w:p w14:paraId="7C80D84D" w14:textId="77777777" w:rsidR="007836C8" w:rsidRPr="00667FA9" w:rsidRDefault="007836C8" w:rsidP="00380A78">
      <w:pPr>
        <w:spacing w:line="240" w:lineRule="auto"/>
        <w:jc w:val="lowKashida"/>
        <w:rPr>
          <w:rFonts w:ascii="Tajawal" w:hAnsi="Tajawal" w:cs="Tajawal"/>
          <w:b/>
          <w:bCs/>
          <w:rtl/>
        </w:rPr>
      </w:pPr>
    </w:p>
    <w:p w14:paraId="066C6BA4" w14:textId="64E45697" w:rsidR="0062594E" w:rsidRPr="0062594E" w:rsidRDefault="00B66606" w:rsidP="0062594E">
      <w:pPr>
        <w:rPr>
          <w:rFonts w:ascii="Bahij TheSansArabic Bold" w:hAnsi="Bahij TheSansArabic Bold" w:cs="Bahij TheSansArabic Bold"/>
          <w:sz w:val="32"/>
          <w:szCs w:val="32"/>
          <w:rtl/>
        </w:rPr>
      </w:pPr>
      <w:r>
        <w:rPr>
          <w:rFonts w:ascii="Bahij TheSansArabic Bold" w:hAnsi="Bahij TheSansArabic Bold" w:cs="Bahij TheSansArabic Bold" w:hint="cs"/>
          <w:sz w:val="32"/>
          <w:szCs w:val="32"/>
          <w:rtl/>
        </w:rPr>
        <w:t xml:space="preserve">تاسعاً - </w:t>
      </w:r>
      <w:r w:rsidR="0062594E" w:rsidRPr="0062594E">
        <w:rPr>
          <w:rFonts w:ascii="Bahij TheSansArabic Bold" w:hAnsi="Bahij TheSansArabic Bold" w:cs="Bahij TheSansArabic Bold"/>
          <w:sz w:val="32"/>
          <w:szCs w:val="32"/>
          <w:rtl/>
        </w:rPr>
        <w:t>أدوات جمع البيانات</w:t>
      </w:r>
      <w:r w:rsidR="006135F8">
        <w:rPr>
          <w:rFonts w:ascii="Bahij TheSansArabic Bold" w:hAnsi="Bahij TheSansArabic Bold" w:cs="Bahij TheSansArabic Bold" w:hint="cs"/>
          <w:sz w:val="32"/>
          <w:szCs w:val="32"/>
          <w:rtl/>
        </w:rPr>
        <w:t>:</w:t>
      </w:r>
    </w:p>
    <w:p w14:paraId="67154C5A"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تعتمد هذه الدراسة على الاستبيان الإلكتروني بوصفه الأداة الرئيسة لجمع البيانات، وذلك لملاءمته لطبيعة الدراسة والمنهج الوصفي المسحي، ولقدرته على الوصول إلى عدد كبير من أفراد العينة في وقت قصير، إضافة إلى سهولة توزيعه عبر منصات التواصل الاجتماعي، وانخفاض تكلفته مقارنة بغيره من أدوات جمع البيانات، مثل المقابلات أو الملاحظة.</w:t>
      </w:r>
    </w:p>
    <w:p w14:paraId="371EFED3"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ويُعد الاستبيان من أكثر الأدوات استخدامًا في البحوث الإعلامية والاجتماعية، لما يوفره من إمكانية جمع البيانات بطريقة منظمة، والحصول على استجابات مباشرة من أفراد العينة، بما يسهم في قياس اتجاهاتهم وآرائهم بدقة. كما يتيح للباحث تحليل البيانات إحصائيًا واستخلاص النتائج بصورة علمية، الأمر الذي يساعد في الإجابة عن أسئلة الدراسة وتحقيق أهدافها.</w:t>
      </w:r>
    </w:p>
    <w:p w14:paraId="3B22AE3C"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وسيتم تصميم الاستبيان بما يتوافق مع موضوع الدراسة وأهدافها، مع مراعاة وضوح العبارات وسهولة فهمها من قبل المشاركين، والابتعاد عن الأسئلة التي قد تؤدي إلى التحيز في الإجابات. كما سيتم ترتيب فقرات الاستبيان بصورة منطقية؛ لضمان سهولة الإجابة وتحقيق أعلى درجة ممكنة من دقة البيانات.</w:t>
      </w:r>
    </w:p>
    <w:p w14:paraId="3C82F582"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ويتكون الاستبيان من قسمين رئيسين؛ يختص القسم الأول بجمع البيانات الديموغرافية للمشاركين، مثل العمر، والجنس، والمستوى التعليمي، وعدد ساعات استخدام منصات التواصل الاجتماعي، ومدى متابعة المؤثرين. أما القسم الثاني، فيتضمن مجموعة من العبارات التي تقيس أثر المؤثرين في قرارات الشراء لدى المستهلكين، من خلال قياس مجموعة من الأبعاد، مثل مستوى الثقة بالمؤثر، ومصداقية المحتوى، وتأثير التوصيات والإعلانات، ومدى اعتماد المستهلك على آراء المؤثرين قبل اتخاذ قرار الشراء.</w:t>
      </w:r>
    </w:p>
    <w:p w14:paraId="07116189" w14:textId="77777777" w:rsidR="00380A78" w:rsidRPr="00667FA9" w:rsidRDefault="00380A78" w:rsidP="00667FA9">
      <w:pPr>
        <w:pBdr>
          <w:bottom w:val="single" w:sz="6" w:space="1" w:color="auto"/>
        </w:pBdr>
        <w:spacing w:line="240" w:lineRule="auto"/>
        <w:jc w:val="lowKashida"/>
        <w:rPr>
          <w:rFonts w:ascii="Tajawal" w:hAnsi="Tajawal" w:cs="Tajawal"/>
          <w:b/>
          <w:bCs/>
          <w:rtl/>
        </w:rPr>
      </w:pPr>
      <w:r w:rsidRPr="00667FA9">
        <w:rPr>
          <w:rFonts w:ascii="Tajawal" w:hAnsi="Tajawal" w:cs="Tajawal"/>
          <w:b/>
          <w:bCs/>
          <w:rtl/>
        </w:rPr>
        <w:t xml:space="preserve">وستُقاس استجابات أفراد العينة باستخدام مقياس </w:t>
      </w:r>
      <w:proofErr w:type="spellStart"/>
      <w:r w:rsidRPr="00667FA9">
        <w:rPr>
          <w:rFonts w:ascii="Tajawal" w:hAnsi="Tajawal" w:cs="Tajawal"/>
          <w:b/>
          <w:bCs/>
          <w:rtl/>
        </w:rPr>
        <w:t>ليكرت</w:t>
      </w:r>
      <w:proofErr w:type="spellEnd"/>
      <w:r w:rsidRPr="00667FA9">
        <w:rPr>
          <w:rFonts w:ascii="Tajawal" w:hAnsi="Tajawal" w:cs="Tajawal"/>
          <w:b/>
          <w:bCs/>
          <w:rtl/>
        </w:rPr>
        <w:t xml:space="preserve"> الخماسي، الذي يُعد من أكثر المقاييس استخدامًا في الدراسات الوصفية، حيث يتيح قياس درجة موافقة المشاركين على العبارات المطروحة، ويساعد في إجراء التحليلات الإحصائية اللازمة لاستخراج المتوسطات والانحرافات المعيارية واختبار العلاقات بين متغيرات الدراسة. كما يسهم هذا المقياس في تقديم نتائج دقيقة يمكن الاستناد إليها عند مناقشة نتائج الدراسة واستخلاص التوصيات المناسبة.</w:t>
      </w:r>
    </w:p>
    <w:p w14:paraId="61A4CDBD" w14:textId="40D76810" w:rsidR="00597CD8" w:rsidRDefault="00380A78" w:rsidP="00667FA9">
      <w:pPr>
        <w:pBdr>
          <w:bottom w:val="single" w:sz="6" w:space="1" w:color="auto"/>
        </w:pBdr>
        <w:spacing w:line="240" w:lineRule="auto"/>
        <w:jc w:val="lowKashida"/>
        <w:rPr>
          <w:rFonts w:ascii="Tajawal" w:hAnsi="Tajawal" w:cs="Tajawal"/>
          <w:rtl/>
        </w:rPr>
      </w:pPr>
      <w:r w:rsidRPr="00667FA9">
        <w:rPr>
          <w:rFonts w:ascii="Tajawal" w:hAnsi="Tajawal" w:cs="Tajawal"/>
          <w:b/>
          <w:bCs/>
          <w:rtl/>
        </w:rPr>
        <w:lastRenderedPageBreak/>
        <w:t>ويُتوقع أن يسهم استخدام الاستبيان الإلكتروني في الحصول على بيانات موثوقة تعكس آراء المستهلكين واتجاهاتهم نحو المحتوى الذي يقدمه المؤثرون عبر منصات التواصل الاجتماعي، مما يساعد في الوصول إلى نتائج علمية تدعم أهداف الدراسة وتفسر طبيعة العلاقة بين المؤثرين وقرارات الشراء لدى المستهلكين.</w:t>
      </w:r>
    </w:p>
    <w:p w14:paraId="1A9CEACD" w14:textId="77777777" w:rsidR="006135F8" w:rsidRDefault="006135F8" w:rsidP="006135F8">
      <w:pPr>
        <w:pBdr>
          <w:bottom w:val="single" w:sz="6" w:space="1" w:color="auto"/>
        </w:pBdr>
        <w:spacing w:line="240" w:lineRule="auto"/>
        <w:rPr>
          <w:rFonts w:ascii="Tajawal" w:hAnsi="Tajawal" w:cs="Tajawal"/>
          <w:rtl/>
        </w:rPr>
      </w:pPr>
    </w:p>
    <w:p w14:paraId="2C8D2974" w14:textId="4DDE254F" w:rsidR="006135F8" w:rsidRPr="006135F8" w:rsidRDefault="006135F8" w:rsidP="006135F8">
      <w:pPr>
        <w:pBdr>
          <w:bottom w:val="single" w:sz="6" w:space="1" w:color="auto"/>
        </w:pBdr>
        <w:spacing w:line="240" w:lineRule="auto"/>
        <w:rPr>
          <w:rFonts w:ascii="Bahij TheSansArabic Bold" w:hAnsi="Bahij TheSansArabic Bold" w:cs="Bahij TheSansArabic Bold"/>
          <w:sz w:val="32"/>
          <w:szCs w:val="32"/>
          <w:rtl/>
        </w:rPr>
      </w:pPr>
      <w:r w:rsidRPr="006135F8">
        <w:rPr>
          <w:rFonts w:ascii="Bahij TheSansArabic Bold" w:hAnsi="Bahij TheSansArabic Bold" w:cs="Bahij TheSansArabic Bold"/>
          <w:sz w:val="32"/>
          <w:szCs w:val="32"/>
          <w:rtl/>
        </w:rPr>
        <w:t>عاشرًا</w:t>
      </w:r>
      <w:r>
        <w:rPr>
          <w:rFonts w:ascii="Bahij TheSansArabic Bold" w:hAnsi="Bahij TheSansArabic Bold" w:cs="Bahij TheSansArabic Bold" w:hint="cs"/>
          <w:sz w:val="32"/>
          <w:szCs w:val="32"/>
          <w:rtl/>
        </w:rPr>
        <w:t xml:space="preserve"> -</w:t>
      </w:r>
      <w:r w:rsidRPr="006135F8">
        <w:rPr>
          <w:rFonts w:ascii="Bahij TheSansArabic Bold" w:hAnsi="Bahij TheSansArabic Bold" w:cs="Bahij TheSansArabic Bold"/>
          <w:sz w:val="32"/>
          <w:szCs w:val="32"/>
          <w:rtl/>
        </w:rPr>
        <w:t xml:space="preserve"> مجالات الدراسة</w:t>
      </w:r>
      <w:r>
        <w:rPr>
          <w:rFonts w:ascii="Bahij TheSansArabic Bold" w:hAnsi="Bahij TheSansArabic Bold" w:cs="Bahij TheSansArabic Bold" w:hint="cs"/>
          <w:sz w:val="32"/>
          <w:szCs w:val="32"/>
          <w:rtl/>
        </w:rPr>
        <w:t>:</w:t>
      </w:r>
    </w:p>
    <w:p w14:paraId="3E7C1810" w14:textId="77777777" w:rsidR="006135F8" w:rsidRPr="006135F8" w:rsidRDefault="006135F8" w:rsidP="006135F8">
      <w:pPr>
        <w:pBdr>
          <w:bottom w:val="single" w:sz="6" w:space="1" w:color="auto"/>
        </w:pBdr>
        <w:spacing w:after="0" w:line="240" w:lineRule="auto"/>
        <w:jc w:val="lowKashida"/>
        <w:rPr>
          <w:rFonts w:ascii="Tajawal" w:hAnsi="Tajawal" w:cs="Tajawal"/>
          <w:b/>
          <w:bCs/>
          <w:sz w:val="28"/>
          <w:szCs w:val="28"/>
          <w:rtl/>
        </w:rPr>
      </w:pPr>
      <w:r w:rsidRPr="006135F8">
        <w:rPr>
          <w:rFonts w:ascii="Tajawal" w:hAnsi="Tajawal" w:cs="Tajawal"/>
          <w:b/>
          <w:bCs/>
          <w:sz w:val="28"/>
          <w:szCs w:val="28"/>
          <w:rtl/>
        </w:rPr>
        <w:t>1- المجال البشري:</w:t>
      </w:r>
    </w:p>
    <w:p w14:paraId="39B3FE3F" w14:textId="77777777" w:rsidR="006135F8" w:rsidRPr="006135F8" w:rsidRDefault="006135F8" w:rsidP="006135F8">
      <w:pPr>
        <w:pBdr>
          <w:bottom w:val="single" w:sz="6" w:space="1" w:color="auto"/>
        </w:pBdr>
        <w:spacing w:line="240" w:lineRule="auto"/>
        <w:jc w:val="lowKashida"/>
        <w:rPr>
          <w:rFonts w:ascii="Tajawal" w:hAnsi="Tajawal" w:cs="Tajawal"/>
          <w:b/>
          <w:bCs/>
          <w:rtl/>
        </w:rPr>
      </w:pPr>
      <w:r w:rsidRPr="006135F8">
        <w:rPr>
          <w:rFonts w:ascii="Tajawal" w:hAnsi="Tajawal" w:cs="Tajawal"/>
          <w:b/>
          <w:bCs/>
          <w:rtl/>
        </w:rPr>
        <w:t>يتمثل المجال البشري للدراسة في المستهلكين المستخدمين لمنصات التواصل الاجتماعي، باعتبارهم الفئة المستهدفة للدراسة، لكونهم الأكثر تعرضًا للمحتوى الذي يقدمه المؤثرون والأكثر ارتباطًا بموضوع البحث.</w:t>
      </w:r>
    </w:p>
    <w:p w14:paraId="492D87F5" w14:textId="77777777" w:rsidR="006135F8" w:rsidRPr="006135F8" w:rsidRDefault="006135F8" w:rsidP="006135F8">
      <w:pPr>
        <w:pBdr>
          <w:bottom w:val="single" w:sz="6" w:space="1" w:color="auto"/>
        </w:pBdr>
        <w:spacing w:after="0" w:line="240" w:lineRule="auto"/>
        <w:jc w:val="lowKashida"/>
        <w:rPr>
          <w:rFonts w:ascii="Tajawal" w:hAnsi="Tajawal" w:cs="Tajawal"/>
          <w:b/>
          <w:bCs/>
          <w:sz w:val="28"/>
          <w:szCs w:val="28"/>
          <w:rtl/>
        </w:rPr>
      </w:pPr>
      <w:r w:rsidRPr="006135F8">
        <w:rPr>
          <w:rFonts w:ascii="Tajawal" w:hAnsi="Tajawal" w:cs="Tajawal"/>
          <w:b/>
          <w:bCs/>
          <w:sz w:val="28"/>
          <w:szCs w:val="28"/>
          <w:rtl/>
        </w:rPr>
        <w:t>2- المجال المكاني:</w:t>
      </w:r>
    </w:p>
    <w:p w14:paraId="72C5B05F" w14:textId="77777777" w:rsidR="006135F8" w:rsidRPr="006135F8" w:rsidRDefault="006135F8" w:rsidP="006135F8">
      <w:pPr>
        <w:pBdr>
          <w:bottom w:val="single" w:sz="6" w:space="1" w:color="auto"/>
        </w:pBdr>
        <w:spacing w:line="240" w:lineRule="auto"/>
        <w:jc w:val="lowKashida"/>
        <w:rPr>
          <w:rFonts w:ascii="Tajawal" w:hAnsi="Tajawal" w:cs="Tajawal"/>
          <w:b/>
          <w:bCs/>
          <w:rtl/>
        </w:rPr>
      </w:pPr>
      <w:r w:rsidRPr="006135F8">
        <w:rPr>
          <w:rFonts w:ascii="Tajawal" w:hAnsi="Tajawal" w:cs="Tajawal"/>
          <w:b/>
          <w:bCs/>
          <w:rtl/>
        </w:rPr>
        <w:t>تقتصر الدراسة على المستهلكين داخل المملكة العربية السعودية، وذلك لسهولة الوصول إلى أفراد العينة، وانتشار استخدام منصات التواصل الاجتماعي والتسويق عبر المؤثرين في المجتمع السعودي.</w:t>
      </w:r>
    </w:p>
    <w:p w14:paraId="250C1BB5" w14:textId="77777777" w:rsidR="006135F8" w:rsidRPr="006135F8" w:rsidRDefault="006135F8" w:rsidP="006135F8">
      <w:pPr>
        <w:pBdr>
          <w:bottom w:val="single" w:sz="6" w:space="1" w:color="auto"/>
        </w:pBdr>
        <w:spacing w:after="0" w:line="240" w:lineRule="auto"/>
        <w:jc w:val="lowKashida"/>
        <w:rPr>
          <w:rFonts w:ascii="Tajawal" w:hAnsi="Tajawal" w:cs="Tajawal"/>
          <w:b/>
          <w:bCs/>
          <w:sz w:val="28"/>
          <w:szCs w:val="28"/>
          <w:rtl/>
        </w:rPr>
      </w:pPr>
      <w:r w:rsidRPr="006135F8">
        <w:rPr>
          <w:rFonts w:ascii="Tajawal" w:hAnsi="Tajawal" w:cs="Tajawal"/>
          <w:b/>
          <w:bCs/>
          <w:sz w:val="28"/>
          <w:szCs w:val="28"/>
          <w:rtl/>
        </w:rPr>
        <w:t>3- المجال الزماني:</w:t>
      </w:r>
    </w:p>
    <w:p w14:paraId="3B4ABB9A" w14:textId="5C8FB782" w:rsidR="00667FA9" w:rsidRPr="006135F8" w:rsidRDefault="006135F8" w:rsidP="006135F8">
      <w:pPr>
        <w:pBdr>
          <w:bottom w:val="single" w:sz="6" w:space="1" w:color="auto"/>
        </w:pBdr>
        <w:spacing w:line="240" w:lineRule="auto"/>
        <w:jc w:val="lowKashida"/>
        <w:rPr>
          <w:rFonts w:ascii="Tajawal" w:hAnsi="Tajawal" w:cs="Tajawal"/>
          <w:b/>
          <w:bCs/>
          <w:rtl/>
        </w:rPr>
      </w:pPr>
      <w:r w:rsidRPr="006135F8">
        <w:rPr>
          <w:rFonts w:ascii="Tajawal" w:hAnsi="Tajawal" w:cs="Tajawal"/>
          <w:b/>
          <w:bCs/>
          <w:rtl/>
        </w:rPr>
        <w:t>تُجرى الدراسة خلال العام الجامعي 1447هـ / 2026م، وهي الفترة التي يتم خلالها إعداد الدراسة، وتوزيع الاستبيان، وجمع البيانات وتحليلها</w:t>
      </w:r>
    </w:p>
    <w:p w14:paraId="0BD134CE" w14:textId="77777777" w:rsidR="00667FA9" w:rsidRDefault="00667FA9" w:rsidP="00667FA9">
      <w:pPr>
        <w:pBdr>
          <w:bottom w:val="single" w:sz="6" w:space="1" w:color="auto"/>
        </w:pBdr>
        <w:spacing w:line="240" w:lineRule="auto"/>
        <w:jc w:val="lowKashida"/>
        <w:rPr>
          <w:rFonts w:ascii="Tajawal" w:hAnsi="Tajawal" w:cs="Tajawal"/>
          <w:rtl/>
        </w:rPr>
      </w:pPr>
    </w:p>
    <w:p w14:paraId="7ABFAFE4" w14:textId="1E69A5F2" w:rsidR="00667FA9" w:rsidRDefault="00667FA9" w:rsidP="00667FA9">
      <w:pPr>
        <w:pBdr>
          <w:bottom w:val="single" w:sz="6" w:space="1" w:color="auto"/>
        </w:pBdr>
        <w:spacing w:line="240" w:lineRule="auto"/>
        <w:jc w:val="lowKashida"/>
        <w:rPr>
          <w:rFonts w:ascii="Tajawal" w:hAnsi="Tajawal" w:cs="Tajawal"/>
          <w:rtl/>
        </w:rPr>
      </w:pPr>
    </w:p>
    <w:p w14:paraId="46F365D3" w14:textId="016BC4CD" w:rsidR="005E0EBE" w:rsidRPr="005E0EBE" w:rsidRDefault="0032496B" w:rsidP="00AC5483">
      <w:pPr>
        <w:rPr>
          <w:rFonts w:ascii="Bahij TheSansArabic Bold" w:hAnsi="Bahij TheSansArabic Bold" w:cs="Bahij TheSansArabic Bold"/>
          <w:i/>
          <w:iCs/>
          <w:rtl/>
        </w:rPr>
      </w:pPr>
      <w:r w:rsidRPr="0032496B">
        <w:rPr>
          <w:rFonts w:ascii="Bahij TheSansArabic Bold" w:hAnsi="Bahij TheSansArabic Bold" w:cs="Bahij TheSansArabic Bold"/>
          <w:i/>
          <w:iCs/>
          <w:rtl/>
        </w:rPr>
        <w:t>المراجع:</w:t>
      </w:r>
    </w:p>
    <w:p w14:paraId="02961E7B" w14:textId="4D3DF57F" w:rsidR="005E0EBE" w:rsidRPr="005E0EBE" w:rsidRDefault="005E0EBE" w:rsidP="005E0EBE">
      <w:pPr>
        <w:pStyle w:val="ListParagraph"/>
        <w:numPr>
          <w:ilvl w:val="0"/>
          <w:numId w:val="1"/>
        </w:numPr>
        <w:bidi w:val="0"/>
        <w:spacing w:line="240" w:lineRule="auto"/>
        <w:rPr>
          <w:rFonts w:ascii="Tajawal" w:hAnsi="Tajawal" w:cs="Tajawal"/>
          <w:i/>
          <w:iCs/>
          <w:sz w:val="18"/>
          <w:szCs w:val="18"/>
        </w:rPr>
      </w:pPr>
      <w:r w:rsidRPr="005E0EBE">
        <w:rPr>
          <w:rFonts w:ascii="Tajawal" w:hAnsi="Tajawal" w:cs="Tajawal"/>
          <w:i/>
          <w:iCs/>
          <w:sz w:val="18"/>
          <w:szCs w:val="18"/>
        </w:rPr>
        <w:t>Kelman, H. C. (1958). Compliance, Identification, and Internalization: Three Processes of Attitude Change. Journal of Conflict Resolution, 2(1), 51–60</w:t>
      </w:r>
      <w:r w:rsidRPr="005E0EBE">
        <w:rPr>
          <w:rFonts w:ascii="Tajawal" w:hAnsi="Tajawal" w:cs="Tajawal"/>
          <w:i/>
          <w:iCs/>
          <w:sz w:val="18"/>
          <w:szCs w:val="18"/>
          <w:rtl/>
        </w:rPr>
        <w:t>.</w:t>
      </w:r>
    </w:p>
    <w:p w14:paraId="541C0B75" w14:textId="3473F24B" w:rsidR="005E0EBE" w:rsidRPr="005E0EBE" w:rsidRDefault="005E0EBE" w:rsidP="005E0EBE">
      <w:pPr>
        <w:pStyle w:val="ListParagraph"/>
        <w:numPr>
          <w:ilvl w:val="0"/>
          <w:numId w:val="1"/>
        </w:numPr>
        <w:bidi w:val="0"/>
        <w:spacing w:line="240" w:lineRule="auto"/>
        <w:rPr>
          <w:rFonts w:ascii="Tajawal" w:hAnsi="Tajawal" w:cs="Tajawal"/>
          <w:i/>
          <w:iCs/>
          <w:sz w:val="18"/>
          <w:szCs w:val="18"/>
        </w:rPr>
      </w:pPr>
      <w:r w:rsidRPr="005E0EBE">
        <w:rPr>
          <w:rFonts w:ascii="Tajawal" w:hAnsi="Tajawal" w:cs="Tajawal"/>
          <w:i/>
          <w:iCs/>
          <w:sz w:val="18"/>
          <w:szCs w:val="18"/>
        </w:rPr>
        <w:t>Cialdini, R. B. (2021). Influence: Science and Practice (6th ed.). Pearson</w:t>
      </w:r>
      <w:r w:rsidRPr="005E0EBE">
        <w:rPr>
          <w:rFonts w:ascii="Tajawal" w:hAnsi="Tajawal" w:cs="Tajawal"/>
          <w:i/>
          <w:iCs/>
          <w:sz w:val="18"/>
          <w:szCs w:val="18"/>
          <w:rtl/>
        </w:rPr>
        <w:t>.</w:t>
      </w:r>
    </w:p>
    <w:p w14:paraId="52F058E1" w14:textId="503F21EB" w:rsidR="005E0EBE" w:rsidRPr="005E0EBE" w:rsidRDefault="005E0EBE" w:rsidP="005E0EBE">
      <w:pPr>
        <w:pStyle w:val="ListParagraph"/>
        <w:numPr>
          <w:ilvl w:val="0"/>
          <w:numId w:val="1"/>
        </w:numPr>
        <w:bidi w:val="0"/>
        <w:spacing w:line="240" w:lineRule="auto"/>
        <w:rPr>
          <w:rFonts w:ascii="Tajawal" w:hAnsi="Tajawal" w:cs="Tajawal"/>
          <w:i/>
          <w:iCs/>
          <w:sz w:val="18"/>
          <w:szCs w:val="18"/>
          <w:rtl/>
        </w:rPr>
      </w:pPr>
      <w:r w:rsidRPr="005E0EBE">
        <w:rPr>
          <w:rFonts w:ascii="Tajawal" w:hAnsi="Tajawal" w:cs="Tajawal"/>
          <w:i/>
          <w:iCs/>
          <w:sz w:val="18"/>
          <w:szCs w:val="18"/>
          <w:rtl/>
        </w:rPr>
        <w:t>محمد عبد الحميد. (2004). البحث العلمي في الدراسات الإعلامية (الطبعة الثانية). القاهرة: عالم الكتب.</w:t>
      </w:r>
    </w:p>
    <w:p w14:paraId="1F9B9CA8" w14:textId="6B616DD7" w:rsidR="0032496B" w:rsidRPr="005E0EBE" w:rsidRDefault="005E0EBE" w:rsidP="005E0EBE">
      <w:pPr>
        <w:pStyle w:val="ListParagraph"/>
        <w:numPr>
          <w:ilvl w:val="0"/>
          <w:numId w:val="1"/>
        </w:numPr>
        <w:bidi w:val="0"/>
        <w:spacing w:line="240" w:lineRule="auto"/>
        <w:rPr>
          <w:rFonts w:ascii="Tajawal" w:hAnsi="Tajawal" w:cs="Tajawal"/>
          <w:i/>
          <w:iCs/>
          <w:sz w:val="18"/>
          <w:szCs w:val="18"/>
          <w:rtl/>
        </w:rPr>
      </w:pPr>
      <w:r w:rsidRPr="005E0EBE">
        <w:rPr>
          <w:rFonts w:ascii="Tajawal" w:hAnsi="Tajawal" w:cs="Tajawal"/>
          <w:i/>
          <w:iCs/>
          <w:sz w:val="18"/>
          <w:szCs w:val="18"/>
          <w:rtl/>
        </w:rPr>
        <w:t>ربحي مصطفى عليان، وعثمان محمد غنيم. (2018). مناهج وأساليب البحث العلمي. عمّان: دار صفاء للنشر والتوزيع.</w:t>
      </w:r>
    </w:p>
    <w:sectPr w:rsidR="0032496B" w:rsidRPr="005E0EBE" w:rsidSect="001C3D20">
      <w:headerReference w:type="default" r:id="rId7"/>
      <w:footerReference w:type="default" r:id="rId8"/>
      <w:pgSz w:w="11906" w:h="16838"/>
      <w:pgMar w:top="1440" w:right="1440" w:bottom="1440" w:left="1440" w:header="576" w:footer="576"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99752" w14:textId="77777777" w:rsidR="00315B7D" w:rsidRDefault="00315B7D" w:rsidP="00F2793A">
      <w:pPr>
        <w:spacing w:after="0" w:line="240" w:lineRule="auto"/>
      </w:pPr>
      <w:r>
        <w:separator/>
      </w:r>
    </w:p>
  </w:endnote>
  <w:endnote w:type="continuationSeparator" w:id="0">
    <w:p w14:paraId="38F7C0F4" w14:textId="77777777" w:rsidR="00315B7D" w:rsidRDefault="00315B7D" w:rsidP="00F27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hij TheSansArabic Bold">
    <w:panose1 w:val="02040503050201020203"/>
    <w:charset w:val="00"/>
    <w:family w:val="roman"/>
    <w:pitch w:val="variable"/>
    <w:sig w:usb0="8000202F" w:usb1="8000A04A"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jawal">
    <w:panose1 w:val="00000500000000000000"/>
    <w:charset w:val="00"/>
    <w:family w:val="auto"/>
    <w:pitch w:val="variable"/>
    <w:sig w:usb0="8000202F" w:usb1="9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B6E93" w14:textId="06A35881" w:rsidR="001C3D20" w:rsidRPr="001C3D20" w:rsidRDefault="001C3D20" w:rsidP="001C3D20">
    <w:pPr>
      <w:pStyle w:val="Footer"/>
      <w:ind w:hanging="874"/>
      <w:rPr>
        <w:rFonts w:ascii="Bahij TheSansArabic Bold" w:hAnsi="Bahij TheSansArabic Bold" w:cs="Bahij TheSansArabic Bold"/>
        <w:sz w:val="10"/>
        <w:szCs w:val="10"/>
      </w:rPr>
    </w:pPr>
    <w:r w:rsidRPr="001C3D20">
      <w:rPr>
        <w:rFonts w:ascii="Bahij TheSansArabic Bold" w:hAnsi="Bahij TheSansArabic Bold" w:cs="Bahij TheSansArabic Bold"/>
        <w:sz w:val="10"/>
        <w:szCs w:val="10"/>
        <w:rtl/>
      </w:rPr>
      <w:t>محمد بن فهد المزيد</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4F5D5" w14:textId="77777777" w:rsidR="00315B7D" w:rsidRDefault="00315B7D" w:rsidP="00F2793A">
      <w:pPr>
        <w:spacing w:after="0" w:line="240" w:lineRule="auto"/>
      </w:pPr>
      <w:r>
        <w:separator/>
      </w:r>
    </w:p>
  </w:footnote>
  <w:footnote w:type="continuationSeparator" w:id="0">
    <w:p w14:paraId="69F88D9A" w14:textId="77777777" w:rsidR="00315B7D" w:rsidRDefault="00315B7D" w:rsidP="00F279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F416A" w14:textId="6FC305FF" w:rsidR="00F2793A" w:rsidRPr="00235A24" w:rsidRDefault="00F2793A" w:rsidP="00F2793A">
    <w:pPr>
      <w:spacing w:after="0" w:line="240" w:lineRule="auto"/>
      <w:ind w:hanging="784"/>
      <w:rPr>
        <w:rFonts w:ascii="Bahij TheSansArabic Bold" w:hAnsi="Bahij TheSansArabic Bold" w:cs="Bahij TheSansArabic Bold"/>
        <w:sz w:val="22"/>
        <w:szCs w:val="22"/>
        <w:lang w:bidi="ar-LB"/>
      </w:rPr>
    </w:pPr>
    <w:r w:rsidRPr="00235A24">
      <w:rPr>
        <w:rFonts w:ascii="Bahij TheSansArabic Bold" w:hAnsi="Bahij TheSansArabic Bold" w:cs="Bahij TheSansArabic Bold"/>
        <w:noProof/>
        <w:sz w:val="22"/>
        <w:szCs w:val="22"/>
      </w:rPr>
      <w:drawing>
        <wp:anchor distT="0" distB="0" distL="114300" distR="114300" simplePos="0" relativeHeight="251661312" behindDoc="1" locked="0" layoutInCell="1" allowOverlap="1" wp14:anchorId="67004565" wp14:editId="07920BB4">
          <wp:simplePos x="0" y="0"/>
          <wp:positionH relativeFrom="margin">
            <wp:posOffset>-482600</wp:posOffset>
          </wp:positionH>
          <wp:positionV relativeFrom="margin">
            <wp:posOffset>-948690</wp:posOffset>
          </wp:positionV>
          <wp:extent cx="1485900" cy="592455"/>
          <wp:effectExtent l="0" t="0" r="0" b="0"/>
          <wp:wrapTight wrapText="bothSides">
            <wp:wrapPolygon edited="0">
              <wp:start x="0" y="0"/>
              <wp:lineTo x="0" y="20836"/>
              <wp:lineTo x="21323" y="20836"/>
              <wp:lineTo x="21323" y="0"/>
              <wp:lineTo x="0" y="0"/>
            </wp:wrapPolygon>
          </wp:wrapTight>
          <wp:docPr id="171922633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Bahij TheSansArabic Bold" w:hAnsi="Bahij TheSansArabic Bold" w:cs="Bahij TheSansArabic Bold"/>
        <w:sz w:val="22"/>
        <w:szCs w:val="22"/>
        <w:lang w:bidi="ar-LB"/>
      </w:rPr>
      <w:t xml:space="preserve">      </w:t>
    </w:r>
    <w:r w:rsidRPr="00235A24">
      <w:rPr>
        <w:rFonts w:ascii="Bahij TheSansArabic Bold" w:hAnsi="Bahij TheSansArabic Bold" w:cs="Bahij TheSansArabic Bold"/>
        <w:sz w:val="22"/>
        <w:szCs w:val="22"/>
        <w:rtl/>
        <w:lang w:bidi="ar-LB"/>
      </w:rPr>
      <w:t xml:space="preserve">جامعة </w:t>
    </w:r>
    <w:proofErr w:type="spellStart"/>
    <w:r w:rsidRPr="00235A24">
      <w:rPr>
        <w:rFonts w:ascii="Bahij TheSansArabic Bold" w:hAnsi="Bahij TheSansArabic Bold" w:cs="Bahij TheSansArabic Bold"/>
        <w:sz w:val="22"/>
        <w:szCs w:val="22"/>
        <w:rtl/>
        <w:lang w:bidi="ar-LB"/>
      </w:rPr>
      <w:t>ميدأوشن</w:t>
    </w:r>
    <w:proofErr w:type="spellEnd"/>
  </w:p>
  <w:p w14:paraId="0F1D2354" w14:textId="0F95B9F1" w:rsidR="00F2793A" w:rsidRPr="00235A24" w:rsidRDefault="00F2793A" w:rsidP="00F2793A">
    <w:pPr>
      <w:spacing w:after="0" w:line="240" w:lineRule="auto"/>
      <w:ind w:hanging="784"/>
      <w:rPr>
        <w:rFonts w:ascii="Bahij TheSansArabic Bold" w:hAnsi="Bahij TheSansArabic Bold" w:cs="Bahij TheSansArabic Bold"/>
        <w:sz w:val="22"/>
        <w:szCs w:val="22"/>
        <w:rtl/>
      </w:rPr>
    </w:pPr>
    <w:r>
      <w:rPr>
        <w:rFonts w:ascii="Bahij TheSansArabic Bold" w:hAnsi="Bahij TheSansArabic Bold" w:cs="Bahij TheSansArabic Bold" w:hint="cs"/>
        <w:sz w:val="22"/>
        <w:szCs w:val="22"/>
        <w:rtl/>
        <w:lang w:bidi="ar-LB"/>
      </w:rPr>
      <w:t xml:space="preserve">  </w:t>
    </w:r>
    <w:r w:rsidRPr="00235A24">
      <w:rPr>
        <w:rFonts w:ascii="Bahij TheSansArabic Bold" w:hAnsi="Bahij TheSansArabic Bold" w:cs="Bahij TheSansArabic Bold"/>
        <w:sz w:val="22"/>
        <w:szCs w:val="22"/>
        <w:rtl/>
        <w:lang w:bidi="ar-LB"/>
      </w:rPr>
      <w:t>كلية الإعلام والتسويق</w:t>
    </w:r>
  </w:p>
  <w:p w14:paraId="6BE0FA3F" w14:textId="77777777" w:rsidR="00F2793A" w:rsidRPr="00235A24" w:rsidRDefault="00F2793A" w:rsidP="001C3D20">
    <w:pPr>
      <w:spacing w:after="0" w:line="240" w:lineRule="auto"/>
      <w:ind w:hanging="784"/>
      <w:rPr>
        <w:rFonts w:ascii="Bahij TheSansArabic Bold" w:hAnsi="Bahij TheSansArabic Bold" w:cs="Bahij TheSansArabic Bold"/>
        <w:sz w:val="22"/>
        <w:szCs w:val="22"/>
        <w:rtl/>
      </w:rPr>
    </w:pPr>
    <w:r w:rsidRPr="00235A24">
      <w:rPr>
        <w:rFonts w:ascii="Bahij TheSansArabic Bold" w:hAnsi="Bahij TheSansArabic Bold" w:cs="Bahij TheSansArabic Bold"/>
        <w:sz w:val="22"/>
        <w:szCs w:val="22"/>
        <w:rtl/>
        <w:lang w:bidi="ar-LB"/>
      </w:rPr>
      <w:t xml:space="preserve">بكالوريوس الإعلام الرقمي </w:t>
    </w:r>
  </w:p>
  <w:p w14:paraId="12BFFC25" w14:textId="1AAF28BB" w:rsidR="00F2793A" w:rsidRDefault="001C3D20" w:rsidP="001C3D20">
    <w:pPr>
      <w:pStyle w:val="Header"/>
      <w:jc w:val="center"/>
    </w:pPr>
    <w:r>
      <w:rPr>
        <w:rFonts w:hint="cs"/>
        <w:rtl/>
      </w:rPr>
      <w:t>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E1246"/>
    <w:multiLevelType w:val="hybridMultilevel"/>
    <w:tmpl w:val="925AF7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FB4F75"/>
    <w:multiLevelType w:val="hybridMultilevel"/>
    <w:tmpl w:val="0504C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3E6BDF"/>
    <w:multiLevelType w:val="hybridMultilevel"/>
    <w:tmpl w:val="370C3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B30750"/>
    <w:multiLevelType w:val="hybridMultilevel"/>
    <w:tmpl w:val="57D4D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665A5"/>
    <w:multiLevelType w:val="hybridMultilevel"/>
    <w:tmpl w:val="73945A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59597275">
    <w:abstractNumId w:val="4"/>
  </w:num>
  <w:num w:numId="2" w16cid:durableId="1116828685">
    <w:abstractNumId w:val="3"/>
  </w:num>
  <w:num w:numId="3" w16cid:durableId="438916425">
    <w:abstractNumId w:val="0"/>
  </w:num>
  <w:num w:numId="4" w16cid:durableId="601842249">
    <w:abstractNumId w:val="2"/>
  </w:num>
  <w:num w:numId="5" w16cid:durableId="558245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2AC6"/>
    <w:rsid w:val="00026CDE"/>
    <w:rsid w:val="00034A36"/>
    <w:rsid w:val="00041D50"/>
    <w:rsid w:val="00091138"/>
    <w:rsid w:val="00113325"/>
    <w:rsid w:val="0012324F"/>
    <w:rsid w:val="00130B20"/>
    <w:rsid w:val="001340AA"/>
    <w:rsid w:val="001532AC"/>
    <w:rsid w:val="00187F81"/>
    <w:rsid w:val="00192602"/>
    <w:rsid w:val="001950B2"/>
    <w:rsid w:val="001C3D20"/>
    <w:rsid w:val="001F0796"/>
    <w:rsid w:val="00235A24"/>
    <w:rsid w:val="00284754"/>
    <w:rsid w:val="002C1A51"/>
    <w:rsid w:val="002E06C6"/>
    <w:rsid w:val="002E42CD"/>
    <w:rsid w:val="002E79F8"/>
    <w:rsid w:val="00315B7D"/>
    <w:rsid w:val="0032496B"/>
    <w:rsid w:val="0032587D"/>
    <w:rsid w:val="00380A78"/>
    <w:rsid w:val="00540A1C"/>
    <w:rsid w:val="00555966"/>
    <w:rsid w:val="00597CD8"/>
    <w:rsid w:val="005E0EBE"/>
    <w:rsid w:val="006123AA"/>
    <w:rsid w:val="006135F8"/>
    <w:rsid w:val="0062594E"/>
    <w:rsid w:val="00667FA9"/>
    <w:rsid w:val="006836C4"/>
    <w:rsid w:val="006D536E"/>
    <w:rsid w:val="006E4F13"/>
    <w:rsid w:val="00745FEF"/>
    <w:rsid w:val="007465CB"/>
    <w:rsid w:val="007836C8"/>
    <w:rsid w:val="0078517D"/>
    <w:rsid w:val="00787E85"/>
    <w:rsid w:val="007C695D"/>
    <w:rsid w:val="0082225A"/>
    <w:rsid w:val="008F0F95"/>
    <w:rsid w:val="009303B2"/>
    <w:rsid w:val="009F3343"/>
    <w:rsid w:val="00AC5483"/>
    <w:rsid w:val="00B52BE6"/>
    <w:rsid w:val="00B66606"/>
    <w:rsid w:val="00B716AA"/>
    <w:rsid w:val="00BD21B8"/>
    <w:rsid w:val="00BD2E07"/>
    <w:rsid w:val="00BE14E2"/>
    <w:rsid w:val="00C23E49"/>
    <w:rsid w:val="00C36016"/>
    <w:rsid w:val="00CA1762"/>
    <w:rsid w:val="00D262BA"/>
    <w:rsid w:val="00DA0071"/>
    <w:rsid w:val="00EA6006"/>
    <w:rsid w:val="00F2793A"/>
    <w:rsid w:val="00F30DF2"/>
    <w:rsid w:val="00F966E1"/>
    <w:rsid w:val="00FE160A"/>
    <w:rsid w:val="00FE7F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F2793A"/>
    <w:pPr>
      <w:tabs>
        <w:tab w:val="center" w:pos="4153"/>
        <w:tab w:val="right" w:pos="8306"/>
      </w:tabs>
      <w:spacing w:after="0" w:line="240" w:lineRule="auto"/>
    </w:pPr>
  </w:style>
  <w:style w:type="character" w:customStyle="1" w:styleId="HeaderChar">
    <w:name w:val="Header Char"/>
    <w:basedOn w:val="DefaultParagraphFont"/>
    <w:link w:val="Header"/>
    <w:uiPriority w:val="99"/>
    <w:rsid w:val="00F2793A"/>
  </w:style>
  <w:style w:type="paragraph" w:styleId="Footer">
    <w:name w:val="footer"/>
    <w:basedOn w:val="Normal"/>
    <w:link w:val="FooterChar"/>
    <w:uiPriority w:val="99"/>
    <w:unhideWhenUsed/>
    <w:rsid w:val="00F2793A"/>
    <w:pPr>
      <w:tabs>
        <w:tab w:val="center" w:pos="4153"/>
        <w:tab w:val="right" w:pos="8306"/>
      </w:tabs>
      <w:spacing w:after="0" w:line="240" w:lineRule="auto"/>
    </w:pPr>
  </w:style>
  <w:style w:type="character" w:customStyle="1" w:styleId="FooterChar">
    <w:name w:val="Footer Char"/>
    <w:basedOn w:val="DefaultParagraphFont"/>
    <w:link w:val="Footer"/>
    <w:uiPriority w:val="99"/>
    <w:rsid w:val="00F27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2258</Words>
  <Characters>12876</Characters>
  <Application>Microsoft Office Word</Application>
  <DocSecurity>0</DocSecurity>
  <Lines>107</Lines>
  <Paragraphs>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Mohammed Al-Mazyad</cp:lastModifiedBy>
  <cp:revision>51</cp:revision>
  <dcterms:created xsi:type="dcterms:W3CDTF">2026-02-26T14:50:00Z</dcterms:created>
  <dcterms:modified xsi:type="dcterms:W3CDTF">2026-07-14T21:53:00Z</dcterms:modified>
</cp:coreProperties>
</file>