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EDE3105" w14:textId="77777777" w:rsidR="00E000FF" w:rsidRPr="00C95436" w:rsidRDefault="00E000FF" w:rsidP="00C95436">
      <w:pPr>
        <w:bidi/>
        <w:spacing w:after="0" w:line="360" w:lineRule="auto"/>
        <w:jc w:val="center"/>
        <w:rPr>
          <w:rFonts w:ascii="Sakkal Majalla" w:hAnsi="Sakkal Majalla" w:cs="Sakkal Majalla"/>
          <w:b/>
          <w:bCs/>
          <w:sz w:val="28"/>
          <w:szCs w:val="28"/>
          <w:rtl/>
        </w:rPr>
      </w:pPr>
    </w:p>
    <w:p w14:paraId="16A2563A" w14:textId="10CFCC52"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جامعة ميدأوشن</w:t>
      </w:r>
    </w:p>
    <w:p w14:paraId="6CD29D60" w14:textId="32CAAF12" w:rsidR="005D691F" w:rsidRPr="00C95436" w:rsidRDefault="00F4227D" w:rsidP="00C95436">
      <w:pPr>
        <w:bidi/>
        <w:spacing w:after="0" w:line="360" w:lineRule="auto"/>
        <w:jc w:val="center"/>
        <w:rPr>
          <w:rFonts w:ascii="Sakkal Majalla" w:hAnsi="Sakkal Majalla" w:cs="Sakkal Majalla" w:hint="cs"/>
          <w:rtl/>
        </w:rPr>
      </w:pPr>
      <w:r w:rsidRPr="00C95436">
        <w:rPr>
          <w:rFonts w:ascii="Sakkal Majalla" w:hAnsi="Sakkal Majalla" w:cs="Sakkal Majalla"/>
          <w:b/>
          <w:bCs/>
          <w:sz w:val="24"/>
          <w:szCs w:val="24"/>
          <w:rtl/>
        </w:rPr>
        <w:t>كلية الإدارة</w:t>
      </w:r>
    </w:p>
    <w:p w14:paraId="66EC4F74" w14:textId="77777777" w:rsidR="005D691F" w:rsidRPr="00C95436" w:rsidRDefault="005D691F" w:rsidP="00C95436">
      <w:pPr>
        <w:bidi/>
        <w:spacing w:after="0" w:line="360" w:lineRule="auto"/>
        <w:rPr>
          <w:rFonts w:ascii="Sakkal Majalla" w:hAnsi="Sakkal Majalla" w:cs="Sakkal Majalla"/>
        </w:rPr>
      </w:pPr>
    </w:p>
    <w:p w14:paraId="12B0FE6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tl/>
        </w:rPr>
        <w:t>أثر تقنية الترميز على الأمن السيبراني وكفاءة العمليات المالية في المؤسسات المالية السعودية</w:t>
      </w:r>
    </w:p>
    <w:p w14:paraId="2B1D0A37"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دراسة تحليلية وفق رؤية المملكة 2030</w:t>
      </w:r>
    </w:p>
    <w:p w14:paraId="141DB46D" w14:textId="77777777" w:rsidR="005D691F" w:rsidRPr="00C95436" w:rsidRDefault="005D691F" w:rsidP="00C95436">
      <w:pPr>
        <w:bidi/>
        <w:spacing w:after="0" w:line="360" w:lineRule="auto"/>
        <w:rPr>
          <w:rFonts w:ascii="Sakkal Majalla" w:hAnsi="Sakkal Majalla" w:cs="Sakkal Majalla"/>
        </w:rPr>
      </w:pPr>
    </w:p>
    <w:p w14:paraId="529F8846"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إعداد</w:t>
      </w:r>
    </w:p>
    <w:p w14:paraId="4D3BB4A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فيصل معيض الشريف</w:t>
      </w:r>
    </w:p>
    <w:p w14:paraId="068D5E1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tl/>
        </w:rPr>
        <w:t>المملكة العربية السعودية</w:t>
      </w:r>
    </w:p>
    <w:p w14:paraId="785FEE93" w14:textId="77777777" w:rsidR="005D691F" w:rsidRPr="00C95436" w:rsidRDefault="005D691F" w:rsidP="00C95436">
      <w:pPr>
        <w:bidi/>
        <w:spacing w:after="0" w:line="360" w:lineRule="auto"/>
        <w:rPr>
          <w:rFonts w:ascii="Sakkal Majalla" w:hAnsi="Sakkal Majalla" w:cs="Sakkal Majalla"/>
        </w:rPr>
      </w:pPr>
    </w:p>
    <w:p w14:paraId="13506328"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رسالة مقدمة لجامعة ميدأوشن لاستكمال متطلبات نيل درجة الدكتوراه في الفلسفة</w:t>
      </w:r>
    </w:p>
    <w:p w14:paraId="0DF8C2C9"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في</w:t>
      </w:r>
    </w:p>
    <w:p w14:paraId="1B5556EA"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الإدارة</w:t>
      </w:r>
    </w:p>
    <w:p w14:paraId="33F403D5" w14:textId="77777777" w:rsidR="005D691F" w:rsidRPr="00C95436" w:rsidRDefault="005D691F" w:rsidP="00C95436">
      <w:pPr>
        <w:bidi/>
        <w:spacing w:after="0" w:line="360" w:lineRule="auto"/>
        <w:rPr>
          <w:rFonts w:ascii="Sakkal Majalla" w:hAnsi="Sakkal Majalla" w:cs="Sakkal Majalla"/>
          <w:sz w:val="26"/>
          <w:szCs w:val="26"/>
        </w:rPr>
      </w:pPr>
    </w:p>
    <w:p w14:paraId="3343DE64"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sz w:val="20"/>
          <w:szCs w:val="20"/>
          <w:rtl/>
        </w:rPr>
        <w:t>1447 هـ - 2025 م</w:t>
      </w:r>
    </w:p>
    <w:p w14:paraId="1373CBAD" w14:textId="77777777" w:rsidR="005D691F" w:rsidRPr="00C95436" w:rsidRDefault="00F4227D" w:rsidP="00C95436">
      <w:pPr>
        <w:bidi/>
        <w:spacing w:after="0"/>
        <w:rPr>
          <w:rFonts w:ascii="Sakkal Majalla" w:hAnsi="Sakkal Majalla" w:cs="Sakkal Majalla"/>
        </w:rPr>
      </w:pPr>
      <w:r w:rsidRPr="00C95436">
        <w:rPr>
          <w:rFonts w:ascii="Sakkal Majalla" w:hAnsi="Sakkal Majalla" w:cs="Sakkal Majalla"/>
        </w:rPr>
        <w:br w:type="page"/>
      </w:r>
    </w:p>
    <w:p w14:paraId="5C595E93"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lastRenderedPageBreak/>
        <w:t>MIDOCEAN UNIVERSITY</w:t>
      </w:r>
    </w:p>
    <w:p w14:paraId="6B8E061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College of Management</w:t>
      </w:r>
    </w:p>
    <w:p w14:paraId="428D8923" w14:textId="77777777" w:rsidR="005D691F" w:rsidRPr="00C95436" w:rsidRDefault="005D691F" w:rsidP="00C95436">
      <w:pPr>
        <w:bidi/>
        <w:spacing w:after="0" w:line="360" w:lineRule="auto"/>
        <w:rPr>
          <w:rFonts w:ascii="Sakkal Majalla" w:hAnsi="Sakkal Majalla" w:cs="Sakkal Majalla"/>
        </w:rPr>
      </w:pPr>
    </w:p>
    <w:p w14:paraId="4AD2CE4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Pr>
        <w:t>THE IMPACT OF TOKENIZATION ON CYBERSECURITY AND FINANCIAL OPERATIONS EFFICIENCY IN SAUDI FINANCIAL INSTITUTIONS</w:t>
      </w:r>
    </w:p>
    <w:p w14:paraId="143FFCA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An Analytical Study in Light of Saudi Vision 2030</w:t>
      </w:r>
    </w:p>
    <w:p w14:paraId="75CBF5AB" w14:textId="77777777" w:rsidR="005D691F" w:rsidRPr="00C95436" w:rsidRDefault="005D691F" w:rsidP="00C95436">
      <w:pPr>
        <w:bidi/>
        <w:spacing w:after="0" w:line="360" w:lineRule="auto"/>
        <w:rPr>
          <w:rFonts w:ascii="Sakkal Majalla" w:hAnsi="Sakkal Majalla" w:cs="Sakkal Majalla"/>
        </w:rPr>
      </w:pPr>
    </w:p>
    <w:p w14:paraId="2C9C9603"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By</w:t>
      </w:r>
    </w:p>
    <w:p w14:paraId="0E33B25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FAISAL MUAID AL-SHARIF</w:t>
      </w:r>
    </w:p>
    <w:p w14:paraId="704E088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Saudi Arabia</w:t>
      </w:r>
    </w:p>
    <w:p w14:paraId="7CAAEB9A" w14:textId="77777777" w:rsidR="005D691F" w:rsidRPr="00C95436" w:rsidRDefault="005D691F" w:rsidP="00C95436">
      <w:pPr>
        <w:bidi/>
        <w:spacing w:after="0" w:line="360" w:lineRule="auto"/>
        <w:rPr>
          <w:rFonts w:ascii="Sakkal Majalla" w:hAnsi="Sakkal Majalla" w:cs="Sakkal Majalla"/>
        </w:rPr>
      </w:pPr>
    </w:p>
    <w:p w14:paraId="441D5FD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Submitted to Midocean University in partial fulfillment of the requirements for the degree of Doctor of Philosophy</w:t>
      </w:r>
    </w:p>
    <w:p w14:paraId="35F1ABE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in</w:t>
      </w:r>
    </w:p>
    <w:p w14:paraId="135D2BC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MANAGEMENT</w:t>
      </w:r>
    </w:p>
    <w:p w14:paraId="7865C0EB" w14:textId="77777777" w:rsidR="005D691F" w:rsidRPr="00C95436" w:rsidRDefault="005D691F" w:rsidP="00C95436">
      <w:pPr>
        <w:bidi/>
        <w:spacing w:after="0" w:line="360" w:lineRule="auto"/>
        <w:rPr>
          <w:rFonts w:ascii="Sakkal Majalla" w:hAnsi="Sakkal Majalla" w:cs="Sakkal Majalla"/>
        </w:rPr>
      </w:pPr>
    </w:p>
    <w:p w14:paraId="72A6DDB8"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sz w:val="16"/>
          <w:szCs w:val="16"/>
        </w:rPr>
        <w:t>2025</w:t>
      </w:r>
    </w:p>
    <w:p w14:paraId="188281D5" w14:textId="24AB2706" w:rsidR="00B52AE0" w:rsidRDefault="00B52AE0">
      <w:pPr>
        <w:spacing w:after="200" w:line="276" w:lineRule="auto"/>
        <w:rPr>
          <w:rFonts w:ascii="Sakkal Majalla" w:hAnsi="Sakkal Majalla" w:cs="Sakkal Majalla"/>
          <w:rtl/>
        </w:rPr>
      </w:pPr>
      <w:r>
        <w:rPr>
          <w:rFonts w:ascii="Sakkal Majalla" w:hAnsi="Sakkal Majalla" w:cs="Sakkal Majalla"/>
          <w:rtl/>
        </w:rPr>
        <w:br w:type="page"/>
      </w:r>
    </w:p>
    <w:p w14:paraId="72FC9D4F"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b/>
          <w:bCs/>
          <w:sz w:val="36"/>
          <w:szCs w:val="36"/>
          <w:rtl/>
        </w:rPr>
        <w:lastRenderedPageBreak/>
        <w:t>أولاً: أبعاد الدراسة</w:t>
      </w:r>
    </w:p>
    <w:p w14:paraId="116B2E33" w14:textId="77777777" w:rsidR="00B35152" w:rsidRPr="00C95436" w:rsidRDefault="00B35152" w:rsidP="00BC6B7C">
      <w:pPr>
        <w:bidi/>
        <w:spacing w:after="0" w:line="240" w:lineRule="auto"/>
        <w:jc w:val="both"/>
        <w:rPr>
          <w:rFonts w:ascii="Sakkal Majalla" w:hAnsi="Sakkal Majalla" w:cs="Sakkal Majalla"/>
          <w:sz w:val="28"/>
          <w:szCs w:val="28"/>
        </w:rPr>
      </w:pPr>
    </w:p>
    <w:tbl>
      <w:tblPr>
        <w:tblStyle w:val="TableGrid"/>
        <w:bidiVisual/>
        <w:tblW w:w="5000" w:type="pct"/>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458"/>
        <w:gridCol w:w="1605"/>
        <w:gridCol w:w="2456"/>
        <w:gridCol w:w="1228"/>
        <w:gridCol w:w="1983"/>
      </w:tblGrid>
      <w:tr w:rsidR="008506DD" w:rsidRPr="00C95436" w14:paraId="0DA7C018" w14:textId="77777777" w:rsidTr="009C72E1">
        <w:trPr>
          <w:tblHeader/>
          <w:jc w:val="center"/>
        </w:trPr>
        <w:tc>
          <w:tcPr>
            <w:tcW w:w="1263" w:type="pct"/>
            <w:shd w:val="clear" w:color="auto" w:fill="DCE9F5"/>
            <w:vAlign w:val="center"/>
          </w:tcPr>
          <w:p w14:paraId="602BC26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المتغير</w:t>
            </w:r>
          </w:p>
        </w:tc>
        <w:tc>
          <w:tcPr>
            <w:tcW w:w="825" w:type="pct"/>
            <w:shd w:val="clear" w:color="auto" w:fill="DCE9F5"/>
            <w:vAlign w:val="center"/>
          </w:tcPr>
          <w:p w14:paraId="09CCE59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نوع المتغير</w:t>
            </w:r>
          </w:p>
        </w:tc>
        <w:tc>
          <w:tcPr>
            <w:tcW w:w="1262" w:type="pct"/>
            <w:shd w:val="clear" w:color="auto" w:fill="DCE9F5"/>
            <w:vAlign w:val="center"/>
          </w:tcPr>
          <w:p w14:paraId="1491CB33"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الأبعاد / المؤشرات</w:t>
            </w:r>
          </w:p>
        </w:tc>
        <w:tc>
          <w:tcPr>
            <w:tcW w:w="631" w:type="pct"/>
            <w:shd w:val="clear" w:color="auto" w:fill="DCE9F5"/>
            <w:vAlign w:val="center"/>
          </w:tcPr>
          <w:p w14:paraId="382D0D1D"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عدد العبارات</w:t>
            </w:r>
          </w:p>
        </w:tc>
        <w:tc>
          <w:tcPr>
            <w:tcW w:w="1019" w:type="pct"/>
            <w:shd w:val="clear" w:color="auto" w:fill="DCE9F5"/>
            <w:vAlign w:val="center"/>
          </w:tcPr>
          <w:p w14:paraId="335CE41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b/>
                <w:bCs/>
                <w:rtl/>
              </w:rPr>
              <w:t>المرجع الرئيسي</w:t>
            </w:r>
          </w:p>
        </w:tc>
      </w:tr>
      <w:tr w:rsidR="008506DD" w:rsidRPr="00C95436" w14:paraId="5F8DE6F1" w14:textId="77777777" w:rsidTr="009C72E1">
        <w:trPr>
          <w:jc w:val="center"/>
        </w:trPr>
        <w:tc>
          <w:tcPr>
            <w:tcW w:w="1263" w:type="pct"/>
            <w:vAlign w:val="center"/>
          </w:tcPr>
          <w:p w14:paraId="77811BD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تطبيق تقنية الترميز الأمني للبيانات</w:t>
            </w:r>
          </w:p>
        </w:tc>
        <w:tc>
          <w:tcPr>
            <w:tcW w:w="825" w:type="pct"/>
            <w:vAlign w:val="center"/>
          </w:tcPr>
          <w:p w14:paraId="2F1670C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مستقل أول</w:t>
            </w:r>
          </w:p>
        </w:tc>
        <w:tc>
          <w:tcPr>
            <w:tcW w:w="1262" w:type="pct"/>
            <w:vAlign w:val="center"/>
          </w:tcPr>
          <w:p w14:paraId="0AF27D5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حماية بيانات الدفع، الحد من الاحتيال، الترميز الديناميكي</w:t>
            </w:r>
          </w:p>
        </w:tc>
        <w:tc>
          <w:tcPr>
            <w:tcW w:w="631" w:type="pct"/>
            <w:vAlign w:val="center"/>
          </w:tcPr>
          <w:p w14:paraId="13BFE2D4"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436D9F8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EMVCo (2023); PCI SSC (2024)</w:t>
            </w:r>
          </w:p>
        </w:tc>
      </w:tr>
      <w:tr w:rsidR="008506DD" w:rsidRPr="00C95436" w14:paraId="23C99C5D" w14:textId="77777777" w:rsidTr="009C72E1">
        <w:trPr>
          <w:jc w:val="center"/>
        </w:trPr>
        <w:tc>
          <w:tcPr>
            <w:tcW w:w="1263" w:type="pct"/>
            <w:vAlign w:val="center"/>
          </w:tcPr>
          <w:p w14:paraId="61E190C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الامتثال للمعايير الدولية</w:t>
            </w:r>
          </w:p>
        </w:tc>
        <w:tc>
          <w:tcPr>
            <w:tcW w:w="825" w:type="pct"/>
            <w:vAlign w:val="center"/>
          </w:tcPr>
          <w:p w14:paraId="257C0B5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مستقل ثانٍ</w:t>
            </w:r>
          </w:p>
        </w:tc>
        <w:tc>
          <w:tcPr>
            <w:tcW w:w="1262" w:type="pct"/>
            <w:vAlign w:val="center"/>
          </w:tcPr>
          <w:p w14:paraId="22CBFBC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PCI DSS، ISO 27001، الضوابط الرقابية الوطنية</w:t>
            </w:r>
          </w:p>
        </w:tc>
        <w:tc>
          <w:tcPr>
            <w:tcW w:w="631" w:type="pct"/>
            <w:vAlign w:val="center"/>
          </w:tcPr>
          <w:p w14:paraId="0686956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741D516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PCI SSC (2024); Park &amp; Hastings (2025)</w:t>
            </w:r>
          </w:p>
        </w:tc>
      </w:tr>
      <w:tr w:rsidR="008506DD" w:rsidRPr="00C95436" w14:paraId="158614D8" w14:textId="77777777" w:rsidTr="009C72E1">
        <w:trPr>
          <w:jc w:val="center"/>
        </w:trPr>
        <w:tc>
          <w:tcPr>
            <w:tcW w:w="1263" w:type="pct"/>
            <w:vAlign w:val="center"/>
          </w:tcPr>
          <w:p w14:paraId="088066A4"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الأمن السيبراني المؤسسي</w:t>
            </w:r>
          </w:p>
        </w:tc>
        <w:tc>
          <w:tcPr>
            <w:tcW w:w="825" w:type="pct"/>
            <w:vAlign w:val="center"/>
          </w:tcPr>
          <w:p w14:paraId="40EE66A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تابع أول</w:t>
            </w:r>
          </w:p>
        </w:tc>
        <w:tc>
          <w:tcPr>
            <w:tcW w:w="1262" w:type="pct"/>
            <w:vAlign w:val="center"/>
          </w:tcPr>
          <w:p w14:paraId="14E54D5F"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الوقاية، الاستجابة للحوادث، استمرارية الأعمال</w:t>
            </w:r>
          </w:p>
        </w:tc>
        <w:tc>
          <w:tcPr>
            <w:tcW w:w="631" w:type="pct"/>
            <w:vAlign w:val="center"/>
          </w:tcPr>
          <w:p w14:paraId="3BD5DF2C"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16DF7487"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NIST (2023); ENISA (2024)</w:t>
            </w:r>
          </w:p>
        </w:tc>
      </w:tr>
      <w:tr w:rsidR="008506DD" w:rsidRPr="00C95436" w14:paraId="25D99611" w14:textId="77777777" w:rsidTr="009C72E1">
        <w:trPr>
          <w:jc w:val="center"/>
        </w:trPr>
        <w:tc>
          <w:tcPr>
            <w:tcW w:w="1263" w:type="pct"/>
            <w:vAlign w:val="center"/>
          </w:tcPr>
          <w:p w14:paraId="53DA65F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كفاءة العمليات المالية</w:t>
            </w:r>
          </w:p>
        </w:tc>
        <w:tc>
          <w:tcPr>
            <w:tcW w:w="825" w:type="pct"/>
            <w:vAlign w:val="center"/>
          </w:tcPr>
          <w:p w14:paraId="7C871AE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تابع ثانٍ</w:t>
            </w:r>
          </w:p>
        </w:tc>
        <w:tc>
          <w:tcPr>
            <w:tcW w:w="1262" w:type="pct"/>
            <w:vAlign w:val="center"/>
          </w:tcPr>
          <w:p w14:paraId="6620367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سرعة المعالجة، دقة التنفيذ، تكلفة التشغيل</w:t>
            </w:r>
          </w:p>
        </w:tc>
        <w:tc>
          <w:tcPr>
            <w:tcW w:w="631" w:type="pct"/>
            <w:vAlign w:val="center"/>
          </w:tcPr>
          <w:p w14:paraId="7CD704C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w:t>
            </w:r>
          </w:p>
        </w:tc>
        <w:tc>
          <w:tcPr>
            <w:tcW w:w="1019" w:type="pct"/>
            <w:vAlign w:val="center"/>
          </w:tcPr>
          <w:p w14:paraId="5FDFC01A"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SAMA (2024); BIS (2024)</w:t>
            </w:r>
          </w:p>
        </w:tc>
      </w:tr>
      <w:tr w:rsidR="008506DD" w:rsidRPr="00C95436" w14:paraId="0B0CF555" w14:textId="77777777" w:rsidTr="009C72E1">
        <w:trPr>
          <w:jc w:val="center"/>
        </w:trPr>
        <w:tc>
          <w:tcPr>
            <w:tcW w:w="1263" w:type="pct"/>
            <w:vAlign w:val="center"/>
          </w:tcPr>
          <w:p w14:paraId="275EBDE1"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نوع المؤسسة، حجمها، عمرها، مستوى تبنّي التقنية</w:t>
            </w:r>
          </w:p>
        </w:tc>
        <w:tc>
          <w:tcPr>
            <w:tcW w:w="825" w:type="pct"/>
            <w:vAlign w:val="center"/>
          </w:tcPr>
          <w:p w14:paraId="78A720F3"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ضابطة (تصنيفية)</w:t>
            </w:r>
          </w:p>
        </w:tc>
        <w:tc>
          <w:tcPr>
            <w:tcW w:w="1262" w:type="pct"/>
            <w:vAlign w:val="center"/>
          </w:tcPr>
          <w:p w14:paraId="3EA7FDAB"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تُستخدَم في تقسيم العينة عند اختبار الفروق</w:t>
            </w:r>
          </w:p>
        </w:tc>
        <w:tc>
          <w:tcPr>
            <w:tcW w:w="631" w:type="pct"/>
            <w:vAlign w:val="center"/>
          </w:tcPr>
          <w:p w14:paraId="4DBB5878"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6 عبارات (بيانات أولية)</w:t>
            </w:r>
          </w:p>
        </w:tc>
        <w:tc>
          <w:tcPr>
            <w:tcW w:w="1019" w:type="pct"/>
            <w:vAlign w:val="center"/>
          </w:tcPr>
          <w:p w14:paraId="273DDB2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إعداد الباحث</w:t>
            </w:r>
          </w:p>
        </w:tc>
      </w:tr>
      <w:tr w:rsidR="008506DD" w:rsidRPr="00C95436" w14:paraId="4B1BE570" w14:textId="77777777" w:rsidTr="009C72E1">
        <w:trPr>
          <w:jc w:val="center"/>
        </w:trPr>
        <w:tc>
          <w:tcPr>
            <w:tcW w:w="1263" w:type="pct"/>
            <w:vAlign w:val="center"/>
          </w:tcPr>
          <w:p w14:paraId="0B2C7E05"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التوافق مع رؤية 2030 والتحول الرقمي المالي</w:t>
            </w:r>
          </w:p>
        </w:tc>
        <w:tc>
          <w:tcPr>
            <w:tcW w:w="825" w:type="pct"/>
            <w:vAlign w:val="center"/>
          </w:tcPr>
          <w:p w14:paraId="44EB4BE0"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إطار تفسيري (خارج الفروض)</w:t>
            </w:r>
          </w:p>
        </w:tc>
        <w:tc>
          <w:tcPr>
            <w:tcW w:w="1262" w:type="pct"/>
            <w:vAlign w:val="center"/>
          </w:tcPr>
          <w:p w14:paraId="11CAA3D9"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لا يدخل في نماذج الانحدار ولا في اختبارات الفروق</w:t>
            </w:r>
          </w:p>
        </w:tc>
        <w:tc>
          <w:tcPr>
            <w:tcW w:w="631" w:type="pct"/>
            <w:vAlign w:val="center"/>
          </w:tcPr>
          <w:p w14:paraId="25FC7CA6"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7 عبارات</w:t>
            </w:r>
          </w:p>
        </w:tc>
        <w:tc>
          <w:tcPr>
            <w:tcW w:w="1019" w:type="pct"/>
            <w:vAlign w:val="center"/>
          </w:tcPr>
          <w:p w14:paraId="6246A459" w14:textId="77777777" w:rsidR="008506DD" w:rsidRPr="00C95436" w:rsidRDefault="002B5AD3" w:rsidP="00BC6B7C">
            <w:pPr>
              <w:bidi/>
              <w:spacing w:after="0" w:line="240" w:lineRule="auto"/>
              <w:jc w:val="center"/>
              <w:rPr>
                <w:rFonts w:ascii="Sakkal Majalla" w:hAnsi="Sakkal Majalla" w:cs="Sakkal Majalla"/>
              </w:rPr>
            </w:pPr>
            <w:r w:rsidRPr="00C95436">
              <w:rPr>
                <w:rFonts w:ascii="Sakkal Majalla" w:hAnsi="Sakkal Majalla" w:cs="Sakkal Majalla"/>
                <w:rtl/>
              </w:rPr>
              <w:t>رؤية المملكة 2030 (2024)</w:t>
            </w:r>
          </w:p>
        </w:tc>
      </w:tr>
    </w:tbl>
    <w:p w14:paraId="1631A3AC" w14:textId="77777777" w:rsidR="00B35152" w:rsidRPr="00C95436" w:rsidRDefault="00B35152" w:rsidP="00BC6B7C">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 متغيرات الدراسة وتصنيفها ومقاييسها</w:t>
      </w:r>
    </w:p>
    <w:p w14:paraId="47B8FA8B" w14:textId="3FDD3887" w:rsidR="009C72E1" w:rsidRDefault="00215B39" w:rsidP="00BC6B7C">
      <w:pPr>
        <w:bidi/>
        <w:spacing w:after="0" w:line="240" w:lineRule="auto"/>
        <w:jc w:val="both"/>
        <w:rPr>
          <w:rFonts w:ascii="Sakkal Majalla" w:hAnsi="Sakkal Majalla" w:cs="Sakkal Majalla"/>
          <w:sz w:val="28"/>
          <w:szCs w:val="28"/>
          <w:rtl/>
        </w:rPr>
      </w:pPr>
      <w:r w:rsidRPr="00215B39">
        <w:rPr>
          <w:rFonts w:ascii="Sakkal Majalla" w:hAnsi="Sakkal Majalla" w:cs="Sakkal Majalla"/>
          <w:sz w:val="28"/>
          <w:szCs w:val="28"/>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17E62DBE" w14:textId="77777777" w:rsidR="00215B39" w:rsidRDefault="00215B39" w:rsidP="009C72E1">
      <w:pPr>
        <w:bidi/>
        <w:spacing w:after="0" w:line="240" w:lineRule="auto"/>
        <w:jc w:val="both"/>
        <w:rPr>
          <w:rFonts w:ascii="Sakkal Majalla" w:hAnsi="Sakkal Majalla" w:cs="Sakkal Majalla"/>
          <w:sz w:val="28"/>
          <w:szCs w:val="28"/>
          <w:rtl/>
        </w:rPr>
      </w:pPr>
    </w:p>
    <w:p w14:paraId="5D29C245" w14:textId="77777777" w:rsidR="00B35152" w:rsidRPr="00C95436" w:rsidRDefault="00B35152" w:rsidP="00BC6B7C">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(3.2-أ): المصادر العلمية لبناء محاور الاستبانة</w:t>
      </w:r>
    </w:p>
    <w:tbl>
      <w:tblPr>
        <w:tblStyle w:val="GridTable4-Accent1"/>
        <w:bidiVisual/>
        <w:tblW w:w="5000" w:type="pct"/>
        <w:tblInd w:w="10" w:type="dxa"/>
        <w:tblLook w:val="04A0" w:firstRow="1" w:lastRow="0" w:firstColumn="1" w:lastColumn="0" w:noHBand="0" w:noVBand="1"/>
      </w:tblPr>
      <w:tblGrid>
        <w:gridCol w:w="3643"/>
        <w:gridCol w:w="3643"/>
        <w:gridCol w:w="2450"/>
      </w:tblGrid>
      <w:tr w:rsidR="009C72E1" w:rsidRPr="00C95436" w14:paraId="390BE816" w14:textId="41EED096" w:rsidTr="002C1D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7B614CA5" w14:textId="5CE4C457" w:rsidR="009C72E1" w:rsidRPr="00C95436" w:rsidRDefault="009C72E1" w:rsidP="009C72E1">
            <w:pPr>
              <w:bidi/>
              <w:spacing w:after="0" w:line="240" w:lineRule="auto"/>
              <w:jc w:val="center"/>
              <w:rPr>
                <w:rFonts w:ascii="Sakkal Majalla" w:hAnsi="Sakkal Majalla" w:cs="Sakkal Majalla"/>
                <w:rtl/>
              </w:rPr>
            </w:pPr>
            <w:r w:rsidRPr="00C95436">
              <w:rPr>
                <w:rFonts w:ascii="Sakkal Majalla" w:hAnsi="Sakkal Majalla" w:cs="Sakkal Majalla"/>
                <w:rtl/>
              </w:rPr>
              <w:t>المحور</w:t>
            </w:r>
          </w:p>
        </w:tc>
        <w:tc>
          <w:tcPr>
            <w:tcW w:w="1871" w:type="pct"/>
            <w:vAlign w:val="center"/>
          </w:tcPr>
          <w:p w14:paraId="1F9F0B57" w14:textId="3D5184D2"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المصادر العلمية</w:t>
            </w:r>
          </w:p>
        </w:tc>
        <w:tc>
          <w:tcPr>
            <w:tcW w:w="1259" w:type="pct"/>
            <w:vAlign w:val="center"/>
          </w:tcPr>
          <w:p w14:paraId="1CE2E6D5" w14:textId="015086F1"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المرجع الرئيسي المعتمد</w:t>
            </w:r>
          </w:p>
        </w:tc>
      </w:tr>
      <w:tr w:rsidR="00595FEB" w:rsidRPr="00C95436" w14:paraId="4401D4E9" w14:textId="4FC50FD2"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198571A3" w14:textId="4F4D33B1"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تطبيق تقنية الترميز</w:t>
            </w:r>
          </w:p>
        </w:tc>
        <w:tc>
          <w:tcPr>
            <w:tcW w:w="1871" w:type="pct"/>
            <w:vAlign w:val="center"/>
          </w:tcPr>
          <w:p w14:paraId="01F2B883" w14:textId="360283C2"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معايير دولية + دراسات تطبيقية في الترميز المالي</w:t>
            </w:r>
          </w:p>
        </w:tc>
        <w:tc>
          <w:tcPr>
            <w:tcW w:w="1259" w:type="pct"/>
            <w:vAlign w:val="center"/>
          </w:tcPr>
          <w:p w14:paraId="0B798AA6" w14:textId="279384B9"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EMVCo (2023); PCI DSS (2022); Al-Otaibi et al. (2023)</w:t>
            </w:r>
          </w:p>
        </w:tc>
      </w:tr>
      <w:tr w:rsidR="00595FEB" w:rsidRPr="00C95436" w14:paraId="0C0743AB" w14:textId="122355F7" w:rsidTr="002C1D57">
        <w:tc>
          <w:tcPr>
            <w:cnfStyle w:val="001000000000" w:firstRow="0" w:lastRow="0" w:firstColumn="1" w:lastColumn="0" w:oddVBand="0" w:evenVBand="0" w:oddHBand="0" w:evenHBand="0" w:firstRowFirstColumn="0" w:firstRowLastColumn="0" w:lastRowFirstColumn="0" w:lastRowLastColumn="0"/>
            <w:tcW w:w="1871" w:type="pct"/>
            <w:vAlign w:val="center"/>
          </w:tcPr>
          <w:p w14:paraId="3C838FBF" w14:textId="5FC4F154"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الأمن السيبراني</w:t>
            </w:r>
          </w:p>
        </w:tc>
        <w:tc>
          <w:tcPr>
            <w:tcW w:w="1871" w:type="pct"/>
            <w:vAlign w:val="center"/>
          </w:tcPr>
          <w:p w14:paraId="7D629044" w14:textId="21C92455" w:rsidR="00595FEB" w:rsidRPr="00C95436" w:rsidRDefault="00595FEB" w:rsidP="00595FE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إطار الأمن السيبراني الوطني + دراسات أمن المعلومات</w:t>
            </w:r>
          </w:p>
        </w:tc>
        <w:tc>
          <w:tcPr>
            <w:tcW w:w="1259" w:type="pct"/>
            <w:vAlign w:val="center"/>
          </w:tcPr>
          <w:p w14:paraId="41402E89" w14:textId="73FBFF04" w:rsidR="00595FEB" w:rsidRPr="00595FEB" w:rsidRDefault="00595FEB" w:rsidP="00595FEB">
            <w:p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NCA (2022); NIST (2021); Al-Ghamdi &amp; Hassan (2022)</w:t>
            </w:r>
          </w:p>
        </w:tc>
      </w:tr>
      <w:tr w:rsidR="00595FEB" w:rsidRPr="00C95436" w14:paraId="7268A004" w14:textId="5DA673AD"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253DA15" w14:textId="216B102A"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كفاءة العمليات المالية</w:t>
            </w:r>
          </w:p>
        </w:tc>
        <w:tc>
          <w:tcPr>
            <w:tcW w:w="1871" w:type="pct"/>
            <w:vAlign w:val="center"/>
          </w:tcPr>
          <w:p w14:paraId="7310E6D0" w14:textId="14768833"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تقارير دولية + دراسات كفاءة العمليات المالية</w:t>
            </w:r>
          </w:p>
        </w:tc>
        <w:tc>
          <w:tcPr>
            <w:tcW w:w="1259" w:type="pct"/>
            <w:vAlign w:val="center"/>
          </w:tcPr>
          <w:p w14:paraId="24D2FBBB" w14:textId="4C9AFC70"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BIS (2022); Arner et al. (2023); Al-Zahrani (2023)</w:t>
            </w:r>
          </w:p>
        </w:tc>
      </w:tr>
      <w:tr w:rsidR="00595FEB" w:rsidRPr="009C72E1" w14:paraId="7FA6D9C7" w14:textId="7BE25FBE" w:rsidTr="002C1D57">
        <w:tc>
          <w:tcPr>
            <w:cnfStyle w:val="001000000000" w:firstRow="0" w:lastRow="0" w:firstColumn="1" w:lastColumn="0" w:oddVBand="0" w:evenVBand="0" w:oddHBand="0" w:evenHBand="0" w:firstRowFirstColumn="0" w:firstRowLastColumn="0" w:lastRowFirstColumn="0" w:lastRowLastColumn="0"/>
            <w:tcW w:w="1871" w:type="pct"/>
            <w:vAlign w:val="center"/>
          </w:tcPr>
          <w:p w14:paraId="76F54089" w14:textId="2357DD46"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الامتثال التنظيمي</w:t>
            </w:r>
          </w:p>
        </w:tc>
        <w:tc>
          <w:tcPr>
            <w:tcW w:w="1871" w:type="pct"/>
            <w:vAlign w:val="center"/>
          </w:tcPr>
          <w:p w14:paraId="65BED79A" w14:textId="71AC3835" w:rsidR="00595FEB" w:rsidRPr="00C95436" w:rsidRDefault="00595FEB" w:rsidP="00595FE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لوائح ساما + إطار بازل + دراسات الامتثال</w:t>
            </w:r>
          </w:p>
        </w:tc>
        <w:tc>
          <w:tcPr>
            <w:tcW w:w="1259" w:type="pct"/>
            <w:vAlign w:val="center"/>
          </w:tcPr>
          <w:p w14:paraId="07D240DD" w14:textId="7316C6E8" w:rsidR="00595FEB" w:rsidRPr="00595FEB" w:rsidRDefault="00595FEB" w:rsidP="00595FEB">
            <w:pPr>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595FEB">
              <w:rPr>
                <w:rFonts w:ascii="Sakkal Majalla" w:hAnsi="Sakkal Majalla" w:cs="Sakkal Majalla"/>
                <w:lang w:val="pt-BR"/>
              </w:rPr>
              <w:t>SAMA (2023); Basel III; Al-Malki (2022)</w:t>
            </w:r>
          </w:p>
        </w:tc>
      </w:tr>
      <w:tr w:rsidR="00595FEB" w:rsidRPr="00C95436" w14:paraId="50A829BA" w14:textId="29535438" w:rsidTr="002C1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9C5A733" w14:textId="7CD07AE0" w:rsidR="00595FEB" w:rsidRPr="00C95436" w:rsidRDefault="00595FEB" w:rsidP="00595FEB">
            <w:pPr>
              <w:bidi/>
              <w:spacing w:after="0" w:line="240" w:lineRule="auto"/>
              <w:jc w:val="center"/>
              <w:rPr>
                <w:rFonts w:ascii="Sakkal Majalla" w:hAnsi="Sakkal Majalla" w:cs="Sakkal Majalla"/>
                <w:rtl/>
              </w:rPr>
            </w:pPr>
            <w:r w:rsidRPr="00C95436">
              <w:rPr>
                <w:rFonts w:ascii="Sakkal Majalla" w:hAnsi="Sakkal Majalla" w:cs="Sakkal Majalla"/>
                <w:rtl/>
              </w:rPr>
              <w:t>تحديات التطبيق</w:t>
            </w:r>
          </w:p>
        </w:tc>
        <w:tc>
          <w:tcPr>
            <w:tcW w:w="1871" w:type="pct"/>
            <w:vAlign w:val="center"/>
          </w:tcPr>
          <w:p w14:paraId="25DE4FFD" w14:textId="4953AAA0" w:rsidR="00595FEB" w:rsidRPr="00C95436" w:rsidRDefault="00595FEB" w:rsidP="00595FE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نظرية الابتكار + UTAUT + دراسات التبني التقني</w:t>
            </w:r>
          </w:p>
        </w:tc>
        <w:tc>
          <w:tcPr>
            <w:tcW w:w="1259" w:type="pct"/>
            <w:vAlign w:val="center"/>
          </w:tcPr>
          <w:p w14:paraId="58326EDC" w14:textId="7905D7C6" w:rsidR="00595FEB" w:rsidRPr="00595FEB" w:rsidRDefault="00595FEB" w:rsidP="00595FEB">
            <w:pPr>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595FEB">
              <w:rPr>
                <w:rFonts w:ascii="Sakkal Majalla" w:hAnsi="Sakkal Majalla" w:cs="Sakkal Majalla"/>
              </w:rPr>
              <w:t>Rogers (2003); Venkatesh et al. (2021); Al-Shehri (2022)</w:t>
            </w:r>
          </w:p>
        </w:tc>
      </w:tr>
    </w:tbl>
    <w:p w14:paraId="4969B6E0"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rPr>
        <w:br w:type="page"/>
      </w:r>
    </w:p>
    <w:p w14:paraId="77998A7C"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ثانياً: فرضيات الدراسة</w:t>
      </w:r>
    </w:p>
    <w:p w14:paraId="20810C9E" w14:textId="7F3FD963" w:rsidR="006C4DA5" w:rsidRPr="00C95436" w:rsidRDefault="00A16E60" w:rsidP="00595FEB">
      <w:pPr>
        <w:pStyle w:val="HeadingTOCEntry"/>
        <w:bidi/>
        <w:spacing w:after="0" w:line="240" w:lineRule="auto"/>
        <w:ind w:left="432" w:hanging="432"/>
        <w:jc w:val="both"/>
        <w:rPr>
          <w:rFonts w:ascii="Sakkal Majalla" w:hAnsi="Sakkal Majalla" w:cs="Sakkal Majalla"/>
          <w:b/>
          <w:bCs/>
          <w:sz w:val="32"/>
          <w:szCs w:val="32"/>
          <w:u w:val="single"/>
          <w:rtl/>
        </w:rPr>
      </w:pPr>
      <w:r w:rsidRPr="00C95436">
        <w:rPr>
          <w:rFonts w:ascii="Sakkal Majalla" w:hAnsi="Sakkal Majalla" w:cs="Sakkal Majalla"/>
          <w:b/>
          <w:bCs/>
          <w:sz w:val="32"/>
          <w:szCs w:val="32"/>
          <w:u w:val="single"/>
          <w:rtl/>
        </w:rPr>
        <w:t>فرضيات الدراسة</w:t>
      </w:r>
      <w:r w:rsidR="00595FEB">
        <w:rPr>
          <w:rFonts w:ascii="Sakkal Majalla" w:hAnsi="Sakkal Majalla" w:cs="Sakkal Majalla" w:hint="cs"/>
          <w:b/>
          <w:bCs/>
          <w:sz w:val="32"/>
          <w:szCs w:val="32"/>
          <w:u w:val="single"/>
          <w:rtl/>
        </w:rPr>
        <w:t>:</w:t>
      </w:r>
    </w:p>
    <w:p w14:paraId="76BE57EB" w14:textId="77777777" w:rsidR="00595FEB" w:rsidRDefault="00595FEB" w:rsidP="00595FEB">
      <w:pPr>
        <w:pStyle w:val="HeadingTOCEntry"/>
        <w:bidi/>
        <w:spacing w:after="0" w:line="240" w:lineRule="auto"/>
        <w:jc w:val="both"/>
        <w:rPr>
          <w:rFonts w:ascii="Sakkal Majalla" w:hAnsi="Sakkal Majalla" w:cs="Sakkal Majalla"/>
          <w:b/>
          <w:bCs/>
          <w:sz w:val="28"/>
          <w:szCs w:val="28"/>
          <w:rtl/>
        </w:rPr>
      </w:pPr>
    </w:p>
    <w:p w14:paraId="3C3079D8" w14:textId="12EF05CD"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14:paraId="692B76E7"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4E39B312"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H1b: يوجد أثر ذو دلالة إحصائية لمستوى الامتثال للمعايير الدولية على الأمن السيبراني المؤسسي في المؤسسات المالية السعودية.</w:t>
      </w:r>
    </w:p>
    <w:p w14:paraId="3699F822" w14:textId="77777777"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4F1AED06"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22C5F96A"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H2b: يوجد أثر ذو دلالة إحصائية لمستوى الامتثال للمعايير الدولية على كفاءة العمليات المالية في المؤسسات المالية السعودية.</w:t>
      </w:r>
    </w:p>
    <w:p w14:paraId="35899449" w14:textId="77777777" w:rsidR="001276DC" w:rsidRPr="00C95436" w:rsidRDefault="007E0546" w:rsidP="00595FEB">
      <w:pPr>
        <w:pStyle w:val="HeadingTOCEntry"/>
        <w:bidi/>
        <w:spacing w:after="0" w:line="240" w:lineRule="auto"/>
        <w:jc w:val="both"/>
        <w:rPr>
          <w:rFonts w:ascii="Sakkal Majalla" w:hAnsi="Sakkal Majalla" w:cs="Sakkal Majalla"/>
          <w:b/>
          <w:bCs/>
          <w:sz w:val="28"/>
          <w:szCs w:val="28"/>
          <w:rtl/>
        </w:rPr>
      </w:pPr>
      <w:r w:rsidRPr="00C95436">
        <w:rPr>
          <w:rFonts w:ascii="Sakkal Majalla" w:hAnsi="Sakkal Majalla" w:cs="Sakkal Majalla"/>
          <w:b/>
          <w:bCs/>
          <w:sz w:val="28"/>
          <w:szCs w:val="28"/>
          <w:rtl/>
        </w:rPr>
        <w:t>H3: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p>
    <w:p w14:paraId="3A5CFCBA"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H3a: توجد فروق ذات دلالة إحصائية في مستوى الامتثال للمعايير الدولية تُعزى إلى مستوى تبنّي المؤسسة المالية السعودية لتقنية الترميز.</w:t>
      </w:r>
    </w:p>
    <w:p w14:paraId="6AB02BFD" w14:textId="77777777" w:rsidR="001276DC" w:rsidRPr="00595FEB" w:rsidRDefault="00E04048" w:rsidP="00595FEB">
      <w:pPr>
        <w:pStyle w:val="HeadingTOCEntry"/>
        <w:numPr>
          <w:ilvl w:val="0"/>
          <w:numId w:val="63"/>
        </w:numPr>
        <w:bidi/>
        <w:spacing w:after="0" w:line="240" w:lineRule="auto"/>
        <w:jc w:val="both"/>
        <w:rPr>
          <w:rFonts w:ascii="Sakkal Majalla" w:hAnsi="Sakkal Majalla" w:cs="Sakkal Majalla"/>
          <w:sz w:val="28"/>
          <w:szCs w:val="28"/>
          <w:rtl/>
        </w:rPr>
      </w:pPr>
      <w:r w:rsidRPr="00595FEB">
        <w:rPr>
          <w:rFonts w:ascii="Sakkal Majalla" w:hAnsi="Sakkal Majalla" w:cs="Sakkal Majalla"/>
          <w:sz w:val="28"/>
          <w:szCs w:val="28"/>
          <w:rtl/>
        </w:rPr>
        <w:t>H3b: توجد فروق ذات دلالة إحصائية في مستوى الأمن السيبراني المؤسسي تُعزى إلى مستوى تبنّي المؤسسة المالية السعودية لتقنية الترميز.</w:t>
      </w:r>
    </w:p>
    <w:p w14:paraId="3DC5FF6B" w14:textId="77777777" w:rsidR="00595FEB" w:rsidRDefault="00595FEB" w:rsidP="00595FEB">
      <w:pPr>
        <w:pStyle w:val="HeadingTOCEntry"/>
        <w:bidi/>
        <w:spacing w:after="0" w:line="240" w:lineRule="auto"/>
        <w:rPr>
          <w:rFonts w:ascii="Sakkal Majalla" w:hAnsi="Sakkal Majalla" w:cs="Sakkal Majalla"/>
          <w:b/>
          <w:bCs/>
          <w:sz w:val="28"/>
          <w:szCs w:val="28"/>
          <w:rtl/>
        </w:rPr>
      </w:pPr>
    </w:p>
    <w:p w14:paraId="4062ACAB" w14:textId="5E60AC7C" w:rsidR="001276DC" w:rsidRPr="00C95436" w:rsidRDefault="007E0546" w:rsidP="00595FEB">
      <w:pPr>
        <w:pStyle w:val="HeadingTOCEntry"/>
        <w:bidi/>
        <w:spacing w:after="0" w:line="240" w:lineRule="auto"/>
        <w:rPr>
          <w:rFonts w:ascii="Sakkal Majalla" w:hAnsi="Sakkal Majalla" w:cs="Sakkal Majalla"/>
          <w:b/>
          <w:bCs/>
          <w:sz w:val="28"/>
          <w:szCs w:val="28"/>
          <w:rtl/>
        </w:rPr>
      </w:pPr>
      <w:r w:rsidRPr="00C95436">
        <w:rPr>
          <w:rFonts w:ascii="Sakkal Majalla" w:hAnsi="Sakkal Majalla" w:cs="Sakkal Majalla"/>
          <w:b/>
          <w:bCs/>
          <w:sz w:val="28"/>
          <w:szCs w:val="28"/>
          <w:rtl/>
        </w:rPr>
        <w:t>وتُمثّل هذه الفروض الثلاثة الرئيسة وفروعها الستة النسخة المعتمدة الوحيدة للدراسة، ويلتزم نصها وترقيمها بالتطابق التام في الفصل الأول والفصل الثالث والفصل الرابع. ولم تتضمن الدراسة أي متغير وسيط أو معدِّل، ومن ثمّ لم تُجرَ أي اختبارات وساطة أو تعديل.</w:t>
      </w:r>
    </w:p>
    <w:p w14:paraId="69688699" w14:textId="77777777" w:rsidR="001276DC" w:rsidRPr="00C95436" w:rsidRDefault="001276DC" w:rsidP="00BC6B7C">
      <w:pPr>
        <w:pStyle w:val="HeadingTOCEntry"/>
        <w:bidi/>
        <w:spacing w:after="0" w:line="240" w:lineRule="auto"/>
        <w:rPr>
          <w:rFonts w:ascii="Sakkal Majalla" w:hAnsi="Sakkal Majalla" w:cs="Sakkal Majalla"/>
          <w:b/>
          <w:bCs/>
          <w:sz w:val="28"/>
          <w:szCs w:val="28"/>
          <w:rtl/>
        </w:rPr>
      </w:pPr>
    </w:p>
    <w:p w14:paraId="4A388DC5" w14:textId="77777777" w:rsidR="001276DC" w:rsidRPr="00C95436" w:rsidRDefault="001276DC" w:rsidP="00BC6B7C">
      <w:pPr>
        <w:pStyle w:val="HeadingTOCEntry"/>
        <w:bidi/>
        <w:spacing w:after="0" w:line="240" w:lineRule="auto"/>
        <w:rPr>
          <w:rFonts w:ascii="Sakkal Majalla" w:hAnsi="Sakkal Majalla" w:cs="Sakkal Majalla"/>
          <w:b/>
          <w:bCs/>
          <w:sz w:val="28"/>
          <w:szCs w:val="28"/>
          <w:rtl/>
        </w:rPr>
      </w:pPr>
    </w:p>
    <w:p w14:paraId="5862B274"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rPr>
        <w:br w:type="page"/>
      </w:r>
    </w:p>
    <w:p w14:paraId="5D64EC46"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ثالثاً: استبانة الدراسة</w:t>
      </w:r>
    </w:p>
    <w:p w14:paraId="0091064B" w14:textId="469E1D2A" w:rsidR="00B35152" w:rsidRPr="00C95436" w:rsidRDefault="00B35152" w:rsidP="00BC6B7C">
      <w:pPr>
        <w:pStyle w:val="HeadingTOCEntry"/>
        <w:bidi/>
        <w:spacing w:after="0" w:line="240" w:lineRule="auto"/>
        <w:jc w:val="center"/>
        <w:rPr>
          <w:rFonts w:ascii="Sakkal Majalla" w:hAnsi="Sakkal Majalla" w:cs="Sakkal Majalla"/>
          <w:b/>
          <w:bCs/>
          <w:sz w:val="28"/>
          <w:szCs w:val="28"/>
          <w:u w:val="single"/>
        </w:rPr>
      </w:pPr>
      <w:r w:rsidRPr="00C95436">
        <w:rPr>
          <w:rFonts w:ascii="Sakkal Majalla" w:hAnsi="Sakkal Majalla" w:cs="Sakkal Majalla"/>
          <w:b/>
          <w:bCs/>
          <w:sz w:val="32"/>
          <w:szCs w:val="32"/>
          <w:u w:val="single"/>
          <w:rtl/>
        </w:rPr>
        <w:t>ملحق (1)</w:t>
      </w:r>
    </w:p>
    <w:p w14:paraId="56AB1714" w14:textId="77777777" w:rsidR="00B35152" w:rsidRPr="00C95436" w:rsidRDefault="00B35152" w:rsidP="00595FEB">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استبانة الدراسة</w:t>
      </w:r>
    </w:p>
    <w:p w14:paraId="7CA13E11" w14:textId="77777777" w:rsidR="00B35152" w:rsidRPr="00C95436" w:rsidRDefault="00B35152" w:rsidP="00BC6B7C">
      <w:pPr>
        <w:bidi/>
        <w:spacing w:after="0" w:line="240" w:lineRule="auto"/>
        <w:jc w:val="both"/>
        <w:rPr>
          <w:rFonts w:ascii="Sakkal Majalla" w:hAnsi="Sakkal Majalla" w:cs="Sakkal Majalla"/>
          <w:sz w:val="28"/>
          <w:szCs w:val="28"/>
        </w:rPr>
      </w:pPr>
    </w:p>
    <w:p w14:paraId="50D71B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الأخ/الأخت الكريم/ة،</w:t>
      </w:r>
    </w:p>
    <w:p w14:paraId="675034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السلام عليكم ورحمة الله وبركاته،</w:t>
      </w:r>
    </w:p>
    <w:p w14:paraId="0B044C5F"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وتقبّلوا خالص الشكر والتقدير،</w:t>
      </w:r>
    </w:p>
    <w:p w14:paraId="4149771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الباحث</w:t>
      </w:r>
    </w:p>
    <w:p w14:paraId="3A6AED9F" w14:textId="77777777" w:rsidR="00B35152" w:rsidRPr="00C95436" w:rsidRDefault="00B35152" w:rsidP="00BC6B7C">
      <w:pPr>
        <w:bidi/>
        <w:spacing w:after="0" w:line="240" w:lineRule="auto"/>
        <w:jc w:val="both"/>
        <w:rPr>
          <w:rFonts w:ascii="Sakkal Majalla" w:hAnsi="Sakkal Majalla" w:cs="Sakkal Majalla"/>
          <w:sz w:val="28"/>
          <w:szCs w:val="28"/>
        </w:rPr>
      </w:pPr>
    </w:p>
    <w:p w14:paraId="332ACA0C"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القسم الأول: البيانات الديموغرافية والوظيفية</w:t>
      </w:r>
    </w:p>
    <w:p w14:paraId="0B960DAC" w14:textId="2C58262F" w:rsidR="00B35152" w:rsidRPr="00D42B86" w:rsidRDefault="00B35152" w:rsidP="00BC6B7C">
      <w:pPr>
        <w:bidi/>
        <w:spacing w:after="0" w:line="240" w:lineRule="auto"/>
        <w:rPr>
          <w:rFonts w:ascii="Sakkal Majalla" w:hAnsi="Sakkal Majalla" w:cs="Sakkal Majalla"/>
          <w:sz w:val="24"/>
          <w:szCs w:val="24"/>
        </w:rPr>
      </w:pPr>
      <w:r w:rsidRPr="00C95436">
        <w:rPr>
          <w:rFonts w:ascii="Sakkal Majalla" w:hAnsi="Sakkal Majalla" w:cs="Sakkal Majalla"/>
          <w:sz w:val="24"/>
          <w:szCs w:val="24"/>
          <w:rtl/>
        </w:rPr>
        <w:t>يرجى وضع علامة (</w:t>
      </w:r>
      <w:r w:rsidRPr="00C95436">
        <w:rPr>
          <w:rFonts w:ascii="Segoe UI Symbol" w:hAnsi="Segoe UI Symbol" w:cs="Segoe UI Symbol" w:hint="cs"/>
          <w:sz w:val="24"/>
          <w:szCs w:val="24"/>
          <w:rtl/>
        </w:rPr>
        <w:t>✓</w:t>
      </w:r>
      <w:r w:rsidRPr="00C95436">
        <w:rPr>
          <w:rFonts w:ascii="Sakkal Majalla" w:hAnsi="Sakkal Majalla" w:cs="Sakkal Majalla"/>
          <w:sz w:val="24"/>
          <w:szCs w:val="24"/>
          <w:rtl/>
        </w:rPr>
        <w:t>) في المكان المناسب:</w:t>
      </w:r>
    </w:p>
    <w:tbl>
      <w:tblPr>
        <w:tblStyle w:val="GridTable4-Accent1"/>
        <w:bidiVisual/>
        <w:tblW w:w="4995" w:type="pct"/>
        <w:tblInd w:w="5" w:type="dxa"/>
        <w:tblLook w:val="04A0" w:firstRow="1" w:lastRow="0" w:firstColumn="1" w:lastColumn="0" w:noHBand="0" w:noVBand="1"/>
      </w:tblPr>
      <w:tblGrid>
        <w:gridCol w:w="5040"/>
        <w:gridCol w:w="4686"/>
      </w:tblGrid>
      <w:tr w:rsidR="00D42B86" w:rsidRPr="00C95436" w14:paraId="5D4F1B66" w14:textId="4EAD58B8"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1CFD5EF" w14:textId="77777777" w:rsidR="00D42B86" w:rsidRPr="00C95436" w:rsidRDefault="00D42B86"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السؤال</w:t>
            </w:r>
          </w:p>
        </w:tc>
        <w:tc>
          <w:tcPr>
            <w:tcW w:w="2409" w:type="pct"/>
          </w:tcPr>
          <w:p w14:paraId="6B315B3D" w14:textId="0907DDBC" w:rsidR="00D42B86" w:rsidRPr="00C95436" w:rsidRDefault="00D42B86"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الخيارات</w:t>
            </w:r>
          </w:p>
        </w:tc>
      </w:tr>
      <w:tr w:rsidR="00D916A2" w:rsidRPr="00C95436" w14:paraId="338D1081" w14:textId="157A7179"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01A1463" w14:textId="77777777" w:rsidR="00D916A2" w:rsidRPr="00D916A2" w:rsidRDefault="00D916A2" w:rsidP="00BC6B7C">
            <w:pPr>
              <w:tabs>
                <w:tab w:val="num" w:pos="907"/>
              </w:tabs>
              <w:bidi/>
              <w:spacing w:after="0" w:line="240" w:lineRule="auto"/>
              <w:ind w:left="7"/>
              <w:rPr>
                <w:rFonts w:ascii="Sakkal Majalla" w:hAnsi="Sakkal Majalla" w:cs="Sakkal Majalla"/>
                <w:sz w:val="24"/>
                <w:szCs w:val="24"/>
              </w:rPr>
            </w:pPr>
            <w:r w:rsidRPr="00D916A2">
              <w:rPr>
                <w:rFonts w:ascii="Sakkal Majalla" w:hAnsi="Sakkal Majalla" w:cs="Sakkal Majalla"/>
                <w:rtl/>
              </w:rPr>
              <w:t>1. نوع المؤسسة التي تعمل بها</w:t>
            </w:r>
          </w:p>
        </w:tc>
        <w:tc>
          <w:tcPr>
            <w:tcW w:w="2409" w:type="pct"/>
          </w:tcPr>
          <w:p w14:paraId="155FEA14" w14:textId="21436ABC"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بنك تجاري تقليدي  </w:t>
            </w:r>
            <w:r w:rsidRPr="00D916A2">
              <w:rPr>
                <w:rFonts w:ascii="Segoe UI Symbol" w:hAnsi="Segoe UI Symbol" w:cs="Segoe UI Symbol" w:hint="cs"/>
                <w:rtl/>
              </w:rPr>
              <w:t>☐</w:t>
            </w:r>
            <w:r w:rsidRPr="00D916A2">
              <w:rPr>
                <w:rFonts w:ascii="Sakkal Majalla" w:hAnsi="Sakkal Majalla" w:cs="Sakkal Majalla"/>
                <w:rtl/>
              </w:rPr>
              <w:t xml:space="preserve"> بنك رقمي  </w:t>
            </w:r>
            <w:r w:rsidRPr="00D916A2">
              <w:rPr>
                <w:rFonts w:ascii="Segoe UI Symbol" w:hAnsi="Segoe UI Symbol" w:cs="Segoe UI Symbol" w:hint="cs"/>
                <w:rtl/>
              </w:rPr>
              <w:t>☐</w:t>
            </w:r>
            <w:r w:rsidRPr="00D916A2">
              <w:rPr>
                <w:rFonts w:ascii="Sakkal Majalla" w:hAnsi="Sakkal Majalla" w:cs="Sakkal Majalla"/>
                <w:rtl/>
              </w:rPr>
              <w:t xml:space="preserve"> شركة تقنية مالية</w:t>
            </w:r>
            <w:r w:rsidRPr="00D916A2">
              <w:rPr>
                <w:rFonts w:ascii="Sakkal Majalla" w:hAnsi="Sakkal Majalla" w:cs="Sakkal Majalla"/>
              </w:rPr>
              <w:t xml:space="preserve"> (Fintech)</w:t>
            </w:r>
          </w:p>
        </w:tc>
      </w:tr>
      <w:tr w:rsidR="00D916A2" w:rsidRPr="00C95436" w14:paraId="5CE9C010" w14:textId="4FD85473"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78F3B7B"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2. سنوات خبرتك في المجال</w:t>
            </w:r>
          </w:p>
        </w:tc>
        <w:tc>
          <w:tcPr>
            <w:tcW w:w="2409" w:type="pct"/>
          </w:tcPr>
          <w:p w14:paraId="392CA41B" w14:textId="08472150"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أقل من 3 سنوات  </w:t>
            </w:r>
            <w:r w:rsidRPr="00D916A2">
              <w:rPr>
                <w:rFonts w:ascii="Segoe UI Symbol" w:hAnsi="Segoe UI Symbol" w:cs="Segoe UI Symbol" w:hint="cs"/>
                <w:rtl/>
              </w:rPr>
              <w:t>☐</w:t>
            </w:r>
            <w:r w:rsidRPr="00D916A2">
              <w:rPr>
                <w:rFonts w:ascii="Sakkal Majalla" w:hAnsi="Sakkal Majalla" w:cs="Sakkal Majalla"/>
                <w:rtl/>
              </w:rPr>
              <w:t xml:space="preserve"> 3-6 سنوات  </w:t>
            </w:r>
            <w:r w:rsidRPr="00D916A2">
              <w:rPr>
                <w:rFonts w:ascii="Segoe UI Symbol" w:hAnsi="Segoe UI Symbol" w:cs="Segoe UI Symbol" w:hint="cs"/>
                <w:rtl/>
              </w:rPr>
              <w:t>☐</w:t>
            </w:r>
            <w:r w:rsidRPr="00D916A2">
              <w:rPr>
                <w:rFonts w:ascii="Sakkal Majalla" w:hAnsi="Sakkal Majalla" w:cs="Sakkal Majalla"/>
                <w:rtl/>
              </w:rPr>
              <w:t xml:space="preserve"> 7-10 سنوات  </w:t>
            </w:r>
            <w:r w:rsidRPr="00D916A2">
              <w:rPr>
                <w:rFonts w:ascii="Segoe UI Symbol" w:hAnsi="Segoe UI Symbol" w:cs="Segoe UI Symbol" w:hint="cs"/>
                <w:rtl/>
              </w:rPr>
              <w:t>☐</w:t>
            </w:r>
            <w:r w:rsidRPr="00D916A2">
              <w:rPr>
                <w:rFonts w:ascii="Sakkal Majalla" w:hAnsi="Sakkal Majalla" w:cs="Sakkal Majalla"/>
                <w:rtl/>
              </w:rPr>
              <w:t xml:space="preserve"> أكثر من 10 سنوات</w:t>
            </w:r>
          </w:p>
        </w:tc>
      </w:tr>
      <w:tr w:rsidR="00D916A2" w:rsidRPr="00C95436" w14:paraId="418C3855" w14:textId="1F058814"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C28BA9E"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3. المستوى الوظيفي</w:t>
            </w:r>
          </w:p>
        </w:tc>
        <w:tc>
          <w:tcPr>
            <w:tcW w:w="2409" w:type="pct"/>
          </w:tcPr>
          <w:p w14:paraId="32421DDA" w14:textId="41BC9E4B"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مدير تنفيذي/قيادي  </w:t>
            </w:r>
            <w:r w:rsidRPr="00D916A2">
              <w:rPr>
                <w:rFonts w:ascii="Segoe UI Symbol" w:hAnsi="Segoe UI Symbol" w:cs="Segoe UI Symbol" w:hint="cs"/>
                <w:rtl/>
              </w:rPr>
              <w:t>☐</w:t>
            </w:r>
            <w:r w:rsidRPr="00D916A2">
              <w:rPr>
                <w:rFonts w:ascii="Sakkal Majalla" w:hAnsi="Sakkal Majalla" w:cs="Sakkal Majalla"/>
                <w:rtl/>
              </w:rPr>
              <w:t xml:space="preserve"> مدير وسطى  </w:t>
            </w:r>
            <w:r w:rsidRPr="00D916A2">
              <w:rPr>
                <w:rFonts w:ascii="Segoe UI Symbol" w:hAnsi="Segoe UI Symbol" w:cs="Segoe UI Symbol" w:hint="cs"/>
                <w:rtl/>
              </w:rPr>
              <w:t>☐</w:t>
            </w:r>
            <w:r w:rsidRPr="00D916A2">
              <w:rPr>
                <w:rFonts w:ascii="Sakkal Majalla" w:hAnsi="Sakkal Majalla" w:cs="Sakkal Majalla"/>
                <w:rtl/>
              </w:rPr>
              <w:t xml:space="preserve"> متخصص تقني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702B39B8" w14:textId="31D531BA"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0524CF24"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4. المؤهل العلمي</w:t>
            </w:r>
          </w:p>
        </w:tc>
        <w:tc>
          <w:tcPr>
            <w:tcW w:w="2409" w:type="pct"/>
          </w:tcPr>
          <w:p w14:paraId="5AE17FA1" w14:textId="45C7A8DD"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بكالوريوس  </w:t>
            </w:r>
            <w:r w:rsidRPr="00D916A2">
              <w:rPr>
                <w:rFonts w:ascii="Segoe UI Symbol" w:hAnsi="Segoe UI Symbol" w:cs="Segoe UI Symbol" w:hint="cs"/>
                <w:rtl/>
              </w:rPr>
              <w:t>☐</w:t>
            </w:r>
            <w:r w:rsidRPr="00D916A2">
              <w:rPr>
                <w:rFonts w:ascii="Sakkal Majalla" w:hAnsi="Sakkal Majalla" w:cs="Sakkal Majalla"/>
                <w:rtl/>
              </w:rPr>
              <w:t xml:space="preserve"> ماجستير  </w:t>
            </w:r>
            <w:r w:rsidRPr="00D916A2">
              <w:rPr>
                <w:rFonts w:ascii="Segoe UI Symbol" w:hAnsi="Segoe UI Symbol" w:cs="Segoe UI Symbol" w:hint="cs"/>
                <w:rtl/>
              </w:rPr>
              <w:t>☐</w:t>
            </w:r>
            <w:r w:rsidRPr="00D916A2">
              <w:rPr>
                <w:rFonts w:ascii="Sakkal Majalla" w:hAnsi="Sakkal Majalla" w:cs="Sakkal Majalla"/>
                <w:rtl/>
              </w:rPr>
              <w:t xml:space="preserve"> دكتوراه</w:t>
            </w:r>
          </w:p>
        </w:tc>
      </w:tr>
      <w:tr w:rsidR="00D916A2" w:rsidRPr="00C95436" w14:paraId="3724151E" w14:textId="17A6195E"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E164362"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5. مجال التخصص</w:t>
            </w:r>
          </w:p>
        </w:tc>
        <w:tc>
          <w:tcPr>
            <w:tcW w:w="2409" w:type="pct"/>
          </w:tcPr>
          <w:p w14:paraId="5A27F194" w14:textId="55516974"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أمن 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عمليات مالية  </w:t>
            </w:r>
            <w:r w:rsidRPr="00D916A2">
              <w:rPr>
                <w:rFonts w:ascii="Segoe UI Symbol" w:hAnsi="Segoe UI Symbol" w:cs="Segoe UI Symbol" w:hint="cs"/>
                <w:rtl/>
              </w:rPr>
              <w:t>☐</w:t>
            </w:r>
            <w:r w:rsidRPr="00D916A2">
              <w:rPr>
                <w:rFonts w:ascii="Sakkal Majalla" w:hAnsi="Sakkal Majalla" w:cs="Sakkal Majalla"/>
                <w:rtl/>
              </w:rPr>
              <w:t xml:space="preserve"> إدارة مخاطر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1E1CADBA" w14:textId="7F2CD806"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6BF12B72" w14:textId="592A49C6" w:rsidR="00D916A2" w:rsidRPr="00C95436" w:rsidRDefault="00D916A2" w:rsidP="00BC6B7C">
            <w:pPr>
              <w:tabs>
                <w:tab w:val="num" w:pos="907"/>
              </w:tabs>
              <w:bidi/>
              <w:spacing w:after="0" w:line="240" w:lineRule="auto"/>
              <w:ind w:left="7"/>
              <w:rPr>
                <w:rFonts w:ascii="Sakkal Majalla" w:hAnsi="Sakkal Majalla" w:cs="Sakkal Majalla"/>
                <w:rtl/>
              </w:rPr>
            </w:pPr>
            <w:r w:rsidRPr="00C95436">
              <w:rPr>
                <w:rFonts w:ascii="Sakkal Majalla" w:hAnsi="Sakkal Majalla" w:cs="Sakkal Majalla"/>
                <w:rtl/>
              </w:rPr>
              <w:t>6. الإدارة أو القسم</w:t>
            </w:r>
          </w:p>
        </w:tc>
        <w:tc>
          <w:tcPr>
            <w:tcW w:w="2409" w:type="pct"/>
          </w:tcPr>
          <w:p w14:paraId="766847AD" w14:textId="60DEC92A"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الأمن السيبراني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العمليات المالية  </w:t>
            </w:r>
            <w:r w:rsidRPr="00D916A2">
              <w:rPr>
                <w:rFonts w:ascii="Segoe UI Symbol" w:hAnsi="Segoe UI Symbol" w:cs="Segoe UI Symbol" w:hint="cs"/>
                <w:rtl/>
              </w:rPr>
              <w:t>☐</w:t>
            </w:r>
            <w:r w:rsidRPr="00D916A2">
              <w:rPr>
                <w:rFonts w:ascii="Sakkal Majalla" w:hAnsi="Sakkal Majalla" w:cs="Sakkal Majalla"/>
                <w:rtl/>
              </w:rPr>
              <w:t xml:space="preserve"> إدارة المخاطر والامتثال  </w:t>
            </w:r>
            <w:r w:rsidRPr="00D916A2">
              <w:rPr>
                <w:rFonts w:ascii="Segoe UI Symbol" w:hAnsi="Segoe UI Symbol" w:cs="Segoe UI Symbol" w:hint="cs"/>
                <w:rtl/>
              </w:rPr>
              <w:t>☐</w:t>
            </w:r>
            <w:r w:rsidRPr="00D916A2">
              <w:rPr>
                <w:rFonts w:ascii="Sakkal Majalla" w:hAnsi="Sakkal Majalla" w:cs="Sakkal Majalla"/>
                <w:rtl/>
              </w:rPr>
              <w:t xml:space="preserve"> أخرى</w:t>
            </w:r>
          </w:p>
        </w:tc>
      </w:tr>
    </w:tbl>
    <w:p w14:paraId="2CD9CE81" w14:textId="1C0F6E85" w:rsidR="00B35152" w:rsidRPr="00D42B86" w:rsidRDefault="00B35152" w:rsidP="00BC6B7C">
      <w:pPr>
        <w:bidi/>
        <w:spacing w:after="0" w:line="240" w:lineRule="auto"/>
        <w:jc w:val="center"/>
        <w:rPr>
          <w:rFonts w:ascii="Sakkal Majalla" w:hAnsi="Sakkal Majalla" w:cs="Sakkal Majalla"/>
          <w:b/>
          <w:bCs/>
          <w:sz w:val="28"/>
          <w:szCs w:val="28"/>
        </w:rPr>
      </w:pPr>
      <w:r w:rsidRPr="00D42B86">
        <w:rPr>
          <w:rFonts w:ascii="Sakkal Majalla" w:hAnsi="Sakkal Majalla" w:cs="Sakkal Majalla"/>
          <w:b/>
          <w:bCs/>
          <w:sz w:val="24"/>
          <w:szCs w:val="24"/>
          <w:rtl/>
        </w:rPr>
        <w:t>البيانات الديموغرافية والوظيفية</w:t>
      </w:r>
    </w:p>
    <w:p w14:paraId="3AD3F75E" w14:textId="77777777" w:rsidR="00B35152" w:rsidRPr="00C95436" w:rsidRDefault="00B35152" w:rsidP="00BC6B7C">
      <w:pPr>
        <w:bidi/>
        <w:spacing w:after="0" w:line="240" w:lineRule="auto"/>
        <w:jc w:val="both"/>
        <w:rPr>
          <w:rFonts w:ascii="Sakkal Majalla" w:hAnsi="Sakkal Majalla" w:cs="Sakkal Majalla"/>
          <w:sz w:val="28"/>
          <w:szCs w:val="28"/>
          <w:rtl/>
        </w:rPr>
      </w:pPr>
    </w:p>
    <w:p w14:paraId="049C6432"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EBC7288" w14:textId="16B865CF"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تعريفات إجرائية للمصطلحات التقنية</w:t>
      </w:r>
    </w:p>
    <w:tbl>
      <w:tblPr>
        <w:tblStyle w:val="TableGrid1"/>
        <w:bidiVisual/>
        <w:tblW w:w="5121" w:type="pct"/>
        <w:tblLook w:val="04A0" w:firstRow="1" w:lastRow="0" w:firstColumn="1" w:lastColumn="0" w:noHBand="0" w:noVBand="1"/>
      </w:tblPr>
      <w:tblGrid>
        <w:gridCol w:w="3492"/>
        <w:gridCol w:w="6480"/>
      </w:tblGrid>
      <w:tr w:rsidR="00091C1C" w:rsidRPr="00C95436" w14:paraId="256EF3F8" w14:textId="77777777" w:rsidTr="00870675">
        <w:tc>
          <w:tcPr>
            <w:tcW w:w="1751" w:type="pct"/>
            <w:vAlign w:val="center"/>
          </w:tcPr>
          <w:p w14:paraId="1E82B73B" w14:textId="5CFC11AA"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تقنية الترميز</w:t>
            </w:r>
            <w:r w:rsidRPr="00091C1C">
              <w:rPr>
                <w:rFonts w:ascii="Sakkal Majalla" w:hAnsi="Sakkal Majalla" w:cs="Sakkal Majalla"/>
                <w:sz w:val="22"/>
                <w:szCs w:val="22"/>
              </w:rPr>
              <w:t xml:space="preserve"> (Tokenization)</w:t>
            </w:r>
          </w:p>
        </w:tc>
        <w:tc>
          <w:tcPr>
            <w:tcW w:w="3249" w:type="pct"/>
          </w:tcPr>
          <w:p w14:paraId="17BC1499" w14:textId="54752E20" w:rsidR="00091C1C" w:rsidRPr="00091C1C" w:rsidRDefault="00091C1C" w:rsidP="00091C1C">
            <w:pPr>
              <w:bidi/>
              <w:spacing w:after="0" w:line="240" w:lineRule="auto"/>
              <w:rPr>
                <w:rFonts w:ascii="Sakkal Majalla" w:hAnsi="Sakkal Majalla" w:cs="Sakkal Majalla"/>
                <w:b/>
                <w:bCs/>
                <w:sz w:val="22"/>
                <w:szCs w:val="22"/>
              </w:rPr>
            </w:pPr>
            <w:r w:rsidRPr="00091C1C">
              <w:rPr>
                <w:rFonts w:ascii="Sakkal Majalla" w:hAnsi="Sakkal Majalla" w:cs="Sakkal Majalla"/>
                <w:sz w:val="22"/>
                <w:szCs w:val="22"/>
                <w:rtl/>
              </w:rPr>
              <w:t>استبدال البيانات الحساسة برمز بديل</w:t>
            </w:r>
            <w:r w:rsidRPr="00091C1C">
              <w:rPr>
                <w:rFonts w:ascii="Sakkal Majalla" w:hAnsi="Sakkal Majalla" w:cs="Sakkal Majalla"/>
                <w:sz w:val="22"/>
                <w:szCs w:val="22"/>
              </w:rPr>
              <w:t xml:space="preserve"> (Token) </w:t>
            </w:r>
            <w:r w:rsidRPr="00091C1C">
              <w:rPr>
                <w:rFonts w:ascii="Sakkal Majalla" w:hAnsi="Sakkal Majalla" w:cs="Sakkal Majalla"/>
                <w:sz w:val="22"/>
                <w:szCs w:val="22"/>
                <w:rtl/>
              </w:rPr>
              <w:t>فريد وغير قابل للاستغلال خارج النظام الذي أُنشئ فيه</w:t>
            </w:r>
            <w:r w:rsidRPr="00091C1C">
              <w:rPr>
                <w:rFonts w:ascii="Sakkal Majalla" w:hAnsi="Sakkal Majalla" w:cs="Sakkal Majalla"/>
                <w:sz w:val="22"/>
                <w:szCs w:val="22"/>
              </w:rPr>
              <w:t>.</w:t>
            </w:r>
          </w:p>
        </w:tc>
      </w:tr>
      <w:tr w:rsidR="00091C1C" w:rsidRPr="00C95436" w14:paraId="43FAC53E" w14:textId="77777777" w:rsidTr="00870675">
        <w:tc>
          <w:tcPr>
            <w:tcW w:w="1751" w:type="pct"/>
            <w:vAlign w:val="center"/>
          </w:tcPr>
          <w:p w14:paraId="2C924863" w14:textId="74EEBBB0"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في حالة التخزين</w:t>
            </w:r>
            <w:r w:rsidRPr="00091C1C">
              <w:rPr>
                <w:rFonts w:ascii="Sakkal Majalla" w:hAnsi="Sakkal Majalla" w:cs="Sakkal Majalla"/>
                <w:sz w:val="22"/>
                <w:szCs w:val="22"/>
              </w:rPr>
              <w:t xml:space="preserve"> (Tokenization at Rest)</w:t>
            </w:r>
          </w:p>
        </w:tc>
        <w:tc>
          <w:tcPr>
            <w:tcW w:w="3249" w:type="pct"/>
          </w:tcPr>
          <w:p w14:paraId="02EFC8E6" w14:textId="374F8F9F"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 xml:space="preserve">حماية البيانات الحساسة المخزّنة في قواعد البيانات والأنظمة الداخلية باستبدالها </w:t>
            </w:r>
            <w:proofErr w:type="spellStart"/>
            <w:r w:rsidRPr="00091C1C">
              <w:rPr>
                <w:rFonts w:ascii="Sakkal Majalla" w:hAnsi="Sakkal Majalla" w:cs="Sakkal Majalla"/>
                <w:sz w:val="22"/>
                <w:szCs w:val="22"/>
                <w:rtl/>
              </w:rPr>
              <w:t>بترموز</w:t>
            </w:r>
            <w:proofErr w:type="spellEnd"/>
            <w:r w:rsidRPr="00091C1C">
              <w:rPr>
                <w:rFonts w:ascii="Sakkal Majalla" w:hAnsi="Sakkal Majalla" w:cs="Sakkal Majalla"/>
                <w:sz w:val="22"/>
                <w:szCs w:val="22"/>
              </w:rPr>
              <w:t>.</w:t>
            </w:r>
          </w:p>
        </w:tc>
      </w:tr>
      <w:tr w:rsidR="00091C1C" w:rsidRPr="00C95436" w14:paraId="13226DBF" w14:textId="77777777" w:rsidTr="00870675">
        <w:tc>
          <w:tcPr>
            <w:tcW w:w="1751" w:type="pct"/>
            <w:vAlign w:val="center"/>
          </w:tcPr>
          <w:p w14:paraId="066DC361" w14:textId="61F26E59"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أثناء النقل</w:t>
            </w:r>
            <w:r w:rsidRPr="00091C1C">
              <w:rPr>
                <w:rFonts w:ascii="Sakkal Majalla" w:hAnsi="Sakkal Majalla" w:cs="Sakkal Majalla"/>
                <w:sz w:val="22"/>
                <w:szCs w:val="22"/>
              </w:rPr>
              <w:t xml:space="preserve"> (Tokenization in Transit)</w:t>
            </w:r>
          </w:p>
        </w:tc>
        <w:tc>
          <w:tcPr>
            <w:tcW w:w="3249" w:type="pct"/>
          </w:tcPr>
          <w:p w14:paraId="3BED2147" w14:textId="4548B8F1"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حماية البيانات الحساسة أثناء انتقالها عبر الشبكات والأنظمة المختلفة</w:t>
            </w:r>
            <w:r w:rsidRPr="00091C1C">
              <w:rPr>
                <w:rFonts w:ascii="Sakkal Majalla" w:hAnsi="Sakkal Majalla" w:cs="Sakkal Majalla"/>
                <w:sz w:val="22"/>
                <w:szCs w:val="22"/>
              </w:rPr>
              <w:t>.</w:t>
            </w:r>
          </w:p>
        </w:tc>
      </w:tr>
      <w:tr w:rsidR="00091C1C" w:rsidRPr="00C95436" w14:paraId="19E84DE4" w14:textId="77777777" w:rsidTr="00870675">
        <w:tc>
          <w:tcPr>
            <w:tcW w:w="1751" w:type="pct"/>
            <w:vAlign w:val="center"/>
          </w:tcPr>
          <w:p w14:paraId="2AD900C5" w14:textId="4D813DEB"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معيار</w:t>
            </w:r>
            <w:r w:rsidRPr="00091C1C">
              <w:rPr>
                <w:rFonts w:ascii="Sakkal Majalla" w:hAnsi="Sakkal Majalla" w:cs="Sakkal Majalla"/>
                <w:sz w:val="22"/>
                <w:szCs w:val="22"/>
              </w:rPr>
              <w:t xml:space="preserve"> PCI DSS</w:t>
            </w:r>
          </w:p>
        </w:tc>
        <w:tc>
          <w:tcPr>
            <w:tcW w:w="3249" w:type="pct"/>
          </w:tcPr>
          <w:p w14:paraId="61FF4AE0" w14:textId="2126797C"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معيار أمان بيانات بطاقات الدفع الدولي الصادر عن</w:t>
            </w:r>
            <w:r w:rsidRPr="00091C1C">
              <w:rPr>
                <w:rFonts w:ascii="Sakkal Majalla" w:hAnsi="Sakkal Majalla" w:cs="Sakkal Majalla"/>
                <w:sz w:val="22"/>
                <w:szCs w:val="22"/>
              </w:rPr>
              <w:t xml:space="preserve"> PCI Security Standards Council</w:t>
            </w:r>
            <w:r w:rsidRPr="00091C1C">
              <w:rPr>
                <w:rFonts w:ascii="Sakkal Majalla" w:hAnsi="Sakkal Majalla" w:cs="Sakkal Majalla"/>
                <w:sz w:val="22"/>
                <w:szCs w:val="22"/>
                <w:rtl/>
              </w:rPr>
              <w:t>، ويُحدد متطلبات حماية بيانات حاملي البطاقات</w:t>
            </w:r>
            <w:r w:rsidRPr="00091C1C">
              <w:rPr>
                <w:rFonts w:ascii="Sakkal Majalla" w:hAnsi="Sakkal Majalla" w:cs="Sakkal Majalla"/>
                <w:sz w:val="22"/>
                <w:szCs w:val="22"/>
              </w:rPr>
              <w:t>.</w:t>
            </w:r>
          </w:p>
        </w:tc>
      </w:tr>
      <w:tr w:rsidR="00091C1C" w:rsidRPr="00C95436" w14:paraId="2A0D8781" w14:textId="77777777" w:rsidTr="00870675">
        <w:tc>
          <w:tcPr>
            <w:tcW w:w="1751" w:type="pct"/>
            <w:vAlign w:val="center"/>
          </w:tcPr>
          <w:p w14:paraId="0000E77E" w14:textId="6916B2CF"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الضوابط الأساسية للأمن السيبراني</w:t>
            </w:r>
            <w:r w:rsidRPr="00091C1C">
              <w:rPr>
                <w:rFonts w:ascii="Sakkal Majalla" w:hAnsi="Sakkal Majalla" w:cs="Sakkal Majalla"/>
                <w:sz w:val="22"/>
                <w:szCs w:val="22"/>
              </w:rPr>
              <w:t xml:space="preserve"> (ECC)</w:t>
            </w:r>
          </w:p>
        </w:tc>
        <w:tc>
          <w:tcPr>
            <w:tcW w:w="3249" w:type="pct"/>
          </w:tcPr>
          <w:p w14:paraId="3DBD8113" w14:textId="520554D7"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إطار وطني سعودي صادر عن الهيئة الوطنية للأمن السيبراني يُحدد الحد الأدنى من متطلبات الأمن السيبراني للمؤسسات</w:t>
            </w:r>
            <w:r w:rsidRPr="00091C1C">
              <w:rPr>
                <w:rFonts w:ascii="Sakkal Majalla" w:hAnsi="Sakkal Majalla" w:cs="Sakkal Majalla"/>
                <w:sz w:val="22"/>
                <w:szCs w:val="22"/>
              </w:rPr>
              <w:t>.</w:t>
            </w:r>
          </w:p>
        </w:tc>
      </w:tr>
    </w:tbl>
    <w:p w14:paraId="641419B5" w14:textId="77777777" w:rsidR="00B35152" w:rsidRPr="00C95436" w:rsidRDefault="00B35152" w:rsidP="00BC6B7C">
      <w:pPr>
        <w:bidi/>
        <w:spacing w:after="0" w:line="240" w:lineRule="auto"/>
        <w:jc w:val="both"/>
        <w:rPr>
          <w:rFonts w:ascii="Sakkal Majalla" w:hAnsi="Sakkal Majalla" w:cs="Sakkal Majalla"/>
          <w:sz w:val="28"/>
          <w:szCs w:val="28"/>
        </w:rPr>
      </w:pPr>
    </w:p>
    <w:p w14:paraId="2CBEB9B3" w14:textId="77777777" w:rsidR="00C51308" w:rsidRDefault="00C51308" w:rsidP="00BC6B7C">
      <w:pPr>
        <w:bidi/>
        <w:spacing w:after="0" w:line="240" w:lineRule="auto"/>
        <w:jc w:val="both"/>
        <w:rPr>
          <w:rFonts w:ascii="Sakkal Majalla" w:hAnsi="Sakkal Majalla" w:cs="Sakkal Majalla"/>
          <w:sz w:val="28"/>
          <w:szCs w:val="28"/>
          <w:rtl/>
        </w:rPr>
      </w:pPr>
    </w:p>
    <w:p w14:paraId="012F9899" w14:textId="77777777" w:rsidR="00091C1C" w:rsidRPr="00C95436" w:rsidRDefault="00091C1C" w:rsidP="00091C1C">
      <w:pPr>
        <w:bidi/>
        <w:spacing w:after="0" w:line="240" w:lineRule="auto"/>
        <w:jc w:val="both"/>
        <w:rPr>
          <w:rFonts w:ascii="Sakkal Majalla" w:hAnsi="Sakkal Majalla" w:cs="Sakkal Majalla"/>
          <w:sz w:val="28"/>
          <w:szCs w:val="28"/>
          <w:rtl/>
        </w:rPr>
      </w:pPr>
    </w:p>
    <w:p w14:paraId="722B1748" w14:textId="2F500AE5"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القسم الثاني: متغيرات الدراسة الرئيسية</w:t>
      </w:r>
    </w:p>
    <w:p w14:paraId="7A291FE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يرجى تحديد درجة موافقتك على كل عبارة وفق مقياس ليكرت الخماسي:</w:t>
      </w:r>
    </w:p>
    <w:tbl>
      <w:tblPr>
        <w:tblStyle w:val="TableGrid"/>
        <w:bidiVisual/>
        <w:tblW w:w="5000" w:type="pct"/>
        <w:tblLook w:val="04A0" w:firstRow="1" w:lastRow="0" w:firstColumn="1" w:lastColumn="0" w:noHBand="0" w:noVBand="1"/>
      </w:tblPr>
      <w:tblGrid>
        <w:gridCol w:w="1948"/>
        <w:gridCol w:w="1947"/>
        <w:gridCol w:w="1947"/>
        <w:gridCol w:w="1947"/>
        <w:gridCol w:w="1947"/>
      </w:tblGrid>
      <w:tr w:rsidR="00B35152" w:rsidRPr="00C95436" w14:paraId="3F810023" w14:textId="77777777" w:rsidTr="00D916A2">
        <w:tc>
          <w:tcPr>
            <w:tcW w:w="1000" w:type="pct"/>
            <w:vAlign w:val="center"/>
          </w:tcPr>
          <w:p w14:paraId="16B935B0"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بشدة (5)</w:t>
            </w:r>
          </w:p>
        </w:tc>
        <w:tc>
          <w:tcPr>
            <w:tcW w:w="1000" w:type="pct"/>
            <w:vAlign w:val="center"/>
          </w:tcPr>
          <w:p w14:paraId="5A4D5BE8"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(4)</w:t>
            </w:r>
          </w:p>
        </w:tc>
        <w:tc>
          <w:tcPr>
            <w:tcW w:w="1000" w:type="pct"/>
            <w:vAlign w:val="center"/>
          </w:tcPr>
          <w:p w14:paraId="64CBAB3F"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محايد (3)</w:t>
            </w:r>
          </w:p>
        </w:tc>
        <w:tc>
          <w:tcPr>
            <w:tcW w:w="1000" w:type="pct"/>
            <w:vAlign w:val="center"/>
          </w:tcPr>
          <w:p w14:paraId="7475732A"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(2)</w:t>
            </w:r>
          </w:p>
        </w:tc>
        <w:tc>
          <w:tcPr>
            <w:tcW w:w="1000" w:type="pct"/>
            <w:vAlign w:val="center"/>
          </w:tcPr>
          <w:p w14:paraId="58D005F2"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بشدة (1)</w:t>
            </w:r>
          </w:p>
        </w:tc>
      </w:tr>
    </w:tbl>
    <w:p w14:paraId="52EF15C8"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مقياس ليكرت الخماسي المستخدم</w:t>
      </w:r>
    </w:p>
    <w:p w14:paraId="3923760B" w14:textId="77777777" w:rsidR="00B35152" w:rsidRPr="00C95436" w:rsidRDefault="00B35152" w:rsidP="00BC6B7C">
      <w:pPr>
        <w:bidi/>
        <w:spacing w:after="0" w:line="240" w:lineRule="auto"/>
        <w:jc w:val="both"/>
        <w:rPr>
          <w:rFonts w:ascii="Sakkal Majalla" w:hAnsi="Sakkal Majalla" w:cs="Sakkal Majalla"/>
          <w:sz w:val="28"/>
          <w:szCs w:val="28"/>
        </w:rPr>
      </w:pPr>
    </w:p>
    <w:p w14:paraId="20745C6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أولاً: تطبيق تقنية الترميز الأمني للبيانات (المتغير المستقل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0EB98CB9"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BE95BF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27A4CEE"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8E6086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BDD04E8"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0911E637" w14:textId="77777777" w:rsidR="00B35152" w:rsidRPr="00C95436" w:rsidRDefault="00B35152" w:rsidP="00BC6B7C">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B670B27"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8D376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9294E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68185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A7AD66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807075"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تستخدم مؤسستنا تقنية الترميز لحماية بيانات الدفع والمعاملات المالية الحساسة.</w:t>
            </w:r>
          </w:p>
        </w:tc>
      </w:tr>
      <w:tr w:rsidR="00B35152" w:rsidRPr="00C95436" w14:paraId="2CCDD561"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F8D367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76F43E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28DCCF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4FDE35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079437"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التخزين (Tokenization at Rest).</w:t>
            </w:r>
          </w:p>
        </w:tc>
      </w:tr>
      <w:tr w:rsidR="00B35152" w:rsidRPr="00C95436" w14:paraId="44929765"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EC69C2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61A55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110C94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069E8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04FBA26B"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النقل (Tokenization in Transit).</w:t>
            </w:r>
          </w:p>
        </w:tc>
      </w:tr>
      <w:tr w:rsidR="00B35152" w:rsidRPr="00C95436" w14:paraId="2CFDD8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2D183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0716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EAA3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E902A2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AE68F8"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تغطي تقنية الترميز أنواعاً متعددة من البيانات الحساسة (بطاقات الدفع، الهوية، الحسابات).</w:t>
            </w:r>
          </w:p>
        </w:tc>
      </w:tr>
      <w:tr w:rsidR="00B35152" w:rsidRPr="00C95436" w14:paraId="4BC08DFC"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92F9C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286915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824BD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4A32D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31A1C67"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يتسق تطبيق تقنية الترميز في مؤسستنا مع متطلبات معيار PCI DSS.</w:t>
            </w:r>
          </w:p>
        </w:tc>
      </w:tr>
      <w:tr w:rsidR="00B35152" w:rsidRPr="00C95436" w14:paraId="6535B278"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387B7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896E2B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83878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3F4119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55411A4"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تُحدَّث منظومة الترميز بصفة منتظمة لمواكبة التطورات التقنية والتهديدات المستحدثة.</w:t>
            </w:r>
          </w:p>
        </w:tc>
      </w:tr>
    </w:tbl>
    <w:p w14:paraId="580C8307"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تطبيق تقنية الترميز</w:t>
      </w:r>
    </w:p>
    <w:p w14:paraId="1DBE68C8"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ثالثاً: الأمن السيبراني المؤسسي (المتغير التابع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10328CDA"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555942E7"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5C68682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C7101B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065B263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71D4EA6F"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15CC6CFF"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5E0904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30C543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0729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CC67EB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F792E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حماية البيانات من الاختراقات وتقليص مخاطرها.</w:t>
            </w:r>
          </w:p>
        </w:tc>
      </w:tr>
      <w:tr w:rsidR="00B35152" w:rsidRPr="00C95436" w14:paraId="67F43C7A"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BB0B3D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4F11DE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115AB25"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537E0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917FA90"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الحماية من الاحتيال المالي الإلكتروني.</w:t>
            </w:r>
          </w:p>
        </w:tc>
      </w:tr>
      <w:tr w:rsidR="00B35152" w:rsidRPr="00C95436" w14:paraId="35456060"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C9671D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9A9A6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023267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F872EB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2017347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الترميز في تحقيق متطلبات الضوابط الأساسية للأمن السيبراني (ECC).</w:t>
            </w:r>
          </w:p>
        </w:tc>
      </w:tr>
      <w:tr w:rsidR="00B35152" w:rsidRPr="00C95436" w14:paraId="30B99D43"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753AC6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0A968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13DBD7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99705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176AC38"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تعزيز الحماية من المخاطر المرتبطة بالتهديدات الداخلية (Insider Threats).</w:t>
            </w:r>
          </w:p>
        </w:tc>
      </w:tr>
      <w:tr w:rsidR="00B35152" w:rsidRPr="00C95436" w14:paraId="1A7E37F2"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401C4F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2EEA84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8B97BA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EC8F4A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E5DAB3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تسريع الاستجابة للحوادث السيبرانية وتحسين الأثر المُحتوَى.</w:t>
            </w:r>
          </w:p>
        </w:tc>
      </w:tr>
      <w:tr w:rsidR="00B35152" w:rsidRPr="00C95436" w14:paraId="6D8BCB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83A95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93E4AE"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6B88CD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FF5B8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F676B49"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حماية البيانات من الاختراقات وتقليص مخاطرها.</w:t>
            </w:r>
          </w:p>
        </w:tc>
      </w:tr>
      <w:tr w:rsidR="00B35152" w:rsidRPr="00C95436" w14:paraId="510F7DF3"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998F03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B43909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A0FF1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A3A41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0DAB2F0"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تعزيز الحماية من الاحتيال المالي الإلكتروني.</w:t>
            </w:r>
          </w:p>
        </w:tc>
      </w:tr>
    </w:tbl>
    <w:p w14:paraId="5A5FA82B"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الأمن السيبراني</w:t>
      </w:r>
    </w:p>
    <w:p w14:paraId="3EFD52A5"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رابعاً: كفاءة العمليات المالية (المتغير التابع الثاني)</w:t>
      </w:r>
    </w:p>
    <w:tbl>
      <w:tblPr>
        <w:tblStyle w:val="GridTable4-Accent1"/>
        <w:tblW w:w="5000" w:type="pct"/>
        <w:tblLook w:val="04A0" w:firstRow="1" w:lastRow="0" w:firstColumn="1" w:lastColumn="0" w:noHBand="0" w:noVBand="1"/>
      </w:tblPr>
      <w:tblGrid>
        <w:gridCol w:w="613"/>
        <w:gridCol w:w="629"/>
        <w:gridCol w:w="629"/>
        <w:gridCol w:w="629"/>
        <w:gridCol w:w="629"/>
        <w:gridCol w:w="6607"/>
      </w:tblGrid>
      <w:tr w:rsidR="00B35152" w:rsidRPr="00C95436" w14:paraId="53BEF4F2"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akkal Majalla" w:hAnsi="Sakkal Majalla" w:cs="Sakkal Majalla"/>
                <w:b w:val="0"/>
                <w:bCs w:val="0"/>
                <w:rtl/>
              </w:rPr>
              <w:t>5</w:t>
            </w:r>
          </w:p>
        </w:tc>
        <w:tc>
          <w:tcPr>
            <w:tcW w:w="323" w:type="pct"/>
            <w:vAlign w:val="center"/>
          </w:tcPr>
          <w:p w14:paraId="34602FD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4</w:t>
            </w:r>
          </w:p>
        </w:tc>
        <w:tc>
          <w:tcPr>
            <w:tcW w:w="323" w:type="pct"/>
            <w:vAlign w:val="center"/>
          </w:tcPr>
          <w:p w14:paraId="691801F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3</w:t>
            </w:r>
          </w:p>
        </w:tc>
        <w:tc>
          <w:tcPr>
            <w:tcW w:w="323" w:type="pct"/>
            <w:vAlign w:val="center"/>
          </w:tcPr>
          <w:p w14:paraId="590FC5F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2</w:t>
            </w:r>
          </w:p>
        </w:tc>
        <w:tc>
          <w:tcPr>
            <w:tcW w:w="323" w:type="pct"/>
            <w:vAlign w:val="center"/>
          </w:tcPr>
          <w:p w14:paraId="4D2B0DF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1</w:t>
            </w:r>
          </w:p>
        </w:tc>
        <w:tc>
          <w:tcPr>
            <w:tcW w:w="3393" w:type="pct"/>
            <w:vAlign w:val="center"/>
          </w:tcPr>
          <w:p w14:paraId="07C2B5A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2C7AE92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1012BB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39B970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A10FD0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8C80CD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4DA0CA3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تطبيق تقنية الترميز في تسريع معالجة المعاملات المالية وتحسين إنتاجية العمليات.</w:t>
            </w:r>
          </w:p>
        </w:tc>
      </w:tr>
      <w:tr w:rsidR="00B35152" w:rsidRPr="00C95436" w14:paraId="0015EB9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856E6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8CD3A0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4377E7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FFBCBA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59C1EFB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خفض التكاليف التشغيلية المرتبطة بإدارة أمن البيانات.</w:t>
            </w:r>
          </w:p>
        </w:tc>
      </w:tr>
      <w:tr w:rsidR="00B35152" w:rsidRPr="00C95436" w14:paraId="41D60B16"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7245A6F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22BC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098F2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68979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2FA27CF"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تقليل معدلات الأخطاء وتحسين الدقة في معالجة المعاملات المالية الرقمية.</w:t>
            </w:r>
          </w:p>
        </w:tc>
      </w:tr>
      <w:tr w:rsidR="00B35152" w:rsidRPr="00C95436" w14:paraId="07738B27"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39B9B3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39DA0A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1284E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24640F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6C36A56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رفع كفاءة تنفيذ المعاملات من حيث السرعة والدقة والإنتاجية التشغيلية.</w:t>
            </w:r>
          </w:p>
        </w:tc>
      </w:tr>
      <w:tr w:rsidR="00B35152" w:rsidRPr="00C95436" w14:paraId="50C4E893"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F9019F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264098F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738B76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E0164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0C355F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تحقيق تكامل أكثر سلاسة مع الأنظمة المالية الخارجية والشركاء التجاريين.</w:t>
            </w:r>
          </w:p>
        </w:tc>
      </w:tr>
      <w:tr w:rsidR="00B35152" w:rsidRPr="00C95436" w14:paraId="441C70B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6299F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5E3415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A4EEC0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0C22D6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74538B8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تقليص الوقت اللازم للامتثال التنظيمي والتدقيق الداخلي.</w:t>
            </w:r>
          </w:p>
        </w:tc>
      </w:tr>
    </w:tbl>
    <w:p w14:paraId="121DF395"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كفاءة العمليات المالية</w:t>
      </w:r>
    </w:p>
    <w:p w14:paraId="237EDD08" w14:textId="77777777" w:rsidR="00C51308" w:rsidRPr="00C95436" w:rsidRDefault="00C51308" w:rsidP="00BC6B7C">
      <w:pPr>
        <w:bidi/>
        <w:spacing w:after="0" w:line="240" w:lineRule="auto"/>
        <w:jc w:val="both"/>
        <w:rPr>
          <w:rFonts w:ascii="Sakkal Majalla" w:hAnsi="Sakkal Majalla" w:cs="Sakkal Majalla"/>
          <w:sz w:val="28"/>
          <w:szCs w:val="28"/>
        </w:rPr>
      </w:pPr>
    </w:p>
    <w:p w14:paraId="4B4893B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ثانياً: الامتثال للمعايير الدولية (المتغير المستقل الثاني)</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3F91019A"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7EFF0D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AF796B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575CC05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C4AD03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tcPr>
          <w:p w14:paraId="7D22EAA7" w14:textId="77777777" w:rsidR="00B35152" w:rsidRPr="00C95436" w:rsidRDefault="00B35152" w:rsidP="00BC6B7C">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CBCAFF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2F9C75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360101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554B5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395B4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96F452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استيفاء متطلبات الأطر التنظيمية لحماية البيانات الصادرة عن ساما.</w:t>
            </w:r>
          </w:p>
        </w:tc>
      </w:tr>
      <w:tr w:rsidR="00B35152" w:rsidRPr="00C95436" w14:paraId="407CAB92"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0A5F31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96B710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9DBF1D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5D876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0C47FB34"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يُيسِّر الترميز الحصول على الموافقات التنظيمية لإطلاق خدمات مالية جديدة.</w:t>
            </w:r>
          </w:p>
        </w:tc>
      </w:tr>
      <w:tr w:rsidR="00B35152" w:rsidRPr="00C95436" w14:paraId="3F7B7BB9"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3F244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D60899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B8A799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67375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4C332A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يُخفِّف الترميز من المسؤوليات القانونية المترتبة على إدارة البيانات الحساسة.</w:t>
            </w:r>
          </w:p>
        </w:tc>
      </w:tr>
      <w:tr w:rsidR="00B35152" w:rsidRPr="00C95436" w14:paraId="0058A2D0"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6CAC7B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5D62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5995F6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7ED0F2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C6A981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يُسهم الترميز في تحقيق متطلبات المعايير الدولية ذات الصلة (PCI DSS, ISO 27001).</w:t>
            </w:r>
          </w:p>
        </w:tc>
      </w:tr>
      <w:tr w:rsidR="00B35152" w:rsidRPr="00C95436" w14:paraId="1C8521BD"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2A80B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3BB8D0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D1EAAB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8953B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5DE774"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يُقلِّل الترميز من مستوى مخاطر التدقيق والغرامات التنظيمية المحتملة.</w:t>
            </w:r>
          </w:p>
        </w:tc>
      </w:tr>
    </w:tbl>
    <w:p w14:paraId="5D2B829A" w14:textId="27AB69A2" w:rsidR="00B35152" w:rsidRPr="00C95436" w:rsidRDefault="00B35152" w:rsidP="00091C1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الامتثال للمعايير الدولية</w:t>
      </w:r>
    </w:p>
    <w:p w14:paraId="693E284F"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خامساً: تحديات تطبيق تقنية الترميز (بيانات وصفية تكميلية خارج نطاق الفروض)</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50904260"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7AE513EC"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413A3BF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721A8C7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7F8B1A4D"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167CE600"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3FCB76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C1FE5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347956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3BF1B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B54DE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407A6EE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تُمثِّل التكلفة العالية للبنية التحتية التقنية تحدياً رئيسياً أمام تطبيق الترميز في مؤسستنا.</w:t>
            </w:r>
          </w:p>
        </w:tc>
      </w:tr>
      <w:tr w:rsidR="00B35152" w:rsidRPr="00C95436" w14:paraId="16772CB7"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61B2A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3362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6453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E3936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19B1B6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غياب الكوادر البشرية المتخصصة في تقنية الترميز عائقاً أمام التطبيق الفعّال.</w:t>
            </w:r>
          </w:p>
        </w:tc>
      </w:tr>
      <w:tr w:rsidR="00B35152" w:rsidRPr="00C95436" w14:paraId="1AB7738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2943ED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3BCC6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1D160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E40F7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1B33510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تُعيق صعوبات التكامل مع الأنظمة القائمة عملية تطبيق تقنية الترميز.</w:t>
            </w:r>
          </w:p>
        </w:tc>
      </w:tr>
      <w:tr w:rsidR="00B35152" w:rsidRPr="00C95436" w14:paraId="34D3EC4A"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85F6D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F94EA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4B0D2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4432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F49FF4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تُقيِّد بعض متطلبات الجهات التنظيمية مرونة تطبيق تقنية الترميز في بعض الأحيان.</w:t>
            </w:r>
          </w:p>
        </w:tc>
      </w:tr>
      <w:tr w:rsidR="00B35152" w:rsidRPr="00C95436" w14:paraId="71D716F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12708E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18CF5E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7C1BDE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E9E8A2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326C818"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نقص الوعي الداخلي بأهمية الترميز عائقاً أمام توسيع نطاق التطبيق.</w:t>
            </w:r>
          </w:p>
        </w:tc>
      </w:tr>
      <w:tr w:rsidR="00B35152" w:rsidRPr="00C95436" w14:paraId="44BC360C"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D11F8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5B42E6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C64F8A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8A464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259E4B5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تُعوق صعوبة قياس العائد على الاستثمار (ROI) لتقنية الترميز قرارات التبني المؤسسي.</w:t>
            </w:r>
          </w:p>
        </w:tc>
      </w:tr>
    </w:tbl>
    <w:p w14:paraId="0372391D"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تحديات تطبيق تقنية الترميز</w:t>
      </w:r>
    </w:p>
    <w:p w14:paraId="5005BD57" w14:textId="77777777" w:rsidR="00B35152" w:rsidRPr="00C95436" w:rsidRDefault="00B35152" w:rsidP="00BC6B7C">
      <w:pPr>
        <w:bidi/>
        <w:spacing w:after="0" w:line="240" w:lineRule="auto"/>
        <w:jc w:val="both"/>
        <w:rPr>
          <w:rFonts w:ascii="Sakkal Majalla" w:hAnsi="Sakkal Majalla" w:cs="Sakkal Majalla"/>
          <w:sz w:val="28"/>
          <w:szCs w:val="28"/>
        </w:rPr>
      </w:pPr>
    </w:p>
    <w:p w14:paraId="073D881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القسم الثالث: أسئلة مفتوحة</w:t>
      </w:r>
    </w:p>
    <w:p w14:paraId="5E9B0A96" w14:textId="77777777" w:rsidR="00B35152" w:rsidRPr="00C95436" w:rsidRDefault="00B35152" w:rsidP="00BC6B7C">
      <w:pPr>
        <w:pStyle w:val="ListParagraph"/>
        <w:numPr>
          <w:ilvl w:val="0"/>
          <w:numId w:val="60"/>
        </w:numPr>
        <w:bidi/>
        <w:spacing w:after="0" w:line="240" w:lineRule="auto"/>
        <w:ind w:left="386"/>
        <w:jc w:val="both"/>
        <w:rPr>
          <w:rFonts w:ascii="Sakkal Majalla" w:hAnsi="Sakkal Majalla" w:cs="Sakkal Majalla"/>
          <w:sz w:val="28"/>
          <w:szCs w:val="28"/>
          <w:rtl/>
        </w:rPr>
      </w:pPr>
      <w:r w:rsidRPr="00C95436">
        <w:rPr>
          <w:rFonts w:ascii="Sakkal Majalla" w:hAnsi="Sakkal Majalla" w:cs="Sakkal Majalla"/>
          <w:sz w:val="24"/>
          <w:szCs w:val="24"/>
          <w:rtl/>
        </w:rPr>
        <w:t>ما أبرز الفوائد العملية التي حقّقتها مؤسستكم من تطبيق تقنية الترميز؟</w:t>
      </w:r>
    </w:p>
    <w:p w14:paraId="7CF1FEB8" w14:textId="77777777" w:rsidR="00B35152" w:rsidRPr="00C95436" w:rsidRDefault="00B35152" w:rsidP="00BC6B7C">
      <w:pPr>
        <w:bidi/>
        <w:spacing w:after="0" w:line="240" w:lineRule="auto"/>
        <w:jc w:val="both"/>
        <w:rPr>
          <w:rFonts w:ascii="Sakkal Majalla" w:hAnsi="Sakkal Majalla" w:cs="Sakkal Majalla"/>
          <w:sz w:val="28"/>
          <w:szCs w:val="28"/>
          <w:rtl/>
        </w:rPr>
      </w:pPr>
    </w:p>
    <w:p w14:paraId="43E50A84" w14:textId="1EB82E48" w:rsidR="00B35152" w:rsidRPr="00C95436" w:rsidRDefault="00B35152" w:rsidP="00091C1C">
      <w:pPr>
        <w:bidi/>
        <w:spacing w:after="0" w:line="240" w:lineRule="auto"/>
        <w:jc w:val="both"/>
        <w:rPr>
          <w:rFonts w:ascii="Sakkal Majalla" w:hAnsi="Sakkal Majalla" w:cs="Sakkal Majalla"/>
          <w:sz w:val="28"/>
          <w:szCs w:val="28"/>
          <w:rtl/>
          <w:lang w:bidi="ar-EG"/>
        </w:rPr>
      </w:pPr>
      <w:r w:rsidRPr="00C95436">
        <w:rPr>
          <w:rFonts w:ascii="Sakkal Majalla" w:hAnsi="Sakkal Majalla" w:cs="Sakkal Majalla"/>
          <w:sz w:val="24"/>
          <w:szCs w:val="24"/>
          <w:rtl/>
        </w:rPr>
        <w:t>..........................................................................................................................................................................................</w:t>
      </w:r>
    </w:p>
    <w:p w14:paraId="44D149C9" w14:textId="77777777" w:rsidR="00B35152" w:rsidRPr="00C95436" w:rsidRDefault="00B35152" w:rsidP="00BC6B7C">
      <w:pPr>
        <w:bidi/>
        <w:spacing w:after="0" w:line="240" w:lineRule="auto"/>
        <w:jc w:val="both"/>
        <w:rPr>
          <w:rFonts w:ascii="Sakkal Majalla" w:hAnsi="Sakkal Majalla" w:cs="Sakkal Majalla"/>
          <w:sz w:val="28"/>
          <w:szCs w:val="28"/>
          <w:rtl/>
          <w:lang w:bidi="ar-EG"/>
        </w:rPr>
      </w:pPr>
    </w:p>
    <w:p w14:paraId="2C088A13" w14:textId="77777777" w:rsidR="00B35152" w:rsidRPr="00C95436" w:rsidRDefault="00B35152" w:rsidP="00BC6B7C">
      <w:pPr>
        <w:pStyle w:val="ListParagraph"/>
        <w:numPr>
          <w:ilvl w:val="0"/>
          <w:numId w:val="60"/>
        </w:numPr>
        <w:bidi/>
        <w:spacing w:after="0" w:line="240" w:lineRule="auto"/>
        <w:ind w:left="386"/>
        <w:jc w:val="both"/>
        <w:rPr>
          <w:rFonts w:ascii="Sakkal Majalla" w:hAnsi="Sakkal Majalla" w:cs="Sakkal Majalla"/>
          <w:sz w:val="28"/>
          <w:szCs w:val="28"/>
        </w:rPr>
      </w:pPr>
      <w:r w:rsidRPr="00C95436">
        <w:rPr>
          <w:rFonts w:ascii="Sakkal Majalla" w:hAnsi="Sakkal Majalla" w:cs="Sakkal Majalla"/>
          <w:sz w:val="24"/>
          <w:szCs w:val="24"/>
          <w:rtl/>
        </w:rPr>
        <w:t>ما التوصيات التي تقترحها لتعزيز تطبيق تقنية الترميز في القطاع المالي السعودي؟</w:t>
      </w:r>
    </w:p>
    <w:p w14:paraId="5EA5BD83"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A96A1F2" w14:textId="32346E8C" w:rsidR="00B35152" w:rsidRPr="00C95436" w:rsidRDefault="00B35152" w:rsidP="00091C1C">
      <w:pPr>
        <w:bidi/>
        <w:spacing w:after="0" w:line="240" w:lineRule="auto"/>
        <w:jc w:val="both"/>
        <w:rPr>
          <w:rFonts w:ascii="Sakkal Majalla" w:hAnsi="Sakkal Majalla" w:cs="Sakkal Majalla"/>
          <w:sz w:val="28"/>
          <w:szCs w:val="28"/>
          <w:rtl/>
          <w:lang w:bidi="ar-EG"/>
        </w:rPr>
      </w:pPr>
      <w:r w:rsidRPr="00C95436">
        <w:rPr>
          <w:rFonts w:ascii="Sakkal Majalla" w:hAnsi="Sakkal Majalla" w:cs="Sakkal Majalla"/>
          <w:sz w:val="24"/>
          <w:szCs w:val="24"/>
          <w:rtl/>
        </w:rPr>
        <w:t>..........................................................................................................................................................................................</w:t>
      </w:r>
    </w:p>
    <w:p w14:paraId="435EAEFD" w14:textId="388D48BD" w:rsidR="00D329C2" w:rsidRPr="00C95436" w:rsidRDefault="00D329C2" w:rsidP="00C95436">
      <w:pPr>
        <w:bidi/>
        <w:spacing w:after="0" w:line="360" w:lineRule="auto"/>
        <w:rPr>
          <w:rFonts w:ascii="Sakkal Majalla" w:eastAsiaTheme="majorEastAsia" w:hAnsi="Sakkal Majalla" w:cs="Sakkal Majalla"/>
          <w:b/>
          <w:bCs/>
          <w:sz w:val="28"/>
          <w:szCs w:val="28"/>
          <w:rtl/>
        </w:rPr>
      </w:pPr>
    </w:p>
    <w:sectPr w:rsidR="00D329C2" w:rsidRPr="00C95436" w:rsidSect="00287E43">
      <w:pgSz w:w="11906" w:h="16838"/>
      <w:pgMar w:top="1440" w:right="1080" w:bottom="1440" w:left="108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03C12" w14:textId="77777777" w:rsidR="002B5AD3" w:rsidRDefault="002B5AD3" w:rsidP="00F628F0">
      <w:pPr>
        <w:spacing w:after="0" w:line="240" w:lineRule="auto"/>
      </w:pPr>
      <w:r>
        <w:separator/>
      </w:r>
    </w:p>
  </w:endnote>
  <w:endnote w:type="continuationSeparator" w:id="0">
    <w:p w14:paraId="5F54BEBC" w14:textId="77777777" w:rsidR="002B5AD3" w:rsidRDefault="002B5AD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CB21A" w14:textId="77777777" w:rsidR="002B5AD3" w:rsidRDefault="002B5AD3" w:rsidP="00F628F0">
      <w:pPr>
        <w:spacing w:after="0" w:line="240" w:lineRule="auto"/>
      </w:pPr>
      <w:r>
        <w:separator/>
      </w:r>
    </w:p>
  </w:footnote>
  <w:footnote w:type="continuationSeparator" w:id="0">
    <w:p w14:paraId="5F5933CF" w14:textId="77777777" w:rsidR="002B5AD3" w:rsidRDefault="002B5AD3"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187111"/>
    <w:multiLevelType w:val="hybridMultilevel"/>
    <w:tmpl w:val="CAC45E26"/>
    <w:lvl w:ilvl="0" w:tplc="0409000F">
      <w:start w:val="1"/>
      <w:numFmt w:val="decimal"/>
      <w:lvlText w:val="%1."/>
      <w:lvlJc w:val="left"/>
      <w:pPr>
        <w:ind w:left="727" w:hanging="360"/>
      </w:pPr>
    </w:lvl>
    <w:lvl w:ilvl="1" w:tplc="04090019" w:tentative="1">
      <w:start w:val="1"/>
      <w:numFmt w:val="lowerLetter"/>
      <w:lvlText w:val="%2."/>
      <w:lvlJc w:val="left"/>
      <w:pPr>
        <w:ind w:left="1447" w:hanging="360"/>
      </w:pPr>
    </w:lvl>
    <w:lvl w:ilvl="2" w:tplc="0409001B" w:tentative="1">
      <w:start w:val="1"/>
      <w:numFmt w:val="lowerRoman"/>
      <w:lvlText w:val="%3."/>
      <w:lvlJc w:val="right"/>
      <w:pPr>
        <w:ind w:left="2167" w:hanging="180"/>
      </w:pPr>
    </w:lvl>
    <w:lvl w:ilvl="3" w:tplc="0409000F" w:tentative="1">
      <w:start w:val="1"/>
      <w:numFmt w:val="decimal"/>
      <w:lvlText w:val="%4."/>
      <w:lvlJc w:val="left"/>
      <w:pPr>
        <w:ind w:left="2887" w:hanging="360"/>
      </w:pPr>
    </w:lvl>
    <w:lvl w:ilvl="4" w:tplc="04090019" w:tentative="1">
      <w:start w:val="1"/>
      <w:numFmt w:val="lowerLetter"/>
      <w:lvlText w:val="%5."/>
      <w:lvlJc w:val="left"/>
      <w:pPr>
        <w:ind w:left="3607" w:hanging="360"/>
      </w:pPr>
    </w:lvl>
    <w:lvl w:ilvl="5" w:tplc="0409001B" w:tentative="1">
      <w:start w:val="1"/>
      <w:numFmt w:val="lowerRoman"/>
      <w:lvlText w:val="%6."/>
      <w:lvlJc w:val="right"/>
      <w:pPr>
        <w:ind w:left="4327" w:hanging="180"/>
      </w:pPr>
    </w:lvl>
    <w:lvl w:ilvl="6" w:tplc="0409000F" w:tentative="1">
      <w:start w:val="1"/>
      <w:numFmt w:val="decimal"/>
      <w:lvlText w:val="%7."/>
      <w:lvlJc w:val="left"/>
      <w:pPr>
        <w:ind w:left="5047" w:hanging="360"/>
      </w:pPr>
    </w:lvl>
    <w:lvl w:ilvl="7" w:tplc="04090019" w:tentative="1">
      <w:start w:val="1"/>
      <w:numFmt w:val="lowerLetter"/>
      <w:lvlText w:val="%8."/>
      <w:lvlJc w:val="left"/>
      <w:pPr>
        <w:ind w:left="5767" w:hanging="360"/>
      </w:pPr>
    </w:lvl>
    <w:lvl w:ilvl="8" w:tplc="0409001B" w:tentative="1">
      <w:start w:val="1"/>
      <w:numFmt w:val="lowerRoman"/>
      <w:lvlText w:val="%9."/>
      <w:lvlJc w:val="right"/>
      <w:pPr>
        <w:ind w:left="6487" w:hanging="180"/>
      </w:pPr>
    </w:lvl>
  </w:abstractNum>
  <w:abstractNum w:abstractNumId="57"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7"/>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8"/>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9"/>
  </w:num>
  <w:num w:numId="63" w16cid:durableId="963078233">
    <w:abstractNumId w:val="52"/>
  </w:num>
  <w:num w:numId="64" w16cid:durableId="1027101170">
    <w:abstractNumId w:val="5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1C1C"/>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5F9A"/>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6A10"/>
    <w:rsid w:val="00207C95"/>
    <w:rsid w:val="00213075"/>
    <w:rsid w:val="002151A4"/>
    <w:rsid w:val="00215B39"/>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87E43"/>
    <w:rsid w:val="00290F88"/>
    <w:rsid w:val="002A113E"/>
    <w:rsid w:val="002A1374"/>
    <w:rsid w:val="002B3331"/>
    <w:rsid w:val="002B5AD3"/>
    <w:rsid w:val="002B6766"/>
    <w:rsid w:val="002C1D57"/>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262BC"/>
    <w:rsid w:val="003306B7"/>
    <w:rsid w:val="00330F56"/>
    <w:rsid w:val="00333FF1"/>
    <w:rsid w:val="00334002"/>
    <w:rsid w:val="00336E1B"/>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5FEB"/>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06DD"/>
    <w:rsid w:val="008529D2"/>
    <w:rsid w:val="00854846"/>
    <w:rsid w:val="00854E14"/>
    <w:rsid w:val="00857CBA"/>
    <w:rsid w:val="00861080"/>
    <w:rsid w:val="00861188"/>
    <w:rsid w:val="00862094"/>
    <w:rsid w:val="0086333D"/>
    <w:rsid w:val="00864B2B"/>
    <w:rsid w:val="00870DE8"/>
    <w:rsid w:val="0087261A"/>
    <w:rsid w:val="0087354F"/>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308C"/>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0FFB"/>
    <w:rsid w:val="009C2244"/>
    <w:rsid w:val="009C3C7B"/>
    <w:rsid w:val="009C3CB8"/>
    <w:rsid w:val="009C72E1"/>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2675C"/>
    <w:rsid w:val="00B32E4E"/>
    <w:rsid w:val="00B348C7"/>
    <w:rsid w:val="00B35152"/>
    <w:rsid w:val="00B43F32"/>
    <w:rsid w:val="00B44197"/>
    <w:rsid w:val="00B4456F"/>
    <w:rsid w:val="00B5019C"/>
    <w:rsid w:val="00B52AE0"/>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6B7C"/>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95436"/>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2B86"/>
    <w:rsid w:val="00D43F87"/>
    <w:rsid w:val="00D46A37"/>
    <w:rsid w:val="00D4735D"/>
    <w:rsid w:val="00D47F4C"/>
    <w:rsid w:val="00D51A70"/>
    <w:rsid w:val="00D53FE2"/>
    <w:rsid w:val="00D5405D"/>
    <w:rsid w:val="00D5434C"/>
    <w:rsid w:val="00D56961"/>
    <w:rsid w:val="00D57A0E"/>
    <w:rsid w:val="00D64F3E"/>
    <w:rsid w:val="00D659C8"/>
    <w:rsid w:val="00D66C20"/>
    <w:rsid w:val="00D66F8C"/>
    <w:rsid w:val="00D70797"/>
    <w:rsid w:val="00D7258E"/>
    <w:rsid w:val="00D734FB"/>
    <w:rsid w:val="00D73F64"/>
    <w:rsid w:val="00D9144F"/>
    <w:rsid w:val="00D916A2"/>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3B7"/>
    <w:rsid w:val="00F1554E"/>
    <w:rsid w:val="00F16CC0"/>
    <w:rsid w:val="00F16EE5"/>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6F5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 w:type="character" w:styleId="CommentReference">
    <w:name w:val="annotation reference"/>
    <w:basedOn w:val="DefaultParagraphFont"/>
    <w:uiPriority w:val="99"/>
    <w:semiHidden/>
    <w:unhideWhenUsed/>
    <w:rsid w:val="00BF5EEF"/>
    <w:rPr>
      <w:sz w:val="16"/>
      <w:szCs w:val="16"/>
    </w:rPr>
  </w:style>
  <w:style w:type="paragraph" w:styleId="CommentText">
    <w:name w:val="annotation text"/>
    <w:basedOn w:val="Normal"/>
    <w:link w:val="CommentTextChar"/>
    <w:uiPriority w:val="99"/>
    <w:semiHidden/>
    <w:unhideWhenUsed/>
    <w:rsid w:val="00BF5EEF"/>
    <w:pPr>
      <w:spacing w:line="240" w:lineRule="auto"/>
    </w:pPr>
    <w:rPr>
      <w:sz w:val="20"/>
      <w:szCs w:val="20"/>
    </w:rPr>
  </w:style>
  <w:style w:type="character" w:customStyle="1" w:styleId="CommentTextChar">
    <w:name w:val="Comment Text Char"/>
    <w:basedOn w:val="DefaultParagraphFont"/>
    <w:link w:val="CommentText"/>
    <w:uiPriority w:val="99"/>
    <w:semiHidden/>
    <w:rsid w:val="00BF5EEF"/>
    <w:rPr>
      <w:sz w:val="20"/>
      <w:szCs w:val="20"/>
    </w:rPr>
  </w:style>
  <w:style w:type="paragraph" w:styleId="CommentSubject">
    <w:name w:val="annotation subject"/>
    <w:basedOn w:val="CommentText"/>
    <w:next w:val="CommentText"/>
    <w:link w:val="CommentSubjectChar"/>
    <w:uiPriority w:val="99"/>
    <w:semiHidden/>
    <w:unhideWhenUsed/>
    <w:rsid w:val="00BF5EEF"/>
    <w:rPr>
      <w:b/>
      <w:bCs/>
    </w:rPr>
  </w:style>
  <w:style w:type="character" w:customStyle="1" w:styleId="CommentSubjectChar">
    <w:name w:val="Comment Subject Char"/>
    <w:basedOn w:val="CommentTextChar"/>
    <w:link w:val="CommentSubject"/>
    <w:uiPriority w:val="99"/>
    <w:semiHidden/>
    <w:rsid w:val="00BF5EEF"/>
    <w:rPr>
      <w:b/>
      <w:bCs/>
      <w:sz w:val="20"/>
      <w:szCs w:val="20"/>
    </w:rPr>
  </w:style>
  <w:style w:type="paragraph" w:styleId="Revision">
    <w:name w:val="Revision"/>
    <w:hidden/>
    <w:uiPriority w:val="99"/>
    <w:semiHidden/>
    <w:rsid w:val="00883CF3"/>
    <w:pPr>
      <w:spacing w:after="0" w:line="240" w:lineRule="auto"/>
    </w:pPr>
  </w:style>
  <w:style w:type="paragraph" w:customStyle="1" w:styleId="HeadingTOCEntry">
    <w:name w:val="Heading TOC Entry"/>
    <w:basedOn w:val="Normal"/>
    <w:qFormat/>
  </w:style>
  <w:style w:type="paragraph" w:customStyle="1" w:styleId="TableCaption">
    <w:name w:val="Table Caption"/>
    <w:basedOn w:val="Normal"/>
    <w:qFormat/>
  </w:style>
  <w:style w:type="paragraph" w:customStyle="1" w:styleId="FigureCaption">
    <w:name w:val="Figure Caption"/>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3.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4.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1476</Words>
  <Characters>8418</Characters>
  <Application>Microsoft Office Word</Application>
  <DocSecurity>0</DocSecurity>
  <Lines>70</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2</cp:revision>
  <cp:lastPrinted>2025-12-29T16:09:00Z</cp:lastPrinted>
  <dcterms:created xsi:type="dcterms:W3CDTF">2026-08-24T16:24:00Z</dcterms:created>
  <dcterms:modified xsi:type="dcterms:W3CDTF">2026-08-24T16:24:00Z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