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A1CC33A" w:rsidR="00EA22ED" w:rsidRDefault="007011A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C7A7444" w:rsidR="00EA22ED" w:rsidRDefault="007011A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0CB39A2" w:rsidR="00EA22ED" w:rsidRDefault="007011A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6EC907" w:rsidR="00EA22ED" w:rsidRDefault="007011A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822EED4" w:rsidR="00EA22ED" w:rsidRDefault="007011A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311A53" w:rsidR="00EA22ED" w:rsidRDefault="007011A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9CBBDCB" w:rsidR="00EA22ED" w:rsidRDefault="007011A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83CCDD7" w:rsidR="00EA22ED" w:rsidRDefault="007011A8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B87DC6D" w:rsidR="00EA22ED" w:rsidRDefault="007011A8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6202BED" w:rsidR="00EA22ED" w:rsidRDefault="007011A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B41CCE9" w:rsidR="00EA22ED" w:rsidRDefault="007011A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65EC7C2" w:rsidR="00EA22ED" w:rsidRDefault="007011A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D223166" w:rsidR="00EA22ED" w:rsidRDefault="007011A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3CDDA50" w:rsidR="00EA22ED" w:rsidRDefault="007011A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2245D82A" w:rsidR="00EA22ED" w:rsidRDefault="007011A8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 للمراجع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011A8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