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377" w:rsidRDefault="00157377" w:rsidP="00157377">
      <w:pPr>
        <w:spacing w:after="160" w:line="240" w:lineRule="auto"/>
        <w:jc w:val="center"/>
        <w:rPr>
          <w:rFonts w:ascii="Simplified Arabic" w:eastAsia="Calibri" w:hAnsi="Simplified Arabic" w:cs="Simplified Arabic" w:hint="cs"/>
          <w:sz w:val="40"/>
          <w:szCs w:val="40"/>
          <w:rtl/>
        </w:rPr>
      </w:pPr>
    </w:p>
    <w:p w:rsidR="00157377" w:rsidRDefault="00157377" w:rsidP="00157377">
      <w:pPr>
        <w:spacing w:after="160" w:line="240" w:lineRule="auto"/>
        <w:jc w:val="center"/>
        <w:rPr>
          <w:rFonts w:ascii="Simplified Arabic" w:eastAsia="Calibri" w:hAnsi="Simplified Arabic" w:cs="Simplified Arabic" w:hint="cs"/>
          <w:sz w:val="40"/>
          <w:szCs w:val="40"/>
          <w:rtl/>
        </w:rPr>
      </w:pPr>
    </w:p>
    <w:p w:rsidR="00157377" w:rsidRDefault="00157377" w:rsidP="00157377">
      <w:pPr>
        <w:spacing w:after="160" w:line="240" w:lineRule="auto"/>
        <w:jc w:val="center"/>
        <w:rPr>
          <w:rFonts w:ascii="Simplified Arabic" w:eastAsia="Calibri" w:hAnsi="Simplified Arabic" w:cs="Simplified Arabic" w:hint="cs"/>
          <w:sz w:val="40"/>
          <w:szCs w:val="40"/>
          <w:rtl/>
        </w:rPr>
      </w:pPr>
    </w:p>
    <w:p w:rsidR="00157377" w:rsidRDefault="00157377" w:rsidP="00157377">
      <w:pPr>
        <w:spacing w:after="160" w:line="240" w:lineRule="auto"/>
        <w:jc w:val="center"/>
        <w:rPr>
          <w:rFonts w:ascii="Simplified Arabic" w:eastAsia="Calibri" w:hAnsi="Simplified Arabic" w:cs="Simplified Arabic" w:hint="cs"/>
          <w:sz w:val="40"/>
          <w:szCs w:val="40"/>
          <w:rtl/>
        </w:rPr>
      </w:pPr>
    </w:p>
    <w:p w:rsidR="00157377" w:rsidRDefault="00157377" w:rsidP="00157377">
      <w:pPr>
        <w:spacing w:after="160" w:line="240" w:lineRule="auto"/>
        <w:jc w:val="center"/>
        <w:rPr>
          <w:rFonts w:ascii="Simplified Arabic" w:eastAsia="Calibri" w:hAnsi="Simplified Arabic" w:cs="Simplified Arabic" w:hint="cs"/>
          <w:sz w:val="40"/>
          <w:szCs w:val="40"/>
          <w:rtl/>
        </w:rPr>
      </w:pPr>
    </w:p>
    <w:p w:rsidR="00157377" w:rsidRPr="00157377" w:rsidRDefault="00157377" w:rsidP="00157377">
      <w:pPr>
        <w:spacing w:after="160" w:line="240" w:lineRule="auto"/>
        <w:jc w:val="center"/>
        <w:rPr>
          <w:rFonts w:ascii="Simplified Arabic" w:eastAsia="Calibri" w:hAnsi="Simplified Arabic" w:cs="Simplified Arabic"/>
          <w:kern w:val="2"/>
          <w:sz w:val="40"/>
          <w:szCs w:val="40"/>
          <w:rtl/>
          <w14:ligatures w14:val="standardContextual"/>
        </w:rPr>
      </w:pPr>
      <w:r w:rsidRPr="00157377">
        <w:rPr>
          <w:rFonts w:ascii="Simplified Arabic" w:eastAsia="Calibri" w:hAnsi="Simplified Arabic" w:cs="Simplified Arabic"/>
          <w:sz w:val="40"/>
          <w:szCs w:val="40"/>
          <w:rtl/>
        </w:rPr>
        <w:t>الفصل الأول</w:t>
      </w:r>
    </w:p>
    <w:p w:rsidR="00157377" w:rsidRPr="00157377" w:rsidRDefault="00157377" w:rsidP="00157377">
      <w:pPr>
        <w:jc w:val="center"/>
        <w:rPr>
          <w:rFonts w:ascii="Simplified Arabic" w:eastAsia="Calibri" w:hAnsi="Simplified Arabic" w:cs="Simplified Arabic"/>
          <w:sz w:val="40"/>
          <w:szCs w:val="40"/>
          <w:rtl/>
        </w:rPr>
      </w:pPr>
      <w:r w:rsidRPr="00157377">
        <w:rPr>
          <w:rFonts w:ascii="Simplified Arabic" w:eastAsia="Calibri" w:hAnsi="Simplified Arabic" w:cs="Simplified Arabic"/>
          <w:sz w:val="40"/>
          <w:szCs w:val="40"/>
          <w:rtl/>
        </w:rPr>
        <w:t>الاطار العام للبحث</w:t>
      </w:r>
    </w:p>
    <w:p w:rsidR="00157377" w:rsidRPr="00157377" w:rsidRDefault="00157377" w:rsidP="00157377">
      <w:pPr>
        <w:spacing w:after="160"/>
        <w:jc w:val="both"/>
        <w:rPr>
          <w:rFonts w:ascii="Simplified Arabic" w:eastAsia="Calibri" w:hAnsi="Simplified Arabic" w:cs="Simplified Arabic"/>
          <w:sz w:val="28"/>
          <w:szCs w:val="28"/>
          <w:rtl/>
        </w:rPr>
      </w:pPr>
    </w:p>
    <w:p w:rsidR="00157377" w:rsidRPr="00157377" w:rsidRDefault="00157377" w:rsidP="00157377">
      <w:pPr>
        <w:spacing w:after="160"/>
        <w:jc w:val="both"/>
        <w:rPr>
          <w:rFonts w:ascii="Simplified Arabic" w:eastAsia="Calibri" w:hAnsi="Simplified Arabic" w:cs="Simplified Arabic"/>
          <w:sz w:val="28"/>
          <w:szCs w:val="28"/>
          <w:rtl/>
        </w:rPr>
      </w:pPr>
    </w:p>
    <w:p w:rsidR="00157377" w:rsidRPr="00157377" w:rsidRDefault="00157377" w:rsidP="00157377">
      <w:pPr>
        <w:spacing w:after="160"/>
        <w:jc w:val="both"/>
        <w:rPr>
          <w:rFonts w:ascii="Simplified Arabic" w:eastAsia="Calibri" w:hAnsi="Simplified Arabic" w:cs="Simplified Arabic"/>
          <w:sz w:val="28"/>
          <w:szCs w:val="28"/>
          <w:rt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Default="00157377" w:rsidP="00157377">
      <w:pPr>
        <w:spacing w:after="160"/>
        <w:jc w:val="both"/>
        <w:rPr>
          <w:rFonts w:ascii="Simplified Arabic" w:eastAsia="Calibri" w:hAnsi="Simplified Arabic" w:cs="Simplified Arabic" w:hint="cs"/>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kern w:val="2"/>
          <w:sz w:val="28"/>
          <w:szCs w:val="28"/>
          <w:u w:val="single"/>
          <w:rtl/>
          <w:lang w:bidi="ar-EG"/>
          <w14:ligatures w14:val="standardContextual"/>
        </w:rPr>
      </w:pPr>
      <w:r w:rsidRPr="00157377">
        <w:rPr>
          <w:rFonts w:ascii="Simplified Arabic" w:eastAsia="Calibri" w:hAnsi="Simplified Arabic" w:cs="Simplified Arabic" w:hint="cs"/>
          <w:b/>
          <w:bCs/>
          <w:kern w:val="2"/>
          <w:sz w:val="28"/>
          <w:szCs w:val="28"/>
          <w:u w:val="single"/>
          <w:rtl/>
          <w14:ligatures w14:val="standardContextual"/>
        </w:rPr>
        <w:lastRenderedPageBreak/>
        <w:t>ال</w:t>
      </w:r>
      <w:r w:rsidRPr="00157377">
        <w:rPr>
          <w:rFonts w:ascii="Simplified Arabic" w:eastAsia="Calibri" w:hAnsi="Simplified Arabic" w:cs="Simplified Arabic"/>
          <w:b/>
          <w:bCs/>
          <w:kern w:val="2"/>
          <w:sz w:val="28"/>
          <w:szCs w:val="28"/>
          <w:u w:val="single"/>
          <w:rtl/>
          <w14:ligatures w14:val="standardContextual"/>
        </w:rPr>
        <w:t>مقدمة</w:t>
      </w:r>
      <w:r w:rsidRPr="00157377">
        <w:rPr>
          <w:rFonts w:ascii="Simplified Arabic" w:eastAsia="Calibri" w:hAnsi="Simplified Arabic" w:cs="Simplified Arabic"/>
          <w:kern w:val="2"/>
          <w:sz w:val="28"/>
          <w:szCs w:val="28"/>
          <w:u w:val="single"/>
          <w:rtl/>
          <w:lang w:bidi="ar-EG"/>
          <w14:ligatures w14:val="standardContextual"/>
        </w:rPr>
        <w:t>:</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kern w:val="2"/>
          <w:sz w:val="28"/>
          <w:szCs w:val="28"/>
          <w:rtl/>
          <w:lang w:bidi="ar-EG"/>
          <w14:ligatures w14:val="standardContextual"/>
        </w:rPr>
        <w:t xml:space="preserve">     شهدت العقود الأخيرة، وتحديدًا منذ الثمانينيات والتسعينيات من القرن الماضي، نموًا متسارعًا في عدد الجمعيات الخيرية والأهلية على مستوى العالم، مدفوعة بتنوع برامجها وتوسع نطاق خدماتها. وقد أدركت الدول أن تحقيق التنمية الشاملة لم يعد ممكنًا بالاعتماد الحصري على القطاعين الحكومي والتجاري، خاصة مع تراجع مفهوم الدولة الشمولية التي تتولى كافة الأدوار التنموية. ويُعد النموذج الأمريكي مثالًا بارزًا على هذا التحول، حيث بلغ عدد المنظمات والجمعيات الخيرية في الولايات المتحدة عام 2006م نحو مليون وستمائة منظمة، بمعدل نمو سنوي يُقدر بـ 6٪، وفقًا لتقارير مركز دراسات العمل الخيري. ( السلمي 2010 , ص 76) </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kern w:val="2"/>
          <w:sz w:val="28"/>
          <w:szCs w:val="28"/>
          <w:rtl/>
          <w:lang w:bidi="ar-EG"/>
          <w14:ligatures w14:val="standardContextual"/>
        </w:rPr>
        <w:t xml:space="preserve">     أما في السياق العربي، فإن قطاع الجمعيات الخيرية يشهد تطورًا تدريجيًا، وإن كان بوتيرة أبطأ، ويعاني من ضعف في الشراكة التنموية الفاعلة. وتشير التقارير إلى أن هذا القطاع لم يرتقِ بعد إلى مستوى القطاعات المؤسسية المستقلة، نتيجة لتحديات متعددة تشمل الفقر، والمرض، والأمية، والأنظمة الإدارية غير المرنة، إضافة إلى الأزمات والطوارئ المتكررة التي تمر بها المنطقة العربية والإسلامية. كما تكشف الدراسات عن فجوة واضحة بين الخطاب الرسمي العربي والواقع الفعلي، إلى جانب ضعف الثقة بين مؤسسات المجتمع المدني والدولة. ( السلمي 2010 , ص 76)</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kern w:val="2"/>
          <w:sz w:val="28"/>
          <w:szCs w:val="28"/>
          <w:rtl/>
          <w:lang w:bidi="ar-EG"/>
          <w14:ligatures w14:val="standardContextual"/>
        </w:rPr>
        <w:t xml:space="preserve">     ورغم هذه التحديات، فإن المبادرات الشعبية والأهلية تسعى جاهدة إلى تعزيز دورها التنموي من خلال طرح نماذج شراكة فاعلة، وتنظيم المؤتمرات المحلية والإقليمية. وتُظهر الرؤى المستقبلية إمكانات واعدة لنمو هذا القطاع، ليكون ركيزة أساسية في منظومة التنمية المستدامة، خاصة إذا ما تم تعزيز كفاءته التشغيلية والحد من المخاطر التي تعترض طريقه.</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kern w:val="2"/>
          <w:sz w:val="28"/>
          <w:szCs w:val="28"/>
          <w:rtl/>
          <w:lang w:bidi="ar-EG"/>
          <w14:ligatures w14:val="standardContextual"/>
        </w:rPr>
        <w:t>( السلمي 2010 , ص 76)</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kern w:val="2"/>
          <w:sz w:val="28"/>
          <w:szCs w:val="28"/>
          <w:rtl/>
          <w:lang w:bidi="ar-EG"/>
          <w14:ligatures w14:val="standardContextual"/>
        </w:rPr>
        <w:t xml:space="preserve">     وتشهد المملكة العربية السعودية في المرحلة الحالية تحولات متسارعة ومترابطة على مستويات متعددة تشمل الجانب الاقتصادي والاجتماعي والسياسي، وهي تحولات لم تكن نمطية أو سطحية، بل عمّقت من ديناميكية المشهد الوطني بشكل عام، وكان لها انعكاسات مباشرة وملموسة على قطاعات متعددة من بينها القطاع الثالث، الذي يضم الجمعيات الخيرية والمؤسسات غير الربحية الفاعلة في المجتمع.  ( السليم , 2024 , ص 96) </w:t>
      </w:r>
    </w:p>
    <w:p w:rsidR="00157377" w:rsidRDefault="00157377" w:rsidP="00157377">
      <w:pPr>
        <w:spacing w:after="160"/>
        <w:jc w:val="both"/>
        <w:rPr>
          <w:rFonts w:ascii="Simplified Arabic" w:eastAsia="Calibri" w:hAnsi="Simplified Arabic" w:cs="Simplified Arabic" w:hint="cs"/>
          <w:kern w:val="2"/>
          <w:sz w:val="28"/>
          <w:szCs w:val="28"/>
          <w:rtl/>
          <w:lang w:bidi="ar-EG"/>
          <w14:ligatures w14:val="standardContextual"/>
        </w:rPr>
      </w:pP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kern w:val="2"/>
          <w:sz w:val="28"/>
          <w:szCs w:val="28"/>
          <w:rtl/>
          <w:lang w:bidi="ar-EG"/>
          <w14:ligatures w14:val="standardContextual"/>
        </w:rPr>
        <w:lastRenderedPageBreak/>
        <w:t xml:space="preserve">      وقد أدّت هذه التغيرات إلى نشوء بيئة تشغيلية تتسم بقدر كبير من التعقيد والتحديات، فصارت هذه البيئة مليئة بالفرص والمخاطر في آنٍ واحد، وهو ما شكّل ضغطًا على الجمعيات الخيرية من أجل التكيّف والتعامل مع المتغيرات بطريقة منهجية وفعالة، تضمن الاستقرار المؤسسي أولًا، واستمرار تقديم الخدمات المجتمعية بكفاءة وجودة ثانيًا.</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kern w:val="2"/>
          <w:sz w:val="28"/>
          <w:szCs w:val="28"/>
          <w:rtl/>
          <w:lang w:bidi="ar-EG"/>
          <w14:ligatures w14:val="standardContextual"/>
        </w:rPr>
        <w:t>( السليم , 2024 , ص 96)</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kern w:val="2"/>
          <w:sz w:val="28"/>
          <w:szCs w:val="28"/>
          <w:rtl/>
          <w:lang w:bidi="ar-EG"/>
          <w14:ligatures w14:val="standardContextual"/>
        </w:rPr>
        <w:t xml:space="preserve">      تُعد الجمعيات الخيرية أحد </w:t>
      </w:r>
      <w:proofErr w:type="spellStart"/>
      <w:r w:rsidRPr="00157377">
        <w:rPr>
          <w:rFonts w:ascii="Simplified Arabic" w:eastAsia="Calibri" w:hAnsi="Simplified Arabic" w:cs="Simplified Arabic"/>
          <w:kern w:val="2"/>
          <w:sz w:val="28"/>
          <w:szCs w:val="28"/>
          <w:rtl/>
          <w:lang w:bidi="ar-EG"/>
          <w14:ligatures w14:val="standardContextual"/>
        </w:rPr>
        <w:t>الأنساق</w:t>
      </w:r>
      <w:proofErr w:type="spellEnd"/>
      <w:r w:rsidRPr="00157377">
        <w:rPr>
          <w:rFonts w:ascii="Simplified Arabic" w:eastAsia="Calibri" w:hAnsi="Simplified Arabic" w:cs="Simplified Arabic"/>
          <w:kern w:val="2"/>
          <w:sz w:val="28"/>
          <w:szCs w:val="28"/>
          <w:rtl/>
          <w:lang w:bidi="ar-EG"/>
          <w14:ligatures w14:val="standardContextual"/>
        </w:rPr>
        <w:t xml:space="preserve"> الفرعية ضمن منظومة الرعاية الاجتماعية في المجتمعات المعاصرة، حيث تسهم في دعم جهود المؤسسات الحكومية وتكمل دورها في تقديم الخدمات الاجتماعية. وتحظى هذه الجمعيات بتأييد رسمي ومشاركة شعبية متزايدة، مما يعكس أهميتها في البناء المجتمعي. وقد أصبحت محل اهتمام الباحثين في العلوم الاجتماعية، سعيًا لتطوير أدائها وتعزيز فاعليتها الإنسانية. وتُعرف هذه الجمعيات بمسميات متعددة، منها: الجمعيات الأهلية، مؤسسات الرعاية الاجتماعية، المنظمات غير الربحية، أو المنظمات غير الحكومية. (عبد ربه ,2014, ص 24 ) </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kern w:val="2"/>
          <w:sz w:val="28"/>
          <w:szCs w:val="28"/>
          <w:rtl/>
          <w:lang w:bidi="ar-EG"/>
          <w14:ligatures w14:val="standardContextual"/>
        </w:rPr>
        <w:t xml:space="preserve">      إلا أنه لا يخلو من التعقيدات، فالواقع العملي يشير إلى أن هذه الجمعيات تواجه منظومة من المخاطر التشغيلية التي تؤثر بشكل مباشر وغير مباشر على أدائها المؤسسي، وهي مخاطر متعددة الأبعاد، تتوزع على مكونات داخلية وخارجية، حيث تشمل الهياكل الإدارية، وأساليب التنظيم، ونظم التمويل، والموارد البشرية، إضافة إلى المستجدات التشريعية والمتطلبات الرقابية التي تفرضها الجهات الرسمية، والتي قد تتغير بوتيرة سريعة مما يؤثر على قدرة الجمعيات في ضبط آليات العمل وتحديثها باستمرار. (عبد ربه ,2014, ص 24 )</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kern w:val="2"/>
          <w:sz w:val="28"/>
          <w:szCs w:val="28"/>
          <w:rtl/>
          <w:lang w:bidi="ar-EG"/>
          <w14:ligatures w14:val="standardContextual"/>
        </w:rPr>
        <w:t xml:space="preserve">      وتري الباحثة في هذا الإطار تبرز الجمعيات الخيرية في المنطقة الشرقية من المملكة كنموذج واقعي غني يستحق الدراسة والتحليل، نظرًا لخصوصية هذه المنطقة التي تشهد نشاطًا خيريًا متنوعًا وواسع النطاق، يقابله تحديات تشغيلية متزايدة تفرض على تلك الجمعيات أساليب متطورة في التعامل مع الأزمات والمواقف غير المتوقعة. وتتجلّى هذه المخاطر في مختلف أوجه العمل المؤسسي، بدءًا من البنية التنظيمية، مرورًا بكفاءة الأداء الداخلي، ووصولًا إلى التفاعل مع البيئة المحيطة. كما تشمل هذه التحديات قدرة الجمعية على التكيف مع المتغيرات الخارجية السريعة، وضبط مسارات العمل، وتحقيق توازن دقيق ومستمر بين الأهداف الاستراتيجية والموارد المتاحة التي غالبًا ما تكون محدودة. وللتعامل مع هذا الواقع، أصبحت الحاجة ملحة لدى الجمعيات إلى تبني سياسات واضحة وشاملة لإدارة المخاطر، بحيث تتضمن إجراءات دقيقة لتشخيص أنواع المخاطر المحتملة، ( </w:t>
      </w:r>
      <w:proofErr w:type="spellStart"/>
      <w:r w:rsidRPr="00157377">
        <w:rPr>
          <w:rFonts w:ascii="Simplified Arabic" w:eastAsia="Calibri" w:hAnsi="Simplified Arabic" w:cs="Simplified Arabic"/>
          <w:kern w:val="2"/>
          <w:sz w:val="28"/>
          <w:szCs w:val="28"/>
          <w:rtl/>
          <w:lang w:bidi="ar-EG"/>
          <w14:ligatures w14:val="standardContextual"/>
        </w:rPr>
        <w:t>العويوي</w:t>
      </w:r>
      <w:proofErr w:type="spellEnd"/>
      <w:r w:rsidRPr="00157377">
        <w:rPr>
          <w:rFonts w:ascii="Simplified Arabic" w:eastAsia="Calibri" w:hAnsi="Simplified Arabic" w:cs="Simplified Arabic"/>
          <w:kern w:val="2"/>
          <w:sz w:val="28"/>
          <w:szCs w:val="28"/>
          <w:rtl/>
          <w:lang w:bidi="ar-EG"/>
          <w14:ligatures w14:val="standardContextual"/>
        </w:rPr>
        <w:t xml:space="preserve"> , 2017 , ص 82)</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kern w:val="2"/>
          <w:sz w:val="28"/>
          <w:szCs w:val="28"/>
          <w:rtl/>
          <w:lang w:bidi="ar-EG"/>
          <w14:ligatures w14:val="standardContextual"/>
        </w:rPr>
        <w:lastRenderedPageBreak/>
        <w:t xml:space="preserve">ووضع خطط وقائية واستباقية، وتصميم أنظمة رقابية فعالة تضمن الرصد والاستجابة السريعة، إلى جانب التوثيق الكامل للأدوار والمسؤوليات داخل الجمعية فيما يخص إدارة الأزمات والمخاطر. ( </w:t>
      </w:r>
      <w:proofErr w:type="spellStart"/>
      <w:r w:rsidRPr="00157377">
        <w:rPr>
          <w:rFonts w:ascii="Simplified Arabic" w:eastAsia="Calibri" w:hAnsi="Simplified Arabic" w:cs="Simplified Arabic"/>
          <w:kern w:val="2"/>
          <w:sz w:val="28"/>
          <w:szCs w:val="28"/>
          <w:rtl/>
          <w:lang w:bidi="ar-EG"/>
          <w14:ligatures w14:val="standardContextual"/>
        </w:rPr>
        <w:t>العويوي</w:t>
      </w:r>
      <w:proofErr w:type="spellEnd"/>
      <w:r w:rsidRPr="00157377">
        <w:rPr>
          <w:rFonts w:ascii="Simplified Arabic" w:eastAsia="Calibri" w:hAnsi="Simplified Arabic" w:cs="Simplified Arabic"/>
          <w:kern w:val="2"/>
          <w:sz w:val="28"/>
          <w:szCs w:val="28"/>
          <w:rtl/>
          <w:lang w:bidi="ar-EG"/>
          <w14:ligatures w14:val="standardContextual"/>
        </w:rPr>
        <w:t xml:space="preserve"> , 2017 , ص 82)</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kern w:val="2"/>
          <w:sz w:val="28"/>
          <w:szCs w:val="28"/>
          <w:rtl/>
          <w:lang w:bidi="ar-EG"/>
          <w14:ligatures w14:val="standardContextual"/>
        </w:rPr>
        <w:t xml:space="preserve">      ومن المهم أيضًا أن تكون هذه السياسات منسجمة مع مبادئ </w:t>
      </w:r>
      <w:proofErr w:type="spellStart"/>
      <w:r w:rsidRPr="00157377">
        <w:rPr>
          <w:rFonts w:ascii="Simplified Arabic" w:eastAsia="Calibri" w:hAnsi="Simplified Arabic" w:cs="Simplified Arabic"/>
          <w:kern w:val="2"/>
          <w:sz w:val="28"/>
          <w:szCs w:val="28"/>
          <w:rtl/>
          <w:lang w:bidi="ar-EG"/>
          <w14:ligatures w14:val="standardContextual"/>
        </w:rPr>
        <w:t>الحوكمة</w:t>
      </w:r>
      <w:proofErr w:type="spellEnd"/>
      <w:r w:rsidRPr="00157377">
        <w:rPr>
          <w:rFonts w:ascii="Simplified Arabic" w:eastAsia="Calibri" w:hAnsi="Simplified Arabic" w:cs="Simplified Arabic"/>
          <w:kern w:val="2"/>
          <w:sz w:val="28"/>
          <w:szCs w:val="28"/>
          <w:rtl/>
          <w:lang w:bidi="ar-EG"/>
          <w14:ligatures w14:val="standardContextual"/>
        </w:rPr>
        <w:t xml:space="preserve"> الرشيدة، التي تضمن التفاعل الشفاف والمسؤول مع المجتمع، ومع ضوابط الرقابة الداخلية التي تعزز من قدرة الجمعية على مواجهة المتغيرات.</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kern w:val="2"/>
          <w:sz w:val="28"/>
          <w:szCs w:val="28"/>
          <w:rtl/>
          <w:lang w:bidi="ar-EG"/>
          <w14:ligatures w14:val="standardContextual"/>
        </w:rPr>
        <w:t xml:space="preserve">( </w:t>
      </w:r>
      <w:proofErr w:type="spellStart"/>
      <w:r w:rsidRPr="00157377">
        <w:rPr>
          <w:rFonts w:ascii="Simplified Arabic" w:eastAsia="Calibri" w:hAnsi="Simplified Arabic" w:cs="Simplified Arabic"/>
          <w:kern w:val="2"/>
          <w:sz w:val="28"/>
          <w:szCs w:val="28"/>
          <w:rtl/>
          <w:lang w:bidi="ar-EG"/>
          <w14:ligatures w14:val="standardContextual"/>
        </w:rPr>
        <w:t>العويوي</w:t>
      </w:r>
      <w:proofErr w:type="spellEnd"/>
      <w:r w:rsidRPr="00157377">
        <w:rPr>
          <w:rFonts w:ascii="Simplified Arabic" w:eastAsia="Calibri" w:hAnsi="Simplified Arabic" w:cs="Simplified Arabic"/>
          <w:kern w:val="2"/>
          <w:sz w:val="28"/>
          <w:szCs w:val="28"/>
          <w:rtl/>
          <w:lang w:bidi="ar-EG"/>
          <w14:ligatures w14:val="standardContextual"/>
        </w:rPr>
        <w:t xml:space="preserve"> , 2017 , ص 82)</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kern w:val="2"/>
          <w:sz w:val="28"/>
          <w:szCs w:val="28"/>
          <w:rtl/>
          <w:lang w:bidi="ar-EG"/>
          <w14:ligatures w14:val="standardContextual"/>
        </w:rPr>
        <w:t xml:space="preserve">     ولا يمكن فصل هذا التوجّه المؤسسي عن العنصر البشري، الذي يظل عاملًا حاسمًا في تحديد مدى نجاح الجمعية في التفاعل مع بيئتها التشغيلية المعقدة. فالموارد البشرية في الجمعيات الخيرية لا تُعتبر مجرد أدوات تنفيذية، بل هي أطراف فاعلة ومؤثرة في صياغة السياسات، وتطبيق الإجراءات، والمساهمة في إنتاج المبادرات التطويرية التي من شأنها الارتقاء بمستوى الأداء المؤسسي. وترتبط كفاءة هذا الأداء البشري ارتباطًا مباشرًا بفاعلية إدارة المخاطر، إذ إن الجمعيات التي تمتلك كوادر مؤهلة ومدربة تكون أكثر قدرة على قراءة الواقع، والتنبؤ بالمشكلات، واتخاذ قرارات رصينة، وتنفيذ برامج وخدمات عالية الجودة تحقق الأثر الاجتماعي المنشود.</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kern w:val="2"/>
          <w:sz w:val="28"/>
          <w:szCs w:val="28"/>
          <w:rtl/>
          <w:lang w:bidi="ar-EG"/>
          <w14:ligatures w14:val="standardContextual"/>
        </w:rPr>
        <w:t xml:space="preserve">( </w:t>
      </w:r>
      <w:proofErr w:type="spellStart"/>
      <w:r w:rsidRPr="00157377">
        <w:rPr>
          <w:rFonts w:ascii="Simplified Arabic" w:eastAsia="Calibri" w:hAnsi="Simplified Arabic" w:cs="Simplified Arabic"/>
          <w:kern w:val="2"/>
          <w:sz w:val="28"/>
          <w:szCs w:val="28"/>
          <w:rtl/>
          <w:lang w:bidi="ar-EG"/>
          <w14:ligatures w14:val="standardContextual"/>
        </w:rPr>
        <w:t>العويوي</w:t>
      </w:r>
      <w:proofErr w:type="spellEnd"/>
      <w:r w:rsidRPr="00157377">
        <w:rPr>
          <w:rFonts w:ascii="Simplified Arabic" w:eastAsia="Calibri" w:hAnsi="Simplified Arabic" w:cs="Simplified Arabic"/>
          <w:kern w:val="2"/>
          <w:sz w:val="28"/>
          <w:szCs w:val="28"/>
          <w:rtl/>
          <w:lang w:bidi="ar-EG"/>
          <w14:ligatures w14:val="standardContextual"/>
        </w:rPr>
        <w:t xml:space="preserve"> , 2017 , ص 82)</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kern w:val="2"/>
          <w:sz w:val="28"/>
          <w:szCs w:val="28"/>
          <w:rtl/>
          <w:lang w:bidi="ar-EG"/>
          <w14:ligatures w14:val="standardContextual"/>
        </w:rPr>
        <w:t xml:space="preserve">     وتأسيسًا على ما سبق تري الباحثة إن العلاقة بين المخاطر التشغيلية وكفاءة الأداء داخل الجمعيات الخيرية تُعد علاقة مركبة تتداخل فيها عناصر تنظيمية، بشرية، وإدارية، إلى جانب العوامل البيئية والتشريعية. وبالتالي يصبح من الضروري تحليل هذه العلاقة بطريقة علمية دقيقة، تهدف إلى بناء نماذج إدارية متكاملة تتيح للجمعيات التصدي للمخاطر المحتملة، وفي الوقت ذاته تعزيز الأداء المؤسسي، وتحقيق التوازن بين الاستجابة للمستجدات وتقديم خدمة مجتمعية تتسم بالاستدامة والجودة، رغم ما تشهده البيئة الخارجية من تغيرات مستمرة وعدم استقرار.</w:t>
      </w:r>
    </w:p>
    <w:p w:rsidR="00157377" w:rsidRPr="00157377" w:rsidRDefault="00157377" w:rsidP="00157377">
      <w:pPr>
        <w:spacing w:after="160"/>
        <w:jc w:val="both"/>
        <w:rPr>
          <w:rFonts w:ascii="Simplified Arabic" w:eastAsia="Calibri" w:hAnsi="Simplified Arabic" w:cs="Simplified Arabic"/>
          <w:kern w:val="2"/>
          <w:sz w:val="28"/>
          <w:szCs w:val="28"/>
          <w:u w:val="single"/>
          <w:rtl/>
          <w:lang w:bidi="ar-EG"/>
          <w14:ligatures w14:val="standardContextual"/>
        </w:rPr>
      </w:pPr>
      <w:r w:rsidRPr="00157377">
        <w:rPr>
          <w:rFonts w:ascii="Simplified Arabic" w:eastAsia="Calibri" w:hAnsi="Simplified Arabic" w:cs="Simplified Arabic"/>
          <w:b/>
          <w:bCs/>
          <w:kern w:val="2"/>
          <w:sz w:val="28"/>
          <w:szCs w:val="28"/>
          <w:u w:val="single"/>
          <w:rtl/>
          <w14:ligatures w14:val="standardContextual"/>
        </w:rPr>
        <w:t xml:space="preserve">مشكلة البحث </w:t>
      </w:r>
      <w:r w:rsidRPr="00157377">
        <w:rPr>
          <w:rFonts w:ascii="Simplified Arabic" w:eastAsia="Calibri" w:hAnsi="Simplified Arabic" w:cs="Simplified Arabic"/>
          <w:kern w:val="2"/>
          <w:sz w:val="28"/>
          <w:szCs w:val="28"/>
          <w:u w:val="single"/>
          <w:rtl/>
          <w:lang w:bidi="ar-EG"/>
          <w14:ligatures w14:val="standardContextual"/>
        </w:rPr>
        <w:t>:</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kern w:val="2"/>
          <w:sz w:val="28"/>
          <w:szCs w:val="28"/>
          <w:rtl/>
          <w:lang w:bidi="ar-EG"/>
          <w14:ligatures w14:val="standardContextual"/>
        </w:rPr>
        <w:t xml:space="preserve">     تشهد الجمعيات الخيرية في المملكة العربية السعودية، وبشكل خاص في المنطقة الشرقية، تحديات تشغيلية متزايدة نتيجة لتغيرات متعددة في البيئة الداخلية والخارجية، تشمل تعقيدات إدارية، تقلبات تمويلية، محدودية الموارد البشرية، إلى جانب ضعف التنسيق المؤسسي في التعامل مع الأحداث غير المتوقعة.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kern w:val="2"/>
          <w:sz w:val="28"/>
          <w:szCs w:val="28"/>
          <w:rtl/>
          <w:lang w:bidi="ar-EG"/>
          <w14:ligatures w14:val="standardContextual"/>
        </w:rPr>
        <w:t>(</w:t>
      </w:r>
      <w:proofErr w:type="spellStart"/>
      <w:r w:rsidRPr="00157377">
        <w:rPr>
          <w:rFonts w:ascii="Simplified Arabic" w:eastAsia="Calibri" w:hAnsi="Simplified Arabic" w:cs="Simplified Arabic"/>
          <w:kern w:val="2"/>
          <w:sz w:val="28"/>
          <w:szCs w:val="28"/>
          <w:rtl/>
          <w:lang w:bidi="ar-EG"/>
          <w14:ligatures w14:val="standardContextual"/>
        </w:rPr>
        <w:t>العويري</w:t>
      </w:r>
      <w:proofErr w:type="spellEnd"/>
      <w:r w:rsidRPr="00157377">
        <w:rPr>
          <w:rFonts w:ascii="Simplified Arabic" w:eastAsia="Calibri" w:hAnsi="Simplified Arabic" w:cs="Simplified Arabic"/>
          <w:kern w:val="2"/>
          <w:sz w:val="28"/>
          <w:szCs w:val="28"/>
          <w:rtl/>
          <w:lang w:bidi="ar-EG"/>
          <w14:ligatures w14:val="standardContextual"/>
        </w:rPr>
        <w:t xml:space="preserve"> , 2017 , ص 19)</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kern w:val="2"/>
          <w:sz w:val="28"/>
          <w:szCs w:val="28"/>
          <w:rtl/>
          <w:lang w:bidi="ar-EG"/>
          <w14:ligatures w14:val="standardContextual"/>
        </w:rPr>
        <w:lastRenderedPageBreak/>
        <w:t xml:space="preserve"> وقد كشفت التجارب الميدانية عن وجود خلل في الاستجابة لهذه التحديات، يتمثل في انخفاض مستوى كفاءة الأداء، وتأخر إنجاز المهام، وعدم تحقيق الأهداف المخططة في الوقت المحدد. ورغم اتجاه بعض الجمعيات نحو تبني مفاهيم </w:t>
      </w:r>
      <w:proofErr w:type="spellStart"/>
      <w:r w:rsidRPr="00157377">
        <w:rPr>
          <w:rFonts w:ascii="Simplified Arabic" w:eastAsia="Calibri" w:hAnsi="Simplified Arabic" w:cs="Simplified Arabic"/>
          <w:kern w:val="2"/>
          <w:sz w:val="28"/>
          <w:szCs w:val="28"/>
          <w:rtl/>
          <w:lang w:bidi="ar-EG"/>
          <w14:ligatures w14:val="standardContextual"/>
        </w:rPr>
        <w:t>الحوكمة</w:t>
      </w:r>
      <w:proofErr w:type="spellEnd"/>
      <w:r w:rsidRPr="00157377">
        <w:rPr>
          <w:rFonts w:ascii="Simplified Arabic" w:eastAsia="Calibri" w:hAnsi="Simplified Arabic" w:cs="Simplified Arabic"/>
          <w:kern w:val="2"/>
          <w:sz w:val="28"/>
          <w:szCs w:val="28"/>
          <w:rtl/>
          <w:lang w:bidi="ar-EG"/>
          <w14:ligatures w14:val="standardContextual"/>
        </w:rPr>
        <w:t xml:space="preserve"> وتحسين أنظمتها الداخلية، لا تزال سياسات إدارة المخاطر التشغيلية غير مطبقة بشكل منهجي، أو يُنظر إليها على أنها إجراءات هامشية مرتبطة بالظروف الطارئة فقط. (</w:t>
      </w:r>
      <w:proofErr w:type="spellStart"/>
      <w:r w:rsidRPr="00157377">
        <w:rPr>
          <w:rFonts w:ascii="Simplified Arabic" w:eastAsia="Calibri" w:hAnsi="Simplified Arabic" w:cs="Simplified Arabic"/>
          <w:kern w:val="2"/>
          <w:sz w:val="28"/>
          <w:szCs w:val="28"/>
          <w:rtl/>
          <w:lang w:bidi="ar-EG"/>
          <w14:ligatures w14:val="standardContextual"/>
        </w:rPr>
        <w:t>العويري</w:t>
      </w:r>
      <w:proofErr w:type="spellEnd"/>
      <w:r w:rsidRPr="00157377">
        <w:rPr>
          <w:rFonts w:ascii="Simplified Arabic" w:eastAsia="Calibri" w:hAnsi="Simplified Arabic" w:cs="Simplified Arabic"/>
          <w:kern w:val="2"/>
          <w:sz w:val="28"/>
          <w:szCs w:val="28"/>
          <w:rtl/>
          <w:lang w:bidi="ar-EG"/>
          <w14:ligatures w14:val="standardContextual"/>
        </w:rPr>
        <w:t xml:space="preserve"> , 2017 , ص 19)</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kern w:val="2"/>
          <w:sz w:val="28"/>
          <w:szCs w:val="28"/>
          <w:rtl/>
          <w:lang w:bidi="ar-EG"/>
          <w14:ligatures w14:val="standardContextual"/>
        </w:rPr>
        <w:t>هذا الواقع يُثير تساؤلات حول العلاقة بين مستوى إدارة المخاطر التشغيلية، ومدى فاعلية الأداء المؤسسي داخل الجمعيات الخيرية، خاصة في ظل بيئة العمل المتغيرة والمعقدة التي تتطلب جاهزية تنظيمية متقدمة. (</w:t>
      </w:r>
      <w:proofErr w:type="spellStart"/>
      <w:r w:rsidRPr="00157377">
        <w:rPr>
          <w:rFonts w:ascii="Simplified Arabic" w:eastAsia="Calibri" w:hAnsi="Simplified Arabic" w:cs="Simplified Arabic"/>
          <w:kern w:val="2"/>
          <w:sz w:val="28"/>
          <w:szCs w:val="28"/>
          <w:rtl/>
          <w:lang w:bidi="ar-EG"/>
          <w14:ligatures w14:val="standardContextual"/>
        </w:rPr>
        <w:t>العويري</w:t>
      </w:r>
      <w:proofErr w:type="spellEnd"/>
      <w:r w:rsidRPr="00157377">
        <w:rPr>
          <w:rFonts w:ascii="Simplified Arabic" w:eastAsia="Calibri" w:hAnsi="Simplified Arabic" w:cs="Simplified Arabic"/>
          <w:kern w:val="2"/>
          <w:sz w:val="28"/>
          <w:szCs w:val="28"/>
          <w:rtl/>
          <w:lang w:bidi="ar-EG"/>
          <w14:ligatures w14:val="standardContextual"/>
        </w:rPr>
        <w:t xml:space="preserve"> , 2017 , ص 19)</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b/>
          <w:bCs/>
          <w:kern w:val="2"/>
          <w:sz w:val="28"/>
          <w:szCs w:val="28"/>
          <w:rtl/>
          <w:lang w:bidi="ar-EG"/>
          <w14:ligatures w14:val="standardContextual"/>
        </w:rPr>
        <w:t xml:space="preserve">     وتلاحظ الباحثة</w:t>
      </w:r>
      <w:r w:rsidRPr="00157377">
        <w:rPr>
          <w:rFonts w:ascii="Simplified Arabic" w:eastAsia="Calibri" w:hAnsi="Simplified Arabic" w:cs="Simplified Arabic"/>
          <w:kern w:val="2"/>
          <w:sz w:val="28"/>
          <w:szCs w:val="28"/>
          <w:rtl/>
          <w:lang w:bidi="ar-EG"/>
          <w14:ligatures w14:val="standardContextual"/>
        </w:rPr>
        <w:t xml:space="preserve"> من خلال تجربتها العملية والعمل في إحدى الجمعيات الخيرية الواقعة في المنطقة الشرقية من المملكة العربية السعودية، أن التحديات التي تواجه القطاع الخيري لم تعد مرتبطة فقط بالجوانب المالية أو التشريعية، بل أصبحت أكثر تعقيدًا وتنوعًا، وتتمثل غالبًا في مخاطر تشغيلية غير مدارة تؤثر بشكل مباشر على كفاءة الأداء داخل المؤسسة. فخلال السنوات الماضية، شاركت في تنظيم عدد من المبادرات المجتمعية والبرامج التنموية،  ومن بين الاجتماعات الصباحية، وخطط العمل الأسبوعية، وتفاصيل المشاريع الخيرية التي لا تنتهي، اكتشفت أن التحدي الحقيقي لا يكمن في إطلاق المبادرات، بل في الاستمرار بها بكفاءة رغم العواصف الخفية التي قد تهبّ في أي لحظة. من خلال عملي المباشر في تنفيذ مشاريع مجتمعية تهدف إلى دعم </w:t>
      </w:r>
      <w:r w:rsidRPr="00157377">
        <w:rPr>
          <w:rFonts w:ascii="Simplified Arabic" w:eastAsia="Calibri" w:hAnsi="Simplified Arabic" w:cs="Simplified Arabic"/>
          <w:kern w:val="2"/>
          <w:sz w:val="28"/>
          <w:szCs w:val="28"/>
          <w:rtl/>
          <w14:ligatures w14:val="standardContextual"/>
        </w:rPr>
        <w:t xml:space="preserve">و </w:t>
      </w:r>
      <w:r w:rsidRPr="00157377">
        <w:rPr>
          <w:rFonts w:ascii="Simplified Arabic" w:eastAsia="Calibri" w:hAnsi="Simplified Arabic" w:cs="Simplified Arabic"/>
          <w:kern w:val="2"/>
          <w:sz w:val="28"/>
          <w:szCs w:val="28"/>
          <w:rtl/>
          <w:lang w:bidi="ar-EG"/>
          <w14:ligatures w14:val="standardContextual"/>
        </w:rPr>
        <w:t>مساندة المرضى المحتاجين، لاحظت أن الفجوة بين التخطيط الورقي والتنفيذ العملي تمثّل تحديًا جوهريًا يؤثر على فاعلية المبادرات بشكل كبير. فبينما يبدو المشروع في صورته العامة منظّمًا وقائمًا على رؤية واضحة، إلا أن الواقع التشغيلي يكشف عن سلسلة من الإشكاليات المتداخلة التي تعيق تحقيق الأهداف المجتمعية، وتُضعف مستوى الأثر المأمول.</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b/>
          <w:bCs/>
          <w:kern w:val="2"/>
          <w:sz w:val="28"/>
          <w:szCs w:val="28"/>
          <w:rtl/>
          <w:lang w:bidi="ar-EG"/>
          <w14:ligatures w14:val="standardContextual"/>
        </w:rPr>
        <w:t xml:space="preserve">      ومن خلال عملي</w:t>
      </w:r>
      <w:r w:rsidRPr="00157377">
        <w:rPr>
          <w:rFonts w:ascii="Simplified Arabic" w:eastAsia="Calibri" w:hAnsi="Simplified Arabic" w:cs="Simplified Arabic"/>
          <w:kern w:val="2"/>
          <w:sz w:val="28"/>
          <w:szCs w:val="28"/>
          <w:rtl/>
          <w:lang w:bidi="ar-EG"/>
          <w14:ligatures w14:val="standardContextual"/>
        </w:rPr>
        <w:t xml:space="preserve"> في أحد المشاريع الخيرية، الذي كان مخصصًا لدعم </w:t>
      </w:r>
      <w:r w:rsidRPr="00157377">
        <w:rPr>
          <w:rFonts w:ascii="Simplified Arabic" w:eastAsia="Calibri" w:hAnsi="Simplified Arabic" w:cs="Simplified Arabic"/>
          <w:kern w:val="2"/>
          <w:sz w:val="28"/>
          <w:szCs w:val="28"/>
          <w:rtl/>
          <w14:ligatures w14:val="standardContextual"/>
        </w:rPr>
        <w:t>المصابين بالأمراض المناعية</w:t>
      </w:r>
      <w:r w:rsidRPr="00157377">
        <w:rPr>
          <w:rFonts w:ascii="Simplified Arabic" w:eastAsia="Calibri" w:hAnsi="Simplified Arabic" w:cs="Simplified Arabic"/>
          <w:kern w:val="2"/>
          <w:sz w:val="28"/>
          <w:szCs w:val="28"/>
          <w:rtl/>
          <w:lang w:bidi="ar-EG"/>
          <w14:ligatures w14:val="standardContextual"/>
        </w:rPr>
        <w:t xml:space="preserve">، اتّضح أن </w:t>
      </w:r>
      <w:r w:rsidRPr="00157377">
        <w:rPr>
          <w:rFonts w:ascii="Simplified Arabic" w:eastAsia="Calibri" w:hAnsi="Simplified Arabic" w:cs="Simplified Arabic"/>
          <w:kern w:val="2"/>
          <w:sz w:val="28"/>
          <w:szCs w:val="28"/>
          <w:rtl/>
          <w14:ligatures w14:val="standardContextual"/>
        </w:rPr>
        <w:t>اتساع</w:t>
      </w:r>
      <w:r w:rsidRPr="00157377">
        <w:rPr>
          <w:rFonts w:ascii="Simplified Arabic" w:eastAsia="Calibri" w:hAnsi="Simplified Arabic" w:cs="Simplified Arabic"/>
          <w:kern w:val="2"/>
          <w:sz w:val="28"/>
          <w:szCs w:val="28"/>
          <w:rtl/>
          <w:lang w:bidi="ar-EG"/>
          <w14:ligatures w14:val="standardContextual"/>
        </w:rPr>
        <w:t xml:space="preserve"> نطاق المبادرة قلّل من قدرتها على الاستجابة الشاملة لاحتياجات المرضى. لذلك، اقترحت </w:t>
      </w:r>
      <w:r w:rsidRPr="00157377">
        <w:rPr>
          <w:rFonts w:ascii="Simplified Arabic" w:eastAsia="Calibri" w:hAnsi="Simplified Arabic" w:cs="Simplified Arabic"/>
          <w:kern w:val="2"/>
          <w:sz w:val="28"/>
          <w:szCs w:val="28"/>
          <w:rtl/>
          <w14:ligatures w14:val="standardContextual"/>
        </w:rPr>
        <w:t>تخصيص</w:t>
      </w:r>
      <w:r w:rsidRPr="00157377">
        <w:rPr>
          <w:rFonts w:ascii="Simplified Arabic" w:eastAsia="Calibri" w:hAnsi="Simplified Arabic" w:cs="Simplified Arabic"/>
          <w:kern w:val="2"/>
          <w:sz w:val="28"/>
          <w:szCs w:val="28"/>
          <w:rtl/>
          <w:lang w:bidi="ar-EG"/>
          <w14:ligatures w14:val="standardContextual"/>
        </w:rPr>
        <w:t xml:space="preserve"> نطاق المشروع ليشمل دعم المرضى</w:t>
      </w:r>
      <w:r w:rsidRPr="00157377">
        <w:rPr>
          <w:rFonts w:ascii="Simplified Arabic" w:eastAsia="Calibri" w:hAnsi="Simplified Arabic" w:cs="Simplified Arabic"/>
          <w:kern w:val="2"/>
          <w:sz w:val="28"/>
          <w:szCs w:val="28"/>
          <w:rtl/>
          <w14:ligatures w14:val="standardContextual"/>
        </w:rPr>
        <w:t xml:space="preserve"> المحتاجين والحد من الخدمات المقدمة</w:t>
      </w:r>
      <w:r w:rsidRPr="00157377">
        <w:rPr>
          <w:rFonts w:ascii="Simplified Arabic" w:eastAsia="Calibri" w:hAnsi="Simplified Arabic" w:cs="Simplified Arabic"/>
          <w:kern w:val="2"/>
          <w:sz w:val="28"/>
          <w:szCs w:val="28"/>
          <w:rtl/>
          <w:lang w:bidi="ar-EG"/>
          <w14:ligatures w14:val="standardContextual"/>
        </w:rPr>
        <w:t xml:space="preserve">، غير أن هذه الخطوة </w:t>
      </w:r>
      <w:r w:rsidRPr="00157377">
        <w:rPr>
          <w:rFonts w:ascii="Simplified Arabic" w:eastAsia="Calibri" w:hAnsi="Simplified Arabic" w:cs="Simplified Arabic"/>
          <w:kern w:val="2"/>
          <w:sz w:val="28"/>
          <w:szCs w:val="28"/>
          <w:rtl/>
          <w14:ligatures w14:val="standardContextual"/>
        </w:rPr>
        <w:t xml:space="preserve">التي لم تؤخذ بعين الاعتبار </w:t>
      </w:r>
      <w:r w:rsidRPr="00157377">
        <w:rPr>
          <w:rFonts w:ascii="Simplified Arabic" w:eastAsia="Calibri" w:hAnsi="Simplified Arabic" w:cs="Simplified Arabic"/>
          <w:kern w:val="2"/>
          <w:sz w:val="28"/>
          <w:szCs w:val="28"/>
          <w:rtl/>
          <w:lang w:bidi="ar-EG"/>
          <w14:ligatures w14:val="standardContextual"/>
        </w:rPr>
        <w:t xml:space="preserve">كشفت عن تحديات إضافية، تمثلت في تعطل البرامج المساندة بسبب نقص السيولة المالية، ووجود ضعف واضح في أعداد المتطوعين، إضافة إلى غياب توزيع دقيق للمهام داخل الفريق، وتكرار التحديثات العشوائية على آليات تنفيذ البرامج دون مرجعية </w:t>
      </w:r>
      <w:r w:rsidRPr="00157377">
        <w:rPr>
          <w:rFonts w:ascii="Simplified Arabic" w:eastAsia="Calibri" w:hAnsi="Simplified Arabic" w:cs="Simplified Arabic"/>
          <w:kern w:val="2"/>
          <w:sz w:val="28"/>
          <w:szCs w:val="28"/>
          <w:rtl/>
          <w:lang w:bidi="ar-EG"/>
          <w14:ligatures w14:val="standardContextual"/>
        </w:rPr>
        <w:lastRenderedPageBreak/>
        <w:t>تنظيمية واضحة. هذا إلى جانب الضغط الناجم عن كثافة طلبات الدعم من الأطباء، وتفاقم تكاليف العلاج غير المحددة، مع غياب سقف مالي ثابت لكل حالة؛ إذ بالرغم من تحديد مبلغ 25 ألف ريال على الورق كمخصص لكل مريض، إلا أن الواقع بيّن تجاوزات متعددة دون وجود ضوابط مالية واضحة. وفي السياق نفسه، وخلال متابعتي لأحد المشاريع المجتمعية التي تستهدف</w:t>
      </w:r>
      <w:r w:rsidRPr="00157377">
        <w:rPr>
          <w:rFonts w:ascii="Simplified Arabic" w:eastAsia="Calibri" w:hAnsi="Simplified Arabic" w:cs="Simplified Arabic"/>
          <w:kern w:val="2"/>
          <w:sz w:val="28"/>
          <w:szCs w:val="28"/>
          <w:rtl/>
          <w14:ligatures w14:val="standardContextual"/>
        </w:rPr>
        <w:t xml:space="preserve"> مرضى الأمراض المناعية</w:t>
      </w:r>
      <w:r w:rsidRPr="00157377">
        <w:rPr>
          <w:rFonts w:ascii="Simplified Arabic" w:eastAsia="Calibri" w:hAnsi="Simplified Arabic" w:cs="Simplified Arabic"/>
          <w:kern w:val="2"/>
          <w:sz w:val="28"/>
          <w:szCs w:val="28"/>
          <w:rtl/>
          <w:lang w:bidi="ar-EG"/>
          <w14:ligatures w14:val="standardContextual"/>
        </w:rPr>
        <w:t>، بدت الصورة العامة للمشروع متكاملة تنظيميًا، غير أن الواقع الميداني كشف عراقيل تشغيلية غير متوقعة مثل تعارض جداول التدريب، وانسحاب بعض المتطوعين في اللحظات الحرجة، وتأخّر الإمدادات اللوجستية، إضافة إلى ضعف التنسيق الداخلي بين الفرق.</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b/>
          <w:bCs/>
          <w:kern w:val="2"/>
          <w:sz w:val="28"/>
          <w:szCs w:val="28"/>
          <w:rtl/>
          <w:lang w:bidi="ar-EG"/>
          <w14:ligatures w14:val="standardContextual"/>
        </w:rPr>
        <w:t xml:space="preserve">     تعكس تجربة الباحثة الميدانية</w:t>
      </w:r>
      <w:r w:rsidRPr="00157377">
        <w:rPr>
          <w:rFonts w:ascii="Simplified Arabic" w:eastAsia="Calibri" w:hAnsi="Simplified Arabic" w:cs="Simplified Arabic"/>
          <w:kern w:val="2"/>
          <w:sz w:val="28"/>
          <w:szCs w:val="28"/>
          <w:rtl/>
          <w:lang w:bidi="ar-EG"/>
          <w14:ligatures w14:val="standardContextual"/>
        </w:rPr>
        <w:t xml:space="preserve"> وجود خلل مؤسسي يرتبط بجوانب الإدارة التشغيلية، توزيع المسؤوليات، </w:t>
      </w:r>
      <w:proofErr w:type="spellStart"/>
      <w:r w:rsidRPr="00157377">
        <w:rPr>
          <w:rFonts w:ascii="Simplified Arabic" w:eastAsia="Calibri" w:hAnsi="Simplified Arabic" w:cs="Simplified Arabic"/>
          <w:kern w:val="2"/>
          <w:sz w:val="28"/>
          <w:szCs w:val="28"/>
          <w:rtl/>
          <w:lang w:bidi="ar-EG"/>
          <w14:ligatures w14:val="standardContextual"/>
        </w:rPr>
        <w:t>الحوكمة</w:t>
      </w:r>
      <w:proofErr w:type="spellEnd"/>
      <w:r w:rsidRPr="00157377">
        <w:rPr>
          <w:rFonts w:ascii="Simplified Arabic" w:eastAsia="Calibri" w:hAnsi="Simplified Arabic" w:cs="Simplified Arabic"/>
          <w:kern w:val="2"/>
          <w:sz w:val="28"/>
          <w:szCs w:val="28"/>
          <w:rtl/>
          <w:lang w:bidi="ar-EG"/>
          <w14:ligatures w14:val="standardContextual"/>
        </w:rPr>
        <w:t xml:space="preserve"> المالية، والتخطيط التنفيذي، مما يدفع إلى ضرورة طرح تساؤلات بحثية حول العلاقة بين جودة الإدارة التشغيلية وكفاءة الأداء الفعلي للمبادرات المجتمعية، ودراسة أثر هذه العوامل على استدامة المشاريع وقدرتها على تحقيق الأثر الاجتماعي المرجو. ولم يكن أحد يتحدث عن المخاطر، ولم تكن هناك خطة بديلة. وكأن الجمعية تنتظر حدوث الأزمة لتفكر بعدها في طريقة النجاة. وهنا بدأت الأسئلة تتسلل إلى ذهني: هل الأداء المؤسسي يجب أن يكون دائمًا رد فعل؟ لماذا لا تتحرك الجمعيات الخيرية بشكل استباقي لإدارة المخاطر؟ وهل فعلاً توجد علاقة ملموسة بين تلك المخاطر التشغيلية وبين كفاءة الأداء؟</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b/>
          <w:bCs/>
          <w:kern w:val="2"/>
          <w:sz w:val="28"/>
          <w:szCs w:val="28"/>
          <w:rtl/>
          <w:lang w:bidi="ar-EG"/>
          <w14:ligatures w14:val="standardContextual"/>
        </w:rPr>
        <w:t xml:space="preserve">       وتجربتي كعاملة في هذا الميدان</w:t>
      </w:r>
      <w:r w:rsidRPr="00157377">
        <w:rPr>
          <w:rFonts w:ascii="Simplified Arabic" w:eastAsia="Calibri" w:hAnsi="Simplified Arabic" w:cs="Simplified Arabic"/>
          <w:kern w:val="2"/>
          <w:sz w:val="28"/>
          <w:szCs w:val="28"/>
          <w:rtl/>
          <w:lang w:bidi="ar-EG"/>
          <w14:ligatures w14:val="standardContextual"/>
        </w:rPr>
        <w:t xml:space="preserve"> أظهرت لي أن بعض الجمعيات لا ترى في إدارة المخاطر أولوية، رغم أن المخاطر ليست مجرد احتمالات بعيدة، بل واقع يومي يفرض نفسه بأشكال متعددة: فجوات تنظيمية، غياب البدائل، ضعف استثمار الموارد البشرية، ونقص السياسات التشغيلية المحكمة. وكل ذلك ينعكس على جودة الخدمة، رضا المستفيدين، واستدامة العمل الخيري. من هنا تنبع مشكلة هذا البحث: هل تؤثر المخاطر التشغيلية فعليًا على كفاءة الأداء في الجمعيات الخيرية؟ وإذا كان الأمر كذلك، فلماذا لا يُربط بين إدارة المخاطر والكفاءة المؤسسية في السياسات الداخلية بشكل منهجي؟</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r w:rsidRPr="00157377">
        <w:rPr>
          <w:rFonts w:ascii="Simplified Arabic" w:eastAsia="Calibri" w:hAnsi="Simplified Arabic" w:cs="Simplified Arabic"/>
          <w:kern w:val="2"/>
          <w:sz w:val="28"/>
          <w:szCs w:val="28"/>
          <w:rtl/>
          <w:lang w:bidi="ar-EG"/>
          <w14:ligatures w14:val="standardContextual"/>
        </w:rPr>
        <w:t>هذه ليست مجرد تساؤلات نظرية، بل هي تحديات اعيشها  عن قرب، وتتطلب تفكيرًا علميًا عميقًا وتحليلًا دقيقًا لفهم جذورها، واستكشاف كيفية تحويل الإدارة من رد فعل إلى استعداد استراتيجي</w:t>
      </w: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p>
    <w:p w:rsidR="00157377" w:rsidRPr="00157377" w:rsidRDefault="00157377" w:rsidP="00157377">
      <w:pPr>
        <w:spacing w:after="160"/>
        <w:jc w:val="both"/>
        <w:rPr>
          <w:rFonts w:ascii="Simplified Arabic" w:eastAsia="Calibri" w:hAnsi="Simplified Arabic" w:cs="Simplified Arabic"/>
          <w:kern w:val="2"/>
          <w:sz w:val="28"/>
          <w:szCs w:val="28"/>
          <w:rtl/>
          <w:lang w:bidi="ar-EG"/>
          <w14:ligatures w14:val="standardContextual"/>
        </w:rPr>
      </w:pPr>
    </w:p>
    <w:p w:rsidR="00157377" w:rsidRPr="00157377" w:rsidRDefault="00157377" w:rsidP="00157377">
      <w:pPr>
        <w:spacing w:after="160"/>
        <w:jc w:val="both"/>
        <w:rPr>
          <w:rFonts w:ascii="Simplified Arabic" w:eastAsia="Calibri" w:hAnsi="Simplified Arabic" w:cs="Simplified Arabic"/>
          <w:kern w:val="2"/>
          <w:sz w:val="28"/>
          <w:szCs w:val="28"/>
          <w:u w:val="single"/>
          <w:rtl/>
          <w14:ligatures w14:val="standardContextual"/>
        </w:rPr>
      </w:pPr>
      <w:r w:rsidRPr="00157377">
        <w:rPr>
          <w:rFonts w:ascii="Simplified Arabic" w:eastAsia="Calibri" w:hAnsi="Simplified Arabic" w:cs="Simplified Arabic"/>
          <w:b/>
          <w:bCs/>
          <w:kern w:val="2"/>
          <w:sz w:val="28"/>
          <w:szCs w:val="28"/>
          <w:u w:val="single"/>
          <w:rtl/>
          <w14:ligatures w14:val="standardContextual"/>
        </w:rPr>
        <w:lastRenderedPageBreak/>
        <w:t>أهمية البحث :</w:t>
      </w:r>
    </w:p>
    <w:p w:rsidR="00157377" w:rsidRPr="00157377" w:rsidRDefault="00157377" w:rsidP="00157377">
      <w:pPr>
        <w:spacing w:after="160"/>
        <w:jc w:val="both"/>
        <w:rPr>
          <w:rFonts w:ascii="Simplified Arabic" w:eastAsia="Calibri" w:hAnsi="Simplified Arabic" w:cs="Simplified Arabic"/>
          <w:b/>
          <w:bCs/>
          <w:kern w:val="2"/>
          <w:sz w:val="28"/>
          <w:szCs w:val="28"/>
          <w:rtl/>
          <w14:ligatures w14:val="standardContextual"/>
        </w:rPr>
      </w:pPr>
      <w:r w:rsidRPr="00157377">
        <w:rPr>
          <w:rFonts w:ascii="Simplified Arabic" w:eastAsia="Calibri" w:hAnsi="Simplified Arabic" w:cs="Simplified Arabic"/>
          <w:b/>
          <w:bCs/>
          <w:kern w:val="2"/>
          <w:sz w:val="28"/>
          <w:szCs w:val="28"/>
          <w:rtl/>
          <w14:ligatures w14:val="standardContextual"/>
        </w:rPr>
        <w:t>أولًا: الأهمية النظرية</w:t>
      </w:r>
    </w:p>
    <w:p w:rsidR="00157377" w:rsidRPr="00157377" w:rsidRDefault="00157377" w:rsidP="00157377">
      <w:pPr>
        <w:numPr>
          <w:ilvl w:val="0"/>
          <w:numId w:val="11"/>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تتناول هذه الدراسة موضوعًا متعدد الأبعاد في مجال الإدارة، من خلال تسليط الضوء على العلاقة بين المخاطر التشغيلية وكفاءة الأداء في الجمعيات الخيرية. وتكمن أهميتها النظرية في كونها تُعزز الفهم العلمي لمفهوم إدارة المخاطر في بيئات غير ربحية، والتي غالبًا ما تُدار بعيدًا عن الأدوات والنماذج الإدارية الحديثة.</w:t>
      </w:r>
    </w:p>
    <w:p w:rsidR="00157377" w:rsidRPr="00157377" w:rsidRDefault="00157377" w:rsidP="00157377">
      <w:pPr>
        <w:numPr>
          <w:ilvl w:val="0"/>
          <w:numId w:val="11"/>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كما تساهم الدراسة في توسيع الإطار المعرفي المرتبط بكفاءة الأداء المؤسسي، من خلال تقديم تحليل متكامل للعوامل التي تؤثر عليه ضمن بيئة تشغيلية ذات خصوصية مجتمعية وتنظيمية، كالتي تعمل فيها الجمعيات الخيرية في المملكة. وهذا الطرح يُعد مساهمة في تطوير النظريات الإدارية التقليدية لتتناسب مع الواقع المؤسسي للقطاع الخيري.</w:t>
      </w:r>
    </w:p>
    <w:p w:rsidR="00157377" w:rsidRPr="00157377" w:rsidRDefault="00157377" w:rsidP="00157377">
      <w:pPr>
        <w:spacing w:after="160"/>
        <w:jc w:val="both"/>
        <w:rPr>
          <w:rFonts w:ascii="Simplified Arabic" w:eastAsia="Calibri" w:hAnsi="Simplified Arabic" w:cs="Simplified Arabic"/>
          <w:b/>
          <w:bCs/>
          <w:kern w:val="2"/>
          <w:sz w:val="28"/>
          <w:szCs w:val="28"/>
          <w:rtl/>
          <w14:ligatures w14:val="standardContextual"/>
        </w:rPr>
      </w:pPr>
      <w:r w:rsidRPr="00157377">
        <w:rPr>
          <w:rFonts w:ascii="Simplified Arabic" w:eastAsia="Calibri" w:hAnsi="Simplified Arabic" w:cs="Simplified Arabic"/>
          <w:b/>
          <w:bCs/>
          <w:kern w:val="2"/>
          <w:sz w:val="28"/>
          <w:szCs w:val="28"/>
          <w:rtl/>
          <w14:ligatures w14:val="standardContextual"/>
        </w:rPr>
        <w:t>ثانيًا: الأهمية العملية</w:t>
      </w:r>
    </w:p>
    <w:p w:rsidR="00157377" w:rsidRPr="00157377" w:rsidRDefault="00157377" w:rsidP="00157377">
      <w:pPr>
        <w:numPr>
          <w:ilvl w:val="0"/>
          <w:numId w:val="10"/>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تستند الدراسة إلى تجارب واقعية ومعايشة ميدانية داخل الجمعيات، ما يجعل نتائجها وثيقة الصلة بالتطبيق العملي. فهي تُمكن إدارات الجمعيات من التعرف على مكامن الخلل في الأداء الناتج عن ضعف إدارة المخاطر، وتُحفزها على إعادة النظر في إجراءاتها التنظيمية وفق نهج استباقي قائم على تحليل المخاطر قبل حدوثها.</w:t>
      </w:r>
    </w:p>
    <w:p w:rsidR="00157377" w:rsidRPr="00157377" w:rsidRDefault="00157377" w:rsidP="00157377">
      <w:pPr>
        <w:numPr>
          <w:ilvl w:val="0"/>
          <w:numId w:val="10"/>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كما أن الدراسة توفر رؤية تطبيقية تساعد المؤسسات غير الربحية في بناء سياسات تشغيلية أكثر مرونة وفعالية، وتقديم برامج تدريبية تُعزز جاهزية الفرق العاملة في مواجهة الظروف الطارئة، خاصة في ظل التغيرات المجتمعية والتمويلية المتسارعة التي يشهدها القطاع الثالث. </w:t>
      </w:r>
    </w:p>
    <w:p w:rsidR="00157377" w:rsidRPr="00157377" w:rsidRDefault="00157377" w:rsidP="00157377">
      <w:pPr>
        <w:numPr>
          <w:ilvl w:val="0"/>
          <w:numId w:val="10"/>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ويمكن للممارسين وصناع القرار الاستفادة من نتائج الدراسة لتطوير نظم تقييم الأداء المؤسسي وربطها بمستوى التحكم في المخاطر، مما يعزز فرص الاستدامة ويرفع من مستوى الثقة المجتمعية في قدرة الجمعيات على تقديم خدماتها بكفاءة وجودة عالية.</w:t>
      </w:r>
    </w:p>
    <w:p w:rsidR="00157377" w:rsidRPr="00157377" w:rsidRDefault="00157377" w:rsidP="00157377">
      <w:pPr>
        <w:spacing w:after="160"/>
        <w:jc w:val="both"/>
        <w:rPr>
          <w:rFonts w:ascii="Simplified Arabic" w:eastAsia="Calibri" w:hAnsi="Simplified Arabic" w:cs="Simplified Arabic"/>
          <w:kern w:val="2"/>
          <w:sz w:val="28"/>
          <w:szCs w:val="28"/>
          <w:u w:val="single"/>
          <w:rtl/>
          <w14:ligatures w14:val="standardContextual"/>
        </w:rPr>
      </w:pPr>
      <w:r w:rsidRPr="00157377">
        <w:rPr>
          <w:rFonts w:ascii="Simplified Arabic" w:eastAsia="Calibri" w:hAnsi="Simplified Arabic" w:cs="Simplified Arabic"/>
          <w:b/>
          <w:bCs/>
          <w:kern w:val="2"/>
          <w:sz w:val="28"/>
          <w:szCs w:val="28"/>
          <w:u w:val="single"/>
          <w:rtl/>
          <w14:ligatures w14:val="standardContextual"/>
        </w:rPr>
        <w:t xml:space="preserve">أهداف البحث </w:t>
      </w:r>
      <w:r w:rsidRPr="00157377">
        <w:rPr>
          <w:rFonts w:ascii="Simplified Arabic" w:eastAsia="Calibri" w:hAnsi="Simplified Arabic" w:cs="Simplified Arabic"/>
          <w:kern w:val="2"/>
          <w:sz w:val="28"/>
          <w:szCs w:val="28"/>
          <w:u w:val="single"/>
          <w:rtl/>
          <w14:ligatures w14:val="standardContextual"/>
        </w:rPr>
        <w:t>:</w:t>
      </w:r>
    </w:p>
    <w:p w:rsidR="00157377" w:rsidRPr="00157377" w:rsidRDefault="00157377" w:rsidP="00157377">
      <w:pPr>
        <w:spacing w:after="160"/>
        <w:jc w:val="both"/>
        <w:rPr>
          <w:rFonts w:ascii="Simplified Arabic" w:eastAsia="Calibri" w:hAnsi="Simplified Arabic" w:cs="Simplified Arabic"/>
          <w:b/>
          <w:bCs/>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في ضوء ما تشهده الجمعيات الخيرية من تحديات تشغيلية متعددة، يبرز التساؤل حول مدى تأثير تلك المخاطر على كفاءة الأداء المؤسسي داخل هذه الجهات، لا سيما في ظل محدودية الموارد، وتعدد الأنشطة، وتنوع الفئات المستهدفة. ومن هذا المنطلق، تهدف هذه الدراسة إلى تحليل العلاقة بين المخاطر التشغيلية وكفاءة الأداء داخل الجمعيات الخيرية العاملة في المنطقة الشرقية من المملكة العربية السعودية، باعتبار هذا المجال يمثل نموذجًا حيويًا للبيئة الخيرية النشطة ذات الطابع التنظيمي المتغير. </w:t>
      </w:r>
      <w:r w:rsidRPr="00157377">
        <w:rPr>
          <w:rFonts w:ascii="Simplified Arabic" w:eastAsia="Calibri" w:hAnsi="Simplified Arabic" w:cs="Simplified Arabic"/>
          <w:kern w:val="2"/>
          <w:sz w:val="28"/>
          <w:szCs w:val="28"/>
          <w:rtl/>
          <w14:ligatures w14:val="standardContextual"/>
        </w:rPr>
        <w:lastRenderedPageBreak/>
        <w:t>وتسعى الدراسة من خلال أهدافها إلى تقديم فهم علمي متكامل للعوامل المؤثرة في الأداء، واستكشاف مدى اعتماد الجمعيات على سياسات فاعلة لإدارة تلك المخاطر، بالإضافة إلى بناء تصور عملي يمكن أن يُسهم في تطوير العمل المؤسسي وتحسين الكفاءة التشغيلية  وهذه الاهداف علي النحول التالي :</w:t>
      </w:r>
      <w:r w:rsidRPr="00157377">
        <w:rPr>
          <w:rFonts w:ascii="Simplified Arabic" w:eastAsia="Calibri" w:hAnsi="Simplified Arabic" w:cs="Simplified Arabic"/>
          <w:b/>
          <w:bCs/>
          <w:kern w:val="2"/>
          <w:sz w:val="28"/>
          <w:szCs w:val="28"/>
          <w:rtl/>
          <w14:ligatures w14:val="standardContextual"/>
        </w:rPr>
        <w:t xml:space="preserve"> </w:t>
      </w:r>
    </w:p>
    <w:p w:rsidR="00157377" w:rsidRPr="00157377" w:rsidRDefault="00157377" w:rsidP="00157377">
      <w:pPr>
        <w:spacing w:after="160"/>
        <w:jc w:val="both"/>
        <w:rPr>
          <w:rFonts w:ascii="Simplified Arabic" w:eastAsia="Calibri" w:hAnsi="Simplified Arabic" w:cs="Simplified Arabic"/>
          <w:b/>
          <w:bCs/>
          <w:kern w:val="2"/>
          <w:sz w:val="28"/>
          <w:szCs w:val="28"/>
          <w:rtl/>
          <w14:ligatures w14:val="standardContextual"/>
        </w:rPr>
      </w:pPr>
      <w:r w:rsidRPr="00157377">
        <w:rPr>
          <w:rFonts w:ascii="Simplified Arabic" w:eastAsia="Calibri" w:hAnsi="Simplified Arabic" w:cs="Simplified Arabic"/>
          <w:b/>
          <w:bCs/>
          <w:kern w:val="2"/>
          <w:sz w:val="28"/>
          <w:szCs w:val="28"/>
          <w:rtl/>
          <w14:ligatures w14:val="standardContextual"/>
        </w:rPr>
        <w:t>الهدف العام:</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تحليل العلاقة بين المخاطر التشغيلية وكفاءة الأداء في الجمعيات الخيرية الواقعة في المنطقة الشرقية من المملكة العربية السعودية، وتقييم أثر تطبيق إدارة المخاطر في رفع مستوى الكفاءة التنظيمية.</w:t>
      </w:r>
    </w:p>
    <w:p w:rsidR="00157377" w:rsidRPr="00157377" w:rsidRDefault="00157377" w:rsidP="00157377">
      <w:pPr>
        <w:spacing w:after="160"/>
        <w:jc w:val="both"/>
        <w:rPr>
          <w:rFonts w:ascii="Simplified Arabic" w:eastAsia="Calibri" w:hAnsi="Simplified Arabic" w:cs="Simplified Arabic"/>
          <w:b/>
          <w:bCs/>
          <w:kern w:val="2"/>
          <w:sz w:val="28"/>
          <w:szCs w:val="28"/>
          <w:rtl/>
          <w14:ligatures w14:val="standardContextual"/>
        </w:rPr>
      </w:pPr>
      <w:r w:rsidRPr="00157377">
        <w:rPr>
          <w:rFonts w:ascii="Simplified Arabic" w:eastAsia="Calibri" w:hAnsi="Simplified Arabic" w:cs="Simplified Arabic"/>
          <w:b/>
          <w:bCs/>
          <w:kern w:val="2"/>
          <w:sz w:val="28"/>
          <w:szCs w:val="28"/>
          <w:rtl/>
          <w14:ligatures w14:val="standardContextual"/>
        </w:rPr>
        <w:t>الأهداف الفرعية:</w:t>
      </w:r>
    </w:p>
    <w:p w:rsidR="00157377" w:rsidRPr="00157377" w:rsidRDefault="00157377" w:rsidP="00157377">
      <w:pPr>
        <w:numPr>
          <w:ilvl w:val="0"/>
          <w:numId w:val="1"/>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تحديد طبيعة المخاطر التشغيلية السائدة داخل الجمعيات الخيرية وتصنيفها وفقًا للمصادر الإدارية والمالية والبشرية.</w:t>
      </w:r>
    </w:p>
    <w:p w:rsidR="00157377" w:rsidRPr="00157377" w:rsidRDefault="00157377" w:rsidP="00157377">
      <w:pPr>
        <w:numPr>
          <w:ilvl w:val="0"/>
          <w:numId w:val="1"/>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قياس مستوى كفاءة الأداء التنظيمي في الجمعيات الخيرية قيد الدراسة باستخدام مؤشرات كمية وكيفية.</w:t>
      </w:r>
    </w:p>
    <w:p w:rsidR="00157377" w:rsidRPr="00157377" w:rsidRDefault="00157377" w:rsidP="00157377">
      <w:pPr>
        <w:numPr>
          <w:ilvl w:val="0"/>
          <w:numId w:val="1"/>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تحليل مدى وجود وتطبيق سياسات واضحة لإدارة المخاطر التشغيلية، وتقييم فعاليتها في السياق المحلي.</w:t>
      </w:r>
    </w:p>
    <w:p w:rsidR="00157377" w:rsidRPr="00157377" w:rsidRDefault="00157377" w:rsidP="00157377">
      <w:pPr>
        <w:numPr>
          <w:ilvl w:val="0"/>
          <w:numId w:val="1"/>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دراسة العلاقة الإحصائية بين درجة فاعلية إدارة المخاطر التشغيلية ومؤشرات كفاءة الأداء في الجمعيات الخيرية.</w:t>
      </w:r>
    </w:p>
    <w:p w:rsidR="00157377" w:rsidRPr="00157377" w:rsidRDefault="00157377" w:rsidP="00157377">
      <w:pPr>
        <w:numPr>
          <w:ilvl w:val="0"/>
          <w:numId w:val="1"/>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بناء إطار تطبيقي يمكن أن يُستخدم لتطوير السياسات التشغيلية في الجمعيات الخيرية بما يعزز الجاهزية الإدارية وكفاءة الأداء في ظل بيئة غير مستقرة.</w:t>
      </w: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r w:rsidRPr="00157377">
        <w:rPr>
          <w:rFonts w:ascii="Simplified Arabic" w:eastAsia="Calibri" w:hAnsi="Simplified Arabic" w:cs="Simplified Arabic"/>
          <w:b/>
          <w:bCs/>
          <w:kern w:val="2"/>
          <w:sz w:val="28"/>
          <w:szCs w:val="28"/>
          <w:u w:val="single"/>
          <w:rtl/>
          <w14:ligatures w14:val="standardContextual"/>
        </w:rPr>
        <w:t xml:space="preserve">تساؤلات البحث </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في ضوء التحديات التشغيلية المتزايدة التي تواجه الجمعيات الخيرية، تظهر الحاجة إلى استكشاف العلاقة بين إدارة هذه المخاطر وكفاءة الأداء التنظيمي. ومن خلال التجربة الميدانية، يتضح أن العديد من المؤسسات الخيرية لا تمتلك تصورًا عمليًا متكاملًا لإدارة المخاطر، مما يؤثر على جودة تنفيذ أنشطتها وخدماتها. وعليه، تنطلق هذه الدراسة من مجموعة من التساؤلات تسعى للإجابة عنها بطريقة علمية منهجية. وهذه التساؤلات علي النحو التالي : </w:t>
      </w:r>
    </w:p>
    <w:p w:rsidR="00157377" w:rsidRPr="00157377" w:rsidRDefault="00157377" w:rsidP="00157377">
      <w:pPr>
        <w:numPr>
          <w:ilvl w:val="0"/>
          <w:numId w:val="2"/>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ما أبرز أشكال المخاطر التشغيلية التي تواجه الجمعيات الخيرية في المنطقة الشرقية؟</w:t>
      </w:r>
    </w:p>
    <w:p w:rsidR="00157377" w:rsidRPr="00157377" w:rsidRDefault="00157377" w:rsidP="00157377">
      <w:pPr>
        <w:numPr>
          <w:ilvl w:val="0"/>
          <w:numId w:val="2"/>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كيف يتم تحديد وقياس كفاءة الأداء المؤسسي داخل الجمعيات الخيرية؟</w:t>
      </w:r>
    </w:p>
    <w:p w:rsidR="00157377" w:rsidRPr="00157377" w:rsidRDefault="00157377" w:rsidP="00157377">
      <w:pPr>
        <w:numPr>
          <w:ilvl w:val="0"/>
          <w:numId w:val="2"/>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ما مدى وجود سياسات واضحة ومطبقة لإدارة المخاطر التشغيلية لدى الجمعيات الخيرية؟</w:t>
      </w:r>
    </w:p>
    <w:p w:rsidR="00157377" w:rsidRPr="00157377" w:rsidRDefault="00157377" w:rsidP="00157377">
      <w:pPr>
        <w:numPr>
          <w:ilvl w:val="0"/>
          <w:numId w:val="2"/>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lastRenderedPageBreak/>
        <w:t>كيف تؤثر المخاطر التشغيلية على مستوى كفاءة الأداء في الأنشطة الخيرية والخدمات المجتمعية؟</w:t>
      </w:r>
    </w:p>
    <w:p w:rsidR="00157377" w:rsidRPr="00157377" w:rsidRDefault="00157377" w:rsidP="00157377">
      <w:pPr>
        <w:numPr>
          <w:ilvl w:val="0"/>
          <w:numId w:val="2"/>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هل توجد علاقة ارتباطية أو تأثيرية بين تطبيق إدارة المخاطر التشغيلية وفاعلية الأداء المؤسسي؟</w:t>
      </w:r>
    </w:p>
    <w:p w:rsidR="00157377" w:rsidRPr="00157377" w:rsidRDefault="00157377" w:rsidP="00157377">
      <w:pPr>
        <w:numPr>
          <w:ilvl w:val="0"/>
          <w:numId w:val="2"/>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ما الإجراءات العملية التي يمكن تبنيها لتحسين كفاءة الأداء استنادًا إلى تحليل المخاطر التشغيلية ؟ </w:t>
      </w: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r w:rsidRPr="00157377">
        <w:rPr>
          <w:rFonts w:ascii="Simplified Arabic" w:eastAsia="Calibri" w:hAnsi="Simplified Arabic" w:cs="Simplified Arabic"/>
          <w:b/>
          <w:bCs/>
          <w:kern w:val="2"/>
          <w:sz w:val="28"/>
          <w:szCs w:val="28"/>
          <w:u w:val="single"/>
          <w:rtl/>
          <w14:ligatures w14:val="standardContextual"/>
        </w:rPr>
        <w:t>فروض البحث :</w:t>
      </w:r>
    </w:p>
    <w:p w:rsidR="00157377" w:rsidRPr="00157377" w:rsidRDefault="00157377" w:rsidP="00157377">
      <w:pPr>
        <w:spacing w:after="160"/>
        <w:jc w:val="both"/>
        <w:rPr>
          <w:rFonts w:ascii="Simplified Arabic" w:eastAsia="Calibri" w:hAnsi="Simplified Arabic" w:cs="Simplified Arabic"/>
          <w:b/>
          <w:bCs/>
          <w:kern w:val="2"/>
          <w:sz w:val="28"/>
          <w:szCs w:val="28"/>
          <w:rtl/>
          <w14:ligatures w14:val="standardContextual"/>
        </w:rPr>
      </w:pPr>
      <w:r w:rsidRPr="00157377">
        <w:rPr>
          <w:rFonts w:ascii="Simplified Arabic" w:eastAsia="Calibri" w:hAnsi="Simplified Arabic" w:cs="Simplified Arabic"/>
          <w:b/>
          <w:bCs/>
          <w:kern w:val="2"/>
          <w:sz w:val="28"/>
          <w:szCs w:val="28"/>
          <w:rtl/>
          <w14:ligatures w14:val="standardContextual"/>
        </w:rPr>
        <w:t>الفرضية الرئيسة:</w:t>
      </w:r>
    </w:p>
    <w:p w:rsidR="00157377" w:rsidRPr="00157377" w:rsidRDefault="00157377" w:rsidP="00157377">
      <w:pPr>
        <w:numPr>
          <w:ilvl w:val="0"/>
          <w:numId w:val="1"/>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توجد علاقة ذات دلالة إحصائية بين مستوى إدارة المخاطر التشغيلية وكفاءة الأداء المؤسسي في الجمعيات الخيرية بالمنطقة الشرقية من المملكة العربية السعودية.</w:t>
      </w:r>
    </w:p>
    <w:p w:rsidR="00157377" w:rsidRPr="00157377" w:rsidRDefault="00157377" w:rsidP="00157377">
      <w:pPr>
        <w:spacing w:after="160"/>
        <w:jc w:val="both"/>
        <w:rPr>
          <w:rFonts w:ascii="Simplified Arabic" w:eastAsia="Calibri" w:hAnsi="Simplified Arabic" w:cs="Simplified Arabic"/>
          <w:b/>
          <w:bCs/>
          <w:kern w:val="2"/>
          <w:sz w:val="28"/>
          <w:szCs w:val="28"/>
          <w:rtl/>
          <w14:ligatures w14:val="standardContextual"/>
        </w:rPr>
      </w:pPr>
      <w:r w:rsidRPr="00157377">
        <w:rPr>
          <w:rFonts w:ascii="Simplified Arabic" w:eastAsia="Calibri" w:hAnsi="Simplified Arabic" w:cs="Simplified Arabic"/>
          <w:b/>
          <w:bCs/>
          <w:kern w:val="2"/>
          <w:sz w:val="28"/>
          <w:szCs w:val="28"/>
          <w:rtl/>
          <w14:ligatures w14:val="standardContextual"/>
        </w:rPr>
        <w:t>الفرضيات الفرعية:</w:t>
      </w:r>
    </w:p>
    <w:p w:rsidR="00157377" w:rsidRPr="00157377" w:rsidRDefault="00157377" w:rsidP="00157377">
      <w:pPr>
        <w:numPr>
          <w:ilvl w:val="0"/>
          <w:numId w:val="25"/>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توجد فروق ذات دلالة إحصائية بين أنواع المخاطر التشغيلية السائدة داخل الجمعيات الخيرية وفقًا لمصادرها (الإدارية، المالية، البشرية).</w:t>
      </w:r>
    </w:p>
    <w:p w:rsidR="00157377" w:rsidRPr="00157377" w:rsidRDefault="00157377" w:rsidP="00157377">
      <w:pPr>
        <w:numPr>
          <w:ilvl w:val="0"/>
          <w:numId w:val="25"/>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مستوى كفاءة الأداء التنظيمي في الجمعيات الخيرية يظهر تفاوتًا ذا دلالة إحصائية عند قياسه باستخدام مؤشرات كمية وكيفية.</w:t>
      </w:r>
    </w:p>
    <w:p w:rsidR="00157377" w:rsidRPr="00157377" w:rsidRDefault="00157377" w:rsidP="00157377">
      <w:pPr>
        <w:numPr>
          <w:ilvl w:val="0"/>
          <w:numId w:val="25"/>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وجود سياسات واضحة ومطبقة لإدارة المخاطر التشغيلية يرتبط إيجابيًا بدرجة كفاءة الأداء المؤسسي في الجمعيات الخيرية.</w:t>
      </w:r>
    </w:p>
    <w:p w:rsidR="00157377" w:rsidRPr="00157377" w:rsidRDefault="00157377" w:rsidP="00157377">
      <w:pPr>
        <w:numPr>
          <w:ilvl w:val="0"/>
          <w:numId w:val="25"/>
        </w:numPr>
        <w:spacing w:after="160" w:line="259" w:lineRule="auto"/>
        <w:contextualSpacing/>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هناك علاقة ارتباطية ذات دلالة إحصائية بين درجة فاعلية إدارة المخاطر التشغيلية ومستوى كفاءة الأداء في الأنشطة الخيرية والخدمات المجتمعية.</w:t>
      </w:r>
    </w:p>
    <w:p w:rsidR="00157377" w:rsidRPr="00157377" w:rsidRDefault="00157377" w:rsidP="00157377">
      <w:pPr>
        <w:numPr>
          <w:ilvl w:val="0"/>
          <w:numId w:val="25"/>
        </w:numPr>
        <w:spacing w:after="160" w:line="259" w:lineRule="auto"/>
        <w:contextualSpacing/>
        <w:jc w:val="both"/>
        <w:rPr>
          <w:rFonts w:ascii="Simplified Arabic" w:eastAsia="Calibri" w:hAnsi="Simplified Arabic" w:cs="Simplified Arabic"/>
          <w:b/>
          <w:bCs/>
          <w:kern w:val="2"/>
          <w:sz w:val="28"/>
          <w:szCs w:val="28"/>
          <w:u w:val="single"/>
          <w:rtl/>
          <w14:ligatures w14:val="standardContextual"/>
        </w:rPr>
      </w:pPr>
      <w:r w:rsidRPr="00157377">
        <w:rPr>
          <w:rFonts w:ascii="Simplified Arabic" w:eastAsia="Calibri" w:hAnsi="Simplified Arabic" w:cs="Simplified Arabic"/>
          <w:kern w:val="2"/>
          <w:sz w:val="28"/>
          <w:szCs w:val="28"/>
          <w:rtl/>
          <w14:ligatures w14:val="standardContextual"/>
        </w:rPr>
        <w:t>تطبيق إطار عملي لإدارة المخاطر التشغيلية يسهم بشكل مؤثر في تعزيز الجاهزية الإدارية ورفع كفاءة الأداء في ظل بيئة غير مستقرة.</w:t>
      </w: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r w:rsidRPr="00157377">
        <w:rPr>
          <w:rFonts w:ascii="Simplified Arabic" w:eastAsia="Calibri" w:hAnsi="Simplified Arabic" w:cs="Simplified Arabic"/>
          <w:b/>
          <w:bCs/>
          <w:kern w:val="2"/>
          <w:sz w:val="28"/>
          <w:szCs w:val="28"/>
          <w:u w:val="single"/>
          <w:rtl/>
          <w14:ligatures w14:val="standardContextual"/>
        </w:rPr>
        <w:t>النظري</w:t>
      </w:r>
      <w:r w:rsidRPr="00157377">
        <w:rPr>
          <w:rFonts w:ascii="Simplified Arabic" w:eastAsia="Calibri" w:hAnsi="Simplified Arabic" w:cs="Simplified Arabic" w:hint="cs"/>
          <w:b/>
          <w:bCs/>
          <w:kern w:val="2"/>
          <w:sz w:val="28"/>
          <w:szCs w:val="28"/>
          <w:u w:val="single"/>
          <w:rtl/>
          <w14:ligatures w14:val="standardContextual"/>
        </w:rPr>
        <w:t>ات</w:t>
      </w:r>
      <w:r w:rsidRPr="00157377">
        <w:rPr>
          <w:rFonts w:ascii="Simplified Arabic" w:eastAsia="Calibri" w:hAnsi="Simplified Arabic" w:cs="Simplified Arabic"/>
          <w:b/>
          <w:bCs/>
          <w:kern w:val="2"/>
          <w:sz w:val="28"/>
          <w:szCs w:val="28"/>
          <w:u w:val="single"/>
          <w:rtl/>
          <w14:ligatures w14:val="standardContextual"/>
        </w:rPr>
        <w:t xml:space="preserve"> العلمية المتبعة  لإعداد البحث</w:t>
      </w:r>
    </w:p>
    <w:p w:rsidR="00157377" w:rsidRDefault="00157377" w:rsidP="00157377">
      <w:pPr>
        <w:spacing w:after="160"/>
        <w:jc w:val="both"/>
        <w:rPr>
          <w:rFonts w:ascii="Simplified Arabic" w:eastAsia="Calibri" w:hAnsi="Simplified Arabic" w:cs="Simplified Arabic" w:hint="cs"/>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تستند هذه الدراسة إلى مجموعة من المنطلقات النظرية التي تشكل الإطار </w:t>
      </w:r>
      <w:proofErr w:type="spellStart"/>
      <w:r w:rsidRPr="00157377">
        <w:rPr>
          <w:rFonts w:ascii="Simplified Arabic" w:eastAsia="Calibri" w:hAnsi="Simplified Arabic" w:cs="Simplified Arabic"/>
          <w:kern w:val="2"/>
          <w:sz w:val="28"/>
          <w:szCs w:val="28"/>
          <w:rtl/>
          <w14:ligatures w14:val="standardContextual"/>
        </w:rPr>
        <w:t>المفاهيمي</w:t>
      </w:r>
      <w:proofErr w:type="spellEnd"/>
      <w:r w:rsidRPr="00157377">
        <w:rPr>
          <w:rFonts w:ascii="Simplified Arabic" w:eastAsia="Calibri" w:hAnsi="Simplified Arabic" w:cs="Simplified Arabic"/>
          <w:kern w:val="2"/>
          <w:sz w:val="28"/>
          <w:szCs w:val="28"/>
          <w:rtl/>
          <w14:ligatures w14:val="standardContextual"/>
        </w:rPr>
        <w:t xml:space="preserve"> لفهم العلاقة بين المخاطر التشغيلية وكفاءة الأداء في الجمعيات الخيرية، وتُسهم في بناء تصور علمي متكامل حول طبيعة هذه العلاقة، وآليات تأثيرها في السياق المؤسسي المحلي. وتتمثل أبرز هذه المنطلقات فيما يلي: </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b/>
          <w:bCs/>
          <w:kern w:val="2"/>
          <w:sz w:val="28"/>
          <w:szCs w:val="28"/>
          <w:u w:val="single"/>
          <w:rtl/>
          <w14:ligatures w14:val="standardContextual"/>
        </w:rPr>
        <w:lastRenderedPageBreak/>
        <w:t>نظرية إدارة المخاطر (</w:t>
      </w:r>
      <w:r w:rsidRPr="00157377">
        <w:rPr>
          <w:rFonts w:ascii="Simplified Arabic" w:eastAsia="Calibri" w:hAnsi="Simplified Arabic" w:cs="Simplified Arabic"/>
          <w:b/>
          <w:bCs/>
          <w:kern w:val="2"/>
          <w:sz w:val="28"/>
          <w:szCs w:val="28"/>
          <w:u w:val="single"/>
          <w14:ligatures w14:val="standardContextual"/>
        </w:rPr>
        <w:t>Risk Management Theory</w:t>
      </w:r>
      <w:r w:rsidRPr="00157377">
        <w:rPr>
          <w:rFonts w:ascii="Simplified Arabic" w:eastAsia="Calibri" w:hAnsi="Simplified Arabic" w:cs="Simplified Arabic"/>
          <w:b/>
          <w:bCs/>
          <w:kern w:val="2"/>
          <w:sz w:val="28"/>
          <w:szCs w:val="28"/>
          <w:u w:val="single"/>
          <w:rtl/>
          <w14:ligatures w14:val="standardContextual"/>
        </w:rPr>
        <w:t>)</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تُبنى المسؤولية الإدارية، من الناحية النظرية، على أساس ارتكاب الإدارة لخطأ في سلوكها يؤدي إلى إلحاق ضرر بالغير، مما يستوجب تعويض المتضرر. إلا أن مجلس الدولة الفرنسي أقر نوعًا آخر من المسؤولية لا يستند إلى فكرة الخطأ، ويُعرف بالمسؤولية دون خطأ أو المسؤولية على أساس المخاطر. وترتبط نشأة نظرية المخاطر بتطور مفهوم الخطأ الشخصي كمصدر للمسؤولية، حيث تحوّل تدريجيًا إلى الخطأ المفترض القابل للنفي، ثم إلى الخطأ المفترض غير القابل للنفي، وصولًا إلى ما يُعرف بالخطأ المجهول في بعض الحالات. وفي نهاية هذا التطور، ظهرت نظرية المخاطر أو ما يُعرف بتحمل التبعة  وتقوم الفكرة الجوهرية لهذه النظرية على تحقيق توازن عادل بين المنافع التي توفرها المرافق العامة، وبين الأضرار التي قد تنجم </w:t>
      </w:r>
      <w:proofErr w:type="spellStart"/>
      <w:r w:rsidRPr="00157377">
        <w:rPr>
          <w:rFonts w:ascii="Simplified Arabic" w:eastAsia="Calibri" w:hAnsi="Simplified Arabic" w:cs="Simplified Arabic"/>
          <w:kern w:val="2"/>
          <w:sz w:val="28"/>
          <w:szCs w:val="28"/>
          <w:rtl/>
          <w14:ligatures w14:val="standardContextual"/>
        </w:rPr>
        <w:t>عنهاويُقصد</w:t>
      </w:r>
      <w:proofErr w:type="spellEnd"/>
      <w:r w:rsidRPr="00157377">
        <w:rPr>
          <w:rFonts w:ascii="Simplified Arabic" w:eastAsia="Calibri" w:hAnsi="Simplified Arabic" w:cs="Simplified Arabic"/>
          <w:kern w:val="2"/>
          <w:sz w:val="28"/>
          <w:szCs w:val="28"/>
          <w:rtl/>
          <w14:ligatures w14:val="standardContextual"/>
        </w:rPr>
        <w:t xml:space="preserve"> بالمسؤولية دون خطأ أن الإدارة تتحمل تبعات الضرر الذي يصيب الأفراد نتيجة لأعمالها، حتى وإن لم يصدر عنها أي خطأ، مما يترتب عليه التزامها بإصلاح الضرر الذي تسببت فيه. ( محمد , 2024 , ص 71)</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وقد عرّف مجلس الدولة الفرنسي هذه المسؤولية بأنها "مسؤولية مالية تقع على عاتق الأشخاص العموميين، ويكفي فيها أن يُثبت الضحايا وجود علاقة سببية بين النشاط الإداري والضرر الذي لحق بهم" وتُعد المسؤولية بالمعنى المادي أكثر اتساعًا من المسؤولية بالمعنى العضوي، إذ تشمل أيضًا الأفراد الذين يؤدون مهام ذات مصلحة عامة أو يقدمون خدمات عامة مباشرة، أو أولئك الذين يستفيدون من صلاحيات السلطة العامة وتقوم هذه المسؤولية على ركنين أساسيين فقط: وقوع الضرر، ووجود علاقة سببية بين الفعل الإداري والضرر، دون الحاجة لإثبات وجود خطأ، سواء كان واجب الإثبات أو مفترضًا ويُنظر إلى التعويض في هذا السياق على أنه وسيلة لجبر الضرر، وليس عقوبة على خطأ ارتكبته الإدارة  ( محمد , 2024 , ص 71) </w:t>
      </w:r>
    </w:p>
    <w:p w:rsidR="00157377" w:rsidRDefault="00157377" w:rsidP="00157377">
      <w:pPr>
        <w:spacing w:after="160"/>
        <w:jc w:val="both"/>
        <w:rPr>
          <w:rFonts w:ascii="Simplified Arabic" w:eastAsia="Calibri" w:hAnsi="Simplified Arabic" w:cs="Simplified Arabic" w:hint="cs"/>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وفي عام 1981، قدّم "</w:t>
      </w:r>
      <w:proofErr w:type="spellStart"/>
      <w:r w:rsidRPr="00157377">
        <w:rPr>
          <w:rFonts w:ascii="Simplified Arabic" w:eastAsia="Calibri" w:hAnsi="Simplified Arabic" w:cs="Simplified Arabic"/>
          <w:kern w:val="2"/>
          <w:sz w:val="28"/>
          <w:szCs w:val="28"/>
          <w:rtl/>
          <w14:ligatures w14:val="standardContextual"/>
        </w:rPr>
        <w:t>باكوت</w:t>
      </w:r>
      <w:proofErr w:type="spellEnd"/>
      <w:r w:rsidRPr="00157377">
        <w:rPr>
          <w:rFonts w:ascii="Simplified Arabic" w:eastAsia="Calibri" w:hAnsi="Simplified Arabic" w:cs="Simplified Arabic"/>
          <w:kern w:val="2"/>
          <w:sz w:val="28"/>
          <w:szCs w:val="28"/>
          <w:rtl/>
          <w14:ligatures w14:val="standardContextual"/>
        </w:rPr>
        <w:t xml:space="preserve">" </w:t>
      </w:r>
      <w:proofErr w:type="spellStart"/>
      <w:r w:rsidRPr="00157377">
        <w:rPr>
          <w:rFonts w:ascii="Simplified Arabic" w:eastAsia="Calibri" w:hAnsi="Simplified Arabic" w:cs="Simplified Arabic"/>
          <w:kern w:val="2"/>
          <w:sz w:val="28"/>
          <w:szCs w:val="28"/>
          <w:rtl/>
          <w14:ligatures w14:val="standardContextual"/>
        </w:rPr>
        <w:t>و"بانستر</w:t>
      </w:r>
      <w:proofErr w:type="spellEnd"/>
      <w:r w:rsidRPr="00157377">
        <w:rPr>
          <w:rFonts w:ascii="Simplified Arabic" w:eastAsia="Calibri" w:hAnsi="Simplified Arabic" w:cs="Simplified Arabic"/>
          <w:kern w:val="2"/>
          <w:sz w:val="28"/>
          <w:szCs w:val="28"/>
          <w:rtl/>
          <w14:ligatures w14:val="standardContextual"/>
        </w:rPr>
        <w:t xml:space="preserve">" تعريفًا أكثر اتساعًا لإدارة المخاطر، باعتبارها عملية تشمل تحديد المخاطر، وقياسها، ثم الرقابة الاقتصادية عليها، بما يهدد أصول المؤسسة أو أرباحها. وقد حظي هذا التعريف بقبول واسع، نظرًا لتوافقه مع الوظائف الإدارية الأساسية، وارتباطه الوثيق بعملية اتخاذ القرار، التي تُعد جوهرًا في العمل المؤسسي الحديث. . ( الشيباني , 2005 , ص </w:t>
      </w:r>
      <w:proofErr w:type="spellStart"/>
      <w:r w:rsidRPr="00157377">
        <w:rPr>
          <w:rFonts w:ascii="Simplified Arabic" w:eastAsia="Calibri" w:hAnsi="Simplified Arabic" w:cs="Simplified Arabic"/>
          <w:kern w:val="2"/>
          <w:sz w:val="28"/>
          <w:szCs w:val="28"/>
          <w:rtl/>
          <w14:ligatures w14:val="standardContextual"/>
        </w:rPr>
        <w:t>ص</w:t>
      </w:r>
      <w:proofErr w:type="spellEnd"/>
      <w:r w:rsidRPr="00157377">
        <w:rPr>
          <w:rFonts w:ascii="Simplified Arabic" w:eastAsia="Calibri" w:hAnsi="Simplified Arabic" w:cs="Simplified Arabic"/>
          <w:kern w:val="2"/>
          <w:sz w:val="28"/>
          <w:szCs w:val="28"/>
          <w:rtl/>
          <w14:ligatures w14:val="standardContextual"/>
        </w:rPr>
        <w:t xml:space="preserve"> 154 – 159)</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lastRenderedPageBreak/>
        <w:t xml:space="preserve">     ومع ذلك، أثار هذا التعريف جدلًا واسعًا، إذ تبنّى مقولة مفادها أن "كل إدارة هي إدارة مخاطر"، وهو تصور شمولي قد يؤدي إلى رفع مستويات التحوط بشكل مفرط، ويُحمّل المؤسسات أعباء مالية غير مبررة، كما أنه يفتح المجال أمام التعامل مع المخاطر غير المحسوسة أو التخمينية، مما يُربك عملية التقييم الواقعي للمخاطر الفعلية. ومن هنا، يتضح أن إدارة المخاطر لا تقتصر على وجود المخاطر فحسب، بل تشمل أيضًا قبولها أو رفضها بناءً على تحليل التكلفة والعائد، ومدى تأثيرها على أهداف المؤسسة واستراتيجياتها. ويُعد هذا التمييز بين وجود المخاطر وقبولها أمرًا جوهريًا في بناء سياسة مؤسسية رشيدة لإدارة المخاطر، توازن بين الحذر المفرط والانفتاح المدروس على الفرص. ( الشيباني , 2005 , ص </w:t>
      </w:r>
      <w:proofErr w:type="spellStart"/>
      <w:r w:rsidRPr="00157377">
        <w:rPr>
          <w:rFonts w:ascii="Simplified Arabic" w:eastAsia="Calibri" w:hAnsi="Simplified Arabic" w:cs="Simplified Arabic"/>
          <w:kern w:val="2"/>
          <w:sz w:val="28"/>
          <w:szCs w:val="28"/>
          <w:rtl/>
          <w14:ligatures w14:val="standardContextual"/>
        </w:rPr>
        <w:t>ص</w:t>
      </w:r>
      <w:proofErr w:type="spellEnd"/>
      <w:r w:rsidRPr="00157377">
        <w:rPr>
          <w:rFonts w:ascii="Simplified Arabic" w:eastAsia="Calibri" w:hAnsi="Simplified Arabic" w:cs="Simplified Arabic"/>
          <w:kern w:val="2"/>
          <w:sz w:val="28"/>
          <w:szCs w:val="28"/>
          <w:rtl/>
          <w14:ligatures w14:val="standardContextual"/>
        </w:rPr>
        <w:t xml:space="preserve"> 154 – 159)</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وقد نشأت نظرية إدارة المخاطر في الأصل استجابة لحاجتين أساسيتين: الأولى نظرية علمية، والثانية عملية واقعية. فمن الناحية النظرية، دعت المدرسة الوضعية إلى التركيز على الجانب الموضوعي في المسؤولية، معتبرة أن تقييم الأداء المؤسسي يجب أن يستند إلى نتائج الفعل وآثاره، لا إلى النوايا أو الدوافع الذاتية. أما من الناحية العملية، فقد أظهرت التطورات الاقتصادية والصناعية منذ القرن التاسع عشر أن بيئة العمل أصبحت أكثر عرضة للمخاطر، وأن الاعتماد على إثبات الخطأ لم يعد كافيًا لحماية المؤسسات أو الأفراد من الأضرار المحتملة. وفي هذا السياق، برزت الحاجة إلى تبني نموذج إداري يُعنى بإدارة المخاطر بشكل منهجي، حيث يتم تحديد مصادر الخطر المحتملة داخل المؤسسة، سواء كانت تشغيلية أو مالية أو بشرية، ثم تحليل درجة تأثيرها، وتطوير استراتيجيات للحد منها أو التكيف معها. وتُعد هذه النظرية اليوم من الركائز الأساسية في الإدارة الحديثة، إذ تساهم في تعزيز الاستقرار المؤسسي، وتحسين جودة الأداء، وضمان استمرارية العمليات في ظل بيئات متغيرة ومعقدة. ( الشيباني , 2005 , ص </w:t>
      </w:r>
      <w:proofErr w:type="spellStart"/>
      <w:r w:rsidRPr="00157377">
        <w:rPr>
          <w:rFonts w:ascii="Simplified Arabic" w:eastAsia="Calibri" w:hAnsi="Simplified Arabic" w:cs="Simplified Arabic"/>
          <w:kern w:val="2"/>
          <w:sz w:val="28"/>
          <w:szCs w:val="28"/>
          <w:rtl/>
          <w14:ligatures w14:val="standardContextual"/>
        </w:rPr>
        <w:t>ص</w:t>
      </w:r>
      <w:proofErr w:type="spellEnd"/>
      <w:r w:rsidRPr="00157377">
        <w:rPr>
          <w:rFonts w:ascii="Simplified Arabic" w:eastAsia="Calibri" w:hAnsi="Simplified Arabic" w:cs="Simplified Arabic"/>
          <w:kern w:val="2"/>
          <w:sz w:val="28"/>
          <w:szCs w:val="28"/>
          <w:rtl/>
          <w14:ligatures w14:val="standardContextual"/>
        </w:rPr>
        <w:t xml:space="preserve"> 154 – 159)</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وتتجلى أهمية إدارة المخاطر في المؤسسات من خلال قدرتها على تحويل التهديدات المحتملة إلى فرص للتحسين والتطوير، وذلك عبر بناء أنظمة رقابية فعالة، وتوثيق الأدوار والمسؤوليات، وتكامل السياسات الداخلية مع الأهداف الاستراتيجية. كما أن المؤسسات التي تتبنى هذه النظرية تكون أكثر استعدادًا لمواجهة الأزمات، وأكثر قدرة على اتخاذ قرارات رشيدة مبنية على تحليل واقعي للمخاطر. إن نظرية إدارة المخاطر لا تُعنى فقط بتفادي الأضرار، بل تهدف إلى بناء ثقافة مؤسسية واعية بالمخاطر، قادرة على التكيف، والتعلم، والتطور. ( الشيباني , 2005 , ص </w:t>
      </w:r>
      <w:proofErr w:type="spellStart"/>
      <w:r w:rsidRPr="00157377">
        <w:rPr>
          <w:rFonts w:ascii="Simplified Arabic" w:eastAsia="Calibri" w:hAnsi="Simplified Arabic" w:cs="Simplified Arabic"/>
          <w:kern w:val="2"/>
          <w:sz w:val="28"/>
          <w:szCs w:val="28"/>
          <w:rtl/>
          <w14:ligatures w14:val="standardContextual"/>
        </w:rPr>
        <w:t>ص</w:t>
      </w:r>
      <w:proofErr w:type="spellEnd"/>
      <w:r w:rsidRPr="00157377">
        <w:rPr>
          <w:rFonts w:ascii="Simplified Arabic" w:eastAsia="Calibri" w:hAnsi="Simplified Arabic" w:cs="Simplified Arabic"/>
          <w:kern w:val="2"/>
          <w:sz w:val="28"/>
          <w:szCs w:val="28"/>
          <w:rtl/>
          <w14:ligatures w14:val="standardContextual"/>
        </w:rPr>
        <w:t xml:space="preserve"> 154 – 159)</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lastRenderedPageBreak/>
        <w:t xml:space="preserve">     وهي بذلك تمثل تحولًا نوعيًا في الفكر الإداري، من رد الفعل إلى الاستباق، ومن المساءلة الفردية إلى المسؤولية المؤسسية الشاملة. ( الشيباني , 2005 , ص </w:t>
      </w:r>
      <w:proofErr w:type="spellStart"/>
      <w:r w:rsidRPr="00157377">
        <w:rPr>
          <w:rFonts w:ascii="Simplified Arabic" w:eastAsia="Calibri" w:hAnsi="Simplified Arabic" w:cs="Simplified Arabic"/>
          <w:kern w:val="2"/>
          <w:sz w:val="28"/>
          <w:szCs w:val="28"/>
          <w:rtl/>
          <w14:ligatures w14:val="standardContextual"/>
        </w:rPr>
        <w:t>ص</w:t>
      </w:r>
      <w:proofErr w:type="spellEnd"/>
      <w:r w:rsidRPr="00157377">
        <w:rPr>
          <w:rFonts w:ascii="Simplified Arabic" w:eastAsia="Calibri" w:hAnsi="Simplified Arabic" w:cs="Simplified Arabic"/>
          <w:kern w:val="2"/>
          <w:sz w:val="28"/>
          <w:szCs w:val="28"/>
          <w:rtl/>
          <w14:ligatures w14:val="standardContextual"/>
        </w:rPr>
        <w:t xml:space="preserve"> 154 – 159)</w:t>
      </w:r>
    </w:p>
    <w:p w:rsidR="00157377" w:rsidRPr="00157377" w:rsidRDefault="00157377" w:rsidP="00157377">
      <w:pPr>
        <w:spacing w:after="160"/>
        <w:jc w:val="both"/>
        <w:rPr>
          <w:rFonts w:ascii="Simplified Arabic" w:eastAsia="Calibri" w:hAnsi="Simplified Arabic" w:cs="Simplified Arabic"/>
          <w:kern w:val="2"/>
          <w:sz w:val="28"/>
          <w:szCs w:val="28"/>
          <w:u w:val="single"/>
          <w:rtl/>
          <w14:ligatures w14:val="standardContextual"/>
        </w:rPr>
      </w:pPr>
      <w:r w:rsidRPr="00157377">
        <w:rPr>
          <w:rFonts w:ascii="Simplified Arabic" w:eastAsia="Calibri" w:hAnsi="Simplified Arabic" w:cs="Simplified Arabic"/>
          <w:b/>
          <w:bCs/>
          <w:kern w:val="2"/>
          <w:sz w:val="28"/>
          <w:szCs w:val="28"/>
          <w:rtl/>
          <w14:ligatures w14:val="standardContextual"/>
        </w:rPr>
        <w:t xml:space="preserve"> وتري الباحثة</w:t>
      </w:r>
      <w:r w:rsidRPr="00157377">
        <w:rPr>
          <w:rFonts w:ascii="Simplified Arabic" w:eastAsia="Calibri" w:hAnsi="Simplified Arabic" w:cs="Simplified Arabic"/>
          <w:kern w:val="2"/>
          <w:sz w:val="28"/>
          <w:szCs w:val="28"/>
          <w:rtl/>
          <w14:ligatures w14:val="standardContextual"/>
        </w:rPr>
        <w:t xml:space="preserve"> من خلال ما سبق أن هذه النظرية  ترتكز على أن المؤسسات، بما في ذلك المنظمات غير الربحية، تواجه مجموعة من المخاطر التي قد تؤثر على قدرتها في تحقيق أهدافها. وتُعرّف إدارة المخاطر بأنها عملية منهجية تهدف إلى تحديد المخاطر المحتملة، وتحليلها، وتقييمها، ثم اتخاذ الإجراءات المناسبة للحد </w:t>
      </w: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r w:rsidRPr="00157377">
        <w:rPr>
          <w:rFonts w:ascii="Simplified Arabic" w:eastAsia="Calibri" w:hAnsi="Simplified Arabic" w:cs="Simplified Arabic"/>
          <w:b/>
          <w:bCs/>
          <w:kern w:val="2"/>
          <w:sz w:val="28"/>
          <w:szCs w:val="28"/>
          <w:u w:val="single"/>
          <w:rtl/>
          <w14:ligatures w14:val="standardContextual"/>
        </w:rPr>
        <w:t xml:space="preserve">ثانيا نظرية النظم </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تنطلق الدراسة من نظرية النظم بوصفها إطارًا فكريًا يعزز فهم المنظمة كنظام مفتوح يتكون من عناصر متعددة ترتبط ببعضها البعض بعلاقات متداخلة تؤثر وتتأثر فيما بينها باستمرار. وتُعد البيئة الخارجية عنصرًا محوريًا في هذا النظام، فهي التي تزوده بالمدخلات التي يحتاجها للبقاء والتطور، كما تستقبل مخرجاته من السلع والخدمات التي يقدمها للمجتمع. ولذلك فإن استمرارية المنظمة ونجاحها يرتبط مباشرة برضا المستفيدين من خدماتها، وبقدرتها على التفاعل مع البيئة المحيطة واستيعاب متغيراتها والاستجابة لها بمرونة. ( السواط واخرون , 1428 , ص 61)</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ويؤكد أصحاب منهج النظم على أن لا وجود لطريقة واحدة مثالية لتصميم الهيكل التنظيمي داخل المؤسسة، بل إن التنظيم الفاعل هو الذي يتكيف مع معطيات البيئة ويستجيب لتحدياتها وظروفها الخاصة. وهذا يعارض ما تبنّته المدرسة التقليدية التي افترضت وجود أسلوب أمثل واحد للتنظيم. ( السواط واخرون , 1428 , ص 61)</w:t>
      </w:r>
    </w:p>
    <w:p w:rsidR="00157377" w:rsidRDefault="00157377" w:rsidP="00157377">
      <w:pPr>
        <w:spacing w:after="160"/>
        <w:jc w:val="both"/>
        <w:rPr>
          <w:rFonts w:ascii="Simplified Arabic" w:eastAsia="Calibri" w:hAnsi="Simplified Arabic" w:cs="Simplified Arabic" w:hint="cs"/>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إن النظر إلى المنظمة كنظام مفتوح يضيف قيمة نظرية كبيرة للدراسة؛ فهو يؤكد على أهمية ارتباط التنظيم ببيئته، ويبرز ضرورة تصميم هياكل مرنة وقابلة للتطور، ويوضح أهمية التغذية الراجعة كمصدر رئيسي للمعلومات عن مدى فاعلية المنظمة وتقبل المجتمع لمخرجاتها. وتأتي هذه النظرية لتدعم فهم العلاقة بين المخاطر التشغيلية وكفاءة الأداء، إذ أن أي خلل في أحد عناصر النظام أو في علاقته بالبيئة الخارجية قد يُفضي إلى تراجع في الكفاءة وخلل في نتائج الأداء ( السواط واخرون , 1428 , ص 61) </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lastRenderedPageBreak/>
        <w:t xml:space="preserve">      يرتبط عنوان الدراسة ارتباطًا وثيقًا بمنظور نظرية النظم، حيث تنظر هذه النظرية إلى الجمعية الخيرية بوصفها نظامًا مفتوحًا يتكون من مجموعة من العناصر الداخلية التي تتفاعل باستمرار مع البيئة الخارجية. ووفقًا لهذا المنطلق، فإن المخاطر التشغيلية تمثل اضطرابات أو اختلالات داخل هذا النظام تؤثر على مدى ترابط عناصره وكفاءتها في تقديم الخدمة، بينما تمثل كفاءة الأداء المخرجات الناتجة عن فعالية هذه العناصر ومدى تكيفها مع المتغيرات المحيطة. ( السواط واخرون , 1428 , ص 61)</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b/>
          <w:bCs/>
          <w:kern w:val="2"/>
          <w:sz w:val="28"/>
          <w:szCs w:val="28"/>
          <w:rtl/>
          <w14:ligatures w14:val="standardContextual"/>
        </w:rPr>
        <w:t xml:space="preserve">     وتري الباحثة</w:t>
      </w:r>
      <w:r w:rsidRPr="00157377">
        <w:rPr>
          <w:rFonts w:ascii="Simplified Arabic" w:eastAsia="Calibri" w:hAnsi="Simplified Arabic" w:cs="Simplified Arabic"/>
          <w:kern w:val="2"/>
          <w:sz w:val="28"/>
          <w:szCs w:val="28"/>
          <w:rtl/>
          <w14:ligatures w14:val="standardContextual"/>
        </w:rPr>
        <w:t xml:space="preserve"> أنه بما أن البيئة الخارجية توفّر المدخلات الضرورية لاستمرار الجمعية (مثل التمويل، الدعم المجتمعي، الكوادر البشرية) وتستقبل مخرجاتها (خدماتها وأنشطتها)، فإن تجاهل تأثير تلك المخاطر أو ضعف القدرة على إدارتها قد يخلّ بتوازن النظام ويؤثر في جودة الأداء. لذلك، فإن تحليل هذه العلاقة من خلال نظرية النظم يُعد إطارًا مناسبًا لفهم الديناميكية التنظيمية للجمعيات الخيرية، خصوصًا في منطقة تتسم بالتنوع مثل المنطقة الشرقية.</w:t>
      </w: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line="259" w:lineRule="auto"/>
        <w:jc w:val="both"/>
        <w:rPr>
          <w:rFonts w:ascii="Simplified Arabic" w:eastAsia="Calibri" w:hAnsi="Simplified Arabic" w:cs="Simplified Arabic"/>
          <w:b/>
          <w:bCs/>
          <w:kern w:val="2"/>
          <w:sz w:val="28"/>
          <w:szCs w:val="28"/>
          <w:rtl/>
          <w14:ligatures w14:val="standardContextual"/>
        </w:rPr>
      </w:pPr>
    </w:p>
    <w:p w:rsidR="00157377" w:rsidRPr="00157377" w:rsidRDefault="00157377" w:rsidP="00157377">
      <w:pPr>
        <w:spacing w:after="160" w:line="259" w:lineRule="auto"/>
        <w:jc w:val="both"/>
        <w:rPr>
          <w:rFonts w:ascii="Simplified Arabic" w:eastAsia="Calibri" w:hAnsi="Simplified Arabic" w:cs="Simplified Arabic"/>
          <w:b/>
          <w:bCs/>
          <w:kern w:val="2"/>
          <w:sz w:val="28"/>
          <w:szCs w:val="28"/>
          <w:rtl/>
          <w14:ligatures w14:val="standardContextual"/>
        </w:rPr>
      </w:pPr>
    </w:p>
    <w:p w:rsidR="00157377" w:rsidRPr="00157377" w:rsidRDefault="00157377" w:rsidP="00157377">
      <w:pPr>
        <w:spacing w:after="160" w:line="259" w:lineRule="auto"/>
        <w:jc w:val="both"/>
        <w:rPr>
          <w:rFonts w:ascii="Simplified Arabic" w:eastAsia="Calibri" w:hAnsi="Simplified Arabic" w:cs="Simplified Arabic"/>
          <w:b/>
          <w:bCs/>
          <w:kern w:val="2"/>
          <w:sz w:val="28"/>
          <w:szCs w:val="28"/>
          <w:rtl/>
          <w14:ligatures w14:val="standardContextual"/>
        </w:rPr>
      </w:pPr>
    </w:p>
    <w:p w:rsidR="00157377" w:rsidRPr="00157377" w:rsidRDefault="00157377" w:rsidP="00157377">
      <w:pPr>
        <w:spacing w:after="160" w:line="259" w:lineRule="auto"/>
        <w:jc w:val="both"/>
        <w:rPr>
          <w:rFonts w:ascii="Simplified Arabic" w:eastAsia="Calibri" w:hAnsi="Simplified Arabic" w:cs="Simplified Arabic"/>
          <w:b/>
          <w:bCs/>
          <w:kern w:val="2"/>
          <w:sz w:val="28"/>
          <w:szCs w:val="28"/>
          <w:rtl/>
          <w14:ligatures w14:val="standardContextual"/>
        </w:rPr>
      </w:pPr>
    </w:p>
    <w:p w:rsidR="00157377" w:rsidRPr="00157377" w:rsidRDefault="00157377" w:rsidP="00157377">
      <w:pPr>
        <w:spacing w:after="160" w:line="259" w:lineRule="auto"/>
        <w:jc w:val="both"/>
        <w:rPr>
          <w:rFonts w:ascii="Simplified Arabic" w:eastAsia="Calibri" w:hAnsi="Simplified Arabic" w:cs="Simplified Arabic"/>
          <w:b/>
          <w:bCs/>
          <w:kern w:val="2"/>
          <w:sz w:val="28"/>
          <w:szCs w:val="28"/>
          <w:rtl/>
          <w14:ligatures w14:val="standardContextual"/>
        </w:rPr>
      </w:pPr>
    </w:p>
    <w:p w:rsidR="00157377" w:rsidRPr="00157377" w:rsidRDefault="00157377" w:rsidP="00157377">
      <w:pPr>
        <w:spacing w:after="160" w:line="259" w:lineRule="auto"/>
        <w:jc w:val="both"/>
        <w:rPr>
          <w:rFonts w:ascii="Simplified Arabic" w:eastAsia="Calibri" w:hAnsi="Simplified Arabic" w:cs="Simplified Arabic"/>
          <w:b/>
          <w:bCs/>
          <w:kern w:val="2"/>
          <w:sz w:val="28"/>
          <w:szCs w:val="28"/>
          <w:rtl/>
          <w14:ligatures w14:val="standardContextual"/>
        </w:rPr>
      </w:pPr>
    </w:p>
    <w:p w:rsidR="00157377" w:rsidRPr="00157377" w:rsidRDefault="00157377" w:rsidP="00157377">
      <w:pPr>
        <w:spacing w:after="160" w:line="259" w:lineRule="auto"/>
        <w:jc w:val="both"/>
        <w:rPr>
          <w:rFonts w:ascii="Simplified Arabic" w:eastAsia="Calibri" w:hAnsi="Simplified Arabic" w:cs="Simplified Arabic"/>
          <w:b/>
          <w:bCs/>
          <w:kern w:val="2"/>
          <w:sz w:val="28"/>
          <w:szCs w:val="28"/>
          <w:rtl/>
          <w14:ligatures w14:val="standardContextual"/>
        </w:rPr>
      </w:pPr>
    </w:p>
    <w:p w:rsidR="00157377" w:rsidRPr="00157377" w:rsidRDefault="00157377" w:rsidP="00157377">
      <w:pPr>
        <w:spacing w:after="160" w:line="259" w:lineRule="auto"/>
        <w:jc w:val="center"/>
        <w:rPr>
          <w:rFonts w:ascii="Simplified Arabic" w:eastAsia="Calibri" w:hAnsi="Simplified Arabic" w:cs="Simplified Arabic"/>
          <w:b/>
          <w:bCs/>
          <w:kern w:val="2"/>
          <w:sz w:val="28"/>
          <w:szCs w:val="28"/>
          <w:rtl/>
          <w14:ligatures w14:val="standardContextual"/>
        </w:rPr>
      </w:pPr>
    </w:p>
    <w:p w:rsidR="00157377" w:rsidRDefault="00157377" w:rsidP="00157377">
      <w:pPr>
        <w:spacing w:after="160" w:line="259" w:lineRule="auto"/>
        <w:jc w:val="center"/>
        <w:rPr>
          <w:rFonts w:ascii="Simplified Arabic" w:eastAsia="Calibri" w:hAnsi="Simplified Arabic" w:cs="Simplified Arabic" w:hint="cs"/>
          <w:kern w:val="2"/>
          <w:sz w:val="40"/>
          <w:szCs w:val="40"/>
          <w:rtl/>
          <w14:ligatures w14:val="standardContextual"/>
        </w:rPr>
      </w:pPr>
    </w:p>
    <w:p w:rsidR="00157377" w:rsidRDefault="00157377" w:rsidP="00157377">
      <w:pPr>
        <w:spacing w:after="160" w:line="259" w:lineRule="auto"/>
        <w:jc w:val="center"/>
        <w:rPr>
          <w:rFonts w:ascii="Simplified Arabic" w:eastAsia="Calibri" w:hAnsi="Simplified Arabic" w:cs="Simplified Arabic" w:hint="cs"/>
          <w:kern w:val="2"/>
          <w:sz w:val="40"/>
          <w:szCs w:val="40"/>
          <w:rtl/>
          <w14:ligatures w14:val="standardContextual"/>
        </w:rPr>
      </w:pPr>
    </w:p>
    <w:p w:rsidR="00157377" w:rsidRDefault="00157377" w:rsidP="00157377">
      <w:pPr>
        <w:spacing w:after="160" w:line="259" w:lineRule="auto"/>
        <w:jc w:val="center"/>
        <w:rPr>
          <w:rFonts w:ascii="Simplified Arabic" w:eastAsia="Calibri" w:hAnsi="Simplified Arabic" w:cs="Simplified Arabic" w:hint="cs"/>
          <w:kern w:val="2"/>
          <w:sz w:val="40"/>
          <w:szCs w:val="40"/>
          <w:rtl/>
          <w14:ligatures w14:val="standardContextual"/>
        </w:rPr>
      </w:pPr>
    </w:p>
    <w:p w:rsidR="00157377" w:rsidRDefault="00157377" w:rsidP="00157377">
      <w:pPr>
        <w:spacing w:after="160" w:line="259" w:lineRule="auto"/>
        <w:jc w:val="center"/>
        <w:rPr>
          <w:rFonts w:ascii="Simplified Arabic" w:eastAsia="Calibri" w:hAnsi="Simplified Arabic" w:cs="Simplified Arabic" w:hint="cs"/>
          <w:kern w:val="2"/>
          <w:sz w:val="40"/>
          <w:szCs w:val="40"/>
          <w:rtl/>
          <w14:ligatures w14:val="standardContextual"/>
        </w:rPr>
      </w:pPr>
    </w:p>
    <w:p w:rsidR="00157377" w:rsidRDefault="00157377" w:rsidP="00157377">
      <w:pPr>
        <w:spacing w:after="160" w:line="259" w:lineRule="auto"/>
        <w:jc w:val="center"/>
        <w:rPr>
          <w:rFonts w:ascii="Simplified Arabic" w:eastAsia="Calibri" w:hAnsi="Simplified Arabic" w:cs="Simplified Arabic" w:hint="cs"/>
          <w:kern w:val="2"/>
          <w:sz w:val="40"/>
          <w:szCs w:val="40"/>
          <w:rtl/>
          <w14:ligatures w14:val="standardContextual"/>
        </w:rPr>
      </w:pPr>
    </w:p>
    <w:p w:rsidR="00157377" w:rsidRDefault="00157377" w:rsidP="00157377">
      <w:pPr>
        <w:spacing w:after="160" w:line="259" w:lineRule="auto"/>
        <w:jc w:val="center"/>
        <w:rPr>
          <w:rFonts w:ascii="Simplified Arabic" w:eastAsia="Calibri" w:hAnsi="Simplified Arabic" w:cs="Simplified Arabic" w:hint="cs"/>
          <w:kern w:val="2"/>
          <w:sz w:val="40"/>
          <w:szCs w:val="40"/>
          <w:rtl/>
          <w14:ligatures w14:val="standardContextual"/>
        </w:rPr>
      </w:pPr>
    </w:p>
    <w:p w:rsidR="00157377" w:rsidRDefault="00157377" w:rsidP="00157377">
      <w:pPr>
        <w:spacing w:after="160" w:line="259" w:lineRule="auto"/>
        <w:jc w:val="center"/>
        <w:rPr>
          <w:rFonts w:ascii="Simplified Arabic" w:eastAsia="Calibri" w:hAnsi="Simplified Arabic" w:cs="Simplified Arabic" w:hint="cs"/>
          <w:kern w:val="2"/>
          <w:sz w:val="40"/>
          <w:szCs w:val="40"/>
          <w:rtl/>
          <w14:ligatures w14:val="standardContextual"/>
        </w:rPr>
      </w:pPr>
    </w:p>
    <w:p w:rsidR="00157377" w:rsidRPr="00157377" w:rsidRDefault="00157377" w:rsidP="00157377">
      <w:pPr>
        <w:spacing w:after="160" w:line="259" w:lineRule="auto"/>
        <w:jc w:val="center"/>
        <w:rPr>
          <w:rFonts w:ascii="Simplified Arabic" w:eastAsia="Calibri" w:hAnsi="Simplified Arabic" w:cs="Simplified Arabic"/>
          <w:kern w:val="2"/>
          <w:sz w:val="40"/>
          <w:szCs w:val="40"/>
          <w:rtl/>
          <w14:ligatures w14:val="standardContextual"/>
        </w:rPr>
      </w:pPr>
      <w:r w:rsidRPr="00157377">
        <w:rPr>
          <w:rFonts w:ascii="Simplified Arabic" w:eastAsia="Calibri" w:hAnsi="Simplified Arabic" w:cs="Simplified Arabic"/>
          <w:kern w:val="2"/>
          <w:sz w:val="40"/>
          <w:szCs w:val="40"/>
          <w:rtl/>
          <w14:ligatures w14:val="standardContextual"/>
        </w:rPr>
        <w:t>الفصل الثاني</w:t>
      </w:r>
    </w:p>
    <w:p w:rsidR="00157377" w:rsidRPr="00157377" w:rsidRDefault="00157377" w:rsidP="00157377">
      <w:pPr>
        <w:spacing w:after="160" w:line="259" w:lineRule="auto"/>
        <w:jc w:val="center"/>
        <w:rPr>
          <w:rFonts w:ascii="Simplified Arabic" w:eastAsia="Calibri" w:hAnsi="Simplified Arabic" w:cs="Simplified Arabic"/>
          <w:kern w:val="2"/>
          <w:sz w:val="40"/>
          <w:szCs w:val="40"/>
          <w:rtl/>
          <w14:ligatures w14:val="standardContextual"/>
        </w:rPr>
      </w:pPr>
      <w:r w:rsidRPr="00157377">
        <w:rPr>
          <w:rFonts w:ascii="Simplified Arabic" w:eastAsia="Calibri" w:hAnsi="Simplified Arabic" w:cs="Simplified Arabic"/>
          <w:kern w:val="2"/>
          <w:sz w:val="40"/>
          <w:szCs w:val="40"/>
          <w:rtl/>
          <w14:ligatures w14:val="standardContextual"/>
        </w:rPr>
        <w:t>الدراسات السابقة</w:t>
      </w:r>
      <w:r w:rsidRPr="00157377">
        <w:rPr>
          <w:rFonts w:ascii="Simplified Arabic" w:eastAsia="Calibri" w:hAnsi="Simplified Arabic" w:cs="Simplified Arabic" w:hint="cs"/>
          <w:kern w:val="2"/>
          <w:sz w:val="40"/>
          <w:szCs w:val="40"/>
          <w:rtl/>
          <w14:ligatures w14:val="standardContextual"/>
        </w:rPr>
        <w:t xml:space="preserve"> والاطار النظري</w:t>
      </w: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Default="00157377" w:rsidP="00157377">
      <w:pPr>
        <w:spacing w:after="160"/>
        <w:jc w:val="both"/>
        <w:rPr>
          <w:rFonts w:ascii="Simplified Arabic" w:eastAsia="Calibri" w:hAnsi="Simplified Arabic" w:cs="Simplified Arabic" w:hint="cs"/>
          <w:b/>
          <w:bCs/>
          <w:kern w:val="2"/>
          <w:sz w:val="28"/>
          <w:szCs w:val="28"/>
          <w:u w:val="single"/>
          <w:rtl/>
          <w14:ligatures w14:val="standardContextual"/>
        </w:rPr>
      </w:pPr>
    </w:p>
    <w:p w:rsidR="00157377" w:rsidRDefault="00157377" w:rsidP="00157377">
      <w:pPr>
        <w:spacing w:after="160"/>
        <w:jc w:val="both"/>
        <w:rPr>
          <w:rFonts w:ascii="Simplified Arabic" w:eastAsia="Calibri" w:hAnsi="Simplified Arabic" w:cs="Simplified Arabic" w:hint="cs"/>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r w:rsidRPr="00157377">
        <w:rPr>
          <w:rFonts w:ascii="Simplified Arabic" w:eastAsia="Calibri" w:hAnsi="Simplified Arabic" w:cs="Simplified Arabic"/>
          <w:b/>
          <w:bCs/>
          <w:kern w:val="2"/>
          <w:sz w:val="28"/>
          <w:szCs w:val="28"/>
          <w:u w:val="single"/>
          <w:rtl/>
          <w14:ligatures w14:val="standardContextual"/>
        </w:rPr>
        <w:lastRenderedPageBreak/>
        <w:t>الدراسات السابقة:</w:t>
      </w: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r w:rsidRPr="00157377">
        <w:rPr>
          <w:rFonts w:ascii="Simplified Arabic" w:eastAsia="Calibri" w:hAnsi="Simplified Arabic" w:cs="Simplified Arabic"/>
          <w:b/>
          <w:bCs/>
          <w:kern w:val="2"/>
          <w:sz w:val="28"/>
          <w:szCs w:val="28"/>
          <w:u w:val="single"/>
          <w:rtl/>
          <w14:ligatures w14:val="standardContextual"/>
        </w:rPr>
        <w:t xml:space="preserve">اولا :  الدراسات العربية </w:t>
      </w: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r w:rsidRPr="00157377">
        <w:rPr>
          <w:rFonts w:ascii="Simplified Arabic" w:eastAsia="Calibri" w:hAnsi="Simplified Arabic" w:cs="Simplified Arabic"/>
          <w:b/>
          <w:bCs/>
          <w:kern w:val="2"/>
          <w:sz w:val="28"/>
          <w:szCs w:val="28"/>
          <w:rtl/>
          <w14:ligatures w14:val="standardContextual"/>
        </w:rPr>
        <w:t xml:space="preserve">      </w:t>
      </w:r>
      <w:r w:rsidRPr="00157377">
        <w:rPr>
          <w:rFonts w:ascii="Simplified Arabic" w:eastAsia="Calibri" w:hAnsi="Simplified Arabic" w:cs="Simplified Arabic"/>
          <w:b/>
          <w:bCs/>
          <w:kern w:val="2"/>
          <w:sz w:val="28"/>
          <w:szCs w:val="28"/>
          <w:u w:val="single"/>
          <w:rtl/>
          <w14:ligatures w14:val="standardContextual"/>
        </w:rPr>
        <w:t xml:space="preserve">دراسة  </w:t>
      </w:r>
      <w:proofErr w:type="spellStart"/>
      <w:r w:rsidRPr="00157377">
        <w:rPr>
          <w:rFonts w:ascii="Simplified Arabic" w:eastAsia="Calibri" w:hAnsi="Simplified Arabic" w:cs="Simplified Arabic"/>
          <w:b/>
          <w:bCs/>
          <w:kern w:val="2"/>
          <w:sz w:val="28"/>
          <w:szCs w:val="28"/>
          <w:u w:val="single"/>
          <w:rtl/>
          <w14:ligatures w14:val="standardContextual"/>
        </w:rPr>
        <w:t>العويوي</w:t>
      </w:r>
      <w:proofErr w:type="spellEnd"/>
      <w:r w:rsidRPr="00157377">
        <w:rPr>
          <w:rFonts w:ascii="Simplified Arabic" w:eastAsia="Calibri" w:hAnsi="Simplified Arabic" w:cs="Simplified Arabic"/>
          <w:b/>
          <w:bCs/>
          <w:kern w:val="2"/>
          <w:sz w:val="28"/>
          <w:szCs w:val="28"/>
          <w:u w:val="single"/>
          <w:rtl/>
          <w14:ligatures w14:val="standardContextual"/>
        </w:rPr>
        <w:t xml:space="preserve"> (   2017  ) إدارة الأداء وعلاقتها بالفاعلية التنظيمية في الجمعيات الخيرية في محافظة الخليل</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هدفت هذه الدراسة إلى التعرف على واقع إدارة الأداء بفعالية داخل الجمعيات الخيرية في محافظة محايل، من خلال استكشاف العلاقة بين الأداء التنظيمي وأساليب العمل الجماعي في بيئة مؤسسية فعّالة. جاءت هذه الدراسة لتسلط الضوء على مدى تأثير التنظيم الإداري وتحسين الممارسات داخل المؤسسات غير الربحية، وخصوصًا في سياق عمل الجمعيات ذات التأثير المجتمعي المباشر. اعتمدت الدراسة على المنهج الوصفي الكمي، مستخدمة الاستبانة كأداة لجمع البيانات من مجتمع الدراسة المكون من الجمعيات المسجلة في اتحاد الجمعيات الخيرية بمحايل، حيث بلغ عدد الجمعيات سبع جمعيات تعمل بأحجام مختلفة. وقد تم اختيار عينة عشوائية بسيطة بلغ عدد أفرادها 256 مشاركًا، وبلغت نسبة الاستجابة للاستبانة 93% ما يعكس فاعلية المشاركة وموثوقية البيانات التي تم تحليلها لاحقًا.</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وأظهرت نتائج الدراسة أن إدارة الأداء داخل الجمعيات تتم وفق درجة ممارسة مرتفعة، إذ تبين أن جوانب التخطيط والتوجيه والتطوير تحتل مركز الصدارة من حيث الممارسة، فيما جاءت ممارسة التقييم بدرجة أقل.  كما تبين أن الفاعلية التنظيمية كانت مرتفعة في عدة أبعاد أهمها البنية الداخلية والتفاعلات الإنسانية والقيادة والانفتاح المؤسسي، مع تفاوت في درجة العلاقات الإنسانية التي كانت الأقل بين هذه الأبعاد. ( </w:t>
      </w:r>
      <w:proofErr w:type="spellStart"/>
      <w:r w:rsidRPr="00157377">
        <w:rPr>
          <w:rFonts w:ascii="Simplified Arabic" w:eastAsia="Calibri" w:hAnsi="Simplified Arabic" w:cs="Simplified Arabic"/>
          <w:kern w:val="2"/>
          <w:sz w:val="28"/>
          <w:szCs w:val="28"/>
          <w:rtl/>
          <w14:ligatures w14:val="standardContextual"/>
        </w:rPr>
        <w:t>العويوي</w:t>
      </w:r>
      <w:proofErr w:type="spellEnd"/>
      <w:r w:rsidRPr="00157377">
        <w:rPr>
          <w:rFonts w:ascii="Simplified Arabic" w:eastAsia="Calibri" w:hAnsi="Simplified Arabic" w:cs="Simplified Arabic"/>
          <w:kern w:val="2"/>
          <w:sz w:val="28"/>
          <w:szCs w:val="28"/>
          <w:rtl/>
          <w14:ligatures w14:val="standardContextual"/>
        </w:rPr>
        <w:t xml:space="preserve"> , 2017 , ص 15)</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وكشفت الدراسة وجود علاقة طردية قوية ذات دلالة إحصائية بين إدارة الأداء والفاعلية التنظيمية في جميع أبعادها، مما يدل على أن تعزيز ممارسات إدارة الأداء يسهم مباشرة في رفع مستوى فاعلية الجمعيات الخيرية. ومن أبرز ما توصلت إليه الدراسة أن عناصر مثل التخطيط الفعّال، التوجيه المهني، وتحسين الأداء تعتبر من أكثر العناصر تأثيرًا في جودة الإدارة المؤسسية. ( </w:t>
      </w:r>
      <w:proofErr w:type="spellStart"/>
      <w:r w:rsidRPr="00157377">
        <w:rPr>
          <w:rFonts w:ascii="Simplified Arabic" w:eastAsia="Calibri" w:hAnsi="Simplified Arabic" w:cs="Simplified Arabic"/>
          <w:kern w:val="2"/>
          <w:sz w:val="28"/>
          <w:szCs w:val="28"/>
          <w:rtl/>
          <w14:ligatures w14:val="standardContextual"/>
        </w:rPr>
        <w:t>العويوي</w:t>
      </w:r>
      <w:proofErr w:type="spellEnd"/>
      <w:r w:rsidRPr="00157377">
        <w:rPr>
          <w:rFonts w:ascii="Simplified Arabic" w:eastAsia="Calibri" w:hAnsi="Simplified Arabic" w:cs="Simplified Arabic"/>
          <w:kern w:val="2"/>
          <w:sz w:val="28"/>
          <w:szCs w:val="28"/>
          <w:rtl/>
          <w14:ligatures w14:val="standardContextual"/>
        </w:rPr>
        <w:t xml:space="preserve"> , 2017 , ص 15)وفي ضوء تلك النتائج، أوصت الدراسة بضرورة مواصلة تطوير ممارسات إدارة الأداء بشكل متكامل داخل الجمعيات الخيرية، والتركيز على بناء علاقات إنسانية قوية بين العاملين، مع السعي إلى تطبيق قيادة رشيدة ومنفتحة قادرة على توجيه العمل لتحقيق أهداف مستدامة تخدم المجتمع المحلي بكفاءة وشفافية. ( </w:t>
      </w:r>
      <w:proofErr w:type="spellStart"/>
      <w:r w:rsidRPr="00157377">
        <w:rPr>
          <w:rFonts w:ascii="Simplified Arabic" w:eastAsia="Calibri" w:hAnsi="Simplified Arabic" w:cs="Simplified Arabic"/>
          <w:kern w:val="2"/>
          <w:sz w:val="28"/>
          <w:szCs w:val="28"/>
          <w:rtl/>
          <w14:ligatures w14:val="standardContextual"/>
        </w:rPr>
        <w:t>العويوي</w:t>
      </w:r>
      <w:proofErr w:type="spellEnd"/>
      <w:r w:rsidRPr="00157377">
        <w:rPr>
          <w:rFonts w:ascii="Simplified Arabic" w:eastAsia="Calibri" w:hAnsi="Simplified Arabic" w:cs="Simplified Arabic"/>
          <w:kern w:val="2"/>
          <w:sz w:val="28"/>
          <w:szCs w:val="28"/>
          <w:rtl/>
          <w14:ligatures w14:val="standardContextual"/>
        </w:rPr>
        <w:t xml:space="preserve"> , 2017 , ص 15)</w:t>
      </w: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r w:rsidRPr="00157377">
        <w:rPr>
          <w:rFonts w:ascii="Simplified Arabic" w:eastAsia="Calibri" w:hAnsi="Simplified Arabic" w:cs="Simplified Arabic"/>
          <w:b/>
          <w:bCs/>
          <w:kern w:val="2"/>
          <w:sz w:val="28"/>
          <w:szCs w:val="28"/>
          <w:u w:val="single"/>
          <w:rtl/>
          <w14:ligatures w14:val="standardContextual"/>
        </w:rPr>
        <w:lastRenderedPageBreak/>
        <w:t>دراسة  عبدربه ( 2014)  التحديات الإدارية التي تواجه الجمعيات الخيرية وسبل مواجهتها: دراسة تطبيقية على عينة من الجمعيات الخيرية في سلطنة عمان.</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هدفت الدراسة التطبيقية التي أُجريت على عينة من الجمعيات الخيرية في سلطنة عُمان إلى التعرف على التحديات الإدارية التي تواجه هذه الجمعيات داخل المجتمع المحلي، والتي قد تؤثر سلبًا على قدرتها في تنفيذ العمليات الإدارية وتحقيق أهدافها بشكل فعّال، كما سعت الدراسة إلى الوصول إلى مؤشرات عامة تُسهم في اقتراح آليات لمواجهة تلك التحديات. واعتمدت الدراسة على عينة مكونة من 209 باحثين يعملون في الجمعيات الخيرية، منهم 15 مديرًا في ثماني جمعيات موزعة على خمس محافظات هي: مسقط، الداخلية، الشرقية، الظاهرة، وشمال الباطنة. (عبدربه , 2014 , ص 22)</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وقد توصلت الدراسة إلى عدة نتائج من أبرزها أن الجمعيات الخيرية في سلطنة عُمان تواجه تحديات إدارية متعلقة بالتخطيط الإداري، التنظيم، التوظيف، التوجيه، الإشراف، التنسيق، التسجيل، إعداد التقارير، والتمويل، بالإضافة إلى تحديات تتعلق بإعداد الميزانية واتخاذ القرار والقيادة، وكذلك البيئة الخارجية. وأكدت النتائج العامة للدراسة على أن هذه التحديات قد تُشكل تأثيرًا محدودًا على أداء الجمعيات، إذ تراوحت نسبة من يتوقعون وجود تأثير بين 15% و25% من عينة الدراسة، في حين رأى آخرون أن الجمعيات لا تواجه تحديات حقيقية تُعيق </w:t>
      </w:r>
      <w:proofErr w:type="spellStart"/>
      <w:r w:rsidRPr="00157377">
        <w:rPr>
          <w:rFonts w:ascii="Simplified Arabic" w:eastAsia="Calibri" w:hAnsi="Simplified Arabic" w:cs="Simplified Arabic"/>
          <w:kern w:val="2"/>
          <w:sz w:val="28"/>
          <w:szCs w:val="28"/>
          <w:rtl/>
          <w14:ligatures w14:val="standardContextual"/>
        </w:rPr>
        <w:t>أدائها.كما</w:t>
      </w:r>
      <w:proofErr w:type="spellEnd"/>
      <w:r w:rsidRPr="00157377">
        <w:rPr>
          <w:rFonts w:ascii="Simplified Arabic" w:eastAsia="Calibri" w:hAnsi="Simplified Arabic" w:cs="Simplified Arabic"/>
          <w:kern w:val="2"/>
          <w:sz w:val="28"/>
          <w:szCs w:val="28"/>
          <w:rtl/>
          <w14:ligatures w14:val="standardContextual"/>
        </w:rPr>
        <w:t xml:space="preserve"> خلصت الدراسة إلى مجموعة من المقترحات التي يمكن أن تساعد في مواجهة تلك التحديات، من ضمنها ضرورة تنسيق الجهود على مستوى المنظمات، بما في ذلك المؤسسات التعليمية والخيرية، لتحقيق استجابة فعالة لتلك التحديات وتعزيز القدرة المؤسسية للجمعيات. (عبدربه , 2014 , ص 22)</w:t>
      </w: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r w:rsidRPr="00157377">
        <w:rPr>
          <w:rFonts w:ascii="Simplified Arabic" w:eastAsia="Calibri" w:hAnsi="Simplified Arabic" w:cs="Simplified Arabic"/>
          <w:b/>
          <w:bCs/>
          <w:kern w:val="2"/>
          <w:sz w:val="28"/>
          <w:szCs w:val="28"/>
          <w:u w:val="single"/>
          <w:rtl/>
          <w14:ligatures w14:val="standardContextual"/>
        </w:rPr>
        <w:t xml:space="preserve">ثانيا : الدراسات المحلية </w:t>
      </w: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r w:rsidRPr="00157377">
        <w:rPr>
          <w:rFonts w:ascii="Simplified Arabic" w:eastAsia="Calibri" w:hAnsi="Simplified Arabic" w:cs="Simplified Arabic"/>
          <w:b/>
          <w:bCs/>
          <w:kern w:val="2"/>
          <w:sz w:val="28"/>
          <w:szCs w:val="28"/>
          <w:u w:val="single"/>
          <w:rtl/>
          <w14:ligatures w14:val="standardContextual"/>
        </w:rPr>
        <w:t xml:space="preserve">دراسة السليم ( 2024) بعنوان العلاقة بين التخطيط الاستراتيجي وبطاقة الأداء المتوازن وأثرهما على التميز المؤسسي في الجمعيات الخيرية بالمملكة العربية السعودية </w:t>
      </w:r>
    </w:p>
    <w:p w:rsidR="00157377" w:rsidRDefault="00157377" w:rsidP="00157377">
      <w:pPr>
        <w:spacing w:after="160"/>
        <w:jc w:val="both"/>
        <w:rPr>
          <w:rFonts w:ascii="Simplified Arabic" w:eastAsia="Calibri" w:hAnsi="Simplified Arabic" w:cs="Simplified Arabic" w:hint="cs"/>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سعت الدراسة إلى بيان العلاقة بين التخطيط الاستراتيجي وبطاقة الأداء المتوازن وأثرهما على التميز المؤسسي في الجمعيات الخيرية بالمملكة العربية السعودية. كما هدفت إلى قياس تأثير التخطيط الاستراتيجي على التميز المؤسسي باستخدام بطاقة الأداء المتوازن كوسيلة تقييم شاملة.</w:t>
      </w:r>
      <w:r w:rsidRPr="00157377">
        <w:rPr>
          <w:rtl/>
        </w:rPr>
        <w:t xml:space="preserve"> </w:t>
      </w:r>
      <w:r w:rsidRPr="00157377">
        <w:rPr>
          <w:rFonts w:ascii="Simplified Arabic" w:eastAsia="Calibri" w:hAnsi="Simplified Arabic" w:cs="Simplified Arabic"/>
          <w:kern w:val="2"/>
          <w:sz w:val="28"/>
          <w:szCs w:val="28"/>
          <w:rtl/>
          <w14:ligatures w14:val="standardContextual"/>
        </w:rPr>
        <w:t>( السليم 2024 , ص 7)</w:t>
      </w:r>
    </w:p>
    <w:p w:rsidR="00157377" w:rsidRDefault="00157377" w:rsidP="00157377">
      <w:pPr>
        <w:spacing w:after="160"/>
        <w:jc w:val="both"/>
        <w:rPr>
          <w:rFonts w:ascii="Simplified Arabic" w:eastAsia="Calibri" w:hAnsi="Simplified Arabic" w:cs="Simplified Arabic" w:hint="cs"/>
          <w:kern w:val="2"/>
          <w:sz w:val="28"/>
          <w:szCs w:val="28"/>
          <w:rtl/>
          <w14:ligatures w14:val="standardContextual"/>
        </w:rPr>
      </w:pP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lastRenderedPageBreak/>
        <w:t xml:space="preserve"> اعتمدت الدراسة على المنهج الوصفي الكمي الذي يُعد ملائمًا لطبيعة أهدافها واختبار فروضها، وقد تم تطوير استبانة مكونة من 61 فقرة، استنادًا إلى الدراسات السابقة ذات الصلة بمتغيرات الدراسة. جرى تطبيق الاستبانة على عينة مستهدفة، وتم تحليل البيانات باستخدام برنامجي </w:t>
      </w:r>
      <w:r w:rsidRPr="00157377">
        <w:rPr>
          <w:rFonts w:ascii="Simplified Arabic" w:eastAsia="Calibri" w:hAnsi="Simplified Arabic" w:cs="Simplified Arabic"/>
          <w:kern w:val="2"/>
          <w:sz w:val="28"/>
          <w:szCs w:val="28"/>
          <w14:ligatures w14:val="standardContextual"/>
        </w:rPr>
        <w:t>SPSS</w:t>
      </w:r>
      <w:r w:rsidRPr="00157377">
        <w:rPr>
          <w:rFonts w:ascii="Simplified Arabic" w:eastAsia="Calibri" w:hAnsi="Simplified Arabic" w:cs="Simplified Arabic"/>
          <w:kern w:val="2"/>
          <w:sz w:val="28"/>
          <w:szCs w:val="28"/>
          <w:rtl/>
          <w14:ligatures w14:val="standardContextual"/>
        </w:rPr>
        <w:t xml:space="preserve"> و</w:t>
      </w:r>
      <w:r w:rsidRPr="00157377">
        <w:rPr>
          <w:rFonts w:ascii="Simplified Arabic" w:eastAsia="Calibri" w:hAnsi="Simplified Arabic" w:cs="Simplified Arabic"/>
          <w:kern w:val="2"/>
          <w:sz w:val="28"/>
          <w:szCs w:val="28"/>
          <w14:ligatures w14:val="standardContextual"/>
        </w:rPr>
        <w:t>AMOS</w:t>
      </w:r>
      <w:r w:rsidRPr="00157377">
        <w:rPr>
          <w:rFonts w:ascii="Simplified Arabic" w:eastAsia="Calibri" w:hAnsi="Simplified Arabic" w:cs="Simplified Arabic"/>
          <w:kern w:val="2"/>
          <w:sz w:val="28"/>
          <w:szCs w:val="28"/>
          <w:rtl/>
          <w14:ligatures w14:val="standardContextual"/>
        </w:rPr>
        <w:t>، حيث تم استخدام أسلوب المعالجة الإحصائية للتأكد من صحة النتائج. ( السليم 2024 , ص 7)</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وتوصلت الدراسة إلى عدد من النتائج المهمة، أبرزها وجود تأثير إيجابي مباشر للتخطيط الاستراتيجي على التميز المؤسسي، وأن استخدام بطاقة الأداء المتوازن ضمن عملية التخطيط الاستراتيجي أدى إلى زيادة هذا التأثير بشكل أكبر. كما أثبتت النتائج وجود تأثير مباشر للتخطيط الاستراتيجي على بطاقة الأداء المتوازن نفسها داخل المؤسسات. ( السليم 2024 , ص 7)</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وبرزت أهمية هذه الدراسة من خلال النتائج التي حققتها، حيث كشفت أن العمل على تطبيق التخطيط الاستراتيجي بعناية، وباستخدام بطاقة الأداء المتوازن، يُعد ضرورة أساسية من أجل تحقيق التميز المؤسسي، لما له من تأثير فعّال ومستدام في رفع كفاءة العمل داخل الجمعيات الخيرية العاملة في هذا القطاع.  ( السليم 2024 , ص 7) </w:t>
      </w: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r w:rsidRPr="00157377">
        <w:rPr>
          <w:rFonts w:ascii="Simplified Arabic" w:eastAsia="Calibri" w:hAnsi="Simplified Arabic" w:cs="Simplified Arabic"/>
          <w:b/>
          <w:bCs/>
          <w:kern w:val="2"/>
          <w:sz w:val="28"/>
          <w:szCs w:val="28"/>
          <w:u w:val="single"/>
          <w:rtl/>
          <w14:ligatures w14:val="standardContextual"/>
        </w:rPr>
        <w:t>دراسة النويصر واخرون  ( 2023 ) بعنوان  أثر تطبيق إدارة الجودة الشاملة في تحسين الأداء المؤسسي في المملكة العربية السعودية (دراسة ميدانية على مجموعة من الجمعيات الخيرية بمدينة الرياض)</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هدفت الدراسة إلى قياس أثر تطبيق إدارة الجودة الشاملة على تحسين أداء المؤسسات الخيرية في مدينة الرياض بالمملكة العربية السعودية، حيث استخدمت المنهج الوصفي التحليلي بالاعتماد على الاستبانة كأداة رئيسية لجمع البيانات، وتم اختيار العينة من أصحاب العلاقة والمصلحة من العاملين والمديرين بمختلف مستوياتهم الإدارية،( النويصر , 2023 , ص 6)</w:t>
      </w:r>
    </w:p>
    <w:p w:rsidR="00157377" w:rsidRDefault="00157377" w:rsidP="00157377">
      <w:pPr>
        <w:spacing w:after="160"/>
        <w:jc w:val="both"/>
        <w:rPr>
          <w:rFonts w:ascii="Simplified Arabic" w:eastAsia="Calibri" w:hAnsi="Simplified Arabic" w:cs="Simplified Arabic" w:hint="cs"/>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وبلغ عدد أفراد العينة ثمانية وستين مشاركًا، وبعد مراجعة الاستبانات تم استبعاد اثنتين لعدم صلاحيتهما للتحليل ليصبح عدد الاستبانات المعتمدة ستة وستين استبانة، وتم تحليل البيانات باستخدام برنامج التحليل الإحصائي</w:t>
      </w:r>
      <w:r w:rsidRPr="00157377">
        <w:rPr>
          <w:rFonts w:ascii="Simplified Arabic" w:eastAsia="Calibri" w:hAnsi="Simplified Arabic" w:cs="Simplified Arabic"/>
          <w:kern w:val="2"/>
          <w:sz w:val="28"/>
          <w:szCs w:val="28"/>
          <w14:ligatures w14:val="standardContextual"/>
        </w:rPr>
        <w:t xml:space="preserve"> SPSS</w:t>
      </w:r>
      <w:r w:rsidRPr="00157377">
        <w:rPr>
          <w:rFonts w:ascii="Simplified Arabic" w:eastAsia="Calibri" w:hAnsi="Simplified Arabic" w:cs="Simplified Arabic"/>
          <w:kern w:val="2"/>
          <w:sz w:val="28"/>
          <w:szCs w:val="28"/>
          <w:rtl/>
          <w14:ligatures w14:val="standardContextual"/>
        </w:rPr>
        <w:t>( النويصر , 2023 , ص 6)</w:t>
      </w:r>
    </w:p>
    <w:p w:rsidR="00157377" w:rsidRDefault="00157377" w:rsidP="00157377">
      <w:pPr>
        <w:spacing w:after="160"/>
        <w:jc w:val="both"/>
        <w:rPr>
          <w:rFonts w:ascii="Simplified Arabic" w:eastAsia="Calibri" w:hAnsi="Simplified Arabic" w:cs="Simplified Arabic" w:hint="cs"/>
          <w:kern w:val="2"/>
          <w:sz w:val="28"/>
          <w:szCs w:val="28"/>
          <w:rtl/>
          <w14:ligatures w14:val="standardContextual"/>
        </w:rPr>
      </w:pPr>
    </w:p>
    <w:p w:rsidR="00157377" w:rsidRPr="00157377" w:rsidRDefault="00157377" w:rsidP="00157377">
      <w:pPr>
        <w:spacing w:after="160"/>
        <w:jc w:val="both"/>
        <w:rPr>
          <w:rFonts w:ascii="Simplified Arabic" w:eastAsia="Calibri" w:hAnsi="Simplified Arabic" w:cs="Simplified Arabic"/>
          <w:kern w:val="2"/>
          <w:sz w:val="28"/>
          <w:szCs w:val="28"/>
          <w14:ligatures w14:val="standardContextual"/>
        </w:rPr>
      </w:pPr>
    </w:p>
    <w:p w:rsidR="00157377" w:rsidRPr="00157377" w:rsidRDefault="00157377" w:rsidP="00157377">
      <w:pPr>
        <w:spacing w:after="160"/>
        <w:jc w:val="both"/>
        <w:rPr>
          <w:rFonts w:ascii="Simplified Arabic" w:eastAsia="Calibri" w:hAnsi="Simplified Arabic" w:cs="Simplified Arabic"/>
          <w:kern w:val="2"/>
          <w:sz w:val="28"/>
          <w:szCs w:val="28"/>
          <w14:ligatures w14:val="standardContextual"/>
        </w:rPr>
      </w:pPr>
      <w:r w:rsidRPr="00157377">
        <w:rPr>
          <w:rFonts w:ascii="Simplified Arabic" w:eastAsia="Calibri" w:hAnsi="Simplified Arabic" w:cs="Simplified Arabic"/>
          <w:kern w:val="2"/>
          <w:sz w:val="28"/>
          <w:szCs w:val="28"/>
          <w:rtl/>
          <w14:ligatures w14:val="standardContextual"/>
        </w:rPr>
        <w:lastRenderedPageBreak/>
        <w:t>أظهرت نتائج الدراسة وجود تأثير معنوي لإدارة الجودة الشاملة بأبعادها المتمثلة في التحسين المستمر والتوجه الاستراتيجي والتدريب والتطوير على تحسين أداء المؤسسات الخيرية، كما بين اختبار التجانس عدم وجود فروق ذات دلالة إحصائية تعزى إلى متغير الجنس، في حين ظهرت فروق ذات دلالة إحصائية تعزى إلى متغيرات العمر وعدد سنوات الخبرة داخل الجمعيات وسنوات العمل في المجال الخيري( النويصر , 2023 , ص 6)</w:t>
      </w:r>
    </w:p>
    <w:p w:rsidR="00157377" w:rsidRDefault="00157377" w:rsidP="00157377">
      <w:pPr>
        <w:spacing w:after="160"/>
        <w:jc w:val="both"/>
        <w:rPr>
          <w:rFonts w:ascii="Simplified Arabic" w:eastAsia="Calibri" w:hAnsi="Simplified Arabic" w:cs="Simplified Arabic" w:hint="cs"/>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وأوصت الدراسة بضرورة اعتماد الجمعيات الخيرية لمفاهيم إدارة الجودة الشاملة وتطبيقها في مختلف عملياتها الإدارية، والاعتماد على قرارات منهجية تستند إلى أسس علمية والاستعانة بخبراء متخصصين في هذا المجال، إلى جانب الالتزام بالمعايير الفعالة لضمان جودة القرارات وتحقيق نتائج قابلة للقياس تسهم في الارتقاء بأداء الجمعيات ومخرجاتها ( النويصر , 2023 , ص 6) </w:t>
      </w: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r w:rsidRPr="00157377">
        <w:rPr>
          <w:rFonts w:ascii="Simplified Arabic" w:eastAsia="Calibri" w:hAnsi="Simplified Arabic" w:cs="Simplified Arabic"/>
          <w:b/>
          <w:bCs/>
          <w:kern w:val="2"/>
          <w:sz w:val="28"/>
          <w:szCs w:val="28"/>
          <w:u w:val="single"/>
          <w:rtl/>
          <w14:ligatures w14:val="standardContextual"/>
        </w:rPr>
        <w:t xml:space="preserve">دراسة  ( </w:t>
      </w:r>
      <w:proofErr w:type="spellStart"/>
      <w:r w:rsidRPr="00157377">
        <w:rPr>
          <w:rFonts w:ascii="Simplified Arabic" w:eastAsia="Calibri" w:hAnsi="Simplified Arabic" w:cs="Simplified Arabic"/>
          <w:b/>
          <w:bCs/>
          <w:kern w:val="2"/>
          <w:sz w:val="28"/>
          <w:szCs w:val="28"/>
          <w:u w:val="single"/>
          <w:rtl/>
          <w14:ligatures w14:val="standardContextual"/>
        </w:rPr>
        <w:t>بوهيا</w:t>
      </w:r>
      <w:proofErr w:type="spellEnd"/>
      <w:r w:rsidRPr="00157377">
        <w:rPr>
          <w:rFonts w:ascii="Simplified Arabic" w:eastAsia="Calibri" w:hAnsi="Simplified Arabic" w:cs="Simplified Arabic"/>
          <w:b/>
          <w:bCs/>
          <w:kern w:val="2"/>
          <w:sz w:val="28"/>
          <w:szCs w:val="28"/>
          <w:u w:val="single"/>
          <w:rtl/>
          <w14:ligatures w14:val="standardContextual"/>
        </w:rPr>
        <w:t xml:space="preserve"> , 2023 ) بعنوان  واقع تطبيق أساليب المحاسبة الإدارية في المنظمات غير الربحية في المملكة العربية السعودية</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     سعت هذه الدراسة إلى التعرف على واقع تطبيق أساليب المحاسبة الإدارية في المنظمات غير الربحية، تحديدًا الجمعيات الخيرية في المملكة العربية السعودية، وذلك في ظل تنامي الدور الذي تؤديه هذه الجمعيات في دعم جودة الحياة وتعزيز الاستقرار الاجتماعي داخل المجتمع. وانطلقت أهمية الدراسة من قلة الأبحاث التي تناولت موضوع استخدام أساليب المحاسبة الإدارية في الجمعيات الخيرية، إلى جانب الحاجة الملحة لتقييم مدى فاعلية هذه الأساليب في تطوير الأداء المؤسسي وضمان استدامة العمل الخيري. ولتحقيق أهداف الدراسة، تم اعتماد المنهج الوصفي الكمي من خلال استراتيجية المسح الاستقصائي، حيث تم إعداد استبانة وتوزيعها على مجموعة من منسوبي الجمعيات الخيرية، شملت أعضاء مجالس الإدارة، رؤساء الجمعيات، والمحاسبين، وذلك بهدف جمع البيانات المتعلقة بمستوى استخدام أساليب المحاسبة الإدارية في تقييم الأداء. ( </w:t>
      </w:r>
      <w:proofErr w:type="spellStart"/>
      <w:r w:rsidRPr="00157377">
        <w:rPr>
          <w:rFonts w:ascii="Simplified Arabic" w:eastAsia="Calibri" w:hAnsi="Simplified Arabic" w:cs="Simplified Arabic"/>
          <w:kern w:val="2"/>
          <w:sz w:val="28"/>
          <w:szCs w:val="28"/>
          <w:rtl/>
          <w14:ligatures w14:val="standardContextual"/>
        </w:rPr>
        <w:t>بوهيا</w:t>
      </w:r>
      <w:proofErr w:type="spellEnd"/>
      <w:r w:rsidRPr="00157377">
        <w:rPr>
          <w:rFonts w:ascii="Simplified Arabic" w:eastAsia="Calibri" w:hAnsi="Simplified Arabic" w:cs="Simplified Arabic"/>
          <w:kern w:val="2"/>
          <w:sz w:val="28"/>
          <w:szCs w:val="28"/>
          <w:rtl/>
          <w14:ligatures w14:val="standardContextual"/>
        </w:rPr>
        <w:t xml:space="preserve"> , 2023 , ص 137)</w:t>
      </w:r>
    </w:p>
    <w:p w:rsidR="00157377" w:rsidRDefault="00157377" w:rsidP="00157377">
      <w:pPr>
        <w:spacing w:after="160"/>
        <w:jc w:val="both"/>
        <w:rPr>
          <w:rFonts w:ascii="Simplified Arabic" w:eastAsia="Calibri" w:hAnsi="Simplified Arabic" w:cs="Simplified Arabic" w:hint="cs"/>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وقد كشفت نتائج الدراسة أن الجمعيات الخيرية تستخدم بالفعل بعض أساليب تقييم الأداء، وكان أكثرها شيوعًا بطاقة الأداء المتوازن، التي أثبتت فعاليتها في تقديم صورة شاملة لأداء الجمعية عبر جوانب مالية وغير مالية. ( </w:t>
      </w:r>
      <w:proofErr w:type="spellStart"/>
      <w:r w:rsidRPr="00157377">
        <w:rPr>
          <w:rFonts w:ascii="Simplified Arabic" w:eastAsia="Calibri" w:hAnsi="Simplified Arabic" w:cs="Simplified Arabic"/>
          <w:kern w:val="2"/>
          <w:sz w:val="28"/>
          <w:szCs w:val="28"/>
          <w:rtl/>
          <w14:ligatures w14:val="standardContextual"/>
        </w:rPr>
        <w:t>بوهيا</w:t>
      </w:r>
      <w:proofErr w:type="spellEnd"/>
      <w:r w:rsidRPr="00157377">
        <w:rPr>
          <w:rFonts w:ascii="Simplified Arabic" w:eastAsia="Calibri" w:hAnsi="Simplified Arabic" w:cs="Simplified Arabic"/>
          <w:kern w:val="2"/>
          <w:sz w:val="28"/>
          <w:szCs w:val="28"/>
          <w:rtl/>
          <w14:ligatures w14:val="standardContextual"/>
        </w:rPr>
        <w:t xml:space="preserve"> , 2023 , ص 137)</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p>
    <w:p w:rsidR="00157377" w:rsidRDefault="00157377" w:rsidP="00157377">
      <w:pPr>
        <w:spacing w:after="160"/>
        <w:jc w:val="both"/>
        <w:rPr>
          <w:rFonts w:ascii="Simplified Arabic" w:eastAsia="Calibri" w:hAnsi="Simplified Arabic" w:cs="Simplified Arabic" w:hint="cs"/>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lastRenderedPageBreak/>
        <w:t xml:space="preserve">وانتهت الدراسة إلى مجموعة من التوصيات التي تستهدف الجانبين الأكاديمي والعملي، حيث أوصت بتعزيز استخدام أساليب المحاسبة الإدارية في المنظمات غير الربحية، وتوفير التدريب والدعم الفني اللازم لتطبيقها بشكل فعّال، لما لها من دور بارز في تحسين الأداء المؤسسي وتحقيق أهداف الجمعية على المدى الطويل. كما خلصت الدراسة إلى أن تعزيز الوعي بأهمية هذه الأساليب وإدماجها في العمل اليومي للجمعيات سيسهم في بناء منهجيات أكثر احترافية في الإدارة المالية وغير المالية، ويعزز من الشفافية والمساءلة داخل القطاع غير الربحي. ( </w:t>
      </w:r>
      <w:proofErr w:type="spellStart"/>
      <w:r w:rsidRPr="00157377">
        <w:rPr>
          <w:rFonts w:ascii="Simplified Arabic" w:eastAsia="Calibri" w:hAnsi="Simplified Arabic" w:cs="Simplified Arabic"/>
          <w:kern w:val="2"/>
          <w:sz w:val="28"/>
          <w:szCs w:val="28"/>
          <w:rtl/>
          <w14:ligatures w14:val="standardContextual"/>
        </w:rPr>
        <w:t>بوهيا</w:t>
      </w:r>
      <w:proofErr w:type="spellEnd"/>
      <w:r w:rsidRPr="00157377">
        <w:rPr>
          <w:rFonts w:ascii="Simplified Arabic" w:eastAsia="Calibri" w:hAnsi="Simplified Arabic" w:cs="Simplified Arabic"/>
          <w:kern w:val="2"/>
          <w:sz w:val="28"/>
          <w:szCs w:val="28"/>
          <w:rtl/>
          <w14:ligatures w14:val="standardContextual"/>
        </w:rPr>
        <w:t xml:space="preserve"> , 2023 , ص 137) </w:t>
      </w:r>
    </w:p>
    <w:p w:rsidR="00157377" w:rsidRPr="00157377" w:rsidRDefault="00157377" w:rsidP="00157377">
      <w:pPr>
        <w:spacing w:after="120"/>
        <w:jc w:val="both"/>
        <w:rPr>
          <w:rFonts w:ascii="Simplified Arabic" w:eastAsia="Calibri" w:hAnsi="Simplified Arabic" w:cs="Simplified Arabic"/>
          <w:b/>
          <w:bCs/>
          <w:kern w:val="2"/>
          <w:sz w:val="28"/>
          <w:szCs w:val="28"/>
          <w:u w:val="single"/>
          <w:rtl/>
          <w14:ligatures w14:val="standardContextual"/>
        </w:rPr>
      </w:pPr>
      <w:r w:rsidRPr="00157377">
        <w:rPr>
          <w:rFonts w:ascii="Simplified Arabic" w:eastAsia="Calibri" w:hAnsi="Simplified Arabic" w:cs="Simplified Arabic"/>
          <w:b/>
          <w:bCs/>
          <w:kern w:val="2"/>
          <w:sz w:val="28"/>
          <w:szCs w:val="28"/>
          <w:u w:val="single"/>
          <w:rtl/>
          <w14:ligatures w14:val="standardContextual"/>
        </w:rPr>
        <w:t xml:space="preserve">ثالثا :  الدراسات الاجنبية </w:t>
      </w:r>
    </w:p>
    <w:p w:rsidR="00157377" w:rsidRPr="00157377" w:rsidRDefault="00157377" w:rsidP="00157377">
      <w:pPr>
        <w:spacing w:after="120"/>
        <w:jc w:val="both"/>
        <w:rPr>
          <w:rFonts w:ascii="Simplified Arabic" w:eastAsia="Calibri" w:hAnsi="Simplified Arabic" w:cs="Simplified Arabic"/>
          <w:b/>
          <w:bCs/>
          <w:kern w:val="2"/>
          <w:sz w:val="28"/>
          <w:szCs w:val="28"/>
          <w:u w:val="single"/>
          <w:rtl/>
          <w14:ligatures w14:val="standardContextual"/>
        </w:rPr>
      </w:pPr>
      <w:r w:rsidRPr="00157377">
        <w:rPr>
          <w:rFonts w:ascii="Simplified Arabic" w:eastAsia="Calibri" w:hAnsi="Simplified Arabic" w:cs="Simplified Arabic"/>
          <w:b/>
          <w:bCs/>
          <w:kern w:val="2"/>
          <w:sz w:val="28"/>
          <w:szCs w:val="28"/>
          <w:u w:val="single"/>
          <w:rtl/>
          <w14:ligatures w14:val="standardContextual"/>
        </w:rPr>
        <w:t xml:space="preserve">دراسة </w:t>
      </w:r>
      <w:proofErr w:type="spellStart"/>
      <w:r w:rsidRPr="00157377">
        <w:rPr>
          <w:rFonts w:ascii="Simplified Arabic" w:eastAsia="Calibri" w:hAnsi="Simplified Arabic" w:cs="Simplified Arabic"/>
          <w:b/>
          <w:bCs/>
          <w:kern w:val="2"/>
          <w:sz w:val="28"/>
          <w:szCs w:val="28"/>
          <w:u w:val="single"/>
          <w14:ligatures w14:val="standardContextual"/>
        </w:rPr>
        <w:t>Ajuwon</w:t>
      </w:r>
      <w:proofErr w:type="spellEnd"/>
      <w:r w:rsidRPr="00157377">
        <w:rPr>
          <w:rFonts w:ascii="Simplified Arabic" w:eastAsia="Calibri" w:hAnsi="Simplified Arabic" w:cs="Simplified Arabic"/>
          <w:b/>
          <w:bCs/>
          <w:kern w:val="2"/>
          <w:sz w:val="28"/>
          <w:szCs w:val="28"/>
          <w:u w:val="single"/>
          <w:rtl/>
          <w14:ligatures w14:val="standardContextual"/>
        </w:rPr>
        <w:t xml:space="preserve"> (2024) بعنوان القيادة الاستراتيجية والإدارة داخل المنظمات غير الربحية: مراجعة متعمقة للممارسات التي تسهم في تحقيق تأثير مستدام </w:t>
      </w:r>
      <w:r w:rsidRPr="00157377">
        <w:rPr>
          <w:rFonts w:ascii="Simplified Arabic" w:eastAsia="Calibri" w:hAnsi="Simplified Arabic" w:cs="Simplified Arabic"/>
          <w:b/>
          <w:bCs/>
          <w:kern w:val="2"/>
          <w:sz w:val="28"/>
          <w:szCs w:val="28"/>
          <w:u w:val="single"/>
          <w14:ligatures w14:val="standardContextual"/>
        </w:rPr>
        <w:t>Strategic leadership and management within non-profit organizations: An in-depth review of practices contributing to sustainable impact</w:t>
      </w:r>
      <w:r w:rsidRPr="00157377">
        <w:rPr>
          <w:rFonts w:ascii="Simplified Arabic" w:eastAsia="Calibri" w:hAnsi="Simplified Arabic" w:cs="Simplified Arabic"/>
          <w:b/>
          <w:bCs/>
          <w:kern w:val="2"/>
          <w:sz w:val="28"/>
          <w:szCs w:val="28"/>
          <w:u w:val="single"/>
          <w:rtl/>
          <w14:ligatures w14:val="standardContextual"/>
        </w:rPr>
        <w:t>.</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تناولت هذه الدراسة مراجعة معمقة لممارسات القيادة </w:t>
      </w:r>
      <w:proofErr w:type="spellStart"/>
      <w:r w:rsidRPr="00157377">
        <w:rPr>
          <w:rFonts w:ascii="Simplified Arabic" w:eastAsia="Calibri" w:hAnsi="Simplified Arabic" w:cs="Simplified Arabic"/>
          <w:kern w:val="2"/>
          <w:sz w:val="28"/>
          <w:szCs w:val="28"/>
          <w:rtl/>
          <w14:ligatures w14:val="standardContextual"/>
        </w:rPr>
        <w:t>الإستراتيجية</w:t>
      </w:r>
      <w:proofErr w:type="spellEnd"/>
      <w:r w:rsidRPr="00157377">
        <w:rPr>
          <w:rFonts w:ascii="Simplified Arabic" w:eastAsia="Calibri" w:hAnsi="Simplified Arabic" w:cs="Simplified Arabic"/>
          <w:kern w:val="2"/>
          <w:sz w:val="28"/>
          <w:szCs w:val="28"/>
          <w:rtl/>
          <w14:ligatures w14:val="standardContextual"/>
        </w:rPr>
        <w:t xml:space="preserve"> والإدارة داخل المنظمات غير الربحية، مع التركيز على مدى مساهمتها في تحقيق أثر مستدام. وقد هدفت إلى استكشاف التحولات التي طرأت على مفهوم القيادة </w:t>
      </w:r>
      <w:proofErr w:type="spellStart"/>
      <w:r w:rsidRPr="00157377">
        <w:rPr>
          <w:rFonts w:ascii="Simplified Arabic" w:eastAsia="Calibri" w:hAnsi="Simplified Arabic" w:cs="Simplified Arabic"/>
          <w:kern w:val="2"/>
          <w:sz w:val="28"/>
          <w:szCs w:val="28"/>
          <w:rtl/>
          <w14:ligatures w14:val="standardContextual"/>
        </w:rPr>
        <w:t>الإستراتيجية</w:t>
      </w:r>
      <w:proofErr w:type="spellEnd"/>
      <w:r w:rsidRPr="00157377">
        <w:rPr>
          <w:rFonts w:ascii="Simplified Arabic" w:eastAsia="Calibri" w:hAnsi="Simplified Arabic" w:cs="Simplified Arabic"/>
          <w:kern w:val="2"/>
          <w:sz w:val="28"/>
          <w:szCs w:val="28"/>
          <w:rtl/>
          <w14:ligatures w14:val="standardContextual"/>
        </w:rPr>
        <w:t>، وتحديد الدور الذي تؤديه القيادة والإدارة في دعم استدامة المؤسسات، إضافة إلى تحليل الممارسات الإدارية المبتكرة التي تسهم في تعزيز مرونة واستمرارية أداء المنظمات غير الربحية في بيئة تشغيلية تتسم بالتغير والتحديات.</w:t>
      </w:r>
      <w:r w:rsidRPr="00157377">
        <w:rPr>
          <w:rFonts w:ascii="Simplified Arabic" w:eastAsia="Calibri" w:hAnsi="Simplified Arabic" w:cs="Simplified Arabic"/>
          <w:kern w:val="2"/>
          <w:sz w:val="28"/>
          <w:szCs w:val="28"/>
          <w14:ligatures w14:val="standardContextual"/>
        </w:rPr>
        <w:t xml:space="preserve"> (</w:t>
      </w:r>
      <w:proofErr w:type="spellStart"/>
      <w:r w:rsidRPr="00157377">
        <w:rPr>
          <w:rFonts w:ascii="Simplified Arabic" w:eastAsia="Calibri" w:hAnsi="Simplified Arabic" w:cs="Simplified Arabic"/>
          <w:kern w:val="2"/>
          <w:sz w:val="28"/>
          <w:szCs w:val="28"/>
          <w14:ligatures w14:val="standardContextual"/>
        </w:rPr>
        <w:t>Ajuwon</w:t>
      </w:r>
      <w:proofErr w:type="spellEnd"/>
      <w:r w:rsidRPr="00157377">
        <w:rPr>
          <w:rFonts w:ascii="Simplified Arabic" w:eastAsia="Calibri" w:hAnsi="Simplified Arabic" w:cs="Simplified Arabic"/>
          <w:kern w:val="2"/>
          <w:sz w:val="28"/>
          <w:szCs w:val="28"/>
          <w14:ligatures w14:val="standardContextual"/>
        </w:rPr>
        <w:t xml:space="preserve"> , 2024 , page 2)</w:t>
      </w:r>
    </w:p>
    <w:p w:rsidR="00157377" w:rsidRDefault="00157377" w:rsidP="00157377">
      <w:pPr>
        <w:spacing w:after="160"/>
        <w:jc w:val="both"/>
        <w:rPr>
          <w:rFonts w:ascii="Simplified Arabic" w:eastAsia="Calibri" w:hAnsi="Simplified Arabic" w:cs="Simplified Arabic" w:hint="cs"/>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اعتمدت الدراسة في </w:t>
      </w:r>
      <w:proofErr w:type="spellStart"/>
      <w:r w:rsidRPr="00157377">
        <w:rPr>
          <w:rFonts w:ascii="Simplified Arabic" w:eastAsia="Calibri" w:hAnsi="Simplified Arabic" w:cs="Simplified Arabic"/>
          <w:kern w:val="2"/>
          <w:sz w:val="28"/>
          <w:szCs w:val="28"/>
          <w:rtl/>
          <w14:ligatures w14:val="standardContextual"/>
        </w:rPr>
        <w:t>منهجيتها</w:t>
      </w:r>
      <w:proofErr w:type="spellEnd"/>
      <w:r w:rsidRPr="00157377">
        <w:rPr>
          <w:rFonts w:ascii="Simplified Arabic" w:eastAsia="Calibri" w:hAnsi="Simplified Arabic" w:cs="Simplified Arabic"/>
          <w:kern w:val="2"/>
          <w:sz w:val="28"/>
          <w:szCs w:val="28"/>
          <w:rtl/>
          <w14:ligatures w14:val="standardContextual"/>
        </w:rPr>
        <w:t xml:space="preserve"> على مراجعة منهجية للأدبيات وتحليل محتوى دقيق لمصادر علمية متنوعة، شملت الدوريات المحكمة وأوراق المؤتمرات والمصادر الرمادية خلال الفترة الممتدة من عام 2013 إلى عام 2023. وركّزت عملية البحث على الأدلة التجريبية والنماذج النظرية والدراسات التطبيقية ذات العلاقة بالقيادة </w:t>
      </w:r>
      <w:proofErr w:type="spellStart"/>
      <w:r w:rsidRPr="00157377">
        <w:rPr>
          <w:rFonts w:ascii="Simplified Arabic" w:eastAsia="Calibri" w:hAnsi="Simplified Arabic" w:cs="Simplified Arabic"/>
          <w:kern w:val="2"/>
          <w:sz w:val="28"/>
          <w:szCs w:val="28"/>
          <w:rtl/>
          <w14:ligatures w14:val="standardContextual"/>
        </w:rPr>
        <w:t>الإستراتيجية</w:t>
      </w:r>
      <w:proofErr w:type="spellEnd"/>
      <w:r w:rsidRPr="00157377">
        <w:rPr>
          <w:rFonts w:ascii="Simplified Arabic" w:eastAsia="Calibri" w:hAnsi="Simplified Arabic" w:cs="Simplified Arabic"/>
          <w:kern w:val="2"/>
          <w:sz w:val="28"/>
          <w:szCs w:val="28"/>
          <w:rtl/>
          <w14:ligatures w14:val="standardContextual"/>
        </w:rPr>
        <w:t xml:space="preserve"> والإدارة في السياق غير الربحي، مما أتاح تكوين صورة شاملة عن الاتجاهات والممارسات السائدة في هذا المجال.</w:t>
      </w:r>
      <w:r w:rsidRPr="00157377">
        <w:rPr>
          <w:rFonts w:ascii="Simplified Arabic" w:eastAsia="Calibri" w:hAnsi="Simplified Arabic" w:cs="Simplified Arabic"/>
          <w:kern w:val="2"/>
          <w:sz w:val="28"/>
          <w:szCs w:val="28"/>
          <w14:ligatures w14:val="standardContextual"/>
        </w:rPr>
        <w:t xml:space="preserve"> (</w:t>
      </w:r>
      <w:proofErr w:type="spellStart"/>
      <w:r w:rsidRPr="00157377">
        <w:rPr>
          <w:rFonts w:ascii="Simplified Arabic" w:eastAsia="Calibri" w:hAnsi="Simplified Arabic" w:cs="Simplified Arabic"/>
          <w:kern w:val="2"/>
          <w:sz w:val="28"/>
          <w:szCs w:val="28"/>
          <w14:ligatures w14:val="standardContextual"/>
        </w:rPr>
        <w:t>Ajuwon</w:t>
      </w:r>
      <w:proofErr w:type="spellEnd"/>
      <w:r w:rsidRPr="00157377">
        <w:rPr>
          <w:rFonts w:ascii="Simplified Arabic" w:eastAsia="Calibri" w:hAnsi="Simplified Arabic" w:cs="Simplified Arabic"/>
          <w:kern w:val="2"/>
          <w:sz w:val="28"/>
          <w:szCs w:val="28"/>
          <w14:ligatures w14:val="standardContextual"/>
        </w:rPr>
        <w:t xml:space="preserve"> , 2024 , page 2)</w:t>
      </w:r>
      <w:r>
        <w:rPr>
          <w:rFonts w:ascii="Simplified Arabic" w:eastAsia="Calibri" w:hAnsi="Simplified Arabic" w:cs="Simplified Arabic" w:hint="cs"/>
          <w:kern w:val="2"/>
          <w:sz w:val="28"/>
          <w:szCs w:val="28"/>
          <w:rtl/>
          <w14:ligatures w14:val="standardContextual"/>
        </w:rPr>
        <w:t xml:space="preserve"> </w:t>
      </w:r>
      <w:r w:rsidRPr="00157377">
        <w:rPr>
          <w:rFonts w:ascii="Simplified Arabic" w:eastAsia="Calibri" w:hAnsi="Simplified Arabic" w:cs="Simplified Arabic"/>
          <w:kern w:val="2"/>
          <w:sz w:val="28"/>
          <w:szCs w:val="28"/>
          <w:rtl/>
          <w14:ligatures w14:val="standardContextual"/>
        </w:rPr>
        <w:t>كشفت النتائج أن القيادة التكيفية تُعد عاملًا رئيسيًا في قدرة المنظمات غير الربحية على التعامل مع التعقيدات التشغيلية. كما أظهرت أهمية تبنّي ممارسات إدارية مبتكرة، وتعزيز مستوى التفاعل مع أصحاب المصلحة، إضافة إلى دمج التقنيات الرقمية في العمليات الإدارية. وبيّنت الدراسة أن هذه العناصر مجتمعة تُسهم في تحقيق الأهداف المؤسسية المرتبطة برسالة المنظمة، وتزيد من فعالية الأداء العام والاستجابة للمتغيرات الخارجية.</w:t>
      </w:r>
      <w:r w:rsidRPr="00157377">
        <w:rPr>
          <w:rFonts w:ascii="Simplified Arabic" w:eastAsia="Calibri" w:hAnsi="Simplified Arabic" w:cs="Simplified Arabic"/>
          <w:kern w:val="2"/>
          <w:sz w:val="28"/>
          <w:szCs w:val="28"/>
          <w14:ligatures w14:val="standardContextual"/>
        </w:rPr>
        <w:t xml:space="preserve"> (</w:t>
      </w:r>
      <w:proofErr w:type="spellStart"/>
      <w:r w:rsidRPr="00157377">
        <w:rPr>
          <w:rFonts w:ascii="Simplified Arabic" w:eastAsia="Calibri" w:hAnsi="Simplified Arabic" w:cs="Simplified Arabic"/>
          <w:kern w:val="2"/>
          <w:sz w:val="28"/>
          <w:szCs w:val="28"/>
          <w14:ligatures w14:val="standardContextual"/>
        </w:rPr>
        <w:t>Ajuwon</w:t>
      </w:r>
      <w:proofErr w:type="spellEnd"/>
      <w:r w:rsidRPr="00157377">
        <w:rPr>
          <w:rFonts w:ascii="Simplified Arabic" w:eastAsia="Calibri" w:hAnsi="Simplified Arabic" w:cs="Simplified Arabic"/>
          <w:kern w:val="2"/>
          <w:sz w:val="28"/>
          <w:szCs w:val="28"/>
          <w14:ligatures w14:val="standardContextual"/>
        </w:rPr>
        <w:t xml:space="preserve"> , 2024 , page 2)</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خلصت الدراسة إلى مجموعة من التوصيات التي من شأنها تعزيز الأثر المستدام للمنظمات غير الربحية، منها ضرورة تبني أنماط قيادية تكيفية قادرة على مواكبة التحديات، وتشجيع ثقافة الابتكار التنظيمي، وتوظيف التكنولوجيا الحديثة لدعم العمليات واتخاذ القرارات، وبناء أطر تنظيمية مرنة تستجيب لمتطلبات الواقع. كما أكدت على أهمية تطوير السياسات المؤسسية الموجّهة نحو أفضل الممارسات في القيادة والإدارة، إضافة إلى ضرورة توسيع نطاق الأبحاث المستقبلية لدراسة تأثير التقنيات الناشئة والعولمة والتفاعلات الثقافية العابرة للحدود على أداء المنظمات غير الربحية.    </w:t>
      </w:r>
      <w:r w:rsidRPr="00157377">
        <w:rPr>
          <w:rFonts w:ascii="Simplified Arabic" w:eastAsia="Calibri" w:hAnsi="Simplified Arabic" w:cs="Simplified Arabic"/>
          <w:kern w:val="2"/>
          <w:sz w:val="28"/>
          <w:szCs w:val="28"/>
          <w14:ligatures w14:val="standardContextual"/>
        </w:rPr>
        <w:t xml:space="preserve"> (</w:t>
      </w:r>
      <w:proofErr w:type="spellStart"/>
      <w:r w:rsidRPr="00157377">
        <w:rPr>
          <w:rFonts w:ascii="Simplified Arabic" w:eastAsia="Calibri" w:hAnsi="Simplified Arabic" w:cs="Simplified Arabic"/>
          <w:kern w:val="2"/>
          <w:sz w:val="28"/>
          <w:szCs w:val="28"/>
          <w14:ligatures w14:val="standardContextual"/>
        </w:rPr>
        <w:t>Ajuwon</w:t>
      </w:r>
      <w:proofErr w:type="spellEnd"/>
      <w:r w:rsidRPr="00157377">
        <w:rPr>
          <w:rFonts w:ascii="Simplified Arabic" w:eastAsia="Calibri" w:hAnsi="Simplified Arabic" w:cs="Simplified Arabic"/>
          <w:kern w:val="2"/>
          <w:sz w:val="28"/>
          <w:szCs w:val="28"/>
          <w14:ligatures w14:val="standardContextual"/>
        </w:rPr>
        <w:t xml:space="preserve"> , 2024 , page 2)</w:t>
      </w:r>
    </w:p>
    <w:p w:rsidR="00157377" w:rsidRPr="00157377" w:rsidRDefault="00157377" w:rsidP="00157377">
      <w:pPr>
        <w:spacing w:after="160"/>
        <w:jc w:val="both"/>
        <w:rPr>
          <w:rFonts w:ascii="Simplified Arabic" w:eastAsia="Calibri" w:hAnsi="Simplified Arabic" w:cs="Simplified Arabic"/>
          <w:b/>
          <w:bCs/>
          <w:kern w:val="2"/>
          <w:sz w:val="28"/>
          <w:szCs w:val="28"/>
          <w:u w:val="single"/>
          <w:rtl/>
          <w14:ligatures w14:val="standardContextual"/>
        </w:rPr>
      </w:pPr>
      <w:r w:rsidRPr="00157377">
        <w:rPr>
          <w:rFonts w:ascii="Simplified Arabic" w:eastAsia="Calibri" w:hAnsi="Simplified Arabic" w:cs="Simplified Arabic"/>
          <w:b/>
          <w:bCs/>
          <w:kern w:val="2"/>
          <w:sz w:val="28"/>
          <w:szCs w:val="28"/>
          <w:u w:val="single"/>
          <w:rtl/>
          <w14:ligatures w14:val="standardContextual"/>
        </w:rPr>
        <w:t xml:space="preserve">دراسة  </w:t>
      </w:r>
      <w:r w:rsidRPr="00157377">
        <w:rPr>
          <w:rFonts w:ascii="Simplified Arabic" w:eastAsia="Calibri" w:hAnsi="Simplified Arabic" w:cs="Simplified Arabic"/>
          <w:b/>
          <w:bCs/>
          <w:kern w:val="2"/>
          <w:sz w:val="28"/>
          <w:szCs w:val="28"/>
          <w:u w:val="single"/>
          <w14:ligatures w14:val="standardContextual"/>
        </w:rPr>
        <w:t>Berglund</w:t>
      </w:r>
      <w:r w:rsidRPr="00157377">
        <w:rPr>
          <w:rFonts w:ascii="Simplified Arabic" w:eastAsia="Calibri" w:hAnsi="Simplified Arabic" w:cs="Simplified Arabic"/>
          <w:b/>
          <w:bCs/>
          <w:kern w:val="2"/>
          <w:sz w:val="28"/>
          <w:szCs w:val="28"/>
          <w:u w:val="single"/>
          <w:rtl/>
          <w14:ligatures w14:val="standardContextual"/>
        </w:rPr>
        <w:t xml:space="preserve"> </w:t>
      </w:r>
      <w:r w:rsidRPr="00157377">
        <w:rPr>
          <w:rFonts w:ascii="Simplified Arabic" w:eastAsia="Calibri" w:hAnsi="Simplified Arabic" w:cs="Simplified Arabic"/>
          <w:b/>
          <w:bCs/>
          <w:kern w:val="2"/>
          <w:sz w:val="28"/>
          <w:szCs w:val="28"/>
          <w:u w:val="single"/>
          <w14:ligatures w14:val="standardContextual"/>
        </w:rPr>
        <w:t xml:space="preserve"> </w:t>
      </w:r>
      <w:r w:rsidRPr="00157377">
        <w:rPr>
          <w:rFonts w:ascii="Simplified Arabic" w:eastAsia="Calibri" w:hAnsi="Simplified Arabic" w:cs="Simplified Arabic"/>
          <w:b/>
          <w:bCs/>
          <w:kern w:val="2"/>
          <w:sz w:val="28"/>
          <w:szCs w:val="28"/>
          <w:u w:val="single"/>
          <w:rtl/>
          <w14:ligatures w14:val="standardContextual"/>
        </w:rPr>
        <w:t xml:space="preserve">&amp; </w:t>
      </w:r>
      <w:proofErr w:type="spellStart"/>
      <w:r w:rsidRPr="00157377">
        <w:rPr>
          <w:rFonts w:ascii="Simplified Arabic" w:eastAsia="Calibri" w:hAnsi="Simplified Arabic" w:cs="Simplified Arabic"/>
          <w:b/>
          <w:bCs/>
          <w:kern w:val="2"/>
          <w:sz w:val="28"/>
          <w:szCs w:val="28"/>
          <w:u w:val="single"/>
          <w14:ligatures w14:val="standardContextual"/>
        </w:rPr>
        <w:t>Sterin</w:t>
      </w:r>
      <w:proofErr w:type="spellEnd"/>
      <w:r w:rsidRPr="00157377">
        <w:rPr>
          <w:rFonts w:ascii="Simplified Arabic" w:eastAsia="Calibri" w:hAnsi="Simplified Arabic" w:cs="Simplified Arabic"/>
          <w:b/>
          <w:bCs/>
          <w:kern w:val="2"/>
          <w:sz w:val="28"/>
          <w:szCs w:val="28"/>
          <w:u w:val="single"/>
          <w:rtl/>
          <w14:ligatures w14:val="standardContextual"/>
        </w:rPr>
        <w:t xml:space="preserve">  ( 2021 ) بعنوان الضوابط الداخلية والأداء التشغيلي للمنظمات غير الربحية.</w:t>
      </w:r>
      <w:r w:rsidRPr="00157377">
        <w:rPr>
          <w:rFonts w:ascii="Simplified Arabic" w:eastAsia="Calibri" w:hAnsi="Simplified Arabic" w:cs="Simplified Arabic"/>
          <w:b/>
          <w:bCs/>
          <w:kern w:val="2"/>
          <w:sz w:val="28"/>
          <w:szCs w:val="28"/>
          <w:u w:val="single"/>
          <w14:ligatures w14:val="standardContextual"/>
        </w:rPr>
        <w:t xml:space="preserve"> Internal controls and operational performance of nonprofit organizations</w:t>
      </w:r>
      <w:r w:rsidRPr="00157377">
        <w:rPr>
          <w:rFonts w:ascii="Simplified Arabic" w:eastAsia="Calibri" w:hAnsi="Simplified Arabic" w:cs="Simplified Arabic"/>
          <w:b/>
          <w:bCs/>
          <w:kern w:val="2"/>
          <w:sz w:val="28"/>
          <w:szCs w:val="28"/>
          <w:u w:val="single"/>
          <w:rtl/>
          <w14:ligatures w14:val="standardContextual"/>
        </w:rPr>
        <w:t>.</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تناولت هذه الدراسة أثر نقص الضوابط الداخلية كما يبلّغ عنها المدققون الخارجيون على مستوى الأداء التشغيلي في المنظمات غير الربحية. وقد انطلقت الدراسة من فرضية أن ضعف نظام الضبط الداخلي، سواء في إعداد التقارير المالية أو في الالتزام التنظيمي، له تأثير مباشر على كفاءة المؤسسات في تنفيذ مهامها الخيرية وتحقيق أهدافها المجتمعية.</w:t>
      </w:r>
      <w:r w:rsidRPr="00157377">
        <w:rPr>
          <w:rFonts w:ascii="Simplified Arabic" w:eastAsia="Calibri" w:hAnsi="Simplified Arabic" w:cs="Simplified Arabic"/>
          <w:kern w:val="2"/>
          <w:sz w:val="28"/>
          <w:szCs w:val="28"/>
          <w14:ligatures w14:val="standardContextual"/>
        </w:rPr>
        <w:t xml:space="preserve"> Berglund  &amp; </w:t>
      </w:r>
      <w:proofErr w:type="spellStart"/>
      <w:r w:rsidRPr="00157377">
        <w:rPr>
          <w:rFonts w:ascii="Simplified Arabic" w:eastAsia="Calibri" w:hAnsi="Simplified Arabic" w:cs="Simplified Arabic"/>
          <w:kern w:val="2"/>
          <w:sz w:val="28"/>
          <w:szCs w:val="28"/>
          <w14:ligatures w14:val="standardContextual"/>
        </w:rPr>
        <w:t>Sterin</w:t>
      </w:r>
      <w:proofErr w:type="spellEnd"/>
      <w:r w:rsidRPr="00157377">
        <w:rPr>
          <w:rFonts w:ascii="Simplified Arabic" w:eastAsia="Calibri" w:hAnsi="Simplified Arabic" w:cs="Simplified Arabic"/>
          <w:kern w:val="2"/>
          <w:sz w:val="28"/>
          <w:szCs w:val="28"/>
          <w14:ligatures w14:val="standardContextual"/>
        </w:rPr>
        <w:t xml:space="preserve"> , 2021 , page 134)</w:t>
      </w:r>
      <w:r w:rsidRPr="00157377">
        <w:rPr>
          <w:rFonts w:ascii="Simplified Arabic" w:eastAsia="Calibri" w:hAnsi="Simplified Arabic" w:cs="Simplified Arabic"/>
          <w:kern w:val="2"/>
          <w:sz w:val="28"/>
          <w:szCs w:val="28"/>
          <w:rtl/>
          <w14:ligatures w14:val="standardContextual"/>
        </w:rPr>
        <w:t xml:space="preserve"> )</w:t>
      </w:r>
    </w:p>
    <w:p w:rsidR="00157377" w:rsidRDefault="00157377" w:rsidP="00157377">
      <w:pPr>
        <w:spacing w:after="160"/>
        <w:jc w:val="both"/>
        <w:rPr>
          <w:rFonts w:ascii="Simplified Arabic" w:eastAsia="Calibri" w:hAnsi="Simplified Arabic" w:cs="Simplified Arabic" w:hint="cs"/>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وركّزت الدراسة على التمييز بين نوعين من الضوابط الداخلية: الضوابط المرتبطة بالتقارير المالية (</w:t>
      </w:r>
      <w:r w:rsidRPr="00157377">
        <w:rPr>
          <w:rFonts w:ascii="Simplified Arabic" w:eastAsia="Calibri" w:hAnsi="Simplified Arabic" w:cs="Simplified Arabic"/>
          <w:kern w:val="2"/>
          <w:sz w:val="28"/>
          <w:szCs w:val="28"/>
          <w14:ligatures w14:val="standardContextual"/>
        </w:rPr>
        <w:t>ICFR</w:t>
      </w:r>
      <w:r w:rsidRPr="00157377">
        <w:rPr>
          <w:rFonts w:ascii="Simplified Arabic" w:eastAsia="Calibri" w:hAnsi="Simplified Arabic" w:cs="Simplified Arabic"/>
          <w:kern w:val="2"/>
          <w:sz w:val="28"/>
          <w:szCs w:val="28"/>
          <w:rtl/>
          <w14:ligatures w14:val="standardContextual"/>
        </w:rPr>
        <w:t>) وتلك المتعلقة بالامتثال التنظيمي، وذلك استنادًا إلى خصوصية البيئة غير الربحية التي تتيح للجهات الخارجية مراقبة كلا النوعين. واعتمد الباحثون على تحليل الأدبيات المعاصرة في القطاع الربحي، التي أظهرت أن قصور الضوابط الداخلية يؤدي إلى تدني الأداء التشغيلي، ثم قاموا بتوسيع نطاق التحليل ليشمل بيئة المنظمات غير الربحية.</w:t>
      </w:r>
      <w:r w:rsidRPr="00157377">
        <w:rPr>
          <w:rFonts w:ascii="Simplified Arabic" w:eastAsia="Calibri" w:hAnsi="Simplified Arabic" w:cs="Simplified Arabic"/>
          <w:kern w:val="2"/>
          <w:sz w:val="28"/>
          <w:szCs w:val="28"/>
          <w14:ligatures w14:val="standardContextual"/>
        </w:rPr>
        <w:t xml:space="preserve"> Berglund  &amp; </w:t>
      </w:r>
      <w:proofErr w:type="spellStart"/>
      <w:r w:rsidRPr="00157377">
        <w:rPr>
          <w:rFonts w:ascii="Simplified Arabic" w:eastAsia="Calibri" w:hAnsi="Simplified Arabic" w:cs="Simplified Arabic"/>
          <w:kern w:val="2"/>
          <w:sz w:val="28"/>
          <w:szCs w:val="28"/>
          <w14:ligatures w14:val="standardContextual"/>
        </w:rPr>
        <w:t>Sterin</w:t>
      </w:r>
      <w:proofErr w:type="spellEnd"/>
      <w:r w:rsidRPr="00157377">
        <w:rPr>
          <w:rFonts w:ascii="Simplified Arabic" w:eastAsia="Calibri" w:hAnsi="Simplified Arabic" w:cs="Simplified Arabic"/>
          <w:kern w:val="2"/>
          <w:sz w:val="28"/>
          <w:szCs w:val="28"/>
          <w14:ligatures w14:val="standardContextual"/>
        </w:rPr>
        <w:t xml:space="preserve"> , 2021 , page 134)</w:t>
      </w:r>
      <w:r w:rsidRPr="00157377">
        <w:rPr>
          <w:rFonts w:ascii="Simplified Arabic" w:eastAsia="Calibri" w:hAnsi="Simplified Arabic" w:cs="Simplified Arabic"/>
          <w:kern w:val="2"/>
          <w:sz w:val="28"/>
          <w:szCs w:val="28"/>
          <w:rtl/>
          <w14:ligatures w14:val="standardContextual"/>
        </w:rPr>
        <w:t xml:space="preserve"> )</w:t>
      </w:r>
      <w:r>
        <w:rPr>
          <w:rFonts w:ascii="Simplified Arabic" w:eastAsia="Calibri" w:hAnsi="Simplified Arabic" w:cs="Simplified Arabic" w:hint="cs"/>
          <w:kern w:val="2"/>
          <w:sz w:val="28"/>
          <w:szCs w:val="28"/>
          <w:rtl/>
          <w14:ligatures w14:val="standardContextual"/>
        </w:rPr>
        <w:t xml:space="preserve"> و</w:t>
      </w:r>
      <w:r w:rsidRPr="00157377">
        <w:rPr>
          <w:rFonts w:ascii="Simplified Arabic" w:eastAsia="Calibri" w:hAnsi="Simplified Arabic" w:cs="Simplified Arabic"/>
          <w:kern w:val="2"/>
          <w:sz w:val="28"/>
          <w:szCs w:val="28"/>
          <w:rtl/>
          <w14:ligatures w14:val="standardContextual"/>
        </w:rPr>
        <w:t>أظهرت نتائج التحليل وجود علاقة سلبية واضحة بين وجود قصور في هذه الضوابط وبين مؤشرين رئيسيين للأداء التشغيلي، هما الفائض المالي ونسبة المصروفات الخيرية. وقد دلّت النتائج على أن ضعف البيئة الرقابية داخل المنظمة يقلل من قدرتها على تخصيص الموارد بشكل فعّال، ويؤثر على أدائها المالي والخدمي على حدّ سواء.</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kern w:val="2"/>
          <w:sz w:val="28"/>
          <w:szCs w:val="28"/>
          <w:rtl/>
          <w14:ligatures w14:val="standardContextual"/>
        </w:rPr>
        <w:t xml:space="preserve">وانطلاقًا من هذه النتائج، أوصت الدراسة بضرورة تعزيز الضوابط الداخلية في المنظمات غير الربحية عبر بناء أنظمة رقابة أكثر شمولًا وفاعلية. </w:t>
      </w:r>
      <w:r w:rsidRPr="00157377">
        <w:rPr>
          <w:rFonts w:ascii="Simplified Arabic" w:eastAsia="Calibri" w:hAnsi="Simplified Arabic" w:cs="Simplified Arabic"/>
          <w:kern w:val="2"/>
          <w:sz w:val="28"/>
          <w:szCs w:val="28"/>
          <w14:ligatures w14:val="standardContextual"/>
        </w:rPr>
        <w:t xml:space="preserve">Berglund  &amp; </w:t>
      </w:r>
      <w:proofErr w:type="spellStart"/>
      <w:r w:rsidRPr="00157377">
        <w:rPr>
          <w:rFonts w:ascii="Simplified Arabic" w:eastAsia="Calibri" w:hAnsi="Simplified Arabic" w:cs="Simplified Arabic"/>
          <w:kern w:val="2"/>
          <w:sz w:val="28"/>
          <w:szCs w:val="28"/>
          <w14:ligatures w14:val="standardContextual"/>
        </w:rPr>
        <w:t>Sterin</w:t>
      </w:r>
      <w:proofErr w:type="spellEnd"/>
      <w:r w:rsidRPr="00157377">
        <w:rPr>
          <w:rFonts w:ascii="Simplified Arabic" w:eastAsia="Calibri" w:hAnsi="Simplified Arabic" w:cs="Simplified Arabic"/>
          <w:kern w:val="2"/>
          <w:sz w:val="28"/>
          <w:szCs w:val="28"/>
          <w14:ligatures w14:val="standardContextual"/>
        </w:rPr>
        <w:t xml:space="preserve"> , 2021 , page 134)</w:t>
      </w:r>
      <w:r w:rsidRPr="00157377">
        <w:rPr>
          <w:rFonts w:ascii="Simplified Arabic" w:eastAsia="Calibri" w:hAnsi="Simplified Arabic" w:cs="Simplified Arabic"/>
          <w:kern w:val="2"/>
          <w:sz w:val="28"/>
          <w:szCs w:val="28"/>
          <w:rtl/>
          <w14:ligatures w14:val="standardContextual"/>
        </w:rPr>
        <w:t xml:space="preserve"> )</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lastRenderedPageBreak/>
        <w:t xml:space="preserve">كما دعت إلى الاستثمار في الامتثال والتدقيق الداخلي، واعتبار تقارير المدققين مؤشراً مبكرًا لأداء المؤسسة. وتؤكد الدراسة أن بيئة الرقابة الجيدة ليست مجرد عنصر تنظيمي، بل هي دعامة أساسية لتحقيق الأثر الخيري وضمان استدامة الأداء.  </w:t>
      </w:r>
      <w:r w:rsidRPr="00157377">
        <w:rPr>
          <w:rFonts w:ascii="Simplified Arabic" w:eastAsia="Calibri" w:hAnsi="Simplified Arabic" w:cs="Simplified Arabic"/>
          <w:kern w:val="2"/>
          <w:sz w:val="28"/>
          <w:szCs w:val="28"/>
          <w14:ligatures w14:val="standardContextual"/>
        </w:rPr>
        <w:t xml:space="preserve">Berglund  &amp; </w:t>
      </w:r>
      <w:proofErr w:type="spellStart"/>
      <w:r w:rsidRPr="00157377">
        <w:rPr>
          <w:rFonts w:ascii="Simplified Arabic" w:eastAsia="Calibri" w:hAnsi="Simplified Arabic" w:cs="Simplified Arabic"/>
          <w:kern w:val="2"/>
          <w:sz w:val="28"/>
          <w:szCs w:val="28"/>
          <w14:ligatures w14:val="standardContextual"/>
        </w:rPr>
        <w:t>Sterin</w:t>
      </w:r>
      <w:proofErr w:type="spellEnd"/>
      <w:r w:rsidRPr="00157377">
        <w:rPr>
          <w:rFonts w:ascii="Simplified Arabic" w:eastAsia="Calibri" w:hAnsi="Simplified Arabic" w:cs="Simplified Arabic"/>
          <w:kern w:val="2"/>
          <w:sz w:val="28"/>
          <w:szCs w:val="28"/>
          <w14:ligatures w14:val="standardContextual"/>
        </w:rPr>
        <w:t xml:space="preserve"> , 2021 , page 134)</w:t>
      </w:r>
      <w:r w:rsidRPr="00157377">
        <w:rPr>
          <w:rFonts w:ascii="Simplified Arabic" w:eastAsia="Calibri" w:hAnsi="Simplified Arabic" w:cs="Simplified Arabic"/>
          <w:kern w:val="2"/>
          <w:sz w:val="28"/>
          <w:szCs w:val="28"/>
          <w:rtl/>
          <w14:ligatures w14:val="standardContextual"/>
        </w:rPr>
        <w:t xml:space="preserve"> ) </w:t>
      </w:r>
    </w:p>
    <w:p w:rsidR="00157377" w:rsidRPr="00157377" w:rsidRDefault="00157377" w:rsidP="00157377">
      <w:pPr>
        <w:spacing w:after="160"/>
        <w:rPr>
          <w:rFonts w:ascii="Simplified Arabic" w:eastAsia="Calibri" w:hAnsi="Simplified Arabic" w:cs="Simplified Arabic" w:hint="cs"/>
          <w:b/>
          <w:bCs/>
          <w:kern w:val="2"/>
          <w:sz w:val="28"/>
          <w:szCs w:val="28"/>
          <w:rtl/>
          <w14:ligatures w14:val="standardContextual"/>
        </w:rPr>
      </w:pPr>
      <w:r w:rsidRPr="00157377">
        <w:rPr>
          <w:rFonts w:ascii="Simplified Arabic" w:eastAsia="Calibri" w:hAnsi="Simplified Arabic" w:cs="Simplified Arabic" w:hint="cs"/>
          <w:b/>
          <w:bCs/>
          <w:kern w:val="2"/>
          <w:sz w:val="28"/>
          <w:szCs w:val="28"/>
          <w:rtl/>
          <w14:ligatures w14:val="standardContextual"/>
        </w:rPr>
        <w:t xml:space="preserve">التعليق علي الدراسات السابقة  </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عند مراجعة الدراسات السابقة، يتضح أنها جميعًا تسعى إلى تعزيز فهم الأداء المؤسسي في الجمعيات الخيرية والمنظمات غير الربحية، لكنها تناولت الموضوع من زوايا مختلفة. فالدراسات العربية ركزت على إدارة الأداء والفاعلية التنظيمية والتحديات الإدارية التي تواجه الجمعيات، وأبرزت أهمية التخطيط والقيادة والعلاقات الإنسانية في رفع مستوى الفاعلية. أما الدراسات المحلية في المملكة العربية السعودية فقد اهتمت بتطبيق أدوات حديثة مثل التخطيط الاستراتيجي، بطاقة الأداء المتوازن، إدارة الجودة الشاملة، والمحاسبة الإدارية، مؤكدة دورها في تحسين الأداء المؤسسي والتميز التنظيمي. في المقابل، ركزت الدراسات الأجنبية على قضايا أكثر عمقًا مثل القيادة الاستراتيجية التكيفية، الابتكار الإداري، والضوابط الداخلية، وأظهرت كيف أن هذه العناصر تسهم في استدامة الأداء وتعزيز القدرة على مواجهة المخاطر.</w:t>
      </w:r>
      <w:r w:rsidRPr="00157377">
        <w:rPr>
          <w:rFonts w:ascii="Simplified Arabic" w:eastAsia="Calibri" w:hAnsi="Simplified Arabic" w:cs="Simplified Arabic" w:hint="cs"/>
          <w:kern w:val="2"/>
          <w:sz w:val="28"/>
          <w:szCs w:val="28"/>
          <w:rtl/>
          <w14:ligatures w14:val="standardContextual"/>
        </w:rPr>
        <w:t xml:space="preserve"> </w:t>
      </w:r>
      <w:r w:rsidRPr="00157377">
        <w:rPr>
          <w:rFonts w:ascii="Simplified Arabic" w:eastAsia="Calibri" w:hAnsi="Simplified Arabic" w:cs="Simplified Arabic"/>
          <w:kern w:val="2"/>
          <w:sz w:val="28"/>
          <w:szCs w:val="28"/>
          <w:rtl/>
          <w14:ligatures w14:val="standardContextual"/>
        </w:rPr>
        <w:t>ورغم هذا التنوع، فإن القاسم المشترك بين جميع الدراسات هو التأكيد على أن الأداء المؤسسي لا يتحقق إلا من خلال ممارسات إدارية رشيدة، وأن ضعف التنظيم أو غياب السياسات الواضحة يؤدي إلى فجوات في الكفاءة والفاعلية. غير أن معظم هذه الدراسات لم تتناول بشكل مباشر العلاقة بين المخاطر التشغيلية وكفاءة الأداء في الجمعيات الخيرية، خصوصًا في السياق السعودي، وهو ما يبرز الفجوة البحثية التي يسعى هذا البحث إلى سدّها. فالدراسة الحالية تضيف قيمة جديدة من خلال الربط بين إدارة المخاطر التشغيلية ومؤشرات الأداء المؤسسي، بما يتيح بناء نموذج تطبيقي يعزز الاستقرار والجاهزية في بيئة غير مستقرة، ويخدم في الوقت ذاته أهداف التنمية المستدامة للمجتمع.</w:t>
      </w:r>
    </w:p>
    <w:p w:rsidR="00157377" w:rsidRPr="00157377" w:rsidRDefault="00157377" w:rsidP="00157377">
      <w:pPr>
        <w:spacing w:after="160"/>
        <w:rPr>
          <w:rFonts w:ascii="Simplified Arabic" w:eastAsia="Calibri" w:hAnsi="Simplified Arabic" w:cs="Simplified Arabic"/>
          <w:b/>
          <w:bCs/>
          <w:kern w:val="2"/>
          <w:sz w:val="28"/>
          <w:szCs w:val="28"/>
          <w:rtl/>
          <w14:ligatures w14:val="standardContextual"/>
        </w:rPr>
      </w:pPr>
      <w:r w:rsidRPr="00157377">
        <w:rPr>
          <w:rFonts w:ascii="Simplified Arabic" w:eastAsia="Calibri" w:hAnsi="Simplified Arabic" w:cs="Simplified Arabic"/>
          <w:b/>
          <w:bCs/>
          <w:kern w:val="2"/>
          <w:sz w:val="28"/>
          <w:szCs w:val="28"/>
          <w:rtl/>
          <w14:ligatures w14:val="standardContextual"/>
        </w:rPr>
        <w:t>من حيث الأهداف</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تباينت أهداف الدراسات السابقة بين التركيز على إدارة الأداء والفاعلية التنظيمية كما في دراسة </w:t>
      </w:r>
      <w:proofErr w:type="spellStart"/>
      <w:r w:rsidRPr="00157377">
        <w:rPr>
          <w:rFonts w:ascii="Simplified Arabic" w:eastAsia="Calibri" w:hAnsi="Simplified Arabic" w:cs="Simplified Arabic"/>
          <w:kern w:val="2"/>
          <w:sz w:val="28"/>
          <w:szCs w:val="28"/>
          <w:rtl/>
          <w14:ligatures w14:val="standardContextual"/>
        </w:rPr>
        <w:t>العويوي</w:t>
      </w:r>
      <w:proofErr w:type="spellEnd"/>
      <w:r w:rsidRPr="00157377">
        <w:rPr>
          <w:rFonts w:ascii="Simplified Arabic" w:eastAsia="Calibri" w:hAnsi="Simplified Arabic" w:cs="Simplified Arabic"/>
          <w:kern w:val="2"/>
          <w:sz w:val="28"/>
          <w:szCs w:val="28"/>
          <w:rtl/>
          <w14:ligatures w14:val="standardContextual"/>
        </w:rPr>
        <w:t xml:space="preserve"> (2017)، واستكشاف التحديات الإدارية التي تواجه الجمعيات الخيرية كما في دراسة عبدربه (2014)، بينما اتجهت الدراسات المحلية مثل السليم (2024) إلى دراسة العلاقة بين التخطيط الاستراتيجي وبطاقة الأداء المتوازن والتميز المؤسسي، وركزت دراسة النويصر وآخرون (2023) على أثر إدارة الجودة الشاملة في تحسين الأداء، في حين تناولت دراسة </w:t>
      </w:r>
      <w:proofErr w:type="spellStart"/>
      <w:r w:rsidRPr="00157377">
        <w:rPr>
          <w:rFonts w:ascii="Simplified Arabic" w:eastAsia="Calibri" w:hAnsi="Simplified Arabic" w:cs="Simplified Arabic"/>
          <w:kern w:val="2"/>
          <w:sz w:val="28"/>
          <w:szCs w:val="28"/>
          <w:rtl/>
          <w14:ligatures w14:val="standardContextual"/>
        </w:rPr>
        <w:t>بوهيا</w:t>
      </w:r>
      <w:proofErr w:type="spellEnd"/>
      <w:r w:rsidRPr="00157377">
        <w:rPr>
          <w:rFonts w:ascii="Simplified Arabic" w:eastAsia="Calibri" w:hAnsi="Simplified Arabic" w:cs="Simplified Arabic"/>
          <w:kern w:val="2"/>
          <w:sz w:val="28"/>
          <w:szCs w:val="28"/>
          <w:rtl/>
          <w14:ligatures w14:val="standardContextual"/>
        </w:rPr>
        <w:t xml:space="preserve"> (2023) واقع تطبيق أساليب المحاسبة الإدارية. أما الدراسات الأجنبية فقد اهتمت بدراسة القيادة الاستراتيجية التكيفية كما في </w:t>
      </w:r>
      <w:proofErr w:type="spellStart"/>
      <w:r w:rsidRPr="00157377">
        <w:rPr>
          <w:rFonts w:ascii="Simplified Arabic" w:eastAsia="Calibri" w:hAnsi="Simplified Arabic" w:cs="Simplified Arabic"/>
          <w:kern w:val="2"/>
          <w:sz w:val="28"/>
          <w:szCs w:val="28"/>
          <w14:ligatures w14:val="standardContextual"/>
        </w:rPr>
        <w:t>Ajuwon</w:t>
      </w:r>
      <w:proofErr w:type="spellEnd"/>
      <w:r w:rsidRPr="00157377">
        <w:rPr>
          <w:rFonts w:ascii="Simplified Arabic" w:eastAsia="Calibri" w:hAnsi="Simplified Arabic" w:cs="Simplified Arabic"/>
          <w:kern w:val="2"/>
          <w:sz w:val="28"/>
          <w:szCs w:val="28"/>
          <w14:ligatures w14:val="standardContextual"/>
        </w:rPr>
        <w:t xml:space="preserve"> (2024</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kern w:val="2"/>
          <w:sz w:val="28"/>
          <w:szCs w:val="28"/>
          <w:rtl/>
          <w14:ligatures w14:val="standardContextual"/>
        </w:rPr>
        <w:lastRenderedPageBreak/>
        <w:t xml:space="preserve">والضوابط الداخلية وعلاقتها بالأداء التشغيلي كما في </w:t>
      </w:r>
      <w:r w:rsidRPr="00157377">
        <w:rPr>
          <w:rFonts w:ascii="Simplified Arabic" w:eastAsia="Calibri" w:hAnsi="Simplified Arabic" w:cs="Simplified Arabic"/>
          <w:kern w:val="2"/>
          <w:sz w:val="28"/>
          <w:szCs w:val="28"/>
          <w14:ligatures w14:val="standardContextual"/>
        </w:rPr>
        <w:t xml:space="preserve">Berglund &amp; </w:t>
      </w:r>
      <w:proofErr w:type="spellStart"/>
      <w:r w:rsidRPr="00157377">
        <w:rPr>
          <w:rFonts w:ascii="Simplified Arabic" w:eastAsia="Calibri" w:hAnsi="Simplified Arabic" w:cs="Simplified Arabic"/>
          <w:kern w:val="2"/>
          <w:sz w:val="28"/>
          <w:szCs w:val="28"/>
          <w14:ligatures w14:val="standardContextual"/>
        </w:rPr>
        <w:t>Sterin</w:t>
      </w:r>
      <w:proofErr w:type="spellEnd"/>
      <w:r w:rsidRPr="00157377">
        <w:rPr>
          <w:rFonts w:ascii="Simplified Arabic" w:eastAsia="Calibri" w:hAnsi="Simplified Arabic" w:cs="Simplified Arabic"/>
          <w:kern w:val="2"/>
          <w:sz w:val="28"/>
          <w:szCs w:val="28"/>
          <w14:ligatures w14:val="standardContextual"/>
        </w:rPr>
        <w:t xml:space="preserve"> (2021</w:t>
      </w:r>
      <w:r w:rsidRPr="00157377">
        <w:rPr>
          <w:rFonts w:ascii="Simplified Arabic" w:eastAsia="Calibri" w:hAnsi="Simplified Arabic" w:cs="Simplified Arabic"/>
          <w:kern w:val="2"/>
          <w:sz w:val="28"/>
          <w:szCs w:val="28"/>
          <w:rtl/>
          <w14:ligatures w14:val="standardContextual"/>
        </w:rPr>
        <w:t>). ورغم اختلاف الأهداف، فإنها جميعًا تسعى إلى تحسين الأداء المؤسسي في المنظمات غير الربحية.</w:t>
      </w:r>
    </w:p>
    <w:p w:rsidR="00157377" w:rsidRPr="00157377" w:rsidRDefault="00157377" w:rsidP="00157377">
      <w:pPr>
        <w:spacing w:after="160"/>
        <w:rPr>
          <w:rFonts w:ascii="Simplified Arabic" w:eastAsia="Calibri" w:hAnsi="Simplified Arabic" w:cs="Simplified Arabic"/>
          <w:b/>
          <w:bCs/>
          <w:kern w:val="2"/>
          <w:sz w:val="28"/>
          <w:szCs w:val="28"/>
          <w:rtl/>
          <w14:ligatures w14:val="standardContextual"/>
        </w:rPr>
      </w:pPr>
      <w:r w:rsidRPr="00157377">
        <w:rPr>
          <w:rFonts w:ascii="Simplified Arabic" w:eastAsia="Calibri" w:hAnsi="Simplified Arabic" w:cs="Simplified Arabic"/>
          <w:b/>
          <w:bCs/>
          <w:kern w:val="2"/>
          <w:sz w:val="28"/>
          <w:szCs w:val="28"/>
          <w:rtl/>
          <w14:ligatures w14:val="standardContextual"/>
        </w:rPr>
        <w:t>من حيث المناهج</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 xml:space="preserve">اعتمدت معظم الدراسات العربية والمحلية على المنهج الوصفي الكمي باستخدام الاستبانة كأداة رئيسية لجمع البيانات وتحليلها، وهو ما يظهر في دراسات </w:t>
      </w:r>
      <w:proofErr w:type="spellStart"/>
      <w:r w:rsidRPr="00157377">
        <w:rPr>
          <w:rFonts w:ascii="Simplified Arabic" w:eastAsia="Calibri" w:hAnsi="Simplified Arabic" w:cs="Simplified Arabic"/>
          <w:kern w:val="2"/>
          <w:sz w:val="28"/>
          <w:szCs w:val="28"/>
          <w:rtl/>
          <w14:ligatures w14:val="standardContextual"/>
        </w:rPr>
        <w:t>العويوي</w:t>
      </w:r>
      <w:proofErr w:type="spellEnd"/>
      <w:r w:rsidRPr="00157377">
        <w:rPr>
          <w:rFonts w:ascii="Simplified Arabic" w:eastAsia="Calibri" w:hAnsi="Simplified Arabic" w:cs="Simplified Arabic"/>
          <w:kern w:val="2"/>
          <w:sz w:val="28"/>
          <w:szCs w:val="28"/>
          <w:rtl/>
          <w14:ligatures w14:val="standardContextual"/>
        </w:rPr>
        <w:t xml:space="preserve"> (2017)، عبدربه (2014)، السليم (2024)، النويصر (2023)، </w:t>
      </w:r>
      <w:proofErr w:type="spellStart"/>
      <w:r w:rsidRPr="00157377">
        <w:rPr>
          <w:rFonts w:ascii="Simplified Arabic" w:eastAsia="Calibri" w:hAnsi="Simplified Arabic" w:cs="Simplified Arabic"/>
          <w:kern w:val="2"/>
          <w:sz w:val="28"/>
          <w:szCs w:val="28"/>
          <w:rtl/>
          <w14:ligatures w14:val="standardContextual"/>
        </w:rPr>
        <w:t>وبوهيا</w:t>
      </w:r>
      <w:proofErr w:type="spellEnd"/>
      <w:r w:rsidRPr="00157377">
        <w:rPr>
          <w:rFonts w:ascii="Simplified Arabic" w:eastAsia="Calibri" w:hAnsi="Simplified Arabic" w:cs="Simplified Arabic"/>
          <w:kern w:val="2"/>
          <w:sz w:val="28"/>
          <w:szCs w:val="28"/>
          <w:rtl/>
          <w14:ligatures w14:val="standardContextual"/>
        </w:rPr>
        <w:t xml:space="preserve"> (2023). أما الدراسات الأجنبية فقد اتجهت إلى المراجعة المنهجية للأدبيات وتحليل المحتوى كما في دراسة </w:t>
      </w:r>
      <w:proofErr w:type="spellStart"/>
      <w:r w:rsidRPr="00157377">
        <w:rPr>
          <w:rFonts w:ascii="Simplified Arabic" w:eastAsia="Calibri" w:hAnsi="Simplified Arabic" w:cs="Simplified Arabic"/>
          <w:kern w:val="2"/>
          <w:sz w:val="28"/>
          <w:szCs w:val="28"/>
          <w14:ligatures w14:val="standardContextual"/>
        </w:rPr>
        <w:t>Ajuwon</w:t>
      </w:r>
      <w:proofErr w:type="spellEnd"/>
      <w:r w:rsidRPr="00157377">
        <w:rPr>
          <w:rFonts w:ascii="Simplified Arabic" w:eastAsia="Calibri" w:hAnsi="Simplified Arabic" w:cs="Simplified Arabic"/>
          <w:kern w:val="2"/>
          <w:sz w:val="28"/>
          <w:szCs w:val="28"/>
          <w14:ligatures w14:val="standardContextual"/>
        </w:rPr>
        <w:t xml:space="preserve"> (2024</w:t>
      </w:r>
      <w:r w:rsidRPr="00157377">
        <w:rPr>
          <w:rFonts w:ascii="Simplified Arabic" w:eastAsia="Calibri" w:hAnsi="Simplified Arabic" w:cs="Simplified Arabic"/>
          <w:kern w:val="2"/>
          <w:sz w:val="28"/>
          <w:szCs w:val="28"/>
          <w:rtl/>
          <w14:ligatures w14:val="standardContextual"/>
        </w:rPr>
        <w:t xml:space="preserve">)، أو تحليل الأدبيات مع التركيز على الضوابط الداخلية كما في دراسة </w:t>
      </w:r>
      <w:r w:rsidRPr="00157377">
        <w:rPr>
          <w:rFonts w:ascii="Simplified Arabic" w:eastAsia="Calibri" w:hAnsi="Simplified Arabic" w:cs="Simplified Arabic"/>
          <w:kern w:val="2"/>
          <w:sz w:val="28"/>
          <w:szCs w:val="28"/>
          <w14:ligatures w14:val="standardContextual"/>
        </w:rPr>
        <w:t xml:space="preserve">Berglund &amp; </w:t>
      </w:r>
      <w:proofErr w:type="spellStart"/>
      <w:r w:rsidRPr="00157377">
        <w:rPr>
          <w:rFonts w:ascii="Simplified Arabic" w:eastAsia="Calibri" w:hAnsi="Simplified Arabic" w:cs="Simplified Arabic"/>
          <w:kern w:val="2"/>
          <w:sz w:val="28"/>
          <w:szCs w:val="28"/>
          <w14:ligatures w14:val="standardContextual"/>
        </w:rPr>
        <w:t>Sterin</w:t>
      </w:r>
      <w:proofErr w:type="spellEnd"/>
      <w:r w:rsidRPr="00157377">
        <w:rPr>
          <w:rFonts w:ascii="Simplified Arabic" w:eastAsia="Calibri" w:hAnsi="Simplified Arabic" w:cs="Simplified Arabic"/>
          <w:kern w:val="2"/>
          <w:sz w:val="28"/>
          <w:szCs w:val="28"/>
          <w14:ligatures w14:val="standardContextual"/>
        </w:rPr>
        <w:t xml:space="preserve"> (2021</w:t>
      </w:r>
      <w:r w:rsidRPr="00157377">
        <w:rPr>
          <w:rFonts w:ascii="Simplified Arabic" w:eastAsia="Calibri" w:hAnsi="Simplified Arabic" w:cs="Simplified Arabic"/>
          <w:kern w:val="2"/>
          <w:sz w:val="28"/>
          <w:szCs w:val="28"/>
          <w:rtl/>
          <w14:ligatures w14:val="standardContextual"/>
        </w:rPr>
        <w:t>). وهذا يعكس اختلافًا في طبيعة المناهج بين الدراسات المحلية التي تميل إلى التطبيق الميداني، والدراسات الأجنبية التي تميل إلى التحليل النظري والمراجعة الشاملة.</w:t>
      </w:r>
    </w:p>
    <w:p w:rsidR="00157377" w:rsidRPr="00157377" w:rsidRDefault="00157377" w:rsidP="00157377">
      <w:pPr>
        <w:spacing w:after="160"/>
        <w:rPr>
          <w:rFonts w:ascii="Simplified Arabic" w:eastAsia="Calibri" w:hAnsi="Simplified Arabic" w:cs="Simplified Arabic"/>
          <w:b/>
          <w:bCs/>
          <w:kern w:val="2"/>
          <w:sz w:val="28"/>
          <w:szCs w:val="28"/>
          <w:rtl/>
          <w14:ligatures w14:val="standardContextual"/>
        </w:rPr>
      </w:pPr>
      <w:r w:rsidRPr="00157377">
        <w:rPr>
          <w:rFonts w:ascii="Simplified Arabic" w:eastAsia="Calibri" w:hAnsi="Simplified Arabic" w:cs="Simplified Arabic"/>
          <w:b/>
          <w:bCs/>
          <w:kern w:val="2"/>
          <w:sz w:val="28"/>
          <w:szCs w:val="28"/>
          <w:rtl/>
          <w14:ligatures w14:val="standardContextual"/>
        </w:rPr>
        <w:t>من حيث النتائج</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أظهرت الدراسات العربية أن التخطيط والتوجيه والقيادة عوامل أساسية في رفع الفاعلية التنظيمية، كما كشفت عن وجود تحديات إدارية متعددة تؤثر على الأداء المؤسسي. أما الدراسات المحلية فقد أثبتت وجود تأثير إيجابي مباشر للتخطيط الاستراتيجي والجودة الشاملة والمحاسبة الإدارية على التميز المؤسسي وتحسين الأداء. في المقابل، أكدت الدراسات الأجنبية أن القيادة التكيفية والابتكار الإداري يعززان استدامة الأداء، وأن ضعف الضوابط الداخلية يؤدي إلى تدني الأداء المالي والتشغيلي. وبذلك فإن النتائج جميعها تؤكد أن الأداء المؤسسي يرتبط ارتباطًا وثيقًا بالممارسات الإدارية والقيادية والرقابية.</w:t>
      </w:r>
    </w:p>
    <w:p w:rsidR="00157377" w:rsidRPr="00157377" w:rsidRDefault="00157377" w:rsidP="00157377">
      <w:pPr>
        <w:spacing w:after="160"/>
        <w:rPr>
          <w:rFonts w:ascii="Simplified Arabic" w:eastAsia="Calibri" w:hAnsi="Simplified Arabic" w:cs="Simplified Arabic"/>
          <w:b/>
          <w:bCs/>
          <w:kern w:val="2"/>
          <w:sz w:val="28"/>
          <w:szCs w:val="28"/>
          <w:rtl/>
          <w14:ligatures w14:val="standardContextual"/>
        </w:rPr>
      </w:pPr>
      <w:r w:rsidRPr="00157377">
        <w:rPr>
          <w:rFonts w:ascii="Simplified Arabic" w:eastAsia="Calibri" w:hAnsi="Simplified Arabic" w:cs="Simplified Arabic"/>
          <w:b/>
          <w:bCs/>
          <w:kern w:val="2"/>
          <w:sz w:val="28"/>
          <w:szCs w:val="28"/>
          <w:rtl/>
          <w14:ligatures w14:val="standardContextual"/>
        </w:rPr>
        <w:t>أوجه التشابه</w:t>
      </w:r>
    </w:p>
    <w:p w:rsidR="00157377" w:rsidRDefault="00157377" w:rsidP="00157377">
      <w:pPr>
        <w:spacing w:after="160"/>
        <w:jc w:val="both"/>
        <w:rPr>
          <w:rFonts w:ascii="Simplified Arabic" w:eastAsia="Calibri" w:hAnsi="Simplified Arabic" w:cs="Simplified Arabic" w:hint="cs"/>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تشترك الدراسات السابقة في تأكيدها على أن الأداء المؤسسي لا يتحقق إلا من خلال ممارسات إدارية رشيدة، وأن التنظيم الإداري والتخطيط والقيادة عناصر أساسية في تحسين الأداء. كما اتفقت على أن ضعف التنظيم أو غياب السياسات الواضحة يؤدي إلى فجوات في الكفاءة والفاعلية، وهو ما يعكس أهمية الإدارة الفعالة في تحقيق أهداف الجمعيات الخيرية والمنظمات غير الربحية.</w:t>
      </w:r>
    </w:p>
    <w:p w:rsidR="00157377" w:rsidRDefault="00157377" w:rsidP="00157377">
      <w:pPr>
        <w:spacing w:after="160"/>
        <w:jc w:val="both"/>
        <w:rPr>
          <w:rFonts w:ascii="Simplified Arabic" w:eastAsia="Calibri" w:hAnsi="Simplified Arabic" w:cs="Simplified Arabic" w:hint="cs"/>
          <w:kern w:val="2"/>
          <w:sz w:val="28"/>
          <w:szCs w:val="28"/>
          <w:rtl/>
          <w14:ligatures w14:val="standardContextual"/>
        </w:rPr>
      </w:pP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p>
    <w:p w:rsidR="00157377" w:rsidRPr="00157377" w:rsidRDefault="00157377" w:rsidP="00157377">
      <w:pPr>
        <w:spacing w:after="160"/>
        <w:rPr>
          <w:rFonts w:ascii="Simplified Arabic" w:eastAsia="Calibri" w:hAnsi="Simplified Arabic" w:cs="Simplified Arabic"/>
          <w:b/>
          <w:bCs/>
          <w:kern w:val="2"/>
          <w:sz w:val="28"/>
          <w:szCs w:val="28"/>
          <w:rtl/>
          <w14:ligatures w14:val="standardContextual"/>
        </w:rPr>
      </w:pPr>
      <w:r w:rsidRPr="00157377">
        <w:rPr>
          <w:rFonts w:ascii="Simplified Arabic" w:eastAsia="Calibri" w:hAnsi="Simplified Arabic" w:cs="Simplified Arabic"/>
          <w:b/>
          <w:bCs/>
          <w:kern w:val="2"/>
          <w:sz w:val="28"/>
          <w:szCs w:val="28"/>
          <w:rtl/>
          <w14:ligatures w14:val="standardContextual"/>
        </w:rPr>
        <w:lastRenderedPageBreak/>
        <w:t>أوجه الاختلاف</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تختلف الدراسات في تركيزها على جوانب محددة، فالدراسات العربية اهتمت بالتحديات العامة والفاعلية التنظيمية، بينما ركزت الدراسات المحلية على أدوات حديثة لقياس الأداء مثل بطاقة الأداء المتوازن والجودة الشاملة والمحاسبة الإدارية، في حين تناولت الدراسات الأجنبية القيادة التكيفية والضوابط الداخلية كعوامل لاستدامة الأداء. هذا التنوع يعكس اختلاف السياقات البحثية بين البيئات العربية والمحلية والأجنبية، لكنه في الوقت ذاته يبرز غياب التركيز المباشر على المخاطر التشغيلية.</w:t>
      </w:r>
    </w:p>
    <w:p w:rsidR="00157377" w:rsidRPr="00157377" w:rsidRDefault="00157377" w:rsidP="00157377">
      <w:pPr>
        <w:spacing w:after="160"/>
        <w:rPr>
          <w:rFonts w:ascii="Simplified Arabic" w:eastAsia="Calibri" w:hAnsi="Simplified Arabic" w:cs="Simplified Arabic"/>
          <w:b/>
          <w:bCs/>
          <w:kern w:val="2"/>
          <w:sz w:val="28"/>
          <w:szCs w:val="28"/>
          <w:rtl/>
          <w14:ligatures w14:val="standardContextual"/>
        </w:rPr>
      </w:pPr>
      <w:r w:rsidRPr="00157377">
        <w:rPr>
          <w:rFonts w:ascii="Simplified Arabic" w:eastAsia="Calibri" w:hAnsi="Simplified Arabic" w:cs="Simplified Arabic"/>
          <w:b/>
          <w:bCs/>
          <w:kern w:val="2"/>
          <w:sz w:val="28"/>
          <w:szCs w:val="28"/>
          <w:rtl/>
          <w14:ligatures w14:val="standardContextual"/>
        </w:rPr>
        <w:t>المقارنة مع موضوع البحث</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يتمايز موضوع بحثك عن الدراسات السابقة بتركيزه على العلاقة بين المخاطر التشغيلية وكفاءة الأداء في الجمعيات الخيرية بالمنطقة الشرقية من المملكة العربية السعودية. فبينما تناولت الدراسات السابقة الأداء والفاعلية والتميز والجودة والقيادة والرقابة، إلا أنها لم تربط بشكل مباشر بين المخاطر التشغيلية وكفاءة الأداء المؤسسي في السياق السعودي. ومن هنا فإن بحثك يقدم إضافة نوعية من خلال سد هذه الفجوة وتقديم إطار تطبيقي يعزز قدرة الجمعيات على مواجهة المخاطر وتحقيق الاستقرار المؤسسي.</w:t>
      </w:r>
    </w:p>
    <w:p w:rsidR="00157377" w:rsidRPr="00157377" w:rsidRDefault="00157377" w:rsidP="00157377">
      <w:pPr>
        <w:spacing w:after="160"/>
        <w:rPr>
          <w:rFonts w:ascii="Simplified Arabic" w:eastAsia="Calibri" w:hAnsi="Simplified Arabic" w:cs="Simplified Arabic"/>
          <w:b/>
          <w:bCs/>
          <w:kern w:val="2"/>
          <w:sz w:val="28"/>
          <w:szCs w:val="28"/>
          <w:rtl/>
          <w14:ligatures w14:val="standardContextual"/>
        </w:rPr>
      </w:pPr>
      <w:r w:rsidRPr="00157377">
        <w:rPr>
          <w:rFonts w:ascii="Simplified Arabic" w:eastAsia="Calibri" w:hAnsi="Simplified Arabic" w:cs="Simplified Arabic"/>
          <w:b/>
          <w:bCs/>
          <w:kern w:val="2"/>
          <w:sz w:val="28"/>
          <w:szCs w:val="28"/>
          <w:rtl/>
          <w14:ligatures w14:val="standardContextual"/>
        </w:rPr>
        <w:t>الفجوة البحثية</w:t>
      </w:r>
    </w:p>
    <w:p w:rsidR="00157377" w:rsidRPr="00157377" w:rsidRDefault="00157377" w:rsidP="00157377">
      <w:pPr>
        <w:spacing w:after="160"/>
        <w:jc w:val="both"/>
        <w:rPr>
          <w:rFonts w:ascii="Simplified Arabic" w:eastAsia="Calibri" w:hAnsi="Simplified Arabic" w:cs="Simplified Arabic"/>
          <w:kern w:val="2"/>
          <w:sz w:val="28"/>
          <w:szCs w:val="28"/>
          <w:rtl/>
          <w14:ligatures w14:val="standardContextual"/>
        </w:rPr>
      </w:pPr>
      <w:r w:rsidRPr="00157377">
        <w:rPr>
          <w:rFonts w:ascii="Simplified Arabic" w:eastAsia="Calibri" w:hAnsi="Simplified Arabic" w:cs="Simplified Arabic"/>
          <w:kern w:val="2"/>
          <w:sz w:val="28"/>
          <w:szCs w:val="28"/>
          <w:rtl/>
          <w14:ligatures w14:val="standardContextual"/>
        </w:rPr>
        <w:t>رغم تنوع الدراسات السابقة في أهدافها ومناهجها ونتائجها، إلا أنها لم تتناول بشكل مباشر تحليل المخاطر التشغيلية كعامل مستقل، ولم تقم بقياس العلاقة الإحصائية بين إدارة المخاطر التشغيلية وكفاءة الأداء المؤسسي في الجمعيات الخيرية السعودية، كما لم تقدم نموذجًا إداريًا متكاملًا يعزز الاستقرار والجاهزية في بيئة غير مستقرة. ومن هنا تأتي أهمية بحثك في سد هذه الفجوة من خلال تقديم إطار علمي وتطبيقي يربط بين إدارة المخاطر التشغيلية وكفاءة الأداء المؤسسي، بما يعزز استدامة العمل الخيري في المملكة.</w:t>
      </w:r>
    </w:p>
    <w:p w:rsidR="00157377" w:rsidRDefault="00157377" w:rsidP="00157377">
      <w:pPr>
        <w:jc w:val="both"/>
        <w:rPr>
          <w:rFonts w:ascii="Simplified Arabic" w:eastAsia="Calibri" w:hAnsi="Simplified Arabic" w:cs="Simplified Arabic" w:hint="cs"/>
          <w:b/>
          <w:bCs/>
          <w:sz w:val="32"/>
          <w:szCs w:val="32"/>
          <w:rtl/>
        </w:rPr>
      </w:pPr>
    </w:p>
    <w:p w:rsidR="00157377" w:rsidRDefault="00157377" w:rsidP="00157377">
      <w:pPr>
        <w:jc w:val="both"/>
        <w:rPr>
          <w:rFonts w:ascii="Simplified Arabic" w:eastAsia="Calibri" w:hAnsi="Simplified Arabic" w:cs="Simplified Arabic" w:hint="cs"/>
          <w:b/>
          <w:bCs/>
          <w:sz w:val="32"/>
          <w:szCs w:val="32"/>
          <w:rtl/>
        </w:rPr>
      </w:pPr>
    </w:p>
    <w:p w:rsidR="00157377" w:rsidRDefault="00157377" w:rsidP="00157377">
      <w:pPr>
        <w:jc w:val="both"/>
        <w:rPr>
          <w:rFonts w:ascii="Simplified Arabic" w:eastAsia="Calibri" w:hAnsi="Simplified Arabic" w:cs="Simplified Arabic" w:hint="cs"/>
          <w:b/>
          <w:bCs/>
          <w:sz w:val="32"/>
          <w:szCs w:val="32"/>
          <w:rtl/>
        </w:rPr>
      </w:pPr>
    </w:p>
    <w:p w:rsidR="00157377" w:rsidRDefault="00157377" w:rsidP="00157377">
      <w:pPr>
        <w:jc w:val="both"/>
        <w:rPr>
          <w:rFonts w:ascii="Simplified Arabic" w:eastAsia="Calibri" w:hAnsi="Simplified Arabic" w:cs="Simplified Arabic" w:hint="cs"/>
          <w:b/>
          <w:bCs/>
          <w:sz w:val="32"/>
          <w:szCs w:val="32"/>
          <w:rtl/>
        </w:rPr>
      </w:pPr>
    </w:p>
    <w:p w:rsidR="00157377" w:rsidRPr="00157377" w:rsidRDefault="00157377" w:rsidP="00157377">
      <w:pPr>
        <w:jc w:val="both"/>
        <w:rPr>
          <w:rFonts w:ascii="Simplified Arabic" w:eastAsia="Calibri" w:hAnsi="Simplified Arabic" w:cs="Simplified Arabic"/>
          <w:b/>
          <w:bCs/>
          <w:sz w:val="32"/>
          <w:szCs w:val="32"/>
          <w:rtl/>
        </w:rPr>
      </w:pPr>
      <w:r w:rsidRPr="00157377">
        <w:rPr>
          <w:rFonts w:ascii="Simplified Arabic" w:eastAsia="Calibri" w:hAnsi="Simplified Arabic" w:cs="Simplified Arabic" w:hint="cs"/>
          <w:b/>
          <w:bCs/>
          <w:sz w:val="32"/>
          <w:szCs w:val="32"/>
          <w:rtl/>
        </w:rPr>
        <w:lastRenderedPageBreak/>
        <w:t xml:space="preserve">الاطار النظري </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hint="cs"/>
          <w:b/>
          <w:bCs/>
          <w:sz w:val="28"/>
          <w:szCs w:val="28"/>
          <w:rtl/>
        </w:rPr>
        <w:t xml:space="preserve">اولا : </w:t>
      </w:r>
      <w:r w:rsidRPr="00157377">
        <w:rPr>
          <w:rFonts w:ascii="Simplified Arabic" w:eastAsia="Calibri" w:hAnsi="Simplified Arabic" w:cs="Simplified Arabic"/>
          <w:b/>
          <w:bCs/>
          <w:sz w:val="28"/>
          <w:szCs w:val="28"/>
          <w:rtl/>
        </w:rPr>
        <w:t xml:space="preserve">مفهوم المخاطر التشغيلية  </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      تُعد دراسة المخاطر من المواضيع الحيوية التي تتقاطع مع العديد من العلوم الإنسانية والتطبيقية، مثل الاقتصاد، والإدارة المالية، والتأمين، والإحصاء، والعلوم الاجتماعية. ويُنظر إلى "الخطر" من كل علم بمنظور مختلف يعكس طبيعة هذا التخصص وأهدافه، مما يجعل مفهوم المخاطر متعدد الأبعاد، غنيًا بالتفسيرات، ومفتوحًا على التأويلات النظرية والتطبيقية. ورغم هذا التعدد، فإن مفهوم المخاطر لا يمكن عزله عن السياق العام الذي يجمع بين هذه العلوم، إذ يتكامل مع مفاهيم الاحتمال، وعدم اليقين، والتقلب، والخسارة، والقرار، مما يجعله عنصرًا أساسيًا في تحليل الظواهر المعقدة، سواء كانت اقتصادية أو اجتماعية أو تنظيمية. ( </w:t>
      </w:r>
      <w:proofErr w:type="spellStart"/>
      <w:r w:rsidRPr="00157377">
        <w:rPr>
          <w:rFonts w:ascii="Simplified Arabic" w:eastAsia="Calibri" w:hAnsi="Simplified Arabic" w:cs="Simplified Arabic"/>
          <w:sz w:val="28"/>
          <w:szCs w:val="28"/>
          <w:rtl/>
        </w:rPr>
        <w:t>بلعزوز</w:t>
      </w:r>
      <w:proofErr w:type="spellEnd"/>
      <w:r w:rsidRPr="00157377">
        <w:rPr>
          <w:rFonts w:ascii="Simplified Arabic" w:eastAsia="Calibri" w:hAnsi="Simplified Arabic" w:cs="Simplified Arabic"/>
          <w:sz w:val="28"/>
          <w:szCs w:val="28"/>
          <w:rtl/>
        </w:rPr>
        <w:t xml:space="preserve"> , 2009 , ص 331)</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أولًا: المفهوم الاقتصادي للمخاطر</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      في علم الاقتصاد، يُنظر إلى الخطر على أنه احتمال وقوع حدث غير مرغوب فيه قد يؤدي إلى خسارة أو انحراف عن النتائج المتوقعة. والخطر بأنه "احتمال الانحراف عن المسار المتوقع الذي يؤدي إلى نتيجة غير مرغوبة أو خسارة محتملة". ويُستخدم هذا المفهوم في تحليل القرارات الاقتصادية، خاصة تلك التي تنطوي على استثمار أو تخصيص موارد في ظل ظروف غير مؤكدة. ويُعد الخطر الاقتصادي تعبيرًا عن التباين بين النتائج المخططة والنتائج الفعلية، ويشمل ذلك:</w:t>
      </w: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عدم تحقق العوائد المرجوة.</w:t>
      </w: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تغيرات مفاجئة في السوق.</w:t>
      </w: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تقلبات في الأسعار أو الطلب.</w:t>
      </w: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تأثيرات خارجية مثل التضخم أو الركود. ( </w:t>
      </w:r>
      <w:proofErr w:type="spellStart"/>
      <w:r w:rsidRPr="00157377">
        <w:rPr>
          <w:rFonts w:ascii="Simplified Arabic" w:eastAsia="Calibri" w:hAnsi="Simplified Arabic" w:cs="Simplified Arabic"/>
          <w:sz w:val="28"/>
          <w:szCs w:val="28"/>
          <w:rtl/>
        </w:rPr>
        <w:t>بلعزوز</w:t>
      </w:r>
      <w:proofErr w:type="spellEnd"/>
      <w:r w:rsidRPr="00157377">
        <w:rPr>
          <w:rFonts w:ascii="Simplified Arabic" w:eastAsia="Calibri" w:hAnsi="Simplified Arabic" w:cs="Simplified Arabic"/>
          <w:sz w:val="28"/>
          <w:szCs w:val="28"/>
          <w:rtl/>
        </w:rPr>
        <w:t xml:space="preserve"> , 2009 , ص 331)</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ثانيًا: المفهوم القانوني للمخاطر</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      من منظور القانون، يُعرّف الخطر بأنه احتمال وقوع حادث مستقبلي قد يؤدي إلى ضرر أو خسارة، ويكون خارجًا عن إرادة الأطراف المتعاقدة. ( </w:t>
      </w:r>
      <w:proofErr w:type="spellStart"/>
      <w:r w:rsidRPr="00157377">
        <w:rPr>
          <w:rFonts w:ascii="Simplified Arabic" w:eastAsia="Calibri" w:hAnsi="Simplified Arabic" w:cs="Simplified Arabic"/>
          <w:sz w:val="28"/>
          <w:szCs w:val="28"/>
          <w:rtl/>
        </w:rPr>
        <w:t>بلعزوز</w:t>
      </w:r>
      <w:proofErr w:type="spellEnd"/>
      <w:r w:rsidRPr="00157377">
        <w:rPr>
          <w:rFonts w:ascii="Simplified Arabic" w:eastAsia="Calibri" w:hAnsi="Simplified Arabic" w:cs="Simplified Arabic"/>
          <w:sz w:val="28"/>
          <w:szCs w:val="28"/>
          <w:rtl/>
        </w:rPr>
        <w:t xml:space="preserve"> , 2009 , ص 331)</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ويُستخدم هذا المفهوم في صياغة العقود، خاصة في مجال التأمين، لتحديد المسؤوليات والالتزامات في حال وقوع أحداث غير متوقعة. ويشمل هذا المفهوم:</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 </w:t>
      </w:r>
      <w:proofErr w:type="spellStart"/>
      <w:r w:rsidRPr="00157377">
        <w:rPr>
          <w:rFonts w:ascii="Simplified Arabic" w:eastAsia="Calibri" w:hAnsi="Simplified Arabic" w:cs="Simplified Arabic"/>
          <w:sz w:val="28"/>
          <w:szCs w:val="28"/>
          <w:rtl/>
        </w:rPr>
        <w:t>بلعزوز</w:t>
      </w:r>
      <w:proofErr w:type="spellEnd"/>
      <w:r w:rsidRPr="00157377">
        <w:rPr>
          <w:rFonts w:ascii="Simplified Arabic" w:eastAsia="Calibri" w:hAnsi="Simplified Arabic" w:cs="Simplified Arabic"/>
          <w:sz w:val="28"/>
          <w:szCs w:val="28"/>
          <w:rtl/>
        </w:rPr>
        <w:t xml:space="preserve"> , 2009 , ص 331)</w:t>
      </w: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lastRenderedPageBreak/>
        <w:t>الحوادث الناتجة عن القوة القاهرة.</w:t>
      </w: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الأضرار الناتجة عن الإهمال أو التقصير.</w:t>
      </w: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المخاطر المرتبطة بالمسؤولية المدنية أو الجنائية. ( </w:t>
      </w:r>
      <w:proofErr w:type="spellStart"/>
      <w:r w:rsidRPr="00157377">
        <w:rPr>
          <w:rFonts w:ascii="Simplified Arabic" w:eastAsia="Calibri" w:hAnsi="Simplified Arabic" w:cs="Simplified Arabic"/>
          <w:sz w:val="28"/>
          <w:szCs w:val="28"/>
          <w:rtl/>
        </w:rPr>
        <w:t>بلعزوز</w:t>
      </w:r>
      <w:proofErr w:type="spellEnd"/>
      <w:r w:rsidRPr="00157377">
        <w:rPr>
          <w:rFonts w:ascii="Simplified Arabic" w:eastAsia="Calibri" w:hAnsi="Simplified Arabic" w:cs="Simplified Arabic"/>
          <w:sz w:val="28"/>
          <w:szCs w:val="28"/>
          <w:rtl/>
        </w:rPr>
        <w:t xml:space="preserve"> , 2009 , ص 331)</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 xml:space="preserve">ثالثًا: المفهوم </w:t>
      </w:r>
      <w:proofErr w:type="spellStart"/>
      <w:r w:rsidRPr="00157377">
        <w:rPr>
          <w:rFonts w:ascii="Simplified Arabic" w:eastAsia="Calibri" w:hAnsi="Simplified Arabic" w:cs="Simplified Arabic"/>
          <w:b/>
          <w:bCs/>
          <w:sz w:val="28"/>
          <w:szCs w:val="28"/>
          <w:rtl/>
        </w:rPr>
        <w:t>التأميني</w:t>
      </w:r>
      <w:proofErr w:type="spellEnd"/>
      <w:r w:rsidRPr="00157377">
        <w:rPr>
          <w:rFonts w:ascii="Simplified Arabic" w:eastAsia="Calibri" w:hAnsi="Simplified Arabic" w:cs="Simplified Arabic"/>
          <w:b/>
          <w:bCs/>
          <w:sz w:val="28"/>
          <w:szCs w:val="28"/>
          <w:rtl/>
        </w:rPr>
        <w:t xml:space="preserve"> للمخاطر</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في مجال التأمين، يُنظر إلى الخطر على أنه حدث محتمل الوقوع في المستقبل، لا يمكن التحكم فيه، وقد يؤدي إلى خسارة مالية أو معنوية. ويتميز هذا المفهوم بأنه لا يقتصر على الأحداث السلبية فقط، بل يشمل أيضًا الأحداث الإيجابية التي قد تؤثر على حياة الإنسان، مثل الزواج أو بلوغ سن معين. ويُعد الخطر </w:t>
      </w:r>
      <w:proofErr w:type="spellStart"/>
      <w:r w:rsidRPr="00157377">
        <w:rPr>
          <w:rFonts w:ascii="Simplified Arabic" w:eastAsia="Calibri" w:hAnsi="Simplified Arabic" w:cs="Simplified Arabic"/>
          <w:sz w:val="28"/>
          <w:szCs w:val="28"/>
          <w:rtl/>
        </w:rPr>
        <w:t>التأميني</w:t>
      </w:r>
      <w:proofErr w:type="spellEnd"/>
      <w:r w:rsidRPr="00157377">
        <w:rPr>
          <w:rFonts w:ascii="Simplified Arabic" w:eastAsia="Calibri" w:hAnsi="Simplified Arabic" w:cs="Simplified Arabic"/>
          <w:sz w:val="28"/>
          <w:szCs w:val="28"/>
          <w:rtl/>
        </w:rPr>
        <w:t xml:space="preserve"> أساسًا في تصميم المنتجات التأمينية، وتحديد الأقساط، وتقييم احتمالية وقوع الحوادث. ومن أبرز خصائص هذا المفهوم:</w:t>
      </w: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عدم القدرة على التنبؤ الدقيق بوقت وقوع الحدث.</w:t>
      </w: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عدم إمكانية التحكم في الحدث من قبل الأطراف.</w:t>
      </w: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وجود أثر مالي أو اجتماعي يتطلب تعويضًا. ( </w:t>
      </w:r>
      <w:proofErr w:type="spellStart"/>
      <w:r w:rsidRPr="00157377">
        <w:rPr>
          <w:rFonts w:ascii="Simplified Arabic" w:eastAsia="Calibri" w:hAnsi="Simplified Arabic" w:cs="Simplified Arabic"/>
          <w:sz w:val="28"/>
          <w:szCs w:val="28"/>
          <w:rtl/>
        </w:rPr>
        <w:t>بلعزوز</w:t>
      </w:r>
      <w:proofErr w:type="spellEnd"/>
      <w:r w:rsidRPr="00157377">
        <w:rPr>
          <w:rFonts w:ascii="Simplified Arabic" w:eastAsia="Calibri" w:hAnsi="Simplified Arabic" w:cs="Simplified Arabic"/>
          <w:sz w:val="28"/>
          <w:szCs w:val="28"/>
          <w:rtl/>
        </w:rPr>
        <w:t xml:space="preserve"> , 2009 , ص 332)</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رابعًا: المفهوم المالي للمخاطر</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في العلوم المالية، يُعرّف الخطر بأنه احتمال حدوث انحراف في النتائج المستقبلية عن النتائج المتوقعة، مما يؤدي إلى تغير في العوائد أو تكبد خسائر. ويُستخدم هذا المفهوم في تحليل الاستثمارات، وتقييم المحافظ المالية، واتخاذ القرارات في ظل عدم اليقين. ويشمل هذا المفهوم:</w:t>
      </w: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تقلبات السوق المالية.</w:t>
      </w: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تغير أسعار الفائدة أو العملات.</w:t>
      </w: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مخاطر الائتمان والتعثر المالي.</w:t>
      </w: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hint="cs"/>
          <w:sz w:val="28"/>
          <w:szCs w:val="28"/>
          <w:rtl/>
        </w:rPr>
      </w:pPr>
      <w:r w:rsidRPr="00157377">
        <w:rPr>
          <w:rFonts w:ascii="Simplified Arabic" w:eastAsia="Calibri" w:hAnsi="Simplified Arabic" w:cs="Simplified Arabic"/>
          <w:sz w:val="28"/>
          <w:szCs w:val="28"/>
          <w:rtl/>
        </w:rPr>
        <w:t xml:space="preserve">مخاطر السيولة وعدم القدرة على الوفاء بالالتزامات. ( </w:t>
      </w:r>
      <w:proofErr w:type="spellStart"/>
      <w:r w:rsidRPr="00157377">
        <w:rPr>
          <w:rFonts w:ascii="Simplified Arabic" w:eastAsia="Calibri" w:hAnsi="Simplified Arabic" w:cs="Simplified Arabic"/>
          <w:sz w:val="28"/>
          <w:szCs w:val="28"/>
          <w:rtl/>
        </w:rPr>
        <w:t>بلعزوز</w:t>
      </w:r>
      <w:proofErr w:type="spellEnd"/>
      <w:r w:rsidRPr="00157377">
        <w:rPr>
          <w:rFonts w:ascii="Simplified Arabic" w:eastAsia="Calibri" w:hAnsi="Simplified Arabic" w:cs="Simplified Arabic"/>
          <w:sz w:val="28"/>
          <w:szCs w:val="28"/>
          <w:rtl/>
        </w:rPr>
        <w:t xml:space="preserve"> , 2009 , ص 332)</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خامسًا: المفهوم الإحصائي للمخاطر</w:t>
      </w:r>
    </w:p>
    <w:p w:rsidR="00157377" w:rsidRDefault="00157377" w:rsidP="00157377">
      <w:pPr>
        <w:jc w:val="both"/>
        <w:rPr>
          <w:rFonts w:ascii="Simplified Arabic" w:eastAsia="Calibri" w:hAnsi="Simplified Arabic" w:cs="Simplified Arabic" w:hint="cs"/>
          <w:sz w:val="28"/>
          <w:szCs w:val="28"/>
          <w:rtl/>
        </w:rPr>
      </w:pPr>
      <w:r w:rsidRPr="00157377">
        <w:rPr>
          <w:rFonts w:ascii="Simplified Arabic" w:eastAsia="Calibri" w:hAnsi="Simplified Arabic" w:cs="Simplified Arabic"/>
          <w:sz w:val="28"/>
          <w:szCs w:val="28"/>
          <w:rtl/>
        </w:rPr>
        <w:t>في علم الإحصاء، يُقاس الخطر باستخدام أدوات كمية تعتمد على التوزيع الاحتمالي للنتائج، والانحراف المعياري، والتباين، وغيرها من المؤشرات التي تساعد على تقدير مدى تقلب النتائج واحتمالية وقوع الأحداث غير المتوقعة. ويُستخدم هذا المفهوم في:</w:t>
      </w:r>
      <w:r w:rsidRPr="00157377">
        <w:rPr>
          <w:rFonts w:ascii="Calibri" w:eastAsia="Calibri" w:hAnsi="Calibri" w:cs="Arial"/>
          <w:kern w:val="2"/>
          <w:rtl/>
          <w14:ligatures w14:val="standardContextual"/>
        </w:rPr>
        <w:t xml:space="preserve"> </w:t>
      </w:r>
      <w:r w:rsidRPr="00157377">
        <w:rPr>
          <w:rFonts w:ascii="Simplified Arabic" w:eastAsia="Calibri" w:hAnsi="Simplified Arabic" w:cs="Simplified Arabic"/>
          <w:sz w:val="28"/>
          <w:szCs w:val="28"/>
          <w:rtl/>
        </w:rPr>
        <w:t xml:space="preserve">( </w:t>
      </w:r>
      <w:proofErr w:type="spellStart"/>
      <w:r w:rsidRPr="00157377">
        <w:rPr>
          <w:rFonts w:ascii="Simplified Arabic" w:eastAsia="Calibri" w:hAnsi="Simplified Arabic" w:cs="Simplified Arabic"/>
          <w:sz w:val="28"/>
          <w:szCs w:val="28"/>
          <w:rtl/>
        </w:rPr>
        <w:t>بلعزوز</w:t>
      </w:r>
      <w:proofErr w:type="spellEnd"/>
      <w:r w:rsidRPr="00157377">
        <w:rPr>
          <w:rFonts w:ascii="Simplified Arabic" w:eastAsia="Calibri" w:hAnsi="Simplified Arabic" w:cs="Simplified Arabic"/>
          <w:sz w:val="28"/>
          <w:szCs w:val="28"/>
          <w:rtl/>
        </w:rPr>
        <w:t xml:space="preserve"> , 2009 , ص 332)</w:t>
      </w:r>
    </w:p>
    <w:p w:rsidR="00157377" w:rsidRPr="00157377" w:rsidRDefault="00157377" w:rsidP="00157377">
      <w:pPr>
        <w:jc w:val="both"/>
        <w:rPr>
          <w:rFonts w:ascii="Simplified Arabic" w:eastAsia="Calibri" w:hAnsi="Simplified Arabic" w:cs="Simplified Arabic"/>
          <w:sz w:val="28"/>
          <w:szCs w:val="28"/>
          <w:rtl/>
        </w:rPr>
      </w:pP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lastRenderedPageBreak/>
        <w:t>تحليل البيانات التاريخية لتوقع المستقبل.</w:t>
      </w: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بناء نماذج التنبؤ.</w:t>
      </w: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قياس درجة عدم اليقين في القرارات.</w:t>
      </w:r>
    </w:p>
    <w:p w:rsidR="00157377" w:rsidRPr="00157377" w:rsidRDefault="00157377" w:rsidP="00157377">
      <w:pPr>
        <w:numPr>
          <w:ilvl w:val="0"/>
          <w:numId w:val="4"/>
        </w:numPr>
        <w:spacing w:after="160" w:line="259" w:lineRule="auto"/>
        <w:contextualSpacing/>
        <w:jc w:val="both"/>
        <w:rPr>
          <w:rFonts w:ascii="Simplified Arabic" w:eastAsia="Calibri" w:hAnsi="Simplified Arabic" w:cs="Simplified Arabic"/>
          <w:sz w:val="28"/>
          <w:szCs w:val="28"/>
        </w:rPr>
      </w:pPr>
      <w:r w:rsidRPr="00157377">
        <w:rPr>
          <w:rFonts w:ascii="Simplified Arabic" w:eastAsia="Calibri" w:hAnsi="Simplified Arabic" w:cs="Simplified Arabic"/>
          <w:sz w:val="28"/>
          <w:szCs w:val="28"/>
          <w:rtl/>
        </w:rPr>
        <w:t xml:space="preserve">دعم اتخاذ القرار المبني على الأدلة. ( </w:t>
      </w:r>
      <w:proofErr w:type="spellStart"/>
      <w:r w:rsidRPr="00157377">
        <w:rPr>
          <w:rFonts w:ascii="Simplified Arabic" w:eastAsia="Calibri" w:hAnsi="Simplified Arabic" w:cs="Simplified Arabic"/>
          <w:sz w:val="28"/>
          <w:szCs w:val="28"/>
          <w:rtl/>
        </w:rPr>
        <w:t>بلعزوز</w:t>
      </w:r>
      <w:proofErr w:type="spellEnd"/>
      <w:r w:rsidRPr="00157377">
        <w:rPr>
          <w:rFonts w:ascii="Simplified Arabic" w:eastAsia="Calibri" w:hAnsi="Simplified Arabic" w:cs="Simplified Arabic"/>
          <w:sz w:val="28"/>
          <w:szCs w:val="28"/>
          <w:rtl/>
        </w:rPr>
        <w:t xml:space="preserve"> , 2009 , ص 332)</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المخاطر التشغيلية: المفهوم والتطور التنظيمي</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تُعد المخاطر التشغيلية من المفاهيم الحديثة نسبيًا في مجال الرقابة المصرفية، حيث تم إدراجها رسميًا ضمن إطار اتفاقية بازل الثانية التي أصدرتها لجنة بازل للرقابة المصرفية. وعلى الرغم من أن هذا النوع من المخاطر كان موجودًا فعليًا منذ نشأة النشاط المصرفي، إلا أن الاعتراف به كمكون مستقل في منظومة إدارة المخاطر، ووضع متطلبات رأسمالية لمواجهته والتحوط له، يُعد تطورًا حديثًا لا يزال في مراحل التطبيق الأولية. ويُعزى ذلك إلى أن الآثار السلبية للمخاطر التشغيلية لم تكن واضحة أو بارزة في السابق بالشكل الذي يستدعي تنظيمًا خاصًا. ( معمري وعكاش , 2018 , ص 280)</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تعريف المخاطر التشغيلية</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لقد تعددت التعريفات المقدمة للمخاطر التشغيلية في الأدبيات المالية والمصرفية، ويمكن تلخيص أبرزها فيما يلي:</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تُعرّف المخاطر التشغيلية بأنها الخسائر الناتجة عن فشل في النشاطات الداخلية للمؤسسة، أو في إجراءات الرقابة، وهي مخاطر تنشأ من العمليات اليومية، ولا تتضمن عادة فرصًا لتحقيق أرباح، بل تقتصر على احتمالية وقوع خسائر أو عدم وقوعها. ( معمري وعكاش , 2018 , ص 280)</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ومن المهم أن تدرك الإدارة العليا أن غياب الخسائر لا يعني بالضرورة غياب التغيرات أو المخاطر، مما يستدعي وجود برنامج منهجي لتحليل وتقييم هذه المخاطر بشكل دوري. ( معمري وعكاش , 2018 , ص 280)</w:t>
      </w:r>
    </w:p>
    <w:p w:rsidR="00157377" w:rsidRDefault="00157377" w:rsidP="00157377">
      <w:pPr>
        <w:jc w:val="both"/>
        <w:rPr>
          <w:rFonts w:ascii="Simplified Arabic" w:eastAsia="Calibri" w:hAnsi="Simplified Arabic" w:cs="Simplified Arabic" w:hint="cs"/>
          <w:sz w:val="28"/>
          <w:szCs w:val="28"/>
          <w:rtl/>
        </w:rPr>
      </w:pPr>
      <w:r w:rsidRPr="00157377">
        <w:rPr>
          <w:rFonts w:ascii="Simplified Arabic" w:eastAsia="Calibri" w:hAnsi="Simplified Arabic" w:cs="Simplified Arabic"/>
          <w:sz w:val="28"/>
          <w:szCs w:val="28"/>
          <w:rtl/>
        </w:rPr>
        <w:t xml:space="preserve">• </w:t>
      </w:r>
      <w:r w:rsidRPr="00157377">
        <w:rPr>
          <w:rFonts w:ascii="Simplified Arabic" w:eastAsia="Calibri" w:hAnsi="Simplified Arabic" w:cs="Simplified Arabic"/>
          <w:sz w:val="28"/>
          <w:szCs w:val="28"/>
          <w:rtl/>
        </w:rPr>
        <w:tab/>
        <w:t>كما تُعرف بأنها المخاطر المباشرة أو غير المباشرة التي تنشأ عن عدم كفاءة أو فشل في العمليات الداخلية، أو من قبل الأفراد، أو نتيجة خلل في النظم، وقد تكون أيضًا ناتجة عن أحداث خارجية غير متوقعة. ( معمري وعكاش , 2018 , ص 280)</w:t>
      </w:r>
    </w:p>
    <w:p w:rsidR="00157377" w:rsidRPr="00157377" w:rsidRDefault="00157377" w:rsidP="00157377">
      <w:pPr>
        <w:jc w:val="both"/>
        <w:rPr>
          <w:rFonts w:ascii="Simplified Arabic" w:eastAsia="Calibri" w:hAnsi="Simplified Arabic" w:cs="Simplified Arabic"/>
          <w:sz w:val="28"/>
          <w:szCs w:val="28"/>
          <w:rtl/>
        </w:rPr>
      </w:pP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lastRenderedPageBreak/>
        <w:t>ويُعد التعريف الأكثر دقة وشمولًا هو ذلك الذي قدمته لجنة بازل للرقابة المصرفية ضمن اتفاقية بازل 2، حيث اعتبرت المخاطر التشغيلية بأنها: "مخاطر الخسارة الناتجة عن عدم نجاعة أو فشل العمليات الداخلية، أو العنصر البشري، أو الأنظمة، أو نتيجة أحداث خارجية." ( معمري وعكاش , 2018 , ص 280)</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أنواع المخاطر التشغيلية وطرق تحديدها في الجمعيات الخيرية</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تنقسم المخاطر التشغيلية إلى فئات متعددة يمكن أن تتجلى في عمليات الجمعية وأنظمتها ومواردها البشرية والبيئة المحيطة بها، كما توجد أدوات منهجية لتحديد هذه المخاطر وقياسها ومراقبتها. في ما يلي عرض مُنقح ومُكيّف لواقع الجمعيات الخيرية:</w:t>
      </w:r>
    </w:p>
    <w:p w:rsidR="00157377" w:rsidRPr="00157377" w:rsidRDefault="00157377" w:rsidP="00157377">
      <w:pPr>
        <w:numPr>
          <w:ilvl w:val="0"/>
          <w:numId w:val="6"/>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b/>
          <w:bCs/>
          <w:sz w:val="28"/>
          <w:szCs w:val="28"/>
          <w:rtl/>
        </w:rPr>
        <w:t>مخاطر العمليات الداخلية</w:t>
      </w:r>
      <w:r w:rsidRPr="00157377">
        <w:rPr>
          <w:rFonts w:ascii="Simplified Arabic" w:eastAsia="Calibri" w:hAnsi="Simplified Arabic" w:cs="Simplified Arabic"/>
          <w:sz w:val="28"/>
          <w:szCs w:val="28"/>
          <w:rtl/>
        </w:rPr>
        <w:t xml:space="preserve"> تشمل المخاطر الناجمة عن قصور أو أخطاء في الإجراءات والعمليات الإدارية والتنفيذية داخل الجمعية، مثل وجود إجراءات غير محدثة أو غير موثقة، ضعف ضوابط الصرف والمشتريات، أو إخفاقات في إجراءات المحاسبة والتقارير. تنتج هذه المخاطر عن تعارض في الضوابط أو غيابها، وتؤدي إلى نتائج سلبية كالخسائر المالية، وإضعاف ثقة المانحين وأصحاب المصلحة، وصعوبة تتبع الموارد ومساءلة القائمين على البرامج. ( </w:t>
      </w:r>
      <w:proofErr w:type="spellStart"/>
      <w:r w:rsidRPr="00157377">
        <w:rPr>
          <w:rFonts w:ascii="Simplified Arabic" w:eastAsia="Calibri" w:hAnsi="Simplified Arabic" w:cs="Simplified Arabic"/>
          <w:sz w:val="28"/>
          <w:szCs w:val="28"/>
          <w:rtl/>
        </w:rPr>
        <w:t>بوعظمات</w:t>
      </w:r>
      <w:proofErr w:type="spellEnd"/>
      <w:r w:rsidRPr="00157377">
        <w:rPr>
          <w:rFonts w:ascii="Simplified Arabic" w:eastAsia="Calibri" w:hAnsi="Simplified Arabic" w:cs="Simplified Arabic"/>
          <w:sz w:val="28"/>
          <w:szCs w:val="28"/>
          <w:rtl/>
        </w:rPr>
        <w:t xml:space="preserve"> واخرون , 2022 , ص 57)</w:t>
      </w:r>
    </w:p>
    <w:p w:rsidR="00157377" w:rsidRPr="00157377" w:rsidRDefault="00157377" w:rsidP="00157377">
      <w:pPr>
        <w:numPr>
          <w:ilvl w:val="0"/>
          <w:numId w:val="6"/>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b/>
          <w:bCs/>
          <w:sz w:val="28"/>
          <w:szCs w:val="28"/>
          <w:rtl/>
        </w:rPr>
        <w:t>مخاطر العنصر البشري</w:t>
      </w:r>
      <w:r w:rsidRPr="00157377">
        <w:rPr>
          <w:rFonts w:ascii="Simplified Arabic" w:eastAsia="Calibri" w:hAnsi="Simplified Arabic" w:cs="Simplified Arabic"/>
          <w:sz w:val="28"/>
          <w:szCs w:val="28"/>
          <w:rtl/>
        </w:rPr>
        <w:t xml:space="preserve"> تنشأ من تصرفات أو أخطاء الموظفين والمتطوعين، سواء كانت عن عمد أو نتيجة جهل أو قلة خبرة. ( </w:t>
      </w:r>
      <w:proofErr w:type="spellStart"/>
      <w:r w:rsidRPr="00157377">
        <w:rPr>
          <w:rFonts w:ascii="Simplified Arabic" w:eastAsia="Calibri" w:hAnsi="Simplified Arabic" w:cs="Simplified Arabic"/>
          <w:sz w:val="28"/>
          <w:szCs w:val="28"/>
          <w:rtl/>
        </w:rPr>
        <w:t>بوعظمات</w:t>
      </w:r>
      <w:proofErr w:type="spellEnd"/>
      <w:r w:rsidRPr="00157377">
        <w:rPr>
          <w:rFonts w:ascii="Simplified Arabic" w:eastAsia="Calibri" w:hAnsi="Simplified Arabic" w:cs="Simplified Arabic"/>
          <w:sz w:val="28"/>
          <w:szCs w:val="28"/>
          <w:rtl/>
        </w:rPr>
        <w:t xml:space="preserve"> واخرون , 2022 , ص 57)</w:t>
      </w:r>
    </w:p>
    <w:p w:rsidR="00157377" w:rsidRPr="00157377" w:rsidRDefault="00157377" w:rsidP="00157377">
      <w:pPr>
        <w:ind w:left="720"/>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 في سياق الجمعيات، قد يكون السبب نقص التدريب، ضغط العمل، أو عدم وضوح المسؤوليات، مما يؤدي إلى أخطاء في إدخال البيانات، توزيع المساعدات لغير المستحقين، أو سوء تطبيق الإجراءات. هذه المخاطر متكررة وصعبة الإلغاء تمامًا إن لم تُعالج عبر بناء قدرات مستمرة وأنظمة إشراف فعّالة.</w:t>
      </w:r>
    </w:p>
    <w:p w:rsidR="00157377" w:rsidRDefault="00157377" w:rsidP="00157377">
      <w:pPr>
        <w:numPr>
          <w:ilvl w:val="0"/>
          <w:numId w:val="6"/>
        </w:numPr>
        <w:spacing w:after="160" w:line="259" w:lineRule="auto"/>
        <w:contextualSpacing/>
        <w:jc w:val="both"/>
        <w:rPr>
          <w:rFonts w:ascii="Simplified Arabic" w:eastAsia="Calibri" w:hAnsi="Simplified Arabic" w:cs="Simplified Arabic" w:hint="cs"/>
          <w:sz w:val="28"/>
          <w:szCs w:val="28"/>
        </w:rPr>
      </w:pPr>
      <w:r w:rsidRPr="00157377">
        <w:rPr>
          <w:rFonts w:ascii="Simplified Arabic" w:eastAsia="Calibri" w:hAnsi="Simplified Arabic" w:cs="Simplified Arabic"/>
          <w:b/>
          <w:bCs/>
          <w:sz w:val="28"/>
          <w:szCs w:val="28"/>
          <w:rtl/>
        </w:rPr>
        <w:t>مخاطر الأنظمة والتقنية</w:t>
      </w:r>
      <w:r w:rsidRPr="00157377">
        <w:rPr>
          <w:rFonts w:ascii="Simplified Arabic" w:eastAsia="Calibri" w:hAnsi="Simplified Arabic" w:cs="Simplified Arabic"/>
          <w:sz w:val="28"/>
          <w:szCs w:val="28"/>
          <w:rtl/>
        </w:rPr>
        <w:t xml:space="preserve">  ترتبط بفشل الأنظمة المعلوماتية أو تعطل البنية التقنية التي تدعم عمل الجمعية، مثل أعطال قواعد البيانات، فشل النسخ الاحتياطي، أو ثغرات أمنية تعرض بيانات المستفيدين أو المتبرعين للخطر. ضعف التكامل بين الأنظمة أو اعتماد تكنولوجيا قديمة يؤديان إلى فقدان معلومات حيوية وتعطيل العمليات، ما يؤثر على استمرارية الخدمات والقدرة على الاستجابة للأزمات.</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 </w:t>
      </w:r>
      <w:proofErr w:type="spellStart"/>
      <w:r w:rsidRPr="00157377">
        <w:rPr>
          <w:rFonts w:ascii="Simplified Arabic" w:eastAsia="Calibri" w:hAnsi="Simplified Arabic" w:cs="Simplified Arabic"/>
          <w:sz w:val="28"/>
          <w:szCs w:val="28"/>
          <w:rtl/>
        </w:rPr>
        <w:t>بوعظمات</w:t>
      </w:r>
      <w:proofErr w:type="spellEnd"/>
      <w:r w:rsidRPr="00157377">
        <w:rPr>
          <w:rFonts w:ascii="Simplified Arabic" w:eastAsia="Calibri" w:hAnsi="Simplified Arabic" w:cs="Simplified Arabic"/>
          <w:sz w:val="28"/>
          <w:szCs w:val="28"/>
          <w:rtl/>
        </w:rPr>
        <w:t xml:space="preserve"> واخرون , 2022 , ص 57)</w:t>
      </w:r>
    </w:p>
    <w:p w:rsidR="00157377" w:rsidRPr="00157377" w:rsidRDefault="00157377" w:rsidP="00157377">
      <w:pPr>
        <w:spacing w:after="160" w:line="259" w:lineRule="auto"/>
        <w:ind w:left="720"/>
        <w:contextualSpacing/>
        <w:jc w:val="both"/>
        <w:rPr>
          <w:rFonts w:ascii="Simplified Arabic" w:eastAsia="Calibri" w:hAnsi="Simplified Arabic" w:cs="Simplified Arabic"/>
          <w:sz w:val="28"/>
          <w:szCs w:val="28"/>
          <w:rtl/>
        </w:rPr>
      </w:pPr>
    </w:p>
    <w:p w:rsidR="00157377" w:rsidRPr="00157377" w:rsidRDefault="00157377" w:rsidP="00157377">
      <w:pPr>
        <w:numPr>
          <w:ilvl w:val="0"/>
          <w:numId w:val="6"/>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b/>
          <w:bCs/>
          <w:sz w:val="28"/>
          <w:szCs w:val="28"/>
          <w:rtl/>
        </w:rPr>
        <w:lastRenderedPageBreak/>
        <w:t>مخاطر الحوادث والبيئة الخارجية</w:t>
      </w:r>
      <w:r w:rsidRPr="00157377">
        <w:rPr>
          <w:rFonts w:ascii="Simplified Arabic" w:eastAsia="Calibri" w:hAnsi="Simplified Arabic" w:cs="Simplified Arabic"/>
          <w:sz w:val="28"/>
          <w:szCs w:val="28"/>
          <w:rtl/>
        </w:rPr>
        <w:t xml:space="preserve"> متصلة بعوامل خارجة عن سيطرة الجمعية مثل كوارث طبيعية، اضطرابات أمنية، تغييرات تشريعية أو اقتصادية مفاجئة، أو أزمات صحية عامة تؤثر على قدرة الجمعية على تنفيذ برامجها. هذه المخاطر قد تسبب انقطاعات في سلسلة التوريد، تقلبات في التمويل، أو حاجات طارئة تزيد من الضغوط التشغيلية. ( </w:t>
      </w:r>
      <w:proofErr w:type="spellStart"/>
      <w:r w:rsidRPr="00157377">
        <w:rPr>
          <w:rFonts w:ascii="Simplified Arabic" w:eastAsia="Calibri" w:hAnsi="Simplified Arabic" w:cs="Simplified Arabic"/>
          <w:sz w:val="28"/>
          <w:szCs w:val="28"/>
          <w:rtl/>
        </w:rPr>
        <w:t>بوعظمات</w:t>
      </w:r>
      <w:proofErr w:type="spellEnd"/>
      <w:r w:rsidRPr="00157377">
        <w:rPr>
          <w:rFonts w:ascii="Simplified Arabic" w:eastAsia="Calibri" w:hAnsi="Simplified Arabic" w:cs="Simplified Arabic"/>
          <w:sz w:val="28"/>
          <w:szCs w:val="28"/>
          <w:rtl/>
        </w:rPr>
        <w:t xml:space="preserve"> واخرون , 2022 , ص 57)</w:t>
      </w:r>
    </w:p>
    <w:p w:rsidR="00157377" w:rsidRPr="00157377" w:rsidRDefault="00157377" w:rsidP="00157377">
      <w:pPr>
        <w:spacing w:after="0"/>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وسائل تحديد المخاطر التشغيلية في الجمعيات الخيرية</w:t>
      </w:r>
    </w:p>
    <w:p w:rsidR="00157377" w:rsidRPr="00157377" w:rsidRDefault="00157377" w:rsidP="00157377">
      <w:pPr>
        <w:spacing w:after="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تتعدد طرق التعرف على المخاطر وتقييمها داخل المنظمات غير الربحية، ويمكن تكييفها مع موارد وصلاحيات الجمعيات كما يلي:</w:t>
      </w:r>
    </w:p>
    <w:p w:rsidR="00157377" w:rsidRPr="00157377" w:rsidRDefault="00157377" w:rsidP="00157377">
      <w:pPr>
        <w:numPr>
          <w:ilvl w:val="0"/>
          <w:numId w:val="4"/>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التقصي الذاتي وتقييم المخاطر (</w:t>
      </w:r>
      <w:r w:rsidRPr="00157377">
        <w:rPr>
          <w:rFonts w:ascii="Simplified Arabic" w:eastAsia="Calibri" w:hAnsi="Simplified Arabic" w:cs="Simplified Arabic"/>
          <w:sz w:val="28"/>
          <w:szCs w:val="28"/>
        </w:rPr>
        <w:t>Self-assessment</w:t>
      </w:r>
      <w:r w:rsidRPr="00157377">
        <w:rPr>
          <w:rFonts w:ascii="Simplified Arabic" w:eastAsia="Calibri" w:hAnsi="Simplified Arabic" w:cs="Simplified Arabic"/>
          <w:sz w:val="28"/>
          <w:szCs w:val="28"/>
          <w:rtl/>
        </w:rPr>
        <w:t>): إجراء تقييم داخلي دوري تشارك فيه فرق العمل والإدارات والمجالس لتحديد نقاط الضعف التشغيلية وقياس مستوى التعرض وفق معايير محددة، ثم توثيق النتائج لاستخدامها في خطط المعالجة.</w:t>
      </w:r>
    </w:p>
    <w:p w:rsidR="00157377" w:rsidRPr="00157377" w:rsidRDefault="00157377" w:rsidP="00157377">
      <w:pPr>
        <w:numPr>
          <w:ilvl w:val="0"/>
          <w:numId w:val="4"/>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استبيانات ومسوح المخاطر (</w:t>
      </w:r>
      <w:r w:rsidRPr="00157377">
        <w:rPr>
          <w:rFonts w:ascii="Simplified Arabic" w:eastAsia="Calibri" w:hAnsi="Simplified Arabic" w:cs="Simplified Arabic"/>
          <w:sz w:val="28"/>
          <w:szCs w:val="28"/>
        </w:rPr>
        <w:t>Risk Survey</w:t>
      </w:r>
      <w:r w:rsidRPr="00157377">
        <w:rPr>
          <w:rFonts w:ascii="Simplified Arabic" w:eastAsia="Calibri" w:hAnsi="Simplified Arabic" w:cs="Simplified Arabic"/>
          <w:sz w:val="28"/>
          <w:szCs w:val="28"/>
          <w:rtl/>
        </w:rPr>
        <w:t xml:space="preserve">): جمع استجابات منظمة من الموظفين والمتطوعين وأصحاب المصلحة حول الممارسات الإدارية والمشكلات المتكررة والتهديدات المتوقعة، ما يوفّر صورة شاملة للثغرات التشغيلية غير الظاهرة في التقارير الرسمية. ( </w:t>
      </w:r>
      <w:proofErr w:type="spellStart"/>
      <w:r w:rsidRPr="00157377">
        <w:rPr>
          <w:rFonts w:ascii="Simplified Arabic" w:eastAsia="Calibri" w:hAnsi="Simplified Arabic" w:cs="Simplified Arabic"/>
          <w:sz w:val="28"/>
          <w:szCs w:val="28"/>
          <w:rtl/>
        </w:rPr>
        <w:t>بوعظمات</w:t>
      </w:r>
      <w:proofErr w:type="spellEnd"/>
      <w:r w:rsidRPr="00157377">
        <w:rPr>
          <w:rFonts w:ascii="Simplified Arabic" w:eastAsia="Calibri" w:hAnsi="Simplified Arabic" w:cs="Simplified Arabic"/>
          <w:sz w:val="28"/>
          <w:szCs w:val="28"/>
          <w:rtl/>
        </w:rPr>
        <w:t xml:space="preserve"> واخرون , 2022 , ص 58)</w:t>
      </w:r>
    </w:p>
    <w:p w:rsidR="00157377" w:rsidRPr="00157377" w:rsidRDefault="00157377" w:rsidP="00157377">
      <w:pPr>
        <w:numPr>
          <w:ilvl w:val="0"/>
          <w:numId w:val="4"/>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مؤشرات المخاطر الرئيسية (</w:t>
      </w:r>
      <w:r w:rsidRPr="00157377">
        <w:rPr>
          <w:rFonts w:ascii="Simplified Arabic" w:eastAsia="Calibri" w:hAnsi="Simplified Arabic" w:cs="Simplified Arabic"/>
          <w:sz w:val="28"/>
          <w:szCs w:val="28"/>
        </w:rPr>
        <w:t>Key Risk Indicators - KRI</w:t>
      </w:r>
      <w:r w:rsidRPr="00157377">
        <w:rPr>
          <w:rFonts w:ascii="Simplified Arabic" w:eastAsia="Calibri" w:hAnsi="Simplified Arabic" w:cs="Simplified Arabic"/>
          <w:sz w:val="28"/>
          <w:szCs w:val="28"/>
          <w:rtl/>
        </w:rPr>
        <w:t>): اعتماد مؤشرات كمية ونوعية قابلة للرصد الدوري مثل عدد الشكاوى، نسبة الأخطاء في صرف المساعدات، تكرار الانقطاعات التقنية، زمن استجابة فرق التدخل، ونِسب الالتزام بالإجراءات، لاكتشاف الانحرافات مبكرًا واتخاذ إجراءات استباقية.</w:t>
      </w:r>
    </w:p>
    <w:p w:rsidR="00157377" w:rsidRPr="00157377" w:rsidRDefault="00157377" w:rsidP="00157377">
      <w:pPr>
        <w:numPr>
          <w:ilvl w:val="0"/>
          <w:numId w:val="4"/>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قياس المخاطر الكمي والنوعي (</w:t>
      </w:r>
      <w:r w:rsidRPr="00157377">
        <w:rPr>
          <w:rFonts w:ascii="Simplified Arabic" w:eastAsia="Calibri" w:hAnsi="Simplified Arabic" w:cs="Simplified Arabic"/>
          <w:sz w:val="28"/>
          <w:szCs w:val="28"/>
        </w:rPr>
        <w:t>Risk Measurement</w:t>
      </w:r>
      <w:r w:rsidRPr="00157377">
        <w:rPr>
          <w:rFonts w:ascii="Simplified Arabic" w:eastAsia="Calibri" w:hAnsi="Simplified Arabic" w:cs="Simplified Arabic"/>
          <w:sz w:val="28"/>
          <w:szCs w:val="28"/>
          <w:rtl/>
        </w:rPr>
        <w:t>): تحويل المخاطر المحددة إلى قياسات قابلة للمقارنة (تكرار، أثر، احتمال) ومن ثم تصنيفها حسب الأولوية، واستخدام نتائج القياس في تخصيص الموارد ووضع ضوابط تحوطية مناسبة.</w:t>
      </w:r>
    </w:p>
    <w:p w:rsidR="00157377" w:rsidRDefault="00157377" w:rsidP="00157377">
      <w:pPr>
        <w:numPr>
          <w:ilvl w:val="0"/>
          <w:numId w:val="4"/>
        </w:numPr>
        <w:spacing w:after="0" w:line="259" w:lineRule="auto"/>
        <w:contextualSpacing/>
        <w:jc w:val="both"/>
        <w:rPr>
          <w:rFonts w:ascii="Simplified Arabic" w:eastAsia="Calibri" w:hAnsi="Simplified Arabic" w:cs="Simplified Arabic" w:hint="cs"/>
          <w:sz w:val="28"/>
          <w:szCs w:val="28"/>
        </w:rPr>
      </w:pPr>
      <w:r w:rsidRPr="00157377">
        <w:rPr>
          <w:rFonts w:ascii="Simplified Arabic" w:eastAsia="Calibri" w:hAnsi="Simplified Arabic" w:cs="Simplified Arabic"/>
          <w:sz w:val="28"/>
          <w:szCs w:val="28"/>
          <w:rtl/>
        </w:rPr>
        <w:t>مراقبة الحوادث وتحليلها (</w:t>
      </w:r>
      <w:r w:rsidRPr="00157377">
        <w:rPr>
          <w:rFonts w:ascii="Simplified Arabic" w:eastAsia="Calibri" w:hAnsi="Simplified Arabic" w:cs="Simplified Arabic"/>
          <w:sz w:val="28"/>
          <w:szCs w:val="28"/>
        </w:rPr>
        <w:t>Incident Reporting &amp; Analysis</w:t>
      </w:r>
      <w:r w:rsidRPr="00157377">
        <w:rPr>
          <w:rFonts w:ascii="Simplified Arabic" w:eastAsia="Calibri" w:hAnsi="Simplified Arabic" w:cs="Simplified Arabic"/>
          <w:sz w:val="28"/>
          <w:szCs w:val="28"/>
          <w:rtl/>
        </w:rPr>
        <w:t xml:space="preserve">): وضع نظام توثيق للإبلاغ عن الحوادث والأخطاء وتحليل جذورها بهدف منع تكرارها، وتحسين الإجراءات والسياسات بناءً على دروس مستخلصة من الحوادث الفعلية. ( </w:t>
      </w:r>
      <w:proofErr w:type="spellStart"/>
      <w:r w:rsidRPr="00157377">
        <w:rPr>
          <w:rFonts w:ascii="Simplified Arabic" w:eastAsia="Calibri" w:hAnsi="Simplified Arabic" w:cs="Simplified Arabic"/>
          <w:sz w:val="28"/>
          <w:szCs w:val="28"/>
          <w:rtl/>
        </w:rPr>
        <w:t>بوعظمات</w:t>
      </w:r>
      <w:proofErr w:type="spellEnd"/>
      <w:r w:rsidRPr="00157377">
        <w:rPr>
          <w:rFonts w:ascii="Simplified Arabic" w:eastAsia="Calibri" w:hAnsi="Simplified Arabic" w:cs="Simplified Arabic"/>
          <w:sz w:val="28"/>
          <w:szCs w:val="28"/>
          <w:rtl/>
        </w:rPr>
        <w:t xml:space="preserve"> واخرون , 2022 , ص 58)</w:t>
      </w:r>
    </w:p>
    <w:p w:rsidR="00157377" w:rsidRDefault="00157377" w:rsidP="00157377">
      <w:pPr>
        <w:spacing w:after="0" w:line="259" w:lineRule="auto"/>
        <w:contextualSpacing/>
        <w:jc w:val="both"/>
        <w:rPr>
          <w:rFonts w:ascii="Simplified Arabic" w:eastAsia="Calibri" w:hAnsi="Simplified Arabic" w:cs="Simplified Arabic" w:hint="cs"/>
          <w:sz w:val="28"/>
          <w:szCs w:val="28"/>
          <w:rtl/>
        </w:rPr>
      </w:pPr>
    </w:p>
    <w:p w:rsidR="00157377" w:rsidRPr="00157377" w:rsidRDefault="00157377" w:rsidP="00157377">
      <w:pPr>
        <w:spacing w:after="0" w:line="259" w:lineRule="auto"/>
        <w:contextualSpacing/>
        <w:jc w:val="both"/>
        <w:rPr>
          <w:rFonts w:ascii="Simplified Arabic" w:eastAsia="Calibri" w:hAnsi="Simplified Arabic" w:cs="Simplified Arabic"/>
          <w:sz w:val="28"/>
          <w:szCs w:val="28"/>
        </w:rPr>
      </w:pP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lastRenderedPageBreak/>
        <w:t>مؤشرات المخاطر الرئيسية وعلاقتها بالمخاطر التشغيلية في الجمعيات الخيرية</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تُسهم عملية رصد المخاطر التشغيلية في الجمعيات الخيرية عبر مؤشرات المخاطر الرئيسية في إقامة إطار منظم لتحديد وإدارة هذه الفئة من المخاطر. تُعرّف هذه المؤشرات بأنها مؤشرات كمية ونوعية يمكن لارتفاعها أن يزيد من احتمال وقوع حدث ضار، وبذلك تُمكّن إدارة الجمعية من اكتشاف الانحرافات أو المشكلات المبكرة قبل تطورها إلى أزمات فعلية. ومع ذلك، يواجه تبني لوحة مؤشرات فعّالة تحديات عند ربط كل مؤشر بالمخاطر الفعلية التي ينذر بها، لا سيما في حال عدم وضوح الرؤية الاستراتيجية لمجلس الإدارة أو الإدارة التنفيذية حول كيفية توظيف هذه المؤشرات في اتخاذ القرار. ( بوعبدالله و علمي , 2022, ص 21)</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أثر ضعف الرقابة الداخلية على المخاطر التشغيلية في الجمعيات</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يُعد غياب أو قصور آليات الرقابة الداخلية عاملًا رئيسيًا في تضخيم المخاطر التشغيلية داخل الجمعيات الخيرية، إذ يؤدي إلى ممارسات غير متسقة مع اللوائح الداخلية أو الإجراءات المعتمدة، وإهمال تحديث السياسات أو غياب التوثيق في بعض البرامج أو المشاريع. ينتج عن ذلك احتمال تراجع مصداقية التقارير المالية والبرامجية وصعوبة اكتشاف الأخطاء مبكرًا، مما ينتاب المانحين وأصحاب المصلحة بالقلق ويعقّد عملية قياس التعرض للمخاطر. كما يفتح نقص الرقابة المجال أمام سوء استغلال الموارد، ويضعف نظم المعلومات المتعلقة بالمخاطر، ويقيد قدرة الجمعية على الاستجابة للفرص أو تطوير البرامج بفاعلية. ( بوعبدالله و علمي , 2022, ص 21)</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أثر الأخطاء المتعمدة وغير المتعمدة للعاملين والمتطوعين في الجمعيات</w:t>
      </w:r>
    </w:p>
    <w:p w:rsidR="00157377" w:rsidRDefault="00157377" w:rsidP="00157377">
      <w:pPr>
        <w:jc w:val="both"/>
        <w:rPr>
          <w:rFonts w:ascii="Simplified Arabic" w:eastAsia="Calibri" w:hAnsi="Simplified Arabic" w:cs="Simplified Arabic" w:hint="cs"/>
          <w:sz w:val="28"/>
          <w:szCs w:val="28"/>
          <w:rtl/>
        </w:rPr>
      </w:pPr>
      <w:r w:rsidRPr="00157377">
        <w:rPr>
          <w:rFonts w:ascii="Simplified Arabic" w:eastAsia="Calibri" w:hAnsi="Simplified Arabic" w:cs="Simplified Arabic"/>
          <w:sz w:val="28"/>
          <w:szCs w:val="28"/>
          <w:rtl/>
        </w:rPr>
        <w:t>تُعد الأخطاء البشرية، سواء كانت مقصودة أو غير مقصودة، من المصادر الأساسية للمخاطر التشغيلية في الجمعيات الخيرية. فقد يؤدي تكليف متطوع أو موظف غير مؤهل بمهمة حساسة إلى إخفاق في تنفيذ المشروع أو إلى تلاعب غير مقصود في سجلات المستفيدين، لا سيما عند غياب التدريب والإشراف الكافيين. تنشأ هذه الأخطاء من عوامل متعددة مثل قلة الخبرة، أو ضعف الوعي بالإجراءات، أو الضغط الزمني، وقد تبدو في بعض الأحيان غير بارزة لكنها تتسبب في مشاكل تشغيلية متكررة يصعب حصرها أو إزالتها نهائيًا. لذا فإن تعزيز فهم ما يُسمى بالمخاطر البشرية داخل الجمعيات وتطوير آليات التدريب والمساءلة يُعدان من الأمور الحيوية لزيادة متانة المؤسسة. ( بوعبدالله و علمي , 2022, ص 22)</w:t>
      </w:r>
    </w:p>
    <w:p w:rsidR="00157377" w:rsidRPr="00157377" w:rsidRDefault="00157377" w:rsidP="00157377">
      <w:pPr>
        <w:jc w:val="both"/>
        <w:rPr>
          <w:rFonts w:ascii="Simplified Arabic" w:eastAsia="Calibri" w:hAnsi="Simplified Arabic" w:cs="Simplified Arabic"/>
          <w:sz w:val="28"/>
          <w:szCs w:val="28"/>
          <w:rtl/>
        </w:rPr>
      </w:pP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lastRenderedPageBreak/>
        <w:t>أثر أخطاء الإدارة وصناع القرار في المخاطر التشغيلية بالجمعيات</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قد تُدخل القرارات الإدارية غير الدقيقة أو الملتبسة معلومات خاطئة في عملية تقييم المخاطر داخل الجمعية، مما يفاقم القصور في علاقات العمل وأساليب القيادة والإجراءات المحاسبية والرقابية. وتزداد الصعوبة في تحديد المخاطر التشغيلية عندما يفتقر المدراء إلى رؤية مشتركة أو عندما تُهمل المشكلات اليومية دون معالجة فاعلة، كما أن الحاجة إلى الاستجابة للأحداث الخارجية تستلزم مرونة إدارية ونُظم مكافآت وتحفيز تشجع على اتخاذ قرارات تصب في صالح استدامة البرامج. لذلك، فإن تحسين </w:t>
      </w:r>
      <w:proofErr w:type="spellStart"/>
      <w:r w:rsidRPr="00157377">
        <w:rPr>
          <w:rFonts w:ascii="Simplified Arabic" w:eastAsia="Calibri" w:hAnsi="Simplified Arabic" w:cs="Simplified Arabic"/>
          <w:sz w:val="28"/>
          <w:szCs w:val="28"/>
          <w:rtl/>
        </w:rPr>
        <w:t>حوكمة</w:t>
      </w:r>
      <w:proofErr w:type="spellEnd"/>
      <w:r w:rsidRPr="00157377">
        <w:rPr>
          <w:rFonts w:ascii="Simplified Arabic" w:eastAsia="Calibri" w:hAnsi="Simplified Arabic" w:cs="Simplified Arabic"/>
          <w:sz w:val="28"/>
          <w:szCs w:val="28"/>
          <w:rtl/>
        </w:rPr>
        <w:t xml:space="preserve"> القرار والشفافية في تقييم الأداء يسهمان في الحد من التعرض للمخاطر. ( بوعبدالله و علمي , 2022, ص 21)</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أثر الإهمال والتغافل على المخاطر التشغيلية في الجمعيات</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يمكن أن تصبح ممارسات إدارة الموارد البشرية مصدرًا للمخاطر التشغيلية؛ فالاعتماد على عناصر غير مدربة أو الموظفون المثقلون بالمهام قد يعرضان الجمعية لأخطاء تشغيلية مثل إدخال بيانات خاطئة أو فشل في متابعة صرف المساعدات. وقد تنتج عن ضعف القدرة على الاحتفاظ بكوادر مؤهلة أو الاستعاضة عنها صعوبات في التعافي واستمرار تقديم الخدمات عند حدوث اضطراب. ويظهر نقص التدريب والخبرة عندما يُطلب من أشخاص غير مؤهلين أداء مهام تفوق قدراتهم، مما يؤدي إلى حوادث أو خسائر تشغيلية. من ثم، تشمل عناصر هذا المحور نقص التدريب والخبرة، وتراخي في ممارسة العناية الواجبة، وغياب إشراف فعّال على الموظفين والمتطوعين. ( بوعبدالله و علمي , 2022, ص 22)</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أثر المشاكل التنظيمية على المخاطر التشغيلية</w:t>
      </w:r>
    </w:p>
    <w:p w:rsidR="00157377" w:rsidRDefault="00157377" w:rsidP="00157377">
      <w:pPr>
        <w:jc w:val="both"/>
        <w:rPr>
          <w:rFonts w:ascii="Simplified Arabic" w:eastAsia="Calibri" w:hAnsi="Simplified Arabic" w:cs="Simplified Arabic" w:hint="cs"/>
          <w:sz w:val="28"/>
          <w:szCs w:val="28"/>
          <w:rtl/>
        </w:rPr>
      </w:pPr>
      <w:r w:rsidRPr="00157377">
        <w:rPr>
          <w:rFonts w:ascii="Simplified Arabic" w:eastAsia="Calibri" w:hAnsi="Simplified Arabic" w:cs="Simplified Arabic"/>
          <w:sz w:val="28"/>
          <w:szCs w:val="28"/>
          <w:rtl/>
        </w:rPr>
        <w:t>تُعد المشاكل التنظيمية من العوامل المؤثرة في إدارة المخاطر التشغيلية، حيث إن تنفيذ الأعمال بشكل غير مناسب، وعدم التحكم في التكاليف، وعدم توفر المعلومات المتعلقة بالأداء، كلها تُسهم في زيادة المخاطر. وإذا اعتبرت القيادة العليا أن إدارة المخاطر التشغيلية ليست من أولوياتها، فإن ذلك يؤدي إلى ضعف الدعم المؤسسي، وعدم تخصيص الموارد المناسبة، مما يُضعف فعالية الهيكل التنظيمي في مواجهة التحديات. كما أن غياب التنسيق بين الإدارات، وعدم وضوح المسؤوليات، وتضارب الصلاحيات، يُسهم في خلق بيئة تشغيلية غير مستقرة، ويُزيد من احتمالية وقوع الأخطاء، ويُضعف من قدرة المؤسسة على الاستجابة السريعة.  ( بوعبدالله و علمي , 2022, ص 22)</w:t>
      </w:r>
    </w:p>
    <w:p w:rsidR="00157377" w:rsidRPr="00157377" w:rsidRDefault="00157377" w:rsidP="00157377">
      <w:pPr>
        <w:jc w:val="both"/>
        <w:rPr>
          <w:rFonts w:ascii="Simplified Arabic" w:eastAsia="Calibri" w:hAnsi="Simplified Arabic" w:cs="Simplified Arabic"/>
          <w:sz w:val="28"/>
          <w:szCs w:val="28"/>
          <w:rtl/>
        </w:rPr>
      </w:pP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lastRenderedPageBreak/>
        <w:t>أثر العيوب الاستراتيجية على المخاطر التشغيلية في الجمعيات</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تمثل الاستراتيجية الإطار الذي يجمع أنشطة الجمعية ويوجهها نحو أهدافها الإنسانية والاجتماعية؛ وعند وجود خلل في التخطيط الاستراتيجي أو غياب تكامل المعلومات، تتعطل قنوات تدفق البيانات ويتعزى صنع القرار إلى معطيات قديمة أو غير دقيقة. ومع تزايد دور تكنولوجيا المعلومات في تدبير الموارد والمتابعة، يؤدي خلل الاستراتيجية إلى اتخاذ إجراءات تشغيلية غير ملائمة، ما يرفع من مستوى التعرض للخسائر ويعيق قدرة الجمعية على التكيف مع المتغيرات البيئية أو الطلبات الطارئة من المجتمع. ( بوعبدالله و علمي , 2022, ص 22)</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 xml:space="preserve">أثر فشل أنظمة </w:t>
      </w:r>
      <w:proofErr w:type="spellStart"/>
      <w:r w:rsidRPr="00157377">
        <w:rPr>
          <w:rFonts w:ascii="Simplified Arabic" w:eastAsia="Calibri" w:hAnsi="Simplified Arabic" w:cs="Simplified Arabic"/>
          <w:b/>
          <w:bCs/>
          <w:sz w:val="28"/>
          <w:szCs w:val="28"/>
          <w:rtl/>
        </w:rPr>
        <w:t>الحوكمة</w:t>
      </w:r>
      <w:proofErr w:type="spellEnd"/>
      <w:r w:rsidRPr="00157377">
        <w:rPr>
          <w:rFonts w:ascii="Simplified Arabic" w:eastAsia="Calibri" w:hAnsi="Simplified Arabic" w:cs="Simplified Arabic"/>
          <w:b/>
          <w:bCs/>
          <w:sz w:val="28"/>
          <w:szCs w:val="28"/>
          <w:rtl/>
        </w:rPr>
        <w:t xml:space="preserve"> على المخاطر التشغيلية في الجمعيات</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تشير الأدلة إلى أن نظم </w:t>
      </w:r>
      <w:proofErr w:type="spellStart"/>
      <w:r w:rsidRPr="00157377">
        <w:rPr>
          <w:rFonts w:ascii="Simplified Arabic" w:eastAsia="Calibri" w:hAnsi="Simplified Arabic" w:cs="Simplified Arabic"/>
          <w:sz w:val="28"/>
          <w:szCs w:val="28"/>
          <w:rtl/>
        </w:rPr>
        <w:t>حوكمة</w:t>
      </w:r>
      <w:proofErr w:type="spellEnd"/>
      <w:r w:rsidRPr="00157377">
        <w:rPr>
          <w:rFonts w:ascii="Simplified Arabic" w:eastAsia="Calibri" w:hAnsi="Simplified Arabic" w:cs="Simplified Arabic"/>
          <w:sz w:val="28"/>
          <w:szCs w:val="28"/>
          <w:rtl/>
        </w:rPr>
        <w:t xml:space="preserve"> الجمعيات تؤثر مباشرة على تصميم وتشغيل آليات إدارة المخاطر التشغيلية. فضعف الهياكل </w:t>
      </w:r>
      <w:proofErr w:type="spellStart"/>
      <w:r w:rsidRPr="00157377">
        <w:rPr>
          <w:rFonts w:ascii="Simplified Arabic" w:eastAsia="Calibri" w:hAnsi="Simplified Arabic" w:cs="Simplified Arabic"/>
          <w:sz w:val="28"/>
          <w:szCs w:val="28"/>
          <w:rtl/>
        </w:rPr>
        <w:t>الحوكمية</w:t>
      </w:r>
      <w:proofErr w:type="spellEnd"/>
      <w:r w:rsidRPr="00157377">
        <w:rPr>
          <w:rFonts w:ascii="Simplified Arabic" w:eastAsia="Calibri" w:hAnsi="Simplified Arabic" w:cs="Simplified Arabic"/>
          <w:sz w:val="28"/>
          <w:szCs w:val="28"/>
          <w:rtl/>
        </w:rPr>
        <w:t xml:space="preserve">، أو تداخل الصلاحيات، أو غياب آليات مساءلة فعالة قد يحوّل جوانب </w:t>
      </w:r>
      <w:proofErr w:type="spellStart"/>
      <w:r w:rsidRPr="00157377">
        <w:rPr>
          <w:rFonts w:ascii="Simplified Arabic" w:eastAsia="Calibri" w:hAnsi="Simplified Arabic" w:cs="Simplified Arabic"/>
          <w:sz w:val="28"/>
          <w:szCs w:val="28"/>
          <w:rtl/>
        </w:rPr>
        <w:t>الحوكمة</w:t>
      </w:r>
      <w:proofErr w:type="spellEnd"/>
      <w:r w:rsidRPr="00157377">
        <w:rPr>
          <w:rFonts w:ascii="Simplified Arabic" w:eastAsia="Calibri" w:hAnsi="Simplified Arabic" w:cs="Simplified Arabic"/>
          <w:sz w:val="28"/>
          <w:szCs w:val="28"/>
          <w:rtl/>
        </w:rPr>
        <w:t xml:space="preserve"> نفسها إلى مصدر للمخاطر. كما أن عدم وضوح الأدوار والمسؤوليات والحدود في اتخاذ القرار يُعقّد تطبيق متطلبات الرقابة والشفافية، ويجعل الجمعيات أكثر عرضة للتداخلات التنظيمية والمالية التي قد تُضعف استدامتها. لذا يتطلب الحد من هذه المخاطر تعزيز أطر </w:t>
      </w:r>
      <w:proofErr w:type="spellStart"/>
      <w:r w:rsidRPr="00157377">
        <w:rPr>
          <w:rFonts w:ascii="Simplified Arabic" w:eastAsia="Calibri" w:hAnsi="Simplified Arabic" w:cs="Simplified Arabic"/>
          <w:sz w:val="28"/>
          <w:szCs w:val="28"/>
          <w:rtl/>
        </w:rPr>
        <w:t>الحوكمة</w:t>
      </w:r>
      <w:proofErr w:type="spellEnd"/>
      <w:r w:rsidRPr="00157377">
        <w:rPr>
          <w:rFonts w:ascii="Simplified Arabic" w:eastAsia="Calibri" w:hAnsi="Simplified Arabic" w:cs="Simplified Arabic"/>
          <w:sz w:val="28"/>
          <w:szCs w:val="28"/>
          <w:rtl/>
        </w:rPr>
        <w:t>، وضبط آليات التفويض، وتقوية نظم الرقابة الداخلية والشفافية أمام المانحين وأصحاب المصلحة. ( بوعبدالله و علمي , 2022, ص 23)</w:t>
      </w:r>
    </w:p>
    <w:p w:rsidR="00157377" w:rsidRPr="00157377" w:rsidRDefault="00157377" w:rsidP="00157377">
      <w:pPr>
        <w:tabs>
          <w:tab w:val="left" w:pos="1825"/>
        </w:tabs>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أساليب التعامل مع المخاطر</w:t>
      </w:r>
    </w:p>
    <w:p w:rsidR="00157377" w:rsidRPr="00157377" w:rsidRDefault="00157377" w:rsidP="00157377">
      <w:pPr>
        <w:tabs>
          <w:tab w:val="left" w:pos="1825"/>
        </w:tabs>
        <w:spacing w:line="240"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تُعد إدارة المخاطر من الركائز الأساسية في العمل المؤسسي والمالي، وتقوم على مجموعة من الأساليب التي تهدف إلى الحد من تأثير المخاطر أو تجنبها أو نقلها. ويمكن تصنيف هذه الأساليب إلى ثلاث استراتيجيات رئيسية:</w:t>
      </w:r>
    </w:p>
    <w:p w:rsidR="00157377" w:rsidRPr="00157377" w:rsidRDefault="00157377" w:rsidP="00157377">
      <w:pPr>
        <w:tabs>
          <w:tab w:val="left" w:pos="1825"/>
        </w:tabs>
        <w:spacing w:line="240" w:lineRule="auto"/>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1. تجنب المخاطر</w:t>
      </w:r>
    </w:p>
    <w:p w:rsidR="00157377" w:rsidRPr="00157377" w:rsidRDefault="00157377" w:rsidP="00157377">
      <w:pPr>
        <w:tabs>
          <w:tab w:val="left" w:pos="1825"/>
        </w:tabs>
        <w:spacing w:line="240"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تعني هذه الاستراتيجية الامتناع الكلي عن الدخول في نشاط معين أو اتخاذ قرار قد ينطوي على احتمال وقوع خسارة. ويُطبق هذا الأسلوب عندما تكون درجة الخطورة مرتفعة، أو عندما لا تكون المؤسسة أو الفرد مستعدًا لتحمل تبعاتها. ومن أمثلة ذلك:</w:t>
      </w:r>
    </w:p>
    <w:p w:rsidR="00157377" w:rsidRPr="00157377" w:rsidRDefault="00157377" w:rsidP="00157377">
      <w:pPr>
        <w:numPr>
          <w:ilvl w:val="0"/>
          <w:numId w:val="5"/>
        </w:numPr>
        <w:tabs>
          <w:tab w:val="left" w:pos="1825"/>
        </w:tabs>
        <w:spacing w:after="160" w:line="240" w:lineRule="auto"/>
        <w:contextualSpacing/>
        <w:jc w:val="both"/>
        <w:rPr>
          <w:rFonts w:ascii="Simplified Arabic" w:eastAsia="Calibri" w:hAnsi="Simplified Arabic" w:cs="Simplified Arabic"/>
          <w:sz w:val="28"/>
          <w:szCs w:val="28"/>
        </w:rPr>
      </w:pPr>
      <w:r w:rsidRPr="00157377">
        <w:rPr>
          <w:rFonts w:ascii="Simplified Arabic" w:eastAsia="Calibri" w:hAnsi="Simplified Arabic" w:cs="Simplified Arabic"/>
          <w:sz w:val="28"/>
          <w:szCs w:val="28"/>
          <w:rtl/>
        </w:rPr>
        <w:t>رفض الاستثمار في أدوات مالية عالية المخاطر.</w:t>
      </w:r>
      <w:r w:rsidRPr="00157377">
        <w:rPr>
          <w:rFonts w:ascii="Calibri" w:eastAsia="Calibri" w:hAnsi="Calibri" w:cs="Arial"/>
          <w:kern w:val="2"/>
          <w:rtl/>
          <w14:ligatures w14:val="standardContextual"/>
        </w:rPr>
        <w:t xml:space="preserve"> </w:t>
      </w:r>
      <w:r w:rsidRPr="00157377">
        <w:rPr>
          <w:rFonts w:ascii="Simplified Arabic" w:eastAsia="Calibri" w:hAnsi="Simplified Arabic" w:cs="Simplified Arabic"/>
          <w:sz w:val="28"/>
          <w:szCs w:val="28"/>
          <w:rtl/>
        </w:rPr>
        <w:t xml:space="preserve">( </w:t>
      </w:r>
      <w:proofErr w:type="spellStart"/>
      <w:r w:rsidRPr="00157377">
        <w:rPr>
          <w:rFonts w:ascii="Simplified Arabic" w:eastAsia="Calibri" w:hAnsi="Simplified Arabic" w:cs="Simplified Arabic"/>
          <w:sz w:val="28"/>
          <w:szCs w:val="28"/>
          <w:rtl/>
        </w:rPr>
        <w:t>بلعزوز</w:t>
      </w:r>
      <w:proofErr w:type="spellEnd"/>
      <w:r w:rsidRPr="00157377">
        <w:rPr>
          <w:rFonts w:ascii="Simplified Arabic" w:eastAsia="Calibri" w:hAnsi="Simplified Arabic" w:cs="Simplified Arabic"/>
          <w:sz w:val="28"/>
          <w:szCs w:val="28"/>
          <w:rtl/>
        </w:rPr>
        <w:t xml:space="preserve"> , 2009 , ص 335)</w:t>
      </w:r>
    </w:p>
    <w:p w:rsidR="00157377" w:rsidRPr="00157377" w:rsidRDefault="00157377" w:rsidP="00157377">
      <w:pPr>
        <w:tabs>
          <w:tab w:val="left" w:pos="1825"/>
        </w:tabs>
        <w:spacing w:line="240" w:lineRule="auto"/>
        <w:contextualSpacing/>
        <w:jc w:val="both"/>
        <w:rPr>
          <w:rFonts w:ascii="Simplified Arabic" w:eastAsia="Calibri" w:hAnsi="Simplified Arabic" w:cs="Simplified Arabic"/>
          <w:sz w:val="28"/>
          <w:szCs w:val="28"/>
          <w:rtl/>
        </w:rPr>
      </w:pPr>
    </w:p>
    <w:p w:rsidR="00157377" w:rsidRPr="00157377" w:rsidRDefault="00157377" w:rsidP="00157377">
      <w:pPr>
        <w:numPr>
          <w:ilvl w:val="0"/>
          <w:numId w:val="5"/>
        </w:numPr>
        <w:tabs>
          <w:tab w:val="left" w:pos="1825"/>
        </w:tabs>
        <w:spacing w:after="16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lastRenderedPageBreak/>
        <w:t>الامتناع عن منح قروض للعملاء ذوي الجدارة الائتمانية المنخفضة.</w:t>
      </w:r>
    </w:p>
    <w:p w:rsidR="00157377" w:rsidRPr="00157377" w:rsidRDefault="00157377" w:rsidP="00157377">
      <w:pPr>
        <w:numPr>
          <w:ilvl w:val="0"/>
          <w:numId w:val="5"/>
        </w:numPr>
        <w:tabs>
          <w:tab w:val="left" w:pos="1825"/>
        </w:tabs>
        <w:spacing w:after="16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عدم شراء سيارة في مناطق ذات معدلات حوادث مرتفعة.</w:t>
      </w:r>
    </w:p>
    <w:p w:rsidR="00157377" w:rsidRPr="00157377" w:rsidRDefault="00157377" w:rsidP="00157377">
      <w:pPr>
        <w:numPr>
          <w:ilvl w:val="0"/>
          <w:numId w:val="5"/>
        </w:numPr>
        <w:tabs>
          <w:tab w:val="left" w:pos="1825"/>
        </w:tabs>
        <w:spacing w:after="16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تجنب السفر لمسافات طويلة خوفًا من الحوادث. </w:t>
      </w:r>
    </w:p>
    <w:p w:rsidR="00157377" w:rsidRPr="00157377" w:rsidRDefault="00157377" w:rsidP="00157377">
      <w:pPr>
        <w:tabs>
          <w:tab w:val="left" w:pos="1825"/>
        </w:tabs>
        <w:spacing w:line="240"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ورغم أن تجنب المخاطر يُقلل من احتمالية وقوعها، إلا أنه قد يحرم المؤسسة أو الفرد من فرص محتملة للربح أو النمو، ويُعد خيارًا سلبيًا في بعض الحالات التي تتطلب الجرأة والمبادرة. ( </w:t>
      </w:r>
      <w:proofErr w:type="spellStart"/>
      <w:r w:rsidRPr="00157377">
        <w:rPr>
          <w:rFonts w:ascii="Simplified Arabic" w:eastAsia="Calibri" w:hAnsi="Simplified Arabic" w:cs="Simplified Arabic"/>
          <w:sz w:val="28"/>
          <w:szCs w:val="28"/>
          <w:rtl/>
        </w:rPr>
        <w:t>بلعزوز</w:t>
      </w:r>
      <w:proofErr w:type="spellEnd"/>
      <w:r w:rsidRPr="00157377">
        <w:rPr>
          <w:rFonts w:ascii="Simplified Arabic" w:eastAsia="Calibri" w:hAnsi="Simplified Arabic" w:cs="Simplified Arabic"/>
          <w:sz w:val="28"/>
          <w:szCs w:val="28"/>
          <w:rtl/>
        </w:rPr>
        <w:t xml:space="preserve"> , 2009 , ص 335)</w:t>
      </w:r>
    </w:p>
    <w:p w:rsidR="00157377" w:rsidRPr="00157377" w:rsidRDefault="00157377" w:rsidP="00157377">
      <w:pPr>
        <w:tabs>
          <w:tab w:val="left" w:pos="1825"/>
        </w:tabs>
        <w:spacing w:line="240" w:lineRule="auto"/>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2. تقليل المخاطر</w:t>
      </w:r>
    </w:p>
    <w:p w:rsidR="00157377" w:rsidRPr="00157377" w:rsidRDefault="00157377" w:rsidP="00157377">
      <w:pPr>
        <w:tabs>
          <w:tab w:val="left" w:pos="1825"/>
        </w:tabs>
        <w:spacing w:line="240"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يُقصد بها اتخاذ إجراءات تهدف إلى تقليص احتمال وقوع الخطر أو تخفيف آثاره في حال حدوثه. وتُعد هذه الاستراتيجية أكثر واقعية وتوازنًا، حيث تسمح بالاستفادة من الفرص مع تقليل التهديدات. ومن أبرز تطبيقاتها:</w:t>
      </w:r>
    </w:p>
    <w:p w:rsidR="00157377" w:rsidRPr="00157377" w:rsidRDefault="00157377" w:rsidP="00157377">
      <w:pPr>
        <w:numPr>
          <w:ilvl w:val="0"/>
          <w:numId w:val="4"/>
        </w:numPr>
        <w:tabs>
          <w:tab w:val="left" w:pos="1825"/>
        </w:tabs>
        <w:spacing w:after="16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مراقبة سلوك العملاء لتقليل مخاطر التعثر المالي.</w:t>
      </w:r>
    </w:p>
    <w:p w:rsidR="00157377" w:rsidRPr="00157377" w:rsidRDefault="00157377" w:rsidP="00157377">
      <w:pPr>
        <w:numPr>
          <w:ilvl w:val="0"/>
          <w:numId w:val="4"/>
        </w:numPr>
        <w:tabs>
          <w:tab w:val="left" w:pos="1825"/>
        </w:tabs>
        <w:spacing w:after="16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استخدام سياسات إدارة الأصول والخصوم لتقليل تقلبات أسعار الفائدة.</w:t>
      </w:r>
    </w:p>
    <w:p w:rsidR="00157377" w:rsidRPr="00157377" w:rsidRDefault="00157377" w:rsidP="00157377">
      <w:pPr>
        <w:numPr>
          <w:ilvl w:val="0"/>
          <w:numId w:val="4"/>
        </w:numPr>
        <w:tabs>
          <w:tab w:val="left" w:pos="1825"/>
        </w:tabs>
        <w:spacing w:after="16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تصميم أنظمة إنذار مبكر للتعامل مع المشكلات قبل تفاقمها.</w:t>
      </w:r>
    </w:p>
    <w:p w:rsidR="00157377" w:rsidRPr="00157377" w:rsidRDefault="00157377" w:rsidP="00157377">
      <w:pPr>
        <w:numPr>
          <w:ilvl w:val="0"/>
          <w:numId w:val="4"/>
        </w:numPr>
        <w:tabs>
          <w:tab w:val="left" w:pos="1825"/>
        </w:tabs>
        <w:spacing w:after="16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تحسين جودة العمليات الداخلية لتقليل الأخطاء التشغيلية.</w:t>
      </w:r>
    </w:p>
    <w:p w:rsidR="00157377" w:rsidRPr="00157377" w:rsidRDefault="00157377" w:rsidP="00157377">
      <w:pPr>
        <w:tabs>
          <w:tab w:val="left" w:pos="1825"/>
        </w:tabs>
        <w:spacing w:line="240"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وتُعد هذه الاستراتيجية من أكثر الأساليب استخدامًا في المؤسسات المالية، نظرًا لقدرتها على التكيف مع البيئة المتغيرة دون تعطيل النشاط. ( </w:t>
      </w:r>
      <w:proofErr w:type="spellStart"/>
      <w:r w:rsidRPr="00157377">
        <w:rPr>
          <w:rFonts w:ascii="Simplified Arabic" w:eastAsia="Calibri" w:hAnsi="Simplified Arabic" w:cs="Simplified Arabic"/>
          <w:sz w:val="28"/>
          <w:szCs w:val="28"/>
          <w:rtl/>
        </w:rPr>
        <w:t>بلعزوز</w:t>
      </w:r>
      <w:proofErr w:type="spellEnd"/>
      <w:r w:rsidRPr="00157377">
        <w:rPr>
          <w:rFonts w:ascii="Simplified Arabic" w:eastAsia="Calibri" w:hAnsi="Simplified Arabic" w:cs="Simplified Arabic"/>
          <w:sz w:val="28"/>
          <w:szCs w:val="28"/>
          <w:rtl/>
        </w:rPr>
        <w:t xml:space="preserve"> , 2009 , ص 335)</w:t>
      </w:r>
    </w:p>
    <w:p w:rsidR="00157377" w:rsidRPr="00157377" w:rsidRDefault="00157377" w:rsidP="00157377">
      <w:pPr>
        <w:tabs>
          <w:tab w:val="left" w:pos="1825"/>
        </w:tabs>
        <w:spacing w:line="240" w:lineRule="auto"/>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3. نقل المخاطر</w:t>
      </w:r>
    </w:p>
    <w:p w:rsidR="00157377" w:rsidRPr="00157377" w:rsidRDefault="00157377" w:rsidP="00157377">
      <w:pPr>
        <w:tabs>
          <w:tab w:val="left" w:pos="1825"/>
        </w:tabs>
        <w:spacing w:line="240"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تتمثل هذه الاستراتيجية في تحويل عبء المخاطر إلى طرف آخر يكون مستعدًا لتحملها مقابل تعويض مالي أو تعاقدي. ويُعد التأمين من أبرز وسائل نقل المخاطر، حيث تقوم المؤسسة بشراء وثيقة تأمين من شركة متخصصة تتحمل الخسائر المحتملة. ومن صور نقل المخاطر:</w:t>
      </w:r>
    </w:p>
    <w:p w:rsidR="00157377" w:rsidRPr="00157377" w:rsidRDefault="00157377" w:rsidP="00157377">
      <w:pPr>
        <w:numPr>
          <w:ilvl w:val="0"/>
          <w:numId w:val="4"/>
        </w:numPr>
        <w:tabs>
          <w:tab w:val="left" w:pos="1825"/>
        </w:tabs>
        <w:spacing w:after="16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التأمين ضد الحريق أو السرقة أو الحوادث.</w:t>
      </w:r>
    </w:p>
    <w:p w:rsidR="00157377" w:rsidRPr="00157377" w:rsidRDefault="00157377" w:rsidP="00157377">
      <w:pPr>
        <w:numPr>
          <w:ilvl w:val="0"/>
          <w:numId w:val="4"/>
        </w:numPr>
        <w:tabs>
          <w:tab w:val="left" w:pos="1825"/>
        </w:tabs>
        <w:spacing w:after="16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التعاقد مع شركات خارجية لتنفيذ أنشطة عالية الخطورة.</w:t>
      </w:r>
    </w:p>
    <w:p w:rsidR="00157377" w:rsidRPr="00157377" w:rsidRDefault="00157377" w:rsidP="00157377">
      <w:pPr>
        <w:numPr>
          <w:ilvl w:val="0"/>
          <w:numId w:val="4"/>
        </w:numPr>
        <w:tabs>
          <w:tab w:val="left" w:pos="1825"/>
        </w:tabs>
        <w:spacing w:after="16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استخدام أدوات مالية مثل المشتقات لنقل مخاطر السوق.</w:t>
      </w:r>
    </w:p>
    <w:p w:rsidR="00157377" w:rsidRPr="00157377" w:rsidRDefault="00157377" w:rsidP="00157377">
      <w:pPr>
        <w:tabs>
          <w:tab w:val="left" w:pos="1825"/>
        </w:tabs>
        <w:spacing w:line="240"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وتُتيح هذه الاستراتيجية للمؤسسة التركيز على نشاطها الأساسي، مع ضمان وجود جهة تتحمل تبعات الخطر في حال وقوعه. ( </w:t>
      </w:r>
      <w:proofErr w:type="spellStart"/>
      <w:r w:rsidRPr="00157377">
        <w:rPr>
          <w:rFonts w:ascii="Simplified Arabic" w:eastAsia="Calibri" w:hAnsi="Simplified Arabic" w:cs="Simplified Arabic"/>
          <w:sz w:val="28"/>
          <w:szCs w:val="28"/>
          <w:rtl/>
        </w:rPr>
        <w:t>بلعزوز</w:t>
      </w:r>
      <w:proofErr w:type="spellEnd"/>
      <w:r w:rsidRPr="00157377">
        <w:rPr>
          <w:rFonts w:ascii="Simplified Arabic" w:eastAsia="Calibri" w:hAnsi="Simplified Arabic" w:cs="Simplified Arabic"/>
          <w:sz w:val="28"/>
          <w:szCs w:val="28"/>
          <w:rtl/>
        </w:rPr>
        <w:t xml:space="preserve"> , 2009 , ص 336)</w:t>
      </w:r>
    </w:p>
    <w:p w:rsidR="00157377" w:rsidRPr="00157377" w:rsidRDefault="00157377" w:rsidP="00157377">
      <w:pPr>
        <w:tabs>
          <w:tab w:val="left" w:pos="1825"/>
        </w:tabs>
        <w:spacing w:line="240" w:lineRule="auto"/>
        <w:jc w:val="both"/>
        <w:rPr>
          <w:rFonts w:ascii="Simplified Arabic" w:eastAsia="Calibri" w:hAnsi="Simplified Arabic" w:cs="Simplified Arabic"/>
          <w:sz w:val="28"/>
          <w:szCs w:val="28"/>
          <w:rtl/>
        </w:rPr>
      </w:pPr>
    </w:p>
    <w:p w:rsidR="00157377" w:rsidRPr="00157377" w:rsidRDefault="00157377" w:rsidP="00157377">
      <w:pPr>
        <w:tabs>
          <w:tab w:val="left" w:pos="1825"/>
        </w:tabs>
        <w:spacing w:line="240" w:lineRule="auto"/>
        <w:jc w:val="both"/>
        <w:rPr>
          <w:rFonts w:ascii="Simplified Arabic" w:eastAsia="Calibri" w:hAnsi="Simplified Arabic" w:cs="Simplified Arabic"/>
          <w:sz w:val="28"/>
          <w:szCs w:val="28"/>
          <w:rtl/>
        </w:rPr>
      </w:pP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hint="cs"/>
          <w:b/>
          <w:bCs/>
          <w:sz w:val="28"/>
          <w:szCs w:val="28"/>
          <w:rtl/>
        </w:rPr>
        <w:lastRenderedPageBreak/>
        <w:t>المبادئ الاساسية للتعامل مع المخاطر التشغيلية :</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تُعد المخاطر التشغيلية من أكثر أنواع المخاطر تعقيدًا وتأثيرًا على استقرار المؤسسات، سواء كانت مالية أو غير مالية، ربحية أو غير ربحية. فهي تشمل جميع المخاطر الناتجة عن فشل الأنظمة الداخلية أو العمليات أو الأفراد أو الأحداث الخارجية، وقد تؤدي إلى خسائر مالية أو تراجع في السمعة أو تعطل في تقديم الخدمات. وفي ظل هذا التعقيد،. وقد تم تقسيم هذه المبادئ إلى أربعة محاور رئيسية، وهي:</w:t>
      </w:r>
    </w:p>
    <w:p w:rsidR="00157377" w:rsidRPr="00157377" w:rsidRDefault="00157377" w:rsidP="00157377">
      <w:pPr>
        <w:numPr>
          <w:ilvl w:val="0"/>
          <w:numId w:val="7"/>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تهيئة المناخ المناسب لإدارة المخاطر: ويشمل دور مجلس الإدارة والإدارة العليا في وضع الأسس التنظيمية.</w:t>
      </w:r>
    </w:p>
    <w:p w:rsidR="00157377" w:rsidRPr="00157377" w:rsidRDefault="00157377" w:rsidP="00157377">
      <w:pPr>
        <w:numPr>
          <w:ilvl w:val="0"/>
          <w:numId w:val="7"/>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إدارة المخاطر والتحكم فيها ومراقبتها: ويتضمن السياسات والإجراءات والأنظمة الرقابية.</w:t>
      </w:r>
    </w:p>
    <w:p w:rsidR="00157377" w:rsidRPr="00157377" w:rsidRDefault="00157377" w:rsidP="00157377">
      <w:pPr>
        <w:numPr>
          <w:ilvl w:val="0"/>
          <w:numId w:val="7"/>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دور الجهات الرقابية </w:t>
      </w:r>
      <w:proofErr w:type="spellStart"/>
      <w:r w:rsidRPr="00157377">
        <w:rPr>
          <w:rFonts w:ascii="Simplified Arabic" w:eastAsia="Calibri" w:hAnsi="Simplified Arabic" w:cs="Simplified Arabic"/>
          <w:sz w:val="28"/>
          <w:szCs w:val="28"/>
          <w:rtl/>
        </w:rPr>
        <w:t>والإشرافية</w:t>
      </w:r>
      <w:proofErr w:type="spellEnd"/>
      <w:r w:rsidRPr="00157377">
        <w:rPr>
          <w:rFonts w:ascii="Simplified Arabic" w:eastAsia="Calibri" w:hAnsi="Simplified Arabic" w:cs="Simplified Arabic"/>
          <w:sz w:val="28"/>
          <w:szCs w:val="28"/>
          <w:rtl/>
        </w:rPr>
        <w:t>: ويشمل تقييم الأداء المؤسسي ومتابعة الالتزام.</w:t>
      </w:r>
    </w:p>
    <w:p w:rsidR="00157377" w:rsidRPr="00157377" w:rsidRDefault="00157377" w:rsidP="00157377">
      <w:pPr>
        <w:numPr>
          <w:ilvl w:val="0"/>
          <w:numId w:val="7"/>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أهمية الإفصاح والشفافية: لضمان التواصل الفعّال بين الأطراف المعنية.</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وفيما يلي لكل مبدأ من هذه المبادئ:</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المبدأ الأول: دور مجلس الإدارة في الإشراف العام والمصادقة على إطار إدارة المخاطر التشغيلية</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يتعين على مجلس الإدارة أن يكون ملمًا بجميع الجوانب المتعلقة بالمخاطر التشغيلية التي تواجه المؤسسة، وأن يتعامل معها باعتبارها فئة مستقلة من المخاطر تستوجب المراقبة والتحليل المستمر. ويجب أن يقوم المجلس باعتماد استراتيجية واضحة لإدارة هذه المخاطر، ومراجعتها بشكل دوري، لضمان توافقها مع الأهداف الاستراتيجية للمؤسسة، وتكيّفها مع التغيرات البيئية والتشغيلية. كما ينبغي أن يُشرف المجلس على تحديد المسؤوليات وتوزيعها بشكل عادل بين الإدارات المختلفة، بما يضمن التكامل في الأداء. (عدنان , 2015 , ص 185)</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المبدأ الثاني: ضمان خضوع إطار إدارة المخاطر للتدقيق الداخلي الفعّال</w:t>
      </w:r>
    </w:p>
    <w:p w:rsidR="00157377" w:rsidRDefault="00157377" w:rsidP="00157377">
      <w:pPr>
        <w:jc w:val="both"/>
        <w:rPr>
          <w:rFonts w:ascii="Simplified Arabic" w:eastAsia="Calibri" w:hAnsi="Simplified Arabic" w:cs="Simplified Arabic" w:hint="cs"/>
          <w:sz w:val="28"/>
          <w:szCs w:val="28"/>
          <w:rtl/>
        </w:rPr>
      </w:pPr>
      <w:r w:rsidRPr="00157377">
        <w:rPr>
          <w:rFonts w:ascii="Simplified Arabic" w:eastAsia="Calibri" w:hAnsi="Simplified Arabic" w:cs="Simplified Arabic"/>
          <w:sz w:val="28"/>
          <w:szCs w:val="28"/>
          <w:rtl/>
        </w:rPr>
        <w:t>يجب أن يخضع إطار إدارة المخاطر التشغيلية لتدقيق داخلي مستقل وشامل، يُنفذ من قبل موظفين ذوي كفاءة عالية، ويتمتعون بالخبرة والحيادية. ويُشترط أن تكون وظيفة التدقيق الداخلي منفصلة تمامًا عن إدارة المخاطر، وذلك لتجنب تضارب المصالح وضمان موضوعية التقييم. ويُفضل أن يتم التدقيق وفق منهجيات معتمدة دوليًا، مع استخدام أدوات تحليلية متقدمة، وتقديم تقارير دورية للإدارة العليا ومجلس الإدارة. (عدنان , 2015 , ص 185)</w:t>
      </w:r>
    </w:p>
    <w:p w:rsidR="00157377" w:rsidRPr="00157377" w:rsidRDefault="00157377" w:rsidP="00157377">
      <w:pPr>
        <w:jc w:val="both"/>
        <w:rPr>
          <w:rFonts w:ascii="Simplified Arabic" w:eastAsia="Calibri" w:hAnsi="Simplified Arabic" w:cs="Simplified Arabic"/>
          <w:sz w:val="28"/>
          <w:szCs w:val="28"/>
          <w:rtl/>
        </w:rPr>
      </w:pP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lastRenderedPageBreak/>
        <w:t>المبدأ الثالث: مسؤولية الإدارة العليا في تنفيذ إطار إدارة المخاطر وتوفير الموارد اللازمة</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تقع على الإدارة العليا مسؤولية مباشرة في تطبيق إطار إدارة المخاطر التشغيلية الذي تم اعتماده من قبل مجلس الإدارة. ويجب أن يتم تنفيذ هذا الإطار بشكل متسق على مستوى المؤسسة بأكملها، مع التأكيد على أن جميع الموظفين، في مختلف المستويات الوظيفية، يدركون مسؤولياتهم تجاه إدارة المخاطر. كما يجب توفير الموارد البشرية والتقنية والمالية اللازمة، وتطوير السياسات والإجراءات التشغيلية، بما يضمن فعالية التنفيذ واستدامته. (عدنان , 2015 , ص 185)</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المبدأ الرابع: تحديد وتقييم وقياس المخاطر التشغيلية</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ينبغي على المؤسسات أن تقوم بتحديد المخاطر التشغيلية الذاتية المرتبطة بجميع أنشطتها، ومنتجاتها، وعملياتها، وأنظمتها الداخلية. ويجب أن يتم ذلك من خلال خطوات تقييم دقيقة، تشمل تحليل السيناريوهات المحتملة، وتقدير الأثر المالي والتشغيلي لكل نوع من أنواع المخاطر. كما يجب التأكد من أن هذه المخاطر قد أُخذت في الاعتبار قبل إطلاق أي نشاط أو منتج أو نظام جديد، وذلك لضمان سلامة التنفيذ وتقليل احتمالات الفشل. (عدنان , 2015 , ص 186)</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المبدأ الخامس: متابعة مستوى التعرض للمخاطر التشغيلية وإعداد التقارير الدورية</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تُعد عملية المتابعة المستمرة للمخاطر التشغيلية من أهم أدوات الرقابة الداخلية، حيث يجب على المؤسسات وضع آليات دقيقة لقياس هذه المخاطر، وتحديد احتمالات التعرض للخسائر المادية، وإعداد تقارير دورية تُعرض على الإدارة العليا ومجلس الإدارة. (عدنان , 2015 , ص 186)</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 وتُسهم هذه التقارير في تعزيز القدرة على اتخاذ قرارات مدروسة، وتوفير بيانات دقيقة تدعم إجراءات السيطرة والتحكم، كما تُمكن من رصد الاتجاهات وتحليل الأسباب الجذرية للمشكلات التشغيلية.</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المبدأ السادس: توفير الوسائل والإجراءات للسيطرة على المخاطر التشغيلية وتخفيضها</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ينبغي للمؤسسات أن تطبق سياسات وإجراءات فعّالة للحد من المخاطر التشغيلية، تشمل تطوير أنظمة الحماية، وتدريب الموظفين، ومراجعة العمليات الحساسة بشكل دوري. كما يجب تعديل الاستراتيجيات حسب الحاجة، بناءً على تقييم دوري لمحددات المخاطر واستعداد المؤسسة لتقبلها، مع التأكد من استمرارية تطبيق نظام مراقبة التعرض للمخاطر التشغيلية وأحداث الخسائر، خاصة تلك الناتجة عن العمليات الكبيرة أو المعقدة. (عدنان , 2015 , ص 187)</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lastRenderedPageBreak/>
        <w:t>المبدأ السابع: إعداد خطط للطوارئ واستمرارية الأعمال</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تُعد خطط الطوارئ واستمرارية الأعمال من الركائز الأساسية في إدارة المخاطر التشغيلية، حيث يجب على المؤسسات إعداد خطط شاملة تضمن استمرارية تقديم الخدمات في حال وقوع أزمات أو تعطّل العمليات، مثل الكوارث الطبيعية أو الأزمات التقنية أو الأمنية. ويجب أن تشمل هذه الخطط استراتيجيات بديلة، وتقييمًا دقيقًا للتكلفة والعائد من العمليات البديلة، بما يضمن الحد من الأثر السلبي على الأداء العام، ويُعزز من قدرة المؤسسة على التعافي السريع.</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المبدأ الثامن: مطالبة المؤسسات بتوفير إطار فعّال لإدارة المخاطر التشغيلية</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يتعين على الجهات الرقابية أن تطلب من جميع المؤسسات، بغض النظر عن حجمها أو طبيعة عملها، إعداد واعتماد إطار شامل وفعّال لتحديد وتقييم ورصد وضبط المخاطر التشغيلية، بما يحقق التخفيف من حدة الخسائر المحتملة، ويُعد هذا الإطار جزءًا من منظومة إدارة المخاطر المؤسسية الشاملة. (عدنان , 2015 , ص 187)</w:t>
      </w:r>
      <w:r w:rsidRPr="00157377">
        <w:rPr>
          <w:rFonts w:ascii="Simplified Arabic" w:eastAsia="Calibri" w:hAnsi="Simplified Arabic" w:cs="Simplified Arabic" w:hint="cs"/>
          <w:sz w:val="28"/>
          <w:szCs w:val="28"/>
          <w:rtl/>
        </w:rPr>
        <w:t xml:space="preserve"> </w:t>
      </w:r>
      <w:r w:rsidRPr="00157377">
        <w:rPr>
          <w:rFonts w:ascii="Simplified Arabic" w:eastAsia="Calibri" w:hAnsi="Simplified Arabic" w:cs="Simplified Arabic"/>
          <w:sz w:val="28"/>
          <w:szCs w:val="28"/>
          <w:rtl/>
        </w:rPr>
        <w:t>ويجب أن يكون هذا الإطار مرنًا وقابلًا للتحديث، بما يتماشى مع التطورات التنظيمية والتقنية. (عدنان , 2015 , ص 187)</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المبدأ التاسع: تقييم السياسات والإجراءات الخاصة بإدارة المخاطر التشغيلية</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ينبغي أن تقوم الجهات الرقابية بإجراء تقييمات مستقلة ودورية للاستراتيجيات والسياسات والإجراءات والممارسات المطبقة في إدارة المخاطر التشغيلية، والتأكد من وجود آليات تقارير فعّالة تُمكّن من متابعة التطورات والمستجدات، وضمان اطلاع الجهات المعنية على كافة التفاصيل ذات الصلة. كما يجب أن تشمل هذه التقييمات مراجعة مدى كفاءة النظم الرقابية، ومدى توافقها مع المعايير الدولية. (عدنان , 2015 , ص 187)</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استراتيجيات التخفيف من المخاطر التشغيلية</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تُعد إدارة المخاطر التشغيلية من الركائز الأساسية لضمان استقرار المؤسسات واستمرارية أعمالها، إذ تشمل المخاطر الناتجة عن فشل الأنظمة الداخلية، أو الأخطاء البشرية، أو الأحداث الخارجية غير المتوقعة. وتتنوع استراتيجيات التخفيف من هذه المخاطر لتشمل جوانب تنظيمية وتقنية وسلوكية، تهدف جميعها إلى تقليل احتمالية وقوع الحوادث وتقليص آثارها في حال حدوثها. وفيما يلي عرض تفصيلي لأبرز هذه الاستراتيجيات:</w:t>
      </w:r>
      <w:r w:rsidRPr="00157377">
        <w:rPr>
          <w:rFonts w:ascii="Calibri" w:eastAsia="Calibri" w:hAnsi="Calibri" w:cs="Arial"/>
          <w:kern w:val="2"/>
          <w:rtl/>
          <w14:ligatures w14:val="standardContextual"/>
        </w:rPr>
        <w:t xml:space="preserve"> </w:t>
      </w:r>
      <w:r w:rsidRPr="00157377">
        <w:rPr>
          <w:rFonts w:ascii="Simplified Arabic" w:eastAsia="Calibri" w:hAnsi="Simplified Arabic" w:cs="Simplified Arabic"/>
          <w:sz w:val="28"/>
          <w:szCs w:val="28"/>
          <w:rtl/>
        </w:rPr>
        <w:t>( السيد , أحمد , 2020 , ص 27)</w:t>
      </w:r>
    </w:p>
    <w:p w:rsidR="00157377" w:rsidRPr="00157377" w:rsidRDefault="00157377" w:rsidP="00157377">
      <w:pPr>
        <w:spacing w:after="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lastRenderedPageBreak/>
        <w:t>تقييم المخاطر وتحديدها</w:t>
      </w:r>
    </w:p>
    <w:p w:rsidR="00157377" w:rsidRPr="00157377" w:rsidRDefault="00157377" w:rsidP="00157377">
      <w:pPr>
        <w:numPr>
          <w:ilvl w:val="0"/>
          <w:numId w:val="8"/>
        </w:numPr>
        <w:spacing w:after="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تخطيط المخاطر: تبدأ عملية التخفيف بتخطيط شامل للعمليات التشغيلية، وتحديد النقاط الحرجة التي قد تنشأ فيها المخاطر. في المؤسسات الصناعية، على سبيل المثال، تُعد خطوط الإنتاج وسلاسل التوريد ومراقبة الجودة من أبرز المناطق الحساسة التي تتطلب مراقبة دقيقة.</w:t>
      </w:r>
    </w:p>
    <w:p w:rsidR="00157377" w:rsidRPr="00157377" w:rsidRDefault="00157377" w:rsidP="00157377">
      <w:pPr>
        <w:numPr>
          <w:ilvl w:val="0"/>
          <w:numId w:val="8"/>
        </w:numPr>
        <w:spacing w:after="0" w:line="240" w:lineRule="auto"/>
        <w:contextualSpacing/>
        <w:jc w:val="both"/>
        <w:rPr>
          <w:rFonts w:ascii="Simplified Arabic" w:eastAsia="Calibri" w:hAnsi="Simplified Arabic" w:cs="Simplified Arabic"/>
          <w:sz w:val="28"/>
          <w:szCs w:val="28"/>
        </w:rPr>
      </w:pPr>
      <w:r w:rsidRPr="00157377">
        <w:rPr>
          <w:rFonts w:ascii="Simplified Arabic" w:eastAsia="Calibri" w:hAnsi="Simplified Arabic" w:cs="Simplified Arabic"/>
          <w:sz w:val="28"/>
          <w:szCs w:val="28"/>
          <w:rtl/>
        </w:rPr>
        <w:t xml:space="preserve">تحليل السيناريوهات المحتملة: يُنصح بتصور سيناريوهات افتراضية مثل تعطل المعدات، أو الهجمات </w:t>
      </w:r>
      <w:proofErr w:type="spellStart"/>
      <w:r w:rsidRPr="00157377">
        <w:rPr>
          <w:rFonts w:ascii="Simplified Arabic" w:eastAsia="Calibri" w:hAnsi="Simplified Arabic" w:cs="Simplified Arabic"/>
          <w:sz w:val="28"/>
          <w:szCs w:val="28"/>
          <w:rtl/>
        </w:rPr>
        <w:t>السيبرانية</w:t>
      </w:r>
      <w:proofErr w:type="spellEnd"/>
      <w:r w:rsidRPr="00157377">
        <w:rPr>
          <w:rFonts w:ascii="Simplified Arabic" w:eastAsia="Calibri" w:hAnsi="Simplified Arabic" w:cs="Simplified Arabic"/>
          <w:sz w:val="28"/>
          <w:szCs w:val="28"/>
          <w:rtl/>
        </w:rPr>
        <w:t>، أو الكوارث الطبيعية، وتقييم آثارها المحتملة على العمليات. يساعد ذلك في تحديد حجم الخسائر المتوقعة وترتيب المخاطر حسب أولويتها وخطورتها.</w:t>
      </w:r>
    </w:p>
    <w:p w:rsidR="00157377" w:rsidRPr="00157377" w:rsidRDefault="00157377" w:rsidP="00157377">
      <w:pPr>
        <w:numPr>
          <w:ilvl w:val="0"/>
          <w:numId w:val="8"/>
        </w:numPr>
        <w:spacing w:after="0" w:line="240" w:lineRule="auto"/>
        <w:contextualSpacing/>
        <w:jc w:val="both"/>
        <w:rPr>
          <w:rFonts w:ascii="Simplified Arabic" w:eastAsia="Calibri" w:hAnsi="Simplified Arabic" w:cs="Simplified Arabic"/>
          <w:sz w:val="28"/>
          <w:szCs w:val="28"/>
        </w:rPr>
      </w:pPr>
      <w:r w:rsidRPr="00157377">
        <w:rPr>
          <w:rFonts w:ascii="Simplified Arabic" w:eastAsia="Calibri" w:hAnsi="Simplified Arabic" w:cs="Simplified Arabic"/>
          <w:sz w:val="28"/>
          <w:szCs w:val="28"/>
          <w:rtl/>
        </w:rPr>
        <w:t>مؤشرات المخاطر الرئيسية (</w:t>
      </w:r>
      <w:r w:rsidRPr="00157377">
        <w:rPr>
          <w:rFonts w:ascii="Simplified Arabic" w:eastAsia="Calibri" w:hAnsi="Simplified Arabic" w:cs="Simplified Arabic"/>
          <w:sz w:val="28"/>
          <w:szCs w:val="28"/>
        </w:rPr>
        <w:t>KRIs</w:t>
      </w:r>
      <w:r w:rsidRPr="00157377">
        <w:rPr>
          <w:rFonts w:ascii="Simplified Arabic" w:eastAsia="Calibri" w:hAnsi="Simplified Arabic" w:cs="Simplified Arabic"/>
          <w:sz w:val="28"/>
          <w:szCs w:val="28"/>
          <w:rtl/>
        </w:rPr>
        <w:t>): تطوير مؤشرات إنذار مبكر خاصة بكل قطاع يُعد خطوة حيوية. فمثلًا، في القطاع المصرفي، يمكن أن تشير معدلات التأخر في سداد القروض إلى ارتفاع مستوى المخاطر التشغيلية، مما يستدعي تدخلًا سريعًا. ( السيد , أحمد , 2020 , ص 27)</w:t>
      </w:r>
    </w:p>
    <w:p w:rsidR="00157377" w:rsidRPr="00157377" w:rsidRDefault="00157377" w:rsidP="00157377">
      <w:pPr>
        <w:spacing w:after="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الوقاية من المخاطر ومكافحتها</w:t>
      </w:r>
    </w:p>
    <w:p w:rsidR="00157377" w:rsidRPr="00157377" w:rsidRDefault="00157377" w:rsidP="00157377">
      <w:pPr>
        <w:numPr>
          <w:ilvl w:val="0"/>
          <w:numId w:val="9"/>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توحيد العمليات: توحيد إجراءات التشغيل يقلل من الانحرافات ويعزز الاتساق. على سبيل المثال، يمكن لسلسلة متاجر البيع بالتجزئة أن تعتمد بروتوكولات موحدة للتعامل النقدي لضمان سلامة المعاملات.</w:t>
      </w:r>
    </w:p>
    <w:p w:rsidR="00157377" w:rsidRPr="00157377" w:rsidRDefault="00157377" w:rsidP="00157377">
      <w:pPr>
        <w:numPr>
          <w:ilvl w:val="0"/>
          <w:numId w:val="9"/>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فصل الواجبات والمسؤوليات: يُعد الفصل بين المهام من أهم أدوات مكافحة الاحتيال والأخطاء. في المؤسسات المالية، يُفصل بين وظائف التفويض والتنفيذ والتسوية لضمان الرقابة المتبادلة وتقليل فرص التلاعب.</w:t>
      </w:r>
    </w:p>
    <w:p w:rsidR="00157377" w:rsidRPr="00157377" w:rsidRDefault="00157377" w:rsidP="00157377">
      <w:pPr>
        <w:numPr>
          <w:ilvl w:val="0"/>
          <w:numId w:val="9"/>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ضوابط التحكم في الوصول: يجب تقييد الوصول إلى الأنظمة والبيانات الحساسة، وتطبيق ضوابط تستند إلى الأدوار (</w:t>
      </w:r>
      <w:r w:rsidRPr="00157377">
        <w:rPr>
          <w:rFonts w:ascii="Simplified Arabic" w:eastAsia="Calibri" w:hAnsi="Simplified Arabic" w:cs="Simplified Arabic"/>
          <w:sz w:val="28"/>
          <w:szCs w:val="28"/>
        </w:rPr>
        <w:t>RBAC</w:t>
      </w:r>
      <w:r w:rsidRPr="00157377">
        <w:rPr>
          <w:rFonts w:ascii="Simplified Arabic" w:eastAsia="Calibri" w:hAnsi="Simplified Arabic" w:cs="Simplified Arabic"/>
          <w:sz w:val="28"/>
          <w:szCs w:val="28"/>
          <w:rtl/>
        </w:rPr>
        <w:t>)، بحيث لا يُسمح إلا للموظفين المخولين بتنفيذ المهام الحرجة، مما يقلل من فرص الخطأ أو الاختراق. ( السيد , أحمد , 2020 , ص 28)</w:t>
      </w:r>
    </w:p>
    <w:p w:rsidR="00157377" w:rsidRPr="00157377" w:rsidRDefault="00157377" w:rsidP="00157377">
      <w:pPr>
        <w:spacing w:after="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التكنولوجيا </w:t>
      </w:r>
      <w:proofErr w:type="spellStart"/>
      <w:r w:rsidRPr="00157377">
        <w:rPr>
          <w:rFonts w:ascii="Simplified Arabic" w:eastAsia="Calibri" w:hAnsi="Simplified Arabic" w:cs="Simplified Arabic"/>
          <w:sz w:val="28"/>
          <w:szCs w:val="28"/>
          <w:rtl/>
        </w:rPr>
        <w:t>والأتمتة</w:t>
      </w:r>
      <w:proofErr w:type="spellEnd"/>
    </w:p>
    <w:p w:rsidR="00157377" w:rsidRPr="00157377" w:rsidRDefault="00157377" w:rsidP="00157377">
      <w:pPr>
        <w:numPr>
          <w:ilvl w:val="0"/>
          <w:numId w:val="9"/>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بنية تحتية قوية لتقنية المعلومات: الاستثمار في أنظمة آمنة، وجدران حماية، وآليات كشف التسلل يُعد أمرًا ضروريًا. </w:t>
      </w:r>
    </w:p>
    <w:p w:rsidR="00157377" w:rsidRDefault="00157377" w:rsidP="00157377">
      <w:pPr>
        <w:numPr>
          <w:ilvl w:val="0"/>
          <w:numId w:val="9"/>
        </w:numPr>
        <w:spacing w:after="0" w:line="259" w:lineRule="auto"/>
        <w:contextualSpacing/>
        <w:jc w:val="both"/>
        <w:rPr>
          <w:rFonts w:ascii="Simplified Arabic" w:eastAsia="Calibri" w:hAnsi="Simplified Arabic" w:cs="Simplified Arabic" w:hint="cs"/>
          <w:sz w:val="28"/>
          <w:szCs w:val="28"/>
        </w:rPr>
      </w:pPr>
      <w:r w:rsidRPr="00157377">
        <w:rPr>
          <w:rFonts w:ascii="Simplified Arabic" w:eastAsia="Calibri" w:hAnsi="Simplified Arabic" w:cs="Simplified Arabic"/>
          <w:sz w:val="28"/>
          <w:szCs w:val="28"/>
          <w:rtl/>
        </w:rPr>
        <w:t>المراقبة الآلية باستخدام الذكاء الاصطناعي: يمكن استخدام أدوات ذكية لمراقبة المعاملات واكتشاف الأنماط غير المعتادة. على سبيل المثال، تستطيع خوارزميات الكشف عن الشذوذ تحديد سلوكيات تداول غير طبيعية في الأسواق المالية، مما يُسهم في التدخل المبكر. ( السيد , أحمد , 2020 , ص 29)</w:t>
      </w:r>
    </w:p>
    <w:p w:rsidR="00157377" w:rsidRPr="00157377" w:rsidRDefault="00157377" w:rsidP="00157377">
      <w:pPr>
        <w:spacing w:after="0" w:line="259" w:lineRule="auto"/>
        <w:ind w:left="1080"/>
        <w:contextualSpacing/>
        <w:jc w:val="both"/>
        <w:rPr>
          <w:rFonts w:ascii="Simplified Arabic" w:eastAsia="Calibri" w:hAnsi="Simplified Arabic" w:cs="Simplified Arabic"/>
          <w:sz w:val="28"/>
          <w:szCs w:val="28"/>
          <w:rtl/>
        </w:rPr>
      </w:pPr>
    </w:p>
    <w:p w:rsidR="00157377" w:rsidRPr="00157377" w:rsidRDefault="00157377" w:rsidP="00157377">
      <w:pPr>
        <w:spacing w:after="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lastRenderedPageBreak/>
        <w:t xml:space="preserve"> التدريب والتوعية</w:t>
      </w:r>
    </w:p>
    <w:p w:rsidR="00157377" w:rsidRPr="00157377" w:rsidRDefault="00157377" w:rsidP="00157377">
      <w:pPr>
        <w:numPr>
          <w:ilvl w:val="0"/>
          <w:numId w:val="9"/>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تدريب الموظفين: يُعد تثقيف الموظفين حول طبيعة المخاطر التشغيلية وأدوارهم في التخفيف منها أمرًا بالغ الأهمية. تُساعد ورش العمل والمحاكاة المنتظمة في تعزيز الوعي المؤسسي وتحسين الاستجابة للحوادث. ( السيد , أحمد , 2020 , ص 29)</w:t>
      </w:r>
    </w:p>
    <w:p w:rsidR="00157377" w:rsidRPr="00157377" w:rsidRDefault="00157377" w:rsidP="00157377">
      <w:pPr>
        <w:numPr>
          <w:ilvl w:val="0"/>
          <w:numId w:val="9"/>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سياسات الإبلاغ عن المخالفات: تشجيع الموظفين على الإبلاغ عن المخالفات دون خوف من الانتقام يُعزز من ثقافة الشفافية. يجب توفير قنوات آمنة وسرية للإبلاغ، مع ضمان عدم الكشف عن هوية المبلغين.</w:t>
      </w:r>
    </w:p>
    <w:p w:rsidR="00157377" w:rsidRPr="00157377" w:rsidRDefault="00157377" w:rsidP="00157377">
      <w:pPr>
        <w:spacing w:after="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تخطيط استمرارية الأعمال (</w:t>
      </w:r>
      <w:r w:rsidRPr="00157377">
        <w:rPr>
          <w:rFonts w:ascii="Simplified Arabic" w:eastAsia="Calibri" w:hAnsi="Simplified Arabic" w:cs="Simplified Arabic"/>
          <w:sz w:val="28"/>
          <w:szCs w:val="28"/>
        </w:rPr>
        <w:t>BCP</w:t>
      </w:r>
      <w:r w:rsidRPr="00157377">
        <w:rPr>
          <w:rFonts w:ascii="Simplified Arabic" w:eastAsia="Calibri" w:hAnsi="Simplified Arabic" w:cs="Simplified Arabic"/>
          <w:sz w:val="28"/>
          <w:szCs w:val="28"/>
          <w:rtl/>
        </w:rPr>
        <w:t>)</w:t>
      </w:r>
    </w:p>
    <w:p w:rsidR="00157377" w:rsidRPr="00157377" w:rsidRDefault="00157377" w:rsidP="00157377">
      <w:pPr>
        <w:numPr>
          <w:ilvl w:val="0"/>
          <w:numId w:val="9"/>
        </w:numPr>
        <w:spacing w:after="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أنظمة النسخ الاحتياطي والتكرار: يجب الحفاظ على أنظمة احتياطية لضمان استمرارية العمل أثناء الأزمات. على سبيل المثال، ينبغي أن تتوفر مصادر طاقة بديلة لمراكز البيانات لضمان عدم توقف الخدمات الحيوية.</w:t>
      </w:r>
    </w:p>
    <w:p w:rsidR="00157377" w:rsidRPr="00157377" w:rsidRDefault="00157377" w:rsidP="00157377">
      <w:pPr>
        <w:numPr>
          <w:ilvl w:val="0"/>
          <w:numId w:val="9"/>
        </w:numPr>
        <w:spacing w:after="0" w:line="240" w:lineRule="auto"/>
        <w:contextualSpacing/>
        <w:jc w:val="both"/>
        <w:rPr>
          <w:rFonts w:ascii="Simplified Arabic" w:eastAsia="Calibri" w:hAnsi="Simplified Arabic" w:cs="Simplified Arabic"/>
          <w:sz w:val="28"/>
          <w:szCs w:val="28"/>
        </w:rPr>
      </w:pPr>
      <w:r w:rsidRPr="00157377">
        <w:rPr>
          <w:rFonts w:ascii="Simplified Arabic" w:eastAsia="Calibri" w:hAnsi="Simplified Arabic" w:cs="Simplified Arabic"/>
          <w:sz w:val="28"/>
          <w:szCs w:val="28"/>
          <w:rtl/>
        </w:rPr>
        <w:t xml:space="preserve">خطط الاتصال أثناء الأزمات: من الضروري تطوير خطط اتصال واضحة ومحددة لكل سيناريو محتمل، مثل الهجمات </w:t>
      </w:r>
      <w:proofErr w:type="spellStart"/>
      <w:r w:rsidRPr="00157377">
        <w:rPr>
          <w:rFonts w:ascii="Simplified Arabic" w:eastAsia="Calibri" w:hAnsi="Simplified Arabic" w:cs="Simplified Arabic"/>
          <w:sz w:val="28"/>
          <w:szCs w:val="28"/>
          <w:rtl/>
        </w:rPr>
        <w:t>السيبرانية</w:t>
      </w:r>
      <w:proofErr w:type="spellEnd"/>
      <w:r w:rsidRPr="00157377">
        <w:rPr>
          <w:rFonts w:ascii="Simplified Arabic" w:eastAsia="Calibri" w:hAnsi="Simplified Arabic" w:cs="Simplified Arabic"/>
          <w:sz w:val="28"/>
          <w:szCs w:val="28"/>
          <w:rtl/>
        </w:rPr>
        <w:t xml:space="preserve"> أو الكوارث الطبيعية، لضمان إبلاغ أصحاب المصلحة بسرعة وفعالية. ( السيد , أحمد , 2020 , ص 30)</w:t>
      </w:r>
    </w:p>
    <w:p w:rsidR="00157377" w:rsidRPr="00157377" w:rsidRDefault="00157377" w:rsidP="00157377">
      <w:pPr>
        <w:spacing w:after="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التعلم من الحوادث</w:t>
      </w:r>
    </w:p>
    <w:p w:rsidR="00157377" w:rsidRPr="00157377" w:rsidRDefault="00157377" w:rsidP="00157377">
      <w:pPr>
        <w:numPr>
          <w:ilvl w:val="0"/>
          <w:numId w:val="9"/>
        </w:numPr>
        <w:spacing w:after="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تحليل السبب الجذري: بعد وقوع أي حادث، يجب إجراء تحقيق شامل لتحديد الأسباب الجذرية، وليس فقط معالجة الأعراض الظاهرة. يُسهم ذلك في وضع إجراءات تصحيحية فعّالة تمنع تكرار الحادث.</w:t>
      </w:r>
    </w:p>
    <w:p w:rsidR="00157377" w:rsidRPr="00157377" w:rsidRDefault="00157377" w:rsidP="00157377">
      <w:pPr>
        <w:numPr>
          <w:ilvl w:val="0"/>
          <w:numId w:val="9"/>
        </w:numPr>
        <w:spacing w:after="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مشاركة الدروس المستفادة: توثيق الحوادث ودراسات الحالة ومشاركتها عبر المؤسسة يُعد من أفضل الممارسات. فمثلًا، بعد انقطاع سلسلة التوريد، يجب تحليل الأخطاء وتحديد الإجراءات الوقائية لتفاديها مستقبلًا. ( السيد , أحمد , 2020 , ص 30)</w:t>
      </w:r>
    </w:p>
    <w:p w:rsidR="00157377" w:rsidRPr="00157377" w:rsidRDefault="00157377" w:rsidP="00157377">
      <w:pPr>
        <w:spacing w:after="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التأمين ونقل المخاطر</w:t>
      </w:r>
    </w:p>
    <w:p w:rsidR="00157377" w:rsidRPr="00157377" w:rsidRDefault="00157377" w:rsidP="00157377">
      <w:pPr>
        <w:numPr>
          <w:ilvl w:val="0"/>
          <w:numId w:val="9"/>
        </w:numPr>
        <w:spacing w:after="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نقل المخاطر عبر التأمين: يُمكن للمؤسسات التفكير في وثائق تأمين تغطي المخاطر التشغيلية، مثل انقطاع الأعمال أو المسؤولية عن المنتج. يجب تقييم شروط التغطية والخصومات بعناية لضمان فعالية الحماية.</w:t>
      </w:r>
    </w:p>
    <w:p w:rsidR="00157377" w:rsidRPr="00157377" w:rsidRDefault="00157377" w:rsidP="00157377">
      <w:pPr>
        <w:numPr>
          <w:ilvl w:val="0"/>
          <w:numId w:val="9"/>
        </w:numPr>
        <w:spacing w:after="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التأمين الذاتي وإنشاء شركات تأمين أسيرة: تلجأ بعض المؤسسات إلى إنشاء شركات تأمين تابعة (أسيرة) لتغطية المخاطر التشغيلية داخليًا. يُعد هذا النهج فعالًا من حيث التكلفة في بعض الحالات، لكنه يتطلب دراسة جدوى دقيقة. ( السيد , أحمد , 2020 , ص 31)</w:t>
      </w:r>
    </w:p>
    <w:p w:rsidR="00157377" w:rsidRPr="00157377" w:rsidRDefault="00157377" w:rsidP="00157377">
      <w:pPr>
        <w:jc w:val="both"/>
        <w:rPr>
          <w:rFonts w:ascii="Simplified Arabic" w:eastAsia="Calibri" w:hAnsi="Simplified Arabic" w:cs="Simplified Arabic"/>
          <w:sz w:val="28"/>
          <w:szCs w:val="28"/>
          <w:rtl/>
        </w:rPr>
      </w:pP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hint="cs"/>
          <w:b/>
          <w:bCs/>
          <w:sz w:val="28"/>
          <w:szCs w:val="28"/>
          <w:rtl/>
        </w:rPr>
        <w:lastRenderedPageBreak/>
        <w:t xml:space="preserve">ثانيا : </w:t>
      </w:r>
      <w:r w:rsidRPr="00157377">
        <w:rPr>
          <w:rFonts w:ascii="Simplified Arabic" w:eastAsia="Calibri" w:hAnsi="Simplified Arabic" w:cs="Simplified Arabic"/>
          <w:b/>
          <w:bCs/>
          <w:sz w:val="28"/>
          <w:szCs w:val="28"/>
          <w:rtl/>
        </w:rPr>
        <w:t xml:space="preserve">مفهوم كفاء الأداء </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hint="cs"/>
          <w:b/>
          <w:bCs/>
          <w:sz w:val="28"/>
          <w:szCs w:val="28"/>
          <w:rtl/>
        </w:rPr>
        <w:t xml:space="preserve">تعريف </w:t>
      </w:r>
      <w:r w:rsidRPr="00157377">
        <w:rPr>
          <w:rFonts w:ascii="Simplified Arabic" w:eastAsia="Calibri" w:hAnsi="Simplified Arabic" w:cs="Simplified Arabic"/>
          <w:b/>
          <w:bCs/>
          <w:sz w:val="28"/>
          <w:szCs w:val="28"/>
          <w:rtl/>
        </w:rPr>
        <w:t>الكفاءة لغةً</w:t>
      </w:r>
    </w:p>
    <w:p w:rsidR="00157377" w:rsidRPr="00157377" w:rsidRDefault="00157377" w:rsidP="00157377">
      <w:pPr>
        <w:ind w:right="-284"/>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يُعرَّف الكُفء في اللغة بأنه النظير والمساوي، ويُقال الكُفء والكَفُؤ على وزن "فُعل" </w:t>
      </w:r>
      <w:proofErr w:type="spellStart"/>
      <w:r w:rsidRPr="00157377">
        <w:rPr>
          <w:rFonts w:ascii="Simplified Arabic" w:eastAsia="Calibri" w:hAnsi="Simplified Arabic" w:cs="Simplified Arabic"/>
          <w:sz w:val="28"/>
          <w:szCs w:val="28"/>
          <w:rtl/>
        </w:rPr>
        <w:t>و"فعْل</w:t>
      </w:r>
      <w:proofErr w:type="spellEnd"/>
      <w:r w:rsidRPr="00157377">
        <w:rPr>
          <w:rFonts w:ascii="Simplified Arabic" w:eastAsia="Calibri" w:hAnsi="Simplified Arabic" w:cs="Simplified Arabic"/>
          <w:sz w:val="28"/>
          <w:szCs w:val="28"/>
          <w:rtl/>
        </w:rPr>
        <w:t xml:space="preserve">"، أما المصدر فهو "الكفاءة" بالفتح والمد. ويُستعمل القول "لا كِفاء له" بمعنى لا نظير له. </w:t>
      </w:r>
      <w:proofErr w:type="spellStart"/>
      <w:r w:rsidRPr="00157377">
        <w:rPr>
          <w:rFonts w:ascii="Simplified Arabic" w:eastAsia="Calibri" w:hAnsi="Simplified Arabic" w:cs="Simplified Arabic"/>
          <w:sz w:val="28"/>
          <w:szCs w:val="28"/>
          <w:rtl/>
        </w:rPr>
        <w:t>والكَفِيء</w:t>
      </w:r>
      <w:proofErr w:type="spellEnd"/>
      <w:r w:rsidRPr="00157377">
        <w:rPr>
          <w:rFonts w:ascii="Simplified Arabic" w:eastAsia="Calibri" w:hAnsi="Simplified Arabic" w:cs="Simplified Arabic"/>
          <w:sz w:val="28"/>
          <w:szCs w:val="28"/>
          <w:rtl/>
        </w:rPr>
        <w:t xml:space="preserve"> هو المماثل والمساوي، ومن هذا جاء مفهوم الكفاءة في النكاح، أي أن يكون الزوج مكافئًا للمرأة في دينها ونسبها ومكانتها الاجتماعية. ويُقال: "تكافأ </w:t>
      </w:r>
      <w:proofErr w:type="spellStart"/>
      <w:r w:rsidRPr="00157377">
        <w:rPr>
          <w:rFonts w:ascii="Simplified Arabic" w:eastAsia="Calibri" w:hAnsi="Simplified Arabic" w:cs="Simplified Arabic"/>
          <w:sz w:val="28"/>
          <w:szCs w:val="28"/>
          <w:rtl/>
        </w:rPr>
        <w:t>الشيئان</w:t>
      </w:r>
      <w:proofErr w:type="spellEnd"/>
      <w:r w:rsidRPr="00157377">
        <w:rPr>
          <w:rFonts w:ascii="Simplified Arabic" w:eastAsia="Calibri" w:hAnsi="Simplified Arabic" w:cs="Simplified Arabic"/>
          <w:sz w:val="28"/>
          <w:szCs w:val="28"/>
          <w:rtl/>
        </w:rPr>
        <w:t xml:space="preserve">" أي تماثلا، و"كافأه مكافأةً وكِفاءً" أي ساواه، وفي الاستعمال: "الحمد لله كِفاء الواجب" أي بقدر ما يكون مكافئًا له. وقد ورد في الحديث الشريف: "والمؤمنون </w:t>
      </w:r>
      <w:proofErr w:type="spellStart"/>
      <w:r w:rsidRPr="00157377">
        <w:rPr>
          <w:rFonts w:ascii="Simplified Arabic" w:eastAsia="Calibri" w:hAnsi="Simplified Arabic" w:cs="Simplified Arabic"/>
          <w:sz w:val="28"/>
          <w:szCs w:val="28"/>
          <w:rtl/>
        </w:rPr>
        <w:t>تتكافأ</w:t>
      </w:r>
      <w:proofErr w:type="spellEnd"/>
      <w:r w:rsidRPr="00157377">
        <w:rPr>
          <w:rFonts w:ascii="Simplified Arabic" w:eastAsia="Calibri" w:hAnsi="Simplified Arabic" w:cs="Simplified Arabic"/>
          <w:sz w:val="28"/>
          <w:szCs w:val="28"/>
          <w:rtl/>
        </w:rPr>
        <w:t xml:space="preserve"> دماؤهم"، وفي حديث العقيقة: "شاتان متكافئتان" أي متساويتان في القدر. ويُقال أيضًا: "كافيتُه ساويتُه"، </w:t>
      </w:r>
      <w:proofErr w:type="spellStart"/>
      <w:r w:rsidRPr="00157377">
        <w:rPr>
          <w:rFonts w:ascii="Simplified Arabic" w:eastAsia="Calibri" w:hAnsi="Simplified Arabic" w:cs="Simplified Arabic"/>
          <w:sz w:val="28"/>
          <w:szCs w:val="28"/>
          <w:rtl/>
        </w:rPr>
        <w:t>و"كافأتُه</w:t>
      </w:r>
      <w:proofErr w:type="spellEnd"/>
      <w:r w:rsidRPr="00157377">
        <w:rPr>
          <w:rFonts w:ascii="Simplified Arabic" w:eastAsia="Calibri" w:hAnsi="Simplified Arabic" w:cs="Simplified Arabic"/>
          <w:sz w:val="28"/>
          <w:szCs w:val="28"/>
          <w:rtl/>
        </w:rPr>
        <w:t xml:space="preserve"> على صنيعه" أي جازيتُه جزاءً مكافئًا لما قام به، و"كفاه عن الشيء مكافأةً" أي جازاه. ويُستعمل التعبير "ما لي به قِيل ولا كِفاء" أي لا طاقة لي على مكافأته. وكل ما ساوى شيئًا آخر فهو مكافئ له، كما جاء في قوله تعالى: ﴿وَلَمْ يَكُنْ لَهُ كُفُوًا أَحَدٌ﴾ [الإخلاص: 4] أي لم يكن له مساوٍ ولا نظير(زكريا و مسعود، 2006، ص. 67–68)  </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hint="cs"/>
          <w:b/>
          <w:bCs/>
          <w:sz w:val="28"/>
          <w:szCs w:val="28"/>
          <w:rtl/>
        </w:rPr>
        <w:t>تعريف</w:t>
      </w:r>
      <w:r w:rsidRPr="00157377">
        <w:rPr>
          <w:rFonts w:ascii="Simplified Arabic" w:eastAsia="Calibri" w:hAnsi="Simplified Arabic" w:cs="Simplified Arabic"/>
          <w:b/>
          <w:bCs/>
          <w:sz w:val="28"/>
          <w:szCs w:val="28"/>
          <w:rtl/>
        </w:rPr>
        <w:t xml:space="preserve"> الكفاءة اصطلاحًا</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للكفاءة تعريفات متعددة، والجمع بينها يساعد على الاقتراب من معناها الحقيقي وتوضيح الرؤية حولها بشكل أشمل. وقد وردت في الأدبيات التربوية عدة صياغات، من أبرزها:</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تعريف </w:t>
      </w:r>
      <w:proofErr w:type="spellStart"/>
      <w:r w:rsidRPr="00157377">
        <w:rPr>
          <w:rFonts w:ascii="Simplified Arabic" w:eastAsia="Calibri" w:hAnsi="Simplified Arabic" w:cs="Simplified Arabic"/>
          <w:sz w:val="28"/>
          <w:szCs w:val="28"/>
          <w:rtl/>
        </w:rPr>
        <w:t>جواكيم</w:t>
      </w:r>
      <w:proofErr w:type="spellEnd"/>
      <w:r w:rsidRPr="00157377">
        <w:rPr>
          <w:rFonts w:ascii="Simplified Arabic" w:eastAsia="Calibri" w:hAnsi="Simplified Arabic" w:cs="Simplified Arabic"/>
          <w:sz w:val="28"/>
          <w:szCs w:val="28"/>
          <w:rtl/>
        </w:rPr>
        <w:t xml:space="preserve"> </w:t>
      </w:r>
      <w:proofErr w:type="spellStart"/>
      <w:r w:rsidRPr="00157377">
        <w:rPr>
          <w:rFonts w:ascii="Simplified Arabic" w:eastAsia="Calibri" w:hAnsi="Simplified Arabic" w:cs="Simplified Arabic"/>
          <w:sz w:val="28"/>
          <w:szCs w:val="28"/>
          <w:rtl/>
        </w:rPr>
        <w:t>دولز</w:t>
      </w:r>
      <w:proofErr w:type="spellEnd"/>
      <w:r w:rsidRPr="00157377">
        <w:rPr>
          <w:rFonts w:ascii="Simplified Arabic" w:eastAsia="Calibri" w:hAnsi="Simplified Arabic" w:cs="Simplified Arabic"/>
          <w:sz w:val="28"/>
          <w:szCs w:val="28"/>
          <w:rtl/>
        </w:rPr>
        <w:t>: يُنظر إلى الكفاءة باعتبارها شبكة متكاملة من المكونات المعرفية والوجدانية والاجتماعية والحس</w:t>
      </w:r>
      <w:r w:rsidRPr="00157377">
        <w:rPr>
          <w:rFonts w:ascii="Simplified Arabic" w:eastAsia="Calibri" w:hAnsi="Simplified Arabic" w:cs="Simplified Arabic" w:hint="cs"/>
          <w:sz w:val="28"/>
          <w:szCs w:val="28"/>
          <w:rtl/>
        </w:rPr>
        <w:t xml:space="preserve"> </w:t>
      </w:r>
      <w:r w:rsidRPr="00157377">
        <w:rPr>
          <w:rFonts w:ascii="Simplified Arabic" w:eastAsia="Calibri" w:hAnsi="Simplified Arabic" w:cs="Simplified Arabic"/>
          <w:sz w:val="28"/>
          <w:szCs w:val="28"/>
          <w:rtl/>
        </w:rPr>
        <w:t xml:space="preserve">حركية، يتم توظيفها داخل مجموعة من الوضعيات، وتُوجَّه نحو غاية محددة. ويُبرز هذا التعريف أن الكفاءة ليست عنصرًا منفردًا، بل هي منظومة متضافرة من مكونات مختلفة، تُستثمر جميعها لمجابهة وضعية معينة، وتُسخَّر لتحقيق هدف محدد. (الصيد, 2023 , ص 41) </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تعريف </w:t>
      </w:r>
      <w:proofErr w:type="spellStart"/>
      <w:r w:rsidRPr="00157377">
        <w:rPr>
          <w:rFonts w:ascii="Simplified Arabic" w:eastAsia="Calibri" w:hAnsi="Simplified Arabic" w:cs="Simplified Arabic"/>
          <w:sz w:val="28"/>
          <w:szCs w:val="28"/>
          <w:rtl/>
        </w:rPr>
        <w:t>بوتورف</w:t>
      </w:r>
      <w:proofErr w:type="spellEnd"/>
      <w:r w:rsidRPr="00157377">
        <w:rPr>
          <w:rFonts w:ascii="Simplified Arabic" w:eastAsia="Calibri" w:hAnsi="Simplified Arabic" w:cs="Simplified Arabic"/>
          <w:sz w:val="28"/>
          <w:szCs w:val="28"/>
          <w:rtl/>
        </w:rPr>
        <w:t>: حيث يرى أن الكفاءة ليست مجرد حالة أو معرفة مكتسبة، إذ إن امتلاك الفرد لمعارف أو قدرات (مهارات) لا يعني بالضرورة أنه أصبح كفؤًا. فقد يكون الشخص ملمًّا بمبادئ المحاسبة أو التدبير، لكن الكفاءة تتحقق فقط عندما يتم توظيف هذه المعارف والقدرات في الوقت المناسب والمكان المناسب ومن هنا، فإن الكفاءة تُكتسب أثناء ممارسة نشاط معين، حيث يتم تجنيد المعارف والقدرات وتوظيفها بشكل ملائم، ولا يمكن أن تُكتسب من فراغ أو عبر التلقي السلبي(الصيد, 2023 , ص 41)</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lastRenderedPageBreak/>
        <w:t xml:space="preserve">تعريف </w:t>
      </w:r>
      <w:proofErr w:type="spellStart"/>
      <w:r w:rsidRPr="00157377">
        <w:rPr>
          <w:rFonts w:ascii="Simplified Arabic" w:eastAsia="Calibri" w:hAnsi="Simplified Arabic" w:cs="Simplified Arabic"/>
          <w:b/>
          <w:bCs/>
          <w:sz w:val="28"/>
          <w:szCs w:val="28"/>
          <w:rtl/>
        </w:rPr>
        <w:t>بيرينو</w:t>
      </w:r>
      <w:proofErr w:type="spellEnd"/>
      <w:r w:rsidRPr="00157377">
        <w:rPr>
          <w:rFonts w:ascii="Simplified Arabic" w:eastAsia="Calibri" w:hAnsi="Simplified Arabic" w:cs="Simplified Arabic"/>
          <w:b/>
          <w:bCs/>
          <w:sz w:val="28"/>
          <w:szCs w:val="28"/>
          <w:rtl/>
        </w:rPr>
        <w:t xml:space="preserve"> (</w:t>
      </w:r>
      <w:proofErr w:type="spellStart"/>
      <w:r w:rsidRPr="00157377">
        <w:rPr>
          <w:rFonts w:ascii="Simplified Arabic" w:eastAsia="Calibri" w:hAnsi="Simplified Arabic" w:cs="Simplified Arabic"/>
          <w:b/>
          <w:bCs/>
          <w:sz w:val="28"/>
          <w:szCs w:val="28"/>
        </w:rPr>
        <w:t>Perrenoud</w:t>
      </w:r>
      <w:proofErr w:type="spellEnd"/>
      <w:r w:rsidRPr="00157377">
        <w:rPr>
          <w:rFonts w:ascii="Simplified Arabic" w:eastAsia="Calibri" w:hAnsi="Simplified Arabic" w:cs="Simplified Arabic"/>
          <w:b/>
          <w:bCs/>
          <w:sz w:val="28"/>
          <w:szCs w:val="28"/>
        </w:rPr>
        <w:t>, 1997</w:t>
      </w:r>
      <w:r w:rsidRPr="00157377">
        <w:rPr>
          <w:rFonts w:ascii="Simplified Arabic" w:eastAsia="Calibri" w:hAnsi="Simplified Arabic" w:cs="Simplified Arabic"/>
          <w:b/>
          <w:bCs/>
          <w:sz w:val="28"/>
          <w:szCs w:val="28"/>
          <w:rtl/>
        </w:rPr>
        <w:t>):</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يحصر الكفاءة في كونها القدرة على الفعل الناجع في وضعية معينة. ويُبرز هذا التعريف البعد العملي للكفاءة باعتبارها قدرة على الإنجاز الفعّال في سياق محدد.</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w:t>
      </w:r>
      <w:proofErr w:type="spellStart"/>
      <w:r w:rsidRPr="00157377">
        <w:rPr>
          <w:rFonts w:ascii="Simplified Arabic" w:eastAsia="Calibri" w:hAnsi="Simplified Arabic" w:cs="Simplified Arabic"/>
          <w:sz w:val="28"/>
          <w:szCs w:val="28"/>
          <w:rtl/>
        </w:rPr>
        <w:t>بوسمان</w:t>
      </w:r>
      <w:proofErr w:type="spellEnd"/>
      <w:r w:rsidRPr="00157377">
        <w:rPr>
          <w:rFonts w:ascii="Simplified Arabic" w:eastAsia="Calibri" w:hAnsi="Simplified Arabic" w:cs="Simplified Arabic"/>
          <w:sz w:val="28"/>
          <w:szCs w:val="28"/>
          <w:rtl/>
        </w:rPr>
        <w:t xml:space="preserve"> وآخرون، 2005، ص. 76)  </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تعريف واعلي  حيث يرى أن الكفاءة عبارة عن شبكة مدمجة ووظيفية تتكون من عدة مكونات:</w:t>
      </w:r>
    </w:p>
    <w:p w:rsidR="00157377" w:rsidRPr="00157377" w:rsidRDefault="00157377" w:rsidP="00157377">
      <w:pPr>
        <w:numPr>
          <w:ilvl w:val="0"/>
          <w:numId w:val="9"/>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مكونات عقلية: تشمل المعارف السردية والمنهجية والشرطية.</w:t>
      </w:r>
    </w:p>
    <w:p w:rsidR="00157377" w:rsidRPr="00157377" w:rsidRDefault="00157377" w:rsidP="00157377">
      <w:pPr>
        <w:numPr>
          <w:ilvl w:val="0"/>
          <w:numId w:val="9"/>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مكونات وجدانية: تتضمن الاتجاهات والقيم والميول والدافعية.</w:t>
      </w:r>
    </w:p>
    <w:p w:rsidR="00157377" w:rsidRPr="00157377" w:rsidRDefault="00157377" w:rsidP="00157377">
      <w:pPr>
        <w:numPr>
          <w:ilvl w:val="0"/>
          <w:numId w:val="9"/>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مكونات اجتماعية: تتجلى في صور التفاعل الاجتماعي مثل قبول الرأي والرأي المخالف.</w:t>
      </w:r>
    </w:p>
    <w:p w:rsidR="00157377" w:rsidRPr="00157377" w:rsidRDefault="00157377" w:rsidP="00157377">
      <w:pPr>
        <w:numPr>
          <w:ilvl w:val="0"/>
          <w:numId w:val="9"/>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مكونات حس–حركية: وتشمل التآزر الحركي.</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وتُجنّد هذه المكونات جميعًا في عمليات هادفة ضمن عائلة من الوضعيات، ترتكز على امتلاك الفرد لطرق التفاعل والوسائل الثقافية والاجتماعية.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(واعلي، 2006، ص. 21)  </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b/>
          <w:bCs/>
          <w:sz w:val="28"/>
          <w:szCs w:val="28"/>
          <w:rtl/>
        </w:rPr>
        <w:t xml:space="preserve">تعريف قلّي </w:t>
      </w:r>
      <w:proofErr w:type="spellStart"/>
      <w:r w:rsidRPr="00157377">
        <w:rPr>
          <w:rFonts w:ascii="Simplified Arabic" w:eastAsia="Calibri" w:hAnsi="Simplified Arabic" w:cs="Simplified Arabic"/>
          <w:b/>
          <w:bCs/>
          <w:sz w:val="28"/>
          <w:szCs w:val="28"/>
          <w:rtl/>
        </w:rPr>
        <w:t>وحنّاش</w:t>
      </w:r>
      <w:proofErr w:type="spellEnd"/>
      <w:r w:rsidRPr="00157377">
        <w:rPr>
          <w:rFonts w:ascii="Simplified Arabic" w:eastAsia="Calibri" w:hAnsi="Simplified Arabic" w:cs="Simplified Arabic"/>
          <w:b/>
          <w:bCs/>
          <w:sz w:val="28"/>
          <w:szCs w:val="28"/>
          <w:rtl/>
        </w:rPr>
        <w:t>:</w:t>
      </w:r>
      <w:r w:rsidRPr="00157377">
        <w:rPr>
          <w:rFonts w:ascii="Simplified Arabic" w:eastAsia="Calibri" w:hAnsi="Simplified Arabic" w:cs="Simplified Arabic"/>
          <w:sz w:val="28"/>
          <w:szCs w:val="28"/>
          <w:rtl/>
        </w:rPr>
        <w:t xml:space="preserve"> حيث يُعرّفان الكفاءة من منظور مدرسي بأنها مجموعة مندمجة من الأهداف المميزة تتحقق في نهاية فترة تعليمية أو مرحلة دراسية، وتظهر في صيغة وضعيات تواصلية دالة لها علاقة بحياة التلميذ. وهي أيضًا مجموعة من المعارف والمفاهيم والمهارات والاتجاهات التي يكتسبها المتعلم نتيجة إعداده في برنامج تعليمي معين، بحيث توجه سلوكه وترتقي بأدائه إلى مستوى التمكن الذي يسمح له بممارسة مهنته بسهولة ويسر.</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(قلي و </w:t>
      </w:r>
      <w:proofErr w:type="spellStart"/>
      <w:r w:rsidRPr="00157377">
        <w:rPr>
          <w:rFonts w:ascii="Simplified Arabic" w:eastAsia="Calibri" w:hAnsi="Simplified Arabic" w:cs="Simplified Arabic"/>
          <w:sz w:val="28"/>
          <w:szCs w:val="28"/>
          <w:rtl/>
        </w:rPr>
        <w:t>حناش</w:t>
      </w:r>
      <w:proofErr w:type="spellEnd"/>
      <w:r w:rsidRPr="00157377">
        <w:rPr>
          <w:rFonts w:ascii="Simplified Arabic" w:eastAsia="Calibri" w:hAnsi="Simplified Arabic" w:cs="Simplified Arabic"/>
          <w:sz w:val="28"/>
          <w:szCs w:val="28"/>
          <w:rtl/>
        </w:rPr>
        <w:t xml:space="preserve"> ، ص. 140)  </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يتضح من هذه التعريفات أن الكفاءة ليست مجرد معرفة أو مهارة منفردة، بل هي بنية متكاملة تضم مكونات معرفية، وجدانية، اجتماعية، وحس–حركية، تُوظَّف جميعًا في مواجهة وضعيات ومواقف معينة. (الصيد, 2023 , ص 42)</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ويُبرز </w:t>
      </w:r>
      <w:proofErr w:type="spellStart"/>
      <w:r w:rsidRPr="00157377">
        <w:rPr>
          <w:rFonts w:ascii="Simplified Arabic" w:eastAsia="Calibri" w:hAnsi="Simplified Arabic" w:cs="Simplified Arabic"/>
          <w:sz w:val="28"/>
          <w:szCs w:val="28"/>
          <w:rtl/>
        </w:rPr>
        <w:t>بيرينو</w:t>
      </w:r>
      <w:proofErr w:type="spellEnd"/>
      <w:r w:rsidRPr="00157377">
        <w:rPr>
          <w:rFonts w:ascii="Simplified Arabic" w:eastAsia="Calibri" w:hAnsi="Simplified Arabic" w:cs="Simplified Arabic"/>
          <w:sz w:val="28"/>
          <w:szCs w:val="28"/>
          <w:rtl/>
        </w:rPr>
        <w:t xml:space="preserve"> البعد العملي للكفاءة باعتبارها فعلًا ناجعًا، بينما يركز </w:t>
      </w:r>
      <w:proofErr w:type="spellStart"/>
      <w:r w:rsidRPr="00157377">
        <w:rPr>
          <w:rFonts w:ascii="Simplified Arabic" w:eastAsia="Calibri" w:hAnsi="Simplified Arabic" w:cs="Simplified Arabic"/>
          <w:sz w:val="28"/>
          <w:szCs w:val="28"/>
          <w:rtl/>
        </w:rPr>
        <w:t>دولز</w:t>
      </w:r>
      <w:proofErr w:type="spellEnd"/>
      <w:r w:rsidRPr="00157377">
        <w:rPr>
          <w:rFonts w:ascii="Simplified Arabic" w:eastAsia="Calibri" w:hAnsi="Simplified Arabic" w:cs="Simplified Arabic"/>
          <w:sz w:val="28"/>
          <w:szCs w:val="28"/>
          <w:rtl/>
        </w:rPr>
        <w:t xml:space="preserve"> وعلال على كونها شبكة متضافرة من المكونات، في حين يربط قلّي </w:t>
      </w:r>
      <w:proofErr w:type="spellStart"/>
      <w:r w:rsidRPr="00157377">
        <w:rPr>
          <w:rFonts w:ascii="Simplified Arabic" w:eastAsia="Calibri" w:hAnsi="Simplified Arabic" w:cs="Simplified Arabic"/>
          <w:sz w:val="28"/>
          <w:szCs w:val="28"/>
          <w:rtl/>
        </w:rPr>
        <w:t>وحنّاش</w:t>
      </w:r>
      <w:proofErr w:type="spellEnd"/>
      <w:r w:rsidRPr="00157377">
        <w:rPr>
          <w:rFonts w:ascii="Simplified Arabic" w:eastAsia="Calibri" w:hAnsi="Simplified Arabic" w:cs="Simplified Arabic"/>
          <w:sz w:val="28"/>
          <w:szCs w:val="28"/>
          <w:rtl/>
        </w:rPr>
        <w:t xml:space="preserve"> الكفاءة بالبعد المدرسي التطبيقي الذي يترجم في وضعيات تعليمية مرتبطة بحياة المتعلم.</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(الصيد, 2023 , ص 42)</w:t>
      </w:r>
    </w:p>
    <w:p w:rsidR="00157377" w:rsidRPr="00157377" w:rsidRDefault="00157377" w:rsidP="00157377">
      <w:pPr>
        <w:jc w:val="both"/>
        <w:rPr>
          <w:rFonts w:ascii="Simplified Arabic" w:eastAsia="Calibri" w:hAnsi="Simplified Arabic" w:cs="Simplified Arabic"/>
          <w:b/>
          <w:bCs/>
          <w:sz w:val="28"/>
          <w:szCs w:val="28"/>
          <w:rtl/>
        </w:rPr>
      </w:pPr>
    </w:p>
    <w:p w:rsidR="00157377" w:rsidRDefault="00157377" w:rsidP="00157377">
      <w:pPr>
        <w:jc w:val="both"/>
        <w:rPr>
          <w:rFonts w:ascii="Simplified Arabic" w:eastAsia="Calibri" w:hAnsi="Simplified Arabic" w:cs="Simplified Arabic" w:hint="cs"/>
          <w:b/>
          <w:bCs/>
          <w:sz w:val="28"/>
          <w:szCs w:val="28"/>
          <w:rtl/>
        </w:rPr>
      </w:pPr>
    </w:p>
    <w:p w:rsidR="00157377" w:rsidRPr="00157377" w:rsidRDefault="00157377" w:rsidP="00157377">
      <w:pPr>
        <w:jc w:val="both"/>
        <w:rPr>
          <w:rFonts w:ascii="Simplified Arabic" w:eastAsia="Calibri" w:hAnsi="Simplified Arabic" w:cs="Simplified Arabic"/>
          <w:b/>
          <w:bCs/>
          <w:sz w:val="28"/>
          <w:szCs w:val="28"/>
          <w:rtl/>
        </w:rPr>
      </w:pP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lastRenderedPageBreak/>
        <w:t xml:space="preserve">البنية المعمارية للكفاءة </w:t>
      </w:r>
    </w:p>
    <w:p w:rsidR="00157377" w:rsidRPr="00157377" w:rsidRDefault="00157377" w:rsidP="00157377">
      <w:pPr>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إن الكفاءة، في جوهرها، ليست مجرد امتلاك معارف أو مهارات منفردة، بل هي بناء معماري متكامل يتشكل من مستويات متداخلة ومترابطة، تبدأ من مواجهة الفرد لوضعية معينة وتنتهي بقدرته على تجاوزها بنجاح. ويمكن توصيف هذه المستويات على النحو التالي:</w:t>
      </w:r>
    </w:p>
    <w:p w:rsidR="00157377" w:rsidRPr="00157377" w:rsidRDefault="00157377" w:rsidP="00157377">
      <w:pPr>
        <w:numPr>
          <w:ilvl w:val="0"/>
          <w:numId w:val="12"/>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الوضعية كنقطة انطلاق: حيث أن الكفاءة لا تظهر إلا في سياق مواجهة وضعية أو مشكلة تتطلب فعلًا ناجعًا. هذه الوضعية قد تكون تعليمية (حل تمرين، إنجاز مشروع)، أو مهنية (اتخاذ قرار، معالجة موقف عملي)، أو حياتية يومية (التفاعل الاجتماعي، حل نزاع). فهي المعيار الأساسي الذي يُظهر مدى قدرة الفرد على تحويل موارده إلى فعل فعّال.</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(الصيد, 2023 , ص 44)</w:t>
      </w:r>
    </w:p>
    <w:p w:rsidR="00157377" w:rsidRPr="00157377" w:rsidRDefault="00157377" w:rsidP="00157377">
      <w:pPr>
        <w:numPr>
          <w:ilvl w:val="0"/>
          <w:numId w:val="12"/>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تجنيد الموارد في مستوى الكفاءة: عندما يواجه الفرد الوضعية، فإنه يستدعي موارد داخلية مثل المعارف، التصورات، المهارات العقلية والحركية، والاتجاهات، إلى جانب موارد خارجية مثل الأدوات، الوسائط، الوثائق، والدعم الاجتماعي. نجاح الكفاءة يتوقف على قدرة الفرد على تنسيق هذه الموارد وملاءمتها مع متطلبات الوضعية.</w:t>
      </w:r>
    </w:p>
    <w:p w:rsidR="00157377" w:rsidRPr="00157377" w:rsidRDefault="00157377" w:rsidP="00157377">
      <w:pPr>
        <w:numPr>
          <w:ilvl w:val="0"/>
          <w:numId w:val="12"/>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القدرات كحلقة وسيطة: وذلك من بين الموارد المتاحة، يختار الفرد قدرات محددة (كالتحليل، التنظيم، التواصل، أو التآزر الحركي) ويُمفصلها فيما بينها، ثم يدمجها مع الموارد الأخرى لتشكيل شبكة إجرائية تساعده على معالجة الوضعية. القدرات هنا تمثل الجسر الذي يربط بين الموارد العامة والفعل العملي.</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(الصيد, 2023 , ص 44)</w:t>
      </w:r>
    </w:p>
    <w:p w:rsidR="00157377" w:rsidRPr="00157377" w:rsidRDefault="00157377" w:rsidP="00157377">
      <w:pPr>
        <w:numPr>
          <w:ilvl w:val="0"/>
          <w:numId w:val="12"/>
        </w:numPr>
        <w:spacing w:after="16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المهارات كأداة تشغيلية: حيث القدرات المختارة تُترجم إلى مهارات عملية تُوظَّف مباشرة في مواجهة الوضعية. هذه المهارات قد تكون معرفية (حل مسألة رياضية)، وجدانية (ضبط الانفعالات)، اجتماعية (التفاوض)، أو حس–حركية (تنفيذ عمل يدوي). المهارات هي الوجه التطبيقي للكفاءة، الذي يُظهر مدى تمكن الفرد من تحويل القدرات إلى أداء ملموس.</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(الصيد, 2023 , ص 45)</w:t>
      </w:r>
    </w:p>
    <w:p w:rsidR="00157377" w:rsidRDefault="00157377" w:rsidP="00157377">
      <w:pPr>
        <w:numPr>
          <w:ilvl w:val="0"/>
          <w:numId w:val="12"/>
        </w:numPr>
        <w:spacing w:after="160" w:line="259" w:lineRule="auto"/>
        <w:contextualSpacing/>
        <w:jc w:val="both"/>
        <w:rPr>
          <w:rFonts w:ascii="Simplified Arabic" w:eastAsia="Calibri" w:hAnsi="Simplified Arabic" w:cs="Simplified Arabic" w:hint="cs"/>
          <w:sz w:val="28"/>
          <w:szCs w:val="28"/>
        </w:rPr>
      </w:pPr>
      <w:r w:rsidRPr="00157377">
        <w:rPr>
          <w:rFonts w:ascii="Simplified Arabic" w:eastAsia="Calibri" w:hAnsi="Simplified Arabic" w:cs="Simplified Arabic"/>
          <w:sz w:val="28"/>
          <w:szCs w:val="28"/>
          <w:rtl/>
        </w:rPr>
        <w:t xml:space="preserve">المضامين والمعرفية: حيث أن  المعارف والمضامين النظرية تغذي المهارات والقدرات، وتمنحها محتوى ومعنى. فهي تمثل قاعدة معرفية تُعين الفرد على تجاوز الوضعية إذا كانت متوافقة مع حاجاته، وقد </w:t>
      </w:r>
      <w:proofErr w:type="spellStart"/>
      <w:r w:rsidRPr="00157377">
        <w:rPr>
          <w:rFonts w:ascii="Simplified Arabic" w:eastAsia="Calibri" w:hAnsi="Simplified Arabic" w:cs="Simplified Arabic"/>
          <w:sz w:val="28"/>
          <w:szCs w:val="28"/>
          <w:rtl/>
        </w:rPr>
        <w:t>تُعيقه</w:t>
      </w:r>
      <w:proofErr w:type="spellEnd"/>
      <w:r w:rsidRPr="00157377">
        <w:rPr>
          <w:rFonts w:ascii="Simplified Arabic" w:eastAsia="Calibri" w:hAnsi="Simplified Arabic" w:cs="Simplified Arabic"/>
          <w:sz w:val="28"/>
          <w:szCs w:val="28"/>
          <w:rtl/>
        </w:rPr>
        <w:t xml:space="preserve"> إذا لم تكن ملائمة أو غير مرتبطة بالسياق(الصيد, 2023 , ص 45)</w:t>
      </w:r>
    </w:p>
    <w:p w:rsidR="00157377" w:rsidRDefault="00157377" w:rsidP="00157377">
      <w:pPr>
        <w:spacing w:after="160" w:line="259" w:lineRule="auto"/>
        <w:contextualSpacing/>
        <w:jc w:val="both"/>
        <w:rPr>
          <w:rFonts w:ascii="Simplified Arabic" w:eastAsia="Calibri" w:hAnsi="Simplified Arabic" w:cs="Simplified Arabic" w:hint="cs"/>
          <w:sz w:val="28"/>
          <w:szCs w:val="28"/>
          <w:rtl/>
        </w:rPr>
      </w:pPr>
    </w:p>
    <w:p w:rsidR="00157377" w:rsidRPr="00157377" w:rsidRDefault="00157377" w:rsidP="00157377">
      <w:pPr>
        <w:spacing w:after="160" w:line="259" w:lineRule="auto"/>
        <w:contextualSpacing/>
        <w:jc w:val="both"/>
        <w:rPr>
          <w:rFonts w:ascii="Simplified Arabic" w:eastAsia="Calibri" w:hAnsi="Simplified Arabic" w:cs="Simplified Arabic"/>
          <w:sz w:val="28"/>
          <w:szCs w:val="28"/>
        </w:rPr>
      </w:pPr>
    </w:p>
    <w:p w:rsidR="00157377" w:rsidRPr="00157377" w:rsidRDefault="00157377" w:rsidP="00157377">
      <w:pPr>
        <w:spacing w:after="0"/>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lastRenderedPageBreak/>
        <w:t>خصائص الكفاءة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تتسم الكفاءة بجملة من الخصائص البنيوية والوظيفية التي تحدد طبيعتها وآليات بنائها وممارستها داخل السياقات التعليمية والمهنية. وفيما يلي صياغة أكاديمية منظمة لهذه الخصائص:</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الارتباط بالوضعيات ضمن مجال واحد وذلك  من خلال  : </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تحقق الكفاءة داخل وضعيات المجال الواحد</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تتجسد الكفاءة بصورة ملموسة عندما تُمارَس داخل وضعيات متقاربة تنتمي إلى مجال معرفي أو مهني موحّد، إذ يسمح هذا الاتساق بتراكم خبرة وظيفية قابلة للنقل داخل نفس العائلة من المشكلات. كل وضعية تقدّم تحديًا محدّدًا، ومعالجتها تقتضي استدعاء البنية نفسها من الموارد، ما يضمن اتساق الأداء وعدم تشتته عبر سياقات متباينة. التنوع المقبول هنا هو تنوع مضبوط يعيد تشكيل المتطلبات ضمن حدود المجال ذاته، كاختلاف درجات التعقيد أو المتغيرات السياقية دون كسر قواعد الاشتغال الأساسية. بهذا الترتيب، يصبح التقدم في الكفاءة أقرب إلى “منحنى تعلّم” يتصاعد عبر الاحتكاك المتكرر بوضعيات متماسكة، فتترسخ الأنماط الإجرائية وتتحسّن سرعة ودقّة الاستجابة.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w:t>
      </w:r>
      <w:proofErr w:type="spellStart"/>
      <w:r w:rsidRPr="00157377">
        <w:rPr>
          <w:rFonts w:ascii="Simplified Arabic" w:eastAsia="Calibri" w:hAnsi="Simplified Arabic" w:cs="Simplified Arabic"/>
          <w:sz w:val="28"/>
          <w:szCs w:val="28"/>
          <w:rtl/>
        </w:rPr>
        <w:t>حتروبي</w:t>
      </w:r>
      <w:proofErr w:type="spellEnd"/>
      <w:r w:rsidRPr="00157377">
        <w:rPr>
          <w:rFonts w:ascii="Simplified Arabic" w:eastAsia="Calibri" w:hAnsi="Simplified Arabic" w:cs="Simplified Arabic"/>
          <w:sz w:val="28"/>
          <w:szCs w:val="28"/>
          <w:rtl/>
        </w:rPr>
        <w:t xml:space="preserve">، 2002، ص. 44)  </w:t>
      </w:r>
    </w:p>
    <w:p w:rsidR="00157377" w:rsidRPr="00157377" w:rsidRDefault="00157377" w:rsidP="00157377">
      <w:pPr>
        <w:numPr>
          <w:ilvl w:val="0"/>
          <w:numId w:val="13"/>
        </w:numPr>
        <w:spacing w:after="0" w:line="259"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مبدأ الاتساق: الحفاظ على وحدة المجال يضبط المعايير ويقلّل الضوضاء المعرفية.</w:t>
      </w:r>
    </w:p>
    <w:p w:rsidR="00157377" w:rsidRPr="00157377" w:rsidRDefault="00157377" w:rsidP="00157377">
      <w:pPr>
        <w:numPr>
          <w:ilvl w:val="0"/>
          <w:numId w:val="13"/>
        </w:numPr>
        <w:spacing w:after="0" w:line="259"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التعلم بالتدرّج: الانتقال من وضعيات بسيطة إلى مركّبة داخل المجال ذاته يعمّق التمكن.</w:t>
      </w:r>
    </w:p>
    <w:p w:rsidR="00157377" w:rsidRPr="00157377" w:rsidRDefault="00157377" w:rsidP="00157377">
      <w:pPr>
        <w:numPr>
          <w:ilvl w:val="0"/>
          <w:numId w:val="13"/>
        </w:numPr>
        <w:spacing w:after="0" w:line="259"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الأثر التراكمي: الخبرة المتولّدة من التفاعل بين الوضعيات تصنع بنية أداء مستقرة.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w:t>
      </w:r>
      <w:proofErr w:type="spellStart"/>
      <w:r w:rsidRPr="00157377">
        <w:rPr>
          <w:rFonts w:ascii="Simplified Arabic" w:eastAsia="Calibri" w:hAnsi="Simplified Arabic" w:cs="Simplified Arabic"/>
          <w:sz w:val="28"/>
          <w:szCs w:val="28"/>
          <w:rtl/>
        </w:rPr>
        <w:t>بومقورة</w:t>
      </w:r>
      <w:proofErr w:type="spellEnd"/>
      <w:r w:rsidRPr="00157377">
        <w:rPr>
          <w:rFonts w:ascii="Simplified Arabic" w:eastAsia="Calibri" w:hAnsi="Simplified Arabic" w:cs="Simplified Arabic"/>
          <w:sz w:val="28"/>
          <w:szCs w:val="28"/>
          <w:rtl/>
        </w:rPr>
        <w:t>، 2011، ص. 42)</w:t>
      </w:r>
    </w:p>
    <w:p w:rsidR="00157377" w:rsidRPr="00157377" w:rsidRDefault="00157377" w:rsidP="00157377">
      <w:pPr>
        <w:spacing w:after="0"/>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ارتباط الكفاءة بالمحتوى والمعرفة التخصصية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تُعرَّف الكفاءة من خلال محتوى معرفي محدد يزوّدها بالمفاهيم والأدوات واللغة اللازمة للفعل، فالمحتوى لا يُعدّ زخرفًا نظريًا؛ بل هو البنية التحتية التي تُغذّي القرارات والسلوكيات أثناء الأداء. غالبًا ما تعتمد الكفاءة على مادة واحدة كمصدر رئيسي، لكن الكفاءات المركّبة تستلزم تداخلًا بين مواد أو حقول متجاورة، مثل تقاطع الإحصاء مع منهجية البحث وتحليل البيانات. أما الكفاءات العرضية، فتتحرك أفقيًا بين المجالات عندما تكون اللغة أو الوسائط أو المنطق </w:t>
      </w:r>
      <w:proofErr w:type="spellStart"/>
      <w:r w:rsidRPr="00157377">
        <w:rPr>
          <w:rFonts w:ascii="Simplified Arabic" w:eastAsia="Calibri" w:hAnsi="Simplified Arabic" w:cs="Simplified Arabic"/>
          <w:sz w:val="28"/>
          <w:szCs w:val="28"/>
          <w:rtl/>
        </w:rPr>
        <w:t>المفاهيمي</w:t>
      </w:r>
      <w:proofErr w:type="spellEnd"/>
      <w:r w:rsidRPr="00157377">
        <w:rPr>
          <w:rFonts w:ascii="Simplified Arabic" w:eastAsia="Calibri" w:hAnsi="Simplified Arabic" w:cs="Simplified Arabic"/>
          <w:sz w:val="28"/>
          <w:szCs w:val="28"/>
          <w:rtl/>
        </w:rPr>
        <w:t xml:space="preserve"> مشتركًا، فتتحول مهارة التعبير أو القراءة النقدية إلى رافعة تعزز الأداء في مواد متعدّدة.</w:t>
      </w:r>
    </w:p>
    <w:p w:rsidR="00157377" w:rsidRDefault="00157377" w:rsidP="00157377">
      <w:pPr>
        <w:numPr>
          <w:ilvl w:val="0"/>
          <w:numId w:val="14"/>
        </w:numPr>
        <w:spacing w:after="0" w:line="259" w:lineRule="auto"/>
        <w:jc w:val="both"/>
        <w:rPr>
          <w:rFonts w:ascii="Simplified Arabic" w:eastAsia="Calibri" w:hAnsi="Simplified Arabic" w:cs="Simplified Arabic" w:hint="cs"/>
          <w:sz w:val="28"/>
          <w:szCs w:val="28"/>
        </w:rPr>
      </w:pPr>
      <w:r w:rsidRPr="00157377">
        <w:rPr>
          <w:rFonts w:ascii="Simplified Arabic" w:eastAsia="Calibri" w:hAnsi="Simplified Arabic" w:cs="Simplified Arabic"/>
          <w:sz w:val="28"/>
          <w:szCs w:val="28"/>
          <w:rtl/>
        </w:rPr>
        <w:t>المحتوى كرافعة: يمدّ الأداء بمفاهيم دقيقة وأدوات تطبيقية.</w:t>
      </w:r>
      <w:r w:rsidRPr="00157377">
        <w:rPr>
          <w:rtl/>
        </w:rPr>
        <w:t xml:space="preserve"> </w:t>
      </w:r>
      <w:r w:rsidRPr="00157377">
        <w:rPr>
          <w:rFonts w:ascii="Simplified Arabic" w:eastAsia="Calibri" w:hAnsi="Simplified Arabic" w:cs="Simplified Arabic"/>
          <w:sz w:val="28"/>
          <w:szCs w:val="28"/>
          <w:rtl/>
        </w:rPr>
        <w:t>(</w:t>
      </w:r>
      <w:proofErr w:type="spellStart"/>
      <w:r w:rsidRPr="00157377">
        <w:rPr>
          <w:rFonts w:ascii="Simplified Arabic" w:eastAsia="Calibri" w:hAnsi="Simplified Arabic" w:cs="Simplified Arabic"/>
          <w:sz w:val="28"/>
          <w:szCs w:val="28"/>
          <w:rtl/>
        </w:rPr>
        <w:t>بوكرمة</w:t>
      </w:r>
      <w:proofErr w:type="spellEnd"/>
      <w:r w:rsidRPr="00157377">
        <w:rPr>
          <w:rFonts w:ascii="Simplified Arabic" w:eastAsia="Calibri" w:hAnsi="Simplified Arabic" w:cs="Simplified Arabic"/>
          <w:sz w:val="28"/>
          <w:szCs w:val="28"/>
          <w:rtl/>
        </w:rPr>
        <w:t xml:space="preserve"> و </w:t>
      </w:r>
      <w:proofErr w:type="spellStart"/>
      <w:r w:rsidRPr="00157377">
        <w:rPr>
          <w:rFonts w:ascii="Simplified Arabic" w:eastAsia="Calibri" w:hAnsi="Simplified Arabic" w:cs="Simplified Arabic"/>
          <w:sz w:val="28"/>
          <w:szCs w:val="28"/>
          <w:rtl/>
        </w:rPr>
        <w:t>دحدي</w:t>
      </w:r>
      <w:proofErr w:type="spellEnd"/>
      <w:r w:rsidRPr="00157377">
        <w:rPr>
          <w:rFonts w:ascii="Simplified Arabic" w:eastAsia="Calibri" w:hAnsi="Simplified Arabic" w:cs="Simplified Arabic"/>
          <w:sz w:val="28"/>
          <w:szCs w:val="28"/>
          <w:rtl/>
        </w:rPr>
        <w:t xml:space="preserve">، 2011، ص. 489)  </w:t>
      </w:r>
    </w:p>
    <w:p w:rsidR="00157377" w:rsidRPr="00157377" w:rsidRDefault="00157377" w:rsidP="00157377">
      <w:pPr>
        <w:spacing w:after="0" w:line="259" w:lineRule="auto"/>
        <w:ind w:left="1080"/>
        <w:jc w:val="both"/>
        <w:rPr>
          <w:rFonts w:ascii="Simplified Arabic" w:eastAsia="Calibri" w:hAnsi="Simplified Arabic" w:cs="Simplified Arabic"/>
          <w:sz w:val="28"/>
          <w:szCs w:val="28"/>
          <w:rtl/>
        </w:rPr>
      </w:pPr>
    </w:p>
    <w:p w:rsidR="00157377" w:rsidRPr="00157377" w:rsidRDefault="00157377" w:rsidP="00157377">
      <w:pPr>
        <w:numPr>
          <w:ilvl w:val="0"/>
          <w:numId w:val="14"/>
        </w:numPr>
        <w:spacing w:after="0" w:line="259"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lastRenderedPageBreak/>
        <w:t>التكامل المعرفي: تلاقح المجالات يبني كفاءات مركّبة أكثر ملاءمة للوضعيات الحديثة.</w:t>
      </w:r>
    </w:p>
    <w:p w:rsidR="00157377" w:rsidRPr="00157377" w:rsidRDefault="00157377" w:rsidP="00157377">
      <w:pPr>
        <w:numPr>
          <w:ilvl w:val="0"/>
          <w:numId w:val="14"/>
        </w:numPr>
        <w:spacing w:after="0" w:line="259"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الانتقال الأفقي: اللغة المشتركة والأدوات المعيارية تسهّل نقل الكفاءة عبر الحقول.</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w:t>
      </w:r>
      <w:proofErr w:type="spellStart"/>
      <w:r w:rsidRPr="00157377">
        <w:rPr>
          <w:rFonts w:ascii="Simplified Arabic" w:eastAsia="Calibri" w:hAnsi="Simplified Arabic" w:cs="Simplified Arabic"/>
          <w:sz w:val="28"/>
          <w:szCs w:val="28"/>
          <w:rtl/>
        </w:rPr>
        <w:t>بوكرمة</w:t>
      </w:r>
      <w:proofErr w:type="spellEnd"/>
      <w:r w:rsidRPr="00157377">
        <w:rPr>
          <w:rFonts w:ascii="Simplified Arabic" w:eastAsia="Calibri" w:hAnsi="Simplified Arabic" w:cs="Simplified Arabic"/>
          <w:sz w:val="28"/>
          <w:szCs w:val="28"/>
          <w:rtl/>
        </w:rPr>
        <w:t xml:space="preserve"> و </w:t>
      </w:r>
      <w:proofErr w:type="spellStart"/>
      <w:r w:rsidRPr="00157377">
        <w:rPr>
          <w:rFonts w:ascii="Simplified Arabic" w:eastAsia="Calibri" w:hAnsi="Simplified Arabic" w:cs="Simplified Arabic"/>
          <w:sz w:val="28"/>
          <w:szCs w:val="28"/>
          <w:rtl/>
        </w:rPr>
        <w:t>دحدي</w:t>
      </w:r>
      <w:proofErr w:type="spellEnd"/>
      <w:r w:rsidRPr="00157377">
        <w:rPr>
          <w:rFonts w:ascii="Simplified Arabic" w:eastAsia="Calibri" w:hAnsi="Simplified Arabic" w:cs="Simplified Arabic"/>
          <w:sz w:val="28"/>
          <w:szCs w:val="28"/>
          <w:rtl/>
        </w:rPr>
        <w:t xml:space="preserve">، 2011، ص. 489)  </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تعبئة الموارد المتكاملة لتفعيل الكفاءة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لا تُفعَّل الكفاءة بموارد مفردة؛ بل عبر شبكة متكاملة تُنسّق بين الداخلي والخارجي وفق متطلبات الوضعية. تشمل الموارد الداخلية المعارف التصورية والإجرائية، والقدرات الذهنية مثل التحليل والتركيب، والمهارات الحس–حركية، إضافة إلى الاتجاهات والميول التي تضبط الدافعية والمثابرة. أما الموارد الخارجية فتضم أدوات القياس، والبيانات، والوثائق المرجعية، والوسائط التقنية، والدعم الاجتماعي والتنظيمي. القيمة الفعلية للكفاءة تظهر في القدرة على تحويل هذه العناصر من حالة خام متفرقة إلى منظومة مدمجة تُستدعى بوعي، يُعاد ضبطها لحظيًا، وتُكيَّف مع تغيرات السياق.</w:t>
      </w:r>
    </w:p>
    <w:p w:rsidR="00157377" w:rsidRPr="00157377" w:rsidRDefault="00157377" w:rsidP="00157377">
      <w:pPr>
        <w:numPr>
          <w:ilvl w:val="0"/>
          <w:numId w:val="15"/>
        </w:numPr>
        <w:spacing w:after="0" w:line="259"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التناغم الوظيفي: التنسيق بين الموارد يضمن سلاسة الانتقال من التخطيط إلى التنفيذ.</w:t>
      </w:r>
    </w:p>
    <w:p w:rsidR="00157377" w:rsidRPr="00157377" w:rsidRDefault="00157377" w:rsidP="00157377">
      <w:pPr>
        <w:numPr>
          <w:ilvl w:val="0"/>
          <w:numId w:val="15"/>
        </w:numPr>
        <w:spacing w:after="0" w:line="259"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التحويل والنقل: إعادة صياغة المعرفة للاستخدام في سياقات جديدة علامة على التمكّن.</w:t>
      </w:r>
    </w:p>
    <w:p w:rsidR="00157377" w:rsidRPr="00157377" w:rsidRDefault="00157377" w:rsidP="00157377">
      <w:pPr>
        <w:numPr>
          <w:ilvl w:val="0"/>
          <w:numId w:val="15"/>
        </w:numPr>
        <w:spacing w:after="0" w:line="259"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المرونة التكيفية: تعديل الشبكة الإجرائية وفق المستجدات يحافظ على فعالية الأداء.</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(عطاوي و تحريشي، 2018، ص. 53)  </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الطابع الغائي للكفاءة وأثرها العملي</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الكفاءة موجّهة نحو غاية واضحة؛ إنها أداة لتحقيق نتائج ذات معنى للفرد والمؤسسة والمجتمع. لا يُسخَّر المورد إلا إذا خدم وظيفة محددة، كحل مشكلة، أو إنتاج مخرَج، أو اتخاذ قرار في الوقت المناسب. هذا التوجه الغائي يربط التعلم بحياة المتعلم العملية، فيجعل الاستثمار المعرفي والسلوكي قابلًا للقياس من خلال المنافع المتحققة، وليس عبر تراكم معلومات مجردة. بهذا المعنى، تُجيب الكفاءة عن سؤال الجدوى، وتحوّل التعلّم إلى قدرة فاعلة تُحدث فرقًا في الواقع.</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(بن سي مسعود، 2008، ص. 67)  </w:t>
      </w:r>
    </w:p>
    <w:p w:rsidR="00157377" w:rsidRPr="00157377" w:rsidRDefault="00157377" w:rsidP="00157377">
      <w:pPr>
        <w:numPr>
          <w:ilvl w:val="0"/>
          <w:numId w:val="16"/>
        </w:numPr>
        <w:spacing w:after="0" w:line="259"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الجدوى العملية: كل مورد يُستثمر ضمن سلسلة غائية تؤدي إلى نتيجة ملموسة.</w:t>
      </w:r>
      <w:r w:rsidRPr="00157377">
        <w:rPr>
          <w:rFonts w:ascii="Simplified Arabic" w:eastAsia="Calibri" w:hAnsi="Simplified Arabic" w:cs="Simplified Arabic"/>
          <w:kern w:val="2"/>
          <w:sz w:val="28"/>
          <w:szCs w:val="28"/>
          <w:rtl/>
          <w14:ligatures w14:val="standardContextual"/>
        </w:rPr>
        <w:t xml:space="preserve"> </w:t>
      </w:r>
    </w:p>
    <w:p w:rsidR="00157377" w:rsidRPr="00157377" w:rsidRDefault="00157377" w:rsidP="00157377">
      <w:pPr>
        <w:numPr>
          <w:ilvl w:val="0"/>
          <w:numId w:val="16"/>
        </w:numPr>
        <w:spacing w:after="0" w:line="259"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المعنى الشخصي والاجتماعي: ارتباط الأداء بحاجات الفرد والسياق يزيد الدافعية.</w:t>
      </w:r>
    </w:p>
    <w:p w:rsidR="00157377" w:rsidRPr="00157377" w:rsidRDefault="00157377" w:rsidP="00157377">
      <w:pPr>
        <w:numPr>
          <w:ilvl w:val="0"/>
          <w:numId w:val="16"/>
        </w:numPr>
        <w:spacing w:after="0" w:line="259" w:lineRule="auto"/>
        <w:jc w:val="both"/>
        <w:rPr>
          <w:rFonts w:ascii="Simplified Arabic" w:eastAsia="Calibri" w:hAnsi="Simplified Arabic" w:cs="Simplified Arabic"/>
          <w:sz w:val="28"/>
          <w:szCs w:val="28"/>
        </w:rPr>
      </w:pPr>
      <w:r w:rsidRPr="00157377">
        <w:rPr>
          <w:rFonts w:ascii="Simplified Arabic" w:eastAsia="Calibri" w:hAnsi="Simplified Arabic" w:cs="Simplified Arabic"/>
          <w:sz w:val="28"/>
          <w:szCs w:val="28"/>
          <w:rtl/>
        </w:rPr>
        <w:t>ترجمة التعلّم: تحويل المعرفة إلى أثر عملي هو جوهر الكفاءة لا ملحقها.</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(بن سي مسعود، 2008، ص. 67)  </w:t>
      </w:r>
    </w:p>
    <w:p w:rsidR="00157377" w:rsidRPr="00157377" w:rsidRDefault="00157377" w:rsidP="00157377">
      <w:pPr>
        <w:spacing w:after="0"/>
        <w:jc w:val="both"/>
        <w:rPr>
          <w:rFonts w:ascii="Simplified Arabic" w:eastAsia="Calibri" w:hAnsi="Simplified Arabic" w:cs="Simplified Arabic"/>
          <w:sz w:val="28"/>
          <w:szCs w:val="28"/>
          <w:rtl/>
        </w:rPr>
      </w:pPr>
    </w:p>
    <w:p w:rsidR="00157377" w:rsidRPr="00157377" w:rsidRDefault="00157377" w:rsidP="00157377">
      <w:pPr>
        <w:spacing w:after="0"/>
        <w:jc w:val="both"/>
        <w:rPr>
          <w:rFonts w:ascii="Simplified Arabic" w:eastAsia="Calibri" w:hAnsi="Simplified Arabic" w:cs="Simplified Arabic"/>
          <w:sz w:val="28"/>
          <w:szCs w:val="28"/>
          <w:rtl/>
        </w:rPr>
      </w:pP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lastRenderedPageBreak/>
        <w:t>تقويم الكفاءة بجودة الأداء والنتائج</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تقويم الكفاءة يُنجَز عبر مزيج من مؤشرات العملية والنتيجة: كيف نُفِّذ العمل، وماذا أسفر عنه. أثناء الممارسة، يُرصد الاتساق، والدقة، والاقتصاد في الجهد والزمن، وجودة القرارات؛ وفي المخرجات، تُقاس الملاءمة للأهداف، وقيمة الحل، واستدامة الأثر. يتم ذلك بمعايير معلنة وأدلة قابلة للتحقق، من نماذج أداء، ومنتجات نهائية، وسجلات قرارات، وملاحظات سلوكية. التقويم البنائي يحسّن الأداء أثناء الفعل، بينما التقويم الإجمالي يحدّد مستوى التمكن، ويوجّه خطط التطوير المستقبلي.</w:t>
      </w:r>
    </w:p>
    <w:p w:rsidR="00157377" w:rsidRPr="00157377" w:rsidRDefault="00157377" w:rsidP="00157377">
      <w:pPr>
        <w:numPr>
          <w:ilvl w:val="0"/>
          <w:numId w:val="17"/>
        </w:numPr>
        <w:spacing w:after="0" w:line="259"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مؤشرات العملية: الاتساق، الفاعلية، التوقيت، واستخدام الموارد بكفاءة.</w:t>
      </w:r>
    </w:p>
    <w:p w:rsidR="00157377" w:rsidRPr="00157377" w:rsidRDefault="00157377" w:rsidP="00157377">
      <w:pPr>
        <w:numPr>
          <w:ilvl w:val="0"/>
          <w:numId w:val="17"/>
        </w:numPr>
        <w:spacing w:after="0" w:line="259"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مؤشرات النتيجة: جودة المنتج، الملاءمة، والأثر القابل للقياس.</w:t>
      </w:r>
    </w:p>
    <w:p w:rsidR="00157377" w:rsidRPr="00157377" w:rsidRDefault="00157377" w:rsidP="00157377">
      <w:pPr>
        <w:numPr>
          <w:ilvl w:val="0"/>
          <w:numId w:val="17"/>
        </w:numPr>
        <w:spacing w:after="0" w:line="259" w:lineRule="auto"/>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دوائر التغذية الراجعة: تحويل نتائج التقويم إلى تحسينات منهجية مستمرة.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(واعلي، 2006، ص. 26)</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الكفاءة بنية ديناميكية تُبنى عبر احتكاك منظم بوضعيات موحّدة المجال، وتتغذى من محتوى تخصصي يُمدّها باللغة والأدوات والمفاهيم. تفعيلها يعتمد على تعبئة موارد داخلية وخارجية في شبكة مرنة قابلة لإعادة الضبط، تُوجَّه نحو غايات عملية تُقاس بجودة الأداء والمخرجات. بهذا الفهم، تتحول الكفاءة من وصف نظري إلى قدرة تكاملية على الفعل الناجع، تُثبت قيمتها حين تُمارَس وتُقاس داخل سياقات واقعية متعددة.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(الصيد, 2023 , ص 48)</w:t>
      </w:r>
    </w:p>
    <w:p w:rsidR="00157377" w:rsidRPr="00157377" w:rsidRDefault="00157377" w:rsidP="00157377">
      <w:pPr>
        <w:spacing w:after="0"/>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أنواع الكفاءات</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تنقسم الكفاءات إلى أربعة أنواع رئيسية، يكمّل كلّ منها الآخر في بناء القدرة الكلية للفرد على الفعل الناجع داخل سياقات مختلفة. وهي علي النحو التالي  : </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الكفاءات المعرفية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تتعلق الكفاءات المعرفية بالمعلومات والمعارف النظرية والقاعدية والقدرات العقلية الضرورية لأداء مهام محددة. (زكريا و مسعود، 2006، ص , 94)  </w:t>
      </w:r>
    </w:p>
    <w:p w:rsidR="00157377" w:rsidRDefault="00157377" w:rsidP="00157377">
      <w:pPr>
        <w:spacing w:after="0"/>
        <w:ind w:left="360"/>
        <w:jc w:val="both"/>
        <w:rPr>
          <w:rFonts w:ascii="Simplified Arabic" w:eastAsia="Calibri" w:hAnsi="Simplified Arabic" w:cs="Simplified Arabic" w:hint="cs"/>
          <w:sz w:val="28"/>
          <w:szCs w:val="28"/>
          <w:rtl/>
        </w:rPr>
      </w:pPr>
      <w:r w:rsidRPr="00157377">
        <w:rPr>
          <w:rFonts w:ascii="Simplified Arabic" w:eastAsia="Calibri" w:hAnsi="Simplified Arabic" w:cs="Simplified Arabic"/>
          <w:sz w:val="28"/>
          <w:szCs w:val="28"/>
          <w:rtl/>
        </w:rPr>
        <w:t>وتشمل: المفاهيم، القواعد، النماذج، الحقائق، والقدرة على التحليل والاستدلال والتفسير. تُعدّ هذه الكفاءات أساسًا لتكوين فهم موضوعي للميدان، وتمثل المدخل الذي تُبنى عليه المهارات التطبيقية؛ فبدون قاعدة معرفية متينة يصعب تحقيق أداء مهني أو تعليمي متقن.</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(زكريا و مسعود، 2006، ص , 94)  </w:t>
      </w:r>
    </w:p>
    <w:p w:rsidR="00157377" w:rsidRPr="00157377" w:rsidRDefault="00157377" w:rsidP="00157377">
      <w:pPr>
        <w:spacing w:after="0"/>
        <w:ind w:left="360"/>
        <w:jc w:val="both"/>
        <w:rPr>
          <w:rFonts w:ascii="Simplified Arabic" w:eastAsia="Calibri" w:hAnsi="Simplified Arabic" w:cs="Simplified Arabic"/>
          <w:sz w:val="28"/>
          <w:szCs w:val="28"/>
          <w:rtl/>
        </w:rPr>
      </w:pPr>
    </w:p>
    <w:p w:rsidR="00157377" w:rsidRPr="00157377" w:rsidRDefault="00157377" w:rsidP="00157377">
      <w:pPr>
        <w:spacing w:after="0"/>
        <w:ind w:left="360"/>
        <w:jc w:val="both"/>
        <w:rPr>
          <w:rFonts w:ascii="Simplified Arabic" w:eastAsia="Calibri" w:hAnsi="Simplified Arabic" w:cs="Simplified Arabic"/>
          <w:sz w:val="28"/>
          <w:szCs w:val="28"/>
          <w:rtl/>
        </w:rPr>
      </w:pPr>
    </w:p>
    <w:p w:rsidR="00157377" w:rsidRPr="00157377" w:rsidRDefault="00157377" w:rsidP="00157377">
      <w:pPr>
        <w:spacing w:after="0"/>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lastRenderedPageBreak/>
        <w:t>الكفاءات الأدائية (</w:t>
      </w:r>
      <w:proofErr w:type="spellStart"/>
      <w:r w:rsidRPr="00157377">
        <w:rPr>
          <w:rFonts w:ascii="Simplified Arabic" w:eastAsia="Calibri" w:hAnsi="Simplified Arabic" w:cs="Simplified Arabic"/>
          <w:b/>
          <w:bCs/>
          <w:sz w:val="28"/>
          <w:szCs w:val="28"/>
          <w:rtl/>
        </w:rPr>
        <w:t>النفسحركية</w:t>
      </w:r>
      <w:proofErr w:type="spellEnd"/>
      <w:r w:rsidRPr="00157377">
        <w:rPr>
          <w:rFonts w:ascii="Simplified Arabic" w:eastAsia="Calibri" w:hAnsi="Simplified Arabic" w:cs="Simplified Arabic"/>
          <w:b/>
          <w:bCs/>
          <w:sz w:val="28"/>
          <w:szCs w:val="28"/>
          <w:rtl/>
        </w:rPr>
        <w:t>)</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تشمل الكفاءات الأدائية المهارات </w:t>
      </w:r>
      <w:proofErr w:type="spellStart"/>
      <w:r w:rsidRPr="00157377">
        <w:rPr>
          <w:rFonts w:ascii="Simplified Arabic" w:eastAsia="Calibri" w:hAnsi="Simplified Arabic" w:cs="Simplified Arabic"/>
          <w:sz w:val="28"/>
          <w:szCs w:val="28"/>
          <w:rtl/>
        </w:rPr>
        <w:t>النفسحركية</w:t>
      </w:r>
      <w:proofErr w:type="spellEnd"/>
      <w:r w:rsidRPr="00157377">
        <w:rPr>
          <w:rFonts w:ascii="Simplified Arabic" w:eastAsia="Calibri" w:hAnsi="Simplified Arabic" w:cs="Simplified Arabic"/>
          <w:sz w:val="28"/>
          <w:szCs w:val="28"/>
          <w:rtl/>
        </w:rPr>
        <w:t xml:space="preserve"> والحركية التي تتطلب قدرات بدنية وتقنية وتنفيذية. تظهر هذه الكفاءات في الحقول التي تستدعي تحكماً حركياً دقيقاً أو تنفيذ إجراءات تقنية، مثل الحرف اليدوية، التجارب المخبرية، أو تشغيل الآلات. أداء هذه المهارات يعتمد غالبًا على مستوى التمكن المعرفي السابق، وعلى التدريب المتكرر الذي يطوّر الدقة والسرعة والتناسق الحركي.</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(زكريا و مسعود، 2006، ص , 94)  </w:t>
      </w:r>
    </w:p>
    <w:p w:rsidR="00157377" w:rsidRPr="00157377" w:rsidRDefault="00157377" w:rsidP="00157377">
      <w:pPr>
        <w:spacing w:after="0"/>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الكفاءات الوجدانية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تتعلق الكفاءات الوجدانية بالبعد العاطفي والسلوكي للفرد، وتشمل المعتقدات، القيم، الاتجاهات، الميول، والدافعية. تؤثر هذه الكفاءات في مدى التزام الفرد بالمهمة، تقبله لنفسه، استجابته للملاحظات، وتفاعله مع الآخرين. الكفاءات الوجدانية تلعب دورًا محوريًا في استدامة التعلم وتحفيز الأداء، كما تؤثر في جودة التعاون والعمل الجماعي.</w:t>
      </w:r>
    </w:p>
    <w:p w:rsidR="00157377" w:rsidRPr="00157377" w:rsidRDefault="00157377" w:rsidP="00157377">
      <w:pPr>
        <w:spacing w:after="0"/>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مكونات نموذجية:</w:t>
      </w:r>
    </w:p>
    <w:p w:rsidR="00157377" w:rsidRPr="00157377" w:rsidRDefault="00157377" w:rsidP="00157377">
      <w:pPr>
        <w:numPr>
          <w:ilvl w:val="0"/>
          <w:numId w:val="18"/>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اتجاهات الفرد نحو المهمة أو المهارة.</w:t>
      </w:r>
    </w:p>
    <w:p w:rsidR="00157377" w:rsidRPr="00157377" w:rsidRDefault="00157377" w:rsidP="00157377">
      <w:pPr>
        <w:numPr>
          <w:ilvl w:val="0"/>
          <w:numId w:val="18"/>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تقبّل الذات والثقة في القدرة على الإنجاز.</w:t>
      </w:r>
    </w:p>
    <w:p w:rsidR="00157377" w:rsidRPr="00157377" w:rsidRDefault="00157377" w:rsidP="00157377">
      <w:pPr>
        <w:numPr>
          <w:ilvl w:val="0"/>
          <w:numId w:val="18"/>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الميول نحو مواد أو مجالات تعليمية أو مهنية معينة.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(زكريا و مسعود، 2006، ص , 95)  </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الكفاءات الإنتاجية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تركز الكفاءات الإنتاجية على ما ينتجه الفرد من أعمال أو مخرجات في مجال عمله، وعلى الآثار المترتبة عن هذه المخرجات. لا تقتصر هذه الكفاءات على الفعل نفسه، بل تمتد لتشمل جودة المنتج، ملاءمته للاحتياجات، وقيمته المضافة للمؤسسة أو المجتمع. تقيس الكفاءات الإنتاجية قدرة المختص على تحويل المعارف والمهارات والاتجاهات إلى نتائج عملية قابلة للقياس والتقييم.</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(زكريا و مسعود، 2006، ص , 95)  </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تداخل الأنواع وعلاقاتها المتبادلة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هذه الأنواع ليست معزولة؛ بل تتداخل وتتكامل. فالكفاءة الأدائية تحتاج إلى قاعدة معرفية؛ والكفاءة الوجدانية تؤثر في دافعية التدريب والتطوير؛ والكفاءة الإنتاجية هي نتاج تكامل المعرفي والأدائي والوجداني. لذلك، يقتضي تصميم البرامج التكوينية والتقويمية مراعاة هذه البنية المتكاملة لضمان تحقيق كفاءات قابلة للتطبيق والقياس في الواقع العملي. (الصيد, 2023 , ص 49)</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lastRenderedPageBreak/>
        <w:t>مفهوم الأداء</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يعدّ مصطلح الأداء من المصطلحات المركزية في الأدبيات الإدارية </w:t>
      </w:r>
      <w:proofErr w:type="spellStart"/>
      <w:r w:rsidRPr="00157377">
        <w:rPr>
          <w:rFonts w:ascii="Simplified Arabic" w:eastAsia="Calibri" w:hAnsi="Simplified Arabic" w:cs="Simplified Arabic"/>
          <w:sz w:val="28"/>
          <w:szCs w:val="28"/>
          <w:rtl/>
        </w:rPr>
        <w:t>والتسييرية</w:t>
      </w:r>
      <w:proofErr w:type="spellEnd"/>
      <w:r w:rsidRPr="00157377">
        <w:rPr>
          <w:rFonts w:ascii="Simplified Arabic" w:eastAsia="Calibri" w:hAnsi="Simplified Arabic" w:cs="Simplified Arabic"/>
          <w:sz w:val="28"/>
          <w:szCs w:val="28"/>
          <w:rtl/>
        </w:rPr>
        <w:t xml:space="preserve">، غير أن تكرار استعماله وتعدّد سياقاته لم يؤدِّ إلى توحيد دلالته بين الباحثين. لغويًا، يقابل الأداء اللفظة اللاتينية </w:t>
      </w:r>
      <w:proofErr w:type="spellStart"/>
      <w:r w:rsidRPr="00157377">
        <w:rPr>
          <w:rFonts w:ascii="Simplified Arabic" w:eastAsia="Calibri" w:hAnsi="Simplified Arabic" w:cs="Simplified Arabic"/>
          <w:sz w:val="28"/>
          <w:szCs w:val="28"/>
        </w:rPr>
        <w:t>Performare</w:t>
      </w:r>
      <w:proofErr w:type="spellEnd"/>
      <w:r w:rsidRPr="00157377">
        <w:rPr>
          <w:rFonts w:ascii="Simplified Arabic" w:eastAsia="Calibri" w:hAnsi="Simplified Arabic" w:cs="Simplified Arabic"/>
          <w:sz w:val="28"/>
          <w:szCs w:val="28"/>
          <w:rtl/>
        </w:rPr>
        <w:t xml:space="preserve"> التي تعني إضفاء الشكل الكامل على الشيء، ومن ذلك اشتُقّت الكلمة الإنجليزية </w:t>
      </w:r>
      <w:r w:rsidRPr="00157377">
        <w:rPr>
          <w:rFonts w:ascii="Simplified Arabic" w:eastAsia="Calibri" w:hAnsi="Simplified Arabic" w:cs="Simplified Arabic"/>
          <w:sz w:val="28"/>
          <w:szCs w:val="28"/>
        </w:rPr>
        <w:t>Performance</w:t>
      </w:r>
      <w:r w:rsidRPr="00157377">
        <w:rPr>
          <w:rFonts w:ascii="Simplified Arabic" w:eastAsia="Calibri" w:hAnsi="Simplified Arabic" w:cs="Simplified Arabic"/>
          <w:sz w:val="28"/>
          <w:szCs w:val="28"/>
          <w:rtl/>
        </w:rPr>
        <w:t xml:space="preserve"> التي تُفهم على أنها إنجاز العمل أو الكيفية التي يحقق بها التنظيم أهدافه. عمليًا، يُستخدم المصطلح للدلالة على جوانب متعددة منها مدى بلوغ الأهداف، ومدى الاقتصاد في استخدام الموارد، أو مستوى إنجاز المهام.</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 </w:t>
      </w:r>
      <w:proofErr w:type="spellStart"/>
      <w:r w:rsidRPr="00157377">
        <w:rPr>
          <w:rFonts w:ascii="Simplified Arabic" w:eastAsia="Calibri" w:hAnsi="Simplified Arabic" w:cs="Simplified Arabic"/>
          <w:sz w:val="28"/>
          <w:szCs w:val="28"/>
          <w:rtl/>
        </w:rPr>
        <w:t>عبدالمليك</w:t>
      </w:r>
      <w:proofErr w:type="spellEnd"/>
      <w:r w:rsidRPr="00157377">
        <w:rPr>
          <w:rFonts w:ascii="Simplified Arabic" w:eastAsia="Calibri" w:hAnsi="Simplified Arabic" w:cs="Simplified Arabic"/>
          <w:sz w:val="28"/>
          <w:szCs w:val="28"/>
          <w:rtl/>
        </w:rPr>
        <w:t xml:space="preserve"> , 2001 ,ص 86)</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hint="cs"/>
          <w:sz w:val="28"/>
          <w:szCs w:val="28"/>
          <w:rtl/>
        </w:rPr>
        <w:t>و</w:t>
      </w:r>
      <w:r w:rsidRPr="00157377">
        <w:rPr>
          <w:rFonts w:ascii="Simplified Arabic" w:eastAsia="Calibri" w:hAnsi="Simplified Arabic" w:cs="Simplified Arabic"/>
          <w:sz w:val="28"/>
          <w:szCs w:val="28"/>
          <w:rtl/>
        </w:rPr>
        <w:t>تباينت التعريفات باختلاف منظور الباحثين؛ فبعضهم عرّف الأداء على أنه سلوك الأفراد في إنجاز الأنشطة والمهام المكوِّنة لعملهم، بينما عرفه آخرون بأنه الطريقة التي يؤدي بها العاملون مهامهم أثناء العمليات الإنتاجية مستخدمين وسائل الإنتاج المتاحة لتحقيق التحويلات الكمية والنوعية المطلوبة وفق الأهداف والبرامج الزمنية. وهناك من يرى أن الأداء ناتج عن تفاعل عوامل متعددة (رأس المال، العمل، المعرفة)</w:t>
      </w:r>
      <w:r w:rsidRPr="00157377">
        <w:rPr>
          <w:rFonts w:ascii="Simplified Arabic" w:eastAsia="Calibri" w:hAnsi="Simplified Arabic" w:cs="Simplified Arabic" w:hint="cs"/>
          <w:sz w:val="28"/>
          <w:szCs w:val="28"/>
          <w:rtl/>
        </w:rPr>
        <w:t xml:space="preserve"> </w:t>
      </w:r>
      <w:r w:rsidRPr="00157377">
        <w:rPr>
          <w:rFonts w:ascii="Simplified Arabic" w:eastAsia="Calibri" w:hAnsi="Simplified Arabic" w:cs="Simplified Arabic"/>
          <w:sz w:val="28"/>
          <w:szCs w:val="28"/>
          <w:rtl/>
        </w:rPr>
        <w:t>.</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 </w:t>
      </w:r>
      <w:proofErr w:type="spellStart"/>
      <w:r w:rsidRPr="00157377">
        <w:rPr>
          <w:rFonts w:ascii="Simplified Arabic" w:eastAsia="Calibri" w:hAnsi="Simplified Arabic" w:cs="Simplified Arabic"/>
          <w:sz w:val="28"/>
          <w:szCs w:val="28"/>
          <w:rtl/>
        </w:rPr>
        <w:t>عبدالمليك</w:t>
      </w:r>
      <w:proofErr w:type="spellEnd"/>
      <w:r w:rsidRPr="00157377">
        <w:rPr>
          <w:rFonts w:ascii="Simplified Arabic" w:eastAsia="Calibri" w:hAnsi="Simplified Arabic" w:cs="Simplified Arabic"/>
          <w:sz w:val="28"/>
          <w:szCs w:val="28"/>
          <w:rtl/>
        </w:rPr>
        <w:t xml:space="preserve"> , 2001 ,ص 86)</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الأداء والعلاقة بالمورد البشري والموارد الأخرى</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رغم أن أداء المورد البشري يمثل جزءًا أساسيًا من أداء المؤسسة، فإن قياس الأداء لا ينبغي أن يقتصر على العنصر البشري وحده. فالمؤسسة تحقق أهدافها من خلال تفاعل مواردها المتعددة؛ لذا فإن تقييم الأداء يتطلب إدراج أداء الموارد المادية والتقنية والتنظيمية إلى جانب الأداء البشري. بهذا المنظور الشمولي، يصبح الأداء مؤشراً يعكس مدى تكامل الموارد وفاعليتها في تحقيق الأهداف المؤسسية.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 </w:t>
      </w:r>
      <w:proofErr w:type="spellStart"/>
      <w:r w:rsidRPr="00157377">
        <w:rPr>
          <w:rFonts w:ascii="Simplified Arabic" w:eastAsia="Calibri" w:hAnsi="Simplified Arabic" w:cs="Simplified Arabic"/>
          <w:sz w:val="28"/>
          <w:szCs w:val="28"/>
          <w:rtl/>
        </w:rPr>
        <w:t>عبدالمليك</w:t>
      </w:r>
      <w:proofErr w:type="spellEnd"/>
      <w:r w:rsidRPr="00157377">
        <w:rPr>
          <w:rFonts w:ascii="Simplified Arabic" w:eastAsia="Calibri" w:hAnsi="Simplified Arabic" w:cs="Simplified Arabic"/>
          <w:sz w:val="28"/>
          <w:szCs w:val="28"/>
          <w:rtl/>
        </w:rPr>
        <w:t xml:space="preserve"> , 2001 ,ص 86)</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الأداء والكفاءة والفعالية</w:t>
      </w:r>
    </w:p>
    <w:p w:rsidR="00157377" w:rsidRDefault="00157377" w:rsidP="00157377">
      <w:pPr>
        <w:spacing w:after="0"/>
        <w:ind w:left="360"/>
        <w:jc w:val="both"/>
        <w:rPr>
          <w:rFonts w:ascii="Simplified Arabic" w:eastAsia="Calibri" w:hAnsi="Simplified Arabic" w:cs="Simplified Arabic" w:hint="cs"/>
          <w:sz w:val="28"/>
          <w:szCs w:val="28"/>
          <w:rtl/>
        </w:rPr>
      </w:pPr>
      <w:r w:rsidRPr="00157377">
        <w:rPr>
          <w:rFonts w:ascii="Simplified Arabic" w:eastAsia="Calibri" w:hAnsi="Simplified Arabic" w:cs="Simplified Arabic"/>
          <w:sz w:val="28"/>
          <w:szCs w:val="28"/>
          <w:rtl/>
        </w:rPr>
        <w:t>تتداخل مفاهيم الكفاءة والفعالية مع مفهوم الأداء، ويختلف الباحثون في أي البعدين ينبغي أن يُرادف الأداء. الكفاءة تُقاس عادةً بالعلاقة بين النتائج المحققة والأهداف المسطرة، أي مدى تحقيق الأهداف بكفاءة. أما الفعالية فتعبر عن القدرة على تقليل استخدام الموارد دون المساس بتحقيق الأهداف، أي العلاقة بين النتائج والموارد المستخدمة. ومن ثم، يُنظر إلى الأداء في بعض التعريفات على أنه مزيج بين هذين البعدين: العلاقة بين النتيجة والمجهود، أو العلاقة بين الموارد المخصصة والنتائج المحققة.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 </w:t>
      </w:r>
      <w:proofErr w:type="spellStart"/>
      <w:r w:rsidRPr="00157377">
        <w:rPr>
          <w:rFonts w:ascii="Simplified Arabic" w:eastAsia="Calibri" w:hAnsi="Simplified Arabic" w:cs="Simplified Arabic"/>
          <w:sz w:val="28"/>
          <w:szCs w:val="28"/>
          <w:rtl/>
        </w:rPr>
        <w:t>عبدالمليك</w:t>
      </w:r>
      <w:proofErr w:type="spellEnd"/>
      <w:r w:rsidRPr="00157377">
        <w:rPr>
          <w:rFonts w:ascii="Simplified Arabic" w:eastAsia="Calibri" w:hAnsi="Simplified Arabic" w:cs="Simplified Arabic"/>
          <w:sz w:val="28"/>
          <w:szCs w:val="28"/>
          <w:rtl/>
        </w:rPr>
        <w:t xml:space="preserve"> , 2001 ,ص 86)</w:t>
      </w:r>
    </w:p>
    <w:p w:rsidR="00157377" w:rsidRPr="00157377" w:rsidRDefault="00157377" w:rsidP="00157377">
      <w:pPr>
        <w:spacing w:after="0"/>
        <w:ind w:left="360"/>
        <w:jc w:val="both"/>
        <w:rPr>
          <w:rFonts w:ascii="Simplified Arabic" w:eastAsia="Calibri" w:hAnsi="Simplified Arabic" w:cs="Simplified Arabic"/>
          <w:sz w:val="28"/>
          <w:szCs w:val="28"/>
          <w:rtl/>
        </w:rPr>
      </w:pP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lastRenderedPageBreak/>
        <w:t>الأداء من منظور استراتيجي وقياسي</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أضفى بعض الباحثين بعدًا استراتيجيًا على مفهوم الأداء، معتبرين أن أداء المؤسسة يقاس بقدرتها على تنفيذ استراتيجيتها ومواجهة القوى التنافسية. في هذا الإطار، لا يقتصر قياس الأداء على النتائج التشغيلية فحسب، بل يشمل أيضًا قدرة المؤسسة على تحقيق ميزة تنافسية واستدامة في السوق. كما يُستخدم الأداء كمؤشر كمي ونوعي يبيّن درجة بلوغ الأهداف والمعايير والخطط المؤسسية، ويعكس مستوى الإنتاجية والفعالية في تلبية طلبات السوق من حيث النوعية والوقت والتكلفة. ويمكن استنتاج أن التعريف الأكثر شمولًا للأداء هو ذلك الذي يجمع بين مدى بلوغ الأهداف وكفاءة استخدام الموارد، ويأخذ بعين الاعتبار تفاعل الموارد المتعددة داخل المؤسسة. الأداء بهذا الفهم ليس مجرد مقياس لنتائج آنية، بل هو مؤشر ديناميكي يعكس قدرة المنظمة على تحويل المدخلات إلى مخرجات ذات قيمة ضمن إطار استراتيجي واضح، ويستدعي تقويمًا متوازنًا يدمج البعدين الكمي والنوعي.</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 </w:t>
      </w:r>
      <w:proofErr w:type="spellStart"/>
      <w:r w:rsidRPr="00157377">
        <w:rPr>
          <w:rFonts w:ascii="Simplified Arabic" w:eastAsia="Calibri" w:hAnsi="Simplified Arabic" w:cs="Simplified Arabic"/>
          <w:sz w:val="28"/>
          <w:szCs w:val="28"/>
          <w:rtl/>
        </w:rPr>
        <w:t>عبدالمليك</w:t>
      </w:r>
      <w:proofErr w:type="spellEnd"/>
      <w:r w:rsidRPr="00157377">
        <w:rPr>
          <w:rFonts w:ascii="Simplified Arabic" w:eastAsia="Calibri" w:hAnsi="Simplified Arabic" w:cs="Simplified Arabic"/>
          <w:sz w:val="28"/>
          <w:szCs w:val="28"/>
          <w:rtl/>
        </w:rPr>
        <w:t xml:space="preserve"> , 2001 ,ص 87)</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أنواع الأداء</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يمثّل تصنيف الأداء إشكالية منهجية تتصل باختيار معيارٍ دقيق وعملي في آن واحد، يمكن الاعتماد عليه لتحديد أصناف الأداء المختلفة. وبما أن مفهوم الأداء مرتبط ارتباطًا وثيقًا بالأهداف المؤسسية، فإن معايير تصنيف الأهداف (من حيث الشمولية، الأجل، والطبيعة) تُعدّ قابلة للتطبيق على تصنيف الأداء نفسه. وفيما يلي عرض منظم لأنواع الأداء اعتمادًا على معيارَي الشمولية والطبيعة.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 </w:t>
      </w:r>
      <w:proofErr w:type="spellStart"/>
      <w:r w:rsidRPr="00157377">
        <w:rPr>
          <w:rFonts w:ascii="Simplified Arabic" w:eastAsia="Calibri" w:hAnsi="Simplified Arabic" w:cs="Simplified Arabic"/>
          <w:sz w:val="28"/>
          <w:szCs w:val="28"/>
          <w:rtl/>
        </w:rPr>
        <w:t>عبدالمليك</w:t>
      </w:r>
      <w:proofErr w:type="spellEnd"/>
      <w:r w:rsidRPr="00157377">
        <w:rPr>
          <w:rFonts w:ascii="Simplified Arabic" w:eastAsia="Calibri" w:hAnsi="Simplified Arabic" w:cs="Simplified Arabic"/>
          <w:sz w:val="28"/>
          <w:szCs w:val="28"/>
          <w:rtl/>
        </w:rPr>
        <w:t xml:space="preserve"> , 2001 ,ص 87)</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تصنيف الأداء حسب معيار الشمولية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يعتمد هذا التصنيف على التمييز بين الأهداف الكلية والأهداف الجزئية، وينتج عنه نوعان أساسيان من الأداء:</w:t>
      </w:r>
    </w:p>
    <w:p w:rsidR="00157377" w:rsidRDefault="00157377" w:rsidP="00157377">
      <w:pPr>
        <w:numPr>
          <w:ilvl w:val="0"/>
          <w:numId w:val="12"/>
        </w:numPr>
        <w:spacing w:after="0" w:line="259" w:lineRule="auto"/>
        <w:contextualSpacing/>
        <w:jc w:val="both"/>
        <w:rPr>
          <w:rFonts w:ascii="Simplified Arabic" w:eastAsia="Calibri" w:hAnsi="Simplified Arabic" w:cs="Simplified Arabic" w:hint="cs"/>
          <w:sz w:val="28"/>
          <w:szCs w:val="28"/>
        </w:rPr>
      </w:pPr>
      <w:r w:rsidRPr="00157377">
        <w:rPr>
          <w:rFonts w:ascii="Simplified Arabic" w:eastAsia="Calibri" w:hAnsi="Simplified Arabic" w:cs="Simplified Arabic"/>
          <w:sz w:val="28"/>
          <w:szCs w:val="28"/>
          <w:rtl/>
        </w:rPr>
        <w:t>الأداء الكلي ويقصد به الإنجازات التي تتحقق نتيجة مساهمة جميع عناصر المؤسسة ووظائفها أو أنظمتها الفرعية. لا يمكن نسب هذه الإنجازات إلى عنصر واحد بمعزل عن بقية العناصر، إذ تنشأ عن تفاعل متكامل بين الموارد والعمليات.</w:t>
      </w:r>
      <w:r w:rsidRPr="00157377">
        <w:rPr>
          <w:rFonts w:ascii="Calibri" w:eastAsia="Calibri" w:hAnsi="Calibri" w:cs="Arial"/>
          <w:kern w:val="2"/>
          <w:rtl/>
          <w14:ligatures w14:val="standardContextual"/>
        </w:rPr>
        <w:t xml:space="preserve"> </w:t>
      </w:r>
      <w:r w:rsidRPr="00157377">
        <w:rPr>
          <w:rFonts w:ascii="Simplified Arabic" w:eastAsia="Calibri" w:hAnsi="Simplified Arabic" w:cs="Simplified Arabic"/>
          <w:sz w:val="28"/>
          <w:szCs w:val="28"/>
          <w:rtl/>
        </w:rPr>
        <w:t xml:space="preserve">( </w:t>
      </w:r>
      <w:proofErr w:type="spellStart"/>
      <w:r w:rsidRPr="00157377">
        <w:rPr>
          <w:rFonts w:ascii="Simplified Arabic" w:eastAsia="Calibri" w:hAnsi="Simplified Arabic" w:cs="Simplified Arabic"/>
          <w:sz w:val="28"/>
          <w:szCs w:val="28"/>
          <w:rtl/>
        </w:rPr>
        <w:t>عبدالمليك</w:t>
      </w:r>
      <w:proofErr w:type="spellEnd"/>
      <w:r w:rsidRPr="00157377">
        <w:rPr>
          <w:rFonts w:ascii="Simplified Arabic" w:eastAsia="Calibri" w:hAnsi="Simplified Arabic" w:cs="Simplified Arabic"/>
          <w:sz w:val="28"/>
          <w:szCs w:val="28"/>
          <w:rtl/>
        </w:rPr>
        <w:t xml:space="preserve"> , 2001 ,ص 88)</w:t>
      </w:r>
    </w:p>
    <w:p w:rsidR="00157377" w:rsidRPr="00157377" w:rsidRDefault="00157377" w:rsidP="00157377">
      <w:pPr>
        <w:spacing w:after="0" w:line="259" w:lineRule="auto"/>
        <w:ind w:left="1080"/>
        <w:contextualSpacing/>
        <w:jc w:val="both"/>
        <w:rPr>
          <w:rFonts w:ascii="Simplified Arabic" w:eastAsia="Calibri" w:hAnsi="Simplified Arabic" w:cs="Simplified Arabic"/>
          <w:sz w:val="28"/>
          <w:szCs w:val="28"/>
        </w:rPr>
      </w:pPr>
    </w:p>
    <w:p w:rsidR="00157377" w:rsidRPr="00157377" w:rsidRDefault="00157377" w:rsidP="00157377">
      <w:pPr>
        <w:numPr>
          <w:ilvl w:val="0"/>
          <w:numId w:val="12"/>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lastRenderedPageBreak/>
        <w:t xml:space="preserve"> في إطار الأداء الكلي تُقيَّم المؤسسة من حيث بلوغ أهدافها الاستراتيجية الشاملة مثل الاستمرارية، النمو، الربحية، والشمولية في تقديم الخدمات أو المنتجات.</w:t>
      </w:r>
    </w:p>
    <w:p w:rsidR="00157377" w:rsidRPr="00157377" w:rsidRDefault="00157377" w:rsidP="00157377">
      <w:pPr>
        <w:numPr>
          <w:ilvl w:val="0"/>
          <w:numId w:val="12"/>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الأداء الجزئي يتحقق على مستوى الأنظمة الفرعية أو الوحدات الوظيفية داخل المؤسسة، وينقسم بدوره تبعًا للمعيار المعتمد لتقسيم عناصر المؤسسة. فبناءً على المعيار الوظيفي يمكن التمييز بين أداء وظيفة المالية، أداء وظيفة الموارد البشرية، أداء وظيفة التموين، أداء وظيفة الإنتاج، وأداء وظيفة التسويق، وغيرها. ويُعد الأداء الكلي نتاجًا لتفاعل هذه </w:t>
      </w:r>
      <w:proofErr w:type="spellStart"/>
      <w:r w:rsidRPr="00157377">
        <w:rPr>
          <w:rFonts w:ascii="Simplified Arabic" w:eastAsia="Calibri" w:hAnsi="Simplified Arabic" w:cs="Simplified Arabic"/>
          <w:sz w:val="28"/>
          <w:szCs w:val="28"/>
          <w:rtl/>
        </w:rPr>
        <w:t>الأداءات</w:t>
      </w:r>
      <w:proofErr w:type="spellEnd"/>
      <w:r w:rsidRPr="00157377">
        <w:rPr>
          <w:rFonts w:ascii="Simplified Arabic" w:eastAsia="Calibri" w:hAnsi="Simplified Arabic" w:cs="Simplified Arabic"/>
          <w:sz w:val="28"/>
          <w:szCs w:val="28"/>
          <w:rtl/>
        </w:rPr>
        <w:t xml:space="preserve"> الجزئية، لذا فإن دراسة الأداء الشامل تستلزم بالضرورة تحليل أداء الوحدات والوظائف الفرعية.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 </w:t>
      </w:r>
      <w:proofErr w:type="spellStart"/>
      <w:r w:rsidRPr="00157377">
        <w:rPr>
          <w:rFonts w:ascii="Simplified Arabic" w:eastAsia="Calibri" w:hAnsi="Simplified Arabic" w:cs="Simplified Arabic"/>
          <w:sz w:val="28"/>
          <w:szCs w:val="28"/>
          <w:rtl/>
        </w:rPr>
        <w:t>عبدالمليك</w:t>
      </w:r>
      <w:proofErr w:type="spellEnd"/>
      <w:r w:rsidRPr="00157377">
        <w:rPr>
          <w:rFonts w:ascii="Simplified Arabic" w:eastAsia="Calibri" w:hAnsi="Simplified Arabic" w:cs="Simplified Arabic"/>
          <w:sz w:val="28"/>
          <w:szCs w:val="28"/>
          <w:rtl/>
        </w:rPr>
        <w:t xml:space="preserve"> , 2001 ,ص 88)</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تصنيف الأداء حسب معيار الطبيعة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يقسم هذا التصنيف الأداء وفقًا لطبيعة الأهداف التي تسعى المؤسسة إلى تحقيقها، فيمكن، من منظور منطقي، التمييز بين أنواع متعددة من الأداء، منها: الاقتصادي، الاجتماعي، التقني، السياسي، والثقافي. ويعكس هذا التصنيف تعدّد أبعاد أداء المؤسسة وتنوّع مقاييس نجاحها:</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 </w:t>
      </w:r>
      <w:proofErr w:type="spellStart"/>
      <w:r w:rsidRPr="00157377">
        <w:rPr>
          <w:rFonts w:ascii="Simplified Arabic" w:eastAsia="Calibri" w:hAnsi="Simplified Arabic" w:cs="Simplified Arabic"/>
          <w:sz w:val="28"/>
          <w:szCs w:val="28"/>
          <w:rtl/>
        </w:rPr>
        <w:t>عبدالمليك</w:t>
      </w:r>
      <w:proofErr w:type="spellEnd"/>
      <w:r w:rsidRPr="00157377">
        <w:rPr>
          <w:rFonts w:ascii="Simplified Arabic" w:eastAsia="Calibri" w:hAnsi="Simplified Arabic" w:cs="Simplified Arabic"/>
          <w:sz w:val="28"/>
          <w:szCs w:val="28"/>
          <w:rtl/>
        </w:rPr>
        <w:t xml:space="preserve"> , 2001 ,ص 89)</w:t>
      </w:r>
    </w:p>
    <w:p w:rsidR="00157377" w:rsidRPr="00157377" w:rsidRDefault="00157377" w:rsidP="00157377">
      <w:pPr>
        <w:numPr>
          <w:ilvl w:val="0"/>
          <w:numId w:val="19"/>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الأداء الاقتصادي: يرتبط بتحقيق المهمة الأساسية للمؤسسة من خلال توليد فائض اقتصادي، مثل الأرباح أو القيمة المضافة.</w:t>
      </w:r>
    </w:p>
    <w:p w:rsidR="00157377" w:rsidRPr="00157377" w:rsidRDefault="00157377" w:rsidP="00157377">
      <w:pPr>
        <w:numPr>
          <w:ilvl w:val="0"/>
          <w:numId w:val="19"/>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الأداء الاجتماعي: يتعلق بتأثير المؤسسة على المجتمع وصورتها الاجتماعية، ويشمل مسؤوليتها الاجتماعية ودرجة مساهمتها في الرفاه العام.</w:t>
      </w:r>
    </w:p>
    <w:p w:rsidR="00157377" w:rsidRPr="00157377" w:rsidRDefault="00157377" w:rsidP="00157377">
      <w:pPr>
        <w:numPr>
          <w:ilvl w:val="0"/>
          <w:numId w:val="19"/>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الأداء التقني/التكنولوجي: يقاس بقدرة المؤسسة على تطوير أو امتلاك تكنولوجيا متقدمة أو التحكم في مجالات تقنية محددة.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 </w:t>
      </w:r>
      <w:proofErr w:type="spellStart"/>
      <w:r w:rsidRPr="00157377">
        <w:rPr>
          <w:rFonts w:ascii="Simplified Arabic" w:eastAsia="Calibri" w:hAnsi="Simplified Arabic" w:cs="Simplified Arabic"/>
          <w:sz w:val="28"/>
          <w:szCs w:val="28"/>
          <w:rtl/>
        </w:rPr>
        <w:t>عبدالمليك</w:t>
      </w:r>
      <w:proofErr w:type="spellEnd"/>
      <w:r w:rsidRPr="00157377">
        <w:rPr>
          <w:rFonts w:ascii="Simplified Arabic" w:eastAsia="Calibri" w:hAnsi="Simplified Arabic" w:cs="Simplified Arabic"/>
          <w:sz w:val="28"/>
          <w:szCs w:val="28"/>
          <w:rtl/>
        </w:rPr>
        <w:t xml:space="preserve"> , 2001 ,ص 89)</w:t>
      </w:r>
    </w:p>
    <w:p w:rsidR="00157377" w:rsidRPr="00157377" w:rsidRDefault="00157377" w:rsidP="00157377">
      <w:pPr>
        <w:numPr>
          <w:ilvl w:val="0"/>
          <w:numId w:val="19"/>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الأداء الثقافي والسياسي: يظهر عندما تسعى المؤسسة إلى تشكيل ثقافة مؤسسية أو التأثير في السلوك الثقافي المحيط بها، أو عندما تتدخل في المجال السياسي لتحقيق امتيازات أو أهداف استراتيجية.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 </w:t>
      </w:r>
      <w:proofErr w:type="spellStart"/>
      <w:r w:rsidRPr="00157377">
        <w:rPr>
          <w:rFonts w:ascii="Simplified Arabic" w:eastAsia="Calibri" w:hAnsi="Simplified Arabic" w:cs="Simplified Arabic"/>
          <w:sz w:val="28"/>
          <w:szCs w:val="28"/>
          <w:rtl/>
        </w:rPr>
        <w:t>عبدالمليك</w:t>
      </w:r>
      <w:proofErr w:type="spellEnd"/>
      <w:r w:rsidRPr="00157377">
        <w:rPr>
          <w:rFonts w:ascii="Simplified Arabic" w:eastAsia="Calibri" w:hAnsi="Simplified Arabic" w:cs="Simplified Arabic"/>
          <w:sz w:val="28"/>
          <w:szCs w:val="28"/>
          <w:rtl/>
        </w:rPr>
        <w:t xml:space="preserve"> , 2001 ,ص 89)</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تلازم الأبعاد وضرورة التكامل</w:t>
      </w:r>
    </w:p>
    <w:p w:rsidR="00157377" w:rsidRDefault="00157377" w:rsidP="00157377">
      <w:pPr>
        <w:spacing w:after="0"/>
        <w:ind w:left="360"/>
        <w:jc w:val="both"/>
        <w:rPr>
          <w:rFonts w:ascii="Simplified Arabic" w:eastAsia="Calibri" w:hAnsi="Simplified Arabic" w:cs="Simplified Arabic" w:hint="cs"/>
          <w:sz w:val="28"/>
          <w:szCs w:val="28"/>
          <w:rtl/>
        </w:rPr>
      </w:pPr>
      <w:r w:rsidRPr="00157377">
        <w:rPr>
          <w:rFonts w:ascii="Simplified Arabic" w:eastAsia="Calibri" w:hAnsi="Simplified Arabic" w:cs="Simplified Arabic"/>
          <w:sz w:val="28"/>
          <w:szCs w:val="28"/>
          <w:rtl/>
        </w:rPr>
        <w:t xml:space="preserve">لا ينبغي النظر إلى هذه الأنواع بمعزل عن بعضها؛ فالمؤسسة الناجحة هي التي تحقق توازنًا وتكاملًا بين الأداء الاقتصادي والاجتماعي والتقني وغيره من الأبعاد. ( </w:t>
      </w:r>
      <w:proofErr w:type="spellStart"/>
      <w:r w:rsidRPr="00157377">
        <w:rPr>
          <w:rFonts w:ascii="Simplified Arabic" w:eastAsia="Calibri" w:hAnsi="Simplified Arabic" w:cs="Simplified Arabic"/>
          <w:sz w:val="28"/>
          <w:szCs w:val="28"/>
          <w:rtl/>
        </w:rPr>
        <w:t>عبدالمليك</w:t>
      </w:r>
      <w:proofErr w:type="spellEnd"/>
      <w:r w:rsidRPr="00157377">
        <w:rPr>
          <w:rFonts w:ascii="Simplified Arabic" w:eastAsia="Calibri" w:hAnsi="Simplified Arabic" w:cs="Simplified Arabic"/>
          <w:sz w:val="28"/>
          <w:szCs w:val="28"/>
          <w:rtl/>
        </w:rPr>
        <w:t xml:space="preserve"> , 2001 ,ص 90)</w:t>
      </w:r>
    </w:p>
    <w:p w:rsidR="00157377" w:rsidRPr="00157377" w:rsidRDefault="00157377" w:rsidP="00157377">
      <w:pPr>
        <w:spacing w:after="0"/>
        <w:ind w:left="360"/>
        <w:jc w:val="both"/>
        <w:rPr>
          <w:rFonts w:ascii="Simplified Arabic" w:eastAsia="Calibri" w:hAnsi="Simplified Arabic" w:cs="Simplified Arabic"/>
          <w:sz w:val="28"/>
          <w:szCs w:val="28"/>
          <w:rtl/>
        </w:rPr>
      </w:pP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lastRenderedPageBreak/>
        <w:t>فمثلاً، تحسين الصورة المؤسسية لا يتحقق بالاعتماد على الأداء الاقتصادي أو التكنولوجي وحدهما، بل يتطلب أيضًا أداءً اجتماعيًا قويًا. كما أن السعي لتحقيق أهداف سياسية أو ثقافية قد يكون جزءًا من استراتيجية مؤسسية أوسع، خاصة في سياق الشركات متعددة الجنسيات أو المؤسسات ذات الأثر المجتمعي الكبير. وبناءً على ما سبق، يمكن القول إن تصنيف الأداء يجب أن يستند إلى معيارٍ متعدد الأبعاد يأخذ في الاعتبار الشمولية (كلي/جزئي) وطبيعة الأهداف (اقتصادية، اجتماعية، تقنية، سياسية، ثقافية). كما أن فهم الأداء الفعلي للمؤسسة يستلزم دراسة تفاعل أداء وحداتها الفرعية مع الأهداف الاستراتيجية الكلية، والسعي نحو تحقيق توازن بين مختلف أنواع الأداء لضمان استدامة النجاح المؤسسي.</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 </w:t>
      </w:r>
      <w:proofErr w:type="spellStart"/>
      <w:r w:rsidRPr="00157377">
        <w:rPr>
          <w:rFonts w:ascii="Simplified Arabic" w:eastAsia="Calibri" w:hAnsi="Simplified Arabic" w:cs="Simplified Arabic"/>
          <w:sz w:val="28"/>
          <w:szCs w:val="28"/>
          <w:rtl/>
        </w:rPr>
        <w:t>عبدالمليك</w:t>
      </w:r>
      <w:proofErr w:type="spellEnd"/>
      <w:r w:rsidRPr="00157377">
        <w:rPr>
          <w:rFonts w:ascii="Simplified Arabic" w:eastAsia="Calibri" w:hAnsi="Simplified Arabic" w:cs="Simplified Arabic"/>
          <w:sz w:val="28"/>
          <w:szCs w:val="28"/>
          <w:rtl/>
        </w:rPr>
        <w:t xml:space="preserve"> , 2001 ,ص 90)</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كفاءة أداء المؤسسات</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 xml:space="preserve">تعريف ومقاربة </w:t>
      </w:r>
      <w:proofErr w:type="spellStart"/>
      <w:r w:rsidRPr="00157377">
        <w:rPr>
          <w:rFonts w:ascii="Simplified Arabic" w:eastAsia="Calibri" w:hAnsi="Simplified Arabic" w:cs="Simplified Arabic"/>
          <w:b/>
          <w:bCs/>
          <w:sz w:val="28"/>
          <w:szCs w:val="28"/>
          <w:rtl/>
        </w:rPr>
        <w:t>مفاهيمية</w:t>
      </w:r>
      <w:proofErr w:type="spellEnd"/>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تُعرَّف كفاءة أداء المؤسسة على أنها نتاج تفاعل السلوك مع الإنجاز، حيث يعكس الأداء قدرة المؤسسة ومواردها البشرية والتنظيمية والتقنية على تحقيق الأهداف المرسومة بكفاءة وفعالية. ( العنزي واخرون , 2022 , ص 7)</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ويشمل هذا المفهوم بعدين مترابطين: الفعالية التي تقيس مدى بلوغ الأهداف، والكفاءة التي تقيس مدى الاقتصاد في استخدام الموارد لتحقيق تلك الأهداف.</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العنزي واخرون , 2022 , ص 7)</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مؤشرات قياس كفاءة الأداء</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تُقاس كفاءة أداء المؤسسات عبر مجموعة من المؤشرات الكمية والنوعية التي تتناول جوانب متعددة من العمل المؤسسي، من بينها: الفعالية المالية، الكفاءة الإنتاجية، جودة المخرجات والخدمات، وملاءمة العمليات التنظيمية للأهداف الاستراتيجية.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العنزي واخرون , 2022 , ص 7)</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 ويعكس مستوى الكفاءة قدرة المؤسسة على تحويل المدخلات إلى مخرجات ذات قيمة مضافة بأقل تكلفة ممكنة وبأعلى جودة ممكنة.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العنزي واخرون , 2022 , ص 7)</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أبعاد كفاءة الأداء وعلاقاتها بالمتغيرات المؤسسية</w:t>
      </w:r>
    </w:p>
    <w:p w:rsidR="00157377" w:rsidRPr="00157377" w:rsidRDefault="00157377" w:rsidP="00157377">
      <w:pPr>
        <w:numPr>
          <w:ilvl w:val="3"/>
          <w:numId w:val="3"/>
        </w:numPr>
        <w:spacing w:after="0" w:line="259" w:lineRule="auto"/>
        <w:ind w:left="752"/>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الأداء والرضا الوظيفي حيث يرتبط الرضا الوظيفي بمستوى الأداء عبر علاقة شرطية؛ فالحوافز والمكافآت المبنية على الأداء الفعلي تعزز شعور العاملين بالإنصاف والاعتراف، ما ينعكس بدوره على استمرارهم في تقديم أداء مرتفع. بالتالي، يصبح الرضا نتيجة ومحددًا متبادلًا للأداء المؤسسي.</w:t>
      </w:r>
      <w:r>
        <w:rPr>
          <w:rFonts w:ascii="Simplified Arabic" w:eastAsia="Calibri" w:hAnsi="Simplified Arabic" w:cs="Simplified Arabic" w:hint="cs"/>
          <w:sz w:val="28"/>
          <w:szCs w:val="28"/>
          <w:rtl/>
        </w:rPr>
        <w:t xml:space="preserve">  </w:t>
      </w:r>
      <w:r w:rsidRPr="00157377">
        <w:rPr>
          <w:rFonts w:ascii="Simplified Arabic" w:eastAsia="Calibri" w:hAnsi="Simplified Arabic" w:cs="Simplified Arabic"/>
          <w:sz w:val="28"/>
          <w:szCs w:val="28"/>
          <w:rtl/>
        </w:rPr>
        <w:t>( العنزي واخرون , 2022 , ص 7)</w:t>
      </w:r>
    </w:p>
    <w:p w:rsidR="00157377" w:rsidRPr="00157377" w:rsidRDefault="00157377" w:rsidP="00157377">
      <w:pPr>
        <w:numPr>
          <w:ilvl w:val="3"/>
          <w:numId w:val="3"/>
        </w:numPr>
        <w:spacing w:after="0" w:line="259" w:lineRule="auto"/>
        <w:ind w:left="752"/>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lastRenderedPageBreak/>
        <w:t>الأداء والدافعية حيث تُعدّ الدافعية المحرك الداخلي الأساسي الذي يدفع الأفراد إلى استثمار قدراتهم ومهاراتهم لتحقيق أفضل أداء. مؤسساتٌ تتميز بسياسات تحفيزية واضحة وبرامج تطوير مهني مستمرة تشهد عادة ارتفاعًا في مستوى الدافعية وبالتالي في كفاءة الأداء.</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العنزي واخرون , 2022 , ص 7)</w:t>
      </w:r>
    </w:p>
    <w:p w:rsidR="00157377" w:rsidRPr="00157377" w:rsidRDefault="00157377" w:rsidP="00157377">
      <w:pPr>
        <w:numPr>
          <w:ilvl w:val="0"/>
          <w:numId w:val="3"/>
        </w:numPr>
        <w:spacing w:after="0" w:line="259" w:lineRule="auto"/>
        <w:ind w:left="752"/>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الأداء والتحفيز حيث تعمل المحفزات المادية والمعنوية كعوامل خارجية تؤثر في سلوك العاملين، إذ يسهم إشباع الحاجات المادية والمعنوية في رفع مستوى الالتزام والجهد المبذول، ما يؤدي إلى تحسين كفاءة الأداء على مستوى الوحدات والمؤسسة ككل.</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العنزي واخرون , 2022 , ص 7)</w:t>
      </w:r>
    </w:p>
    <w:p w:rsidR="00157377" w:rsidRPr="00157377" w:rsidRDefault="00157377" w:rsidP="00157377">
      <w:pPr>
        <w:numPr>
          <w:ilvl w:val="0"/>
          <w:numId w:val="3"/>
        </w:numPr>
        <w:spacing w:after="0" w:line="259" w:lineRule="auto"/>
        <w:contextualSpacing/>
        <w:jc w:val="both"/>
        <w:rPr>
          <w:rFonts w:ascii="Simplified Arabic" w:eastAsia="Calibri" w:hAnsi="Simplified Arabic" w:cs="Simplified Arabic"/>
          <w:sz w:val="28"/>
          <w:szCs w:val="28"/>
        </w:rPr>
      </w:pPr>
      <w:r w:rsidRPr="00157377">
        <w:rPr>
          <w:rFonts w:ascii="Simplified Arabic" w:eastAsia="Calibri" w:hAnsi="Simplified Arabic" w:cs="Simplified Arabic"/>
          <w:sz w:val="28"/>
          <w:szCs w:val="28"/>
          <w:rtl/>
        </w:rPr>
        <w:t>الأداء وضغوط العمل قد تكون مستويات معتدلة من ضغوط العمل محفزة للإبداع والابتكار، إذ تدفع العاملين إلى البحث عن حلول عملية للمشكلات واتخاذ قرارات سريعة وفعالة.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العنزي واخرون , 2022 , ص 7)</w:t>
      </w:r>
    </w:p>
    <w:p w:rsidR="00157377" w:rsidRPr="00157377" w:rsidRDefault="00157377" w:rsidP="00157377">
      <w:pPr>
        <w:numPr>
          <w:ilvl w:val="0"/>
          <w:numId w:val="3"/>
        </w:numPr>
        <w:spacing w:after="0" w:line="259" w:lineRule="auto"/>
        <w:ind w:left="752"/>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 ومع ذلك، فإن الضغوط المفرطة قد تؤدي إلى تراجع الأداء، لذا يتطلب الأمر إدارة متوازنة للضغوط المهنية.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العنزي واخرون , 2022 , ص 7)</w:t>
      </w:r>
    </w:p>
    <w:p w:rsidR="00157377" w:rsidRPr="00157377" w:rsidRDefault="00157377" w:rsidP="00157377">
      <w:pPr>
        <w:numPr>
          <w:ilvl w:val="0"/>
          <w:numId w:val="3"/>
        </w:numPr>
        <w:spacing w:after="0" w:line="259" w:lineRule="auto"/>
        <w:ind w:left="752"/>
        <w:contextualSpacing/>
        <w:jc w:val="both"/>
        <w:rPr>
          <w:rFonts w:ascii="Simplified Arabic" w:eastAsia="Calibri" w:hAnsi="Simplified Arabic" w:cs="Simplified Arabic"/>
          <w:sz w:val="28"/>
          <w:szCs w:val="28"/>
        </w:rPr>
      </w:pPr>
      <w:r w:rsidRPr="00157377">
        <w:rPr>
          <w:rFonts w:ascii="Simplified Arabic" w:eastAsia="Calibri" w:hAnsi="Simplified Arabic" w:cs="Simplified Arabic"/>
          <w:sz w:val="28"/>
          <w:szCs w:val="28"/>
          <w:rtl/>
        </w:rPr>
        <w:t>الأداء والتكوين المهني حيث  يسهم التدريب والتطوير في رفع مستوى المعارف والمهارات لدى الأفراد، وبالتالي في تحسين كفاءتهم في أداء المهام. الاستثمار المنهجي في التكوين يعدّ ركيزة أساسية لتعزيز الأداء المؤسسي المستدام.</w:t>
      </w:r>
    </w:p>
    <w:p w:rsidR="00157377" w:rsidRPr="00157377" w:rsidRDefault="00157377" w:rsidP="00157377">
      <w:pPr>
        <w:numPr>
          <w:ilvl w:val="0"/>
          <w:numId w:val="3"/>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الأداء والرقابة على الموارد البشرية حيث تُمكّن آليات الرقابة الفعّالة من متابعة تنفيذ الخطط، كشف مواطن القصور، وتحديد احتياجات التطوير، ما يتيح اتخاذ إجراءات تصحيحية مبكرة تضمن تحقيق مستويات أعلى من الكفاءة. </w:t>
      </w:r>
    </w:p>
    <w:p w:rsidR="00157377" w:rsidRPr="00157377" w:rsidRDefault="00157377" w:rsidP="00157377">
      <w:pPr>
        <w:numPr>
          <w:ilvl w:val="0"/>
          <w:numId w:val="3"/>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الأداء والتخطيط للموارد البشرية حيث  يسهم التخطيط الاستراتيجي للموارد البشرية المبني على أسس علمية في توفير الكفاءات المناسبة وتوزيعها بما يخدم أهداف المؤسسة، ويضمن استدامة الأداء الجيد عبر الزمن.</w:t>
      </w:r>
      <w:r w:rsidRPr="00157377">
        <w:rPr>
          <w:rFonts w:ascii="Calibri" w:eastAsia="Calibri" w:hAnsi="Calibri" w:cs="Arial"/>
          <w:kern w:val="2"/>
          <w:rtl/>
          <w14:ligatures w14:val="standardContextual"/>
        </w:rPr>
        <w:t xml:space="preserve"> </w:t>
      </w:r>
      <w:r w:rsidRPr="00157377">
        <w:rPr>
          <w:rFonts w:ascii="Simplified Arabic" w:eastAsia="Calibri" w:hAnsi="Simplified Arabic" w:cs="Simplified Arabic"/>
          <w:sz w:val="28"/>
          <w:szCs w:val="28"/>
          <w:rtl/>
        </w:rPr>
        <w:t>( العنزي واخرون , 2022 , ص 8)</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أثر كفاءة الأداء على استدامة المؤسسة</w:t>
      </w:r>
    </w:p>
    <w:p w:rsidR="00157377" w:rsidRDefault="00157377" w:rsidP="00157377">
      <w:pPr>
        <w:spacing w:after="0"/>
        <w:ind w:left="360"/>
        <w:jc w:val="both"/>
        <w:rPr>
          <w:rFonts w:ascii="Simplified Arabic" w:eastAsia="Calibri" w:hAnsi="Simplified Arabic" w:cs="Simplified Arabic" w:hint="cs"/>
          <w:sz w:val="28"/>
          <w:szCs w:val="28"/>
          <w:rtl/>
        </w:rPr>
      </w:pPr>
      <w:r w:rsidRPr="00157377">
        <w:rPr>
          <w:rFonts w:ascii="Simplified Arabic" w:eastAsia="Calibri" w:hAnsi="Simplified Arabic" w:cs="Simplified Arabic"/>
          <w:sz w:val="28"/>
          <w:szCs w:val="28"/>
          <w:rtl/>
        </w:rPr>
        <w:t>تحسين كفاءة الأداء يعزز قدرة المؤسسة على المنافسة والاستمرارية، إذ يؤدي إلى تقليل الهدر في الموارد، رفع جودة المخرجات، وزيادة رضا المستفيدين وأصحاب المصلحة. كما يساهم في بناء صورة مؤسسية إيجابية وجذب الموارد البشرية والمادية اللازمة للتوسع والتطوير.</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العنزي واخرون , 2022 , ص 8)</w:t>
      </w:r>
    </w:p>
    <w:p w:rsidR="00157377" w:rsidRPr="00157377" w:rsidRDefault="00157377" w:rsidP="00157377">
      <w:pPr>
        <w:spacing w:after="0"/>
        <w:ind w:left="360"/>
        <w:jc w:val="both"/>
        <w:rPr>
          <w:rFonts w:ascii="Simplified Arabic" w:eastAsia="Calibri" w:hAnsi="Simplified Arabic" w:cs="Simplified Arabic"/>
          <w:sz w:val="28"/>
          <w:szCs w:val="28"/>
          <w:rtl/>
        </w:rPr>
      </w:pP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lastRenderedPageBreak/>
        <w:t xml:space="preserve">كفاءة أداء الموظفين </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لم يتبلور تعريف موحّد لكفاءة أداء الموظفين يجمع كل وجهات النظر العلمية، إذ اختلف الباحثون في تحديد معالمها وسبل تحقيقها تبعًا لاختصاصاتهم وخلفياتهم النظرية. ومع ذلك، يمكن تبني تعريف عملي يُستخدم في الأطر الإدارية، وهو أن كفاءة أداء الموظفين عملية منهجية لقياس وتقييم أداء العاملين خلال فترة زمنية محددة وبشكل دوري، تتضمن متابعة تنفيذ خطط العمل من قبل المدير المباشر، وتحليل النتائج، ثم اتخاذ القرارات والإجراءات التصحيحية والتطويرية اللازمة لتحسين الأداء (داود والمواشي، 2016 , ص 96).</w:t>
      </w:r>
    </w:p>
    <w:p w:rsidR="00157377" w:rsidRPr="00157377" w:rsidRDefault="00157377" w:rsidP="00157377">
      <w:pPr>
        <w:spacing w:after="0"/>
        <w:ind w:left="360"/>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دلالات ومكونات عملية قياس الكفاءة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تتجاوز كفاءة الأداء مجرد قياس إنجاز المهام؛ فهي تعكس قدرة المؤسسة على توظيف مواردها المتاحة بكفاءة وفاعلية لتحقيق أهدافها. ومن هذا المنطلق، تُعد عملية قياس الكفاءة مجموعة من الأنشطة والدراسات التي تهدف إلى:</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 xml:space="preserve">(البنوان، </w:t>
      </w:r>
      <w:proofErr w:type="spellStart"/>
      <w:r w:rsidRPr="00157377">
        <w:rPr>
          <w:rFonts w:ascii="Simplified Arabic" w:eastAsia="Calibri" w:hAnsi="Simplified Arabic" w:cs="Simplified Arabic"/>
          <w:sz w:val="28"/>
          <w:szCs w:val="28"/>
          <w:rtl/>
        </w:rPr>
        <w:t>والضلاعين</w:t>
      </w:r>
      <w:proofErr w:type="spellEnd"/>
      <w:r w:rsidRPr="00157377">
        <w:rPr>
          <w:rFonts w:ascii="Simplified Arabic" w:eastAsia="Calibri" w:hAnsi="Simplified Arabic" w:cs="Simplified Arabic"/>
          <w:sz w:val="28"/>
          <w:szCs w:val="28"/>
          <w:rtl/>
        </w:rPr>
        <w:t xml:space="preserve">  2011 , ص 45).</w:t>
      </w:r>
    </w:p>
    <w:p w:rsidR="00157377" w:rsidRPr="00157377" w:rsidRDefault="00157377" w:rsidP="00157377">
      <w:pPr>
        <w:numPr>
          <w:ilvl w:val="0"/>
          <w:numId w:val="20"/>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تحديد العلاقة بين الموارد المتاحة ومدى كفاءة استخدامها داخل المنظمة.</w:t>
      </w:r>
    </w:p>
    <w:p w:rsidR="00157377" w:rsidRPr="00157377" w:rsidRDefault="00157377" w:rsidP="00157377">
      <w:pPr>
        <w:numPr>
          <w:ilvl w:val="0"/>
          <w:numId w:val="20"/>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قياس صلاحيات الموظفين وإنجازاتهم وسلوكهم المهني في سياق عملهم الحالي، لتقييم مدى قدرتهم على تحمل المسؤوليات الحالية واستعدادهم لتقلد مناصب أعلى مستقبلًا </w:t>
      </w:r>
    </w:p>
    <w:p w:rsidR="00157377" w:rsidRPr="00157377" w:rsidRDefault="00157377" w:rsidP="00157377">
      <w:pPr>
        <w:numPr>
          <w:ilvl w:val="0"/>
          <w:numId w:val="20"/>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توفير معلومات موضوعية تساعد في كشف الانحرافات عن الأهداف المخططة، سواء كانت انحرافات إيجابية أو سلبية، وتحليل أسبابها واقتراح سبل معالجتها (البنوان، </w:t>
      </w:r>
      <w:proofErr w:type="spellStart"/>
      <w:r w:rsidRPr="00157377">
        <w:rPr>
          <w:rFonts w:ascii="Simplified Arabic" w:eastAsia="Calibri" w:hAnsi="Simplified Arabic" w:cs="Simplified Arabic"/>
          <w:sz w:val="28"/>
          <w:szCs w:val="28"/>
          <w:rtl/>
        </w:rPr>
        <w:t>والضلاعين</w:t>
      </w:r>
      <w:proofErr w:type="spellEnd"/>
      <w:r w:rsidRPr="00157377">
        <w:rPr>
          <w:rFonts w:ascii="Simplified Arabic" w:eastAsia="Calibri" w:hAnsi="Simplified Arabic" w:cs="Simplified Arabic"/>
          <w:sz w:val="28"/>
          <w:szCs w:val="28"/>
          <w:rtl/>
        </w:rPr>
        <w:t xml:space="preserve">  2011 , ص 45).</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أهمية كفاءة الأداء في الإطار الإداري الشامل</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تُعد عملية قياس كفاءة الأداء حلقة أساسية ضمن منظومة الإدارة العامة؛ إذ تزود صانعي القرار بمؤشرات قابلة للقياس تساعد في:</w:t>
      </w:r>
      <w:r w:rsidRPr="00157377">
        <w:rPr>
          <w:rFonts w:ascii="Calibri" w:eastAsia="Calibri" w:hAnsi="Calibri" w:cs="Arial"/>
          <w:kern w:val="2"/>
          <w:rtl/>
          <w14:ligatures w14:val="standardContextual"/>
        </w:rPr>
        <w:t xml:space="preserve"> </w:t>
      </w:r>
      <w:r w:rsidRPr="00157377">
        <w:rPr>
          <w:rFonts w:ascii="Simplified Arabic" w:eastAsia="Calibri" w:hAnsi="Simplified Arabic" w:cs="Simplified Arabic"/>
          <w:sz w:val="28"/>
          <w:szCs w:val="28"/>
          <w:rtl/>
        </w:rPr>
        <w:t xml:space="preserve">(البنوان، </w:t>
      </w:r>
      <w:proofErr w:type="spellStart"/>
      <w:r w:rsidRPr="00157377">
        <w:rPr>
          <w:rFonts w:ascii="Simplified Arabic" w:eastAsia="Calibri" w:hAnsi="Simplified Arabic" w:cs="Simplified Arabic"/>
          <w:sz w:val="28"/>
          <w:szCs w:val="28"/>
          <w:rtl/>
        </w:rPr>
        <w:t>والضلاعين</w:t>
      </w:r>
      <w:proofErr w:type="spellEnd"/>
      <w:r w:rsidRPr="00157377">
        <w:rPr>
          <w:rFonts w:ascii="Simplified Arabic" w:eastAsia="Calibri" w:hAnsi="Simplified Arabic" w:cs="Simplified Arabic"/>
          <w:sz w:val="28"/>
          <w:szCs w:val="28"/>
          <w:rtl/>
        </w:rPr>
        <w:t xml:space="preserve">  2011 , ص 45).</w:t>
      </w:r>
    </w:p>
    <w:p w:rsidR="00157377" w:rsidRPr="00157377" w:rsidRDefault="00157377" w:rsidP="00157377">
      <w:pPr>
        <w:numPr>
          <w:ilvl w:val="0"/>
          <w:numId w:val="12"/>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تحسين فاعلية المنظمة وملاءمتها لبيئة العمل ومتطلبات المستفيدين.</w:t>
      </w:r>
    </w:p>
    <w:p w:rsidR="00157377" w:rsidRPr="00157377" w:rsidRDefault="00157377" w:rsidP="00157377">
      <w:pPr>
        <w:numPr>
          <w:ilvl w:val="0"/>
          <w:numId w:val="12"/>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ضمان استدامة الأداء عبر ربط نتائج التقييم بخطط تدريبية وتطويرية وسياسات تحفيزية.</w:t>
      </w:r>
    </w:p>
    <w:p w:rsidR="00157377" w:rsidRPr="00157377" w:rsidRDefault="00157377" w:rsidP="00157377">
      <w:pPr>
        <w:numPr>
          <w:ilvl w:val="0"/>
          <w:numId w:val="12"/>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تعزيز المساءلة والشفافية من خلال توثيق الأداء ومقارنته بالأهداف المحددة.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أهداف عملية تحقيق كفاءة الأداء</w:t>
      </w:r>
    </w:p>
    <w:p w:rsidR="00157377" w:rsidRDefault="00157377" w:rsidP="00157377">
      <w:pPr>
        <w:spacing w:after="0"/>
        <w:ind w:left="360"/>
        <w:jc w:val="both"/>
        <w:rPr>
          <w:rFonts w:ascii="Simplified Arabic" w:eastAsia="Calibri" w:hAnsi="Simplified Arabic" w:cs="Simplified Arabic" w:hint="cs"/>
          <w:sz w:val="28"/>
          <w:szCs w:val="28"/>
          <w:rtl/>
        </w:rPr>
      </w:pPr>
      <w:r w:rsidRPr="00157377">
        <w:rPr>
          <w:rFonts w:ascii="Simplified Arabic" w:eastAsia="Calibri" w:hAnsi="Simplified Arabic" w:cs="Simplified Arabic"/>
          <w:sz w:val="28"/>
          <w:szCs w:val="28"/>
          <w:rtl/>
        </w:rPr>
        <w:t xml:space="preserve">تهدف أنظمة قياس كفاءة الأداء إلى مجموعة من النتائج العملية التي تساهم في رفع مستوى المؤسسة، ويمكن إجمالها فيما يلي </w:t>
      </w:r>
      <w:r w:rsidRPr="00157377">
        <w:rPr>
          <w:rFonts w:ascii="Simplified Arabic" w:eastAsia="Calibri" w:hAnsi="Simplified Arabic" w:cs="Simplified Arabic"/>
          <w:sz w:val="28"/>
          <w:szCs w:val="28"/>
          <w:rtl/>
        </w:rPr>
        <w:t xml:space="preserve">(البنوان، </w:t>
      </w:r>
      <w:proofErr w:type="spellStart"/>
      <w:r w:rsidRPr="00157377">
        <w:rPr>
          <w:rFonts w:ascii="Simplified Arabic" w:eastAsia="Calibri" w:hAnsi="Simplified Arabic" w:cs="Simplified Arabic"/>
          <w:sz w:val="28"/>
          <w:szCs w:val="28"/>
          <w:rtl/>
        </w:rPr>
        <w:t>والضلاعين</w:t>
      </w:r>
      <w:proofErr w:type="spellEnd"/>
      <w:r w:rsidRPr="00157377">
        <w:rPr>
          <w:rFonts w:ascii="Simplified Arabic" w:eastAsia="Calibri" w:hAnsi="Simplified Arabic" w:cs="Simplified Arabic"/>
          <w:sz w:val="28"/>
          <w:szCs w:val="28"/>
          <w:rtl/>
        </w:rPr>
        <w:t xml:space="preserve">  2011 , ص 45).</w:t>
      </w:r>
    </w:p>
    <w:p w:rsidR="00157377" w:rsidRPr="00157377" w:rsidRDefault="00157377" w:rsidP="00157377">
      <w:pPr>
        <w:spacing w:after="0"/>
        <w:ind w:left="360"/>
        <w:jc w:val="both"/>
        <w:rPr>
          <w:rFonts w:ascii="Simplified Arabic" w:eastAsia="Calibri" w:hAnsi="Simplified Arabic" w:cs="Simplified Arabic"/>
          <w:sz w:val="28"/>
          <w:szCs w:val="28"/>
          <w:rtl/>
        </w:rPr>
      </w:pPr>
    </w:p>
    <w:p w:rsidR="00157377" w:rsidRPr="00157377" w:rsidRDefault="00157377" w:rsidP="00157377">
      <w:pPr>
        <w:numPr>
          <w:ilvl w:val="0"/>
          <w:numId w:val="21"/>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lastRenderedPageBreak/>
        <w:t>التحقق من جودة أداء الموظفين والعمل على تحسينها بصورة مستمرة.</w:t>
      </w:r>
    </w:p>
    <w:p w:rsidR="00157377" w:rsidRPr="00157377" w:rsidRDefault="00157377" w:rsidP="00157377">
      <w:pPr>
        <w:numPr>
          <w:ilvl w:val="0"/>
          <w:numId w:val="21"/>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إتاحة فرص التعلم الجماعي ونقل الخبرات بين الأفراد والوحدات داخل المؤسسة.</w:t>
      </w:r>
    </w:p>
    <w:p w:rsidR="00157377" w:rsidRPr="00157377" w:rsidRDefault="00157377" w:rsidP="00157377">
      <w:pPr>
        <w:numPr>
          <w:ilvl w:val="0"/>
          <w:numId w:val="21"/>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تحديد الاستراتيجيات الناجحة لتوسيع نطاق تطبيقها وتكرار اعتمادها في سياقات مماثلة.</w:t>
      </w:r>
    </w:p>
    <w:p w:rsidR="00157377" w:rsidRPr="00157377" w:rsidRDefault="00157377" w:rsidP="00157377">
      <w:pPr>
        <w:numPr>
          <w:ilvl w:val="0"/>
          <w:numId w:val="21"/>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كشف الاستراتيجيات غير الناجحة وتعديلها أو استبدالها بما يحقق نتائج أفضل.</w:t>
      </w:r>
    </w:p>
    <w:p w:rsidR="00157377" w:rsidRPr="00157377" w:rsidRDefault="00157377" w:rsidP="00157377">
      <w:pPr>
        <w:numPr>
          <w:ilvl w:val="0"/>
          <w:numId w:val="21"/>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توفير بيانات موضوعية للجهات المعنية حول مخرجات المنظمة وجودتها، مما يسهم في تحسين التخطيط والسياسات. (البنوان، </w:t>
      </w:r>
      <w:proofErr w:type="spellStart"/>
      <w:r w:rsidRPr="00157377">
        <w:rPr>
          <w:rFonts w:ascii="Simplified Arabic" w:eastAsia="Calibri" w:hAnsi="Simplified Arabic" w:cs="Simplified Arabic"/>
          <w:sz w:val="28"/>
          <w:szCs w:val="28"/>
          <w:rtl/>
        </w:rPr>
        <w:t>والضلاعين</w:t>
      </w:r>
      <w:proofErr w:type="spellEnd"/>
      <w:r w:rsidRPr="00157377">
        <w:rPr>
          <w:rFonts w:ascii="Simplified Arabic" w:eastAsia="Calibri" w:hAnsi="Simplified Arabic" w:cs="Simplified Arabic"/>
          <w:sz w:val="28"/>
          <w:szCs w:val="28"/>
          <w:rtl/>
        </w:rPr>
        <w:t xml:space="preserve">  2011 , ص 45).</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آليات ومقاييس مقترحة لقياس الكفاءة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تستند عملية قياس كفاءة الأداء إلى مجموعة من الأدوات والمؤشرات التي تضمن موضوعية التقييم وفاعليته، من بينها:</w:t>
      </w:r>
    </w:p>
    <w:p w:rsidR="00157377" w:rsidRPr="00157377" w:rsidRDefault="00157377" w:rsidP="00157377">
      <w:pPr>
        <w:numPr>
          <w:ilvl w:val="0"/>
          <w:numId w:val="22"/>
        </w:numPr>
        <w:spacing w:after="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مؤشرات كمية: نسب الإنجاز مقابل الخطة، معدلات الإنتاجية، زمن إنجاز المهام، ومعدلات الغياب.</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w:t>
      </w:r>
      <w:proofErr w:type="spellStart"/>
      <w:r w:rsidRPr="00157377">
        <w:rPr>
          <w:rFonts w:ascii="Simplified Arabic" w:eastAsia="Calibri" w:hAnsi="Simplified Arabic" w:cs="Simplified Arabic"/>
          <w:sz w:val="28"/>
          <w:szCs w:val="28"/>
          <w:rtl/>
        </w:rPr>
        <w:t>عبدالرضا</w:t>
      </w:r>
      <w:proofErr w:type="spellEnd"/>
      <w:r w:rsidRPr="00157377">
        <w:rPr>
          <w:rFonts w:ascii="Simplified Arabic" w:eastAsia="Calibri" w:hAnsi="Simplified Arabic" w:cs="Simplified Arabic"/>
          <w:sz w:val="28"/>
          <w:szCs w:val="28"/>
          <w:rtl/>
        </w:rPr>
        <w:t xml:space="preserve"> , كاظم  , 2016 , ص 145)</w:t>
      </w:r>
    </w:p>
    <w:p w:rsidR="00157377" w:rsidRPr="00157377" w:rsidRDefault="00157377" w:rsidP="00157377">
      <w:pPr>
        <w:numPr>
          <w:ilvl w:val="0"/>
          <w:numId w:val="22"/>
        </w:numPr>
        <w:spacing w:after="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مؤشرات نوعية: تقييم المشرفين، رضا المستفيدين، جودة المخرجات، ومستوى الابتكار.</w:t>
      </w:r>
    </w:p>
    <w:p w:rsidR="00157377" w:rsidRPr="00157377" w:rsidRDefault="00157377" w:rsidP="00157377">
      <w:pPr>
        <w:numPr>
          <w:ilvl w:val="0"/>
          <w:numId w:val="22"/>
        </w:numPr>
        <w:spacing w:after="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أدوات تقييمية: استمارات تقييم دورية، تقييم 360 درجة، محفظة أعمال الموظف، ومقابلات التطوير الفردية.</w:t>
      </w:r>
      <w:r w:rsidRPr="00157377">
        <w:rPr>
          <w:rFonts w:ascii="Simplified Arabic" w:eastAsia="Calibri" w:hAnsi="Simplified Arabic" w:cs="Simplified Arabic"/>
          <w:kern w:val="2"/>
          <w:sz w:val="28"/>
          <w:szCs w:val="28"/>
          <w:rtl/>
          <w14:ligatures w14:val="standardContextual"/>
        </w:rPr>
        <w:t xml:space="preserve"> </w:t>
      </w:r>
    </w:p>
    <w:p w:rsidR="00157377" w:rsidRPr="00157377" w:rsidRDefault="00157377" w:rsidP="00157377">
      <w:pPr>
        <w:numPr>
          <w:ilvl w:val="0"/>
          <w:numId w:val="22"/>
        </w:numPr>
        <w:spacing w:after="0" w:line="240"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آليات ربط النتائج بالإجراءات: تحويل نتائج التقييم إلى خطط تدريبية، برامج تحفيز، وإجراءات تصحيحية تنظيمية(</w:t>
      </w:r>
      <w:proofErr w:type="spellStart"/>
      <w:r w:rsidRPr="00157377">
        <w:rPr>
          <w:rFonts w:ascii="Simplified Arabic" w:eastAsia="Calibri" w:hAnsi="Simplified Arabic" w:cs="Simplified Arabic"/>
          <w:sz w:val="28"/>
          <w:szCs w:val="28"/>
          <w:rtl/>
        </w:rPr>
        <w:t>عبدالرضا</w:t>
      </w:r>
      <w:proofErr w:type="spellEnd"/>
      <w:r w:rsidRPr="00157377">
        <w:rPr>
          <w:rFonts w:ascii="Simplified Arabic" w:eastAsia="Calibri" w:hAnsi="Simplified Arabic" w:cs="Simplified Arabic"/>
          <w:sz w:val="28"/>
          <w:szCs w:val="28"/>
          <w:rtl/>
        </w:rPr>
        <w:t xml:space="preserve"> , كاظم  , 2016 , ص 145)</w:t>
      </w:r>
    </w:p>
    <w:p w:rsidR="00157377" w:rsidRPr="00157377" w:rsidRDefault="00157377" w:rsidP="00157377">
      <w:pPr>
        <w:spacing w:after="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تُعد كفاءة أداء الموظفين مكوّنًا محوريًا في تحقيق أهداف المؤسسة واستدامتها. ومن أجل تعزيزها، يوصى بما يلي: اعتماد نظم تقييم دورية وشفافة، ربط نتائج التقييم بسياسات تحفيزية وبرامج تطوير مهني موجهة، تحسين بيئة العمل وتوفير الموارد الفنية اللازمة، وإدماج نتائج القياس في التخطيط الاستراتيجي للمؤسسة. </w:t>
      </w:r>
      <w:r w:rsidRPr="00157377">
        <w:rPr>
          <w:rFonts w:ascii="Simplified Arabic" w:eastAsia="Calibri" w:hAnsi="Simplified Arabic" w:cs="Simplified Arabic" w:hint="cs"/>
          <w:sz w:val="28"/>
          <w:szCs w:val="28"/>
          <w:rtl/>
        </w:rPr>
        <w:t xml:space="preserve"> </w:t>
      </w:r>
      <w:r w:rsidRPr="00157377">
        <w:rPr>
          <w:rFonts w:ascii="Simplified Arabic" w:eastAsia="Calibri" w:hAnsi="Simplified Arabic" w:cs="Simplified Arabic"/>
          <w:sz w:val="28"/>
          <w:szCs w:val="28"/>
          <w:rtl/>
        </w:rPr>
        <w:t xml:space="preserve"> (القحطاني وشعيبي , 2022 , ص  209)</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 xml:space="preserve">العوامل المؤثرة في كفاءة الاداء </w:t>
      </w:r>
    </w:p>
    <w:p w:rsidR="00157377" w:rsidRDefault="00157377" w:rsidP="00157377">
      <w:pPr>
        <w:spacing w:after="0"/>
        <w:ind w:left="360"/>
        <w:jc w:val="both"/>
        <w:rPr>
          <w:rFonts w:ascii="Simplified Arabic" w:eastAsia="Calibri" w:hAnsi="Simplified Arabic" w:cs="Simplified Arabic" w:hint="cs"/>
          <w:sz w:val="28"/>
          <w:szCs w:val="28"/>
          <w:rtl/>
        </w:rPr>
      </w:pPr>
      <w:r w:rsidRPr="00157377">
        <w:rPr>
          <w:rFonts w:ascii="Simplified Arabic" w:eastAsia="Calibri" w:hAnsi="Simplified Arabic" w:cs="Simplified Arabic"/>
          <w:sz w:val="28"/>
          <w:szCs w:val="28"/>
          <w:rtl/>
        </w:rPr>
        <w:t>تؤثر مجموعة من العوامل المتداخلة في كفاءة أداء الموظفين داخل المؤسسات. يمكن تصنيف هذه العوامل إلى فئتين رئيسيتين: عوامل داخلية قابلة للتدخل الإداري المباشر، وعوامل خارجية تنشأ من السياق المحيط بالمؤسسة. فهم هذه العوامل يساعد في تصميم سياسات وإجراءات تستهدف رفع مستوى الأداء واستدامته.</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(عبيدات , 2018 , ص 78)</w:t>
      </w:r>
    </w:p>
    <w:p w:rsidR="00157377" w:rsidRDefault="00157377" w:rsidP="00157377">
      <w:pPr>
        <w:spacing w:after="0"/>
        <w:ind w:left="360"/>
        <w:jc w:val="both"/>
        <w:rPr>
          <w:rFonts w:ascii="Simplified Arabic" w:eastAsia="Calibri" w:hAnsi="Simplified Arabic" w:cs="Simplified Arabic" w:hint="cs"/>
          <w:sz w:val="28"/>
          <w:szCs w:val="28"/>
          <w:rtl/>
        </w:rPr>
      </w:pPr>
    </w:p>
    <w:p w:rsidR="00157377" w:rsidRDefault="00157377" w:rsidP="00157377">
      <w:pPr>
        <w:spacing w:after="0"/>
        <w:ind w:left="360"/>
        <w:jc w:val="both"/>
        <w:rPr>
          <w:rFonts w:ascii="Simplified Arabic" w:eastAsia="Calibri" w:hAnsi="Simplified Arabic" w:cs="Simplified Arabic" w:hint="cs"/>
          <w:sz w:val="28"/>
          <w:szCs w:val="28"/>
          <w:rtl/>
        </w:rPr>
      </w:pPr>
    </w:p>
    <w:p w:rsidR="00157377" w:rsidRPr="00157377" w:rsidRDefault="00157377" w:rsidP="00157377">
      <w:pPr>
        <w:spacing w:after="0"/>
        <w:ind w:left="360"/>
        <w:jc w:val="both"/>
        <w:rPr>
          <w:rFonts w:ascii="Simplified Arabic" w:eastAsia="Calibri" w:hAnsi="Simplified Arabic" w:cs="Simplified Arabic"/>
          <w:sz w:val="28"/>
          <w:szCs w:val="28"/>
          <w:rtl/>
        </w:rPr>
      </w:pP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العوامل الداخلية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العوامل الداخلية هي عناصر تنبع من داخل المؤسسة ويمكن للإدارة التأثير عليها مباشرة عبر سياسات وإجراءات مدروسة. تشمل هذه العوامل جوانب بشرية وتنظيمية وتقنية تؤثر في قدرة الموظفين على أداء مهامهم بكفاءة. (عبيدات , 2018 , ص 78)</w:t>
      </w:r>
    </w:p>
    <w:p w:rsidR="00157377" w:rsidRPr="00157377" w:rsidRDefault="00157377" w:rsidP="00157377">
      <w:pPr>
        <w:numPr>
          <w:ilvl w:val="0"/>
          <w:numId w:val="23"/>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العنصر البشري حي  يمثل العنصر البشري المورد الأهم للمؤسسة؛ فمستوى المهارات، المؤهلات، الخبرات، والدافعية لدى الموظفين يحدد جودة المخرجات. الاستثمار في تطوير الكفاءات، تعزيز الحافز المهني، ورفع مستوى الانتماء المؤسسي يؤدي إلى تحسّن ملموس في الأداء الفردي والجماعي.</w:t>
      </w:r>
      <w:r w:rsidRPr="00157377">
        <w:rPr>
          <w:rFonts w:ascii="Simplified Arabic" w:eastAsia="Calibri" w:hAnsi="Simplified Arabic" w:cs="Simplified Arabic"/>
          <w:kern w:val="2"/>
          <w:sz w:val="28"/>
          <w:szCs w:val="28"/>
          <w:rtl/>
          <w14:ligatures w14:val="standardContextual"/>
        </w:rPr>
        <w:t xml:space="preserve"> </w:t>
      </w:r>
    </w:p>
    <w:p w:rsidR="00157377" w:rsidRPr="00157377" w:rsidRDefault="00157377" w:rsidP="00157377">
      <w:pPr>
        <w:numPr>
          <w:ilvl w:val="0"/>
          <w:numId w:val="23"/>
        </w:numPr>
        <w:spacing w:after="0" w:line="259" w:lineRule="auto"/>
        <w:contextualSpacing/>
        <w:jc w:val="both"/>
        <w:rPr>
          <w:rFonts w:ascii="Simplified Arabic" w:eastAsia="Calibri" w:hAnsi="Simplified Arabic" w:cs="Simplified Arabic"/>
          <w:sz w:val="28"/>
          <w:szCs w:val="28"/>
        </w:rPr>
      </w:pPr>
      <w:r w:rsidRPr="00157377">
        <w:rPr>
          <w:rFonts w:ascii="Simplified Arabic" w:eastAsia="Calibri" w:hAnsi="Simplified Arabic" w:cs="Simplified Arabic"/>
          <w:sz w:val="28"/>
          <w:szCs w:val="28"/>
          <w:rtl/>
        </w:rPr>
        <w:t>الإدارة والقيادة حيث تلعب الإدارة دورًا محوريًا في توجيه الأداء عبر التخطيط، التنظيم، التوجيه، والرقابة. (عبيدات , 2018 , ص 78)</w:t>
      </w:r>
    </w:p>
    <w:p w:rsidR="00157377" w:rsidRPr="00157377" w:rsidRDefault="00157377" w:rsidP="00157377">
      <w:pPr>
        <w:spacing w:after="0"/>
        <w:ind w:left="720"/>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الإدارة الفعالة تضع أهدافًا واضحة، توزع المسؤوليات بشكل مناسب، وتوفر آليات متابعة وتقييم عادلة، بينما يؤدي ضعف القيادة إلى غموض الأدوار وتراجع الالتزام.</w:t>
      </w:r>
    </w:p>
    <w:p w:rsidR="00157377" w:rsidRPr="00157377" w:rsidRDefault="00157377" w:rsidP="00157377">
      <w:pPr>
        <w:numPr>
          <w:ilvl w:val="0"/>
          <w:numId w:val="23"/>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التنظيم الداخلي وهيكل العمل من خلال  وضوح الهياكل التنظيمية، وصف الوظائف، وتقسيم العمل وفقًا للمهارات يحدّ من الازدواجية ويزيد الفاعلية. الخلل في التنظيم يسبب تضاربًا في المهام، بطء الإجراءات، وهدرًا في الموارد، ما ينعكس سلبًا على كفاءة الأداء.</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(عبيدات , 2018 , ص 78)</w:t>
      </w:r>
    </w:p>
    <w:p w:rsidR="00157377" w:rsidRPr="00157377" w:rsidRDefault="00157377" w:rsidP="00157377">
      <w:pPr>
        <w:numPr>
          <w:ilvl w:val="0"/>
          <w:numId w:val="23"/>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بيئة العمل وظروفها والتي تشمل بيئة العمل البنية التحتية المادية، المناخ النفسي، علاقات الزملاء، وسياسات السلامة. بيئة عمل داعمة تقلل الضغوط وتزيد الحضور والالتزام، بينما تؤدي بيئة سلبية إلى تراجع الأداء وارتفاع معدلات الغياب والدوران الوظيفي.</w:t>
      </w:r>
      <w:r w:rsidRPr="00157377">
        <w:rPr>
          <w:rFonts w:ascii="Calibri" w:eastAsia="Calibri" w:hAnsi="Calibri" w:cs="Arial"/>
          <w:kern w:val="2"/>
          <w:rtl/>
          <w14:ligatures w14:val="standardContextual"/>
        </w:rPr>
        <w:t xml:space="preserve"> </w:t>
      </w:r>
      <w:r w:rsidRPr="00157377">
        <w:rPr>
          <w:rFonts w:ascii="Simplified Arabic" w:eastAsia="Calibri" w:hAnsi="Simplified Arabic" w:cs="Simplified Arabic"/>
          <w:sz w:val="28"/>
          <w:szCs w:val="28"/>
          <w:rtl/>
        </w:rPr>
        <w:t>(عبيدات , 2018 , ص 79)</w:t>
      </w:r>
    </w:p>
    <w:p w:rsidR="00157377" w:rsidRPr="00157377" w:rsidRDefault="00157377" w:rsidP="00157377">
      <w:pPr>
        <w:numPr>
          <w:ilvl w:val="0"/>
          <w:numId w:val="23"/>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طبيعة العمل وفرص التعلم حيث أن طبيعة المهام من حيث التعقيد والروتين وفرص التطور المهني تؤثر في دافعية الموظف. الأعمال التي توفر تحديات مناسبة وفرصًا لاكتساب مهارات جديدة تعزز التحسين المستمر للأداء، في حين أن الأعمال الرتيبة أو غير الملائمة تقلل الحافز.</w:t>
      </w:r>
    </w:p>
    <w:p w:rsidR="00157377" w:rsidRDefault="00157377" w:rsidP="00157377">
      <w:pPr>
        <w:numPr>
          <w:ilvl w:val="0"/>
          <w:numId w:val="23"/>
        </w:numPr>
        <w:spacing w:after="0" w:line="259" w:lineRule="auto"/>
        <w:contextualSpacing/>
        <w:jc w:val="both"/>
        <w:rPr>
          <w:rFonts w:ascii="Simplified Arabic" w:eastAsia="Calibri" w:hAnsi="Simplified Arabic" w:cs="Simplified Arabic" w:hint="cs"/>
          <w:sz w:val="28"/>
          <w:szCs w:val="28"/>
        </w:rPr>
      </w:pPr>
      <w:r w:rsidRPr="00157377">
        <w:rPr>
          <w:rFonts w:ascii="Simplified Arabic" w:eastAsia="Calibri" w:hAnsi="Simplified Arabic" w:cs="Simplified Arabic"/>
          <w:sz w:val="28"/>
          <w:szCs w:val="28"/>
          <w:rtl/>
        </w:rPr>
        <w:t>العوامل الفنية والتقنية من خلال  توفر الأدوات والمعدات والأنظمة المعلوماتية الحديثة يسهل إنجاز المهام ويزيد من دقتها وسرعتها. نقص التجهيزات أو تقادمها يعرقل العمل ويضعف ثقة الموظف في قدرته على تحقيق النتائج المرجوة.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(عبيدات , 2018 , ص 79)</w:t>
      </w:r>
    </w:p>
    <w:p w:rsidR="00157377" w:rsidRPr="00157377" w:rsidRDefault="00157377" w:rsidP="00157377">
      <w:pPr>
        <w:spacing w:after="0" w:line="259" w:lineRule="auto"/>
        <w:ind w:left="720"/>
        <w:contextualSpacing/>
        <w:jc w:val="both"/>
        <w:rPr>
          <w:rFonts w:ascii="Simplified Arabic" w:eastAsia="Calibri" w:hAnsi="Simplified Arabic" w:cs="Simplified Arabic"/>
          <w:sz w:val="28"/>
          <w:szCs w:val="28"/>
          <w:rtl/>
        </w:rPr>
      </w:pP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lastRenderedPageBreak/>
        <w:t>العوامل الخارجية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العوامل الخارجية تنشأ من البيئة المحيطة بالمؤسسة وتؤثر فيها بشكل غير مباشر، وقد تتطلب استراتيجيات تكيفية من الإدارة لمواجهتها أو التخفيف من آثارها.</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(القحطاني وشعيبي , 2022 , ص  210)</w:t>
      </w:r>
    </w:p>
    <w:p w:rsidR="00157377" w:rsidRPr="00157377" w:rsidRDefault="00157377" w:rsidP="00157377">
      <w:pPr>
        <w:numPr>
          <w:ilvl w:val="0"/>
          <w:numId w:val="24"/>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البيئة الاجتماعية والثقافية حيث أن القيم والعادات والتنشئة الاجتماعية تشكل مواقف الأفراد تجاه العمل والانضباط والتعاون. الفوارق الثقافية والتعليمية تؤثر في توقعات الموظفين وسلوكهم المهني، مما يستلزم سياسات توظيف وتدريب تراعي التنوع الثقافي.</w:t>
      </w:r>
    </w:p>
    <w:p w:rsidR="00157377" w:rsidRPr="00157377" w:rsidRDefault="00157377" w:rsidP="00157377">
      <w:pPr>
        <w:numPr>
          <w:ilvl w:val="0"/>
          <w:numId w:val="24"/>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العوامل الاقتصادية والسياسية والقانونية من خلال الاستقرار الاقتصادي، سياسات الأجور، التشريعات العمالية، والإطار التنظيمي تحدد موارد المؤسسة وقدرتها على الاستثمار في التدريب والحوافز. التغيرات الاقتصادية أو عدم وضوح السياسات قد يحدّان من مرونة المؤسسة في تحسين الأداء.</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(القحطاني وشعيبي , 2022 , ص  210)</w:t>
      </w:r>
    </w:p>
    <w:p w:rsidR="00157377" w:rsidRPr="00157377" w:rsidRDefault="00157377" w:rsidP="00157377">
      <w:pPr>
        <w:numPr>
          <w:ilvl w:val="0"/>
          <w:numId w:val="24"/>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التطور التكنولوجي ومتطلبات السوق حيث أن التغيرات التقنية السريعة تفرض تحديث المهارات واعتماد أساليب عمل جديدة. المؤسسات التي تتأخر في التكيّف تواجه تراجعًا في كفاءتها التنافسية وأدائها التشغيلي، مما يستدعي خططًا للتدريب والتحول الرقمي.</w:t>
      </w:r>
      <w:r w:rsidRPr="00157377">
        <w:rPr>
          <w:rFonts w:ascii="Simplified Arabic" w:eastAsia="Calibri" w:hAnsi="Simplified Arabic" w:cs="Simplified Arabic"/>
          <w:kern w:val="2"/>
          <w:sz w:val="28"/>
          <w:szCs w:val="28"/>
          <w:rtl/>
          <w14:ligatures w14:val="standardContextual"/>
        </w:rPr>
        <w:t xml:space="preserve"> </w:t>
      </w:r>
    </w:p>
    <w:p w:rsidR="00157377" w:rsidRPr="00157377" w:rsidRDefault="00157377" w:rsidP="00157377">
      <w:pPr>
        <w:numPr>
          <w:ilvl w:val="0"/>
          <w:numId w:val="24"/>
        </w:numPr>
        <w:spacing w:after="0" w:line="259" w:lineRule="auto"/>
        <w:contextualSpacing/>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ضغوط وتوقعات أصحاب المصلحة من خلال  متطلبات العملاء، المعايير الرقابية، وضغوط المنافسة ترفع سقف الأداء المطلوب وتستلزم استجابة تنظيمية سريعة، قد تشمل إعادة هندسة العمليات أو تعزيز قدرات الموارد البشرية.</w:t>
      </w:r>
      <w:r w:rsidRPr="00157377">
        <w:rPr>
          <w:rFonts w:ascii="Simplified Arabic" w:eastAsia="Calibri" w:hAnsi="Simplified Arabic" w:cs="Simplified Arabic"/>
          <w:kern w:val="2"/>
          <w:sz w:val="28"/>
          <w:szCs w:val="28"/>
          <w:rtl/>
          <w14:ligatures w14:val="standardContextual"/>
        </w:rPr>
        <w:t xml:space="preserve"> </w:t>
      </w:r>
      <w:r w:rsidRPr="00157377">
        <w:rPr>
          <w:rFonts w:ascii="Simplified Arabic" w:eastAsia="Calibri" w:hAnsi="Simplified Arabic" w:cs="Simplified Arabic"/>
          <w:sz w:val="28"/>
          <w:szCs w:val="28"/>
          <w:rtl/>
        </w:rPr>
        <w:t>(القحطاني وشعيبي , 2022 , ص  210)</w:t>
      </w:r>
    </w:p>
    <w:p w:rsidR="00157377" w:rsidRPr="00157377" w:rsidRDefault="00157377" w:rsidP="00157377">
      <w:pPr>
        <w:spacing w:after="0"/>
        <w:ind w:left="360"/>
        <w:jc w:val="both"/>
        <w:rPr>
          <w:rFonts w:ascii="Simplified Arabic" w:eastAsia="Calibri" w:hAnsi="Simplified Arabic" w:cs="Simplified Arabic"/>
          <w:sz w:val="28"/>
          <w:szCs w:val="28"/>
          <w:rtl/>
        </w:rPr>
      </w:pPr>
    </w:p>
    <w:p w:rsidR="00157377" w:rsidRPr="00157377" w:rsidRDefault="00157377" w:rsidP="00157377">
      <w:pPr>
        <w:jc w:val="both"/>
        <w:rPr>
          <w:rFonts w:ascii="Simplified Arabic" w:eastAsia="Calibri" w:hAnsi="Simplified Arabic" w:cs="Simplified Arabic"/>
          <w:sz w:val="28"/>
          <w:szCs w:val="28"/>
          <w:rtl/>
        </w:rPr>
      </w:pPr>
    </w:p>
    <w:p w:rsidR="00157377" w:rsidRDefault="00157377" w:rsidP="00157377">
      <w:pPr>
        <w:jc w:val="both"/>
        <w:rPr>
          <w:rFonts w:ascii="Simplified Arabic" w:eastAsia="Calibri" w:hAnsi="Simplified Arabic" w:cs="Simplified Arabic" w:hint="cs"/>
          <w:sz w:val="28"/>
          <w:szCs w:val="28"/>
          <w:rtl/>
        </w:rPr>
      </w:pPr>
    </w:p>
    <w:p w:rsidR="00157377" w:rsidRDefault="00157377" w:rsidP="00157377">
      <w:pPr>
        <w:jc w:val="both"/>
        <w:rPr>
          <w:rFonts w:ascii="Simplified Arabic" w:eastAsia="Calibri" w:hAnsi="Simplified Arabic" w:cs="Simplified Arabic" w:hint="cs"/>
          <w:sz w:val="28"/>
          <w:szCs w:val="28"/>
          <w:rtl/>
        </w:rPr>
      </w:pPr>
    </w:p>
    <w:p w:rsidR="00157377" w:rsidRDefault="00157377" w:rsidP="00157377">
      <w:pPr>
        <w:jc w:val="both"/>
        <w:rPr>
          <w:rFonts w:ascii="Simplified Arabic" w:eastAsia="Calibri" w:hAnsi="Simplified Arabic" w:cs="Simplified Arabic" w:hint="cs"/>
          <w:sz w:val="28"/>
          <w:szCs w:val="28"/>
          <w:rtl/>
        </w:rPr>
      </w:pPr>
    </w:p>
    <w:p w:rsidR="00157377" w:rsidRDefault="00157377" w:rsidP="00157377">
      <w:pPr>
        <w:jc w:val="both"/>
        <w:rPr>
          <w:rFonts w:ascii="Simplified Arabic" w:eastAsia="Calibri" w:hAnsi="Simplified Arabic" w:cs="Simplified Arabic" w:hint="cs"/>
          <w:sz w:val="28"/>
          <w:szCs w:val="28"/>
          <w:rtl/>
        </w:rPr>
      </w:pPr>
    </w:p>
    <w:p w:rsidR="00157377" w:rsidRDefault="00157377" w:rsidP="00157377">
      <w:pPr>
        <w:jc w:val="both"/>
        <w:rPr>
          <w:rFonts w:ascii="Simplified Arabic" w:eastAsia="Calibri" w:hAnsi="Simplified Arabic" w:cs="Simplified Arabic" w:hint="cs"/>
          <w:sz w:val="28"/>
          <w:szCs w:val="28"/>
          <w:rtl/>
        </w:rPr>
      </w:pPr>
    </w:p>
    <w:p w:rsidR="00157377" w:rsidRPr="00157377" w:rsidRDefault="00157377" w:rsidP="00157377">
      <w:pPr>
        <w:jc w:val="both"/>
        <w:rPr>
          <w:rFonts w:ascii="Simplified Arabic" w:eastAsia="Calibri" w:hAnsi="Simplified Arabic" w:cs="Simplified Arabic"/>
          <w:sz w:val="28"/>
          <w:szCs w:val="28"/>
          <w:rtl/>
        </w:rPr>
      </w:pPr>
    </w:p>
    <w:p w:rsidR="00157377" w:rsidRPr="00157377" w:rsidRDefault="00157377" w:rsidP="00157377">
      <w:pPr>
        <w:spacing w:after="0"/>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hint="cs"/>
          <w:b/>
          <w:bCs/>
          <w:sz w:val="28"/>
          <w:szCs w:val="28"/>
          <w:rtl/>
        </w:rPr>
        <w:lastRenderedPageBreak/>
        <w:t xml:space="preserve"> ثالثا : </w:t>
      </w:r>
      <w:r w:rsidRPr="00157377">
        <w:rPr>
          <w:rFonts w:ascii="Simplified Arabic" w:eastAsia="Calibri" w:hAnsi="Simplified Arabic" w:cs="Simplified Arabic"/>
          <w:b/>
          <w:bCs/>
          <w:sz w:val="28"/>
          <w:szCs w:val="28"/>
          <w:rtl/>
        </w:rPr>
        <w:t xml:space="preserve">تعريف الجمعيات الخيرية  </w:t>
      </w:r>
    </w:p>
    <w:p w:rsidR="00157377" w:rsidRPr="00157377" w:rsidRDefault="00157377" w:rsidP="00157377">
      <w:pPr>
        <w:tabs>
          <w:tab w:val="left" w:pos="2432"/>
        </w:tabs>
        <w:spacing w:after="0"/>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تعريف الجمعية لغويًا</w:t>
      </w:r>
      <w:r w:rsidRPr="00157377">
        <w:rPr>
          <w:rFonts w:ascii="Simplified Arabic" w:eastAsia="Calibri" w:hAnsi="Simplified Arabic" w:cs="Simplified Arabic"/>
          <w:b/>
          <w:bCs/>
          <w:sz w:val="28"/>
          <w:szCs w:val="28"/>
          <w:rtl/>
        </w:rPr>
        <w:tab/>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تستمد كلمة الجمعية جذورها من الفعل العربي جَمَعَ، الذي يحمل دلالات متعددة تتعلق بالضم والتركيب والتأليف. في اللغة، يشير الفعل إلى جمع الأفراد أو الأشياء معًا بهدف توحيد الجهود أو تحقيق غاية مشتركة، كما يدل على الاتفاق والتآلف بين القلوب والناس. من هذا المنطلق، تُفهم الجمعية لغويًا على أنها طائفة من الأشخاص تتألف لغرض محدد أو فكرة مشتركة، سواء أكانت خيرية أو علمية أو تعاونية أو تشريعية. هذا الأصل اللغوي يبرز البعد الجمعي والتعاوني في طبيعة الجمعية، ويؤكد أن جوهرها هو العمل المشترك نحو هدف محدد. ( المعجم الوسيط . 1993 , ص 140 )</w:t>
      </w:r>
    </w:p>
    <w:p w:rsidR="00157377" w:rsidRPr="00157377" w:rsidRDefault="00157377" w:rsidP="00157377">
      <w:pPr>
        <w:spacing w:after="0"/>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تعريف المؤسسة لغويًا</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تعود كلمة المؤسسة إلى جذر أَسَسَ، الذي يدل على وضع الأساس وبناء القاعدة. في الاستخدام اللغوي، يشير المصطلح إلى فعل التأسيس ووضع قواعد ثابتة لشيء ما، سواء كان بناءً ماديًا أو هيكلًا تنظيميًا. لذلك تُفهم المؤسسة لغويًا على أنها بنية أو قاعدة منظمة أُنشئت لتحقيق غاية علمية أو اقتصادية أو اجتماعية، وتتميز بوجود هيكل تنظيمي واضح وقواعد عمل ثابتة تضمن استمراريتها واستدامتها. ( المعجم المدرسي  , 1985 , ص  48) </w:t>
      </w:r>
    </w:p>
    <w:p w:rsidR="00157377" w:rsidRPr="00157377" w:rsidRDefault="00157377" w:rsidP="00157377">
      <w:pPr>
        <w:spacing w:after="0"/>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التعريف الاصطلاحي للجمعية والمؤسسة الخيرية</w:t>
      </w:r>
    </w:p>
    <w:p w:rsidR="00157377" w:rsidRPr="00157377" w:rsidRDefault="00157377" w:rsidP="00157377">
      <w:pPr>
        <w:spacing w:after="0"/>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الجمعية والمؤسسة الخيرية اصطلاحًا</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اصطلاحًا، تُعرّف الجمعية أو المؤسسة الخيرية بأنها شخصية اعتبارية تطوعية تعمل بهدف تحقيق أعمال البر والرعاية والنفع العام والتنمية الاجتماعية. هذه الكيانات تتميز بطابعها غير الربحي وبتوجيه مواردها لخدمة المجتمع بدلاً من توزيع الأرباح على الأعضاء. كما تتنوع التسميات المستخدمة لوصفها في الأدبيات والممارسات العملية؛ فبعض البلدان تفضل مصطلح «المنظمات غير الحكومية»، بينما تستخدم أخرى «مؤسسات العمل الأهلي» أو «القطاع الثالث» أو «القطاع غير الربحي». ورغم اختلاف المصطلحات، تشترك هذه الكيانات في خصائص أساسية: الطوعية، الاستقلالية، السعي لتحقيق منفعة عامة، والاعتماد على مصادر تمويل غير ربحية. ( العوير , 2015 , ص 301)</w:t>
      </w:r>
    </w:p>
    <w:p w:rsidR="00157377" w:rsidRPr="00157377" w:rsidRDefault="00157377" w:rsidP="00157377">
      <w:pPr>
        <w:spacing w:after="0"/>
        <w:ind w:left="360"/>
        <w:jc w:val="both"/>
        <w:rPr>
          <w:rFonts w:ascii="Simplified Arabic" w:eastAsia="Calibri" w:hAnsi="Simplified Arabic" w:cs="Simplified Arabic"/>
          <w:sz w:val="28"/>
          <w:szCs w:val="28"/>
          <w:rtl/>
        </w:rPr>
      </w:pPr>
    </w:p>
    <w:p w:rsidR="00157377" w:rsidRPr="00157377" w:rsidRDefault="00157377" w:rsidP="00157377">
      <w:pPr>
        <w:spacing w:after="0"/>
        <w:ind w:left="360"/>
        <w:jc w:val="both"/>
        <w:rPr>
          <w:rFonts w:ascii="Simplified Arabic" w:eastAsia="Calibri" w:hAnsi="Simplified Arabic" w:cs="Simplified Arabic"/>
          <w:sz w:val="28"/>
          <w:szCs w:val="28"/>
          <w:rtl/>
        </w:rPr>
      </w:pP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lastRenderedPageBreak/>
        <w:t>الفروق الجوهرية بين الجمعية والمؤسسة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رغم التقارب في الأهداف، قد تختلف الجمعية عن </w:t>
      </w:r>
      <w:r w:rsidRPr="00157377">
        <w:rPr>
          <w:rFonts w:ascii="Simplified Arabic" w:eastAsia="Calibri" w:hAnsi="Simplified Arabic" w:cs="Simplified Arabic"/>
          <w:b/>
          <w:bCs/>
          <w:sz w:val="28"/>
          <w:szCs w:val="28"/>
          <w:rtl/>
        </w:rPr>
        <w:t>المؤسسة</w:t>
      </w:r>
      <w:r w:rsidRPr="00157377">
        <w:rPr>
          <w:rFonts w:ascii="Simplified Arabic" w:eastAsia="Calibri" w:hAnsi="Simplified Arabic" w:cs="Simplified Arabic"/>
          <w:sz w:val="28"/>
          <w:szCs w:val="28"/>
          <w:rtl/>
        </w:rPr>
        <w:t xml:space="preserve"> في بعض الجوانب الشكلية والهيكلية؛ فـالجمعية غالبًا ما تكون قائمة على عضوية أفراد تتشارك في اتخاذ القرار، بينما المؤسسة قد تتخذ شكلًا أكثر مركزية مع مجلس إدارة أو هيئة مؤسِّسة تدير مواردها وفق قواعد ثابتة. هذه الفروق تؤثر في آليات </w:t>
      </w:r>
      <w:proofErr w:type="spellStart"/>
      <w:r w:rsidRPr="00157377">
        <w:rPr>
          <w:rFonts w:ascii="Simplified Arabic" w:eastAsia="Calibri" w:hAnsi="Simplified Arabic" w:cs="Simplified Arabic"/>
          <w:sz w:val="28"/>
          <w:szCs w:val="28"/>
          <w:rtl/>
        </w:rPr>
        <w:t>الحوكمة</w:t>
      </w:r>
      <w:proofErr w:type="spellEnd"/>
      <w:r w:rsidRPr="00157377">
        <w:rPr>
          <w:rFonts w:ascii="Simplified Arabic" w:eastAsia="Calibri" w:hAnsi="Simplified Arabic" w:cs="Simplified Arabic"/>
          <w:sz w:val="28"/>
          <w:szCs w:val="28"/>
          <w:rtl/>
        </w:rPr>
        <w:t>، طرق التمويل، ونماذج المشاركة المجتمعية. ( العوير , 2015 , ص 301)</w:t>
      </w:r>
    </w:p>
    <w:p w:rsidR="00157377" w:rsidRPr="00157377" w:rsidRDefault="00157377" w:rsidP="00157377">
      <w:pPr>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الاهداف من إنشاء الجمعيات والمؤسسات الخيرية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تُنشأ الجمعيات والمؤسسات الخيرية استجابة لحاجات اجتماعية واقتصادية وثقافية، وتعمل كقنوات تنظيمية لتوجيه الجهود التطوعية والموارد نحو معالجة مشكلات محددة. فيما يلي توسيع لكل غاية من الغايات الرئيسة: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تقديم الإغاثة والمساعدات الطارئة حيث تتولى الجمعيات دور الاستجابة السريعة عند وقوع كوارث طبيعية أو أزمات إنسانية أو نزاعات مسلحة، من خلال تنظيم فرق إغاثة، توزيع مساعدات غذائية وطبية، وتأمين مأوى مؤقت. هذه المرونة تجعلها شريكًا أساسيًا في تخفيف المعاناة الإنسانية. ( العلي  , 1996 , ص 55 )</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احترام إرادة المتصدق وتوجيه التبرعات حيث تتيح المؤسسات الخيرية للمتبرعين توجيه تبرعاتهم وفق نواياهم وشروطهم، ما يعزز ثقة الجمهور ويضمن وصول الموارد إلى القضايا التي يهمّهم دعمها. احترام شرط الواقف يعكس التزامًا أخلاقيًا وقانونيًا في إدارة الأموال. ( العلي  , 1996 , ص 55 ) </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تكملة دور الدولة في الرعاية والتنمية حيث تعمل الجمعيات كذراع تكميلي للقطاع العام، خاصة في المجالات التي تعاني من نقص تمويل أو بطء إداري. تقدم برامج رعاية اجتماعية، تعليمية وصحية تكمّل جهود الحكومة وتصل إلى شرائح قد تكون مهمشة أو بعيدة عن خدمات الدولة. ( العلي  , 1996 , ص 55 ) </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معالجة المشكلات المجتمعية وإطلاق المبادرات التنموية حيث تتبنى المؤسسات مبادرات لحل قضايا محلية مثل الفقر، البطالة، وتمكين الفئات الضعيفة. من خلال مشاريع ميدانية وبرامج تدريبية، تسعى إلى تحسين مستوى المعيشة وبناء قدرات المجتمع المحلي.  وتجريب حلول مبتكرة وتحمل مخاطر التجربة حيث تمتلك الجمعيات مرونة أكبر من الجهات الحكومية لتجريب أساليب جديدة في تقديم الخدمات أو إدارة المشروعات. عند نجاح هذه التجارب، يمكن أن تُعتمد كنماذج من قبل الجهات الرسمية، ما يسرّع من تبنّي حلول فعّالة. ( العلي  , 1996 , ص 55 )</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lastRenderedPageBreak/>
        <w:t>الانفتاح على الخبرات الدولية ونقل التجارب حيث تسهل المؤسسات الخيرية تبادل الخبرات مع منظمات دولية، وتكييف الممارسات العالمية الناجحة لتتناسب مع السياق المحلي. هذا الانفتاح يعزز جودة البرامج ويزيد من فرص الحصول على تمويل وشراكات استراتيجية. ( العلي  , 1996 , ص 55 )</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استثمار القدرات الذاتية والموارد المحلية حيث تعتمد الجمعيات على الطاقات التطوعية والخبرات المحلية، فتعمل على استثمار هذه الموارد في مشاريع مستدامة تخدم المجتمع وتُعزّز من روح المبادرة والمسؤولية المجتمعية.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تنظيم العمل التطوعي وتحقيق الاعتماد الذاتي حيث تسعى المؤسسات إلى تنظيم الجهود التطوعية بشكل منهجي، ووضع آليات للتسيير والتمويل الذاتي كلما أمكن، بهدف تحقيق استدامة البرامج وتقليل الاعتماد على المساعدات الخارجية. كما تعمل على بناء رؤية استراتيجية واضحة توجه عملها نحو المستقبل. ( العلي  , 1996 , ص 55 )</w:t>
      </w:r>
    </w:p>
    <w:p w:rsidR="00157377" w:rsidRPr="00157377" w:rsidRDefault="00157377" w:rsidP="00157377">
      <w:pPr>
        <w:spacing w:after="0"/>
        <w:ind w:left="360"/>
        <w:jc w:val="both"/>
        <w:rPr>
          <w:rFonts w:ascii="Simplified Arabic" w:eastAsia="Calibri" w:hAnsi="Simplified Arabic" w:cs="Simplified Arabic"/>
          <w:b/>
          <w:bCs/>
          <w:sz w:val="28"/>
          <w:szCs w:val="28"/>
          <w:rtl/>
        </w:rPr>
      </w:pPr>
      <w:r w:rsidRPr="00157377">
        <w:rPr>
          <w:rFonts w:ascii="Simplified Arabic" w:eastAsia="Calibri" w:hAnsi="Simplified Arabic" w:cs="Simplified Arabic"/>
          <w:b/>
          <w:bCs/>
          <w:sz w:val="28"/>
          <w:szCs w:val="28"/>
          <w:rtl/>
        </w:rPr>
        <w:t>مميزات العامة للجمعيات والمؤسسات الخيرية</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الاستقلالية والشخصية الاعتبارية والرقابة حيث تتمتع الجمعيات والمؤسسات الخيرية بالاستقلالية عن الدولة وتكتسب صفة الشخصية الاعتبارية التي تمكّنها من التصرف القانوني باسمها. ومع هذا الاستقلال، تُخضع نفسها لآليات رقابية رسمية ومجتمعية تهدف إلى ضمان الشفافية وحماية أموال المتبرعين والمستفيدين. ( العوير , 2015 , ص 301) </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المبادرات الأهلية والتمويل الذاتي وتعدد الأنشطة حيث تقوم هذه الهيئات على مبادرات مجتمعية تطوعية وتعتمد في تمويلها على التبرعات والموارد الذاتية، ما يمنحها مرونة في تصميم البرامج. تتيح هذه المرونة تنويع الأنشطة والمشروعات لتلبية احتياجات محلية متعددة، كما تشجع على الابتكار في أساليب العمل الخيري. ( العوير , 2015 , ص 301) </w:t>
      </w:r>
    </w:p>
    <w:p w:rsidR="00157377" w:rsidRDefault="00157377" w:rsidP="00157377">
      <w:pPr>
        <w:spacing w:after="0"/>
        <w:ind w:left="360"/>
        <w:jc w:val="both"/>
        <w:rPr>
          <w:rFonts w:ascii="Simplified Arabic" w:eastAsia="Calibri" w:hAnsi="Simplified Arabic" w:cs="Simplified Arabic" w:hint="cs"/>
          <w:sz w:val="28"/>
          <w:szCs w:val="28"/>
          <w:rtl/>
        </w:rPr>
      </w:pPr>
      <w:r w:rsidRPr="00157377">
        <w:rPr>
          <w:rFonts w:ascii="Simplified Arabic" w:eastAsia="Calibri" w:hAnsi="Simplified Arabic" w:cs="Simplified Arabic"/>
          <w:sz w:val="28"/>
          <w:szCs w:val="28"/>
          <w:rtl/>
        </w:rPr>
        <w:t xml:space="preserve">اشتراط الحصول على إذن التأسيس والإشهار حيث يشترط القانون في كثير من البلدان أن تحصل الجمعيات والمؤسسات على إذن الجهات الإدارية المختصة قبل التأسيس والإشهار، وذلك لضمان مطابقة أهدافها للأطر القانونية. يساهم هذا الإجراء في تنظيم القطاع وحماية المتبرعين والمستفيدين من أي ممارسات غير نظامية.. ( العوير , 2015 , ص 301) </w:t>
      </w:r>
    </w:p>
    <w:p w:rsidR="00157377" w:rsidRDefault="00157377" w:rsidP="00157377">
      <w:pPr>
        <w:spacing w:after="0"/>
        <w:ind w:left="360"/>
        <w:jc w:val="both"/>
        <w:rPr>
          <w:rFonts w:ascii="Simplified Arabic" w:eastAsia="Calibri" w:hAnsi="Simplified Arabic" w:cs="Simplified Arabic" w:hint="cs"/>
          <w:sz w:val="28"/>
          <w:szCs w:val="28"/>
          <w:rtl/>
        </w:rPr>
      </w:pPr>
    </w:p>
    <w:p w:rsidR="00157377" w:rsidRPr="00157377" w:rsidRDefault="00157377" w:rsidP="00157377">
      <w:pPr>
        <w:spacing w:after="0"/>
        <w:ind w:left="360"/>
        <w:jc w:val="both"/>
        <w:rPr>
          <w:rFonts w:ascii="Simplified Arabic" w:eastAsia="Calibri" w:hAnsi="Simplified Arabic" w:cs="Simplified Arabic"/>
          <w:sz w:val="28"/>
          <w:szCs w:val="28"/>
          <w:rtl/>
        </w:rPr>
      </w:pPr>
    </w:p>
    <w:p w:rsidR="00157377" w:rsidRPr="00157377" w:rsidRDefault="00157377" w:rsidP="00157377">
      <w:pPr>
        <w:spacing w:after="0"/>
        <w:ind w:left="360"/>
        <w:jc w:val="both"/>
        <w:rPr>
          <w:rFonts w:ascii="Simplified Arabic" w:eastAsia="Calibri" w:hAnsi="Simplified Arabic" w:cs="Simplified Arabic"/>
          <w:sz w:val="28"/>
          <w:szCs w:val="28"/>
        </w:rPr>
      </w:pPr>
      <w:r w:rsidRPr="00157377">
        <w:rPr>
          <w:rFonts w:ascii="Simplified Arabic" w:eastAsia="Calibri" w:hAnsi="Simplified Arabic" w:cs="Simplified Arabic"/>
          <w:sz w:val="28"/>
          <w:szCs w:val="28"/>
          <w:rtl/>
        </w:rPr>
        <w:lastRenderedPageBreak/>
        <w:t xml:space="preserve">آليات </w:t>
      </w:r>
      <w:proofErr w:type="spellStart"/>
      <w:r w:rsidRPr="00157377">
        <w:rPr>
          <w:rFonts w:ascii="Simplified Arabic" w:eastAsia="Calibri" w:hAnsi="Simplified Arabic" w:cs="Simplified Arabic"/>
          <w:sz w:val="28"/>
          <w:szCs w:val="28"/>
          <w:rtl/>
        </w:rPr>
        <w:t>الحوكمة</w:t>
      </w:r>
      <w:proofErr w:type="spellEnd"/>
      <w:r w:rsidRPr="00157377">
        <w:rPr>
          <w:rFonts w:ascii="Simplified Arabic" w:eastAsia="Calibri" w:hAnsi="Simplified Arabic" w:cs="Simplified Arabic"/>
          <w:sz w:val="28"/>
          <w:szCs w:val="28"/>
          <w:rtl/>
        </w:rPr>
        <w:t xml:space="preserve"> والهيئات الإدارية حيث تُدار الجمعيات عادةً عبر هيئة عامة ينتخب من خلالها مجلس إدارة أو مجلس أمناء، بينما قد تُعيّن وصيّة أو مجلس وصاية في بعض المؤسسات. وجود هيكل </w:t>
      </w:r>
      <w:proofErr w:type="spellStart"/>
      <w:r w:rsidRPr="00157377">
        <w:rPr>
          <w:rFonts w:ascii="Simplified Arabic" w:eastAsia="Calibri" w:hAnsi="Simplified Arabic" w:cs="Simplified Arabic"/>
          <w:sz w:val="28"/>
          <w:szCs w:val="28"/>
          <w:rtl/>
        </w:rPr>
        <w:t>حوكمي</w:t>
      </w:r>
      <w:proofErr w:type="spellEnd"/>
      <w:r w:rsidRPr="00157377">
        <w:rPr>
          <w:rFonts w:ascii="Simplified Arabic" w:eastAsia="Calibri" w:hAnsi="Simplified Arabic" w:cs="Simplified Arabic"/>
          <w:sz w:val="28"/>
          <w:szCs w:val="28"/>
          <w:rtl/>
        </w:rPr>
        <w:t xml:space="preserve"> واضح يحدد الصلاحيات والمسؤوليات ويعزز الشفافية في اتخاذ القرار. كما تتيح آليات </w:t>
      </w:r>
      <w:proofErr w:type="spellStart"/>
      <w:r w:rsidRPr="00157377">
        <w:rPr>
          <w:rFonts w:ascii="Simplified Arabic" w:eastAsia="Calibri" w:hAnsi="Simplified Arabic" w:cs="Simplified Arabic"/>
          <w:sz w:val="28"/>
          <w:szCs w:val="28"/>
          <w:rtl/>
        </w:rPr>
        <w:t>الحوكمة</w:t>
      </w:r>
      <w:proofErr w:type="spellEnd"/>
      <w:r w:rsidRPr="00157377">
        <w:rPr>
          <w:rFonts w:ascii="Simplified Arabic" w:eastAsia="Calibri" w:hAnsi="Simplified Arabic" w:cs="Simplified Arabic"/>
          <w:sz w:val="28"/>
          <w:szCs w:val="28"/>
          <w:rtl/>
        </w:rPr>
        <w:t xml:space="preserve"> الرقابة الداخلية وتسهيل الرقابة الخارجية من الجهات الرقابية والمجتمع المدني. ( العوير , 2015 , ص 301) </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الإذن الرسمي بتلقي أنواع العطاءات والموارد حيث تُمنح هذه الكيانات صلاحية قانونية لتلقي الزكاة والصدقات والوصايا والهبات النقدية والعينية، بالإضافة إلى التبرع بالوقت والجهد. يوسع هذا الإطار مصادر التمويل ويضمن توجيه الموارد وفق ضوابط شرعية وقانونية. كما يعزز ثقة المتبرعين بوجود جهة رسمية موثوقة تتولى توزيع الموارد على المستحقين.  ( العوير , 2015 , ص 301) </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الطابع غير الربحي وهدف المنفعة العامة حيث تتميز الجمعيات والمؤسسات الخيرية بطابعها غير الربحي، إذ تُستخدم مواردها لخدمة المجتمع بدلاً من توزيع الأرباح على الأعضاء. يحدد هذا التوجه أولويات الإنفاق ويضمن توجيه الجهود نحو تحقيق منفعة لفئات محددة أو للمجتمع ككل. كما يفرض التزامًا أخلاقيًا وقانونيًا في إدارة الموارد وتحقيق الأهداف المعلنة. ( العوير , 2015 , ص 301) </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الكفاءة النسبية في تقديم الخدمات حيث غالبًا ما تُظهر الجمعيات كفاءة أعلى في تقديم بعض الخدمات مقارنة بالجهات الحكومية، نتيجة لقربها من المجتمع المحلي ومرونتها التشغيلية. تتيح هذه الكفاءة تخصيص البرامج بما يتناسب مع احتياجات الفئات المستهدفة وتقديم استجابات أسرع في حالات الطوارئ. ( العوير , 2015 , ص 301) </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 xml:space="preserve">أشكال الدعم الحكومي والتسهيلات حيث تحصل الجمعيات والمؤسسات على دعم حكومي متنوع مثل الإعفاءات الضريبية وتخفيض الرسوم، وقد تتلقى منحًا أو تسهيلات من السلطات المحلية. تهدف هذه التسهيلات إلى تشجيع العمل الأهلي وتعزيز قدرته على الاستمرار والتوسع. ( العوير , 2015 , ص 301) </w:t>
      </w:r>
    </w:p>
    <w:p w:rsidR="00157377" w:rsidRDefault="00157377" w:rsidP="00157377">
      <w:pPr>
        <w:spacing w:after="0"/>
        <w:ind w:left="360"/>
        <w:jc w:val="both"/>
        <w:rPr>
          <w:rFonts w:ascii="Simplified Arabic" w:eastAsia="Calibri" w:hAnsi="Simplified Arabic" w:cs="Simplified Arabic" w:hint="cs"/>
          <w:sz w:val="28"/>
          <w:szCs w:val="28"/>
          <w:rtl/>
        </w:rPr>
      </w:pPr>
      <w:r w:rsidRPr="00157377">
        <w:rPr>
          <w:rFonts w:ascii="Simplified Arabic" w:eastAsia="Calibri" w:hAnsi="Simplified Arabic" w:cs="Simplified Arabic"/>
          <w:sz w:val="28"/>
          <w:szCs w:val="28"/>
          <w:rtl/>
        </w:rPr>
        <w:t>تنوع مجالات العمل والنفع العام حيث تعمل هذه الهيئات في مجالات متعددة تشمل الخدمات الخيرية والصحية والتعليمية والترفيهية والرياضية والدينية والتنموية، ما يجعلها محركًا حيويًا للنشاط التطوعي. ( العوير , 2015 , ص 301)</w:t>
      </w:r>
    </w:p>
    <w:p w:rsidR="00157377" w:rsidRDefault="00157377" w:rsidP="00157377">
      <w:pPr>
        <w:spacing w:after="0"/>
        <w:ind w:left="360"/>
        <w:jc w:val="both"/>
        <w:rPr>
          <w:rFonts w:ascii="Simplified Arabic" w:eastAsia="Calibri" w:hAnsi="Simplified Arabic" w:cs="Simplified Arabic" w:hint="cs"/>
          <w:sz w:val="28"/>
          <w:szCs w:val="28"/>
          <w:rtl/>
        </w:rPr>
      </w:pPr>
    </w:p>
    <w:p w:rsidR="00157377" w:rsidRPr="00157377" w:rsidRDefault="00157377" w:rsidP="00157377">
      <w:pPr>
        <w:spacing w:after="0"/>
        <w:ind w:left="360"/>
        <w:jc w:val="both"/>
        <w:rPr>
          <w:rFonts w:ascii="Simplified Arabic" w:eastAsia="Calibri" w:hAnsi="Simplified Arabic" w:cs="Simplified Arabic"/>
          <w:sz w:val="28"/>
          <w:szCs w:val="28"/>
          <w:rtl/>
        </w:rPr>
      </w:pPr>
      <w:bookmarkStart w:id="0" w:name="_GoBack"/>
      <w:bookmarkEnd w:id="0"/>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lastRenderedPageBreak/>
        <w:t xml:space="preserve">يتيح هذا التنوع استجابة شاملة لاحتياجات المجتمع وبناء شبكات تعاون بين القطاعات المختلفة. كما يعزز التكامل بين البرامج قدرة المؤسسات على تحقيق أثر مستدام ومتعدد الأبعاد. </w:t>
      </w:r>
    </w:p>
    <w:p w:rsidR="00157377" w:rsidRPr="00157377" w:rsidRDefault="00157377" w:rsidP="00157377">
      <w:pPr>
        <w:spacing w:after="0"/>
        <w:ind w:left="360"/>
        <w:jc w:val="both"/>
        <w:rPr>
          <w:rFonts w:ascii="Simplified Arabic" w:eastAsia="Calibri" w:hAnsi="Simplified Arabic" w:cs="Simplified Arabic"/>
          <w:sz w:val="28"/>
          <w:szCs w:val="28"/>
          <w:rtl/>
        </w:rPr>
      </w:pPr>
      <w:r w:rsidRPr="00157377">
        <w:rPr>
          <w:rFonts w:ascii="Simplified Arabic" w:eastAsia="Calibri" w:hAnsi="Simplified Arabic" w:cs="Simplified Arabic"/>
          <w:sz w:val="28"/>
          <w:szCs w:val="28"/>
          <w:rtl/>
        </w:rPr>
        <w:t>تنظيم العمل التطوعي وبناء القدرات حيث  توفر الجمعيات بيئة منظمة للعمل التطوعي، حيث يشارك الأفراد بإرادتهم ضمن استراتيجيات وبرامج محددة، ويحصلون على التدريب ونقل الخبرات. يسهم هذا التنظيم في رفع جودة الأداء وبناء قدرات محلية مستدامة تعزز من فعالية المشاريع. ( العوير , 2015 , ص 301)</w:t>
      </w:r>
    </w:p>
    <w:p w:rsidR="00B55DE0" w:rsidRDefault="00B55DE0"/>
    <w:sectPr w:rsidR="00B55DE0" w:rsidSect="00157377">
      <w:pgSz w:w="11906" w:h="16838"/>
      <w:pgMar w:top="1134" w:right="1701" w:bottom="1134" w:left="1134"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40660"/>
    <w:multiLevelType w:val="hybridMultilevel"/>
    <w:tmpl w:val="72860DE4"/>
    <w:lvl w:ilvl="0" w:tplc="DE889B6A">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D7764E"/>
    <w:multiLevelType w:val="multilevel"/>
    <w:tmpl w:val="2D39256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D577387"/>
    <w:multiLevelType w:val="hybridMultilevel"/>
    <w:tmpl w:val="C0808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9346CF"/>
    <w:multiLevelType w:val="hybridMultilevel"/>
    <w:tmpl w:val="5590CB26"/>
    <w:lvl w:ilvl="0" w:tplc="0409000F">
      <w:start w:val="1"/>
      <w:numFmt w:val="decimal"/>
      <w:lvlText w:val="%1."/>
      <w:lvlJc w:val="left"/>
      <w:pPr>
        <w:ind w:left="1080" w:hanging="72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FC484A"/>
    <w:multiLevelType w:val="multilevel"/>
    <w:tmpl w:val="2D39256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673920"/>
    <w:multiLevelType w:val="hybridMultilevel"/>
    <w:tmpl w:val="98407CA8"/>
    <w:lvl w:ilvl="0" w:tplc="DE889B6A">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FD4CD3"/>
    <w:multiLevelType w:val="hybridMultilevel"/>
    <w:tmpl w:val="DF9AA6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B869E9"/>
    <w:multiLevelType w:val="hybridMultilevel"/>
    <w:tmpl w:val="A8DCB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177BCD"/>
    <w:multiLevelType w:val="multilevel"/>
    <w:tmpl w:val="2D39256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CA50EF7"/>
    <w:multiLevelType w:val="hybridMultilevel"/>
    <w:tmpl w:val="9B8CE510"/>
    <w:lvl w:ilvl="0" w:tplc="0409000F">
      <w:start w:val="1"/>
      <w:numFmt w:val="decimal"/>
      <w:lvlText w:val="%1."/>
      <w:lvlJc w:val="left"/>
      <w:pPr>
        <w:ind w:left="1080" w:hanging="72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6C2C7D"/>
    <w:multiLevelType w:val="multilevel"/>
    <w:tmpl w:val="1F6C2C7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2194D36"/>
    <w:multiLevelType w:val="multilevel"/>
    <w:tmpl w:val="2D39256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59C0F65"/>
    <w:multiLevelType w:val="multilevel"/>
    <w:tmpl w:val="259C0F65"/>
    <w:lvl w:ilvl="0">
      <w:numFmt w:val="bullet"/>
      <w:lvlText w:val="-"/>
      <w:lvlJc w:val="left"/>
      <w:pPr>
        <w:ind w:left="720" w:hanging="360"/>
      </w:pPr>
      <w:rPr>
        <w:rFonts w:ascii="Sakkal Majalla" w:eastAsiaTheme="minorHAnsi" w:hAnsi="Sakkal Majalla"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7760394"/>
    <w:multiLevelType w:val="hybridMultilevel"/>
    <w:tmpl w:val="D212A898"/>
    <w:lvl w:ilvl="0" w:tplc="DE889B6A">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F81321"/>
    <w:multiLevelType w:val="hybridMultilevel"/>
    <w:tmpl w:val="FB26833C"/>
    <w:lvl w:ilvl="0" w:tplc="0409000F">
      <w:start w:val="1"/>
      <w:numFmt w:val="decimal"/>
      <w:lvlText w:val="%1."/>
      <w:lvlJc w:val="left"/>
      <w:pPr>
        <w:ind w:left="1080" w:hanging="72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F6062E"/>
    <w:multiLevelType w:val="hybridMultilevel"/>
    <w:tmpl w:val="D94CE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392565"/>
    <w:multiLevelType w:val="multilevel"/>
    <w:tmpl w:val="2D39256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D3026A4"/>
    <w:multiLevelType w:val="multilevel"/>
    <w:tmpl w:val="2D39256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9A05408"/>
    <w:multiLevelType w:val="hybridMultilevel"/>
    <w:tmpl w:val="1460EF7C"/>
    <w:lvl w:ilvl="0" w:tplc="DE889B6A">
      <w:numFmt w:val="bullet"/>
      <w:lvlText w:val="•"/>
      <w:lvlJc w:val="left"/>
      <w:pPr>
        <w:ind w:left="1440" w:hanging="72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2EF6610"/>
    <w:multiLevelType w:val="multilevel"/>
    <w:tmpl w:val="BCAE0A5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0">
    <w:nsid w:val="549519B5"/>
    <w:multiLevelType w:val="multilevel"/>
    <w:tmpl w:val="2D39256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65FD5FF0"/>
    <w:multiLevelType w:val="hybridMultilevel"/>
    <w:tmpl w:val="77E2B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70A3C77"/>
    <w:multiLevelType w:val="hybridMultilevel"/>
    <w:tmpl w:val="9D4273F0"/>
    <w:lvl w:ilvl="0" w:tplc="0409000F">
      <w:start w:val="1"/>
      <w:numFmt w:val="decimal"/>
      <w:lvlText w:val="%1."/>
      <w:lvlJc w:val="left"/>
      <w:pPr>
        <w:ind w:left="1080" w:hanging="72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2364F83"/>
    <w:multiLevelType w:val="hybridMultilevel"/>
    <w:tmpl w:val="24EE10A4"/>
    <w:lvl w:ilvl="0" w:tplc="0409000F">
      <w:start w:val="1"/>
      <w:numFmt w:val="decimal"/>
      <w:lvlText w:val="%1."/>
      <w:lvlJc w:val="left"/>
      <w:pPr>
        <w:ind w:left="1080" w:hanging="72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8B04282"/>
    <w:multiLevelType w:val="hybridMultilevel"/>
    <w:tmpl w:val="3D08CA42"/>
    <w:lvl w:ilvl="0" w:tplc="11C40A7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0"/>
  </w:num>
  <w:num w:numId="3">
    <w:abstractNumId w:val="16"/>
  </w:num>
  <w:num w:numId="4">
    <w:abstractNumId w:val="5"/>
  </w:num>
  <w:num w:numId="5">
    <w:abstractNumId w:val="18"/>
  </w:num>
  <w:num w:numId="6">
    <w:abstractNumId w:val="19"/>
  </w:num>
  <w:num w:numId="7">
    <w:abstractNumId w:val="24"/>
  </w:num>
  <w:num w:numId="8">
    <w:abstractNumId w:val="15"/>
  </w:num>
  <w:num w:numId="9">
    <w:abstractNumId w:val="13"/>
  </w:num>
  <w:num w:numId="10">
    <w:abstractNumId w:val="21"/>
  </w:num>
  <w:num w:numId="11">
    <w:abstractNumId w:val="2"/>
  </w:num>
  <w:num w:numId="12">
    <w:abstractNumId w:val="0"/>
  </w:num>
  <w:num w:numId="13">
    <w:abstractNumId w:val="23"/>
  </w:num>
  <w:num w:numId="14">
    <w:abstractNumId w:val="22"/>
  </w:num>
  <w:num w:numId="15">
    <w:abstractNumId w:val="9"/>
  </w:num>
  <w:num w:numId="16">
    <w:abstractNumId w:val="14"/>
  </w:num>
  <w:num w:numId="17">
    <w:abstractNumId w:val="3"/>
  </w:num>
  <w:num w:numId="18">
    <w:abstractNumId w:val="6"/>
  </w:num>
  <w:num w:numId="19">
    <w:abstractNumId w:val="20"/>
  </w:num>
  <w:num w:numId="20">
    <w:abstractNumId w:val="11"/>
  </w:num>
  <w:num w:numId="21">
    <w:abstractNumId w:val="1"/>
  </w:num>
  <w:num w:numId="22">
    <w:abstractNumId w:val="4"/>
  </w:num>
  <w:num w:numId="23">
    <w:abstractNumId w:val="8"/>
  </w:num>
  <w:num w:numId="24">
    <w:abstractNumId w:val="17"/>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377"/>
    <w:rsid w:val="00157377"/>
    <w:rsid w:val="004A5DA4"/>
    <w:rsid w:val="008451D9"/>
    <w:rsid w:val="00B55D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58</Pages>
  <Words>14885</Words>
  <Characters>84848</Characters>
  <Application>Microsoft Office Word</Application>
  <DocSecurity>0</DocSecurity>
  <Lines>707</Lines>
  <Paragraphs>199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99534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2</cp:revision>
  <cp:lastPrinted>2025-11-29T23:56:00Z</cp:lastPrinted>
  <dcterms:created xsi:type="dcterms:W3CDTF">2025-11-29T23:47:00Z</dcterms:created>
  <dcterms:modified xsi:type="dcterms:W3CDTF">2025-11-29T23:56:00Z</dcterms:modified>
</cp:coreProperties>
</file>