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4CC3E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</w:rPr>
      </w:pPr>
    </w:p>
    <w:p w14:paraId="709C4B13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36F90EF7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>الاسم : خالد بن غانم الفيفي</w:t>
      </w:r>
    </w:p>
    <w:p w14:paraId="0BBFE556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>الرقم الجامعي: 242001240</w:t>
      </w:r>
    </w:p>
    <w:p w14:paraId="5BCDD248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>التخصص: ماجستير القانون الرقمي</w:t>
      </w:r>
    </w:p>
    <w:p w14:paraId="0208FD49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2DE986ED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72EA0EC9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>خطة البحث:</w:t>
      </w:r>
    </w:p>
    <w:p w14:paraId="184619F3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545E4C87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 xml:space="preserve">العنوان:  </w:t>
      </w:r>
      <w:r w:rsidRPr="004B7B44">
        <w:rPr>
          <w:rFonts w:ascii="Aptos" w:eastAsia="Aptos" w:hAnsi="Aptos" w:cs="Arial"/>
          <w:b/>
          <w:bCs/>
          <w:sz w:val="22"/>
          <w:szCs w:val="22"/>
          <w:u w:val="single"/>
          <w:rtl/>
        </w:rPr>
        <w:t>“دور الدليل الرقمي في تعزيز العدالة: دراسة تحليلية للإثبات أمام القضاء”</w:t>
      </w:r>
    </w:p>
    <w:p w14:paraId="40AABB4C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70E02DCB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>الهيكل المقترح للرسالة:</w:t>
      </w:r>
    </w:p>
    <w:p w14:paraId="6349C71F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2068CC33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b/>
          <w:bCs/>
          <w:sz w:val="22"/>
          <w:szCs w:val="22"/>
          <w:u w:val="single"/>
          <w:rtl/>
        </w:rPr>
      </w:pPr>
      <w:r w:rsidRPr="004B7B44">
        <w:rPr>
          <w:rFonts w:ascii="Aptos" w:eastAsia="Aptos" w:hAnsi="Aptos" w:cs="Arial"/>
          <w:b/>
          <w:bCs/>
          <w:sz w:val="22"/>
          <w:szCs w:val="22"/>
          <w:u w:val="single"/>
          <w:rtl/>
        </w:rPr>
        <w:t>المقدمة</w:t>
      </w:r>
    </w:p>
    <w:p w14:paraId="6F6E957E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  تعريف الدليل الرقمي وأهميته في العصر الحديث.</w:t>
      </w:r>
    </w:p>
    <w:p w14:paraId="006A023B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 عرض مشكلة البحث وأهدافه.</w:t>
      </w:r>
    </w:p>
    <w:p w14:paraId="7DE443DB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 أهمية الدراسة في تعزيز العدالة.</w:t>
      </w:r>
    </w:p>
    <w:p w14:paraId="390C3221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23EBF0BC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b/>
          <w:bCs/>
          <w:sz w:val="22"/>
          <w:szCs w:val="22"/>
          <w:u w:val="single"/>
          <w:rtl/>
        </w:rPr>
      </w:pPr>
      <w:r w:rsidRPr="004B7B44">
        <w:rPr>
          <w:rFonts w:ascii="Aptos" w:eastAsia="Aptos" w:hAnsi="Aptos" w:cs="Arial"/>
          <w:b/>
          <w:bCs/>
          <w:sz w:val="22"/>
          <w:szCs w:val="22"/>
          <w:u w:val="single"/>
          <w:rtl/>
        </w:rPr>
        <w:t>الفصل الأول: الإطار النظري للدليل الرقمي</w:t>
      </w:r>
    </w:p>
    <w:p w14:paraId="2D7F207C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010DF3C4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•المبحث الأول:    تعريف الدليل الرقمي وأنواعه. (مطلبين)</w:t>
      </w:r>
    </w:p>
    <w:p w14:paraId="0F4D5AF5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kern w:val="0"/>
          <w:sz w:val="22"/>
          <w:szCs w:val="22"/>
          <w:rtl/>
          <w14:ligatures w14:val="none"/>
        </w:rPr>
        <w:t xml:space="preserve"> المبحث الثاني:</w:t>
      </w:r>
      <w:r w:rsidRPr="004B7B44">
        <w:rPr>
          <w:rFonts w:ascii="Aptos" w:eastAsia="Aptos" w:hAnsi="Aptos" w:cs="Arial"/>
          <w:kern w:val="0"/>
          <w:sz w:val="22"/>
          <w:szCs w:val="22"/>
          <w:rtl/>
          <w14:ligatures w14:val="none"/>
        </w:rPr>
        <w:tab/>
        <w:t>خصائص الدليل الرقمي.</w:t>
      </w:r>
      <w:r w:rsidRPr="004B7B44">
        <w:rPr>
          <w:rFonts w:ascii="Aptos" w:eastAsia="Aptos" w:hAnsi="Aptos" w:cs="Arial"/>
          <w:sz w:val="22"/>
          <w:szCs w:val="22"/>
          <w:rtl/>
        </w:rPr>
        <w:t xml:space="preserve"> (مطلبين)</w:t>
      </w:r>
    </w:p>
    <w:p w14:paraId="25A717B0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kern w:val="0"/>
          <w:sz w:val="22"/>
          <w:szCs w:val="22"/>
          <w:rtl/>
          <w14:ligatures w14:val="none"/>
        </w:rPr>
        <w:t xml:space="preserve"> المبحث الثالث:   الفرق بين الدليل التقليدي والدليل الرقمي.</w:t>
      </w:r>
      <w:r w:rsidRPr="004B7B44">
        <w:rPr>
          <w:rFonts w:ascii="Aptos" w:eastAsia="Aptos" w:hAnsi="Aptos" w:cs="Arial"/>
          <w:sz w:val="22"/>
          <w:szCs w:val="22"/>
          <w:rtl/>
        </w:rPr>
        <w:t xml:space="preserve"> (ثلاثة مطالب)</w:t>
      </w:r>
    </w:p>
    <w:p w14:paraId="16448023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5CF47B98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b/>
          <w:bCs/>
          <w:sz w:val="22"/>
          <w:szCs w:val="22"/>
          <w:u w:val="single"/>
          <w:rtl/>
        </w:rPr>
      </w:pPr>
      <w:r w:rsidRPr="004B7B44">
        <w:rPr>
          <w:rFonts w:ascii="Aptos" w:eastAsia="Aptos" w:hAnsi="Aptos" w:cs="Arial"/>
          <w:b/>
          <w:bCs/>
          <w:sz w:val="22"/>
          <w:szCs w:val="22"/>
          <w:u w:val="single"/>
          <w:rtl/>
        </w:rPr>
        <w:t>الفصل الثاني: الإطار القانوني للإثبات بالدليل الرقمي</w:t>
      </w:r>
    </w:p>
    <w:p w14:paraId="2A36533E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01244B97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sz w:val="22"/>
          <w:szCs w:val="22"/>
          <w:rtl/>
        </w:rPr>
        <w:tab/>
        <w:t>المبحث الأول: القوانين واللوائح المتعلقة بالدليل الرقمي في النظام القضائي.</w:t>
      </w:r>
    </w:p>
    <w:p w14:paraId="6874A011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sz w:val="22"/>
          <w:szCs w:val="22"/>
          <w:rtl/>
        </w:rPr>
        <w:tab/>
        <w:t>المبحث الثاني: المعايير القانونية لقبول الأدلة الرقمية.</w:t>
      </w:r>
    </w:p>
    <w:p w14:paraId="5D2D9F91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sz w:val="22"/>
          <w:szCs w:val="22"/>
          <w:rtl/>
        </w:rPr>
        <w:tab/>
        <w:t>المبحث الثالث: التحديات القانونية المرتبطة بالإثبات الرقمي.</w:t>
      </w:r>
    </w:p>
    <w:p w14:paraId="3A4F587D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110292F2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b/>
          <w:bCs/>
          <w:sz w:val="22"/>
          <w:szCs w:val="22"/>
          <w:u w:val="single"/>
          <w:rtl/>
        </w:rPr>
      </w:pPr>
      <w:r w:rsidRPr="004B7B44">
        <w:rPr>
          <w:rFonts w:ascii="Aptos" w:eastAsia="Aptos" w:hAnsi="Aptos" w:cs="Arial"/>
          <w:b/>
          <w:bCs/>
          <w:sz w:val="22"/>
          <w:szCs w:val="22"/>
          <w:u w:val="single"/>
          <w:rtl/>
        </w:rPr>
        <w:t>الفصل الثالث: دور الدليل الرقمي في تعزيز العدالة</w:t>
      </w:r>
    </w:p>
    <w:p w14:paraId="2ACC1818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72C523D0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lastRenderedPageBreak/>
        <w:tab/>
        <w:t>•</w:t>
      </w:r>
      <w:r w:rsidRPr="004B7B44">
        <w:rPr>
          <w:rFonts w:ascii="Aptos" w:eastAsia="Aptos" w:hAnsi="Aptos" w:cs="Arial"/>
          <w:sz w:val="22"/>
          <w:szCs w:val="22"/>
          <w:rtl/>
        </w:rPr>
        <w:tab/>
        <w:t>المبحث الأول: كيف يمكن أن يسهم الدليل الرقمي في تحقيق العدالة.</w:t>
      </w:r>
    </w:p>
    <w:p w14:paraId="0FFBCD43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sz w:val="22"/>
          <w:szCs w:val="22"/>
          <w:rtl/>
        </w:rPr>
        <w:tab/>
        <w:t>المبحث الثاني: أمثلة ودراسات حالة عن استخدام الدليل الرقمي في المحاكم.</w:t>
      </w:r>
    </w:p>
    <w:p w14:paraId="49FE4FFE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sz w:val="22"/>
          <w:szCs w:val="22"/>
          <w:rtl/>
        </w:rPr>
        <w:tab/>
        <w:t>المبحث الثالث: تأثير الدليل الرقمي على حقوق الدفاع والشفافية.</w:t>
      </w:r>
    </w:p>
    <w:p w14:paraId="3C4F9625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543FDF3C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b/>
          <w:bCs/>
          <w:sz w:val="22"/>
          <w:szCs w:val="22"/>
          <w:u w:val="single"/>
          <w:rtl/>
        </w:rPr>
      </w:pPr>
      <w:r w:rsidRPr="004B7B44">
        <w:rPr>
          <w:rFonts w:ascii="Aptos" w:eastAsia="Aptos" w:hAnsi="Aptos" w:cs="Arial"/>
          <w:b/>
          <w:bCs/>
          <w:sz w:val="22"/>
          <w:szCs w:val="22"/>
          <w:u w:val="single"/>
          <w:rtl/>
        </w:rPr>
        <w:t>الفصل الرابع: التحديات والفرص</w:t>
      </w:r>
    </w:p>
    <w:p w14:paraId="3163D9D0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5EA7D24F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sz w:val="22"/>
          <w:szCs w:val="22"/>
          <w:rtl/>
        </w:rPr>
        <w:tab/>
        <w:t>المبحث الأول: التحديات التي تواجه المحاكم في قبول الأدلة الرقمية.</w:t>
      </w:r>
    </w:p>
    <w:p w14:paraId="673C010E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sz w:val="22"/>
          <w:szCs w:val="22"/>
          <w:rtl/>
        </w:rPr>
        <w:tab/>
        <w:t>المبحث الثاني: الفرص المتاحة لتحسين استخدام الدليل الرقمي في القضاء.</w:t>
      </w:r>
    </w:p>
    <w:p w14:paraId="0401668F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sz w:val="22"/>
          <w:szCs w:val="22"/>
          <w:rtl/>
        </w:rPr>
        <w:tab/>
        <w:t>المبحث الثالث: الابتكارات التكنولوجية وتأثيرها على الإثبات القانوني.</w:t>
      </w:r>
    </w:p>
    <w:p w14:paraId="44C821B7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4CC231F0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b/>
          <w:bCs/>
          <w:sz w:val="22"/>
          <w:szCs w:val="22"/>
          <w:u w:val="single"/>
          <w:rtl/>
        </w:rPr>
      </w:pPr>
      <w:r w:rsidRPr="004B7B44">
        <w:rPr>
          <w:rFonts w:ascii="Aptos" w:eastAsia="Aptos" w:hAnsi="Aptos" w:cs="Arial"/>
          <w:b/>
          <w:bCs/>
          <w:sz w:val="22"/>
          <w:szCs w:val="22"/>
          <w:u w:val="single"/>
          <w:rtl/>
        </w:rPr>
        <w:t>الخاتمة</w:t>
      </w:r>
    </w:p>
    <w:p w14:paraId="51029077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6A6CFB9F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sz w:val="22"/>
          <w:szCs w:val="22"/>
          <w:rtl/>
        </w:rPr>
        <w:tab/>
        <w:t>تلخيص النتائج الرئيسية للدراسة.</w:t>
      </w:r>
    </w:p>
    <w:p w14:paraId="71FDED28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sz w:val="22"/>
          <w:szCs w:val="22"/>
          <w:rtl/>
        </w:rPr>
        <w:tab/>
        <w:t>تقديم توصيات لتحسين استخدام الدليل الرقمي في النظام القضائي.</w:t>
      </w:r>
    </w:p>
    <w:p w14:paraId="35801509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sz w:val="22"/>
          <w:szCs w:val="22"/>
          <w:rtl/>
        </w:rPr>
        <w:tab/>
        <w:t>اقتراحات لأبحاث مستقبلية في هذا المجال.</w:t>
      </w:r>
    </w:p>
    <w:p w14:paraId="0DB3DDB4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484CF74A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>ا</w:t>
      </w:r>
      <w:r w:rsidRPr="004B7B44">
        <w:rPr>
          <w:rFonts w:ascii="Aptos" w:eastAsia="Aptos" w:hAnsi="Aptos" w:cs="Arial"/>
          <w:b/>
          <w:bCs/>
          <w:sz w:val="22"/>
          <w:szCs w:val="22"/>
          <w:u w:val="single"/>
          <w:rtl/>
        </w:rPr>
        <w:t>لمراجع</w:t>
      </w:r>
    </w:p>
    <w:p w14:paraId="4BB7B4DD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</w:p>
    <w:p w14:paraId="61A25A19" w14:textId="77777777" w:rsidR="004B7B44" w:rsidRPr="004B7B44" w:rsidRDefault="004B7B44" w:rsidP="004B7B44">
      <w:pPr>
        <w:spacing w:line="256" w:lineRule="auto"/>
        <w:rPr>
          <w:rFonts w:ascii="Aptos" w:eastAsia="Aptos" w:hAnsi="Aptos" w:cs="Arial"/>
          <w:sz w:val="22"/>
          <w:szCs w:val="22"/>
          <w:rtl/>
        </w:rPr>
      </w:pPr>
      <w:r w:rsidRPr="004B7B44">
        <w:rPr>
          <w:rFonts w:ascii="Aptos" w:eastAsia="Aptos" w:hAnsi="Aptos" w:cs="Arial"/>
          <w:sz w:val="22"/>
          <w:szCs w:val="22"/>
          <w:rtl/>
        </w:rPr>
        <w:tab/>
        <w:t>•</w:t>
      </w:r>
      <w:r w:rsidRPr="004B7B44">
        <w:rPr>
          <w:rFonts w:ascii="Aptos" w:eastAsia="Aptos" w:hAnsi="Aptos" w:cs="Arial"/>
          <w:sz w:val="22"/>
          <w:szCs w:val="22"/>
          <w:rtl/>
        </w:rPr>
        <w:tab/>
        <w:t>سيتم ذكر قائمة بالمصادر والمراجع التي تم استخدامها في البحث. (كتب، ورسائل علمية، وندوات، وقوانين منظمة لعملية الإثبات بالدليل الرقمي).</w:t>
      </w:r>
    </w:p>
    <w:p w14:paraId="6D8AEE6B" w14:textId="77777777" w:rsidR="004B7B44" w:rsidRDefault="004B7B44"/>
    <w:sectPr w:rsidR="004B7B44" w:rsidSect="007B1E6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44"/>
    <w:rsid w:val="004B7B44"/>
    <w:rsid w:val="007B1E62"/>
    <w:rsid w:val="00FB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0699CE"/>
  <w15:chartTrackingRefBased/>
  <w15:docId w15:val="{C4A2F4E9-6064-448C-A46E-9C3B5A319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B7B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B7B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B7B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B7B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B7B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B7B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B7B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B7B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B7B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B7B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B7B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B7B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B7B4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B7B4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B7B4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B7B4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B7B4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B7B4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B7B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B7B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B7B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B7B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B7B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B7B4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B7B4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B7B4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B7B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B7B4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B7B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10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alfaifi</dc:creator>
  <cp:keywords/>
  <dc:description/>
  <cp:lastModifiedBy>KHALID alfaifi</cp:lastModifiedBy>
  <cp:revision>2</cp:revision>
  <dcterms:created xsi:type="dcterms:W3CDTF">2024-10-21T18:30:00Z</dcterms:created>
  <dcterms:modified xsi:type="dcterms:W3CDTF">2024-10-21T18:34:00Z</dcterms:modified>
</cp:coreProperties>
</file>