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55258894" w14:textId="77777777" w:rsidR="00EA22ED" w:rsidRDefault="008350AB" w:rsidP="007E6D2B">
            <w:pPr>
              <w:jc w:val="center"/>
              <w:rPr>
                <w:rtl/>
              </w:rPr>
            </w:pPr>
            <w:r>
              <w:rPr>
                <w:rFonts w:hint="cs"/>
                <w:rtl/>
              </w:rPr>
              <w:t>تأثير مجالس الادارات العائلية علي حوكمة الشركات</w:t>
            </w:r>
          </w:p>
          <w:p w14:paraId="3766419F" w14:textId="0D23E068" w:rsidR="008350AB" w:rsidRDefault="008350AB" w:rsidP="007E6D2B">
            <w:pPr>
              <w:jc w:val="center"/>
            </w:pPr>
            <w:r>
              <w:rPr>
                <w:rFonts w:hint="cs"/>
                <w:rtl/>
              </w:rPr>
              <w:t>دراسة تطبيقية علي .........</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4A43BD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464A895"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6B0C30"/>
    <w:rsid w:val="007D2097"/>
    <w:rsid w:val="007E6D2B"/>
    <w:rsid w:val="00811C8D"/>
    <w:rsid w:val="008350AB"/>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361</Words>
  <Characters>2061</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2024-08-10T08:31:00Z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