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EC9702A" w:rsidR="00EA22ED" w:rsidRDefault="00307DD8"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387AEC56" w:rsidR="00EA22ED" w:rsidRDefault="00307DD8"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42E3F5C6" w:rsidR="00EA22ED" w:rsidRDefault="00307DD8" w:rsidP="00B45D35">
            <w:pPr>
              <w:bidi/>
              <w:jc w:val="center"/>
            </w:pPr>
            <w:r>
              <w:rPr>
                <w:rFonts w:hint="cs"/>
                <w:rtl/>
              </w:rPr>
              <w:t>-</w:t>
            </w:r>
          </w:p>
        </w:tc>
        <w:tc>
          <w:tcPr>
            <w:tcW w:w="4131" w:type="dxa"/>
            <w:vAlign w:val="center"/>
          </w:tcPr>
          <w:p w14:paraId="25446452" w14:textId="7D58E65F" w:rsidR="00B45D35" w:rsidRDefault="00307DD8" w:rsidP="00B45D35">
            <w:pPr>
              <w:bidi/>
              <w:jc w:val="center"/>
              <w:rPr>
                <w:rtl/>
              </w:rPr>
            </w:pPr>
            <w:r>
              <w:rPr>
                <w:rFonts w:hint="cs"/>
                <w:rtl/>
              </w:rPr>
              <w:t>-</w:t>
            </w:r>
          </w:p>
          <w:p w14:paraId="26413A5D" w14:textId="159FB95F"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r w:rsidR="00307DD8">
              <w:rPr>
                <w:rFonts w:hint="cs"/>
                <w:rtl/>
              </w:rPr>
              <w:t>وربطه بادارة المخاطر</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CDD5A75" w:rsidR="00B45D35" w:rsidRDefault="00307DD8"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2B9729DC" w:rsidR="00EA22ED" w:rsidRDefault="00307DD8"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3EDF9B8" w:rsidR="00B45D35" w:rsidRDefault="00307DD8"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55DC5AE5" w:rsidR="00EA22ED" w:rsidRDefault="00307DD8" w:rsidP="00B45D35">
            <w:pPr>
              <w:bidi/>
              <w:jc w:val="center"/>
            </w:pPr>
            <w:r>
              <w:rPr>
                <w:rFonts w:hint="cs"/>
                <w:rtl/>
              </w:rPr>
              <w:t>-</w:t>
            </w:r>
          </w:p>
        </w:tc>
        <w:tc>
          <w:tcPr>
            <w:tcW w:w="930" w:type="dxa"/>
            <w:vAlign w:val="center"/>
          </w:tcPr>
          <w:p w14:paraId="0B803945" w14:textId="0DDF9824" w:rsidR="00EA22ED" w:rsidRDefault="00EA22ED" w:rsidP="00B45D35">
            <w:pPr>
              <w:bidi/>
              <w:jc w:val="center"/>
            </w:pP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0197D76A" w:rsidR="00EA22ED" w:rsidRDefault="00307DD8" w:rsidP="00B45D35">
            <w:pPr>
              <w:bidi/>
              <w:jc w:val="center"/>
            </w:pPr>
            <w:r>
              <w:rPr>
                <w:rFonts w:hint="cs"/>
                <w:rtl/>
              </w:rPr>
              <w:t>-</w:t>
            </w:r>
          </w:p>
        </w:tc>
        <w:tc>
          <w:tcPr>
            <w:tcW w:w="930" w:type="dxa"/>
            <w:vAlign w:val="center"/>
          </w:tcPr>
          <w:p w14:paraId="54A74EAE" w14:textId="4F58FEFE" w:rsidR="00EA22ED" w:rsidRDefault="00EA22ED" w:rsidP="00B45D35">
            <w:pPr>
              <w:bidi/>
              <w:jc w:val="center"/>
            </w:pP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392FB747" w:rsidR="00EA22ED" w:rsidRDefault="00307DD8" w:rsidP="00B45D35">
            <w:pPr>
              <w:bidi/>
              <w:jc w:val="center"/>
            </w:pPr>
            <w:r>
              <w:rPr>
                <w:rFonts w:hint="cs"/>
                <w:rtl/>
              </w:rPr>
              <w:t>-</w:t>
            </w:r>
          </w:p>
        </w:tc>
        <w:tc>
          <w:tcPr>
            <w:tcW w:w="930" w:type="dxa"/>
            <w:vAlign w:val="center"/>
          </w:tcPr>
          <w:p w14:paraId="423D74B4" w14:textId="77777777" w:rsidR="00EA22ED" w:rsidRDefault="00EA22ED" w:rsidP="00B45D35">
            <w:pPr>
              <w:bidi/>
              <w:jc w:val="center"/>
            </w:pP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696FA5A" w:rsidR="00EA22ED" w:rsidRDefault="00307DD8" w:rsidP="00B45D35">
            <w:pPr>
              <w:bidi/>
              <w:jc w:val="center"/>
            </w:pPr>
            <w:r>
              <w:rPr>
                <w:rFonts w:hint="cs"/>
                <w:rtl/>
              </w:rPr>
              <w:t>-</w:t>
            </w:r>
          </w:p>
        </w:tc>
        <w:tc>
          <w:tcPr>
            <w:tcW w:w="930" w:type="dxa"/>
            <w:vAlign w:val="center"/>
          </w:tcPr>
          <w:p w14:paraId="27B9B65F" w14:textId="77777777" w:rsidR="00EA22ED" w:rsidRDefault="00EA22ED" w:rsidP="00B45D35">
            <w:pPr>
              <w:bidi/>
              <w:jc w:val="center"/>
            </w:pP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190F5904" w:rsidR="00EA22ED" w:rsidRDefault="00307DD8" w:rsidP="00B45D35">
            <w:pPr>
              <w:bidi/>
              <w:jc w:val="center"/>
            </w:pPr>
            <w:r>
              <w:rPr>
                <w:rFonts w:hint="cs"/>
                <w:rtl/>
              </w:rPr>
              <w:t>-</w:t>
            </w:r>
          </w:p>
        </w:tc>
        <w:tc>
          <w:tcPr>
            <w:tcW w:w="930" w:type="dxa"/>
            <w:vAlign w:val="center"/>
          </w:tcPr>
          <w:p w14:paraId="4AA58B43" w14:textId="7F4FD3F7" w:rsidR="00EA22ED" w:rsidRDefault="00EA22ED" w:rsidP="00B45D35">
            <w:pPr>
              <w:bidi/>
              <w:jc w:val="center"/>
            </w:pP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lastRenderedPageBreak/>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CD6ADEA" w:rsidR="00EA22ED" w:rsidRDefault="00307DD8" w:rsidP="00B45D35">
            <w:pPr>
              <w:bidi/>
              <w:jc w:val="center"/>
            </w:pPr>
            <w:r>
              <w:rPr>
                <w:rFonts w:hint="cs"/>
                <w:rtl/>
              </w:rPr>
              <w:t>-</w:t>
            </w:r>
          </w:p>
        </w:tc>
        <w:tc>
          <w:tcPr>
            <w:tcW w:w="930" w:type="dxa"/>
            <w:vAlign w:val="center"/>
          </w:tcPr>
          <w:p w14:paraId="6A7499E5" w14:textId="3483A7A3" w:rsidR="00EA22ED" w:rsidRDefault="00EA22ED" w:rsidP="00B45D35">
            <w:pPr>
              <w:bidi/>
              <w:jc w:val="center"/>
            </w:pP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52DAE471" w:rsidR="00EA22ED" w:rsidRDefault="00307DD8" w:rsidP="00B45D35">
            <w:pPr>
              <w:bidi/>
              <w:jc w:val="center"/>
            </w:pPr>
            <w:r>
              <w:rPr>
                <w:rFonts w:hint="cs"/>
                <w:rtl/>
              </w:rPr>
              <w:t>-</w:t>
            </w:r>
          </w:p>
        </w:tc>
        <w:tc>
          <w:tcPr>
            <w:tcW w:w="930" w:type="dxa"/>
            <w:vAlign w:val="center"/>
          </w:tcPr>
          <w:p w14:paraId="394CB647" w14:textId="77777777" w:rsidR="00EA22ED" w:rsidRDefault="00EA22ED" w:rsidP="00B45D35">
            <w:pPr>
              <w:bidi/>
              <w:jc w:val="center"/>
            </w:pP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327A9566" w:rsidR="00EA22ED" w:rsidRDefault="00307DD8" w:rsidP="00B45D35">
            <w:pPr>
              <w:bidi/>
              <w:jc w:val="center"/>
            </w:pPr>
            <w:r>
              <w:rPr>
                <w:rFonts w:hint="cs"/>
                <w:rtl/>
              </w:rPr>
              <w:t>-</w:t>
            </w: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23C2356F" w:rsidR="00EA22ED" w:rsidRDefault="00307DD8" w:rsidP="00B45D35">
            <w:pPr>
              <w:bidi/>
              <w:jc w:val="center"/>
            </w:pPr>
            <w:r>
              <w:rPr>
                <w:rFonts w:hint="cs"/>
                <w:rtl/>
              </w:rPr>
              <w:t>-</w:t>
            </w:r>
          </w:p>
        </w:tc>
        <w:tc>
          <w:tcPr>
            <w:tcW w:w="930" w:type="dxa"/>
            <w:vAlign w:val="center"/>
          </w:tcPr>
          <w:p w14:paraId="026C83D2" w14:textId="77777777" w:rsidR="00EA22ED" w:rsidRDefault="00EA22ED" w:rsidP="00B45D35">
            <w:pPr>
              <w:bidi/>
              <w:jc w:val="center"/>
            </w:pP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6C88B2D2" w:rsidR="00EA22ED" w:rsidRDefault="00307DD8" w:rsidP="00B45D35">
            <w:pPr>
              <w:bidi/>
              <w:jc w:val="center"/>
            </w:pPr>
            <w:r>
              <w:rPr>
                <w:rFonts w:hint="cs"/>
                <w:rtl/>
              </w:rPr>
              <w:t>-</w:t>
            </w:r>
          </w:p>
        </w:tc>
        <w:tc>
          <w:tcPr>
            <w:tcW w:w="930" w:type="dxa"/>
            <w:vAlign w:val="center"/>
          </w:tcPr>
          <w:p w14:paraId="6AF278AC" w14:textId="6BC0D35D" w:rsidR="00EA22ED" w:rsidRDefault="00EA22ED" w:rsidP="00B45D35">
            <w:pPr>
              <w:bidi/>
              <w:jc w:val="center"/>
            </w:pP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1B48FD3" w14:textId="7DC87547" w:rsidR="00307DD8" w:rsidRDefault="00307DD8" w:rsidP="00307DD8">
            <w:pPr>
              <w:bidi/>
              <w:rPr>
                <w:rtl/>
              </w:rPr>
            </w:pPr>
            <w:r>
              <w:rPr>
                <w:rFonts w:cs="Arial" w:hint="cs"/>
                <w:rtl/>
              </w:rPr>
              <w:t>اليك</w:t>
            </w:r>
            <w:r>
              <w:rPr>
                <w:rFonts w:cs="Arial"/>
                <w:rtl/>
              </w:rPr>
              <w:t xml:space="preserve"> بعض العناوين البحثية المتعلقة بحوكمة الشركات وعلاقتها بإدارة المخاطر</w:t>
            </w:r>
            <w:r>
              <w:t>:</w:t>
            </w:r>
          </w:p>
          <w:p w14:paraId="16FE6C52" w14:textId="77777777" w:rsidR="00307DD8" w:rsidRDefault="00307DD8" w:rsidP="00307DD8">
            <w:pPr>
              <w:bidi/>
              <w:rPr>
                <w:rtl/>
              </w:rPr>
            </w:pPr>
            <w:r>
              <w:rPr>
                <w:rFonts w:cs="Arial"/>
                <w:rtl/>
              </w:rPr>
              <w:t>1</w:t>
            </w:r>
            <w:r>
              <w:t>. "</w:t>
            </w:r>
            <w:r>
              <w:rPr>
                <w:rFonts w:cs="Arial"/>
                <w:rtl/>
              </w:rPr>
              <w:t>تأثير ممارسات حوكمة الشركات على إدارة المخاطر والأداء المالي للشركات</w:t>
            </w:r>
            <w:r>
              <w:t>"</w:t>
            </w:r>
          </w:p>
          <w:p w14:paraId="398E3106" w14:textId="77777777" w:rsidR="00307DD8" w:rsidRDefault="00307DD8" w:rsidP="00307DD8">
            <w:pPr>
              <w:bidi/>
              <w:rPr>
                <w:rtl/>
              </w:rPr>
            </w:pPr>
            <w:r>
              <w:rPr>
                <w:rFonts w:cs="Arial"/>
                <w:rtl/>
              </w:rPr>
              <w:t>2</w:t>
            </w:r>
            <w:r>
              <w:t>. "</w:t>
            </w:r>
            <w:r>
              <w:rPr>
                <w:rFonts w:cs="Arial"/>
                <w:rtl/>
              </w:rPr>
              <w:t>دور مجالس الإدارة ولجان المخاطر في تعزيز إدارة المخاطر في الشركات</w:t>
            </w:r>
            <w:r>
              <w:t>"</w:t>
            </w:r>
          </w:p>
          <w:p w14:paraId="1EFB859A" w14:textId="77777777" w:rsidR="00307DD8" w:rsidRDefault="00307DD8" w:rsidP="00307DD8">
            <w:pPr>
              <w:bidi/>
              <w:rPr>
                <w:rtl/>
              </w:rPr>
            </w:pPr>
            <w:r>
              <w:rPr>
                <w:rFonts w:cs="Arial"/>
                <w:rtl/>
              </w:rPr>
              <w:t>3</w:t>
            </w:r>
            <w:r>
              <w:t>. "</w:t>
            </w:r>
            <w:r>
              <w:rPr>
                <w:rFonts w:cs="Arial"/>
                <w:rtl/>
              </w:rPr>
              <w:t>تقييم مستوى توافق حوكمة الشركات مع إدارة المخاطر وتأثيره على استدامة الأعمال</w:t>
            </w:r>
            <w:r>
              <w:t>"</w:t>
            </w:r>
          </w:p>
          <w:p w14:paraId="3241374B" w14:textId="77777777" w:rsidR="00307DD8" w:rsidRDefault="00307DD8" w:rsidP="00307DD8">
            <w:pPr>
              <w:bidi/>
              <w:rPr>
                <w:rtl/>
              </w:rPr>
            </w:pPr>
            <w:r>
              <w:rPr>
                <w:rFonts w:cs="Arial"/>
                <w:rtl/>
              </w:rPr>
              <w:t>4</w:t>
            </w:r>
            <w:r>
              <w:t>. "</w:t>
            </w:r>
            <w:r>
              <w:rPr>
                <w:rFonts w:cs="Arial"/>
                <w:rtl/>
              </w:rPr>
              <w:t>تطوير إطار عمل متكامل لحوكمة الشركات وإدارة المخاطر لتعزيز الشفافية والمسؤولية</w:t>
            </w:r>
            <w:r>
              <w:t>"</w:t>
            </w:r>
          </w:p>
          <w:p w14:paraId="776E8E96" w14:textId="0AF303A1" w:rsidR="00307DD8" w:rsidRDefault="00307DD8" w:rsidP="00307DD8">
            <w:pPr>
              <w:bidi/>
              <w:rPr>
                <w:rtl/>
              </w:rPr>
            </w:pPr>
            <w:r>
              <w:rPr>
                <w:rFonts w:cs="Arial"/>
                <w:rtl/>
              </w:rPr>
              <w:t>5. "تحليل تأثير تبني مبادئ حوكمة الشركات الجيدة على تقليل المخاطر وتحسين أداء الشركات"</w:t>
            </w:r>
          </w:p>
          <w:p w14:paraId="0B7DEFE8" w14:textId="6885B2DC" w:rsidR="00EA22ED" w:rsidRDefault="00307DD8" w:rsidP="00307DD8">
            <w:pPr>
              <w:bidi/>
              <w:jc w:val="center"/>
              <w:rPr>
                <w:rtl/>
              </w:rPr>
            </w:pPr>
            <w:r>
              <w:rPr>
                <w:rFonts w:hint="cs"/>
                <w:rtl/>
              </w:rPr>
              <w:t xml:space="preserve">هذه الخطة فارغة بحاجة الى اعادة </w:t>
            </w:r>
            <w:bookmarkStart w:id="0" w:name="_GoBack"/>
            <w:bookmarkEnd w:id="0"/>
            <w:r w:rsidR="00892076">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07DD8"/>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590</Words>
  <Characters>3364</Characters>
  <Application>Microsoft Office Word</Application>
  <DocSecurity>0</DocSecurity>
  <Lines>28</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