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44F9" w:rsidRDefault="00FB44F9" w:rsidP="00FB44F9">
      <w:pPr>
        <w:bidi/>
        <w:jc w:val="right"/>
        <w:rPr>
          <w:rFonts w:ascii="Simplified Arabic" w:hAnsi="Simplified Arabic" w:cs="Simplified Arabic"/>
          <w:sz w:val="32"/>
          <w:szCs w:val="32"/>
          <w:rtl/>
        </w:rPr>
      </w:pPr>
      <w:r>
        <w:rPr>
          <w:rFonts w:ascii="Simplified Arabic" w:hAnsi="Simplified Arabic" w:cs="Simplified Arabic"/>
          <w:noProof/>
          <w:sz w:val="34"/>
          <w:szCs w:val="34"/>
        </w:rPr>
        <w:drawing>
          <wp:inline distT="0" distB="0" distL="0" distR="0" wp14:anchorId="74046348" wp14:editId="6761C9AC">
            <wp:extent cx="1823085" cy="859790"/>
            <wp:effectExtent l="0" t="0" r="5715"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3085" cy="859790"/>
                    </a:xfrm>
                    <a:prstGeom prst="rect">
                      <a:avLst/>
                    </a:prstGeom>
                    <a:noFill/>
                  </pic:spPr>
                </pic:pic>
              </a:graphicData>
            </a:graphic>
          </wp:inline>
        </w:drawing>
      </w:r>
    </w:p>
    <w:p w:rsidR="00FB44F9" w:rsidRDefault="00FB44F9" w:rsidP="00FB44F9">
      <w:pPr>
        <w:bidi/>
        <w:jc w:val="center"/>
        <w:rPr>
          <w:rFonts w:ascii="Simplified Arabic" w:hAnsi="Simplified Arabic" w:cs="Simplified Arabic"/>
          <w:sz w:val="32"/>
          <w:szCs w:val="32"/>
          <w:rtl/>
        </w:rPr>
      </w:pPr>
      <w:r w:rsidRPr="00454CC0">
        <w:rPr>
          <w:rFonts w:ascii="Simplified Arabic" w:hAnsi="Simplified Arabic" w:cs="Simplified Arabic"/>
          <w:sz w:val="32"/>
          <w:szCs w:val="32"/>
          <w:rtl/>
        </w:rPr>
        <w:t>بسم الله الرحمن الرحيم</w:t>
      </w:r>
    </w:p>
    <w:p w:rsidR="00FB44F9" w:rsidRPr="00E5739E" w:rsidRDefault="00FB44F9" w:rsidP="00FB44F9">
      <w:pPr>
        <w:bidi/>
        <w:jc w:val="center"/>
        <w:rPr>
          <w:rFonts w:ascii="Simplified Arabic" w:hAnsi="Simplified Arabic" w:cs="Simplified Arabic"/>
          <w:b/>
          <w:bCs/>
          <w:sz w:val="28"/>
          <w:szCs w:val="28"/>
          <w:rtl/>
        </w:rPr>
      </w:pPr>
      <w:r w:rsidRPr="00E5739E">
        <w:rPr>
          <w:rFonts w:ascii="Simplified Arabic" w:hAnsi="Simplified Arabic" w:cs="Simplified Arabic"/>
          <w:b/>
          <w:bCs/>
          <w:sz w:val="28"/>
          <w:szCs w:val="28"/>
          <w:rtl/>
        </w:rPr>
        <w:t xml:space="preserve">تقرير </w:t>
      </w:r>
      <w:proofErr w:type="spellStart"/>
      <w:r w:rsidRPr="00E5739E">
        <w:rPr>
          <w:rFonts w:ascii="Simplified Arabic" w:hAnsi="Simplified Arabic" w:cs="Simplified Arabic"/>
          <w:b/>
          <w:bCs/>
          <w:sz w:val="28"/>
          <w:szCs w:val="28"/>
          <w:rtl/>
        </w:rPr>
        <w:t>علمى</w:t>
      </w:r>
      <w:proofErr w:type="spellEnd"/>
      <w:r w:rsidRPr="00E5739E">
        <w:rPr>
          <w:rFonts w:ascii="Simplified Arabic" w:hAnsi="Simplified Arabic" w:cs="Simplified Arabic"/>
          <w:b/>
          <w:bCs/>
          <w:sz w:val="28"/>
          <w:szCs w:val="28"/>
          <w:rtl/>
        </w:rPr>
        <w:t xml:space="preserve"> عن مدى صلاحية الفصل الثاني للأطروحة</w:t>
      </w:r>
    </w:p>
    <w:p w:rsidR="00FB44F9" w:rsidRDefault="00FB44F9" w:rsidP="00FB44F9">
      <w:pPr>
        <w:bidi/>
        <w:jc w:val="center"/>
        <w:rPr>
          <w:rFonts w:cs="Arial"/>
          <w:rtl/>
        </w:rPr>
      </w:pPr>
    </w:p>
    <w:p w:rsidR="00045CD7" w:rsidRPr="00FB44F9" w:rsidRDefault="00045CD7" w:rsidP="00FB44F9">
      <w:pPr>
        <w:bidi/>
        <w:jc w:val="both"/>
        <w:rPr>
          <w:rFonts w:ascii="Simplified Arabic" w:hAnsi="Simplified Arabic" w:cs="Simplified Arabic"/>
          <w:b/>
          <w:bCs/>
          <w:sz w:val="24"/>
          <w:szCs w:val="24"/>
        </w:rPr>
      </w:pPr>
      <w:r w:rsidRPr="00FB44F9">
        <w:rPr>
          <w:rFonts w:ascii="Simplified Arabic" w:hAnsi="Simplified Arabic" w:cs="Simplified Arabic"/>
          <w:b/>
          <w:bCs/>
          <w:sz w:val="24"/>
          <w:szCs w:val="24"/>
          <w:rtl/>
        </w:rPr>
        <w:t>التقييم العام</w:t>
      </w:r>
    </w:p>
    <w:p w:rsidR="00045CD7" w:rsidRPr="00FB44F9" w:rsidRDefault="00045CD7" w:rsidP="00FB44F9">
      <w:pPr>
        <w:bidi/>
        <w:jc w:val="both"/>
        <w:rPr>
          <w:rFonts w:ascii="Simplified Arabic" w:hAnsi="Simplified Arabic" w:cs="Simplified Arabic"/>
          <w:sz w:val="24"/>
          <w:szCs w:val="24"/>
        </w:rPr>
      </w:pPr>
      <w:r w:rsidRPr="00FB44F9">
        <w:rPr>
          <w:rFonts w:ascii="Simplified Arabic" w:hAnsi="Simplified Arabic" w:cs="Simplified Arabic"/>
          <w:sz w:val="24"/>
          <w:szCs w:val="24"/>
          <w:rtl/>
        </w:rPr>
        <w:t>تتناول هذه الأطروحة أثر تقنيات الذكاء الاصطناعي على سلاسل القيمة التشغيلية في مؤسسات حكومية سعودية رئيسية. يُعدّ الموضوع آنيًا وهامًا، إذ يُعالج فجوة حقيقية عند تقاطع تبني الذكاء الاصطناعي وكفاءة العمليات في القطاع العام. وقد بذل الباحث جهدًا جديرًا بالثناء في تطوير إطار نظري شامل يدمج نظرية الموارد والقيمة، ونظرية التنظيم، والنظرية المؤسسية، ومراجعة منهجية لمجموعة كبيرة من الأدبيات عبر ثلاثة محاور موضوعية. ويُوفّر التصوّر المفاهيمي رباعي الأبعاد لتقنيات الذكاء الاصطناعي (جمع البيانات/معالجتها، والنماذج التنبؤية، والأتمتة الذكية، وأنظمة دعم القرار) أساسًا تحليليًا منظمًا. ومع ذلك، يُعاني العمل من قصور منهجي كبير، ومحدودية في توضيح المساهمة الأصلية بما يتجاوز دمج الأطر، وعدم كفاية الخصوصية السياقية للقطاع الحكومي السعودي. تُمثّل الأطروحة جهدًا واعدًا مع استناد قوي إلى الأدبيات، ولكنها تتطلب تحسينًا منهجيًا كبيرًا للوصول إلى مستوى الدقة المطلوب في أطروحات الدكتوراه.</w:t>
      </w:r>
    </w:p>
    <w:p w:rsidR="00045CD7" w:rsidRPr="00FB44F9" w:rsidRDefault="00045CD7" w:rsidP="00FB44F9">
      <w:pPr>
        <w:bidi/>
        <w:jc w:val="both"/>
        <w:rPr>
          <w:rFonts w:ascii="Simplified Arabic" w:hAnsi="Simplified Arabic" w:cs="Simplified Arabic"/>
          <w:sz w:val="24"/>
          <w:szCs w:val="24"/>
        </w:rPr>
      </w:pPr>
      <w:r w:rsidRPr="00FB44F9">
        <w:rPr>
          <w:rFonts w:ascii="Simplified Arabic" w:hAnsi="Simplified Arabic" w:cs="Simplified Arabic"/>
          <w:sz w:val="24"/>
          <w:szCs w:val="24"/>
          <w:rtl/>
        </w:rPr>
        <w:t>نقاط قوة الباحث</w:t>
      </w:r>
    </w:p>
    <w:p w:rsidR="00045CD7" w:rsidRPr="00FB44F9" w:rsidRDefault="00045CD7" w:rsidP="00FB44F9">
      <w:pPr>
        <w:bidi/>
        <w:jc w:val="both"/>
        <w:rPr>
          <w:rFonts w:ascii="Simplified Arabic" w:hAnsi="Simplified Arabic" w:cs="Simplified Arabic"/>
          <w:sz w:val="24"/>
          <w:szCs w:val="24"/>
        </w:rPr>
      </w:pPr>
      <w:r w:rsidRPr="00FB44F9">
        <w:rPr>
          <w:rFonts w:ascii="Simplified Arabic" w:hAnsi="Simplified Arabic" w:cs="Simplified Arabic"/>
          <w:sz w:val="24"/>
          <w:szCs w:val="24"/>
          <w:rtl/>
        </w:rPr>
        <w:t>الإلمام الشامل بالأدبيات: يُظهر الباحث مراجعةً دقيقةً ومنهجيةً لأكثر من 18 دراسةً ضمن ثلاثة محاور موضوعية (دراسات الذكاء الاصطناعي، ودراسات سلسلة القيمة، والدراسات المتكاملة)، مما يدل على إلمامه بالمجال البحثي وقدرته على دمج مصادر متنوعة من الأدبيات العربية والدولية.</w:t>
      </w:r>
    </w:p>
    <w:p w:rsidR="00045CD7" w:rsidRPr="00FB44F9" w:rsidRDefault="00045CD7" w:rsidP="00FB44F9">
      <w:pPr>
        <w:bidi/>
        <w:jc w:val="both"/>
        <w:rPr>
          <w:rFonts w:ascii="Simplified Arabic" w:hAnsi="Simplified Arabic" w:cs="Simplified Arabic"/>
          <w:sz w:val="24"/>
          <w:szCs w:val="24"/>
        </w:rPr>
      </w:pPr>
      <w:r w:rsidRPr="00FB44F9">
        <w:rPr>
          <w:rFonts w:ascii="Simplified Arabic" w:hAnsi="Simplified Arabic" w:cs="Simplified Arabic"/>
          <w:sz w:val="24"/>
          <w:szCs w:val="24"/>
          <w:rtl/>
        </w:rPr>
        <w:t xml:space="preserve">تطوير إطار نظري متين: يدمج الباحث بنجاح ثلاثة منظورات نظرية (المنظور القائم على الموارد، وإطار </w:t>
      </w:r>
      <w:r w:rsidRPr="00FB44F9">
        <w:rPr>
          <w:rFonts w:ascii="Simplified Arabic" w:hAnsi="Simplified Arabic" w:cs="Simplified Arabic"/>
          <w:sz w:val="24"/>
          <w:szCs w:val="24"/>
        </w:rPr>
        <w:t>TOE</w:t>
      </w:r>
      <w:r w:rsidRPr="00FB44F9">
        <w:rPr>
          <w:rFonts w:ascii="Simplified Arabic" w:hAnsi="Simplified Arabic" w:cs="Simplified Arabic"/>
          <w:sz w:val="24"/>
          <w:szCs w:val="24"/>
          <w:rtl/>
        </w:rPr>
        <w:t>، والنظرية المؤسسية) في نموذج تفسيري متماسك، موضحًا كيف يمكن فهم الذكاء الاصطناعي كمورد استراتيجي، وكيف تؤثر العوامل التنظيمية والبيئية على تبنيه، وكيف تُشكل الضغوط المؤسسية عملية تنفيذه.</w:t>
      </w:r>
    </w:p>
    <w:p w:rsidR="00045CD7" w:rsidRPr="00FB44F9" w:rsidRDefault="00045CD7" w:rsidP="00FB44F9">
      <w:pPr>
        <w:bidi/>
        <w:jc w:val="both"/>
        <w:rPr>
          <w:rFonts w:ascii="Simplified Arabic" w:hAnsi="Simplified Arabic" w:cs="Simplified Arabic"/>
          <w:sz w:val="24"/>
          <w:szCs w:val="24"/>
        </w:rPr>
      </w:pPr>
      <w:r w:rsidRPr="00FB44F9">
        <w:rPr>
          <w:rFonts w:ascii="Simplified Arabic" w:hAnsi="Simplified Arabic" w:cs="Simplified Arabic"/>
          <w:sz w:val="24"/>
          <w:szCs w:val="24"/>
          <w:rtl/>
        </w:rPr>
        <w:t>صياغة إطار مفاهيمي واضح: يطور الباحث بفعالية تصورًا مفاهيميًا رباعي الأبعاد لتقنيات الذكاء الاصطناعي (جمع البيانات/معالجتها، والنماذج التنبؤية، والأتمتة الذكية، وأنظمة دعم القرار) وسلسلة قيمة تشغيلية من أربع مراحل، مما يُنشئ نموذجًا هيكليًا قابلًا للاختبار مع العلاقات المقترحة.</w:t>
      </w:r>
    </w:p>
    <w:p w:rsidR="00045CD7" w:rsidRPr="00FB44F9" w:rsidRDefault="00045CD7" w:rsidP="00FB44F9">
      <w:pPr>
        <w:bidi/>
        <w:jc w:val="both"/>
        <w:rPr>
          <w:rFonts w:ascii="Simplified Arabic" w:hAnsi="Simplified Arabic" w:cs="Simplified Arabic"/>
          <w:sz w:val="24"/>
          <w:szCs w:val="24"/>
        </w:rPr>
      </w:pPr>
      <w:r w:rsidRPr="00FB44F9">
        <w:rPr>
          <w:rFonts w:ascii="Simplified Arabic" w:hAnsi="Simplified Arabic" w:cs="Simplified Arabic"/>
          <w:sz w:val="24"/>
          <w:szCs w:val="24"/>
          <w:rtl/>
        </w:rPr>
        <w:lastRenderedPageBreak/>
        <w:t xml:space="preserve">الصلة السياقية برؤية السعودية 2030: يضع البحث البحث بفعالية ضمن أجندة التحول الرقمي في المملكة العربية السعودية، مستشهداً بالمبادرات الوطنية (مثل تطبيق </w:t>
      </w:r>
      <w:r w:rsidRPr="00FB44F9">
        <w:rPr>
          <w:rFonts w:ascii="Simplified Arabic" w:hAnsi="Simplified Arabic" w:cs="Simplified Arabic"/>
          <w:sz w:val="24"/>
          <w:szCs w:val="24"/>
        </w:rPr>
        <w:t>SDAIA</w:t>
      </w:r>
      <w:r w:rsidRPr="00FB44F9">
        <w:rPr>
          <w:rFonts w:ascii="Simplified Arabic" w:hAnsi="Simplified Arabic" w:cs="Simplified Arabic"/>
          <w:sz w:val="24"/>
          <w:szCs w:val="24"/>
          <w:rtl/>
        </w:rPr>
        <w:t xml:space="preserve"> وتطبيق "توكلنا" وبرامج الحكومة الرقمية)، ومُظهراً فهماً لأهمية السياسات والجدوى العملية للقطاع الحكومي السعودي.</w:t>
      </w:r>
    </w:p>
    <w:p w:rsidR="00045CD7" w:rsidRPr="00FB44F9" w:rsidRDefault="00045CD7" w:rsidP="00FB44F9">
      <w:pPr>
        <w:bidi/>
        <w:jc w:val="both"/>
        <w:rPr>
          <w:rFonts w:ascii="Simplified Arabic" w:hAnsi="Simplified Arabic" w:cs="Simplified Arabic"/>
          <w:b/>
          <w:bCs/>
          <w:sz w:val="24"/>
          <w:szCs w:val="24"/>
        </w:rPr>
      </w:pPr>
      <w:r w:rsidRPr="00FB44F9">
        <w:rPr>
          <w:rFonts w:ascii="Simplified Arabic" w:hAnsi="Simplified Arabic" w:cs="Simplified Arabic"/>
          <w:b/>
          <w:bCs/>
          <w:sz w:val="24"/>
          <w:szCs w:val="24"/>
          <w:rtl/>
        </w:rPr>
        <w:t>نقاط ضعف الباحث</w:t>
      </w:r>
    </w:p>
    <w:p w:rsidR="00045CD7" w:rsidRPr="00FB44F9" w:rsidRDefault="00045CD7" w:rsidP="00FB44F9">
      <w:pPr>
        <w:bidi/>
        <w:jc w:val="both"/>
        <w:rPr>
          <w:rFonts w:ascii="Simplified Arabic" w:hAnsi="Simplified Arabic" w:cs="Simplified Arabic"/>
          <w:sz w:val="24"/>
          <w:szCs w:val="24"/>
        </w:rPr>
      </w:pPr>
      <w:r w:rsidRPr="00FB44F9">
        <w:rPr>
          <w:rFonts w:ascii="Simplified Arabic" w:hAnsi="Simplified Arabic" w:cs="Simplified Arabic"/>
          <w:sz w:val="24"/>
          <w:szCs w:val="24"/>
          <w:rtl/>
        </w:rPr>
        <w:t>المنهجية غير المتطورة وغير المتسقة: تقترح الرسالة تصميماً تفسيرياً متسلسلاً يجمع بين المنهج الكمي والمقابلات النوعية، إلا أن بعض التفاصيل الأساسية لا تزال غامضة: لا يوجد توضيح دقيق لاستراتيجية أخذ العينات ضمن منهجية العينة العشوائية الطبقية (كيفية تحديد الطبقات، وكيفية اختيار المشاركين من كل طبقة)، ولا يوجد تحديد لبروتوكول المقابلة أو معايير اختيار المشاركين، ولا يوجد نقاش حول كيفية دمج المراحل النوعية والكمية بشكل يتجاوز العبارات العامة، ولا توجد تفاصيل حول كيفية التحقق من صحة الاستبيان (باستثناء الإشارة إلى التحليل العاملي الاستكشافي والتحليل العاملي التوكيدي دون تفاصيل محددة).</w:t>
      </w:r>
    </w:p>
    <w:p w:rsidR="00045CD7" w:rsidRPr="00FB44F9" w:rsidRDefault="00045CD7" w:rsidP="00FB44F9">
      <w:pPr>
        <w:bidi/>
        <w:jc w:val="both"/>
        <w:rPr>
          <w:rFonts w:ascii="Simplified Arabic" w:hAnsi="Simplified Arabic" w:cs="Simplified Arabic"/>
          <w:sz w:val="24"/>
          <w:szCs w:val="24"/>
        </w:rPr>
      </w:pPr>
      <w:r w:rsidRPr="00FB44F9">
        <w:rPr>
          <w:rFonts w:ascii="Simplified Arabic" w:hAnsi="Simplified Arabic" w:cs="Simplified Arabic"/>
          <w:sz w:val="24"/>
          <w:szCs w:val="24"/>
          <w:rtl/>
        </w:rPr>
        <w:t>محدودية توضيح الإسهام الأصلي: تُحدد الرسالة فجوة بحثية، لكنها لا تُبين بوضوح الإسهام النظري أو المنهجي أو العملي الجديد الذي ينوي الباحث تقديمه، والذي يتجاوز تطبيق الأطر القائمة (نظرية الموارد، نظرية المؤسسات، النظرية المؤسسية) على سياق جديد. ويظهر "الابتكار" بشكل أساسي في دمج الأطر وتوسيع أبعادها، بدلاً من التطور النظري أو التحقق التجريبي.</w:t>
      </w:r>
    </w:p>
    <w:p w:rsidR="00045CD7" w:rsidRPr="00FB44F9" w:rsidRDefault="00045CD7" w:rsidP="00FB44F9">
      <w:pPr>
        <w:bidi/>
        <w:jc w:val="both"/>
        <w:rPr>
          <w:rFonts w:ascii="Simplified Arabic" w:hAnsi="Simplified Arabic" w:cs="Simplified Arabic"/>
          <w:sz w:val="24"/>
          <w:szCs w:val="24"/>
        </w:rPr>
      </w:pPr>
      <w:r w:rsidRPr="00FB44F9">
        <w:rPr>
          <w:rFonts w:ascii="Simplified Arabic" w:hAnsi="Simplified Arabic" w:cs="Simplified Arabic"/>
          <w:sz w:val="24"/>
          <w:szCs w:val="24"/>
          <w:rtl/>
        </w:rPr>
        <w:t>ضعف تبرير خصوصية القطاع الحكومي: على الرغم من الإشارة إلى سياق الحكومة السعودية، إلا أن الباحث لا يُفرق بشكل كافٍ بين أنواع المؤسسات الحكومية (الوزارات، والهيئات، والوكالات)، كما أنه لا يُوضح كيف يختلف سياق القطاع العام نظرياً عن سياقات القطاع الخاص التي أُجريت فيها معظم الدراسات السابقة، باستثناء عبارات عامة حول "التعقيد" و"جودة الخدمة".</w:t>
      </w:r>
    </w:p>
    <w:p w:rsidR="00045CD7" w:rsidRPr="00FB44F9" w:rsidRDefault="00045CD7" w:rsidP="00FB44F9">
      <w:pPr>
        <w:bidi/>
        <w:jc w:val="both"/>
        <w:rPr>
          <w:rFonts w:ascii="Simplified Arabic" w:hAnsi="Simplified Arabic" w:cs="Simplified Arabic"/>
          <w:sz w:val="24"/>
          <w:szCs w:val="24"/>
        </w:rPr>
      </w:pPr>
      <w:r w:rsidRPr="00FB44F9">
        <w:rPr>
          <w:rFonts w:ascii="Simplified Arabic" w:hAnsi="Simplified Arabic" w:cs="Simplified Arabic"/>
          <w:sz w:val="24"/>
          <w:szCs w:val="24"/>
          <w:rtl/>
        </w:rPr>
        <w:t>الجدوى العملية وإمكانية الوصول غير واضحة: يُقرّ الباحث بضرورة الحصول على "تصاريح" للوصول إلى المؤسسات الحكومية، لكنه لا يوضح ما يلي: (أ) ما إذا كان هذا الوصول قد تم الحصول عليه أم أنه قيد الانتظار، (ب) ما هي المؤسسات المحددة التي ستشملها الدراسة، (ج) كيفية التعامل مع البيانات التشغيلية الحساسة بشكل أخلاقي، أو (د) ما هي خطط الطوارئ في حال رفض الوصول. يُثير هذا الأمر شكوكًا كبيرة حول إمكانية إتمام الدراسة كما هو مُقترح.</w:t>
      </w:r>
    </w:p>
    <w:p w:rsidR="007106B2" w:rsidRPr="00FB44F9" w:rsidRDefault="00045CD7" w:rsidP="00FB44F9">
      <w:pPr>
        <w:bidi/>
        <w:jc w:val="both"/>
        <w:rPr>
          <w:rFonts w:ascii="Simplified Arabic" w:hAnsi="Simplified Arabic" w:cs="Simplified Arabic"/>
          <w:sz w:val="24"/>
          <w:szCs w:val="24"/>
        </w:rPr>
      </w:pPr>
      <w:bookmarkStart w:id="0" w:name="_GoBack"/>
      <w:r w:rsidRPr="00FB44F9">
        <w:rPr>
          <w:rFonts w:ascii="Simplified Arabic" w:hAnsi="Simplified Arabic" w:cs="Simplified Arabic"/>
          <w:b/>
          <w:bCs/>
          <w:sz w:val="24"/>
          <w:szCs w:val="24"/>
          <w:rtl/>
        </w:rPr>
        <w:t>ملخص:</w:t>
      </w:r>
      <w:r w:rsidRPr="00FB44F9">
        <w:rPr>
          <w:rFonts w:ascii="Simplified Arabic" w:hAnsi="Simplified Arabic" w:cs="Simplified Arabic"/>
          <w:sz w:val="24"/>
          <w:szCs w:val="24"/>
          <w:rtl/>
        </w:rPr>
        <w:t xml:space="preserve"> </w:t>
      </w:r>
      <w:bookmarkEnd w:id="0"/>
      <w:r w:rsidRPr="00FB44F9">
        <w:rPr>
          <w:rFonts w:ascii="Simplified Arabic" w:hAnsi="Simplified Arabic" w:cs="Simplified Arabic"/>
          <w:sz w:val="24"/>
          <w:szCs w:val="24"/>
          <w:rtl/>
        </w:rPr>
        <w:t>تتناول هذه الأطروحة مشكلة بحثية هامة وفي وقتها المناسب، تقع عند تقاطع تقنيات الذكاء الاصطناعي وسلاسل القيمة التشغيلية في المؤسسات الحكومية السعودية. يُظهر الباحث إلمامًا شاملًا بالأدبيات عبر ثلاثة محاور موضوعية، وتطويرًا قويًا للإطار النظري يدمج نظرية الموارد والقدرات، ونظرية المؤسسات، فضلًا عن ملاءمة السياق لرؤية السعودية 2030.</w:t>
      </w:r>
    </w:p>
    <w:sectPr w:rsidR="007106B2" w:rsidRPr="00FB44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3D2"/>
    <w:rsid w:val="00045CD7"/>
    <w:rsid w:val="000813D2"/>
    <w:rsid w:val="004362A5"/>
    <w:rsid w:val="00483049"/>
    <w:rsid w:val="007106B2"/>
    <w:rsid w:val="00E52802"/>
    <w:rsid w:val="00FB44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B7210C-FAEA-4711-A9D0-038AF1C0B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616</Words>
  <Characters>3513</Characters>
  <Application>Microsoft Office Word</Application>
  <DocSecurity>0</DocSecurity>
  <Lines>29</Lines>
  <Paragraphs>8</Paragraphs>
  <ScaleCrop>false</ScaleCrop>
  <Company/>
  <LinksUpToDate>false</LinksUpToDate>
  <CharactersWithSpaces>4121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Ayman Ibrahim Ghaben</dc:creator>
  <cp:keywords/>
  <dc:description/>
  <cp:lastModifiedBy>count</cp:lastModifiedBy>
  <cp:revision>6</cp:revision>
  <dcterms:created xsi:type="dcterms:W3CDTF">2025-12-02T07:40:00Z</dcterms:created>
  <dcterms:modified xsi:type="dcterms:W3CDTF">2026-07-05T12:52:00Z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f3efc46d-e2bc-4e31-a11c-2ca3d0874c40</vt:lpwstr>
  </property>
</Properties>
</file>