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79D1E0A" w14:textId="77777777" w:rsidR="0041039B" w:rsidRDefault="0041039B" w:rsidP="0041039B">
      <w:pPr>
        <w:spacing w:before="600" w:after="100" w:line="320" w:lineRule="auto"/>
        <w:jc w:val="center"/>
      </w:pPr>
      <w:r>
        <w:rPr>
          <w:b/>
          <w:bCs/>
          <w:color w:val="0D3B66"/>
          <w:sz w:val="30"/>
          <w:szCs w:val="30"/>
        </w:rPr>
        <w:t>MIDOCEAN  |  جامعة ميدأوشن</w:t>
      </w:r>
    </w:p>
    <w:p w14:paraId="51961E81" w14:textId="77777777" w:rsidR="0041039B" w:rsidRDefault="0041039B" w:rsidP="0041039B">
      <w:pPr>
        <w:pBdr>
          <w:bottom w:val="single" w:sz="8" w:space="6" w:color="00B0F0"/>
        </w:pBdr>
        <w:spacing w:after="500" w:line="320" w:lineRule="auto"/>
        <w:jc w:val="center"/>
      </w:pPr>
      <w:r>
        <w:rPr>
          <w:color w:val="555555"/>
          <w:sz w:val="22"/>
          <w:szCs w:val="22"/>
        </w:rPr>
        <w:t>برنامج الدكتوراه في إدارة الأعمال</w:t>
      </w:r>
    </w:p>
    <w:p w14:paraId="071D0F89" w14:textId="77777777" w:rsidR="0041039B" w:rsidRDefault="0041039B" w:rsidP="0041039B">
      <w:pPr>
        <w:spacing w:before="400"/>
      </w:pPr>
    </w:p>
    <w:p w14:paraId="00E9B7FD" w14:textId="77777777" w:rsidR="0041039B" w:rsidRDefault="0041039B" w:rsidP="0041039B">
      <w:pPr>
        <w:spacing w:before="200" w:after="120" w:line="320" w:lineRule="auto"/>
        <w:jc w:val="center"/>
      </w:pPr>
      <w:r>
        <w:rPr>
          <w:b/>
          <w:bCs/>
          <w:color w:val="0D3B66"/>
          <w:sz w:val="44"/>
          <w:szCs w:val="44"/>
        </w:rPr>
        <w:t>خطة أطروحة الدكتوراه</w:t>
      </w:r>
    </w:p>
    <w:p w14:paraId="214427C0" w14:textId="77777777" w:rsidR="0041039B" w:rsidRDefault="0041039B" w:rsidP="0041039B">
      <w:pPr>
        <w:spacing w:before="160"/>
      </w:pPr>
    </w:p>
    <w:p w14:paraId="4EB5A520" w14:textId="77777777" w:rsidR="0041039B" w:rsidRDefault="0041039B" w:rsidP="0041039B">
      <w:pPr>
        <w:spacing w:before="80" w:after="60" w:line="320" w:lineRule="auto"/>
        <w:jc w:val="center"/>
      </w:pPr>
      <w:r>
        <w:rPr>
          <w:b/>
          <w:bCs/>
          <w:color w:val="00B0F0"/>
          <w:sz w:val="28"/>
          <w:szCs w:val="28"/>
        </w:rPr>
        <w:t>أثر جاهزية التحول الرقمي على الأداء التنظيمي</w:t>
      </w:r>
    </w:p>
    <w:p w14:paraId="298CA0B2" w14:textId="77777777" w:rsidR="0041039B" w:rsidRDefault="0041039B" w:rsidP="0041039B">
      <w:pPr>
        <w:spacing w:before="60" w:after="60" w:line="320" w:lineRule="auto"/>
        <w:jc w:val="center"/>
      </w:pPr>
      <w:r>
        <w:rPr>
          <w:b/>
          <w:bCs/>
          <w:color w:val="00B0F0"/>
          <w:sz w:val="26"/>
          <w:szCs w:val="26"/>
        </w:rPr>
        <w:t>في الشركات الاستثمارية العائلية بالمملكة العربية السعودية</w:t>
      </w:r>
    </w:p>
    <w:p w14:paraId="12FD834A" w14:textId="77777777" w:rsidR="0041039B" w:rsidRDefault="0041039B" w:rsidP="0041039B">
      <w:pPr>
        <w:spacing w:before="60" w:after="500" w:line="320" w:lineRule="auto"/>
        <w:jc w:val="center"/>
      </w:pPr>
      <w:r>
        <w:rPr>
          <w:b/>
          <w:bCs/>
          <w:color w:val="0D3B66"/>
        </w:rPr>
        <w:t>الدور الوسيط للثقافة التنظيمية</w:t>
      </w:r>
    </w:p>
    <w:p w14:paraId="22A27152" w14:textId="77777777" w:rsidR="0041039B" w:rsidRDefault="0041039B" w:rsidP="0041039B">
      <w:pPr>
        <w:spacing w:before="400"/>
      </w:pPr>
    </w:p>
    <w:tbl>
      <w:tblPr>
        <w:tblW w:w="700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3500"/>
      </w:tblGrid>
      <w:tr w:rsidR="0041039B" w14:paraId="2CBBBD96" w14:textId="77777777" w:rsidTr="00CD566C">
        <w:trPr>
          <w:trHeight w:val="506"/>
          <w:jc w:val="right"/>
        </w:trPr>
        <w:tc>
          <w:tcPr>
            <w:tcW w:w="35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40" w:type="dxa"/>
              <w:bottom w:w="100" w:type="dxa"/>
              <w:right w:w="140" w:type="dxa"/>
            </w:tcMar>
          </w:tcPr>
          <w:p w14:paraId="4CE21C8C" w14:textId="77777777" w:rsidR="0041039B" w:rsidRDefault="0041039B" w:rsidP="00CD566C">
            <w:pPr>
              <w:bidi/>
              <w:jc w:val="center"/>
            </w:pPr>
            <w:r>
              <w:rPr>
                <w:b/>
                <w:bCs/>
                <w:color w:val="FFFFFF"/>
                <w:sz w:val="22"/>
                <w:szCs w:val="22"/>
              </w:rPr>
              <w:t>إعداد الباحث</w:t>
            </w:r>
          </w:p>
        </w:tc>
        <w:tc>
          <w:tcPr>
            <w:tcW w:w="35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40" w:type="dxa"/>
              <w:bottom w:w="100" w:type="dxa"/>
              <w:right w:w="140" w:type="dxa"/>
            </w:tcMar>
          </w:tcPr>
          <w:p w14:paraId="196E04D2" w14:textId="77777777" w:rsidR="0041039B" w:rsidRDefault="0041039B" w:rsidP="00CD566C">
            <w:pPr>
              <w:bidi/>
              <w:jc w:val="right"/>
            </w:pPr>
            <w:proofErr w:type="gramStart"/>
            <w:r>
              <w:rPr>
                <w:rFonts w:hint="cs"/>
                <w:sz w:val="22"/>
                <w:szCs w:val="22"/>
                <w:rtl/>
              </w:rPr>
              <w:t>عبدالله</w:t>
            </w:r>
            <w:proofErr w:type="gramEnd"/>
            <w:r>
              <w:rPr>
                <w:rFonts w:hint="cs"/>
                <w:sz w:val="22"/>
                <w:szCs w:val="22"/>
                <w:rtl/>
              </w:rPr>
              <w:t xml:space="preserve"> محمد السلطان</w:t>
            </w:r>
          </w:p>
        </w:tc>
      </w:tr>
      <w:tr w:rsidR="0041039B" w14:paraId="49D92B21" w14:textId="77777777" w:rsidTr="00CD566C">
        <w:trPr>
          <w:trHeight w:val="506"/>
          <w:jc w:val="right"/>
        </w:trPr>
        <w:tc>
          <w:tcPr>
            <w:tcW w:w="35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40" w:type="dxa"/>
              <w:bottom w:w="100" w:type="dxa"/>
              <w:right w:w="140" w:type="dxa"/>
            </w:tcMar>
          </w:tcPr>
          <w:p w14:paraId="39650067" w14:textId="77777777" w:rsidR="0041039B" w:rsidRDefault="0041039B" w:rsidP="00CD566C">
            <w:pPr>
              <w:bidi/>
              <w:jc w:val="center"/>
            </w:pPr>
            <w:r>
              <w:rPr>
                <w:b/>
                <w:bCs/>
                <w:color w:val="FFFFFF"/>
                <w:sz w:val="22"/>
                <w:szCs w:val="22"/>
              </w:rPr>
              <w:t>التخصص</w:t>
            </w:r>
          </w:p>
        </w:tc>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72CD523F" w14:textId="77777777" w:rsidR="0041039B" w:rsidRDefault="0041039B" w:rsidP="00CD566C">
            <w:pPr>
              <w:bidi/>
              <w:jc w:val="right"/>
            </w:pPr>
            <w:r>
              <w:rPr>
                <w:sz w:val="22"/>
                <w:szCs w:val="22"/>
              </w:rPr>
              <w:t>الدكتوراه في إدارة الأعمال</w:t>
            </w:r>
          </w:p>
        </w:tc>
      </w:tr>
      <w:tr w:rsidR="0041039B" w14:paraId="070B9FDD" w14:textId="77777777" w:rsidTr="00CD566C">
        <w:trPr>
          <w:trHeight w:val="506"/>
          <w:jc w:val="right"/>
        </w:trPr>
        <w:tc>
          <w:tcPr>
            <w:tcW w:w="35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40" w:type="dxa"/>
              <w:bottom w:w="100" w:type="dxa"/>
              <w:right w:w="140" w:type="dxa"/>
            </w:tcMar>
          </w:tcPr>
          <w:p w14:paraId="2B586E93" w14:textId="77777777" w:rsidR="0041039B" w:rsidRDefault="0041039B" w:rsidP="00CD566C">
            <w:pPr>
              <w:bidi/>
              <w:jc w:val="center"/>
            </w:pPr>
            <w:r>
              <w:rPr>
                <w:b/>
                <w:bCs/>
                <w:color w:val="FFFFFF"/>
                <w:sz w:val="22"/>
                <w:szCs w:val="22"/>
              </w:rPr>
              <w:t>المرحلة</w:t>
            </w:r>
          </w:p>
        </w:tc>
        <w:tc>
          <w:tcPr>
            <w:tcW w:w="35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40" w:type="dxa"/>
              <w:bottom w:w="100" w:type="dxa"/>
              <w:right w:w="140" w:type="dxa"/>
            </w:tcMar>
          </w:tcPr>
          <w:p w14:paraId="7A96D238" w14:textId="77777777" w:rsidR="0041039B" w:rsidRDefault="0041039B" w:rsidP="00CD566C">
            <w:pPr>
              <w:bidi/>
              <w:jc w:val="right"/>
            </w:pPr>
            <w:r>
              <w:rPr>
                <w:sz w:val="22"/>
                <w:szCs w:val="22"/>
              </w:rPr>
              <w:t>الفصل الدراسي الرابع — 2026م</w:t>
            </w:r>
          </w:p>
        </w:tc>
      </w:tr>
      <w:tr w:rsidR="0041039B" w14:paraId="6F02067B" w14:textId="77777777" w:rsidTr="00CD566C">
        <w:trPr>
          <w:trHeight w:val="506"/>
          <w:jc w:val="right"/>
        </w:trPr>
        <w:tc>
          <w:tcPr>
            <w:tcW w:w="35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40" w:type="dxa"/>
              <w:bottom w:w="100" w:type="dxa"/>
              <w:right w:w="140" w:type="dxa"/>
            </w:tcMar>
          </w:tcPr>
          <w:p w14:paraId="64009BF4" w14:textId="77777777" w:rsidR="0041039B" w:rsidRDefault="0041039B" w:rsidP="00CD566C">
            <w:pPr>
              <w:bidi/>
              <w:jc w:val="center"/>
            </w:pPr>
            <w:r>
              <w:rPr>
                <w:b/>
                <w:bCs/>
                <w:color w:val="FFFFFF"/>
                <w:sz w:val="22"/>
                <w:szCs w:val="22"/>
              </w:rPr>
              <w:t>الجامعة</w:t>
            </w:r>
          </w:p>
        </w:tc>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066BC21A" w14:textId="77777777" w:rsidR="0041039B" w:rsidRDefault="0041039B" w:rsidP="00CD566C">
            <w:pPr>
              <w:bidi/>
              <w:jc w:val="right"/>
            </w:pPr>
            <w:r>
              <w:rPr>
                <w:sz w:val="22"/>
                <w:szCs w:val="22"/>
              </w:rPr>
              <w:t>جامعة ميدأوشن — Midocean University</w:t>
            </w:r>
          </w:p>
        </w:tc>
      </w:tr>
    </w:tbl>
    <w:p w14:paraId="3BBF8EE0" w14:textId="77777777" w:rsidR="0041039B" w:rsidRDefault="0041039B" w:rsidP="0041039B">
      <w:r>
        <w:br w:type="page"/>
      </w:r>
    </w:p>
    <w:p w14:paraId="3ED8FA52" w14:textId="77777777" w:rsidR="0041039B" w:rsidRDefault="0041039B" w:rsidP="0041039B">
      <w:pPr>
        <w:pStyle w:val="Heading1"/>
        <w:pBdr>
          <w:bottom w:val="single" w:sz="8" w:space="4" w:color="00B0F0"/>
        </w:pBdr>
        <w:bidi/>
        <w:spacing w:line="320" w:lineRule="auto"/>
      </w:pPr>
      <w:r>
        <w:lastRenderedPageBreak/>
        <w:t>أولاً: مقدمة الدراسة</w:t>
      </w:r>
    </w:p>
    <w:p w14:paraId="2507F88D" w14:textId="55230837" w:rsidR="0041039B" w:rsidRDefault="0041039B" w:rsidP="0041039B">
      <w:pPr>
        <w:bidi/>
        <w:spacing w:before="80" w:after="80" w:line="360" w:lineRule="auto"/>
      </w:pPr>
      <w:r>
        <w:t>شهد العالم خلال العقد الأخير تسارعاً غير مسبوق في تبني التقنيات الرقمية، إذ باتت تقنيات الذكاء الاصطناعي والحوسبة السحابية وإنترنت الأشياء وتحليل البيانات الضخمة تُعيد تشكيل نماذج الأعمال وأساليب الإدارة والتشغيل في مختلف القطاعات الاقتصادية. وقد أصبح التحول الرقمي أحد أهم التوجهات الاستراتيجية التي تعتمد عليها المؤسسات لتحقيق الكفاءة التشغيلية وتعزيز قدرتها التنافسية وتحقيق الاستدامة في ظل بيئة تتسم بالتغير المستمر</w:t>
      </w:r>
    </w:p>
    <w:p w14:paraId="3DD70E1E" w14:textId="77777777" w:rsidR="0041039B" w:rsidRDefault="0041039B" w:rsidP="0041039B">
      <w:pPr>
        <w:bidi/>
        <w:spacing w:before="60"/>
      </w:pPr>
    </w:p>
    <w:p w14:paraId="7E456704" w14:textId="77C4D4C2" w:rsidR="0041039B" w:rsidRDefault="0041039B" w:rsidP="0041039B">
      <w:pPr>
        <w:bidi/>
        <w:spacing w:before="80" w:after="80" w:line="360" w:lineRule="auto"/>
      </w:pPr>
      <w:r>
        <w:t>وفي سياق المملكة العربية السعودية، يحتل التحول الرقمي مكانة محورية ضمن مستهدفات رؤية المملكة 2030، إذ بلغ حجم الاقتصاد الرقمي السعودي نحو 495 مليار ريال، مساهماً بما يعادل 15% من الناتج المحلي الإجمالي. وقد تجاوز حجم سوق تقنية المعلومات والاتصالات 180 مليار ريال بحلول عام 2024، فيما أفضى استثمار بالغ 14.67 مليار دولار في تقنيات الذكاء الاصطناعي ومراكز البيانات إلى رفع الطاقة الاستيعابية للبنية الرقمية بنسبة 42% (وزارة الاتصالات وتقنية المعلومات، 2025). كما تتصدر المملكة المرتبة السادسة عالمياً في مؤشر الأمم المتحدة للحكومة الإلكترونية</w:t>
      </w:r>
    </w:p>
    <w:p w14:paraId="478E07A7" w14:textId="77777777" w:rsidR="0041039B" w:rsidRDefault="0041039B" w:rsidP="0041039B">
      <w:pPr>
        <w:bidi/>
        <w:spacing w:before="60"/>
      </w:pPr>
    </w:p>
    <w:p w14:paraId="2EC86D9B" w14:textId="1359D173" w:rsidR="0041039B" w:rsidRDefault="0041039B" w:rsidP="0041039B">
      <w:pPr>
        <w:bidi/>
        <w:spacing w:before="80" w:after="80" w:line="360" w:lineRule="auto"/>
      </w:pPr>
      <w:r>
        <w:t>وتُعدّ الشركات الاستثمارية العائلية ركيزةً راسخة في الاقتصاد السعودي، إذ تمثل 63% من منشآت القطاع الخاص، وتسهم بـ66% من ناتجه المحلي، وتستوعب 76% من توظيفه (المركز الوطني للمنشآت العائلية، 2023). غير أن هذه الشركات تواجه تحديات هيكلية متعددة في مسار التحول الرقمي، تشمل طبيعة الحوكمة العائلية، ومقاومة التغيير، وتفاوت مستويات النضج الرقمي</w:t>
      </w:r>
    </w:p>
    <w:p w14:paraId="5A21A847" w14:textId="77777777" w:rsidR="0041039B" w:rsidRDefault="0041039B" w:rsidP="0041039B">
      <w:pPr>
        <w:bidi/>
        <w:spacing w:before="60"/>
      </w:pPr>
    </w:p>
    <w:p w14:paraId="584184E2" w14:textId="44DBFC98" w:rsidR="0041039B" w:rsidRDefault="0041039B" w:rsidP="0041039B">
      <w:pPr>
        <w:bidi/>
        <w:spacing w:before="80" w:after="80" w:line="360" w:lineRule="auto"/>
      </w:pPr>
      <w:r>
        <w:t>وتُعدّ جاهزية التحول الرقمي المحدد الجوهري الذي يحكم قدرة المنظمة على تنفيذ مبادرات التحول الرقمي بنجاح</w:t>
      </w:r>
      <w:r>
        <w:rPr>
          <w:rFonts w:hint="cs"/>
          <w:rtl/>
        </w:rPr>
        <w:t>؛</w:t>
      </w:r>
      <w:r>
        <w:t xml:space="preserve"> وتشير الأدبيات الحديثة إلى أن الثقافة التنظيمية تؤدي دوراً وسيطاً محورياً في تحويل الموارد الرقمية إلى نتائج أداء ملموسة، مما يجعلها حلقة وصل جوهرية بين الجاهزية الرقمية والأداء التنظيمي (Jewapatarakul &amp; Ueasangkomsate, 2024)</w:t>
      </w:r>
    </w:p>
    <w:p w14:paraId="6493AAD1" w14:textId="77777777" w:rsidR="0041039B" w:rsidRDefault="0041039B" w:rsidP="0041039B">
      <w:pPr>
        <w:bidi/>
        <w:spacing w:before="60"/>
      </w:pPr>
    </w:p>
    <w:p w14:paraId="100CF02A" w14:textId="216B6569" w:rsidR="0041039B" w:rsidRDefault="0041039B" w:rsidP="0041039B">
      <w:pPr>
        <w:bidi/>
        <w:spacing w:before="80" w:after="80" w:line="360" w:lineRule="auto"/>
      </w:pPr>
      <w:r>
        <w:t>وانطلاقاً من ذلك، تسعى هذه الدراسة إلى استكشاف أثر جاهزية التحول الرقمي بأبعادها الأربعة على الأداء التنظيمي في الشركات الاستثمارية العائلية بالمملكة العربية السعودية، مع دراسة الدور الوسيط للثقافة التنظيمية، مستندةً إلى نظرية الموارد والقدرات (RBV) إطاراً نظرياً للدراسة</w:t>
      </w:r>
    </w:p>
    <w:p w14:paraId="5B6645BC" w14:textId="77777777" w:rsidR="0041039B" w:rsidRDefault="0041039B" w:rsidP="0041039B">
      <w:pPr>
        <w:spacing w:before="120"/>
      </w:pPr>
    </w:p>
    <w:p w14:paraId="7D8E2C43" w14:textId="77777777" w:rsidR="0041039B" w:rsidRDefault="0041039B" w:rsidP="0041039B">
      <w:pPr>
        <w:pStyle w:val="Heading1"/>
        <w:pBdr>
          <w:bottom w:val="single" w:sz="8" w:space="4" w:color="00B0F0"/>
        </w:pBdr>
        <w:bidi/>
        <w:spacing w:line="320" w:lineRule="auto"/>
      </w:pPr>
      <w:r>
        <w:lastRenderedPageBreak/>
        <w:t>ثانياً: مشكلة الدراسة وتساؤلاتها</w:t>
      </w:r>
    </w:p>
    <w:p w14:paraId="524506EA" w14:textId="77777777" w:rsidR="0041039B" w:rsidRDefault="0041039B" w:rsidP="0041039B">
      <w:pPr>
        <w:pStyle w:val="Heading2"/>
        <w:bidi/>
        <w:spacing w:line="320" w:lineRule="auto"/>
      </w:pPr>
      <w:r>
        <w:t>مشكلة الدراسة</w:t>
      </w:r>
    </w:p>
    <w:p w14:paraId="3D273386" w14:textId="77777777" w:rsidR="0041039B" w:rsidRDefault="0041039B" w:rsidP="0041039B">
      <w:pPr>
        <w:bidi/>
        <w:spacing w:before="80" w:after="80" w:line="360" w:lineRule="auto"/>
      </w:pPr>
      <w:r>
        <w:rPr>
          <w:rtl/>
        </w:rPr>
        <w:t>على الرغم من التوسع الملحوظ في دراسات التحول الرقمي، تكشف مراجعة الأدبيات عن جملة من الفجوات المعرفية الجوهرية</w:t>
      </w:r>
      <w:r>
        <w:t>:</w:t>
      </w:r>
    </w:p>
    <w:p w14:paraId="23F06077" w14:textId="77777777" w:rsidR="0041039B" w:rsidRDefault="0041039B" w:rsidP="0041039B">
      <w:pPr>
        <w:bidi/>
        <w:spacing w:before="80" w:after="80" w:line="360" w:lineRule="auto"/>
      </w:pPr>
    </w:p>
    <w:p w14:paraId="57B18554" w14:textId="77777777" w:rsidR="0041039B" w:rsidRDefault="0041039B" w:rsidP="0041039B">
      <w:pPr>
        <w:bidi/>
        <w:spacing w:before="80" w:after="80" w:line="360" w:lineRule="auto"/>
      </w:pPr>
      <w:r>
        <w:rPr>
          <w:rtl/>
        </w:rPr>
        <w:t>أولاً: تركزت غالبية الدراسات في القطاعين الصناعي والخدمي، بينما تبقى الشركات الاستثمارية العائلية في البيئة الخليجية محدودة الاهتمام البحثي</w:t>
      </w:r>
      <w:r>
        <w:t>.</w:t>
      </w:r>
    </w:p>
    <w:p w14:paraId="5054C806" w14:textId="77777777" w:rsidR="0041039B" w:rsidRDefault="0041039B" w:rsidP="0041039B">
      <w:pPr>
        <w:bidi/>
        <w:spacing w:before="80" w:after="80" w:line="360" w:lineRule="auto"/>
      </w:pPr>
      <w:r>
        <w:rPr>
          <w:rtl/>
        </w:rPr>
        <w:t>ثانياً: اقتصرت معظم الدراسات على العلاقة المباشرة بين الجاهزية الرقمية والأداء، دون التعمق في الآليات التنظيمية الوسيطة التي تُفسّر هذه العلاقة</w:t>
      </w:r>
      <w:r>
        <w:t>.</w:t>
      </w:r>
    </w:p>
    <w:p w14:paraId="5F8A6638" w14:textId="77777777" w:rsidR="0041039B" w:rsidRDefault="0041039B" w:rsidP="0041039B">
      <w:pPr>
        <w:bidi/>
        <w:spacing w:before="80" w:after="80" w:line="360" w:lineRule="auto"/>
      </w:pPr>
      <w:r>
        <w:rPr>
          <w:rtl/>
        </w:rPr>
        <w:t>ثالثاً: رغم المكانة المحورية للثقافة التنظيمية، تظل الدراسات التي اختبرت دورها وسيطاً بين الجاهزية الرقمية والأداء نادرة في سياق الشركات العائلية</w:t>
      </w:r>
      <w:r>
        <w:t>.</w:t>
      </w:r>
    </w:p>
    <w:p w14:paraId="5B805C97" w14:textId="77777777" w:rsidR="0041039B" w:rsidRDefault="0041039B" w:rsidP="0041039B">
      <w:pPr>
        <w:bidi/>
        <w:spacing w:before="80" w:after="80" w:line="360" w:lineRule="auto"/>
      </w:pPr>
      <w:r>
        <w:rPr>
          <w:rtl/>
        </w:rPr>
        <w:t>رابعاً: يشهد الاقتصاد السعودي تحولاً رقمياً متسارعاً في ظل رؤية 2030، مما يستدعي دراسات محلية متخصصة تُوجّه هذا التحول</w:t>
      </w:r>
      <w:r>
        <w:t>.</w:t>
      </w:r>
    </w:p>
    <w:p w14:paraId="666CFC6C" w14:textId="77777777" w:rsidR="0041039B" w:rsidRDefault="0041039B" w:rsidP="0041039B">
      <w:pPr>
        <w:bidi/>
        <w:spacing w:before="80" w:after="80" w:line="360" w:lineRule="auto"/>
      </w:pPr>
    </w:p>
    <w:p w14:paraId="7E1CA6D4" w14:textId="77777777" w:rsidR="0041039B" w:rsidRDefault="0041039B" w:rsidP="0041039B">
      <w:pPr>
        <w:bidi/>
        <w:spacing w:before="80" w:after="80" w:line="360" w:lineRule="auto"/>
      </w:pPr>
      <w:r>
        <w:rPr>
          <w:rtl/>
        </w:rPr>
        <w:t>وعليه، تتمثل مشكلة الدراسة في الحاجة العلمية والعملية لفهم طبيعة العلاقة بين جاهزية التحول الرقمي والأداء التنظيمي في الشركات الاستثمارية العائلية بالمملكة العربية السعودية، والكشف عن الدور الوسيط للثقافة التنظيمية في هذه العلاقة</w:t>
      </w:r>
      <w:r>
        <w:t>..</w:t>
      </w:r>
    </w:p>
    <w:p w14:paraId="2C390CED" w14:textId="77777777" w:rsidR="0041039B" w:rsidRDefault="0041039B" w:rsidP="0041039B">
      <w:pPr>
        <w:bidi/>
        <w:spacing w:before="120"/>
      </w:pPr>
    </w:p>
    <w:p w14:paraId="23B1A7F5" w14:textId="77777777" w:rsidR="0041039B" w:rsidRDefault="0041039B" w:rsidP="0041039B">
      <w:pPr>
        <w:pStyle w:val="Heading2"/>
        <w:bidi/>
        <w:spacing w:line="320" w:lineRule="auto"/>
      </w:pPr>
      <w:r>
        <w:t>التساؤل الرئيسي</w:t>
      </w:r>
    </w:p>
    <w:p w14:paraId="71851CE5" w14:textId="77777777" w:rsidR="0041039B" w:rsidRDefault="0041039B" w:rsidP="0041039B">
      <w:pPr>
        <w:pBdr>
          <w:right w:val="single" w:sz="20" w:space="0" w:color="00B0F0"/>
        </w:pBdr>
        <w:shd w:val="clear" w:color="auto" w:fill="EBF7FD"/>
        <w:bidi/>
        <w:spacing w:before="100" w:after="100" w:line="320" w:lineRule="auto"/>
        <w:ind w:right="180"/>
      </w:pPr>
      <w:r>
        <w:rPr>
          <w:b/>
          <w:bCs/>
          <w:color w:val="0D3B66"/>
        </w:rPr>
        <w:t>ما أثر جاهزية التحول الرقمي على الأداء التنظيمي في الشركات الاستثمارية العائلية بالمملكة العربية السعودية في ظل الدور الوسيط للثقافة التنظيمية؟</w:t>
      </w:r>
    </w:p>
    <w:p w14:paraId="1AB2748E" w14:textId="77777777" w:rsidR="0041039B" w:rsidRDefault="0041039B" w:rsidP="0041039B">
      <w:pPr>
        <w:bidi/>
        <w:spacing w:before="80"/>
      </w:pPr>
    </w:p>
    <w:p w14:paraId="4B2E2CB3" w14:textId="77777777" w:rsidR="0041039B" w:rsidRDefault="0041039B" w:rsidP="0041039B">
      <w:pPr>
        <w:pStyle w:val="Heading2"/>
        <w:bidi/>
        <w:spacing w:line="320" w:lineRule="auto"/>
      </w:pPr>
      <w:r>
        <w:t>التساؤلات الفرعية</w:t>
      </w:r>
    </w:p>
    <w:p w14:paraId="4575A2F2" w14:textId="77777777" w:rsidR="0041039B" w:rsidRDefault="0041039B" w:rsidP="0041039B">
      <w:pPr>
        <w:pStyle w:val="ListParagraph"/>
        <w:numPr>
          <w:ilvl w:val="0"/>
          <w:numId w:val="2"/>
        </w:numPr>
        <w:bidi/>
        <w:spacing w:before="60" w:after="60" w:line="320" w:lineRule="auto"/>
        <w:contextualSpacing w:val="0"/>
      </w:pPr>
      <w:r>
        <w:t>ما مستوى جاهزية التحول الرقمي في الشركات الاستثمارية العائلية بالمملكة العربية السعودية؟</w:t>
      </w:r>
    </w:p>
    <w:p w14:paraId="4CF90889" w14:textId="77777777" w:rsidR="0041039B" w:rsidRDefault="0041039B" w:rsidP="0041039B">
      <w:pPr>
        <w:pStyle w:val="ListParagraph"/>
        <w:numPr>
          <w:ilvl w:val="0"/>
          <w:numId w:val="2"/>
        </w:numPr>
        <w:bidi/>
        <w:spacing w:before="60" w:after="60" w:line="320" w:lineRule="auto"/>
        <w:contextualSpacing w:val="0"/>
      </w:pPr>
      <w:r>
        <w:t>ما مستوى الأداء التنظيمي في الشركات الاستثمارية العائلية بالمملكة العربية السعودية؟</w:t>
      </w:r>
    </w:p>
    <w:p w14:paraId="08C95BD2" w14:textId="77777777" w:rsidR="0041039B" w:rsidRDefault="0041039B" w:rsidP="0041039B">
      <w:pPr>
        <w:pStyle w:val="ListParagraph"/>
        <w:numPr>
          <w:ilvl w:val="0"/>
          <w:numId w:val="2"/>
        </w:numPr>
        <w:bidi/>
        <w:spacing w:before="60" w:after="60" w:line="320" w:lineRule="auto"/>
        <w:contextualSpacing w:val="0"/>
      </w:pPr>
      <w:r>
        <w:t>ما طبيعة الأثر المباشر لجاهزية التحول الرقمي على الأداء التنظيمي؟</w:t>
      </w:r>
    </w:p>
    <w:p w14:paraId="2FD437EB" w14:textId="77777777" w:rsidR="0041039B" w:rsidRDefault="0041039B" w:rsidP="0041039B">
      <w:pPr>
        <w:pStyle w:val="ListParagraph"/>
        <w:numPr>
          <w:ilvl w:val="0"/>
          <w:numId w:val="2"/>
        </w:numPr>
        <w:bidi/>
        <w:spacing w:before="60" w:after="60" w:line="320" w:lineRule="auto"/>
        <w:contextualSpacing w:val="0"/>
      </w:pPr>
      <w:r>
        <w:t>ما أثر جاهزية التحول الرقمي على الثقافة التنظيمية في الشركات الاستثمارية العائلية؟</w:t>
      </w:r>
    </w:p>
    <w:p w14:paraId="7B7207C9" w14:textId="77777777" w:rsidR="0041039B" w:rsidRDefault="0041039B" w:rsidP="0041039B">
      <w:pPr>
        <w:pStyle w:val="ListParagraph"/>
        <w:numPr>
          <w:ilvl w:val="0"/>
          <w:numId w:val="2"/>
        </w:numPr>
        <w:bidi/>
        <w:spacing w:before="60" w:after="60" w:line="320" w:lineRule="auto"/>
        <w:contextualSpacing w:val="0"/>
      </w:pPr>
      <w:r>
        <w:t>ما أثر الثقافة التنظيمية على الأداء التنظيمي في الشركات الاستثمارية العائلية؟</w:t>
      </w:r>
    </w:p>
    <w:p w14:paraId="60A1ACEB" w14:textId="77777777" w:rsidR="0041039B" w:rsidRDefault="0041039B" w:rsidP="0041039B">
      <w:pPr>
        <w:pStyle w:val="ListParagraph"/>
        <w:numPr>
          <w:ilvl w:val="0"/>
          <w:numId w:val="2"/>
        </w:numPr>
        <w:bidi/>
        <w:spacing w:before="60" w:after="60" w:line="320" w:lineRule="auto"/>
        <w:contextualSpacing w:val="0"/>
      </w:pPr>
      <w:r>
        <w:t>هل تتوسط الثقافة التنظيمية العلاقة بين جاهزية التحول الرقمي والأداء التنظيمي؟</w:t>
      </w:r>
    </w:p>
    <w:p w14:paraId="357399CD" w14:textId="77777777" w:rsidR="0041039B" w:rsidRDefault="0041039B" w:rsidP="0041039B">
      <w:pPr>
        <w:bidi/>
        <w:spacing w:before="120"/>
      </w:pPr>
    </w:p>
    <w:p w14:paraId="2EE00C90" w14:textId="77777777" w:rsidR="0041039B" w:rsidRDefault="0041039B" w:rsidP="0041039B">
      <w:pPr>
        <w:pStyle w:val="Heading1"/>
        <w:pBdr>
          <w:bottom w:val="single" w:sz="8" w:space="4" w:color="00B0F0"/>
        </w:pBdr>
        <w:bidi/>
        <w:spacing w:line="320" w:lineRule="auto"/>
      </w:pPr>
      <w:r>
        <w:t>ثالثاً: أهمية الدراسة</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41039B" w14:paraId="605DC37A" w14:textId="77777777" w:rsidTr="00CD566C">
        <w:tc>
          <w:tcPr>
            <w:tcW w:w="4513" w:type="dxa"/>
            <w:tcBorders>
              <w:top w:val="single" w:sz="1" w:space="0" w:color="CCCCCC"/>
              <w:left w:val="single" w:sz="1" w:space="0" w:color="CCCCCC"/>
              <w:bottom w:val="single" w:sz="1" w:space="0" w:color="CCCCCC"/>
              <w:right w:val="single" w:sz="1" w:space="0" w:color="CCCCCC"/>
            </w:tcBorders>
            <w:shd w:val="clear" w:color="auto" w:fill="EBF7FD"/>
            <w:tcMar>
              <w:top w:w="120" w:type="dxa"/>
              <w:left w:w="140" w:type="dxa"/>
              <w:bottom w:w="120" w:type="dxa"/>
              <w:right w:w="140" w:type="dxa"/>
            </w:tcMar>
          </w:tcPr>
          <w:p w14:paraId="644EC7E7" w14:textId="77777777" w:rsidR="0041039B" w:rsidRDefault="0041039B" w:rsidP="0041039B">
            <w:pPr>
              <w:bidi/>
              <w:spacing w:after="80" w:line="320" w:lineRule="auto"/>
            </w:pPr>
            <w:r>
              <w:rPr>
                <w:b/>
                <w:bCs/>
                <w:color w:val="0D3B66"/>
              </w:rPr>
              <w:t>الأهمية التطبيقية</w:t>
            </w:r>
          </w:p>
          <w:p w14:paraId="3D57CFB8" w14:textId="2AB398E0" w:rsidR="0041039B" w:rsidRDefault="0041039B" w:rsidP="0041039B">
            <w:pPr>
              <w:pStyle w:val="ListParagraph"/>
              <w:numPr>
                <w:ilvl w:val="0"/>
                <w:numId w:val="1"/>
              </w:numPr>
              <w:bidi/>
              <w:spacing w:before="40" w:after="40" w:line="300" w:lineRule="auto"/>
              <w:contextualSpacing w:val="0"/>
            </w:pPr>
            <w:r>
              <w:rPr>
                <w:sz w:val="22"/>
                <w:szCs w:val="22"/>
              </w:rPr>
              <w:t>تزويد الشركات بمؤشرات لتقييم جاهزيتها الرقمية</w:t>
            </w:r>
          </w:p>
          <w:p w14:paraId="6CC8A7C6" w14:textId="46FC8FE2" w:rsidR="0041039B" w:rsidRDefault="0041039B" w:rsidP="0041039B">
            <w:pPr>
              <w:pStyle w:val="ListParagraph"/>
              <w:numPr>
                <w:ilvl w:val="0"/>
                <w:numId w:val="1"/>
              </w:numPr>
              <w:bidi/>
              <w:spacing w:before="40" w:after="40" w:line="300" w:lineRule="auto"/>
              <w:contextualSpacing w:val="0"/>
            </w:pPr>
            <w:r>
              <w:rPr>
                <w:sz w:val="22"/>
                <w:szCs w:val="22"/>
              </w:rPr>
              <w:t>دعم صانعي القرار في تصميم استراتيجيات التحول</w:t>
            </w:r>
          </w:p>
          <w:p w14:paraId="68D94047" w14:textId="6228A804" w:rsidR="0041039B" w:rsidRDefault="0041039B" w:rsidP="0041039B">
            <w:pPr>
              <w:pStyle w:val="ListParagraph"/>
              <w:numPr>
                <w:ilvl w:val="0"/>
                <w:numId w:val="1"/>
              </w:numPr>
              <w:bidi/>
              <w:spacing w:before="40" w:after="40" w:line="300" w:lineRule="auto"/>
              <w:contextualSpacing w:val="0"/>
            </w:pPr>
            <w:r>
              <w:rPr>
                <w:sz w:val="22"/>
                <w:szCs w:val="22"/>
              </w:rPr>
              <w:t>المساهمة في تحقيق مستهدفات رؤية المملكة 2030</w:t>
            </w:r>
          </w:p>
          <w:p w14:paraId="7183CC77" w14:textId="4CC29644" w:rsidR="0041039B" w:rsidRDefault="0041039B" w:rsidP="0041039B">
            <w:pPr>
              <w:pStyle w:val="ListParagraph"/>
              <w:numPr>
                <w:ilvl w:val="0"/>
                <w:numId w:val="1"/>
              </w:numPr>
              <w:bidi/>
              <w:spacing w:before="40" w:after="40" w:line="300" w:lineRule="auto"/>
              <w:contextualSpacing w:val="0"/>
            </w:pPr>
            <w:r>
              <w:rPr>
                <w:sz w:val="22"/>
                <w:szCs w:val="22"/>
              </w:rPr>
              <w:t>تطوير برامج تعزيز الثقافة التنظيمية الداعمة للرقمنة</w:t>
            </w:r>
          </w:p>
          <w:p w14:paraId="6847E7EA" w14:textId="600B8F5C" w:rsidR="0041039B" w:rsidRDefault="0041039B" w:rsidP="0041039B">
            <w:pPr>
              <w:pStyle w:val="ListParagraph"/>
              <w:numPr>
                <w:ilvl w:val="0"/>
                <w:numId w:val="1"/>
              </w:numPr>
              <w:bidi/>
              <w:spacing w:before="40" w:after="40" w:line="300" w:lineRule="auto"/>
              <w:contextualSpacing w:val="0"/>
            </w:pPr>
            <w:r>
              <w:rPr>
                <w:sz w:val="22"/>
                <w:szCs w:val="22"/>
              </w:rPr>
              <w:t>توجيه الجهات الاستشارية في بناء برامج التحول الرقمي</w:t>
            </w:r>
          </w:p>
        </w:tc>
        <w:tc>
          <w:tcPr>
            <w:tcW w:w="4513" w:type="dxa"/>
            <w:tcBorders>
              <w:top w:val="single" w:sz="1" w:space="0" w:color="CCCCCC"/>
              <w:left w:val="single" w:sz="1" w:space="0" w:color="CCCCCC"/>
              <w:bottom w:val="single" w:sz="1" w:space="0" w:color="CCCCCC"/>
              <w:right w:val="single" w:sz="1" w:space="0" w:color="CCCCCC"/>
            </w:tcBorders>
            <w:shd w:val="clear" w:color="auto" w:fill="E8F5E9"/>
            <w:tcMar>
              <w:top w:w="120" w:type="dxa"/>
              <w:left w:w="140" w:type="dxa"/>
              <w:bottom w:w="120" w:type="dxa"/>
              <w:right w:w="140" w:type="dxa"/>
            </w:tcMar>
          </w:tcPr>
          <w:p w14:paraId="2998F16C" w14:textId="77777777" w:rsidR="0041039B" w:rsidRDefault="0041039B" w:rsidP="0041039B">
            <w:pPr>
              <w:bidi/>
              <w:spacing w:after="80" w:line="320" w:lineRule="auto"/>
            </w:pPr>
            <w:r>
              <w:rPr>
                <w:b/>
                <w:bCs/>
                <w:color w:val="0D3B66"/>
              </w:rPr>
              <w:t>الأهمية النظرية</w:t>
            </w:r>
          </w:p>
          <w:p w14:paraId="6B7287E9" w14:textId="467625DD" w:rsidR="0041039B" w:rsidRDefault="0041039B" w:rsidP="0041039B">
            <w:pPr>
              <w:pStyle w:val="ListParagraph"/>
              <w:numPr>
                <w:ilvl w:val="0"/>
                <w:numId w:val="1"/>
              </w:numPr>
              <w:bidi/>
              <w:spacing w:before="40" w:after="40" w:line="300" w:lineRule="auto"/>
              <w:contextualSpacing w:val="0"/>
            </w:pPr>
            <w:r>
              <w:rPr>
                <w:sz w:val="22"/>
                <w:szCs w:val="22"/>
              </w:rPr>
              <w:t>إثراء أدبيات جاهزية التحول الرقمي في سياق الشركات العائلية</w:t>
            </w:r>
          </w:p>
          <w:p w14:paraId="23D4E105" w14:textId="3D977689" w:rsidR="0041039B" w:rsidRDefault="0041039B" w:rsidP="0041039B">
            <w:pPr>
              <w:pStyle w:val="ListParagraph"/>
              <w:numPr>
                <w:ilvl w:val="0"/>
                <w:numId w:val="1"/>
              </w:numPr>
              <w:bidi/>
              <w:spacing w:before="40" w:after="40" w:line="300" w:lineRule="auto"/>
              <w:contextualSpacing w:val="0"/>
            </w:pPr>
            <w:r>
              <w:rPr>
                <w:sz w:val="22"/>
                <w:szCs w:val="22"/>
              </w:rPr>
              <w:t>اختبار الثقافة التنظيمية وسيطاً في نموذج بحثي متكامل</w:t>
            </w:r>
          </w:p>
          <w:p w14:paraId="38C93B88" w14:textId="76AB4B25" w:rsidR="0041039B" w:rsidRDefault="0041039B" w:rsidP="0041039B">
            <w:pPr>
              <w:pStyle w:val="ListParagraph"/>
              <w:numPr>
                <w:ilvl w:val="0"/>
                <w:numId w:val="1"/>
              </w:numPr>
              <w:bidi/>
              <w:spacing w:before="40" w:after="40" w:line="300" w:lineRule="auto"/>
              <w:contextualSpacing w:val="0"/>
            </w:pPr>
            <w:r>
              <w:rPr>
                <w:sz w:val="22"/>
                <w:szCs w:val="22"/>
              </w:rPr>
              <w:t>سد فجوة بحثية في البيئة العربية والخليجية</w:t>
            </w:r>
          </w:p>
          <w:p w14:paraId="1AFDAB86" w14:textId="246EC16E" w:rsidR="0041039B" w:rsidRDefault="0041039B" w:rsidP="0041039B">
            <w:pPr>
              <w:pStyle w:val="ListParagraph"/>
              <w:numPr>
                <w:ilvl w:val="0"/>
                <w:numId w:val="1"/>
              </w:numPr>
              <w:bidi/>
              <w:spacing w:before="40" w:after="40" w:line="300" w:lineRule="auto"/>
              <w:contextualSpacing w:val="0"/>
            </w:pPr>
            <w:r>
              <w:rPr>
                <w:sz w:val="22"/>
                <w:szCs w:val="22"/>
              </w:rPr>
              <w:t>توظيف نظرية RBV لتفسير العلاقة بين المتغيرات ميدانياً</w:t>
            </w:r>
          </w:p>
          <w:p w14:paraId="10A9E25D" w14:textId="47FF5D85" w:rsidR="0041039B" w:rsidRDefault="0041039B" w:rsidP="0041039B">
            <w:pPr>
              <w:pStyle w:val="ListParagraph"/>
              <w:numPr>
                <w:ilvl w:val="0"/>
                <w:numId w:val="1"/>
              </w:numPr>
              <w:bidi/>
              <w:spacing w:before="40" w:after="40" w:line="300" w:lineRule="auto"/>
              <w:contextualSpacing w:val="0"/>
            </w:pPr>
            <w:r>
              <w:rPr>
                <w:sz w:val="22"/>
                <w:szCs w:val="22"/>
              </w:rPr>
              <w:t>الإسهام في تطوير المقاييس المتعلقة بالجاهزية الرقمية</w:t>
            </w:r>
          </w:p>
        </w:tc>
      </w:tr>
    </w:tbl>
    <w:p w14:paraId="08211A48" w14:textId="77777777" w:rsidR="0041039B" w:rsidRDefault="0041039B" w:rsidP="0041039B">
      <w:pPr>
        <w:bidi/>
        <w:spacing w:before="120"/>
      </w:pPr>
    </w:p>
    <w:p w14:paraId="78F9F267" w14:textId="77777777" w:rsidR="0041039B" w:rsidRDefault="0041039B" w:rsidP="0041039B">
      <w:pPr>
        <w:pStyle w:val="Heading1"/>
        <w:pBdr>
          <w:bottom w:val="single" w:sz="8" w:space="4" w:color="00B0F0"/>
        </w:pBdr>
        <w:bidi/>
        <w:spacing w:line="320" w:lineRule="auto"/>
      </w:pPr>
      <w:r>
        <w:t>رابعاً: أهداف الدراسة</w:t>
      </w:r>
    </w:p>
    <w:p w14:paraId="27D546BD" w14:textId="77777777" w:rsidR="0041039B" w:rsidRDefault="0041039B" w:rsidP="0041039B">
      <w:pPr>
        <w:pStyle w:val="Heading2"/>
        <w:bidi/>
        <w:spacing w:line="320" w:lineRule="auto"/>
      </w:pPr>
      <w:r>
        <w:t>الهدف الرئيسي</w:t>
      </w:r>
    </w:p>
    <w:p w14:paraId="3C079B19" w14:textId="3687A266" w:rsidR="0041039B" w:rsidRDefault="0041039B" w:rsidP="0041039B">
      <w:pPr>
        <w:pBdr>
          <w:right w:val="single" w:sz="20" w:space="0" w:color="00B0F0"/>
        </w:pBdr>
        <w:shd w:val="clear" w:color="auto" w:fill="EBF7FD"/>
        <w:bidi/>
        <w:spacing w:before="100" w:after="100" w:line="320" w:lineRule="auto"/>
        <w:ind w:right="180"/>
      </w:pPr>
      <w:r>
        <w:rPr>
          <w:b/>
          <w:bCs/>
          <w:color w:val="0D3B66"/>
        </w:rPr>
        <w:t>التعرف على أثر جاهزية التحول الرقمي على الأداء التنظيمي في الشركات الاستثمارية العائلية بالمملكة العربية السعودية في ظل الدور الوسيط للثقافة التنظيمية</w:t>
      </w:r>
    </w:p>
    <w:p w14:paraId="0AD5F124" w14:textId="77777777" w:rsidR="0041039B" w:rsidRDefault="0041039B" w:rsidP="0041039B">
      <w:pPr>
        <w:bidi/>
        <w:spacing w:before="80"/>
      </w:pPr>
    </w:p>
    <w:p w14:paraId="4C90AA80" w14:textId="77777777" w:rsidR="0041039B" w:rsidRDefault="0041039B" w:rsidP="0041039B">
      <w:pPr>
        <w:pStyle w:val="Heading2"/>
        <w:bidi/>
        <w:spacing w:line="320" w:lineRule="auto"/>
      </w:pPr>
      <w:r>
        <w:t>الأهداف الفرعية</w:t>
      </w:r>
    </w:p>
    <w:p w14:paraId="64E9C1B8" w14:textId="77777777" w:rsidR="0041039B" w:rsidRDefault="0041039B" w:rsidP="0041039B">
      <w:pPr>
        <w:pStyle w:val="ListParagraph"/>
        <w:numPr>
          <w:ilvl w:val="0"/>
          <w:numId w:val="2"/>
        </w:numPr>
        <w:bidi/>
        <w:spacing w:before="60" w:after="60" w:line="320" w:lineRule="auto"/>
        <w:contextualSpacing w:val="0"/>
      </w:pPr>
      <w:r>
        <w:t>قياس مستوى جاهزية التحول الرقمي في الشركات الاستثمارية العائلية بالمملكة العربية السعودية.</w:t>
      </w:r>
    </w:p>
    <w:p w14:paraId="76B9AC26" w14:textId="77777777" w:rsidR="0041039B" w:rsidRDefault="0041039B" w:rsidP="0041039B">
      <w:pPr>
        <w:pStyle w:val="ListParagraph"/>
        <w:numPr>
          <w:ilvl w:val="0"/>
          <w:numId w:val="2"/>
        </w:numPr>
        <w:bidi/>
        <w:spacing w:before="60" w:after="60" w:line="320" w:lineRule="auto"/>
        <w:contextualSpacing w:val="0"/>
      </w:pPr>
      <w:r>
        <w:t>قياس مستوى الأداء التنظيمي في الشركات الاستثمارية العائلية بالمملكة العربية السعودية.</w:t>
      </w:r>
    </w:p>
    <w:p w14:paraId="4C0E14C1" w14:textId="77777777" w:rsidR="0041039B" w:rsidRDefault="0041039B" w:rsidP="0041039B">
      <w:pPr>
        <w:pStyle w:val="ListParagraph"/>
        <w:numPr>
          <w:ilvl w:val="0"/>
          <w:numId w:val="2"/>
        </w:numPr>
        <w:bidi/>
        <w:spacing w:before="60" w:after="60" w:line="320" w:lineRule="auto"/>
        <w:contextualSpacing w:val="0"/>
      </w:pPr>
      <w:r>
        <w:t>التعرف على طبيعة الأثر المباشر لجاهزية التحول الرقمي على الأداء التنظيمي.</w:t>
      </w:r>
    </w:p>
    <w:p w14:paraId="533F1FFB" w14:textId="77777777" w:rsidR="0041039B" w:rsidRDefault="0041039B" w:rsidP="0041039B">
      <w:pPr>
        <w:pStyle w:val="ListParagraph"/>
        <w:numPr>
          <w:ilvl w:val="0"/>
          <w:numId w:val="2"/>
        </w:numPr>
        <w:bidi/>
        <w:spacing w:before="60" w:after="60" w:line="320" w:lineRule="auto"/>
        <w:contextualSpacing w:val="0"/>
      </w:pPr>
      <w:r>
        <w:t>التعرف على أثر جاهزية التحول الرقمي على الثقافة التنظيمية.</w:t>
      </w:r>
    </w:p>
    <w:p w14:paraId="37BAC14B" w14:textId="77777777" w:rsidR="0041039B" w:rsidRDefault="0041039B" w:rsidP="0041039B">
      <w:pPr>
        <w:pStyle w:val="ListParagraph"/>
        <w:numPr>
          <w:ilvl w:val="0"/>
          <w:numId w:val="2"/>
        </w:numPr>
        <w:bidi/>
        <w:spacing w:before="60" w:after="60" w:line="320" w:lineRule="auto"/>
        <w:contextualSpacing w:val="0"/>
      </w:pPr>
      <w:r>
        <w:t>التعرف على أثر الثقافة التنظيمية على الأداء التنظيمي.</w:t>
      </w:r>
    </w:p>
    <w:p w14:paraId="12961D4F" w14:textId="77777777" w:rsidR="0041039B" w:rsidRDefault="0041039B" w:rsidP="0041039B">
      <w:pPr>
        <w:pStyle w:val="ListParagraph"/>
        <w:numPr>
          <w:ilvl w:val="0"/>
          <w:numId w:val="2"/>
        </w:numPr>
        <w:bidi/>
        <w:spacing w:before="60" w:after="60" w:line="320" w:lineRule="auto"/>
        <w:contextualSpacing w:val="0"/>
      </w:pPr>
      <w:r>
        <w:t>اختبار الدور الوسيط للثقافة التنظيمية في العلاقة بين الجاهزية الرقمية والأداء التنظيمي.</w:t>
      </w:r>
    </w:p>
    <w:p w14:paraId="23EF28FB" w14:textId="77777777" w:rsidR="0041039B" w:rsidRDefault="0041039B" w:rsidP="0041039B">
      <w:pPr>
        <w:pStyle w:val="ListParagraph"/>
        <w:numPr>
          <w:ilvl w:val="0"/>
          <w:numId w:val="2"/>
        </w:numPr>
        <w:bidi/>
        <w:spacing w:before="60" w:after="60" w:line="320" w:lineRule="auto"/>
        <w:contextualSpacing w:val="0"/>
      </w:pPr>
      <w:r>
        <w:t>تقديم توصيات عملية تدعم نجاح مبادرات التحول الرقمي في الشركات الاستثمارية العائلية.</w:t>
      </w:r>
    </w:p>
    <w:p w14:paraId="2903F163" w14:textId="77777777" w:rsidR="0041039B" w:rsidRDefault="0041039B" w:rsidP="0041039B">
      <w:pPr>
        <w:spacing w:before="120"/>
      </w:pPr>
    </w:p>
    <w:p w14:paraId="17503264" w14:textId="77777777" w:rsidR="0041039B" w:rsidRDefault="0041039B" w:rsidP="0041039B">
      <w:pPr>
        <w:pStyle w:val="Heading1"/>
        <w:pBdr>
          <w:bottom w:val="single" w:sz="8" w:space="4" w:color="00B0F0"/>
        </w:pBdr>
        <w:bidi/>
        <w:spacing w:line="320" w:lineRule="auto"/>
      </w:pPr>
      <w:r>
        <w:lastRenderedPageBreak/>
        <w:t>خامساً: فرضيات الدراسة</w:t>
      </w:r>
    </w:p>
    <w:p w14:paraId="7AA9EE7B" w14:textId="77777777" w:rsidR="0041039B" w:rsidRDefault="0041039B" w:rsidP="0041039B">
      <w:pPr>
        <w:pStyle w:val="Heading2"/>
        <w:bidi/>
        <w:spacing w:line="320" w:lineRule="auto"/>
      </w:pPr>
      <w:r>
        <w:t>الفرضية الرئيسة</w:t>
      </w:r>
    </w:p>
    <w:p w14:paraId="642EE1D0" w14:textId="603C9996" w:rsidR="0041039B" w:rsidRDefault="0041039B" w:rsidP="0041039B">
      <w:pPr>
        <w:shd w:val="clear" w:color="auto" w:fill="0D3B66"/>
        <w:bidi/>
        <w:spacing w:before="100" w:after="180" w:line="320" w:lineRule="auto"/>
        <w:ind w:left="180" w:right="180"/>
      </w:pPr>
      <w:r>
        <w:rPr>
          <w:b/>
          <w:bCs/>
          <w:color w:val="FFFFFF"/>
          <w:sz w:val="23"/>
          <w:szCs w:val="23"/>
        </w:rPr>
        <w:t>يوجد أثر ذو دلالة إحصائية لجاهزية التحول الرقمي على الأداء التنظيمي في الشركات الاستثمارية العائلية بالمملكة العربية السعودية من خلال الدور الوسيط للثقافة التنظيمية</w:t>
      </w:r>
    </w:p>
    <w:p w14:paraId="7599CF70" w14:textId="77777777" w:rsidR="0041039B" w:rsidRDefault="0041039B" w:rsidP="0041039B">
      <w:pPr>
        <w:bidi/>
        <w:spacing w:before="80"/>
      </w:pPr>
    </w:p>
    <w:p w14:paraId="28B7E497" w14:textId="77777777" w:rsidR="0041039B" w:rsidRDefault="0041039B" w:rsidP="0041039B">
      <w:pPr>
        <w:pStyle w:val="Heading2"/>
        <w:bidi/>
        <w:spacing w:line="320" w:lineRule="auto"/>
      </w:pPr>
      <w:r>
        <w:t>الفرضيات الفرعية</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826"/>
        <w:gridCol w:w="2400"/>
      </w:tblGrid>
      <w:tr w:rsidR="0041039B" w14:paraId="25FC0C15" w14:textId="77777777" w:rsidTr="00CD566C">
        <w:tc>
          <w:tcPr>
            <w:tcW w:w="800" w:type="dxa"/>
            <w:tcBorders>
              <w:top w:val="single" w:sz="1" w:space="0" w:color="CCCCCC"/>
              <w:left w:val="single" w:sz="1" w:space="0" w:color="CCCCCC"/>
              <w:bottom w:val="single" w:sz="1" w:space="0" w:color="CCCCCC"/>
              <w:right w:val="single" w:sz="1" w:space="0" w:color="CCCCCC"/>
            </w:tcBorders>
            <w:shd w:val="clear" w:color="auto" w:fill="00B0F0"/>
            <w:tcMar>
              <w:top w:w="80" w:type="dxa"/>
              <w:left w:w="80" w:type="dxa"/>
              <w:bottom w:w="80" w:type="dxa"/>
              <w:right w:w="80" w:type="dxa"/>
            </w:tcMar>
            <w:vAlign w:val="center"/>
          </w:tcPr>
          <w:p w14:paraId="31C933B9" w14:textId="77777777" w:rsidR="0041039B" w:rsidRDefault="0041039B" w:rsidP="0041039B">
            <w:pPr>
              <w:bidi/>
            </w:pPr>
            <w:r>
              <w:rPr>
                <w:b/>
                <w:bCs/>
                <w:color w:val="FFFFFF"/>
              </w:rPr>
              <w:t>H1</w:t>
            </w:r>
          </w:p>
        </w:tc>
        <w:tc>
          <w:tcPr>
            <w:tcW w:w="58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40" w:type="dxa"/>
              <w:bottom w:w="80" w:type="dxa"/>
              <w:right w:w="140" w:type="dxa"/>
            </w:tcMar>
          </w:tcPr>
          <w:p w14:paraId="0ED202E6" w14:textId="0FDD0056" w:rsidR="0041039B" w:rsidRDefault="0041039B" w:rsidP="0041039B">
            <w:pPr>
              <w:bidi/>
            </w:pPr>
            <w:r>
              <w:rPr>
                <w:sz w:val="22"/>
                <w:szCs w:val="22"/>
              </w:rPr>
              <w:t>يوجد أثر ذو دلالة إحصائية لجاهزية التحول الرقمي على الأداء التنظيمي في الشركات الاستثمارية العائلية بالمملكة العربية السعودية</w:t>
            </w:r>
          </w:p>
        </w:t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80" w:type="dxa"/>
              <w:bottom w:w="80" w:type="dxa"/>
              <w:right w:w="80" w:type="dxa"/>
            </w:tcMar>
            <w:vAlign w:val="center"/>
          </w:tcPr>
          <w:p w14:paraId="29C5D7FF" w14:textId="77777777" w:rsidR="0041039B" w:rsidRDefault="0041039B" w:rsidP="0041039B">
            <w:pPr>
              <w:bidi/>
            </w:pPr>
            <w:r>
              <w:rPr>
                <w:color w:val="0D3B66"/>
                <w:sz w:val="20"/>
                <w:szCs w:val="20"/>
              </w:rPr>
              <w:t>أثر مباشر</w:t>
            </w:r>
          </w:p>
        </w:tc>
      </w:tr>
    </w:tbl>
    <w:p w14:paraId="51684F2E" w14:textId="77777777" w:rsidR="0041039B" w:rsidRDefault="0041039B" w:rsidP="0041039B">
      <w:pPr>
        <w:bidi/>
        <w:spacing w:before="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826"/>
        <w:gridCol w:w="2400"/>
      </w:tblGrid>
      <w:tr w:rsidR="0041039B" w14:paraId="3F4A4B27" w14:textId="77777777" w:rsidTr="00CD566C">
        <w:tc>
          <w:tcPr>
            <w:tcW w:w="800" w:type="dxa"/>
            <w:tcBorders>
              <w:top w:val="single" w:sz="1" w:space="0" w:color="CCCCCC"/>
              <w:left w:val="single" w:sz="1" w:space="0" w:color="CCCCCC"/>
              <w:bottom w:val="single" w:sz="1" w:space="0" w:color="CCCCCC"/>
              <w:right w:val="single" w:sz="1" w:space="0" w:color="CCCCCC"/>
            </w:tcBorders>
            <w:shd w:val="clear" w:color="auto" w:fill="00B0F0"/>
            <w:tcMar>
              <w:top w:w="80" w:type="dxa"/>
              <w:left w:w="80" w:type="dxa"/>
              <w:bottom w:w="80" w:type="dxa"/>
              <w:right w:w="80" w:type="dxa"/>
            </w:tcMar>
            <w:vAlign w:val="center"/>
          </w:tcPr>
          <w:p w14:paraId="29B2717A" w14:textId="77777777" w:rsidR="0041039B" w:rsidRDefault="0041039B" w:rsidP="0041039B">
            <w:pPr>
              <w:bidi/>
            </w:pPr>
            <w:r>
              <w:rPr>
                <w:b/>
                <w:bCs/>
                <w:color w:val="FFFFFF"/>
              </w:rPr>
              <w:t>H2</w:t>
            </w:r>
          </w:p>
        </w:tc>
        <w:tc>
          <w:tcPr>
            <w:tcW w:w="5826" w:type="dxa"/>
            <w:tcBorders>
              <w:top w:val="single" w:sz="1" w:space="0" w:color="CCCCCC"/>
              <w:left w:val="single" w:sz="1" w:space="0" w:color="CCCCCC"/>
              <w:bottom w:val="single" w:sz="1" w:space="0" w:color="CCCCCC"/>
              <w:right w:val="single" w:sz="1" w:space="0" w:color="CCCCCC"/>
            </w:tcBorders>
            <w:shd w:val="clear" w:color="auto" w:fill="E8F5E9"/>
            <w:tcMar>
              <w:top w:w="80" w:type="dxa"/>
              <w:left w:w="140" w:type="dxa"/>
              <w:bottom w:w="80" w:type="dxa"/>
              <w:right w:w="140" w:type="dxa"/>
            </w:tcMar>
          </w:tcPr>
          <w:p w14:paraId="3DB82006" w14:textId="2C62ABD9" w:rsidR="0041039B" w:rsidRDefault="0041039B" w:rsidP="0041039B">
            <w:pPr>
              <w:bidi/>
            </w:pPr>
            <w:r>
              <w:rPr>
                <w:sz w:val="22"/>
                <w:szCs w:val="22"/>
              </w:rPr>
              <w:t>يوجد أثر ذو دلالة إحصائية لجاهزية التحول الرقمي على الثقافة التنظيمية في الشركات الاستثمارية العائلية بالمملكة العربية السعودية</w:t>
            </w:r>
          </w:p>
        </w:t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80" w:type="dxa"/>
              <w:bottom w:w="80" w:type="dxa"/>
              <w:right w:w="80" w:type="dxa"/>
            </w:tcMar>
            <w:vAlign w:val="center"/>
          </w:tcPr>
          <w:p w14:paraId="5BB163B0" w14:textId="77777777" w:rsidR="0041039B" w:rsidRDefault="0041039B" w:rsidP="0041039B">
            <w:pPr>
              <w:bidi/>
            </w:pPr>
            <w:r>
              <w:rPr>
                <w:color w:val="0D3B66"/>
                <w:sz w:val="20"/>
                <w:szCs w:val="20"/>
              </w:rPr>
              <w:t>أثر على الوسيط</w:t>
            </w:r>
          </w:p>
        </w:tc>
      </w:tr>
    </w:tbl>
    <w:p w14:paraId="2031E672" w14:textId="77777777" w:rsidR="0041039B" w:rsidRDefault="0041039B" w:rsidP="0041039B">
      <w:pPr>
        <w:bidi/>
        <w:spacing w:before="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826"/>
        <w:gridCol w:w="2400"/>
      </w:tblGrid>
      <w:tr w:rsidR="0041039B" w14:paraId="2BBB404E" w14:textId="77777777" w:rsidTr="00CD566C">
        <w:tc>
          <w:tcPr>
            <w:tcW w:w="800" w:type="dxa"/>
            <w:tcBorders>
              <w:top w:val="single" w:sz="1" w:space="0" w:color="CCCCCC"/>
              <w:left w:val="single" w:sz="1" w:space="0" w:color="CCCCCC"/>
              <w:bottom w:val="single" w:sz="1" w:space="0" w:color="CCCCCC"/>
              <w:right w:val="single" w:sz="1" w:space="0" w:color="CCCCCC"/>
            </w:tcBorders>
            <w:shd w:val="clear" w:color="auto" w:fill="00B0F0"/>
            <w:tcMar>
              <w:top w:w="80" w:type="dxa"/>
              <w:left w:w="80" w:type="dxa"/>
              <w:bottom w:w="80" w:type="dxa"/>
              <w:right w:w="80" w:type="dxa"/>
            </w:tcMar>
            <w:vAlign w:val="center"/>
          </w:tcPr>
          <w:p w14:paraId="35625DA2" w14:textId="77777777" w:rsidR="0041039B" w:rsidRDefault="0041039B" w:rsidP="0041039B">
            <w:pPr>
              <w:bidi/>
            </w:pPr>
            <w:r>
              <w:rPr>
                <w:b/>
                <w:bCs/>
                <w:color w:val="FFFFFF"/>
              </w:rPr>
              <w:t>H3</w:t>
            </w:r>
          </w:p>
        </w:tc>
        <w:tc>
          <w:tcPr>
            <w:tcW w:w="58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40" w:type="dxa"/>
              <w:bottom w:w="80" w:type="dxa"/>
              <w:right w:w="140" w:type="dxa"/>
            </w:tcMar>
          </w:tcPr>
          <w:p w14:paraId="19AEEEDD" w14:textId="60677E0B" w:rsidR="0041039B" w:rsidRDefault="0041039B" w:rsidP="0041039B">
            <w:pPr>
              <w:bidi/>
            </w:pPr>
            <w:r>
              <w:rPr>
                <w:sz w:val="22"/>
                <w:szCs w:val="22"/>
              </w:rPr>
              <w:t>يوجد أثر ذو دلالة إحصائية للثقافة التنظيمية على الأداء التنظيمي في الشركات الاستثمارية العائلية بالمملكة العربية السعودية</w:t>
            </w:r>
          </w:p>
        </w:t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80" w:type="dxa"/>
              <w:bottom w:w="80" w:type="dxa"/>
              <w:right w:w="80" w:type="dxa"/>
            </w:tcMar>
            <w:vAlign w:val="center"/>
          </w:tcPr>
          <w:p w14:paraId="670E540C" w14:textId="77777777" w:rsidR="0041039B" w:rsidRDefault="0041039B" w:rsidP="0041039B">
            <w:pPr>
              <w:bidi/>
            </w:pPr>
            <w:r>
              <w:rPr>
                <w:color w:val="0D3B66"/>
                <w:sz w:val="20"/>
                <w:szCs w:val="20"/>
              </w:rPr>
              <w:t>الوسيط على التابع</w:t>
            </w:r>
          </w:p>
        </w:tc>
      </w:tr>
    </w:tbl>
    <w:p w14:paraId="499EB20C" w14:textId="77777777" w:rsidR="0041039B" w:rsidRDefault="0041039B" w:rsidP="0041039B">
      <w:pPr>
        <w:bidi/>
        <w:spacing w:before="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826"/>
        <w:gridCol w:w="2400"/>
      </w:tblGrid>
      <w:tr w:rsidR="0041039B" w14:paraId="5C20939E" w14:textId="77777777" w:rsidTr="00CD566C">
        <w:tc>
          <w:tcPr>
            <w:tcW w:w="800" w:type="dxa"/>
            <w:tcBorders>
              <w:top w:val="single" w:sz="1" w:space="0" w:color="CCCCCC"/>
              <w:left w:val="single" w:sz="1" w:space="0" w:color="CCCCCC"/>
              <w:bottom w:val="single" w:sz="1" w:space="0" w:color="CCCCCC"/>
              <w:right w:val="single" w:sz="1" w:space="0" w:color="CCCCCC"/>
            </w:tcBorders>
            <w:shd w:val="clear" w:color="auto" w:fill="00B0F0"/>
            <w:tcMar>
              <w:top w:w="80" w:type="dxa"/>
              <w:left w:w="80" w:type="dxa"/>
              <w:bottom w:w="80" w:type="dxa"/>
              <w:right w:w="80" w:type="dxa"/>
            </w:tcMar>
            <w:vAlign w:val="center"/>
          </w:tcPr>
          <w:p w14:paraId="68215BA9" w14:textId="77777777" w:rsidR="0041039B" w:rsidRDefault="0041039B" w:rsidP="0041039B">
            <w:pPr>
              <w:bidi/>
            </w:pPr>
            <w:r>
              <w:rPr>
                <w:b/>
                <w:bCs/>
                <w:color w:val="FFFFFF"/>
              </w:rPr>
              <w:t>H4</w:t>
            </w:r>
          </w:p>
        </w:tc>
        <w:tc>
          <w:tcPr>
            <w:tcW w:w="5826" w:type="dxa"/>
            <w:tcBorders>
              <w:top w:val="single" w:sz="1" w:space="0" w:color="CCCCCC"/>
              <w:left w:val="single" w:sz="1" w:space="0" w:color="CCCCCC"/>
              <w:bottom w:val="single" w:sz="1" w:space="0" w:color="CCCCCC"/>
              <w:right w:val="single" w:sz="1" w:space="0" w:color="CCCCCC"/>
            </w:tcBorders>
            <w:shd w:val="clear" w:color="auto" w:fill="FFF8E1"/>
            <w:tcMar>
              <w:top w:w="80" w:type="dxa"/>
              <w:left w:w="140" w:type="dxa"/>
              <w:bottom w:w="80" w:type="dxa"/>
              <w:right w:w="140" w:type="dxa"/>
            </w:tcMar>
          </w:tcPr>
          <w:p w14:paraId="62C65269" w14:textId="7D5B6082" w:rsidR="0041039B" w:rsidRDefault="0041039B" w:rsidP="0041039B">
            <w:pPr>
              <w:bidi/>
            </w:pPr>
            <w:r>
              <w:rPr>
                <w:sz w:val="22"/>
                <w:szCs w:val="22"/>
              </w:rPr>
              <w:t>تتوسط الثقافة التنظيمية العلاقة بين جاهزية التحول الرقمي والأداء التنظيمي في الشركات الاستثمارية العائلية بالمملكة العربية السعودية</w:t>
            </w:r>
          </w:p>
        </w:t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80" w:type="dxa"/>
              <w:bottom w:w="80" w:type="dxa"/>
              <w:right w:w="80" w:type="dxa"/>
            </w:tcMar>
            <w:vAlign w:val="center"/>
          </w:tcPr>
          <w:p w14:paraId="6D547530" w14:textId="77777777" w:rsidR="0041039B" w:rsidRDefault="0041039B" w:rsidP="0041039B">
            <w:pPr>
              <w:bidi/>
            </w:pPr>
            <w:r>
              <w:rPr>
                <w:color w:val="0D3B66"/>
                <w:sz w:val="20"/>
                <w:szCs w:val="20"/>
              </w:rPr>
              <w:t>وساطة كاملة / جزئية</w:t>
            </w:r>
          </w:p>
        </w:tc>
      </w:tr>
    </w:tbl>
    <w:p w14:paraId="68CC04DD" w14:textId="77777777" w:rsidR="0041039B" w:rsidRDefault="0041039B" w:rsidP="0041039B">
      <w:pPr>
        <w:bidi/>
        <w:spacing w:before="120"/>
      </w:pPr>
    </w:p>
    <w:p w14:paraId="75E384C6" w14:textId="77777777" w:rsidR="0041039B" w:rsidRDefault="0041039B" w:rsidP="0041039B">
      <w:pPr>
        <w:pStyle w:val="Heading1"/>
        <w:pBdr>
          <w:bottom w:val="single" w:sz="8" w:space="4" w:color="00B0F0"/>
        </w:pBdr>
        <w:bidi/>
        <w:spacing w:line="320" w:lineRule="auto"/>
      </w:pPr>
      <w:r>
        <w:t>سادساً: مصطلحات الدراسة وتعريفاتها الإجرائية</w:t>
      </w:r>
    </w:p>
    <w:p w14:paraId="34698EC0" w14:textId="77777777" w:rsidR="0041039B" w:rsidRDefault="0041039B" w:rsidP="0041039B">
      <w:pPr>
        <w:pStyle w:val="Heading2"/>
        <w:bidi/>
        <w:spacing w:line="320" w:lineRule="auto"/>
      </w:pPr>
      <w:r>
        <w:t>أولاً: جاهزية التحول الرقمي  (Digital Transformation Readiness)</w:t>
      </w:r>
    </w:p>
    <w:p w14:paraId="5096281A" w14:textId="1520ABCC" w:rsidR="0041039B" w:rsidRDefault="0041039B" w:rsidP="0041039B">
      <w:pPr>
        <w:pStyle w:val="Heading3"/>
        <w:bidi/>
        <w:spacing w:line="320" w:lineRule="auto"/>
      </w:pPr>
      <w:r>
        <w:t>التعريف الاصطلاحي</w:t>
      </w:r>
    </w:p>
    <w:p w14:paraId="2B8D4ACF" w14:textId="35924660" w:rsidR="0041039B" w:rsidRDefault="0041039B" w:rsidP="0041039B">
      <w:pPr>
        <w:bidi/>
        <w:spacing w:before="80" w:after="80" w:line="360" w:lineRule="auto"/>
      </w:pPr>
      <w:r>
        <w:t>هي مدى استعداد المنظمة من حيث البنية التحتية التقنية والموارد البشرية والقيادة الاستراتيجية والثقافة التنظيمية لتبني التقنيات الرقمية والاستفادة منها في تحسين الأداء المؤسسي (Plekhanov, Franke &amp; Netland, 2023)</w:t>
      </w:r>
    </w:p>
    <w:p w14:paraId="667BA71C" w14:textId="1054828A" w:rsidR="0041039B" w:rsidRDefault="0041039B" w:rsidP="0041039B">
      <w:pPr>
        <w:pStyle w:val="Heading3"/>
        <w:bidi/>
        <w:spacing w:line="320" w:lineRule="auto"/>
      </w:pPr>
      <w:r>
        <w:t>التعريف الإجرائي</w:t>
      </w:r>
    </w:p>
    <w:p w14:paraId="30C6DB0D" w14:textId="77777777" w:rsidR="0041039B" w:rsidRDefault="0041039B" w:rsidP="0041039B">
      <w:pPr>
        <w:bidi/>
        <w:spacing w:before="80" w:after="80" w:line="360" w:lineRule="auto"/>
      </w:pPr>
      <w:r>
        <w:t>الدرجة الكلية التي تحصل عليها الشركة على مقياس جاهزية التحول الرقمي المُعدّ لهذه الدراسة، والمتمثلة في الأبعاد التالية:</w:t>
      </w:r>
    </w:p>
    <w:p w14:paraId="57CE618E" w14:textId="463DAEAD" w:rsidR="0041039B" w:rsidRDefault="0041039B" w:rsidP="0041039B">
      <w:pPr>
        <w:pStyle w:val="ListParagraph"/>
        <w:numPr>
          <w:ilvl w:val="0"/>
          <w:numId w:val="1"/>
        </w:numPr>
        <w:bidi/>
        <w:spacing w:before="60" w:after="60" w:line="320" w:lineRule="auto"/>
        <w:contextualSpacing w:val="0"/>
      </w:pPr>
      <w:r>
        <w:t>الجاهزية الاستراتيجية: وضوح التوجه الرقمي وارتباطه بالأهداف التنظيمية</w:t>
      </w:r>
    </w:p>
    <w:p w14:paraId="23816AA4" w14:textId="4762EB3A" w:rsidR="0041039B" w:rsidRDefault="0041039B" w:rsidP="0041039B">
      <w:pPr>
        <w:pStyle w:val="ListParagraph"/>
        <w:numPr>
          <w:ilvl w:val="0"/>
          <w:numId w:val="1"/>
        </w:numPr>
        <w:bidi/>
        <w:spacing w:before="60" w:after="60" w:line="320" w:lineRule="auto"/>
        <w:contextualSpacing w:val="0"/>
      </w:pPr>
      <w:r>
        <w:t>الجاهزية التقنية: توافر البنية التحتية والأدوات الرقمية اللازمة</w:t>
      </w:r>
    </w:p>
    <w:p w14:paraId="36E4D831" w14:textId="38E6FBBE" w:rsidR="0041039B" w:rsidRDefault="0041039B" w:rsidP="0041039B">
      <w:pPr>
        <w:pStyle w:val="ListParagraph"/>
        <w:numPr>
          <w:ilvl w:val="0"/>
          <w:numId w:val="1"/>
        </w:numPr>
        <w:bidi/>
        <w:spacing w:before="60" w:after="60" w:line="320" w:lineRule="auto"/>
        <w:contextualSpacing w:val="0"/>
      </w:pPr>
      <w:r>
        <w:t>الجاهزية البشرية: امتلاك الكفاءات والمهارات الرقمية اللازمة</w:t>
      </w:r>
    </w:p>
    <w:p w14:paraId="044695A3" w14:textId="3129AD57" w:rsidR="0041039B" w:rsidRDefault="0041039B" w:rsidP="0041039B">
      <w:pPr>
        <w:pStyle w:val="ListParagraph"/>
        <w:numPr>
          <w:ilvl w:val="0"/>
          <w:numId w:val="1"/>
        </w:numPr>
        <w:bidi/>
        <w:spacing w:before="60" w:after="60" w:line="320" w:lineRule="auto"/>
        <w:contextualSpacing w:val="0"/>
      </w:pPr>
      <w:r>
        <w:lastRenderedPageBreak/>
        <w:t>الجاهزية التنظيمية: استعداد الهياكل والعمليات لاستيعاب التحول الرقمي</w:t>
      </w:r>
    </w:p>
    <w:p w14:paraId="22E74CC8" w14:textId="77777777" w:rsidR="0041039B" w:rsidRDefault="0041039B" w:rsidP="0041039B">
      <w:pPr>
        <w:bidi/>
        <w:spacing w:before="80"/>
      </w:pPr>
    </w:p>
    <w:p w14:paraId="1E7961D6" w14:textId="77777777" w:rsidR="0041039B" w:rsidRDefault="0041039B" w:rsidP="0041039B">
      <w:pPr>
        <w:pStyle w:val="Heading2"/>
        <w:bidi/>
        <w:spacing w:line="320" w:lineRule="auto"/>
      </w:pPr>
      <w:r>
        <w:t>ثانياً: الثقافة التنظيمية  (Organizational Culture)</w:t>
      </w:r>
    </w:p>
    <w:p w14:paraId="31AB05AA" w14:textId="38CD25A3" w:rsidR="0041039B" w:rsidRDefault="0041039B" w:rsidP="0041039B">
      <w:pPr>
        <w:pStyle w:val="Heading3"/>
        <w:bidi/>
        <w:spacing w:line="320" w:lineRule="auto"/>
      </w:pPr>
      <w:r>
        <w:t>التعريف الاصطلاحي</w:t>
      </w:r>
    </w:p>
    <w:p w14:paraId="09052A12" w14:textId="77777777" w:rsidR="0041039B" w:rsidRDefault="0041039B" w:rsidP="0041039B">
      <w:pPr>
        <w:bidi/>
        <w:spacing w:before="80" w:after="80" w:line="360" w:lineRule="auto"/>
      </w:pPr>
      <w:r>
        <w:t>هي مجموعة القيم والمعتقدات والمعايير المشتركة التي تحكم سلوك أعضاء المنظمة وتوجه ممارساتهم وتشكّل هويتها المؤسسية، ولها دور محوري في تحديد مدى نجاح مبادرات التحول الرقمي (Jewapatarakul &amp; Ueasangkomsate, 2024).</w:t>
      </w:r>
    </w:p>
    <w:p w14:paraId="262BA9D1" w14:textId="1131A680" w:rsidR="0041039B" w:rsidRDefault="0041039B" w:rsidP="0041039B">
      <w:pPr>
        <w:pStyle w:val="Heading3"/>
        <w:bidi/>
        <w:spacing w:line="320" w:lineRule="auto"/>
      </w:pPr>
      <w:r>
        <w:t>التعريف الإجرائي</w:t>
      </w:r>
    </w:p>
    <w:p w14:paraId="741E7005" w14:textId="5E2F814F" w:rsidR="0041039B" w:rsidRDefault="0041039B" w:rsidP="0041039B">
      <w:pPr>
        <w:bidi/>
        <w:spacing w:before="80" w:after="80" w:line="360" w:lineRule="auto"/>
      </w:pPr>
      <w:r>
        <w:t>الدرجة التي يحصل عليها أفراد عينة الدراسة على مقياس الثقافة التنظيمية الداعمة للتحول الرقمي، وتشمل</w:t>
      </w:r>
    </w:p>
    <w:p w14:paraId="4EBC5964" w14:textId="31CC99B6" w:rsidR="0041039B" w:rsidRDefault="0041039B" w:rsidP="0041039B">
      <w:pPr>
        <w:pStyle w:val="ListParagraph"/>
        <w:numPr>
          <w:ilvl w:val="0"/>
          <w:numId w:val="1"/>
        </w:numPr>
        <w:bidi/>
        <w:spacing w:before="60" w:after="60" w:line="320" w:lineRule="auto"/>
        <w:contextualSpacing w:val="0"/>
      </w:pPr>
      <w:r>
        <w:t>دعم الابتكار: تشجيع الأفكار الجديدة وقبول المبادرات الرقمية</w:t>
      </w:r>
    </w:p>
    <w:p w14:paraId="2ABE289F" w14:textId="34621501" w:rsidR="0041039B" w:rsidRDefault="0041039B" w:rsidP="0041039B">
      <w:pPr>
        <w:pStyle w:val="ListParagraph"/>
        <w:numPr>
          <w:ilvl w:val="0"/>
          <w:numId w:val="1"/>
        </w:numPr>
        <w:bidi/>
        <w:spacing w:before="60" w:after="60" w:line="320" w:lineRule="auto"/>
        <w:contextualSpacing w:val="0"/>
      </w:pPr>
      <w:r>
        <w:t>تقبّل التغيير: استعداد العاملين لتبني التقنيات الرقمية الجديدة</w:t>
      </w:r>
    </w:p>
    <w:p w14:paraId="5C2926B0" w14:textId="2D085999" w:rsidR="0041039B" w:rsidRDefault="0041039B" w:rsidP="0041039B">
      <w:pPr>
        <w:pStyle w:val="ListParagraph"/>
        <w:numPr>
          <w:ilvl w:val="0"/>
          <w:numId w:val="1"/>
        </w:numPr>
        <w:bidi/>
        <w:spacing w:before="60" w:after="60" w:line="320" w:lineRule="auto"/>
        <w:contextualSpacing w:val="0"/>
      </w:pPr>
      <w:r>
        <w:t>التعلم التنظيمي: تعزيز التعلم المستمر وتنمية المهارات الرقمية</w:t>
      </w:r>
    </w:p>
    <w:p w14:paraId="31BE205B" w14:textId="622127FF" w:rsidR="0041039B" w:rsidRDefault="0041039B" w:rsidP="0041039B">
      <w:pPr>
        <w:pStyle w:val="ListParagraph"/>
        <w:numPr>
          <w:ilvl w:val="0"/>
          <w:numId w:val="1"/>
        </w:numPr>
        <w:bidi/>
        <w:spacing w:before="60" w:after="60" w:line="320" w:lineRule="auto"/>
        <w:contextualSpacing w:val="0"/>
      </w:pPr>
      <w:r>
        <w:t>التعاون ومشاركة المعرفة: تبادل المعرفة والخبرات الرقمية بين الأقسام</w:t>
      </w:r>
    </w:p>
    <w:p w14:paraId="65EC048B" w14:textId="77777777" w:rsidR="0041039B" w:rsidRDefault="0041039B" w:rsidP="0041039B">
      <w:pPr>
        <w:bidi/>
        <w:spacing w:before="80"/>
      </w:pPr>
    </w:p>
    <w:p w14:paraId="2A773F42" w14:textId="77777777" w:rsidR="0041039B" w:rsidRDefault="0041039B" w:rsidP="0041039B">
      <w:pPr>
        <w:pStyle w:val="Heading2"/>
        <w:bidi/>
        <w:spacing w:line="320" w:lineRule="auto"/>
      </w:pPr>
      <w:r>
        <w:t>ثالثاً: الأداء التنظيمي  (Organizational Performance)</w:t>
      </w:r>
    </w:p>
    <w:p w14:paraId="3BC29CFF" w14:textId="59F6AFE8" w:rsidR="0041039B" w:rsidRDefault="0041039B" w:rsidP="0041039B">
      <w:pPr>
        <w:pStyle w:val="Heading3"/>
        <w:bidi/>
        <w:spacing w:line="320" w:lineRule="auto"/>
      </w:pPr>
      <w:r>
        <w:t>التعريف الاصطلاحي</w:t>
      </w:r>
    </w:p>
    <w:p w14:paraId="340DAA32" w14:textId="5FC66AA9" w:rsidR="0041039B" w:rsidRDefault="0041039B" w:rsidP="0041039B">
      <w:pPr>
        <w:bidi/>
        <w:spacing w:before="80" w:after="80" w:line="360" w:lineRule="auto"/>
      </w:pPr>
      <w:r>
        <w:t>قدرة المنظمة على تحقيق أهدافها الاستراتيجية بكفاءة وفاعلية، من خلال الاستخدام الأمثل للموارد المتاحة وتحقيق النتائج المستهدفة في ظل البيئة التنافسية (Amankona et al., 2025)</w:t>
      </w:r>
    </w:p>
    <w:p w14:paraId="0B47058D" w14:textId="67C7414D" w:rsidR="0041039B" w:rsidRDefault="0041039B" w:rsidP="0041039B">
      <w:pPr>
        <w:pStyle w:val="Heading3"/>
        <w:bidi/>
        <w:spacing w:line="320" w:lineRule="auto"/>
      </w:pPr>
      <w:r>
        <w:t>التعريف الإجرائي</w:t>
      </w:r>
    </w:p>
    <w:p w14:paraId="3EACAD57" w14:textId="26EBB541" w:rsidR="0041039B" w:rsidRDefault="0041039B" w:rsidP="0041039B">
      <w:pPr>
        <w:bidi/>
        <w:spacing w:before="80" w:after="80" w:line="360" w:lineRule="auto"/>
      </w:pPr>
      <w:r>
        <w:t>الدرجة التي تحصل عليها الشركة على مقياس الأداء التنظيمي المُعدّ لهذه الدراسة عبر الأبعاد التالية</w:t>
      </w:r>
    </w:p>
    <w:p w14:paraId="0182C883" w14:textId="0B83F122" w:rsidR="0041039B" w:rsidRDefault="0041039B" w:rsidP="0041039B">
      <w:pPr>
        <w:pStyle w:val="ListParagraph"/>
        <w:numPr>
          <w:ilvl w:val="0"/>
          <w:numId w:val="1"/>
        </w:numPr>
        <w:bidi/>
        <w:spacing w:before="60" w:after="60" w:line="320" w:lineRule="auto"/>
        <w:contextualSpacing w:val="0"/>
      </w:pPr>
      <w:r>
        <w:t>الكفاءة التشغيلية: جودة العمليات وسرعة الاستجابة وتقليل التكاليف</w:t>
      </w:r>
    </w:p>
    <w:p w14:paraId="1152FE45" w14:textId="6DCDCED0" w:rsidR="0041039B" w:rsidRDefault="0041039B" w:rsidP="0041039B">
      <w:pPr>
        <w:pStyle w:val="ListParagraph"/>
        <w:numPr>
          <w:ilvl w:val="0"/>
          <w:numId w:val="1"/>
        </w:numPr>
        <w:bidi/>
        <w:spacing w:before="60" w:after="60" w:line="320" w:lineRule="auto"/>
        <w:contextualSpacing w:val="0"/>
      </w:pPr>
      <w:r>
        <w:t>جودة الخدمات والعمليات: مستوى الجودة المقدمة للعملاء والشركاء</w:t>
      </w:r>
    </w:p>
    <w:p w14:paraId="37F144C8" w14:textId="1E5CEBC6" w:rsidR="0041039B" w:rsidRDefault="0041039B" w:rsidP="0041039B">
      <w:pPr>
        <w:pStyle w:val="ListParagraph"/>
        <w:numPr>
          <w:ilvl w:val="0"/>
          <w:numId w:val="1"/>
        </w:numPr>
        <w:bidi/>
        <w:spacing w:before="60" w:after="60" w:line="320" w:lineRule="auto"/>
        <w:contextualSpacing w:val="0"/>
      </w:pPr>
      <w:r>
        <w:t>رضا العملاء: درجة رضا العملاء ووفائهم للشركة</w:t>
      </w:r>
    </w:p>
    <w:p w14:paraId="3DE875F9" w14:textId="450650F7" w:rsidR="0041039B" w:rsidRDefault="0041039B" w:rsidP="0041039B">
      <w:pPr>
        <w:pStyle w:val="ListParagraph"/>
        <w:numPr>
          <w:ilvl w:val="0"/>
          <w:numId w:val="1"/>
        </w:numPr>
        <w:bidi/>
        <w:spacing w:before="60" w:after="60" w:line="320" w:lineRule="auto"/>
        <w:contextualSpacing w:val="0"/>
      </w:pPr>
      <w:r>
        <w:t>النمو والاستدامة: قدرة الشركة على التوسع والنمو المستدام</w:t>
      </w:r>
    </w:p>
    <w:p w14:paraId="1A02B45D" w14:textId="47A2A0F9" w:rsidR="0041039B" w:rsidRDefault="0041039B" w:rsidP="0041039B">
      <w:pPr>
        <w:pStyle w:val="ListParagraph"/>
        <w:numPr>
          <w:ilvl w:val="0"/>
          <w:numId w:val="1"/>
        </w:numPr>
        <w:bidi/>
        <w:spacing w:before="60" w:after="60" w:line="320" w:lineRule="auto"/>
        <w:contextualSpacing w:val="0"/>
      </w:pPr>
      <w:r>
        <w:t>الميزة التنافسية: قدرة الشركة على التميز في السوق ومواجهة المنافسة</w:t>
      </w:r>
    </w:p>
    <w:p w14:paraId="74CE24A1" w14:textId="77777777" w:rsidR="0041039B" w:rsidRDefault="0041039B" w:rsidP="0041039B">
      <w:pPr>
        <w:spacing w:before="120"/>
      </w:pPr>
    </w:p>
    <w:p w14:paraId="23603451" w14:textId="77777777" w:rsidR="0041039B" w:rsidRDefault="0041039B" w:rsidP="0041039B">
      <w:pPr>
        <w:pStyle w:val="Heading1"/>
        <w:pBdr>
          <w:bottom w:val="single" w:sz="8" w:space="4" w:color="00B0F0"/>
        </w:pBdr>
        <w:bidi/>
        <w:spacing w:line="320" w:lineRule="auto"/>
      </w:pPr>
      <w:r>
        <w:lastRenderedPageBreak/>
        <w:t>سابعاً: نموذج الدراسة المقترح</w:t>
      </w:r>
    </w:p>
    <w:p w14:paraId="3CC3DC9F" w14:textId="77777777" w:rsidR="0041039B" w:rsidRDefault="0041039B" w:rsidP="0041039B">
      <w:pPr>
        <w:bidi/>
        <w:spacing w:before="80" w:after="80" w:line="360" w:lineRule="auto"/>
      </w:pPr>
      <w:r>
        <w:t>استناداً إلى نظرية الموارد والقدرات (Resource-Based View - RBV) التي صاغها Barney (1991)، تفترض الدراسة أن جاهزية التحول الرقمي تمثل مورداً استراتيجياً فريداً يُمكّن المنظمة من تحقيق ميزة تنافسية مستدامة. وتُمثّل الثقافة التنظيمية الآلية التنظيمية التي تحوّل هذه الموارد الرقمية إلى نتائج أداء ملموسة، وهو ما يجعلها متغيراً وسيطاً لا يمكن إغفاله.</w:t>
      </w:r>
    </w:p>
    <w:p w14:paraId="40F38765" w14:textId="77777777" w:rsidR="0041039B" w:rsidRDefault="0041039B" w:rsidP="0041039B">
      <w:pPr>
        <w:bidi/>
        <w:spacing w:before="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63"/>
        <w:gridCol w:w="4302"/>
        <w:gridCol w:w="3161"/>
      </w:tblGrid>
      <w:tr w:rsidR="0041039B" w14:paraId="4F953CC2" w14:textId="77777777" w:rsidTr="00CD566C">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599DFA0B" w14:textId="77777777" w:rsidR="0041039B" w:rsidRDefault="0041039B" w:rsidP="0041039B">
            <w:pPr>
              <w:bidi/>
            </w:pPr>
            <w:r>
              <w:rPr>
                <w:b/>
                <w:bCs/>
                <w:color w:val="FFFFFF"/>
                <w:sz w:val="22"/>
                <w:szCs w:val="22"/>
              </w:rPr>
              <w:t>دور المتغير</w:t>
            </w:r>
          </w:p>
        </w:tc>
        <w:tc>
          <w:tcPr>
            <w:tcW w:w="20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1C8E555C" w14:textId="77777777" w:rsidR="0041039B" w:rsidRDefault="0041039B" w:rsidP="0041039B">
            <w:pPr>
              <w:bidi/>
            </w:pPr>
            <w:r>
              <w:rPr>
                <w:b/>
                <w:bCs/>
                <w:color w:val="FFFFFF"/>
                <w:sz w:val="22"/>
                <w:szCs w:val="22"/>
              </w:rPr>
              <w:t>المتغير</w:t>
            </w:r>
          </w:p>
        </w:tc>
        <w:tc>
          <w:tcPr>
            <w:tcW w:w="4826"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1B6D6A57" w14:textId="77777777" w:rsidR="0041039B" w:rsidRDefault="0041039B" w:rsidP="0041039B">
            <w:pPr>
              <w:bidi/>
            </w:pPr>
            <w:r>
              <w:rPr>
                <w:b/>
                <w:bCs/>
                <w:color w:val="FFFFFF"/>
                <w:sz w:val="22"/>
                <w:szCs w:val="22"/>
              </w:rPr>
              <w:t>الأبعاد</w:t>
            </w:r>
          </w:p>
        </w:tc>
      </w:tr>
      <w:tr w:rsidR="0041039B" w14:paraId="3D342D67" w14:textId="77777777" w:rsidTr="00CD566C">
        <w:tc>
          <w:tcPr>
            <w:tcW w:w="22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2B48BE50" w14:textId="77777777" w:rsidR="0041039B" w:rsidRDefault="0041039B" w:rsidP="0041039B">
            <w:pPr>
              <w:bidi/>
            </w:pPr>
            <w:r>
              <w:rPr>
                <w:b/>
                <w:bCs/>
                <w:color w:val="0D3B66"/>
                <w:sz w:val="22"/>
                <w:szCs w:val="22"/>
              </w:rPr>
              <w:t>المتغير المستقل</w:t>
            </w:r>
          </w:p>
        </w:tc>
        <w:tc>
          <w:tcPr>
            <w:tcW w:w="20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20B9C2C1" w14:textId="77777777" w:rsidR="0041039B" w:rsidRDefault="0041039B" w:rsidP="0041039B">
            <w:pPr>
              <w:bidi/>
            </w:pPr>
            <w:r>
              <w:rPr>
                <w:sz w:val="22"/>
                <w:szCs w:val="22"/>
              </w:rPr>
              <w:t>جاهزية التحول الرقمي</w:t>
            </w:r>
          </w:p>
        </w:tc>
        <w:tc>
          <w:tcPr>
            <w:tcW w:w="48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117128BA" w14:textId="77777777" w:rsidR="0041039B" w:rsidRDefault="0041039B" w:rsidP="0041039B">
            <w:pPr>
              <w:bidi/>
            </w:pPr>
            <w:r>
              <w:rPr>
                <w:sz w:val="22"/>
                <w:szCs w:val="22"/>
              </w:rPr>
              <w:t>الاستراتيجية • التقنية • البشرية • التنظيمية</w:t>
            </w:r>
          </w:p>
        </w:tc>
      </w:tr>
      <w:tr w:rsidR="0041039B" w14:paraId="6E2E54E5" w14:textId="77777777" w:rsidTr="00CD566C">
        <w:tc>
          <w:tcPr>
            <w:tcW w:w="22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15BEAD59" w14:textId="77777777" w:rsidR="0041039B" w:rsidRDefault="0041039B" w:rsidP="0041039B">
            <w:pPr>
              <w:bidi/>
            </w:pPr>
            <w:r>
              <w:rPr>
                <w:b/>
                <w:bCs/>
                <w:color w:val="0D3B66"/>
                <w:sz w:val="22"/>
                <w:szCs w:val="22"/>
              </w:rPr>
              <w:t>المتغير الوسيط</w:t>
            </w:r>
          </w:p>
        </w:tc>
        <w:tc>
          <w:tcPr>
            <w:tcW w:w="20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4F0CFC82" w14:textId="77777777" w:rsidR="0041039B" w:rsidRDefault="0041039B" w:rsidP="0041039B">
            <w:pPr>
              <w:bidi/>
            </w:pPr>
            <w:r>
              <w:rPr>
                <w:sz w:val="22"/>
                <w:szCs w:val="22"/>
              </w:rPr>
              <w:t>الثقافة التنظيمية</w:t>
            </w:r>
          </w:p>
        </w:tc>
        <w:tc>
          <w:tcPr>
            <w:tcW w:w="4826"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403FE483" w14:textId="77777777" w:rsidR="0041039B" w:rsidRDefault="0041039B" w:rsidP="0041039B">
            <w:pPr>
              <w:bidi/>
            </w:pPr>
            <w:r>
              <w:rPr>
                <w:sz w:val="22"/>
                <w:szCs w:val="22"/>
              </w:rPr>
              <w:t>الابتكار • تقبّل التغيير • التعلم التنظيمي • مشاركة المعرفة</w:t>
            </w:r>
          </w:p>
        </w:tc>
      </w:tr>
      <w:tr w:rsidR="0041039B" w14:paraId="7CFC5454" w14:textId="77777777" w:rsidTr="00CD566C">
        <w:tc>
          <w:tcPr>
            <w:tcW w:w="22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027BD732" w14:textId="77777777" w:rsidR="0041039B" w:rsidRDefault="0041039B" w:rsidP="0041039B">
            <w:pPr>
              <w:bidi/>
            </w:pPr>
            <w:r>
              <w:rPr>
                <w:b/>
                <w:bCs/>
                <w:color w:val="0D3B66"/>
                <w:sz w:val="22"/>
                <w:szCs w:val="22"/>
              </w:rPr>
              <w:t>المتغير التابع</w:t>
            </w:r>
          </w:p>
        </w:tc>
        <w:tc>
          <w:tcPr>
            <w:tcW w:w="20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63FB5255" w14:textId="77777777" w:rsidR="0041039B" w:rsidRDefault="0041039B" w:rsidP="0041039B">
            <w:pPr>
              <w:bidi/>
            </w:pPr>
            <w:r>
              <w:rPr>
                <w:sz w:val="22"/>
                <w:szCs w:val="22"/>
              </w:rPr>
              <w:t>الأداء التنظيمي</w:t>
            </w:r>
          </w:p>
        </w:tc>
        <w:tc>
          <w:tcPr>
            <w:tcW w:w="48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3B92776D" w14:textId="77777777" w:rsidR="0041039B" w:rsidRDefault="0041039B" w:rsidP="0041039B">
            <w:pPr>
              <w:bidi/>
            </w:pPr>
            <w:r>
              <w:rPr>
                <w:sz w:val="22"/>
                <w:szCs w:val="22"/>
              </w:rPr>
              <w:t>الكفاءة التشغيلية • الجودة • رضا العملاء • النمو • الميزة التنافسية</w:t>
            </w:r>
          </w:p>
        </w:tc>
      </w:tr>
      <w:tr w:rsidR="0041039B" w14:paraId="27A543EB" w14:textId="77777777" w:rsidTr="00CD566C">
        <w:trPr>
          <w:gridAfter w:val="1"/>
          <w:wAfter w:w="4826" w:type="dxa"/>
        </w:trPr>
        <w:tc>
          <w:tcPr>
            <w:tcW w:w="2200" w:type="dxa"/>
            <w:tcBorders>
              <w:top w:val="single" w:sz="1" w:space="0" w:color="CCCCCC"/>
              <w:left w:val="single" w:sz="1" w:space="0" w:color="CCCCCC"/>
              <w:bottom w:val="single" w:sz="1" w:space="0" w:color="CCCCCC"/>
              <w:right w:val="single" w:sz="1" w:space="0" w:color="CCCCCC"/>
            </w:tcBorders>
            <w:shd w:val="clear" w:color="auto" w:fill="FFF8E1"/>
            <w:tcMar>
              <w:top w:w="100" w:type="dxa"/>
              <w:left w:w="120" w:type="dxa"/>
              <w:bottom w:w="100" w:type="dxa"/>
              <w:right w:w="120" w:type="dxa"/>
            </w:tcMar>
          </w:tcPr>
          <w:p w14:paraId="773C2282" w14:textId="77777777" w:rsidR="0041039B" w:rsidRDefault="0041039B" w:rsidP="0041039B">
            <w:pPr>
              <w:bidi/>
            </w:pPr>
            <w:r>
              <w:rPr>
                <w:b/>
                <w:bCs/>
                <w:color w:val="0D3B66"/>
                <w:sz w:val="22"/>
                <w:szCs w:val="22"/>
              </w:rPr>
              <w:t>الإطار النظري</w:t>
            </w:r>
          </w:p>
        </w:tc>
        <w:tc>
          <w:tcPr>
            <w:tcW w:w="6826" w:type="dxa"/>
            <w:tcBorders>
              <w:top w:val="single" w:sz="1" w:space="0" w:color="CCCCCC"/>
              <w:left w:val="single" w:sz="1" w:space="0" w:color="CCCCCC"/>
              <w:bottom w:val="single" w:sz="1" w:space="0" w:color="CCCCCC"/>
              <w:right w:val="single" w:sz="1" w:space="0" w:color="CCCCCC"/>
            </w:tcBorders>
            <w:shd w:val="clear" w:color="auto" w:fill="FFF8E1"/>
            <w:tcMar>
              <w:top w:w="100" w:type="dxa"/>
              <w:left w:w="120" w:type="dxa"/>
              <w:bottom w:w="100" w:type="dxa"/>
              <w:right w:w="120" w:type="dxa"/>
            </w:tcMar>
          </w:tcPr>
          <w:p w14:paraId="5904C924" w14:textId="77777777" w:rsidR="0041039B" w:rsidRDefault="0041039B" w:rsidP="0041039B">
            <w:pPr>
              <w:bidi/>
            </w:pPr>
            <w:r>
              <w:rPr>
                <w:sz w:val="22"/>
                <w:szCs w:val="22"/>
              </w:rPr>
              <w:t>نظرية الموارد والقدرات — Resource-Based View (RBV) — Barney (1991)</w:t>
            </w:r>
          </w:p>
        </w:tc>
      </w:tr>
    </w:tbl>
    <w:p w14:paraId="0A2B600C" w14:textId="77777777" w:rsidR="0041039B" w:rsidRDefault="0041039B" w:rsidP="0041039B">
      <w:pPr>
        <w:bidi/>
        <w:spacing w:before="120"/>
      </w:pPr>
    </w:p>
    <w:p w14:paraId="3D105F63" w14:textId="77777777" w:rsidR="0041039B" w:rsidRDefault="0041039B" w:rsidP="0041039B">
      <w:pPr>
        <w:pStyle w:val="Heading1"/>
        <w:pBdr>
          <w:bottom w:val="single" w:sz="8" w:space="4" w:color="00B0F0"/>
        </w:pBdr>
        <w:bidi/>
        <w:spacing w:line="320" w:lineRule="auto"/>
      </w:pPr>
      <w:r>
        <w:t>ثامناً: الدراسات السابقة والفجوة البحثية</w:t>
      </w:r>
    </w:p>
    <w:p w14:paraId="38282731" w14:textId="77777777" w:rsidR="0041039B" w:rsidRDefault="0041039B" w:rsidP="0041039B">
      <w:pPr>
        <w:pStyle w:val="Heading2"/>
        <w:bidi/>
        <w:spacing w:line="320" w:lineRule="auto"/>
      </w:pPr>
      <w:r>
        <w:t>أولاً: الدراسات السابقة</w:t>
      </w:r>
    </w:p>
    <w:p w14:paraId="77744E8D" w14:textId="77777777" w:rsidR="0041039B" w:rsidRDefault="0041039B" w:rsidP="0041039B">
      <w:pPr>
        <w:pStyle w:val="Heading3"/>
        <w:bidi/>
        <w:spacing w:line="320" w:lineRule="auto"/>
      </w:pPr>
      <w:r>
        <w:t>أ. دراسات متعلقة بجاهزية التحول الرقمي والشركات العائلية</w:t>
      </w:r>
    </w:p>
    <w:p w14:paraId="43F66990" w14:textId="77777777" w:rsidR="0041039B" w:rsidRDefault="0041039B" w:rsidP="0041039B">
      <w:pPr>
        <w:bidi/>
        <w:spacing w:before="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626"/>
      </w:tblGrid>
      <w:tr w:rsidR="0041039B" w14:paraId="5FFBC337" w14:textId="77777777" w:rsidTr="00CD566C">
        <w:tc>
          <w:tcPr>
            <w:tcW w:w="2400"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5F3C9A31" w14:textId="77777777" w:rsidR="0041039B" w:rsidRDefault="0041039B" w:rsidP="0041039B">
            <w:pPr>
              <w:bidi/>
            </w:pPr>
            <w:r>
              <w:rPr>
                <w:b/>
                <w:bCs/>
                <w:color w:val="FFFFFF"/>
                <w:sz w:val="22"/>
                <w:szCs w:val="22"/>
              </w:rPr>
              <w:t>المرجع والمجلة</w:t>
            </w:r>
          </w:p>
        </w:tc>
        <w:tc>
          <w:tcPr>
            <w:tcW w:w="6626"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32F444AF" w14:textId="77777777" w:rsidR="0041039B" w:rsidRDefault="0041039B" w:rsidP="0041039B">
            <w:pPr>
              <w:bidi/>
            </w:pPr>
            <w:r>
              <w:rPr>
                <w:b/>
                <w:bCs/>
                <w:color w:val="FFFFFF"/>
                <w:sz w:val="22"/>
                <w:szCs w:val="22"/>
              </w:rPr>
              <w:t>الهدف وأبرز النتائج</w:t>
            </w:r>
          </w:p>
        </w:tc>
      </w:tr>
      <w:tr w:rsidR="0041039B" w14:paraId="3D92C761" w14:textId="77777777" w:rsidTr="00CD566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120" w:type="dxa"/>
              <w:bottom w:w="80" w:type="dxa"/>
              <w:right w:w="120" w:type="dxa"/>
            </w:tcMar>
          </w:tcPr>
          <w:p w14:paraId="587D066C" w14:textId="77777777" w:rsidR="0041039B" w:rsidRDefault="0041039B" w:rsidP="0041039B">
            <w:pPr>
              <w:bidi/>
              <w:spacing w:after="40" w:line="320" w:lineRule="auto"/>
            </w:pPr>
            <w:r>
              <w:rPr>
                <w:b/>
                <w:bCs/>
                <w:color w:val="0D3B66"/>
                <w:sz w:val="20"/>
                <w:szCs w:val="20"/>
              </w:rPr>
              <w:t>Porfírio, Santos &amp; Rodrigues (2024)</w:t>
            </w:r>
          </w:p>
          <w:p w14:paraId="4F6C3739" w14:textId="02EFE760" w:rsidR="0041039B" w:rsidRDefault="0041039B" w:rsidP="0041039B">
            <w:pPr>
              <w:bidi/>
              <w:spacing w:line="320" w:lineRule="auto"/>
            </w:pPr>
            <w:r>
              <w:rPr>
                <w:i/>
                <w:iCs/>
                <w:color w:val="555555"/>
                <w:sz w:val="18"/>
                <w:szCs w:val="18"/>
              </w:rPr>
              <w:t xml:space="preserve">Sustainability, </w:t>
            </w:r>
          </w:p>
        </w:tc>
        <w:tc>
          <w:tcPr>
            <w:tcW w:w="66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20" w:type="dxa"/>
              <w:bottom w:w="80" w:type="dxa"/>
              <w:right w:w="120" w:type="dxa"/>
            </w:tcMar>
          </w:tcPr>
          <w:p w14:paraId="058F6552" w14:textId="77777777" w:rsidR="0041039B" w:rsidRDefault="0041039B" w:rsidP="0041039B">
            <w:pPr>
              <w:bidi/>
              <w:spacing w:after="40" w:line="320" w:lineRule="auto"/>
            </w:pPr>
            <w:r>
              <w:rPr>
                <w:b/>
                <w:bCs/>
                <w:color w:val="1A4A7A"/>
                <w:sz w:val="21"/>
                <w:szCs w:val="21"/>
              </w:rPr>
              <w:t>الهدف: تحليل العوامل المؤثرة في نجاح التحول الرقمي في الشركات العائلية باستخدام منهجية fsQCA.</w:t>
            </w:r>
          </w:p>
          <w:p w14:paraId="692EA592" w14:textId="3B953F80" w:rsidR="0041039B" w:rsidRDefault="0041039B" w:rsidP="0041039B">
            <w:pPr>
              <w:bidi/>
              <w:spacing w:line="320" w:lineRule="auto"/>
            </w:pPr>
            <w:r>
              <w:rPr>
                <w:sz w:val="21"/>
                <w:szCs w:val="21"/>
              </w:rPr>
              <w:t>النتائج: نجاح التحول الرقمي في الشركات العائلية يعتمد على تكامل عوامل القيادة والقدرات التنظيمية والموارد التقنية والقدرة على التكيّف مع التغيير، وليس على عامل واحد منفرد</w:t>
            </w:r>
          </w:p>
        </w:tc>
      </w:tr>
      <w:tr w:rsidR="0041039B" w14:paraId="52E63AF8" w14:textId="77777777" w:rsidTr="00CD566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2F798F3" w14:textId="77777777" w:rsidR="0041039B" w:rsidRDefault="0041039B" w:rsidP="0041039B">
            <w:pPr>
              <w:bidi/>
              <w:spacing w:after="40" w:line="320" w:lineRule="auto"/>
            </w:pPr>
            <w:r>
              <w:rPr>
                <w:b/>
                <w:bCs/>
                <w:color w:val="0D3B66"/>
                <w:sz w:val="20"/>
                <w:szCs w:val="20"/>
              </w:rPr>
              <w:t>Ahmad, AlWadi et al. (2025)</w:t>
            </w:r>
          </w:p>
          <w:p w14:paraId="2FB36B69" w14:textId="488BF177" w:rsidR="0041039B" w:rsidRDefault="0041039B" w:rsidP="0041039B">
            <w:pPr>
              <w:bidi/>
              <w:spacing w:line="320" w:lineRule="auto"/>
            </w:pPr>
            <w:r>
              <w:rPr>
                <w:i/>
                <w:iCs/>
                <w:color w:val="555555"/>
                <w:sz w:val="18"/>
                <w:szCs w:val="18"/>
              </w:rPr>
              <w:t xml:space="preserve">Kybernetes, </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2C596A" w14:textId="77777777" w:rsidR="0041039B" w:rsidRDefault="0041039B" w:rsidP="0041039B">
            <w:pPr>
              <w:bidi/>
              <w:spacing w:after="40" w:line="320" w:lineRule="auto"/>
            </w:pPr>
            <w:r>
              <w:rPr>
                <w:b/>
                <w:bCs/>
                <w:color w:val="1A4A7A"/>
                <w:sz w:val="21"/>
                <w:szCs w:val="21"/>
              </w:rPr>
              <w:t>الهدف: دراسة أثر الكفاءة الريادية الرقمية واستخدام الذكاء الاصطناعي والرشاقة الاستراتيجية على التحول الرقمي في الشركات العائلية الصغيرة.</w:t>
            </w:r>
          </w:p>
          <w:p w14:paraId="6D6EE8CF" w14:textId="77777777" w:rsidR="0041039B" w:rsidRDefault="0041039B" w:rsidP="0041039B">
            <w:pPr>
              <w:bidi/>
              <w:spacing w:line="320" w:lineRule="auto"/>
            </w:pPr>
            <w:r>
              <w:rPr>
                <w:sz w:val="21"/>
                <w:szCs w:val="21"/>
              </w:rPr>
              <w:t>النتائج: الرشاقة الاستراتيجية واستخدام الذكاء الاصطناعي يُعززان التحول الرقمي ويحسّنان قدرة الشركات العائلية على الاستجابة للمتغيرات السوقية.</w:t>
            </w:r>
          </w:p>
        </w:tc>
      </w:tr>
    </w:tbl>
    <w:p w14:paraId="657119FA" w14:textId="77777777" w:rsidR="0041039B" w:rsidRDefault="0041039B" w:rsidP="0041039B">
      <w:pPr>
        <w:spacing w:before="120"/>
      </w:pPr>
    </w:p>
    <w:p w14:paraId="3EFE7C83" w14:textId="77777777" w:rsidR="0041039B" w:rsidRDefault="0041039B" w:rsidP="0041039B">
      <w:pPr>
        <w:pStyle w:val="Heading3"/>
        <w:bidi/>
        <w:spacing w:line="320" w:lineRule="auto"/>
      </w:pPr>
      <w:r>
        <w:lastRenderedPageBreak/>
        <w:t>ب. دراسات متعلقة بالثقافة التنظيمية والتحول الرقمي</w:t>
      </w:r>
    </w:p>
    <w:p w14:paraId="43FB8E9F" w14:textId="77777777" w:rsidR="0041039B" w:rsidRDefault="0041039B" w:rsidP="0041039B">
      <w:pPr>
        <w:bidi/>
        <w:spacing w:before="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626"/>
      </w:tblGrid>
      <w:tr w:rsidR="0041039B" w14:paraId="302CE437" w14:textId="77777777" w:rsidTr="00CD566C">
        <w:tc>
          <w:tcPr>
            <w:tcW w:w="2400"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249B4C38" w14:textId="77777777" w:rsidR="0041039B" w:rsidRDefault="0041039B" w:rsidP="0041039B">
            <w:pPr>
              <w:bidi/>
            </w:pPr>
            <w:r>
              <w:rPr>
                <w:b/>
                <w:bCs/>
                <w:color w:val="FFFFFF"/>
                <w:sz w:val="22"/>
                <w:szCs w:val="22"/>
              </w:rPr>
              <w:t>المرجع والمجلة</w:t>
            </w:r>
          </w:p>
        </w:tc>
        <w:tc>
          <w:tcPr>
            <w:tcW w:w="6626"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74C7CDBE" w14:textId="77777777" w:rsidR="0041039B" w:rsidRDefault="0041039B" w:rsidP="0041039B">
            <w:pPr>
              <w:bidi/>
            </w:pPr>
            <w:r>
              <w:rPr>
                <w:b/>
                <w:bCs/>
                <w:color w:val="FFFFFF"/>
                <w:sz w:val="22"/>
                <w:szCs w:val="22"/>
              </w:rPr>
              <w:t>الهدف وأبرز النتائج</w:t>
            </w:r>
          </w:p>
        </w:tc>
      </w:tr>
      <w:tr w:rsidR="0041039B" w14:paraId="7393ED31" w14:textId="77777777" w:rsidTr="00CD566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120" w:type="dxa"/>
              <w:bottom w:w="80" w:type="dxa"/>
              <w:right w:w="120" w:type="dxa"/>
            </w:tcMar>
          </w:tcPr>
          <w:p w14:paraId="453BE4ED" w14:textId="77777777" w:rsidR="0041039B" w:rsidRDefault="0041039B" w:rsidP="0041039B">
            <w:pPr>
              <w:bidi/>
              <w:spacing w:after="40" w:line="320" w:lineRule="auto"/>
            </w:pPr>
            <w:r>
              <w:rPr>
                <w:b/>
                <w:bCs/>
                <w:color w:val="0D3B66"/>
                <w:sz w:val="20"/>
                <w:szCs w:val="20"/>
              </w:rPr>
              <w:t>Jewapatarakul &amp; Ueasangkomsate (2024)</w:t>
            </w:r>
          </w:p>
          <w:p w14:paraId="25CA34DC" w14:textId="2CBB7894" w:rsidR="0041039B" w:rsidRDefault="0041039B" w:rsidP="0041039B">
            <w:pPr>
              <w:bidi/>
              <w:spacing w:line="320" w:lineRule="auto"/>
            </w:pPr>
            <w:r>
              <w:rPr>
                <w:i/>
                <w:iCs/>
                <w:color w:val="555555"/>
                <w:sz w:val="18"/>
                <w:szCs w:val="18"/>
              </w:rPr>
              <w:t>SAGE Open,</w:t>
            </w:r>
            <w:r w:rsidR="00E00740">
              <w:rPr>
                <w:i/>
                <w:iCs/>
                <w:color w:val="555555"/>
                <w:sz w:val="18"/>
                <w:szCs w:val="18"/>
              </w:rPr>
              <w:t xml:space="preserve"> </w:t>
            </w:r>
          </w:p>
        </w:tc>
        <w:tc>
          <w:tcPr>
            <w:tcW w:w="66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20" w:type="dxa"/>
              <w:bottom w:w="80" w:type="dxa"/>
              <w:right w:w="120" w:type="dxa"/>
            </w:tcMar>
          </w:tcPr>
          <w:p w14:paraId="595AB0D0" w14:textId="77777777" w:rsidR="0041039B" w:rsidRDefault="0041039B" w:rsidP="0041039B">
            <w:pPr>
              <w:bidi/>
              <w:spacing w:after="40" w:line="320" w:lineRule="auto"/>
            </w:pPr>
            <w:r>
              <w:rPr>
                <w:b/>
                <w:bCs/>
                <w:color w:val="1A4A7A"/>
                <w:sz w:val="21"/>
                <w:szCs w:val="21"/>
              </w:rPr>
              <w:t>الهدف: دراسة أثر الثقافة التنظيمية الرقمية والجاهزية التنظيمية واكتساب المعرفة على التحول الرقمي في المنشآت الصغيرة والمتوسطة.</w:t>
            </w:r>
          </w:p>
          <w:p w14:paraId="073E140D" w14:textId="77777777" w:rsidR="0041039B" w:rsidRDefault="0041039B" w:rsidP="0041039B">
            <w:pPr>
              <w:bidi/>
              <w:spacing w:line="320" w:lineRule="auto"/>
            </w:pPr>
            <w:r>
              <w:rPr>
                <w:sz w:val="21"/>
                <w:szCs w:val="21"/>
              </w:rPr>
              <w:t>النتائج: الثقافة التنظيمية الرقمية والجاهزية التنظيمية تتوسطان بشكل كامل العلاقة بين اكتساب المعرفة والتحول الرقمي، مما يؤكد محوريتها في تحقيق التحول الرقمي الناجح.</w:t>
            </w:r>
          </w:p>
        </w:tc>
      </w:tr>
      <w:tr w:rsidR="0041039B" w14:paraId="6EEDAE79" w14:textId="77777777" w:rsidTr="00CD566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CFF7308" w14:textId="77777777" w:rsidR="0041039B" w:rsidRDefault="0041039B" w:rsidP="0041039B">
            <w:pPr>
              <w:bidi/>
              <w:spacing w:after="40" w:line="320" w:lineRule="auto"/>
            </w:pPr>
            <w:r>
              <w:rPr>
                <w:b/>
                <w:bCs/>
                <w:color w:val="0D3B66"/>
                <w:sz w:val="20"/>
                <w:szCs w:val="20"/>
              </w:rPr>
              <w:t>Amankona, Yi et al. (2025)</w:t>
            </w:r>
          </w:p>
          <w:p w14:paraId="3EECA18B" w14:textId="2F0D8BC0" w:rsidR="0041039B" w:rsidRDefault="0041039B" w:rsidP="0041039B">
            <w:pPr>
              <w:bidi/>
              <w:spacing w:line="320" w:lineRule="auto"/>
            </w:pPr>
            <w:r>
              <w:rPr>
                <w:i/>
                <w:iCs/>
                <w:color w:val="555555"/>
                <w:sz w:val="18"/>
                <w:szCs w:val="18"/>
              </w:rPr>
              <w:t xml:space="preserve">SAGE Open, </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6FE2EB6" w14:textId="77777777" w:rsidR="0041039B" w:rsidRDefault="0041039B" w:rsidP="0041039B">
            <w:pPr>
              <w:bidi/>
              <w:spacing w:after="40" w:line="320" w:lineRule="auto"/>
            </w:pPr>
            <w:r>
              <w:rPr>
                <w:b/>
                <w:bCs/>
                <w:color w:val="1A4A7A"/>
                <w:sz w:val="21"/>
                <w:szCs w:val="21"/>
              </w:rPr>
              <w:t>الهدف: فحص دور الثقافة التنظيمية الرقمية والاستراتيجية الرقمية وسيطاً بين الابتكار الرقمي المسؤول وأداء الابتكار في شركات التقنية العالية.</w:t>
            </w:r>
          </w:p>
          <w:p w14:paraId="3052AE18" w14:textId="77777777" w:rsidR="0041039B" w:rsidRDefault="0041039B" w:rsidP="0041039B">
            <w:pPr>
              <w:bidi/>
              <w:spacing w:line="320" w:lineRule="auto"/>
            </w:pPr>
            <w:r>
              <w:rPr>
                <w:sz w:val="21"/>
                <w:szCs w:val="21"/>
              </w:rPr>
              <w:t>النتائج: الثقافة التنظيمية الرقمية تتوسط العلاقة بين الابتكار الرقمي وأداء الابتكار؛ فالبيئة التنظيمية الداعمة للتجريب والتعاون تُترجم الجهود الرقمية إلى نتائج ملموسة.</w:t>
            </w:r>
          </w:p>
        </w:tc>
      </w:tr>
    </w:tbl>
    <w:p w14:paraId="2F4B5D68" w14:textId="77777777" w:rsidR="0041039B" w:rsidRDefault="0041039B" w:rsidP="0041039B">
      <w:pPr>
        <w:bidi/>
        <w:spacing w:before="120"/>
      </w:pPr>
    </w:p>
    <w:p w14:paraId="794B2596" w14:textId="77777777" w:rsidR="0041039B" w:rsidRDefault="0041039B" w:rsidP="0041039B">
      <w:pPr>
        <w:pStyle w:val="Heading3"/>
        <w:bidi/>
        <w:spacing w:line="320" w:lineRule="auto"/>
      </w:pPr>
      <w:r>
        <w:t>ج. دراسات متعلقة بالجاهزية الرقمية والأداء التنظيمي</w:t>
      </w:r>
    </w:p>
    <w:p w14:paraId="52EDDE48" w14:textId="77777777" w:rsidR="0041039B" w:rsidRDefault="0041039B" w:rsidP="0041039B">
      <w:pPr>
        <w:bidi/>
        <w:spacing w:before="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626"/>
      </w:tblGrid>
      <w:tr w:rsidR="0041039B" w14:paraId="224FD1C9" w14:textId="77777777" w:rsidTr="00CD566C">
        <w:tc>
          <w:tcPr>
            <w:tcW w:w="2400"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0A75547D" w14:textId="77777777" w:rsidR="0041039B" w:rsidRDefault="0041039B" w:rsidP="0041039B">
            <w:pPr>
              <w:bidi/>
            </w:pPr>
            <w:r>
              <w:rPr>
                <w:b/>
                <w:bCs/>
                <w:color w:val="FFFFFF"/>
                <w:sz w:val="22"/>
                <w:szCs w:val="22"/>
              </w:rPr>
              <w:t>المرجع والمجلة</w:t>
            </w:r>
          </w:p>
        </w:tc>
        <w:tc>
          <w:tcPr>
            <w:tcW w:w="6626"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5236FB34" w14:textId="77777777" w:rsidR="0041039B" w:rsidRDefault="0041039B" w:rsidP="0041039B">
            <w:pPr>
              <w:bidi/>
            </w:pPr>
            <w:r>
              <w:rPr>
                <w:b/>
                <w:bCs/>
                <w:color w:val="FFFFFF"/>
                <w:sz w:val="22"/>
                <w:szCs w:val="22"/>
              </w:rPr>
              <w:t>الهدف وأبرز النتائج</w:t>
            </w:r>
          </w:p>
        </w:tc>
      </w:tr>
      <w:tr w:rsidR="0041039B" w14:paraId="38BDEB73" w14:textId="77777777" w:rsidTr="00CD566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120" w:type="dxa"/>
              <w:bottom w:w="80" w:type="dxa"/>
              <w:right w:w="120" w:type="dxa"/>
            </w:tcMar>
          </w:tcPr>
          <w:p w14:paraId="6B2FC1F7" w14:textId="77777777" w:rsidR="0041039B" w:rsidRDefault="0041039B" w:rsidP="0041039B">
            <w:pPr>
              <w:bidi/>
              <w:spacing w:after="40" w:line="320" w:lineRule="auto"/>
            </w:pPr>
            <w:r>
              <w:rPr>
                <w:b/>
                <w:bCs/>
                <w:color w:val="0D3B66"/>
                <w:sz w:val="20"/>
                <w:szCs w:val="20"/>
              </w:rPr>
              <w:t>Lokuge &amp; Duan (2023)</w:t>
            </w:r>
          </w:p>
          <w:p w14:paraId="2231188B" w14:textId="35B71141" w:rsidR="0041039B" w:rsidRDefault="0041039B" w:rsidP="0041039B">
            <w:pPr>
              <w:bidi/>
              <w:spacing w:line="320" w:lineRule="auto"/>
            </w:pPr>
          </w:p>
        </w:tc>
        <w:tc>
          <w:tcPr>
            <w:tcW w:w="66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20" w:type="dxa"/>
              <w:bottom w:w="80" w:type="dxa"/>
              <w:right w:w="120" w:type="dxa"/>
            </w:tcMar>
          </w:tcPr>
          <w:p w14:paraId="5087510E" w14:textId="77777777" w:rsidR="0041039B" w:rsidRDefault="0041039B" w:rsidP="0041039B">
            <w:pPr>
              <w:bidi/>
              <w:spacing w:after="40" w:line="320" w:lineRule="auto"/>
            </w:pPr>
            <w:r>
              <w:rPr>
                <w:b/>
                <w:bCs/>
                <w:color w:val="1A4A7A"/>
                <w:sz w:val="21"/>
                <w:szCs w:val="21"/>
              </w:rPr>
              <w:t>الهدف: تحديد العوامل الداخلية والخارجية التي تُسهم في نجاح التحول الرقمي في المنشآت الصغيرة والمتوسطة.</w:t>
            </w:r>
          </w:p>
          <w:p w14:paraId="723D67A4" w14:textId="77777777" w:rsidR="0041039B" w:rsidRDefault="0041039B" w:rsidP="0041039B">
            <w:pPr>
              <w:bidi/>
              <w:spacing w:line="320" w:lineRule="auto"/>
            </w:pPr>
            <w:r>
              <w:rPr>
                <w:sz w:val="21"/>
                <w:szCs w:val="21"/>
              </w:rPr>
              <w:t>النتائج: القيادة الرقمية والثقافة التنظيمية والجاهزية التقنية تُعدّ أهم محددات نجاح التحول الرقمي، مع أهمية التكامل بين هذه العوامل.</w:t>
            </w:r>
          </w:p>
        </w:tc>
      </w:tr>
      <w:tr w:rsidR="0041039B" w14:paraId="6FDD1DAA" w14:textId="77777777" w:rsidTr="00CD566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FE71C4" w14:textId="77777777" w:rsidR="0041039B" w:rsidRDefault="0041039B" w:rsidP="0041039B">
            <w:pPr>
              <w:bidi/>
              <w:spacing w:after="40" w:line="320" w:lineRule="auto"/>
            </w:pPr>
            <w:r>
              <w:rPr>
                <w:b/>
                <w:bCs/>
                <w:color w:val="0D3B66"/>
                <w:sz w:val="20"/>
                <w:szCs w:val="20"/>
              </w:rPr>
              <w:t>Gonzalez-Varona et al. (2024)</w:t>
            </w:r>
          </w:p>
          <w:p w14:paraId="045F67FD" w14:textId="4CE46BE5" w:rsidR="0041039B" w:rsidRDefault="0041039B" w:rsidP="0041039B">
            <w:pPr>
              <w:bidi/>
              <w:spacing w:line="320" w:lineRule="auto"/>
            </w:pP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250B15" w14:textId="77777777" w:rsidR="0041039B" w:rsidRDefault="0041039B" w:rsidP="0041039B">
            <w:pPr>
              <w:bidi/>
              <w:spacing w:after="40" w:line="320" w:lineRule="auto"/>
            </w:pPr>
            <w:r>
              <w:rPr>
                <w:b/>
                <w:bCs/>
                <w:color w:val="1A4A7A"/>
                <w:sz w:val="21"/>
                <w:szCs w:val="21"/>
              </w:rPr>
              <w:t>الهدف: تطوير نموذج تنظيمي لبناء القدرات اللازمة للتحول الرقمي في المنشآت الصغيرة والمتوسطة.</w:t>
            </w:r>
          </w:p>
          <w:p w14:paraId="37270AFB" w14:textId="77777777" w:rsidR="0041039B" w:rsidRDefault="0041039B" w:rsidP="0041039B">
            <w:pPr>
              <w:bidi/>
              <w:spacing w:line="320" w:lineRule="auto"/>
            </w:pPr>
            <w:r>
              <w:rPr>
                <w:sz w:val="21"/>
                <w:szCs w:val="21"/>
              </w:rPr>
              <w:t>النتائج: التعلم التنظيمي وإدارة المعرفة والقدرات التنظيمية تُعزز النضج الرقمي وتحقق نتائج أداء أفضل، مع أهمية بناء الكفاءات الرقمية التدريجية.</w:t>
            </w:r>
          </w:p>
        </w:tc>
      </w:tr>
      <w:tr w:rsidR="0041039B" w14:paraId="5C44BBD5" w14:textId="77777777" w:rsidTr="00CD566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120" w:type="dxa"/>
              <w:bottom w:w="80" w:type="dxa"/>
              <w:right w:w="120" w:type="dxa"/>
            </w:tcMar>
          </w:tcPr>
          <w:p w14:paraId="10C804D6" w14:textId="77777777" w:rsidR="0041039B" w:rsidRDefault="0041039B" w:rsidP="0041039B">
            <w:pPr>
              <w:bidi/>
              <w:spacing w:after="40" w:line="320" w:lineRule="auto"/>
            </w:pPr>
            <w:r>
              <w:rPr>
                <w:b/>
                <w:bCs/>
                <w:color w:val="0D3B66"/>
                <w:sz w:val="20"/>
                <w:szCs w:val="20"/>
              </w:rPr>
              <w:t>Plekhanov, Franke &amp; Netland (2023)</w:t>
            </w:r>
          </w:p>
          <w:p w14:paraId="646E45CE" w14:textId="720C0874" w:rsidR="0041039B" w:rsidRDefault="0041039B" w:rsidP="0041039B">
            <w:pPr>
              <w:bidi/>
              <w:spacing w:line="320" w:lineRule="auto"/>
            </w:pPr>
            <w:r>
              <w:rPr>
                <w:i/>
                <w:iCs/>
                <w:color w:val="555555"/>
                <w:sz w:val="18"/>
                <w:szCs w:val="18"/>
              </w:rPr>
              <w:t xml:space="preserve">European Management Journal, </w:t>
            </w:r>
          </w:p>
        </w:tc>
        <w:tc>
          <w:tcPr>
            <w:tcW w:w="66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20" w:type="dxa"/>
              <w:bottom w:w="80" w:type="dxa"/>
              <w:right w:w="120" w:type="dxa"/>
            </w:tcMar>
          </w:tcPr>
          <w:p w14:paraId="7578D549" w14:textId="77777777" w:rsidR="0041039B" w:rsidRDefault="0041039B" w:rsidP="0041039B">
            <w:pPr>
              <w:bidi/>
              <w:spacing w:after="40" w:line="320" w:lineRule="auto"/>
            </w:pPr>
            <w:r>
              <w:rPr>
                <w:b/>
                <w:bCs/>
                <w:color w:val="1A4A7A"/>
                <w:sz w:val="21"/>
                <w:szCs w:val="21"/>
              </w:rPr>
              <w:t>الهدف: إجراء مراجعة منهجية شاملة لأدبيات التحول الرقمي (537 مقالاً محكّماً) وتطوير إطار متعدد الطبقات لفهمه.</w:t>
            </w:r>
          </w:p>
          <w:p w14:paraId="379B4F7A" w14:textId="77777777" w:rsidR="0041039B" w:rsidRDefault="0041039B" w:rsidP="0041039B">
            <w:pPr>
              <w:bidi/>
              <w:spacing w:line="320" w:lineRule="auto"/>
            </w:pPr>
            <w:r>
              <w:rPr>
                <w:sz w:val="21"/>
                <w:szCs w:val="21"/>
              </w:rPr>
              <w:t>النتائج: التحول الرقمي يتجاوز مجرد تبني التقنية ليشمل التغيير الجوهري في الاستراتيجية والثقافة والهياكل؛ وأن العوامل التنظيمية الناعمة تلعب دوراً محورياً في نجاحه.</w:t>
            </w:r>
          </w:p>
        </w:tc>
      </w:tr>
      <w:tr w:rsidR="0041039B" w14:paraId="09791197" w14:textId="77777777" w:rsidTr="00CD566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3E6C347" w14:textId="77777777" w:rsidR="0041039B" w:rsidRDefault="0041039B" w:rsidP="0041039B">
            <w:pPr>
              <w:bidi/>
              <w:spacing w:after="40" w:line="320" w:lineRule="auto"/>
            </w:pPr>
            <w:r>
              <w:rPr>
                <w:b/>
                <w:bCs/>
                <w:color w:val="0D3B66"/>
                <w:sz w:val="20"/>
                <w:szCs w:val="20"/>
              </w:rPr>
              <w:t>Zhang &amp; Wang (2024)</w:t>
            </w:r>
          </w:p>
          <w:p w14:paraId="56DE6005" w14:textId="52AD494B" w:rsidR="0041039B" w:rsidRDefault="0041039B" w:rsidP="0041039B">
            <w:pPr>
              <w:bidi/>
              <w:spacing w:line="320" w:lineRule="auto"/>
            </w:pP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C1688DE" w14:textId="77777777" w:rsidR="0041039B" w:rsidRDefault="0041039B" w:rsidP="0041039B">
            <w:pPr>
              <w:bidi/>
              <w:spacing w:after="40" w:line="320" w:lineRule="auto"/>
            </w:pPr>
            <w:r>
              <w:rPr>
                <w:b/>
                <w:bCs/>
                <w:color w:val="1A4A7A"/>
                <w:sz w:val="21"/>
                <w:szCs w:val="21"/>
              </w:rPr>
              <w:t>الهدف: تحليل الأدبيات العلمية المتعلقة بالتحول الرقمي وآثاره الاقتصادية والتنظيمية ببيبليومترية شاملة.</w:t>
            </w:r>
          </w:p>
          <w:p w14:paraId="778D7972" w14:textId="77777777" w:rsidR="0041039B" w:rsidRDefault="0041039B" w:rsidP="0041039B">
            <w:pPr>
              <w:bidi/>
              <w:spacing w:line="320" w:lineRule="auto"/>
            </w:pPr>
            <w:r>
              <w:rPr>
                <w:sz w:val="21"/>
                <w:szCs w:val="21"/>
              </w:rPr>
              <w:t>النتائج: توجد علاقة إيجابية قوية بين التحول الرقمي والأداء المالي والقيمة المؤسسية، مع الحاجة الماسة لدراسات تتناول المتغيرات التنظيمية الوسيطة.</w:t>
            </w:r>
          </w:p>
        </w:tc>
      </w:tr>
    </w:tbl>
    <w:p w14:paraId="04A4750C" w14:textId="77777777" w:rsidR="0041039B" w:rsidRDefault="0041039B" w:rsidP="0041039B">
      <w:pPr>
        <w:bidi/>
        <w:spacing w:before="80"/>
        <w:rPr>
          <w:rtl/>
        </w:rPr>
      </w:pPr>
    </w:p>
    <w:p w14:paraId="5797F95E" w14:textId="77777777" w:rsidR="00E00740" w:rsidRDefault="00E00740" w:rsidP="00E00740">
      <w:pPr>
        <w:bidi/>
        <w:spacing w:before="80"/>
        <w:rPr>
          <w:rtl/>
        </w:rPr>
      </w:pPr>
    </w:p>
    <w:p w14:paraId="3637F194" w14:textId="77777777" w:rsidR="00E00740" w:rsidRDefault="00E00740" w:rsidP="00E00740">
      <w:pPr>
        <w:bidi/>
        <w:spacing w:before="80"/>
      </w:pPr>
    </w:p>
    <w:p w14:paraId="342B00C3" w14:textId="77777777" w:rsidR="0041039B" w:rsidRDefault="0041039B" w:rsidP="0041039B">
      <w:pPr>
        <w:pStyle w:val="Heading2"/>
        <w:bidi/>
        <w:spacing w:line="320" w:lineRule="auto"/>
      </w:pPr>
      <w:r>
        <w:lastRenderedPageBreak/>
        <w:t>ثانياً: الفجوة البحثية</w:t>
      </w:r>
    </w:p>
    <w:p w14:paraId="70C9038A" w14:textId="77777777" w:rsidR="0041039B" w:rsidRDefault="0041039B" w:rsidP="0041039B">
      <w:pPr>
        <w:spacing w:before="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41039B" w14:paraId="13E5400B" w14:textId="77777777" w:rsidTr="00CD566C">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vAlign w:val="center"/>
          </w:tcPr>
          <w:p w14:paraId="6A99C901" w14:textId="77777777" w:rsidR="0041039B" w:rsidRDefault="0041039B" w:rsidP="00E00740">
            <w:pPr>
              <w:bidi/>
              <w:jc w:val="center"/>
            </w:pPr>
            <w:r>
              <w:rPr>
                <w:b/>
                <w:bCs/>
                <w:color w:val="FFFFFF"/>
                <w:sz w:val="22"/>
                <w:szCs w:val="22"/>
              </w:rPr>
              <w:t>الفجوة الأولى</w:t>
            </w:r>
          </w:p>
        </w:tc>
        <w:tc>
          <w:tcPr>
            <w:tcW w:w="68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28C11F94" w14:textId="1B3B9728" w:rsidR="0041039B" w:rsidRDefault="0041039B" w:rsidP="00E00740">
            <w:pPr>
              <w:bidi/>
              <w:jc w:val="center"/>
            </w:pPr>
            <w:r>
              <w:rPr>
                <w:sz w:val="22"/>
                <w:szCs w:val="22"/>
              </w:rPr>
              <w:t>محدودية الدراسات التي تناولت جاهزية التحول الرقمي في الشركات الاستثمارية العائلية تحديداً في البيئة العربية والخليجية، إذ تركزت الدراسات في قطاعات صناعية وخدمية وفي بيئات غربية وآسيوية</w:t>
            </w:r>
          </w:p>
        </w:tc>
      </w:tr>
    </w:tbl>
    <w:p w14:paraId="5CD6A037" w14:textId="77777777" w:rsidR="0041039B" w:rsidRDefault="0041039B" w:rsidP="00E00740">
      <w:pPr>
        <w:bidi/>
        <w:spacing w:before="60"/>
        <w:jc w:val="cente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41039B" w14:paraId="21D3F537" w14:textId="77777777" w:rsidTr="00CD566C">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vAlign w:val="center"/>
          </w:tcPr>
          <w:p w14:paraId="30CD3CFE" w14:textId="77777777" w:rsidR="0041039B" w:rsidRDefault="0041039B" w:rsidP="00E00740">
            <w:pPr>
              <w:bidi/>
              <w:jc w:val="center"/>
            </w:pPr>
            <w:r>
              <w:rPr>
                <w:b/>
                <w:bCs/>
                <w:color w:val="FFFFFF"/>
                <w:sz w:val="22"/>
                <w:szCs w:val="22"/>
              </w:rPr>
              <w:t>الفجوة الثانية</w:t>
            </w:r>
          </w:p>
        </w:tc>
        <w:tc>
          <w:tcPr>
            <w:tcW w:w="6826"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4CA99C09" w14:textId="58228B95" w:rsidR="0041039B" w:rsidRDefault="0041039B" w:rsidP="00E00740">
            <w:pPr>
              <w:bidi/>
              <w:jc w:val="center"/>
            </w:pPr>
            <w:r>
              <w:rPr>
                <w:sz w:val="22"/>
                <w:szCs w:val="22"/>
              </w:rPr>
              <w:t>ندرة الدراسات التي اختبرت الآليات التنظيمية الوسيطة التي تُفسّر كيفية انتقال أثر الجاهزية الرقمية إلى نتائج الأداء، والاكتفاء بالعلاقة المباشرة</w:t>
            </w:r>
          </w:p>
        </w:tc>
      </w:tr>
    </w:tbl>
    <w:p w14:paraId="5B7300B1" w14:textId="77777777" w:rsidR="0041039B" w:rsidRDefault="0041039B" w:rsidP="00E00740">
      <w:pPr>
        <w:bidi/>
        <w:spacing w:before="60"/>
        <w:jc w:val="cente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41039B" w14:paraId="31E9E669" w14:textId="77777777" w:rsidTr="00CD566C">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vAlign w:val="center"/>
          </w:tcPr>
          <w:p w14:paraId="65EE6B9A" w14:textId="77777777" w:rsidR="0041039B" w:rsidRDefault="0041039B" w:rsidP="00E00740">
            <w:pPr>
              <w:bidi/>
              <w:jc w:val="center"/>
            </w:pPr>
            <w:r>
              <w:rPr>
                <w:b/>
                <w:bCs/>
                <w:color w:val="FFFFFF"/>
                <w:sz w:val="22"/>
                <w:szCs w:val="22"/>
              </w:rPr>
              <w:t>الفجوة الثالثة</w:t>
            </w:r>
          </w:p>
        </w:tc>
        <w:tc>
          <w:tcPr>
            <w:tcW w:w="68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06A2E2F8" w14:textId="4051B9DB" w:rsidR="0041039B" w:rsidRDefault="0041039B" w:rsidP="00E00740">
            <w:pPr>
              <w:bidi/>
              <w:jc w:val="center"/>
            </w:pPr>
            <w:r>
              <w:rPr>
                <w:sz w:val="22"/>
                <w:szCs w:val="22"/>
              </w:rPr>
              <w:t>قلة الدراسات التي اختبرت الثقافة التنظيمية بوصفها متغيراً وسيطاً بين جاهزية التحول الرقمي والأداء التنظيمي في سياق الشركات العائلية تحديداً</w:t>
            </w:r>
          </w:p>
        </w:tc>
      </w:tr>
    </w:tbl>
    <w:p w14:paraId="75392B53" w14:textId="77777777" w:rsidR="0041039B" w:rsidRDefault="0041039B" w:rsidP="00E00740">
      <w:pPr>
        <w:bidi/>
        <w:spacing w:before="60"/>
        <w:jc w:val="cente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41039B" w14:paraId="00528366" w14:textId="77777777" w:rsidTr="00CD566C">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vAlign w:val="center"/>
          </w:tcPr>
          <w:p w14:paraId="2D3FFF8C" w14:textId="77777777" w:rsidR="0041039B" w:rsidRDefault="0041039B" w:rsidP="00E00740">
            <w:pPr>
              <w:bidi/>
              <w:jc w:val="center"/>
            </w:pPr>
            <w:r>
              <w:rPr>
                <w:b/>
                <w:bCs/>
                <w:color w:val="FFFFFF"/>
                <w:sz w:val="22"/>
                <w:szCs w:val="22"/>
              </w:rPr>
              <w:t>الفجوة الرابعة</w:t>
            </w:r>
          </w:p>
        </w:tc>
        <w:tc>
          <w:tcPr>
            <w:tcW w:w="6826"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0B3B6306" w14:textId="1A53E186" w:rsidR="0041039B" w:rsidRDefault="0041039B" w:rsidP="00E00740">
            <w:pPr>
              <w:bidi/>
              <w:jc w:val="center"/>
            </w:pPr>
            <w:r>
              <w:rPr>
                <w:sz w:val="22"/>
                <w:szCs w:val="22"/>
              </w:rPr>
              <w:t>غياب الدراسات المحلية التي تواكب التحول الاقتصادي الرقمي الشامل في المملكة العربية السعودية في ظل رؤية 2030 وتوجهاتها الاستراتيجية</w:t>
            </w:r>
          </w:p>
        </w:tc>
      </w:tr>
    </w:tbl>
    <w:p w14:paraId="78878597" w14:textId="77777777" w:rsidR="0041039B" w:rsidRDefault="0041039B" w:rsidP="0041039B">
      <w:pPr>
        <w:bidi/>
        <w:spacing w:before="80"/>
      </w:pPr>
    </w:p>
    <w:p w14:paraId="021CF223" w14:textId="1EFF98CA" w:rsidR="0041039B" w:rsidRDefault="0041039B" w:rsidP="0041039B">
      <w:pPr>
        <w:pBdr>
          <w:right w:val="single" w:sz="20" w:space="0" w:color="00B0F0"/>
        </w:pBdr>
        <w:shd w:val="clear" w:color="auto" w:fill="FFF8E1"/>
        <w:bidi/>
        <w:spacing w:before="100" w:after="100" w:line="320" w:lineRule="auto"/>
        <w:ind w:right="180"/>
      </w:pPr>
      <w:r>
        <w:rPr>
          <w:b/>
          <w:bCs/>
          <w:color w:val="0D3B66"/>
        </w:rPr>
        <w:t>تُسهم الدراسة الحالية في سد هذه الفجوات من خلال نموذج بحثي متكامل يختبر أثر جاهزية التحول الرقمي على الأداء التنظيمي مع الثقافة التنظيمية وسيطاً، في سياق الشركات الاستثمارية العائلية بالمملكة العربية السعودية</w:t>
      </w:r>
    </w:p>
    <w:p w14:paraId="2B81E961" w14:textId="77777777" w:rsidR="0041039B" w:rsidRDefault="0041039B" w:rsidP="0041039B">
      <w:pPr>
        <w:bidi/>
        <w:spacing w:before="120"/>
      </w:pPr>
    </w:p>
    <w:p w14:paraId="31E2FEB7" w14:textId="77777777" w:rsidR="0041039B" w:rsidRDefault="0041039B" w:rsidP="0041039B">
      <w:pPr>
        <w:pStyle w:val="Heading1"/>
        <w:pBdr>
          <w:bottom w:val="single" w:sz="8" w:space="4" w:color="00B0F0"/>
        </w:pBdr>
        <w:bidi/>
        <w:spacing w:line="320" w:lineRule="auto"/>
      </w:pPr>
      <w:r>
        <w:t>تاسعاً: حدود الدراسة</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7026"/>
      </w:tblGrid>
      <w:tr w:rsidR="0041039B" w14:paraId="6895D727" w14:textId="77777777" w:rsidTr="00CD566C">
        <w:tc>
          <w:tcPr>
            <w:tcW w:w="20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6C52801B" w14:textId="77777777" w:rsidR="0041039B" w:rsidRDefault="0041039B" w:rsidP="0041039B">
            <w:pPr>
              <w:bidi/>
            </w:pPr>
            <w:r>
              <w:rPr>
                <w:b/>
                <w:bCs/>
                <w:color w:val="FFFFFF"/>
                <w:sz w:val="22"/>
                <w:szCs w:val="22"/>
              </w:rPr>
              <w:t>نوع الحد</w:t>
            </w:r>
          </w:p>
        </w:tc>
        <w:tc>
          <w:tcPr>
            <w:tcW w:w="7026"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34096C8B" w14:textId="77777777" w:rsidR="0041039B" w:rsidRDefault="0041039B" w:rsidP="0041039B">
            <w:pPr>
              <w:bidi/>
            </w:pPr>
            <w:r>
              <w:rPr>
                <w:b/>
                <w:bCs/>
                <w:color w:val="FFFFFF"/>
                <w:sz w:val="22"/>
                <w:szCs w:val="22"/>
              </w:rPr>
              <w:t>التفصيل</w:t>
            </w:r>
          </w:p>
        </w:tc>
      </w:tr>
      <w:tr w:rsidR="0041039B" w14:paraId="60BFCB5F" w14:textId="77777777" w:rsidTr="00CD566C">
        <w:tc>
          <w:tcPr>
            <w:tcW w:w="20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576BD805" w14:textId="77777777" w:rsidR="0041039B" w:rsidRDefault="0041039B" w:rsidP="0041039B">
            <w:pPr>
              <w:bidi/>
            </w:pPr>
            <w:r>
              <w:rPr>
                <w:b/>
                <w:bCs/>
                <w:color w:val="0D3B66"/>
                <w:sz w:val="22"/>
                <w:szCs w:val="22"/>
              </w:rPr>
              <w:t>الحدود الموضوعية</w:t>
            </w:r>
          </w:p>
        </w:tc>
        <w:tc>
          <w:tcPr>
            <w:tcW w:w="70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5F4B2463" w14:textId="102C1AA1" w:rsidR="0041039B" w:rsidRDefault="0041039B" w:rsidP="0041039B">
            <w:pPr>
              <w:bidi/>
            </w:pPr>
            <w:r>
              <w:rPr>
                <w:sz w:val="22"/>
                <w:szCs w:val="22"/>
              </w:rPr>
              <w:t>تقتصر الدراسة على أثر جاهزية التحول الرقمي بأبعادها الأربعة (الاستراتيجية، التقنية، البشرية، التنظيمية) على الأداء التنظيمي بأبعاده الخمسة من خلال الدور الوسيط للثقافة التنظيمية بأبعادها الأربعة</w:t>
            </w:r>
          </w:p>
        </w:tc>
      </w:tr>
      <w:tr w:rsidR="0041039B" w14:paraId="62CAA31A" w14:textId="77777777" w:rsidTr="00CD566C">
        <w:tc>
          <w:tcPr>
            <w:tcW w:w="20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38E9DA72" w14:textId="77777777" w:rsidR="0041039B" w:rsidRDefault="0041039B" w:rsidP="0041039B">
            <w:pPr>
              <w:bidi/>
            </w:pPr>
            <w:r>
              <w:rPr>
                <w:b/>
                <w:bCs/>
                <w:color w:val="0D3B66"/>
                <w:sz w:val="22"/>
                <w:szCs w:val="22"/>
              </w:rPr>
              <w:t>الحدود المكانية</w:t>
            </w:r>
          </w:p>
        </w:tc>
        <w:tc>
          <w:tcPr>
            <w:tcW w:w="7026"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7E6E2692" w14:textId="0706484A" w:rsidR="0041039B" w:rsidRDefault="0041039B" w:rsidP="0041039B">
            <w:pPr>
              <w:bidi/>
            </w:pPr>
            <w:r>
              <w:rPr>
                <w:sz w:val="22"/>
                <w:szCs w:val="22"/>
              </w:rPr>
              <w:t>الشركات الاستثمارية العائلية العاملة في المملكة العربية السعودية</w:t>
            </w:r>
          </w:p>
        </w:tc>
      </w:tr>
      <w:tr w:rsidR="0041039B" w14:paraId="4D20C0DA" w14:textId="77777777" w:rsidTr="00CD566C">
        <w:tc>
          <w:tcPr>
            <w:tcW w:w="20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12E00439" w14:textId="77777777" w:rsidR="0041039B" w:rsidRDefault="0041039B" w:rsidP="0041039B">
            <w:pPr>
              <w:bidi/>
            </w:pPr>
            <w:r>
              <w:rPr>
                <w:b/>
                <w:bCs/>
                <w:color w:val="0D3B66"/>
                <w:sz w:val="22"/>
                <w:szCs w:val="22"/>
              </w:rPr>
              <w:t>الحدود الزمانية</w:t>
            </w:r>
          </w:p>
        </w:tc>
        <w:tc>
          <w:tcPr>
            <w:tcW w:w="70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370EC823" w14:textId="17100265" w:rsidR="0041039B" w:rsidRDefault="0041039B" w:rsidP="0041039B">
            <w:pPr>
              <w:bidi/>
            </w:pPr>
            <w:r>
              <w:rPr>
                <w:sz w:val="22"/>
                <w:szCs w:val="22"/>
              </w:rPr>
              <w:t>الفترة الزمنية 2026 – 2027م</w:t>
            </w:r>
          </w:p>
        </w:tc>
      </w:tr>
      <w:tr w:rsidR="0041039B" w14:paraId="587B2F42" w14:textId="77777777" w:rsidTr="00CD566C">
        <w:tc>
          <w:tcPr>
            <w:tcW w:w="20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7C9358BD" w14:textId="77777777" w:rsidR="0041039B" w:rsidRDefault="0041039B" w:rsidP="0041039B">
            <w:pPr>
              <w:bidi/>
            </w:pPr>
            <w:r>
              <w:rPr>
                <w:b/>
                <w:bCs/>
                <w:color w:val="0D3B66"/>
                <w:sz w:val="22"/>
                <w:szCs w:val="22"/>
              </w:rPr>
              <w:t>الحدود البشرية</w:t>
            </w:r>
          </w:p>
        </w:tc>
        <w:tc>
          <w:tcPr>
            <w:tcW w:w="7026"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3BC039EE" w14:textId="5C38A96B" w:rsidR="0041039B" w:rsidRDefault="0041039B" w:rsidP="0041039B">
            <w:pPr>
              <w:bidi/>
            </w:pPr>
            <w:r>
              <w:rPr>
                <w:sz w:val="22"/>
                <w:szCs w:val="22"/>
              </w:rPr>
              <w:t>القيادات التنفيذية والإدارات العليا والوسطى والعاملون ذوو العلاقة بمبادرات التحول الرقمي داخل الشركات الاستثمارية العائلية</w:t>
            </w:r>
          </w:p>
        </w:tc>
      </w:tr>
    </w:tbl>
    <w:p w14:paraId="08D0E1FA" w14:textId="77777777" w:rsidR="0041039B" w:rsidRDefault="0041039B" w:rsidP="0041039B">
      <w:pPr>
        <w:bidi/>
        <w:spacing w:before="120"/>
      </w:pPr>
    </w:p>
    <w:p w14:paraId="5079F5FB" w14:textId="77777777" w:rsidR="0041039B" w:rsidRDefault="0041039B" w:rsidP="0041039B">
      <w:pPr>
        <w:pStyle w:val="Heading1"/>
        <w:pBdr>
          <w:bottom w:val="single" w:sz="8" w:space="4" w:color="00B0F0"/>
        </w:pBdr>
        <w:bidi/>
        <w:spacing w:line="320" w:lineRule="auto"/>
      </w:pPr>
      <w:r>
        <w:lastRenderedPageBreak/>
        <w:t>عاشراً: إجراءات ومنهجية الدراسة</w:t>
      </w:r>
    </w:p>
    <w:p w14:paraId="71DE86EE" w14:textId="77777777" w:rsidR="0041039B" w:rsidRDefault="0041039B" w:rsidP="0041039B">
      <w:pPr>
        <w:pStyle w:val="Heading2"/>
        <w:bidi/>
        <w:spacing w:line="320" w:lineRule="auto"/>
      </w:pPr>
      <w:r>
        <w:t>منهج الدراسة</w:t>
      </w:r>
    </w:p>
    <w:p w14:paraId="00EB561F" w14:textId="04C847B7" w:rsidR="0041039B" w:rsidRDefault="0041039B" w:rsidP="0041039B">
      <w:pPr>
        <w:bidi/>
        <w:spacing w:before="80" w:after="80" w:line="360" w:lineRule="auto"/>
      </w:pPr>
      <w:r>
        <w:t>تعتمد الدراسة على المنهج الوصفي التحليلي لملاءمته لدراسة العلاقات بين المتغيرات واختبار الفرضيات، مستندةً إلى المدخل الكمي القائم على الاستبانة أداةً لجمع البيانات</w:t>
      </w:r>
    </w:p>
    <w:p w14:paraId="5F5387E6" w14:textId="77777777" w:rsidR="0041039B" w:rsidRDefault="0041039B" w:rsidP="0041039B">
      <w:pPr>
        <w:pStyle w:val="Heading2"/>
        <w:bidi/>
        <w:spacing w:line="320" w:lineRule="auto"/>
      </w:pPr>
      <w:r>
        <w:t>مجتمع الدراسة وعينتها</w:t>
      </w:r>
    </w:p>
    <w:p w14:paraId="22917BF1" w14:textId="1273E2CB" w:rsidR="0041039B" w:rsidRDefault="0041039B" w:rsidP="0041039B">
      <w:pPr>
        <w:bidi/>
        <w:spacing w:before="80" w:after="80" w:line="360" w:lineRule="auto"/>
      </w:pPr>
      <w:r>
        <w:t>يتكون مجتمع الدراسة من الشركات الاستثمارية العائلية العاملة في المملكة العربية السعودية، ويُقصد بها الشركات التي تمتلكها أو تديرها عائلات سعودية وتمارس أنشطة استثمارية في قطاعات متعددة. وسيتم استخدام العينة العشوائية الطبقية من القيادات الإدارية في المستويات العليا والوسطى، ومن المتوقع أن يتراوح حجم العينة بين 300 و400 مفردة وفق متطلبات نماذج المعادلات الهيكلية (SEM)</w:t>
      </w:r>
    </w:p>
    <w:p w14:paraId="424C9562" w14:textId="77777777" w:rsidR="0041039B" w:rsidRDefault="0041039B" w:rsidP="0041039B">
      <w:pPr>
        <w:pStyle w:val="Heading2"/>
        <w:bidi/>
        <w:spacing w:line="320" w:lineRule="auto"/>
      </w:pPr>
      <w:r>
        <w:t>أداة الدراسة</w:t>
      </w:r>
    </w:p>
    <w:p w14:paraId="0F0B995C" w14:textId="02D038C7" w:rsidR="0041039B" w:rsidRDefault="0041039B" w:rsidP="0041039B">
      <w:pPr>
        <w:bidi/>
        <w:spacing w:before="80" w:after="80" w:line="360" w:lineRule="auto"/>
      </w:pPr>
      <w:r>
        <w:t>تعتمد الدراسة على استبانة إلكترونية تتكون من أربعة أقسام</w:t>
      </w:r>
    </w:p>
    <w:p w14:paraId="4B072035" w14:textId="091ED229" w:rsidR="0041039B" w:rsidRDefault="0041039B" w:rsidP="00E00740">
      <w:pPr>
        <w:pStyle w:val="ListParagraph"/>
        <w:numPr>
          <w:ilvl w:val="0"/>
          <w:numId w:val="3"/>
        </w:numPr>
        <w:bidi/>
        <w:spacing w:before="60" w:after="60" w:line="320" w:lineRule="auto"/>
      </w:pPr>
      <w:r>
        <w:t>البيانات الديموغرافية</w:t>
      </w:r>
    </w:p>
    <w:p w14:paraId="6B6B7D86" w14:textId="0ED31572" w:rsidR="0041039B" w:rsidRDefault="0041039B" w:rsidP="00E00740">
      <w:pPr>
        <w:pStyle w:val="ListParagraph"/>
        <w:numPr>
          <w:ilvl w:val="0"/>
          <w:numId w:val="3"/>
        </w:numPr>
        <w:bidi/>
        <w:spacing w:before="60" w:after="60" w:line="320" w:lineRule="auto"/>
      </w:pPr>
      <w:r>
        <w:t>مقياس جاهزية التحول الرقمي (مُطوَّر من أدبيات Lokuge &amp; Duan, 2023; Gonzalez-Varona et al., 2024)</w:t>
      </w:r>
    </w:p>
    <w:p w14:paraId="15BB6994" w14:textId="52EA5EBA" w:rsidR="0041039B" w:rsidRDefault="0041039B" w:rsidP="00E00740">
      <w:pPr>
        <w:pStyle w:val="ListParagraph"/>
        <w:numPr>
          <w:ilvl w:val="0"/>
          <w:numId w:val="3"/>
        </w:numPr>
        <w:bidi/>
        <w:spacing w:before="60" w:after="60" w:line="320" w:lineRule="auto"/>
      </w:pPr>
      <w:r>
        <w:t>مقياس الثقافة التنظيمية (مُطوَّر من Jewapatarakul &amp; Ueasangkomsate, 2024)</w:t>
      </w:r>
    </w:p>
    <w:p w14:paraId="51CE1BD2" w14:textId="664F1A80" w:rsidR="0041039B" w:rsidRDefault="0041039B" w:rsidP="00E00740">
      <w:pPr>
        <w:pStyle w:val="ListParagraph"/>
        <w:numPr>
          <w:ilvl w:val="0"/>
          <w:numId w:val="3"/>
        </w:numPr>
        <w:bidi/>
        <w:spacing w:before="60" w:after="60" w:line="320" w:lineRule="auto"/>
      </w:pPr>
      <w:r>
        <w:t>مقياس الأداء التنظيمي (مُطوَّر من Amankona et al., 2025)</w:t>
      </w:r>
    </w:p>
    <w:p w14:paraId="6B0E24F2" w14:textId="3C19AD40" w:rsidR="0041039B" w:rsidRDefault="0041039B" w:rsidP="0041039B">
      <w:pPr>
        <w:bidi/>
        <w:spacing w:before="80" w:after="80" w:line="360" w:lineRule="auto"/>
      </w:pPr>
      <w:r>
        <w:t>وسيتم استخدام مقياس ليكرت الخماسي في جميع أقسام الاستبانة</w:t>
      </w:r>
    </w:p>
    <w:p w14:paraId="18AC5A11" w14:textId="77777777" w:rsidR="0041039B" w:rsidRDefault="0041039B" w:rsidP="0041039B">
      <w:pPr>
        <w:pStyle w:val="Heading2"/>
        <w:bidi/>
        <w:spacing w:line="320" w:lineRule="auto"/>
      </w:pPr>
      <w:r>
        <w:t>الصدق والثبات</w:t>
      </w:r>
    </w:p>
    <w:p w14:paraId="27080549" w14:textId="401831BD" w:rsidR="0041039B" w:rsidRDefault="0041039B" w:rsidP="0041039B">
      <w:pPr>
        <w:pStyle w:val="ListParagraph"/>
        <w:numPr>
          <w:ilvl w:val="0"/>
          <w:numId w:val="1"/>
        </w:numPr>
        <w:bidi/>
        <w:spacing w:before="60" w:after="60" w:line="320" w:lineRule="auto"/>
        <w:contextualSpacing w:val="0"/>
      </w:pPr>
      <w:r>
        <w:t>الصدق الظاهري: بعرض الاستبانة على محكّمين متخصصين</w:t>
      </w:r>
    </w:p>
    <w:p w14:paraId="79BF8374" w14:textId="7B38F00E" w:rsidR="0041039B" w:rsidRDefault="0041039B" w:rsidP="0041039B">
      <w:pPr>
        <w:pStyle w:val="ListParagraph"/>
        <w:numPr>
          <w:ilvl w:val="0"/>
          <w:numId w:val="1"/>
        </w:numPr>
        <w:bidi/>
        <w:spacing w:before="60" w:after="60" w:line="320" w:lineRule="auto"/>
        <w:contextualSpacing w:val="0"/>
      </w:pPr>
      <w:r>
        <w:t>الصدق البنائي والتقاربي: عبر التحليل العاملي التوكيدي (CFA) ومتوسط التباين المستخرج (AVE)</w:t>
      </w:r>
    </w:p>
    <w:p w14:paraId="4322F359" w14:textId="525E4577" w:rsidR="0041039B" w:rsidRDefault="0041039B" w:rsidP="0041039B">
      <w:pPr>
        <w:pStyle w:val="ListParagraph"/>
        <w:numPr>
          <w:ilvl w:val="0"/>
          <w:numId w:val="1"/>
        </w:numPr>
        <w:bidi/>
        <w:spacing w:before="60" w:after="60" w:line="320" w:lineRule="auto"/>
        <w:contextualSpacing w:val="0"/>
      </w:pPr>
      <w:r>
        <w:t>الصدق التمييزي: بمقارنة AVE بمربع معاملات الارتباط بين المتغيرات</w:t>
      </w:r>
    </w:p>
    <w:p w14:paraId="2EDE8110" w14:textId="059BD427" w:rsidR="0041039B" w:rsidRDefault="0041039B" w:rsidP="0041039B">
      <w:pPr>
        <w:pStyle w:val="ListParagraph"/>
        <w:numPr>
          <w:ilvl w:val="0"/>
          <w:numId w:val="1"/>
        </w:numPr>
        <w:bidi/>
        <w:spacing w:before="60" w:after="60" w:line="320" w:lineRule="auto"/>
        <w:contextualSpacing w:val="0"/>
      </w:pPr>
      <w:r>
        <w:t>الثبات: باستخدام كرونباخ ألفا والثبات المركب (Composite Reliability)</w:t>
      </w:r>
    </w:p>
    <w:p w14:paraId="290A1396" w14:textId="77777777" w:rsidR="0041039B" w:rsidRDefault="0041039B" w:rsidP="0041039B">
      <w:pPr>
        <w:pStyle w:val="Heading2"/>
        <w:bidi/>
        <w:spacing w:line="320" w:lineRule="auto"/>
      </w:pPr>
      <w:r>
        <w:t>المعالجات الإحصائية المقترحة</w:t>
      </w:r>
    </w:p>
    <w:p w14:paraId="029E33FE" w14:textId="500674CE" w:rsidR="0041039B" w:rsidRDefault="0041039B" w:rsidP="0041039B">
      <w:pPr>
        <w:bidi/>
        <w:spacing w:before="80" w:after="80" w:line="360" w:lineRule="auto"/>
      </w:pPr>
      <w:r>
        <w:t>سيتم استخدام  SPSS وSmartPLS/AMOS لإجراء المعالجات الآتية</w:t>
      </w:r>
    </w:p>
    <w:p w14:paraId="0A3D4A3A" w14:textId="48012136" w:rsidR="0041039B" w:rsidRDefault="0041039B" w:rsidP="00E00740">
      <w:pPr>
        <w:bidi/>
        <w:spacing w:before="60" w:after="60" w:line="320" w:lineRule="auto"/>
        <w:ind w:left="567"/>
      </w:pPr>
      <w:r>
        <w:t>التكرارات والنسب المئوية والإحصاء الوصفي</w:t>
      </w:r>
    </w:p>
    <w:p w14:paraId="6C555A54" w14:textId="2706B958" w:rsidR="0041039B" w:rsidRDefault="0041039B" w:rsidP="00E00740">
      <w:pPr>
        <w:bidi/>
        <w:spacing w:before="60" w:after="60" w:line="320" w:lineRule="auto"/>
        <w:ind w:left="567"/>
      </w:pPr>
      <w:r>
        <w:t>المتوسطات الحسابية والانحرافات المعيارية</w:t>
      </w:r>
    </w:p>
    <w:p w14:paraId="21772F63" w14:textId="269B187A" w:rsidR="0041039B" w:rsidRDefault="0041039B" w:rsidP="00E00740">
      <w:pPr>
        <w:bidi/>
        <w:spacing w:before="60" w:after="60" w:line="320" w:lineRule="auto"/>
        <w:ind w:left="567"/>
      </w:pPr>
      <w:r>
        <w:t>اختبار كرونباخ ألفا والثبات المركب (CR)</w:t>
      </w:r>
    </w:p>
    <w:p w14:paraId="74619C4A" w14:textId="6D6714EF" w:rsidR="0041039B" w:rsidRDefault="0041039B" w:rsidP="00E00740">
      <w:pPr>
        <w:bidi/>
        <w:spacing w:before="60" w:after="60" w:line="320" w:lineRule="auto"/>
        <w:ind w:left="567"/>
      </w:pPr>
      <w:r>
        <w:t>متوسط التباين المستخرج (AVE)</w:t>
      </w:r>
    </w:p>
    <w:p w14:paraId="5FB5ACFB" w14:textId="047C6C76" w:rsidR="0041039B" w:rsidRDefault="0041039B" w:rsidP="00E00740">
      <w:pPr>
        <w:bidi/>
        <w:spacing w:before="60" w:after="60" w:line="320" w:lineRule="auto"/>
        <w:ind w:left="567"/>
      </w:pPr>
      <w:r>
        <w:lastRenderedPageBreak/>
        <w:t>التحليل العاملي الاستكشافي (EFA)</w:t>
      </w:r>
    </w:p>
    <w:p w14:paraId="57B9FAD0" w14:textId="4D0CF0BD" w:rsidR="0041039B" w:rsidRDefault="0041039B" w:rsidP="00E00740">
      <w:pPr>
        <w:bidi/>
        <w:spacing w:before="60" w:after="60" w:line="320" w:lineRule="auto"/>
        <w:ind w:left="567"/>
      </w:pPr>
      <w:r>
        <w:t>التحليل العاملي التوكيدي (CFA)</w:t>
      </w:r>
    </w:p>
    <w:p w14:paraId="14D7F168" w14:textId="5AC184B5" w:rsidR="0041039B" w:rsidRDefault="0041039B" w:rsidP="00E00740">
      <w:pPr>
        <w:bidi/>
        <w:spacing w:before="60" w:after="60" w:line="320" w:lineRule="auto"/>
        <w:ind w:left="567"/>
      </w:pPr>
      <w:r>
        <w:t>نمذجة المعادلات الهيكلية (SEM)</w:t>
      </w:r>
    </w:p>
    <w:p w14:paraId="3B54CF37" w14:textId="5444496C" w:rsidR="0041039B" w:rsidRDefault="0041039B" w:rsidP="00E00740">
      <w:pPr>
        <w:bidi/>
        <w:spacing w:before="60" w:after="60" w:line="320" w:lineRule="auto"/>
        <w:ind w:left="567"/>
      </w:pPr>
      <w:r>
        <w:t>تحليل المسارات (Path Analysis)</w:t>
      </w:r>
    </w:p>
    <w:p w14:paraId="3F9E3FCE" w14:textId="4BB75BA9" w:rsidR="0041039B" w:rsidRDefault="0041039B" w:rsidP="00E00740">
      <w:pPr>
        <w:bidi/>
        <w:spacing w:before="60" w:after="60" w:line="320" w:lineRule="auto"/>
        <w:ind w:left="567"/>
      </w:pPr>
      <w:r>
        <w:t>اختبار الوساطة باستخدام Bootstrap (5000 عينة)</w:t>
      </w:r>
    </w:p>
    <w:p w14:paraId="35029EF9" w14:textId="1A83C208" w:rsidR="0041039B" w:rsidRDefault="0041039B" w:rsidP="00E00740">
      <w:pPr>
        <w:bidi/>
        <w:spacing w:before="60" w:after="60" w:line="320" w:lineRule="auto"/>
        <w:ind w:left="567"/>
      </w:pPr>
      <w:r>
        <w:t>اختبار جودة النموذج ومؤشرات المطابقة (GFI, CFI, RMSEA)</w:t>
      </w:r>
    </w:p>
    <w:p w14:paraId="409987D4" w14:textId="77777777" w:rsidR="0041039B" w:rsidRDefault="0041039B" w:rsidP="0041039B">
      <w:pPr>
        <w:bidi/>
        <w:spacing w:before="120"/>
      </w:pPr>
    </w:p>
    <w:p w14:paraId="5CFCB3E5" w14:textId="77777777" w:rsidR="0041039B" w:rsidRDefault="0041039B" w:rsidP="0041039B">
      <w:pPr>
        <w:pStyle w:val="Heading1"/>
        <w:pBdr>
          <w:bottom w:val="single" w:sz="8" w:space="4" w:color="00B0F0"/>
        </w:pBdr>
        <w:bidi/>
        <w:spacing w:line="320" w:lineRule="auto"/>
      </w:pPr>
      <w:r>
        <w:t>الحادي عشر: وسائل جمع البيانات</w:t>
      </w:r>
    </w:p>
    <w:p w14:paraId="658E36E6" w14:textId="77777777" w:rsidR="0041039B" w:rsidRDefault="0041039B" w:rsidP="0041039B">
      <w:pPr>
        <w:pStyle w:val="Heading2"/>
        <w:bidi/>
        <w:spacing w:line="320" w:lineRule="auto"/>
      </w:pPr>
      <w:r>
        <w:t>أولاً: المصادر الثانوية</w:t>
      </w:r>
    </w:p>
    <w:p w14:paraId="1BDD062D" w14:textId="22BBDB1B" w:rsidR="0041039B" w:rsidRDefault="0041039B" w:rsidP="0041039B">
      <w:pPr>
        <w:pStyle w:val="ListParagraph"/>
        <w:numPr>
          <w:ilvl w:val="0"/>
          <w:numId w:val="1"/>
        </w:numPr>
        <w:bidi/>
        <w:spacing w:before="60" w:after="60" w:line="320" w:lineRule="auto"/>
        <w:contextualSpacing w:val="0"/>
      </w:pPr>
      <w:r>
        <w:t>الكتب العلمية المتخصصة في التحول الرقمي وإدارة الأعمال</w:t>
      </w:r>
    </w:p>
    <w:p w14:paraId="0942A00D" w14:textId="1BD14D3D" w:rsidR="0041039B" w:rsidRDefault="0041039B" w:rsidP="0041039B">
      <w:pPr>
        <w:pStyle w:val="ListParagraph"/>
        <w:numPr>
          <w:ilvl w:val="0"/>
          <w:numId w:val="1"/>
        </w:numPr>
        <w:bidi/>
        <w:spacing w:before="60" w:after="60" w:line="320" w:lineRule="auto"/>
        <w:contextualSpacing w:val="0"/>
      </w:pPr>
      <w:r>
        <w:t>الرسائل العلمية ذات الصلة</w:t>
      </w:r>
    </w:p>
    <w:p w14:paraId="5C02D2EF" w14:textId="478CDA00" w:rsidR="0041039B" w:rsidRDefault="0041039B" w:rsidP="0041039B">
      <w:pPr>
        <w:pStyle w:val="ListParagraph"/>
        <w:numPr>
          <w:ilvl w:val="0"/>
          <w:numId w:val="1"/>
        </w:numPr>
        <w:bidi/>
        <w:spacing w:before="60" w:after="60" w:line="320" w:lineRule="auto"/>
        <w:contextualSpacing w:val="0"/>
      </w:pPr>
      <w:r>
        <w:t>الدوريات المحكمة عبر قواعد البيانات (Scopus, Web of Science, EBSCO)</w:t>
      </w:r>
    </w:p>
    <w:p w14:paraId="73630E36" w14:textId="01941EBA" w:rsidR="0041039B" w:rsidRDefault="0041039B" w:rsidP="0041039B">
      <w:pPr>
        <w:pStyle w:val="ListParagraph"/>
        <w:numPr>
          <w:ilvl w:val="0"/>
          <w:numId w:val="1"/>
        </w:numPr>
        <w:bidi/>
        <w:spacing w:before="60" w:after="60" w:line="320" w:lineRule="auto"/>
        <w:contextualSpacing w:val="0"/>
      </w:pPr>
      <w:r>
        <w:t>التقارير الحكومية والمهنية المتعلقة بالتحول الرقمي في المملكة العربية السعودية</w:t>
      </w:r>
    </w:p>
    <w:p w14:paraId="3A252355" w14:textId="2A6B6830" w:rsidR="0041039B" w:rsidRDefault="0041039B" w:rsidP="0041039B">
      <w:pPr>
        <w:pStyle w:val="ListParagraph"/>
        <w:numPr>
          <w:ilvl w:val="0"/>
          <w:numId w:val="1"/>
        </w:numPr>
        <w:bidi/>
        <w:spacing w:before="60" w:after="60" w:line="320" w:lineRule="auto"/>
        <w:contextualSpacing w:val="0"/>
      </w:pPr>
      <w:r>
        <w:t>إحصائيات المركز الوطني للمنشآت العائلية ووزارة الاتصالات وتقنية المعلومات</w:t>
      </w:r>
    </w:p>
    <w:p w14:paraId="3DC93524" w14:textId="77777777" w:rsidR="0041039B" w:rsidRDefault="0041039B" w:rsidP="0041039B">
      <w:pPr>
        <w:pStyle w:val="Heading2"/>
        <w:bidi/>
        <w:spacing w:line="320" w:lineRule="auto"/>
      </w:pPr>
      <w:r>
        <w:t>ثانياً: المصادر الأولية</w:t>
      </w:r>
    </w:p>
    <w:p w14:paraId="6B0887EF" w14:textId="7588D021" w:rsidR="0041039B" w:rsidRDefault="0041039B" w:rsidP="0041039B">
      <w:pPr>
        <w:bidi/>
        <w:spacing w:before="80" w:after="80" w:line="360" w:lineRule="auto"/>
      </w:pPr>
      <w:r>
        <w:t>تتمثل في الاستبانة الإلكترونية المُعدّة خصيصاً لهذه الدراسة، والمُطوَّرة بالاستناد إلى المقاييس المستخدمة في الدراسات السابقة المحكّمة، وتوجيهها إلى القيادات والعاملين في الشركات الاستثمارية العائلية بالمملكة العربية السعودية</w:t>
      </w:r>
    </w:p>
    <w:p w14:paraId="4153BE35" w14:textId="77777777" w:rsidR="0041039B" w:rsidRDefault="0041039B" w:rsidP="0041039B">
      <w:pPr>
        <w:bidi/>
        <w:spacing w:before="120"/>
      </w:pPr>
    </w:p>
    <w:p w14:paraId="44B4BDC3" w14:textId="77777777" w:rsidR="0041039B" w:rsidRDefault="0041039B" w:rsidP="0041039B">
      <w:pPr>
        <w:pStyle w:val="Heading1"/>
        <w:pBdr>
          <w:bottom w:val="single" w:sz="8" w:space="4" w:color="00B0F0"/>
        </w:pBdr>
        <w:bidi/>
        <w:spacing w:line="320" w:lineRule="auto"/>
      </w:pPr>
      <w:r>
        <w:t>الثاني عشر: خطوات تنفيذ خطة الدراسة</w:t>
      </w:r>
    </w:p>
    <w:p w14:paraId="64E0B8C1" w14:textId="77777777" w:rsidR="0041039B" w:rsidRDefault="0041039B" w:rsidP="0041039B">
      <w:pPr>
        <w:pStyle w:val="Heading2"/>
        <w:bidi/>
        <w:spacing w:line="320" w:lineRule="auto"/>
      </w:pPr>
      <w:r>
        <w:t>المرحلة الأولى: إعداد الخطة البحثية</w:t>
      </w:r>
    </w:p>
    <w:p w14:paraId="1C1CB8EE" w14:textId="1CA56D67" w:rsidR="0041039B" w:rsidRDefault="0041039B" w:rsidP="0041039B">
      <w:pPr>
        <w:pStyle w:val="ListParagraph"/>
        <w:numPr>
          <w:ilvl w:val="0"/>
          <w:numId w:val="1"/>
        </w:numPr>
        <w:bidi/>
        <w:spacing w:before="60" w:after="60" w:line="320" w:lineRule="auto"/>
        <w:contextualSpacing w:val="0"/>
      </w:pPr>
      <w:r>
        <w:t>تحديد موضوع الدراسة وصياغة عنوانها النهائي</w:t>
      </w:r>
    </w:p>
    <w:p w14:paraId="14EF3CC2" w14:textId="1162B767" w:rsidR="0041039B" w:rsidRDefault="0041039B" w:rsidP="0041039B">
      <w:pPr>
        <w:pStyle w:val="ListParagraph"/>
        <w:numPr>
          <w:ilvl w:val="0"/>
          <w:numId w:val="1"/>
        </w:numPr>
        <w:bidi/>
        <w:spacing w:before="60" w:after="60" w:line="320" w:lineRule="auto"/>
        <w:contextualSpacing w:val="0"/>
      </w:pPr>
      <w:r>
        <w:t>مراجعة الأدبيات والدراسات السابقة ذات العلاقة</w:t>
      </w:r>
    </w:p>
    <w:p w14:paraId="38FA9E17" w14:textId="132299A0" w:rsidR="0041039B" w:rsidRDefault="0041039B" w:rsidP="0041039B">
      <w:pPr>
        <w:pStyle w:val="ListParagraph"/>
        <w:numPr>
          <w:ilvl w:val="0"/>
          <w:numId w:val="1"/>
        </w:numPr>
        <w:bidi/>
        <w:spacing w:before="60" w:after="60" w:line="320" w:lineRule="auto"/>
        <w:contextualSpacing w:val="0"/>
      </w:pPr>
      <w:r>
        <w:t>بناء النموذج النظري وصياغة الفرضيات</w:t>
      </w:r>
    </w:p>
    <w:p w14:paraId="018FBA5E" w14:textId="316C533C" w:rsidR="0041039B" w:rsidRDefault="0041039B" w:rsidP="0041039B">
      <w:pPr>
        <w:pStyle w:val="ListParagraph"/>
        <w:numPr>
          <w:ilvl w:val="0"/>
          <w:numId w:val="1"/>
        </w:numPr>
        <w:bidi/>
        <w:spacing w:before="60" w:after="60" w:line="320" w:lineRule="auto"/>
        <w:contextualSpacing w:val="0"/>
      </w:pPr>
      <w:r>
        <w:t>رفع الخطة البحثية لاعتماد لجنة المراجعة</w:t>
      </w:r>
    </w:p>
    <w:p w14:paraId="01ED4BBE" w14:textId="77777777" w:rsidR="0041039B" w:rsidRDefault="0041039B" w:rsidP="0041039B">
      <w:pPr>
        <w:pStyle w:val="Heading2"/>
        <w:bidi/>
        <w:spacing w:line="320" w:lineRule="auto"/>
      </w:pPr>
      <w:r>
        <w:t>المرحلة الثانية: تطوير أداة الدراسة</w:t>
      </w:r>
    </w:p>
    <w:p w14:paraId="077F7638" w14:textId="23C202E9" w:rsidR="0041039B" w:rsidRDefault="0041039B" w:rsidP="0041039B">
      <w:pPr>
        <w:pStyle w:val="ListParagraph"/>
        <w:numPr>
          <w:ilvl w:val="0"/>
          <w:numId w:val="1"/>
        </w:numPr>
        <w:bidi/>
        <w:spacing w:before="60" w:after="60" w:line="320" w:lineRule="auto"/>
        <w:contextualSpacing w:val="0"/>
      </w:pPr>
      <w:r>
        <w:t>بناء الاستبانة بناءً على المقاييس المحكّمة في الأدبيات</w:t>
      </w:r>
    </w:p>
    <w:p w14:paraId="3FE6F82D" w14:textId="64F65D83" w:rsidR="0041039B" w:rsidRDefault="0041039B" w:rsidP="0041039B">
      <w:pPr>
        <w:pStyle w:val="ListParagraph"/>
        <w:numPr>
          <w:ilvl w:val="0"/>
          <w:numId w:val="1"/>
        </w:numPr>
        <w:bidi/>
        <w:spacing w:before="60" w:after="60" w:line="320" w:lineRule="auto"/>
        <w:contextualSpacing w:val="0"/>
      </w:pPr>
      <w:r>
        <w:lastRenderedPageBreak/>
        <w:t>عرضها على المحكّمين للتحقق من الصدق الظاهري</w:t>
      </w:r>
    </w:p>
    <w:p w14:paraId="1ACBBFE5" w14:textId="5A6E659F" w:rsidR="0041039B" w:rsidRDefault="0041039B" w:rsidP="0041039B">
      <w:pPr>
        <w:pStyle w:val="ListParagraph"/>
        <w:numPr>
          <w:ilvl w:val="0"/>
          <w:numId w:val="1"/>
        </w:numPr>
        <w:bidi/>
        <w:spacing w:before="60" w:after="60" w:line="320" w:lineRule="auto"/>
        <w:contextualSpacing w:val="0"/>
      </w:pPr>
      <w:r>
        <w:t>إجراء الدراسة الاستطلاعية على عينة محدودة</w:t>
      </w:r>
    </w:p>
    <w:p w14:paraId="158D83FE" w14:textId="583D6857" w:rsidR="0041039B" w:rsidRDefault="0041039B" w:rsidP="0041039B">
      <w:pPr>
        <w:pStyle w:val="ListParagraph"/>
        <w:numPr>
          <w:ilvl w:val="0"/>
          <w:numId w:val="1"/>
        </w:numPr>
        <w:bidi/>
        <w:spacing w:before="60" w:after="60" w:line="320" w:lineRule="auto"/>
        <w:contextualSpacing w:val="0"/>
      </w:pPr>
      <w:r>
        <w:t>تعديل الاستبانة وفق ملاحظات المحكّمين ونتائج الاستطلاع</w:t>
      </w:r>
    </w:p>
    <w:p w14:paraId="710D6BE8" w14:textId="77777777" w:rsidR="0041039B" w:rsidRDefault="0041039B" w:rsidP="0041039B">
      <w:pPr>
        <w:pStyle w:val="Heading2"/>
        <w:bidi/>
        <w:spacing w:line="320" w:lineRule="auto"/>
      </w:pPr>
      <w:r>
        <w:t>المرحلة الثالثة: جمع البيانات</w:t>
      </w:r>
    </w:p>
    <w:p w14:paraId="2AF18BCF" w14:textId="46D8BACE" w:rsidR="0041039B" w:rsidRDefault="0041039B" w:rsidP="0041039B">
      <w:pPr>
        <w:pStyle w:val="ListParagraph"/>
        <w:numPr>
          <w:ilvl w:val="0"/>
          <w:numId w:val="1"/>
        </w:numPr>
        <w:bidi/>
        <w:spacing w:before="60" w:after="60" w:line="320" w:lineRule="auto"/>
        <w:contextualSpacing w:val="0"/>
      </w:pPr>
      <w:r>
        <w:t>تحديد العينة العشوائية الطبقية وقاعدة بيانات الشركات المستهدفة</w:t>
      </w:r>
    </w:p>
    <w:p w14:paraId="0F8D46AA" w14:textId="03834B94" w:rsidR="0041039B" w:rsidRDefault="0041039B" w:rsidP="0041039B">
      <w:pPr>
        <w:pStyle w:val="ListParagraph"/>
        <w:numPr>
          <w:ilvl w:val="0"/>
          <w:numId w:val="1"/>
        </w:numPr>
        <w:bidi/>
        <w:spacing w:before="60" w:after="60" w:line="320" w:lineRule="auto"/>
        <w:contextualSpacing w:val="0"/>
      </w:pPr>
      <w:r>
        <w:t>توزيع الاستبانة الإلكترونية ومتابعة الاستجابات</w:t>
      </w:r>
    </w:p>
    <w:p w14:paraId="39DC9FA8" w14:textId="5EF71EF7" w:rsidR="0041039B" w:rsidRDefault="0041039B" w:rsidP="0041039B">
      <w:pPr>
        <w:pStyle w:val="ListParagraph"/>
        <w:numPr>
          <w:ilvl w:val="0"/>
          <w:numId w:val="1"/>
        </w:numPr>
        <w:bidi/>
        <w:spacing w:before="60" w:after="60" w:line="320" w:lineRule="auto"/>
        <w:contextualSpacing w:val="0"/>
      </w:pPr>
      <w:r>
        <w:t>استكمال قاعدة البيانات وتنظيفها تمهيداً للتحليل</w:t>
      </w:r>
    </w:p>
    <w:p w14:paraId="5FE5B6D6" w14:textId="77777777" w:rsidR="0041039B" w:rsidRDefault="0041039B" w:rsidP="0041039B">
      <w:pPr>
        <w:pStyle w:val="Heading2"/>
        <w:bidi/>
        <w:spacing w:line="320" w:lineRule="auto"/>
      </w:pPr>
      <w:r>
        <w:t>المرحلة الرابعة: التحليل الإحصائي</w:t>
      </w:r>
    </w:p>
    <w:p w14:paraId="0AA42289" w14:textId="496BDE65" w:rsidR="0041039B" w:rsidRDefault="0041039B" w:rsidP="0041039B">
      <w:pPr>
        <w:pStyle w:val="ListParagraph"/>
        <w:numPr>
          <w:ilvl w:val="0"/>
          <w:numId w:val="1"/>
        </w:numPr>
        <w:bidi/>
        <w:spacing w:before="60" w:after="60" w:line="320" w:lineRule="auto"/>
        <w:contextualSpacing w:val="0"/>
      </w:pPr>
      <w:r>
        <w:t>اختبار الصدق والثبات بالتحليل العاملي التوكيدي (CFA)</w:t>
      </w:r>
    </w:p>
    <w:p w14:paraId="55CD9FBC" w14:textId="4A3F9B69" w:rsidR="0041039B" w:rsidRDefault="0041039B" w:rsidP="0041039B">
      <w:pPr>
        <w:pStyle w:val="ListParagraph"/>
        <w:numPr>
          <w:ilvl w:val="0"/>
          <w:numId w:val="1"/>
        </w:numPr>
        <w:bidi/>
        <w:spacing w:before="60" w:after="60" w:line="320" w:lineRule="auto"/>
        <w:contextualSpacing w:val="0"/>
      </w:pPr>
      <w:r>
        <w:t>تحليل العلاقات بين المتغيرات عبر نمذجة المعادلات الهيكلية (SEM)</w:t>
      </w:r>
    </w:p>
    <w:p w14:paraId="4C75D174" w14:textId="0539F95E" w:rsidR="0041039B" w:rsidRDefault="0041039B" w:rsidP="0041039B">
      <w:pPr>
        <w:pStyle w:val="ListParagraph"/>
        <w:numPr>
          <w:ilvl w:val="0"/>
          <w:numId w:val="1"/>
        </w:numPr>
        <w:bidi/>
        <w:spacing w:before="60" w:after="60" w:line="320" w:lineRule="auto"/>
        <w:contextualSpacing w:val="0"/>
      </w:pPr>
      <w:r>
        <w:t>اختبار الفرضيات وتفسير النتائج في ضوء الإطار النظري</w:t>
      </w:r>
    </w:p>
    <w:p w14:paraId="5EF12708" w14:textId="77777777" w:rsidR="0041039B" w:rsidRDefault="0041039B" w:rsidP="0041039B">
      <w:pPr>
        <w:pStyle w:val="Heading2"/>
        <w:bidi/>
        <w:spacing w:line="320" w:lineRule="auto"/>
      </w:pPr>
      <w:r>
        <w:t>المرحلة الخامسة: كتابة الأطروحة وتسليمها</w:t>
      </w:r>
    </w:p>
    <w:p w14:paraId="64733A37" w14:textId="64D4DA29" w:rsidR="0041039B" w:rsidRDefault="0041039B" w:rsidP="0041039B">
      <w:pPr>
        <w:pStyle w:val="ListParagraph"/>
        <w:numPr>
          <w:ilvl w:val="0"/>
          <w:numId w:val="1"/>
        </w:numPr>
        <w:bidi/>
        <w:spacing w:before="60" w:after="60" w:line="320" w:lineRule="auto"/>
        <w:contextualSpacing w:val="0"/>
      </w:pPr>
      <w:r>
        <w:t>مناقشة النتائج ومقارنتها بالدراسات السابقة</w:t>
      </w:r>
    </w:p>
    <w:p w14:paraId="338D47CB" w14:textId="54C23C46" w:rsidR="0041039B" w:rsidRDefault="0041039B" w:rsidP="0041039B">
      <w:pPr>
        <w:pStyle w:val="ListParagraph"/>
        <w:numPr>
          <w:ilvl w:val="0"/>
          <w:numId w:val="1"/>
        </w:numPr>
        <w:bidi/>
        <w:spacing w:before="60" w:after="60" w:line="320" w:lineRule="auto"/>
        <w:contextualSpacing w:val="0"/>
      </w:pPr>
      <w:r>
        <w:t>صياغة التوصيات والمقترحات المستقبلية</w:t>
      </w:r>
    </w:p>
    <w:p w14:paraId="4E07FB3B" w14:textId="3A8F1A0E" w:rsidR="0041039B" w:rsidRDefault="0041039B" w:rsidP="0041039B">
      <w:pPr>
        <w:pStyle w:val="ListParagraph"/>
        <w:numPr>
          <w:ilvl w:val="0"/>
          <w:numId w:val="1"/>
        </w:numPr>
        <w:bidi/>
        <w:spacing w:before="60" w:after="60" w:line="320" w:lineRule="auto"/>
        <w:contextualSpacing w:val="0"/>
      </w:pPr>
      <w:r>
        <w:t>استكمال فصول الأطروحة وفق الهيكل المحدد في الدليل الإرشادي</w:t>
      </w:r>
    </w:p>
    <w:p w14:paraId="233DE106" w14:textId="1EE74FA6" w:rsidR="0041039B" w:rsidRDefault="0041039B" w:rsidP="0041039B">
      <w:pPr>
        <w:pStyle w:val="ListParagraph"/>
        <w:numPr>
          <w:ilvl w:val="0"/>
          <w:numId w:val="1"/>
        </w:numPr>
        <w:bidi/>
        <w:spacing w:before="60" w:after="60" w:line="320" w:lineRule="auto"/>
        <w:contextualSpacing w:val="0"/>
      </w:pPr>
      <w:r>
        <w:t>المراجعة والتدقيق النهائي وفق متطلبات جامعة ميدأوشن</w:t>
      </w:r>
    </w:p>
    <w:p w14:paraId="17EE6DD0" w14:textId="77777777" w:rsidR="0041039B" w:rsidRDefault="0041039B" w:rsidP="0041039B">
      <w:pPr>
        <w:spacing w:before="400"/>
        <w:rPr>
          <w:rtl/>
        </w:rPr>
      </w:pPr>
    </w:p>
    <w:p w14:paraId="099C3A6E" w14:textId="77777777" w:rsidR="00924838" w:rsidRDefault="00924838" w:rsidP="0041039B">
      <w:pPr>
        <w:spacing w:before="400"/>
        <w:rPr>
          <w:rtl/>
        </w:rPr>
      </w:pPr>
    </w:p>
    <w:p w14:paraId="733E4B12" w14:textId="77777777" w:rsidR="00924838" w:rsidRDefault="00924838" w:rsidP="0041039B">
      <w:pPr>
        <w:spacing w:before="400"/>
        <w:rPr>
          <w:rtl/>
        </w:rPr>
      </w:pPr>
    </w:p>
    <w:p w14:paraId="3151C60D" w14:textId="77777777" w:rsidR="00924838" w:rsidRDefault="00924838" w:rsidP="0041039B">
      <w:pPr>
        <w:spacing w:before="400"/>
        <w:rPr>
          <w:rtl/>
        </w:rPr>
      </w:pPr>
    </w:p>
    <w:p w14:paraId="73AB9DCD" w14:textId="77777777" w:rsidR="00924838" w:rsidRDefault="00924838" w:rsidP="0041039B">
      <w:pPr>
        <w:spacing w:before="400"/>
        <w:rPr>
          <w:rtl/>
        </w:rPr>
      </w:pPr>
    </w:p>
    <w:p w14:paraId="1DFA474A" w14:textId="77777777" w:rsidR="00924838" w:rsidRDefault="00924838" w:rsidP="0041039B">
      <w:pPr>
        <w:spacing w:before="400"/>
        <w:rPr>
          <w:rtl/>
        </w:rPr>
      </w:pPr>
    </w:p>
    <w:p w14:paraId="480BA987" w14:textId="77777777" w:rsidR="00924838" w:rsidRDefault="00924838" w:rsidP="0041039B">
      <w:pPr>
        <w:spacing w:before="400"/>
        <w:rPr>
          <w:rtl/>
        </w:rPr>
      </w:pPr>
    </w:p>
    <w:p w14:paraId="0FD7129A" w14:textId="77777777" w:rsidR="00924838" w:rsidRDefault="00924838" w:rsidP="0041039B">
      <w:pPr>
        <w:spacing w:before="400"/>
      </w:pPr>
    </w:p>
    <w:p w14:paraId="30F774BE" w14:textId="77777777" w:rsidR="0041039B" w:rsidRDefault="0041039B" w:rsidP="0041039B">
      <w:pPr>
        <w:pBdr>
          <w:top w:val="single" w:sz="6" w:space="6" w:color="00B0F0"/>
          <w:bottom w:val="single" w:sz="6" w:space="6" w:color="00B0F0"/>
        </w:pBdr>
        <w:spacing w:before="200" w:after="200" w:line="320" w:lineRule="auto"/>
        <w:jc w:val="center"/>
      </w:pPr>
      <w:r>
        <w:rPr>
          <w:b/>
          <w:bCs/>
          <w:color w:val="0D3B66"/>
          <w:sz w:val="20"/>
          <w:szCs w:val="20"/>
        </w:rPr>
        <w:t>جامعة ميدأوشن  |  Midocean University  |  برنامج الدكتوراه في إدارة الأعمال  |  2026م</w:t>
      </w:r>
    </w:p>
    <w:p w14:paraId="48F152EB" w14:textId="44999269" w:rsidR="00924838" w:rsidRDefault="00924838" w:rsidP="00924838">
      <w:pPr>
        <w:pStyle w:val="Heading1"/>
        <w:pBdr>
          <w:bottom w:val="single" w:sz="8" w:space="4" w:color="00B0F0"/>
        </w:pBdr>
        <w:spacing w:line="320" w:lineRule="auto"/>
        <w:jc w:val="center"/>
      </w:pPr>
      <w:r>
        <w:rPr>
          <w:rFonts w:ascii="Arial" w:eastAsia="Arial" w:hAnsi="Arial" w:cs="Arial"/>
          <w:b/>
          <w:bCs/>
          <w:color w:val="0D3B66"/>
          <w:sz w:val="32"/>
          <w:szCs w:val="32"/>
        </w:rPr>
        <w:lastRenderedPageBreak/>
        <w:t>المراجع  References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2200"/>
        <w:gridCol w:w="2200"/>
        <w:gridCol w:w="2426"/>
      </w:tblGrid>
      <w:tr w:rsidR="00924838" w14:paraId="763B4A01" w14:textId="77777777" w:rsidTr="00CD566C">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6D06EB51" w14:textId="77777777" w:rsidR="00924838" w:rsidRDefault="00924838" w:rsidP="00924838">
            <w:pPr>
              <w:jc w:val="center"/>
            </w:pPr>
            <w:r>
              <w:rPr>
                <w:b/>
                <w:bCs/>
                <w:color w:val="FFFFFF"/>
                <w:sz w:val="22"/>
                <w:szCs w:val="22"/>
              </w:rPr>
              <w:t>إجمالي المراجع</w:t>
            </w:r>
          </w:p>
        </w:tc>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3D7E7C7C" w14:textId="77777777" w:rsidR="00924838" w:rsidRDefault="00924838" w:rsidP="00924838">
            <w:pPr>
              <w:jc w:val="center"/>
            </w:pPr>
            <w:r>
              <w:rPr>
                <w:b/>
                <w:bCs/>
                <w:color w:val="FFFFFF"/>
                <w:sz w:val="22"/>
                <w:szCs w:val="22"/>
              </w:rPr>
              <w:t>مراجع عربية</w:t>
            </w:r>
          </w:p>
        </w:tc>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387A76D7" w14:textId="77777777" w:rsidR="00924838" w:rsidRDefault="00924838" w:rsidP="00924838">
            <w:pPr>
              <w:jc w:val="center"/>
            </w:pPr>
            <w:r>
              <w:rPr>
                <w:b/>
                <w:bCs/>
                <w:color w:val="FFFFFF"/>
                <w:sz w:val="22"/>
                <w:szCs w:val="22"/>
              </w:rPr>
              <w:t>مراجع أجنبية</w:t>
            </w:r>
          </w:p>
        </w:tc>
        <w:tc>
          <w:tcPr>
            <w:tcW w:w="2426"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4D2DEF1F" w14:textId="77777777" w:rsidR="00924838" w:rsidRDefault="00924838" w:rsidP="00924838">
            <w:pPr>
              <w:jc w:val="center"/>
            </w:pPr>
            <w:r>
              <w:rPr>
                <w:b/>
                <w:bCs/>
                <w:color w:val="FFFFFF"/>
                <w:sz w:val="22"/>
                <w:szCs w:val="22"/>
              </w:rPr>
              <w:t>نظام التوثيق</w:t>
            </w:r>
          </w:p>
        </w:tc>
      </w:tr>
      <w:tr w:rsidR="00924838" w14:paraId="3F19D541" w14:textId="77777777" w:rsidTr="00CD566C">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5B930F15" w14:textId="77777777" w:rsidR="00924838" w:rsidRDefault="00924838" w:rsidP="00924838">
            <w:pPr>
              <w:jc w:val="center"/>
            </w:pPr>
            <w:r>
              <w:rPr>
                <w:b/>
                <w:bCs/>
                <w:color w:val="0D3B66"/>
              </w:rPr>
              <w:t>25 مرجعاً</w:t>
            </w:r>
          </w:p>
        </w:tc>
        <w:tc>
          <w:tcPr>
            <w:tcW w:w="22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33B68919" w14:textId="77777777" w:rsidR="00924838" w:rsidRDefault="00924838" w:rsidP="00924838">
            <w:pPr>
              <w:jc w:val="center"/>
            </w:pPr>
            <w:r>
              <w:t>2 مراجع</w:t>
            </w:r>
          </w:p>
        </w:tc>
        <w:tc>
          <w:tcPr>
            <w:tcW w:w="22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7CB65035" w14:textId="77777777" w:rsidR="00924838" w:rsidRDefault="00924838" w:rsidP="00924838">
            <w:pPr>
              <w:jc w:val="center"/>
            </w:pPr>
            <w:r>
              <w:t>23 مرجعاً</w:t>
            </w:r>
          </w:p>
        </w:tc>
        <w:tc>
          <w:tcPr>
            <w:tcW w:w="24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792FF012" w14:textId="77777777" w:rsidR="00924838" w:rsidRDefault="00924838" w:rsidP="00924838">
            <w:pPr>
              <w:jc w:val="center"/>
            </w:pPr>
            <w:r>
              <w:t>APA 7th Edition</w:t>
            </w:r>
          </w:p>
        </w:tc>
      </w:tr>
    </w:tbl>
    <w:p w14:paraId="5D16FC0C" w14:textId="77777777" w:rsidR="00924838" w:rsidRDefault="00924838" w:rsidP="00924838">
      <w:pPr>
        <w:bidi/>
        <w:spacing w:before="200"/>
      </w:pPr>
    </w:p>
    <w:p w14:paraId="55D0459B" w14:textId="5B4A5829" w:rsidR="00924838" w:rsidRDefault="00924838" w:rsidP="00924838">
      <w:pPr>
        <w:pBdr>
          <w:right w:val="single" w:sz="18" w:space="0" w:color="00B0F0"/>
        </w:pBdr>
        <w:shd w:val="clear" w:color="auto" w:fill="FFF8E1"/>
        <w:bidi/>
        <w:spacing w:before="80" w:after="200" w:line="320" w:lineRule="auto"/>
        <w:ind w:right="180"/>
      </w:pPr>
      <w:r>
        <w:rPr>
          <w:color w:val="0D3B66"/>
          <w:sz w:val="22"/>
          <w:szCs w:val="22"/>
        </w:rPr>
        <w:t>جميع المراجع التالية تم التحقق من وجودها وصحتها قبل إدراجها، وهي موثقة وفق نظام APA الإصدار السابع.المراجع العربية مرتبة أبجدياً، والأجنبية مرتبة أبجدياً</w:t>
      </w:r>
    </w:p>
    <w:p w14:paraId="320B1EB4" w14:textId="77777777" w:rsidR="00924838" w:rsidRDefault="00924838" w:rsidP="00924838">
      <w:pPr>
        <w:spacing w:before="100"/>
      </w:pPr>
    </w:p>
    <w:p w14:paraId="6FA5BF99" w14:textId="77777777" w:rsidR="00924838" w:rsidRDefault="00924838" w:rsidP="00924838">
      <w:pPr>
        <w:pStyle w:val="Heading2"/>
        <w:bidi/>
        <w:spacing w:line="320" w:lineRule="auto"/>
      </w:pPr>
      <w:r>
        <w:rPr>
          <w:rFonts w:ascii="Arial" w:eastAsia="Arial" w:hAnsi="Arial" w:cs="Arial"/>
          <w:b/>
          <w:bCs/>
          <w:color w:val="0D3B66"/>
          <w:sz w:val="28"/>
          <w:szCs w:val="28"/>
        </w:rPr>
        <w:t>أولاً: المراجع العربية</w:t>
      </w:r>
    </w:p>
    <w:p w14:paraId="44B4331D" w14:textId="77777777" w:rsidR="00924838" w:rsidRDefault="00924838" w:rsidP="00924838">
      <w:pPr>
        <w:spacing w:before="60"/>
      </w:pPr>
    </w:p>
    <w:p w14:paraId="5019B3FB" w14:textId="35E65106" w:rsidR="00924838" w:rsidRDefault="00924838" w:rsidP="00924838">
      <w:pPr>
        <w:bidi/>
        <w:spacing w:before="60" w:after="60" w:line="300" w:lineRule="auto"/>
        <w:ind w:right="360" w:hanging="360"/>
      </w:pPr>
      <w:r>
        <w:rPr>
          <w:sz w:val="22"/>
          <w:szCs w:val="22"/>
        </w:rPr>
        <w:t>المركز الوطني للمنشآت العائلية. (2023). تقرير المنشآت العائلية في المملكة العربية السعودية. الرياض: المركز الوطني للمنشآت العائلية</w:t>
      </w:r>
    </w:p>
    <w:p w14:paraId="051A72DD" w14:textId="5FBF1E1B" w:rsidR="00924838" w:rsidRDefault="00924838" w:rsidP="00924838">
      <w:pPr>
        <w:bidi/>
        <w:spacing w:before="60" w:after="60" w:line="300" w:lineRule="auto"/>
        <w:ind w:right="360" w:hanging="360"/>
      </w:pPr>
      <w:r>
        <w:rPr>
          <w:sz w:val="22"/>
          <w:szCs w:val="22"/>
        </w:rPr>
        <w:t>وزارة الاتصالات وتقنية المعلومات. (2025). مؤشرات الاقتصاد الرقمي في المملكة العربية السعودية 2024. الرياض: وزارة الاتصالات وتقنية المعلومات</w:t>
      </w:r>
    </w:p>
    <w:p w14:paraId="62B5311F" w14:textId="77777777" w:rsidR="00924838" w:rsidRDefault="00924838" w:rsidP="00924838">
      <w:pPr>
        <w:spacing w:before="160"/>
      </w:pPr>
    </w:p>
    <w:p w14:paraId="5C2A4BE0" w14:textId="77777777" w:rsidR="00924838" w:rsidRDefault="00924838" w:rsidP="00924838">
      <w:pPr>
        <w:pStyle w:val="Heading2"/>
        <w:spacing w:line="320" w:lineRule="auto"/>
        <w:jc w:val="right"/>
      </w:pPr>
      <w:r>
        <w:rPr>
          <w:rFonts w:ascii="Arial" w:eastAsia="Arial" w:hAnsi="Arial" w:cs="Arial"/>
          <w:b/>
          <w:bCs/>
          <w:color w:val="0D3B66"/>
          <w:sz w:val="28"/>
          <w:szCs w:val="28"/>
        </w:rPr>
        <w:t>ثانياً: المراجع الأجنبية</w:t>
      </w:r>
    </w:p>
    <w:p w14:paraId="5DADB381" w14:textId="77777777" w:rsidR="00924838" w:rsidRDefault="00924838" w:rsidP="00924838">
      <w:pPr>
        <w:spacing w:before="60"/>
      </w:pPr>
    </w:p>
    <w:p w14:paraId="6BCC419D" w14:textId="77777777" w:rsidR="00924838" w:rsidRDefault="00924838" w:rsidP="00924838">
      <w:pPr>
        <w:spacing w:before="60" w:after="60" w:line="300" w:lineRule="auto"/>
        <w:ind w:left="360" w:hanging="360"/>
      </w:pPr>
      <w:r>
        <w:rPr>
          <w:sz w:val="22"/>
          <w:szCs w:val="22"/>
        </w:rPr>
        <w:t>Ahmad, Z., AlWadi, B. M., Kumar, H., Ng, B. K., &amp; Nguyen, D. N. (2025). Digital transformation of family-owned small businesses: A nexus of internet entrepreneurial self-efficacy, artificial intelligence usage and strategic agility. Kybernetes, 54(11), 6223–6251. https://doi.org/10.1108/K-10-2023-2205</w:t>
      </w:r>
    </w:p>
    <w:p w14:paraId="15FE1781" w14:textId="77777777" w:rsidR="00924838" w:rsidRDefault="00924838" w:rsidP="00924838">
      <w:pPr>
        <w:spacing w:before="60" w:after="60" w:line="300" w:lineRule="auto"/>
        <w:ind w:left="360" w:hanging="360"/>
      </w:pPr>
      <w:r>
        <w:rPr>
          <w:sz w:val="22"/>
          <w:szCs w:val="22"/>
        </w:rPr>
        <w:t>Amankona, D., Yi, K., Tackie, E. A., Tweneboa Kodua, L., &amp; Odai, L. A. (2025). Responsible digital innovation and innovation performance in Ghana's high-tech industry: The mediating roles of digital organizational culture and strategy, and the moderating role of digital literacy. SAGE Open, 15(2), 21582440251341256. https://doi.org/10.1177/21582440251341256</w:t>
      </w:r>
    </w:p>
    <w:p w14:paraId="4FD85FE4" w14:textId="77777777" w:rsidR="00924838" w:rsidRDefault="00924838" w:rsidP="00924838">
      <w:pPr>
        <w:spacing w:before="60" w:after="60" w:line="300" w:lineRule="auto"/>
        <w:ind w:left="360" w:hanging="360"/>
      </w:pPr>
      <w:r>
        <w:rPr>
          <w:sz w:val="22"/>
          <w:szCs w:val="22"/>
        </w:rPr>
        <w:t>Barney, J. B. (1991). Firm resources and sustained competitive advantage. Journal of Management, 17(1), 99–120. https://doi.org/10.1177/014920639101700108</w:t>
      </w:r>
    </w:p>
    <w:p w14:paraId="3AE3983A" w14:textId="77777777" w:rsidR="00924838" w:rsidRDefault="00924838" w:rsidP="00924838">
      <w:pPr>
        <w:spacing w:before="60" w:after="60" w:line="300" w:lineRule="auto"/>
        <w:ind w:left="360" w:hanging="360"/>
      </w:pPr>
      <w:r>
        <w:rPr>
          <w:sz w:val="22"/>
          <w:szCs w:val="22"/>
        </w:rPr>
        <w:t>Cameron, K. S., &amp; Quinn, R. E. (2011). Diagnosing and changing organizational culture: Based on the competing values framework (3rd ed.). Jossey-Bass.</w:t>
      </w:r>
    </w:p>
    <w:p w14:paraId="4853C036" w14:textId="77777777" w:rsidR="00924838" w:rsidRDefault="00924838" w:rsidP="00924838">
      <w:pPr>
        <w:spacing w:before="60" w:after="60" w:line="300" w:lineRule="auto"/>
        <w:ind w:left="360" w:hanging="360"/>
      </w:pPr>
      <w:r>
        <w:rPr>
          <w:sz w:val="22"/>
          <w:szCs w:val="22"/>
        </w:rPr>
        <w:t>Denison, D. R. (1990). Corporate culture and organizational effectiveness. Wiley.</w:t>
      </w:r>
    </w:p>
    <w:p w14:paraId="5001BAF9" w14:textId="77777777" w:rsidR="00924838" w:rsidRDefault="00924838" w:rsidP="00924838">
      <w:pPr>
        <w:spacing w:before="60" w:after="60" w:line="300" w:lineRule="auto"/>
        <w:ind w:left="360" w:hanging="360"/>
      </w:pPr>
      <w:r>
        <w:rPr>
          <w:sz w:val="22"/>
          <w:szCs w:val="22"/>
        </w:rPr>
        <w:t>Gonzalez-Varona, J. M., Lopez-Paredes, A., Poza, D., &amp; Acebes, F. (2024). Building and development of an organizational competence for digital transformation in SMEs. arXiv. https://doi.org/10.48550/arXiv.2406.01615</w:t>
      </w:r>
    </w:p>
    <w:p w14:paraId="6D6EB6C0" w14:textId="77777777" w:rsidR="00924838" w:rsidRDefault="00924838" w:rsidP="00924838">
      <w:pPr>
        <w:spacing w:before="60" w:after="60" w:line="300" w:lineRule="auto"/>
        <w:ind w:left="360" w:hanging="360"/>
      </w:pPr>
      <w:r>
        <w:rPr>
          <w:sz w:val="22"/>
          <w:szCs w:val="22"/>
        </w:rPr>
        <w:t>Hair, J. F., Risher, J. J., Sarstedt, M., &amp; Ringle, C. M. (2019). When to use and how to report the results of PLS-SEM. European Business Review, 31(1), 2–24. https://doi.org/10.1108/EBR-11-2018-0203</w:t>
      </w:r>
    </w:p>
    <w:p w14:paraId="4B65CADA" w14:textId="77777777" w:rsidR="00924838" w:rsidRDefault="00924838" w:rsidP="00924838">
      <w:pPr>
        <w:spacing w:before="60" w:after="60" w:line="300" w:lineRule="auto"/>
        <w:ind w:left="360" w:hanging="360"/>
      </w:pPr>
      <w:r>
        <w:rPr>
          <w:sz w:val="22"/>
          <w:szCs w:val="22"/>
        </w:rPr>
        <w:lastRenderedPageBreak/>
        <w:t>Henseler, J., Ringle, C. M., &amp; Sarstedt, M. (2015). A new criterion for assessing discriminant validity in variance-based structural equation modeling. Journal of the Academy of Marketing Science, 43(1), 115–135. https://doi.org/10.1007/s11747-014-0403-8</w:t>
      </w:r>
    </w:p>
    <w:p w14:paraId="1B23E4A4" w14:textId="77777777" w:rsidR="00924838" w:rsidRDefault="00924838" w:rsidP="00924838">
      <w:pPr>
        <w:spacing w:before="60" w:after="60" w:line="300" w:lineRule="auto"/>
        <w:ind w:left="360" w:hanging="360"/>
      </w:pPr>
      <w:r>
        <w:rPr>
          <w:sz w:val="22"/>
          <w:szCs w:val="22"/>
        </w:rPr>
        <w:t>Jewapatarakul, D., &amp; Ueasangkomsate, P. (2024). Digital organizational culture, organizational readiness, and knowledge acquisition affecting digital transformation in SMEs from food manufacturing sector. SAGE Open, 14(4), 21582440241297405. https://doi.org/10.1177/21582440241297405</w:t>
      </w:r>
    </w:p>
    <w:p w14:paraId="4B071A14" w14:textId="77777777" w:rsidR="00924838" w:rsidRDefault="00924838" w:rsidP="00924838">
      <w:pPr>
        <w:spacing w:before="60" w:after="60" w:line="300" w:lineRule="auto"/>
        <w:ind w:left="360" w:hanging="360"/>
      </w:pPr>
      <w:r>
        <w:rPr>
          <w:sz w:val="22"/>
          <w:szCs w:val="22"/>
        </w:rPr>
        <w:t>Kaplan, R. S., &amp; Norton, D. P. (1992). The balanced scorecard—Measures that drive performance. Harvard Business Review, 70(1), 71–79.</w:t>
      </w:r>
    </w:p>
    <w:p w14:paraId="6A805B70" w14:textId="77777777" w:rsidR="00924838" w:rsidRDefault="00924838" w:rsidP="00924838">
      <w:pPr>
        <w:spacing w:before="60" w:after="60" w:line="300" w:lineRule="auto"/>
        <w:ind w:left="360" w:hanging="360"/>
      </w:pPr>
      <w:r>
        <w:rPr>
          <w:sz w:val="22"/>
          <w:szCs w:val="22"/>
        </w:rPr>
        <w:t>Kaplan, R. S., &amp; Norton, D. P. (1996). The balanced scorecard: Translating strategy into action. Harvard Business School Press.</w:t>
      </w:r>
    </w:p>
    <w:p w14:paraId="5940C049" w14:textId="77777777" w:rsidR="00924838" w:rsidRDefault="00924838" w:rsidP="00924838">
      <w:pPr>
        <w:spacing w:before="60" w:after="60" w:line="300" w:lineRule="auto"/>
        <w:ind w:left="360" w:hanging="360"/>
      </w:pPr>
      <w:r>
        <w:rPr>
          <w:sz w:val="22"/>
          <w:szCs w:val="22"/>
        </w:rPr>
        <w:t>Lokuge, S., &amp; Duan, S. X. (2023). Exploring the enablers of digital transformation in small and medium-sized enterprises. arXiv. https://doi.org/10.48550/arXiv.2302.12506</w:t>
      </w:r>
    </w:p>
    <w:p w14:paraId="241DA03D" w14:textId="77777777" w:rsidR="00924838" w:rsidRDefault="00924838" w:rsidP="00924838">
      <w:pPr>
        <w:spacing w:before="60" w:after="60" w:line="300" w:lineRule="auto"/>
        <w:ind w:left="360" w:hanging="360"/>
      </w:pPr>
      <w:r>
        <w:rPr>
          <w:sz w:val="22"/>
          <w:szCs w:val="22"/>
        </w:rPr>
        <w:t>Matt, C., Hess, T., &amp; Benlian, A. (2015). Digital transformation strategies. Business &amp; Information Systems Engineering, 57(5), 339–343. https://doi.org/10.1007/s12599-015-0401-5</w:t>
      </w:r>
    </w:p>
    <w:p w14:paraId="1F991755" w14:textId="77777777" w:rsidR="00924838" w:rsidRDefault="00924838" w:rsidP="00924838">
      <w:pPr>
        <w:spacing w:before="60" w:after="60" w:line="300" w:lineRule="auto"/>
        <w:ind w:left="360" w:hanging="360"/>
      </w:pPr>
      <w:r>
        <w:rPr>
          <w:sz w:val="22"/>
          <w:szCs w:val="22"/>
        </w:rPr>
        <w:t>Nguyen, T. H., Newby, M., &amp; Macaulay, M. J. (2015). Information technology adoption in small business: Confirmation of a proposed framework. Journal of Small Business Management, 53(1), 207–227. https://doi.org/10.1111/jsbm.12058</w:t>
      </w:r>
    </w:p>
    <w:p w14:paraId="4F20E32E" w14:textId="77777777" w:rsidR="00924838" w:rsidRDefault="00924838" w:rsidP="00924838">
      <w:pPr>
        <w:spacing w:before="60" w:after="60" w:line="300" w:lineRule="auto"/>
        <w:ind w:left="360" w:hanging="360"/>
      </w:pPr>
      <w:r>
        <w:rPr>
          <w:sz w:val="22"/>
          <w:szCs w:val="22"/>
        </w:rPr>
        <w:t>Plekhanov, D., Franke, H., &amp; Netland, T. H. (2023). Digital transformation: A review and research agenda. European Management Journal, 41(6), 821–844. https://doi.org/10.1016/j.emj.2022.09.007</w:t>
      </w:r>
    </w:p>
    <w:p w14:paraId="3BB84A9B" w14:textId="77777777" w:rsidR="00924838" w:rsidRDefault="00924838" w:rsidP="00924838">
      <w:pPr>
        <w:spacing w:before="60" w:after="60" w:line="300" w:lineRule="auto"/>
        <w:ind w:left="360" w:hanging="360"/>
      </w:pPr>
      <w:r>
        <w:rPr>
          <w:sz w:val="22"/>
          <w:szCs w:val="22"/>
        </w:rPr>
        <w:t>Porfírio, J. A. F., Santos, P., &amp; Rodrigues, R. M. (2024). Digital transformation in family businesses: An analysis of drivers with fsQCA. Sustainability, 16(23), 10326. https://doi.org/10.3390/su162310326</w:t>
      </w:r>
    </w:p>
    <w:p w14:paraId="2812EF8E" w14:textId="77777777" w:rsidR="00924838" w:rsidRDefault="00924838" w:rsidP="00924838">
      <w:pPr>
        <w:spacing w:before="60" w:after="60" w:line="300" w:lineRule="auto"/>
        <w:ind w:left="360" w:hanging="360"/>
      </w:pPr>
      <w:r>
        <w:rPr>
          <w:sz w:val="22"/>
          <w:szCs w:val="22"/>
        </w:rPr>
        <w:t>Pradana, M., Silvianita, A., Syarifuddin, S., &amp; Renaldi, R. (2022). The implication of digital organisational culture on firm performance. Frontiers in Psychology, 13, 840699. https://doi.org/10.3389/fpsyg.2022.840699</w:t>
      </w:r>
    </w:p>
    <w:p w14:paraId="797CECDB" w14:textId="77777777" w:rsidR="00924838" w:rsidRDefault="00924838" w:rsidP="00924838">
      <w:pPr>
        <w:spacing w:before="60" w:after="60" w:line="300" w:lineRule="auto"/>
        <w:ind w:left="360" w:hanging="360"/>
      </w:pPr>
      <w:r>
        <w:rPr>
          <w:sz w:val="22"/>
          <w:szCs w:val="22"/>
        </w:rPr>
        <w:t>Schein, E. H. (2010). Organizational culture and leadership (4th ed.). Jossey-Bass.</w:t>
      </w:r>
    </w:p>
    <w:p w14:paraId="48977855" w14:textId="77777777" w:rsidR="00924838" w:rsidRDefault="00924838" w:rsidP="00924838">
      <w:pPr>
        <w:spacing w:before="60" w:after="60" w:line="300" w:lineRule="auto"/>
        <w:ind w:left="360" w:hanging="360"/>
      </w:pPr>
      <w:r>
        <w:rPr>
          <w:sz w:val="22"/>
          <w:szCs w:val="22"/>
        </w:rPr>
        <w:t>Teece, D. J., Pisano, G., &amp; Shuen, A. (1997). Dynamic capabilities and strategic management. Strategic Management Journal, 18(7), 509–533. https://doi.org/10.1002/(SICI)1097-0266(199708)18:7&lt;509::AID-SMJ882&gt;3.0.CO;2-Z</w:t>
      </w:r>
    </w:p>
    <w:p w14:paraId="75F02892" w14:textId="77777777" w:rsidR="00924838" w:rsidRDefault="00924838" w:rsidP="00924838">
      <w:pPr>
        <w:spacing w:before="60" w:after="60" w:line="300" w:lineRule="auto"/>
        <w:ind w:left="360" w:hanging="360"/>
      </w:pPr>
      <w:r>
        <w:rPr>
          <w:sz w:val="22"/>
          <w:szCs w:val="22"/>
        </w:rPr>
        <w:t>Venkatraman, N., &amp; Ramanujam, V. (1986). Measurement of business performance in strategy research: A comparison of approaches. Academy of Management Review, 11(4), 801–814. https://doi.org/10.2307/258398</w:t>
      </w:r>
    </w:p>
    <w:p w14:paraId="1951651F" w14:textId="77777777" w:rsidR="00924838" w:rsidRDefault="00924838" w:rsidP="00924838">
      <w:pPr>
        <w:spacing w:before="60" w:after="60" w:line="300" w:lineRule="auto"/>
        <w:ind w:left="360" w:hanging="360"/>
      </w:pPr>
      <w:r>
        <w:rPr>
          <w:sz w:val="22"/>
          <w:szCs w:val="22"/>
        </w:rPr>
        <w:lastRenderedPageBreak/>
        <w:t>Vial, G. (2019). Understanding digital transformation: A review and a research agenda. The Journal of Strategic Information Systems, 28(2), 118–144. https://doi.org/10.1016/j.jsis.2019.01.003</w:t>
      </w:r>
    </w:p>
    <w:p w14:paraId="62A1284E" w14:textId="77777777" w:rsidR="00924838" w:rsidRDefault="00924838" w:rsidP="00924838">
      <w:pPr>
        <w:spacing w:before="60" w:after="60" w:line="300" w:lineRule="auto"/>
        <w:ind w:left="360" w:hanging="360"/>
      </w:pPr>
      <w:r>
        <w:rPr>
          <w:sz w:val="22"/>
          <w:szCs w:val="22"/>
        </w:rPr>
        <w:t>Wernerfelt, B. (1984). A resource-based view of the firm. Strategic Management Journal, 5(2), 171–180. https://doi.org/10.1002/smj.4250050207</w:t>
      </w:r>
    </w:p>
    <w:p w14:paraId="5B943491" w14:textId="77777777" w:rsidR="00924838" w:rsidRDefault="00924838" w:rsidP="00924838">
      <w:pPr>
        <w:spacing w:before="60" w:after="60" w:line="300" w:lineRule="auto"/>
        <w:ind w:left="360" w:hanging="360"/>
      </w:pPr>
      <w:r>
        <w:rPr>
          <w:sz w:val="22"/>
          <w:szCs w:val="22"/>
        </w:rPr>
        <w:t>Zhang, P., &amp; Wang, Y. (2024). Digital transformation: A systematic review and bibliometric analysis from the corporate finance perspective. arXiv. https://doi.org/10.48550/arXiv.2412.19817</w:t>
      </w:r>
    </w:p>
    <w:p w14:paraId="3EEE761E" w14:textId="4CC137B7" w:rsidR="00404AEB" w:rsidRDefault="00924838" w:rsidP="00924838">
      <w:r>
        <w:rPr>
          <w:b/>
          <w:bCs/>
          <w:color w:val="0D3B66"/>
          <w:sz w:val="20"/>
          <w:szCs w:val="20"/>
        </w:rPr>
        <w:t xml:space="preserve"> </w:t>
      </w:r>
    </w:p>
    <w:sectPr w:rsidR="00404AEB" w:rsidSect="0041039B">
      <w:headerReference w:type="default" r:id="rId5"/>
      <w:footerReference w:type="default" r:id="rId6"/>
      <w:pgSz w:w="11906" w:h="16838"/>
      <w:pgMar w:top="1440" w:right="1800" w:bottom="1440" w:left="18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EA9ADF" w14:textId="77777777" w:rsidR="0041039B" w:rsidRDefault="0041039B">
    <w:pPr>
      <w:pBdr>
        <w:top w:val="single" w:sz="4" w:space="4" w:color="00B0F0"/>
      </w:pBdr>
      <w:spacing w:before="100"/>
      <w:jc w:val="center"/>
    </w:pPr>
    <w:r>
      <w:rPr>
        <w:color w:val="555555"/>
        <w:sz w:val="18"/>
        <w:szCs w:val="18"/>
      </w:rPr>
      <w:t xml:space="preserve">أثر جاهزية التحول الرقمي على الأداء التنظيمي — الشركات الاستثمارية العائلية بالمملكة العربية السعودية  |  صفحة </w:t>
    </w:r>
    <w:r>
      <w:rPr>
        <w:b/>
        <w:bCs/>
        <w:color w:val="0D3B66"/>
        <w:sz w:val="18"/>
        <w:szCs w:val="18"/>
      </w:rPr>
      <w:fldChar w:fldCharType="begin"/>
    </w:r>
    <w:r>
      <w:rPr>
        <w:b/>
        <w:bCs/>
        <w:color w:val="0D3B66"/>
        <w:sz w:val="18"/>
        <w:szCs w:val="18"/>
      </w:rPr>
      <w:instrText>PAGE</w:instrText>
    </w:r>
    <w:r>
      <w:rPr>
        <w:b/>
        <w:bCs/>
        <w:color w:val="0D3B66"/>
        <w:sz w:val="18"/>
        <w:szCs w:val="18"/>
      </w:rPr>
      <w:fldChar w:fldCharType="separate"/>
    </w:r>
    <w:r>
      <w:rPr>
        <w:b/>
        <w:bCs/>
        <w:noProof/>
        <w:color w:val="0D3B66"/>
        <w:sz w:val="18"/>
        <w:szCs w:val="18"/>
      </w:rPr>
      <w:t>1</w:t>
    </w:r>
    <w:r>
      <w:rPr>
        <w:b/>
        <w:bCs/>
        <w:color w:val="0D3B66"/>
        <w:sz w:val="18"/>
        <w:szCs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466EFF" w14:textId="77777777" w:rsidR="0041039B" w:rsidRDefault="0041039B">
    <w:pPr>
      <w:pBdr>
        <w:bottom w:val="single" w:sz="6" w:space="4" w:color="00B0F0"/>
      </w:pBdr>
      <w:spacing w:after="100"/>
      <w:jc w:val="right"/>
    </w:pPr>
    <w:r>
      <w:rPr>
        <w:b/>
        <w:bCs/>
        <w:color w:val="00B0F0"/>
        <w:sz w:val="18"/>
        <w:szCs w:val="18"/>
      </w:rPr>
      <w:t xml:space="preserve">                   MIDOCEAN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455405"/>
    <w:multiLevelType w:val="hybridMultilevel"/>
    <w:tmpl w:val="F402B646"/>
    <w:lvl w:ilvl="0" w:tplc="3CAA9502">
      <w:start w:val="1"/>
      <w:numFmt w:val="bullet"/>
      <w:lvlText w:val="•"/>
      <w:lvlJc w:val="left"/>
      <w:pPr>
        <w:ind w:left="720" w:hanging="360"/>
      </w:pPr>
    </w:lvl>
    <w:lvl w:ilvl="1" w:tplc="DB5022E2">
      <w:numFmt w:val="decimal"/>
      <w:lvlText w:val=""/>
      <w:lvlJc w:val="left"/>
    </w:lvl>
    <w:lvl w:ilvl="2" w:tplc="8E4C64F0">
      <w:numFmt w:val="decimal"/>
      <w:lvlText w:val=""/>
      <w:lvlJc w:val="left"/>
    </w:lvl>
    <w:lvl w:ilvl="3" w:tplc="BCDE3554">
      <w:numFmt w:val="decimal"/>
      <w:lvlText w:val=""/>
      <w:lvlJc w:val="left"/>
    </w:lvl>
    <w:lvl w:ilvl="4" w:tplc="68865C0E">
      <w:numFmt w:val="decimal"/>
      <w:lvlText w:val=""/>
      <w:lvlJc w:val="left"/>
    </w:lvl>
    <w:lvl w:ilvl="5" w:tplc="E4122C7E">
      <w:numFmt w:val="decimal"/>
      <w:lvlText w:val=""/>
      <w:lvlJc w:val="left"/>
    </w:lvl>
    <w:lvl w:ilvl="6" w:tplc="5DC484B6">
      <w:numFmt w:val="decimal"/>
      <w:lvlText w:val=""/>
      <w:lvlJc w:val="left"/>
    </w:lvl>
    <w:lvl w:ilvl="7" w:tplc="BFA0EFF0">
      <w:numFmt w:val="decimal"/>
      <w:lvlText w:val=""/>
      <w:lvlJc w:val="left"/>
    </w:lvl>
    <w:lvl w:ilvl="8" w:tplc="4DD66F68">
      <w:numFmt w:val="decimal"/>
      <w:lvlText w:val=""/>
      <w:lvlJc w:val="left"/>
    </w:lvl>
  </w:abstractNum>
  <w:abstractNum w:abstractNumId="1" w15:restartNumberingAfterBreak="0">
    <w:nsid w:val="50D3722F"/>
    <w:multiLevelType w:val="hybridMultilevel"/>
    <w:tmpl w:val="78B05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D24C04"/>
    <w:multiLevelType w:val="hybridMultilevel"/>
    <w:tmpl w:val="F538227C"/>
    <w:lvl w:ilvl="0" w:tplc="642C5AEE">
      <w:start w:val="1"/>
      <w:numFmt w:val="decimal"/>
      <w:lvlText w:val="%1."/>
      <w:lvlJc w:val="left"/>
      <w:pPr>
        <w:ind w:left="927" w:hanging="360"/>
      </w:pPr>
    </w:lvl>
    <w:lvl w:ilvl="1" w:tplc="F0E88C14">
      <w:numFmt w:val="decimal"/>
      <w:lvlText w:val=""/>
      <w:lvlJc w:val="left"/>
    </w:lvl>
    <w:lvl w:ilvl="2" w:tplc="87F0981C">
      <w:numFmt w:val="decimal"/>
      <w:lvlText w:val=""/>
      <w:lvlJc w:val="left"/>
    </w:lvl>
    <w:lvl w:ilvl="3" w:tplc="EF02ACD4">
      <w:numFmt w:val="decimal"/>
      <w:lvlText w:val=""/>
      <w:lvlJc w:val="left"/>
    </w:lvl>
    <w:lvl w:ilvl="4" w:tplc="B666E0B2">
      <w:numFmt w:val="decimal"/>
      <w:lvlText w:val=""/>
      <w:lvlJc w:val="left"/>
    </w:lvl>
    <w:lvl w:ilvl="5" w:tplc="91E445CE">
      <w:numFmt w:val="decimal"/>
      <w:lvlText w:val=""/>
      <w:lvlJc w:val="left"/>
    </w:lvl>
    <w:lvl w:ilvl="6" w:tplc="5D9A4FD0">
      <w:numFmt w:val="decimal"/>
      <w:lvlText w:val=""/>
      <w:lvlJc w:val="left"/>
    </w:lvl>
    <w:lvl w:ilvl="7" w:tplc="5A08555E">
      <w:numFmt w:val="decimal"/>
      <w:lvlText w:val=""/>
      <w:lvlJc w:val="left"/>
    </w:lvl>
    <w:lvl w:ilvl="8" w:tplc="91F046AC">
      <w:numFmt w:val="decimal"/>
      <w:lvlText w:val=""/>
      <w:lvlJc w:val="left"/>
    </w:lvl>
  </w:abstractNum>
  <w:num w:numId="1" w16cid:durableId="811488621">
    <w:abstractNumId w:val="0"/>
    <w:lvlOverride w:ilvl="0">
      <w:startOverride w:val="1"/>
    </w:lvlOverride>
  </w:num>
  <w:num w:numId="2" w16cid:durableId="1408697197">
    <w:abstractNumId w:val="2"/>
    <w:lvlOverride w:ilvl="0">
      <w:startOverride w:val="1"/>
    </w:lvlOverride>
  </w:num>
  <w:num w:numId="3" w16cid:durableId="70320995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39B"/>
    <w:rsid w:val="000D1F58"/>
    <w:rsid w:val="002B5CED"/>
    <w:rsid w:val="002C0DEB"/>
    <w:rsid w:val="003577FB"/>
    <w:rsid w:val="00404AEB"/>
    <w:rsid w:val="0041039B"/>
    <w:rsid w:val="00924838"/>
    <w:rsid w:val="00C8652D"/>
    <w:rsid w:val="00E00740"/>
    <w:rsid w:val="00F642D7"/>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05403D6D"/>
  <w15:chartTrackingRefBased/>
  <w15:docId w15:val="{583987D9-96FE-3145-8E04-DC6E7EFA8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39B"/>
    <w:pPr>
      <w:spacing w:after="0" w:line="240" w:lineRule="auto"/>
    </w:pPr>
    <w:rPr>
      <w:rFonts w:ascii="Arial" w:eastAsia="Arial" w:hAnsi="Arial" w:cs="Arial"/>
      <w:color w:val="1A1A2E"/>
      <w:kern w:val="0"/>
      <w14:ligatures w14:val="none"/>
    </w:rPr>
  </w:style>
  <w:style w:type="paragraph" w:styleId="Heading1">
    <w:name w:val="heading 1"/>
    <w:basedOn w:val="Normal"/>
    <w:next w:val="Normal"/>
    <w:link w:val="Heading1Char"/>
    <w:uiPriority w:val="9"/>
    <w:qFormat/>
    <w:rsid w:val="004103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03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03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03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03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03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03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03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03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3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03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03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03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03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03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03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03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039B"/>
    <w:rPr>
      <w:rFonts w:eastAsiaTheme="majorEastAsia" w:cstheme="majorBidi"/>
      <w:color w:val="272727" w:themeColor="text1" w:themeTint="D8"/>
    </w:rPr>
  </w:style>
  <w:style w:type="paragraph" w:styleId="Title">
    <w:name w:val="Title"/>
    <w:basedOn w:val="Normal"/>
    <w:next w:val="Normal"/>
    <w:link w:val="TitleChar"/>
    <w:uiPriority w:val="10"/>
    <w:qFormat/>
    <w:rsid w:val="004103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3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03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03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039B"/>
    <w:pPr>
      <w:spacing w:before="160"/>
      <w:jc w:val="center"/>
    </w:pPr>
    <w:rPr>
      <w:i/>
      <w:iCs/>
      <w:color w:val="404040" w:themeColor="text1" w:themeTint="BF"/>
    </w:rPr>
  </w:style>
  <w:style w:type="character" w:customStyle="1" w:styleId="QuoteChar">
    <w:name w:val="Quote Char"/>
    <w:basedOn w:val="DefaultParagraphFont"/>
    <w:link w:val="Quote"/>
    <w:uiPriority w:val="29"/>
    <w:rsid w:val="0041039B"/>
    <w:rPr>
      <w:i/>
      <w:iCs/>
      <w:color w:val="404040" w:themeColor="text1" w:themeTint="BF"/>
    </w:rPr>
  </w:style>
  <w:style w:type="paragraph" w:styleId="ListParagraph">
    <w:name w:val="List Paragraph"/>
    <w:basedOn w:val="Normal"/>
    <w:qFormat/>
    <w:rsid w:val="0041039B"/>
    <w:pPr>
      <w:ind w:left="720"/>
      <w:contextualSpacing/>
    </w:pPr>
  </w:style>
  <w:style w:type="character" w:styleId="IntenseEmphasis">
    <w:name w:val="Intense Emphasis"/>
    <w:basedOn w:val="DefaultParagraphFont"/>
    <w:uiPriority w:val="21"/>
    <w:qFormat/>
    <w:rsid w:val="0041039B"/>
    <w:rPr>
      <w:i/>
      <w:iCs/>
      <w:color w:val="0F4761" w:themeColor="accent1" w:themeShade="BF"/>
    </w:rPr>
  </w:style>
  <w:style w:type="paragraph" w:styleId="IntenseQuote">
    <w:name w:val="Intense Quote"/>
    <w:basedOn w:val="Normal"/>
    <w:next w:val="Normal"/>
    <w:link w:val="IntenseQuoteChar"/>
    <w:uiPriority w:val="30"/>
    <w:qFormat/>
    <w:rsid w:val="004103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039B"/>
    <w:rPr>
      <w:i/>
      <w:iCs/>
      <w:color w:val="0F4761" w:themeColor="accent1" w:themeShade="BF"/>
    </w:rPr>
  </w:style>
  <w:style w:type="character" w:styleId="IntenseReference">
    <w:name w:val="Intense Reference"/>
    <w:basedOn w:val="DefaultParagraphFont"/>
    <w:uiPriority w:val="32"/>
    <w:qFormat/>
    <w:rsid w:val="004103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15</Pages>
  <Words>2925</Words>
  <Characters>18753</Characters>
  <Application>Microsoft Office Word</Application>
  <DocSecurity>0</DocSecurity>
  <Lines>480</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AlSultan</dc:creator>
  <cp:keywords/>
  <dc:description/>
  <cp:lastModifiedBy>Abdullah AlSultan</cp:lastModifiedBy>
  <cp:revision>2</cp:revision>
  <dcterms:created xsi:type="dcterms:W3CDTF">2026-06-30T22:05:00Z</dcterms:created>
  <dcterms:modified xsi:type="dcterms:W3CDTF">2026-06-30T22:46:00Z</dcterms:modified>
</cp:coreProperties>
</file>