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0E8" w:rsidRPr="00E430E8" w:rsidRDefault="00E430E8" w:rsidP="00E430E8">
      <w:pPr>
        <w:bidi/>
        <w:spacing w:line="360" w:lineRule="auto"/>
        <w:jc w:val="center"/>
        <w:rPr>
          <w:rFonts w:ascii="Traditional Arabic" w:eastAsia="Calibri" w:hAnsi="Traditional Arabic" w:cs="Traditional Arabic"/>
          <w:b/>
          <w:bCs/>
          <w:sz w:val="36"/>
          <w:szCs w:val="36"/>
        </w:rPr>
      </w:pPr>
      <w:r w:rsidRPr="00E430E8">
        <w:rPr>
          <w:rFonts w:ascii="Traditional Arabic" w:eastAsia="Calibri" w:hAnsi="Traditional Arabic" w:cs="Traditional Arabic"/>
          <w:b/>
          <w:bCs/>
          <w:sz w:val="36"/>
          <w:szCs w:val="36"/>
          <w:rtl/>
        </w:rPr>
        <w:t>الفصل الثالث</w:t>
      </w:r>
      <w:r w:rsidRPr="00E430E8">
        <w:rPr>
          <w:rFonts w:ascii="Traditional Arabic" w:eastAsia="Calibri" w:hAnsi="Traditional Arabic" w:cs="Traditional Arabic"/>
          <w:b/>
          <w:bCs/>
          <w:sz w:val="36"/>
          <w:szCs w:val="36"/>
          <w:lang w:val="en-US"/>
        </w:rPr>
        <w:br/>
      </w:r>
      <w:r w:rsidRPr="00E430E8">
        <w:rPr>
          <w:rFonts w:ascii="Traditional Arabic" w:eastAsia="Calibri" w:hAnsi="Traditional Arabic" w:cs="Traditional Arabic"/>
          <w:b/>
          <w:bCs/>
          <w:sz w:val="36"/>
          <w:szCs w:val="36"/>
          <w:rtl/>
        </w:rPr>
        <w:t>منهجية الدراسة وإجراءاتها</w:t>
      </w: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3.1 مقدمة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يتناول هذا الفصل الإجراءات المنهجية التي اعتمدها الباحث لتحقيق أهداف الدراسة والإجابة عن أسئلتها واختبار فرضياتها. ويتضمن الفصل وصفاً لمنهج الدراسة وتصميمها، ومجتمع الدراسة وعينتها، ومتغيرات الدراسة، وأداة جمع البيانات، وإجراءات التحقق من صدق الأداة وثباتها، إضافة إلى إجراءات الدراسة والأساليب الإحصائية المستخدمة في تحليل البيانات</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rPr>
      </w:pPr>
      <w:r w:rsidRPr="00E430E8">
        <w:rPr>
          <w:rFonts w:ascii="Traditional Arabic" w:eastAsia="Calibri" w:hAnsi="Traditional Arabic" w:cs="Traditional Arabic"/>
          <w:sz w:val="32"/>
          <w:szCs w:val="32"/>
          <w:rtl/>
        </w:rPr>
        <w:t xml:space="preserve">وقد هدفت الدراسة إلى التعرف على دور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بأبعاده المتمثلة في التحليل والتنبؤ </w:t>
      </w:r>
      <w:proofErr w:type="spellStart"/>
      <w:r w:rsidRPr="00E430E8">
        <w:rPr>
          <w:rFonts w:ascii="Traditional Arabic" w:eastAsia="Calibri" w:hAnsi="Traditional Arabic" w:cs="Traditional Arabic"/>
          <w:sz w:val="32"/>
          <w:szCs w:val="32"/>
          <w:rtl/>
        </w:rPr>
        <w:t>بالإحتياجات</w:t>
      </w:r>
      <w:proofErr w:type="spellEnd"/>
      <w:r w:rsidRPr="00E430E8">
        <w:rPr>
          <w:rFonts w:ascii="Traditional Arabic" w:eastAsia="Calibri" w:hAnsi="Traditional Arabic" w:cs="Traditional Arabic"/>
          <w:sz w:val="32"/>
          <w:szCs w:val="32"/>
          <w:rtl/>
        </w:rPr>
        <w:t xml:space="preserve">، وتطوير القدرات البشرية، والمتابعة والتقييم، في تعزيز البراعة التنظيمية بأبعادها المتمثلة في المرونة التنظيمية، والتكيف التنظيمي، وسرعة </w:t>
      </w:r>
      <w:proofErr w:type="spellStart"/>
      <w:r w:rsidRPr="00E430E8">
        <w:rPr>
          <w:rFonts w:ascii="Traditional Arabic" w:eastAsia="Calibri" w:hAnsi="Traditional Arabic" w:cs="Traditional Arabic"/>
          <w:sz w:val="32"/>
          <w:szCs w:val="32"/>
          <w:rtl/>
        </w:rPr>
        <w:t>الإستجابة</w:t>
      </w:r>
      <w:proofErr w:type="spellEnd"/>
      <w:r w:rsidRPr="00E430E8">
        <w:rPr>
          <w:rFonts w:ascii="Traditional Arabic" w:eastAsia="Calibri" w:hAnsi="Traditional Arabic" w:cs="Traditional Arabic"/>
          <w:sz w:val="32"/>
          <w:szCs w:val="32"/>
          <w:rtl/>
        </w:rPr>
        <w:t xml:space="preserve"> التنظيمية، </w:t>
      </w:r>
      <w:proofErr w:type="spellStart"/>
      <w:r w:rsidRPr="00E430E8">
        <w:rPr>
          <w:rFonts w:ascii="Traditional Arabic" w:eastAsia="Calibri" w:hAnsi="Traditional Arabic" w:cs="Traditional Arabic"/>
          <w:sz w:val="32"/>
          <w:szCs w:val="32"/>
          <w:rtl/>
        </w:rPr>
        <w:t>والإبتكار</w:t>
      </w:r>
      <w:proofErr w:type="spellEnd"/>
      <w:r w:rsidRPr="00E430E8">
        <w:rPr>
          <w:rFonts w:ascii="Traditional Arabic" w:eastAsia="Calibri" w:hAnsi="Traditional Arabic" w:cs="Traditional Arabic"/>
          <w:sz w:val="32"/>
          <w:szCs w:val="32"/>
          <w:rtl/>
        </w:rPr>
        <w:t xml:space="preserve"> التنظيمي لدى العاملين الإداريين في وزارة الإعلام السعودية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3.2 منهج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اعتمدت الدراسة المنهج الوصفي الارتباطي التحليلي، لملاءمته لطبيعة أهدافها المتمثلة في التعرف إلى مستوى ممارسة التخطيط </w:t>
      </w:r>
      <w:r>
        <w:rPr>
          <w:rFonts w:ascii="Traditional Arabic" w:eastAsia="Calibri" w:hAnsi="Traditional Arabic" w:cs="Traditional Arabic" w:hint="cs"/>
          <w:sz w:val="32"/>
          <w:szCs w:val="32"/>
          <w:rtl/>
        </w:rPr>
        <w:t>الاستراتيجي</w:t>
      </w:r>
      <w:r w:rsidRPr="00E430E8">
        <w:rPr>
          <w:rFonts w:ascii="Traditional Arabic" w:eastAsia="Calibri" w:hAnsi="Traditional Arabic" w:cs="Traditional Arabic"/>
          <w:sz w:val="32"/>
          <w:szCs w:val="32"/>
          <w:rtl/>
        </w:rPr>
        <w:t xml:space="preserve"> للموارد البشرية في وزارة الإعلام السعودية، ومستوى البراعة التنظيمية لدى العاملين الإداريين، إضافة إلى تحليل العلاقة بين المتغيرين والكشف عن أثر أبعاد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في تعزيز البراعة التنظيمية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lastRenderedPageBreak/>
        <w:t>ويُعد المنهج الوصفي الارتباطي التحليلي من أكثر المناهج استخداماً في الدراسات الإدارية والتنظيمية التي تهدف إلى وصف الظواهر كما هي في الواقع، وتحليل العلاقات بين المتغيرات، واختبار قدرتها التفسيرية والتنبؤية بالاعتماد على البيانات الميدانية التي يتم جمعها من أفراد الدراسة. كما يتيح هذا المنهج فهماً أعمق لطبيعة العلاقات القائمة بين المتغيرات، ويسهم في الوصول إلى نتائج علمية يمكن الاستفادة منها في تطوير ممارسات إدارة الموارد البشرية وتعزيز البراعة التنظيمية داخل المؤسسات الحكومية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وقد تم اختيار هذا المنهج لقدرته على قياس أثر أبعاد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المتمثلة في التحليل والتنبؤ </w:t>
      </w:r>
      <w:proofErr w:type="spellStart"/>
      <w:r w:rsidRPr="00E430E8">
        <w:rPr>
          <w:rFonts w:ascii="Traditional Arabic" w:eastAsia="Calibri" w:hAnsi="Traditional Arabic" w:cs="Traditional Arabic"/>
          <w:sz w:val="32"/>
          <w:szCs w:val="32"/>
          <w:rtl/>
        </w:rPr>
        <w:t>بالإحتياجات</w:t>
      </w:r>
      <w:proofErr w:type="spellEnd"/>
      <w:r w:rsidRPr="00E430E8">
        <w:rPr>
          <w:rFonts w:ascii="Traditional Arabic" w:eastAsia="Calibri" w:hAnsi="Traditional Arabic" w:cs="Traditional Arabic"/>
          <w:sz w:val="32"/>
          <w:szCs w:val="32"/>
          <w:rtl/>
        </w:rPr>
        <w:t xml:space="preserve">، وتطوير القدرات البشرية، والمتابعة والتقييم، في البراعة التنظيمية بأبعادها المتمثلة في المرونة التنظيمية، والتكيف التنظيمي، وسرعة </w:t>
      </w:r>
      <w:proofErr w:type="spellStart"/>
      <w:r w:rsidRPr="00E430E8">
        <w:rPr>
          <w:rFonts w:ascii="Traditional Arabic" w:eastAsia="Calibri" w:hAnsi="Traditional Arabic" w:cs="Traditional Arabic"/>
          <w:sz w:val="32"/>
          <w:szCs w:val="32"/>
          <w:rtl/>
        </w:rPr>
        <w:t>الإستجابة</w:t>
      </w:r>
      <w:proofErr w:type="spellEnd"/>
      <w:r w:rsidRPr="00E430E8">
        <w:rPr>
          <w:rFonts w:ascii="Traditional Arabic" w:eastAsia="Calibri" w:hAnsi="Traditional Arabic" w:cs="Traditional Arabic"/>
          <w:sz w:val="32"/>
          <w:szCs w:val="32"/>
          <w:rtl/>
        </w:rPr>
        <w:t xml:space="preserve"> التنظيمية، </w:t>
      </w:r>
      <w:proofErr w:type="spellStart"/>
      <w:r w:rsidRPr="00E430E8">
        <w:rPr>
          <w:rFonts w:ascii="Traditional Arabic" w:eastAsia="Calibri" w:hAnsi="Traditional Arabic" w:cs="Traditional Arabic"/>
          <w:sz w:val="32"/>
          <w:szCs w:val="32"/>
          <w:rtl/>
        </w:rPr>
        <w:t>والإبتكار</w:t>
      </w:r>
      <w:proofErr w:type="spellEnd"/>
      <w:r w:rsidRPr="00E430E8">
        <w:rPr>
          <w:rFonts w:ascii="Traditional Arabic" w:eastAsia="Calibri" w:hAnsi="Traditional Arabic" w:cs="Traditional Arabic"/>
          <w:sz w:val="32"/>
          <w:szCs w:val="32"/>
          <w:rtl/>
        </w:rPr>
        <w:t xml:space="preserve"> التنظيمي لدى العاملين الإداريين في وزارة الإعلام السعودية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3.3 </w:t>
      </w:r>
      <w:proofErr w:type="gramStart"/>
      <w:r w:rsidRPr="00E430E8">
        <w:rPr>
          <w:rFonts w:ascii="Traditional Arabic" w:eastAsia="Calibri" w:hAnsi="Traditional Arabic" w:cs="Traditional Arabic"/>
          <w:b/>
          <w:bCs/>
          <w:sz w:val="32"/>
          <w:szCs w:val="32"/>
          <w:rtl/>
          <w:lang w:val="en-US"/>
        </w:rPr>
        <w:t>تصميم</w:t>
      </w:r>
      <w:proofErr w:type="gramEnd"/>
      <w:r w:rsidRPr="00E430E8">
        <w:rPr>
          <w:rFonts w:ascii="Traditional Arabic" w:eastAsia="Calibri" w:hAnsi="Traditional Arabic" w:cs="Traditional Arabic"/>
          <w:b/>
          <w:bCs/>
          <w:sz w:val="32"/>
          <w:szCs w:val="32"/>
          <w:rtl/>
          <w:lang w:val="en-US"/>
        </w:rPr>
        <w:t xml:space="preserve">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اعتمدت الدراسة تصميماً وصفياً ارتباطياً تفسيرياً، يهدف إلى الكشف عن دور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في تعزيز البراعة التنظيمية لدى العاملين الإداريين في وزارة الإعلام السعودية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ويستند هذا التصميم إلى قياس مستوى ممارسة التخطيط </w:t>
      </w:r>
      <w:r>
        <w:rPr>
          <w:rFonts w:ascii="Traditional Arabic" w:eastAsia="Calibri" w:hAnsi="Traditional Arabic" w:cs="Traditional Arabic" w:hint="cs"/>
          <w:sz w:val="32"/>
          <w:szCs w:val="32"/>
          <w:rtl/>
        </w:rPr>
        <w:t>الاستراتيجي</w:t>
      </w:r>
      <w:r w:rsidRPr="00E430E8">
        <w:rPr>
          <w:rFonts w:ascii="Traditional Arabic" w:eastAsia="Calibri" w:hAnsi="Traditional Arabic" w:cs="Traditional Arabic"/>
          <w:sz w:val="32"/>
          <w:szCs w:val="32"/>
          <w:rtl/>
        </w:rPr>
        <w:t xml:space="preserve"> للموارد البشرية بأبعاده المختلفة، وقياس مستوى البراعة التنظيمية بأبعادها المختلفة، ثم تحليل طبيعة العلاقة بين المتغيرين واختبار أثر أبعاد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في البراعة التنظيمية، من خلال بناء نموذج تفسيري يوضح قدرة المتغير المستقل على تفسير التغير في المتغير التابع</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lastRenderedPageBreak/>
        <w:t xml:space="preserve">ويتكون النموذج المفاهيمي للدراسة من متغير مستقل يتمثل في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بأبعاده الثلاثة: التحليل والتنبؤ </w:t>
      </w:r>
      <w:proofErr w:type="spellStart"/>
      <w:r w:rsidRPr="00E430E8">
        <w:rPr>
          <w:rFonts w:ascii="Traditional Arabic" w:eastAsia="Calibri" w:hAnsi="Traditional Arabic" w:cs="Traditional Arabic"/>
          <w:sz w:val="32"/>
          <w:szCs w:val="32"/>
          <w:rtl/>
        </w:rPr>
        <w:t>بالإحتياجات</w:t>
      </w:r>
      <w:proofErr w:type="spellEnd"/>
      <w:r w:rsidRPr="00E430E8">
        <w:rPr>
          <w:rFonts w:ascii="Traditional Arabic" w:eastAsia="Calibri" w:hAnsi="Traditional Arabic" w:cs="Traditional Arabic"/>
          <w:sz w:val="32"/>
          <w:szCs w:val="32"/>
          <w:rtl/>
        </w:rPr>
        <w:t xml:space="preserve">، وتطوير القدرات البشرية، والمتابعة والتقييم، ومتغير تابع يتمثل في البراعة التنظيمية بأبعادها الأربعة: المرونة التنظيمية، والتكيف التنظيمي، وسرعة </w:t>
      </w:r>
      <w:proofErr w:type="spellStart"/>
      <w:r w:rsidRPr="00E430E8">
        <w:rPr>
          <w:rFonts w:ascii="Traditional Arabic" w:eastAsia="Calibri" w:hAnsi="Traditional Arabic" w:cs="Traditional Arabic"/>
          <w:sz w:val="32"/>
          <w:szCs w:val="32"/>
          <w:rtl/>
        </w:rPr>
        <w:t>الإستجابة</w:t>
      </w:r>
      <w:proofErr w:type="spellEnd"/>
      <w:r w:rsidRPr="00E430E8">
        <w:rPr>
          <w:rFonts w:ascii="Traditional Arabic" w:eastAsia="Calibri" w:hAnsi="Traditional Arabic" w:cs="Traditional Arabic"/>
          <w:sz w:val="32"/>
          <w:szCs w:val="32"/>
          <w:rtl/>
        </w:rPr>
        <w:t xml:space="preserve"> التنظيمية، </w:t>
      </w:r>
      <w:proofErr w:type="spellStart"/>
      <w:r w:rsidRPr="00E430E8">
        <w:rPr>
          <w:rFonts w:ascii="Traditional Arabic" w:eastAsia="Calibri" w:hAnsi="Traditional Arabic" w:cs="Traditional Arabic"/>
          <w:sz w:val="32"/>
          <w:szCs w:val="32"/>
          <w:rtl/>
        </w:rPr>
        <w:t>والإبتكار</w:t>
      </w:r>
      <w:proofErr w:type="spellEnd"/>
      <w:r w:rsidRPr="00E430E8">
        <w:rPr>
          <w:rFonts w:ascii="Traditional Arabic" w:eastAsia="Calibri" w:hAnsi="Traditional Arabic" w:cs="Traditional Arabic"/>
          <w:sz w:val="32"/>
          <w:szCs w:val="32"/>
          <w:rtl/>
        </w:rPr>
        <w:t xml:space="preserve"> التنظيمي</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3.4 </w:t>
      </w:r>
      <w:proofErr w:type="gramStart"/>
      <w:r w:rsidRPr="00E430E8">
        <w:rPr>
          <w:rFonts w:ascii="Traditional Arabic" w:eastAsia="Calibri" w:hAnsi="Traditional Arabic" w:cs="Traditional Arabic"/>
          <w:b/>
          <w:bCs/>
          <w:sz w:val="32"/>
          <w:szCs w:val="32"/>
          <w:rtl/>
          <w:lang w:val="en-US"/>
        </w:rPr>
        <w:t>مجتمع</w:t>
      </w:r>
      <w:proofErr w:type="gramEnd"/>
      <w:r w:rsidRPr="00E430E8">
        <w:rPr>
          <w:rFonts w:ascii="Traditional Arabic" w:eastAsia="Calibri" w:hAnsi="Traditional Arabic" w:cs="Traditional Arabic"/>
          <w:b/>
          <w:bCs/>
          <w:sz w:val="32"/>
          <w:szCs w:val="32"/>
          <w:rtl/>
          <w:lang w:val="en-US"/>
        </w:rPr>
        <w:t xml:space="preserve">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تكوّن مجتمع الدراسة من العاملين الإداريين في ديوان وزارة الإعلام بالمملكة العربية السعودية، دون التوسع ليشمل الهيئات أو المؤسسات التابعة لها، وذلك لارتباطهم المباشر بالعمليات الإدارية والتنظيمية ذات العلاقة بممارسات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وبحكم طبيعة أعمالهم التي تتيح لهم تكوين تصورات واقعية حول مستوى البراعة التنظيمية داخل الوزارة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وتُعد وزارة الإعلام إحدى الجهات الحكومية الرئيسة في المملكة العربية السعودية، حيث تتولى مسؤولية رسم السياسات الإعلامية والإشراف على تنفيذها، وتنظيم قطاع الإعلام، وتعزيز التواصل المؤسسي والإعلامي بما يتوافق مع مستهدفات رؤية المملكة العربية السعودية 2030. كما تشهد الوزارة خلال السنوات الأخيرة العديد من مبادرات التطوير والتحول المؤسسي التي تتطلب ممارسات متقدمة في مجال إدارة الموارد البشرية والتخطيط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ووفقاً</w:t>
      </w:r>
      <w:proofErr w:type="gramEnd"/>
      <w:r w:rsidRPr="00E430E8">
        <w:rPr>
          <w:rFonts w:ascii="Traditional Arabic" w:eastAsia="Calibri" w:hAnsi="Traditional Arabic" w:cs="Traditional Arabic"/>
          <w:sz w:val="32"/>
          <w:szCs w:val="32"/>
          <w:rtl/>
        </w:rPr>
        <w:t xml:space="preserve"> للتقرير السنوي لوزارة الإعلام (2024)، بلغ عدد العاملين في ديوان الوزارة الرئيس (1134) موظفاً وموظفة، يمثلون مجتمع الدراسة المستهدف. </w:t>
      </w:r>
      <w:proofErr w:type="gramStart"/>
      <w:r w:rsidRPr="00E430E8">
        <w:rPr>
          <w:rFonts w:ascii="Traditional Arabic" w:eastAsia="Calibri" w:hAnsi="Traditional Arabic" w:cs="Traditional Arabic"/>
          <w:sz w:val="32"/>
          <w:szCs w:val="32"/>
          <w:rtl/>
        </w:rPr>
        <w:t>ويتوزع</w:t>
      </w:r>
      <w:proofErr w:type="gramEnd"/>
      <w:r w:rsidRPr="00E430E8">
        <w:rPr>
          <w:rFonts w:ascii="Traditional Arabic" w:eastAsia="Calibri" w:hAnsi="Traditional Arabic" w:cs="Traditional Arabic"/>
          <w:sz w:val="32"/>
          <w:szCs w:val="32"/>
          <w:rtl/>
        </w:rPr>
        <w:t xml:space="preserve"> هؤلاء العاملون على عدد من الإدارات </w:t>
      </w:r>
      <w:r w:rsidRPr="00E430E8">
        <w:rPr>
          <w:rFonts w:ascii="Traditional Arabic" w:eastAsia="Calibri" w:hAnsi="Traditional Arabic" w:cs="Traditional Arabic"/>
          <w:sz w:val="32"/>
          <w:szCs w:val="32"/>
          <w:rtl/>
        </w:rPr>
        <w:lastRenderedPageBreak/>
        <w:t>والوحدات التنظيمية المختلفة التي تضطلع بمهام إدارية وفنية وتنظيمية متنوعة، الأمر الذي يعكس تنوع الخبرات والمهارات والمستويات الوظيفية داخل الوزارة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rPr>
      </w:pPr>
      <w:r w:rsidRPr="00E430E8">
        <w:rPr>
          <w:rFonts w:ascii="Traditional Arabic" w:eastAsia="Calibri" w:hAnsi="Traditional Arabic" w:cs="Traditional Arabic"/>
          <w:sz w:val="32"/>
          <w:szCs w:val="32"/>
          <w:rtl/>
        </w:rPr>
        <w:t xml:space="preserve">ويتميز مجتمع الدراسة بتنوع خصائصه الوظيفية والأكاديمية، من حيث المؤهلات العلمية وسنوات الخبرة والمستويات الإدارية، مما يجعله مجتمعاً مناسباً لدراسة دور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في تعزيز البراعة التنظيمية. </w:t>
      </w:r>
      <w:proofErr w:type="gramStart"/>
      <w:r w:rsidRPr="00E430E8">
        <w:rPr>
          <w:rFonts w:ascii="Traditional Arabic" w:eastAsia="Calibri" w:hAnsi="Traditional Arabic" w:cs="Traditional Arabic"/>
          <w:sz w:val="32"/>
          <w:szCs w:val="32"/>
          <w:rtl/>
        </w:rPr>
        <w:t>كما</w:t>
      </w:r>
      <w:proofErr w:type="gramEnd"/>
      <w:r w:rsidRPr="00E430E8">
        <w:rPr>
          <w:rFonts w:ascii="Traditional Arabic" w:eastAsia="Calibri" w:hAnsi="Traditional Arabic" w:cs="Traditional Arabic"/>
          <w:sz w:val="32"/>
          <w:szCs w:val="32"/>
          <w:rtl/>
        </w:rPr>
        <w:t xml:space="preserve"> يُعد هذا المجتمع ملائماً لتحقيق أهداف الدراسة واختبار فرضياتها، نظراً لارتباط أفراده المباشر بالممارسات والسياسات الإدارية والتنظيمية المعمول بها داخل الوزارة، وتأثرهم المستمر ببرامج التخطيط والتطوير وإدارة الموارد البشرية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3.5 عينة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نظرًا لطبيعة الدراسة وأهدافها، تم اختيار عينة قصدية من العاملين الإداريين في ديوان وزارة الإعلام بالمملكة العربية السعودية، ممن ترتبط طبيعة أعمالهم بصورة مباشرة أو غير مباشرة بممارسات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أو ممن لديهم معرفة عملية بإجراءات التخطيط، وتطوير القدرات البشرية، والمتابعة والتقييم داخل الوزارة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وقد بلغ مجتمع الدراسة المستهدف (1134) موظفًا وموظفة من العاملين الإداريين في ديوان وزارة الإعلام، وبالاسترشاد بالجداول الإحصائية الشائعة لتحديد الحد الأدنى المناسب لحجم العينة في الدراسات المسحية، تم استهداف عينة لا تقل عن (285) مفردة. ولتعزيز معدل الاستجابة وتقليل أثر الاستبانات غير الصالحة، تم اعتماد حجم عينة مستهدف قدره (290) موظفًا وموظفة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lastRenderedPageBreak/>
        <w:t xml:space="preserve">وتجدر الإشارة إلى أن استخدام هذا الحجم لا يعني أن العينة عشوائية ممثلة إحصائيًا لجميع العاملين في وزارة الإعلام أو الجهات التابعة لها، وإنما يهدف إلى توفير حجم كافٍ للتحليل الإحصائي ضمن حدود العينة القصدية المختارة. </w:t>
      </w:r>
      <w:proofErr w:type="gramStart"/>
      <w:r w:rsidRPr="00E430E8">
        <w:rPr>
          <w:rFonts w:ascii="Traditional Arabic" w:eastAsia="Calibri" w:hAnsi="Traditional Arabic" w:cs="Traditional Arabic"/>
          <w:sz w:val="32"/>
          <w:szCs w:val="32"/>
          <w:rtl/>
          <w:lang w:val="en-US"/>
        </w:rPr>
        <w:t>وعليه</w:t>
      </w:r>
      <w:proofErr w:type="gramEnd"/>
      <w:r w:rsidRPr="00E430E8">
        <w:rPr>
          <w:rFonts w:ascii="Traditional Arabic" w:eastAsia="Calibri" w:hAnsi="Traditional Arabic" w:cs="Traditional Arabic"/>
          <w:sz w:val="32"/>
          <w:szCs w:val="32"/>
          <w:rtl/>
          <w:lang w:val="en-US"/>
        </w:rPr>
        <w:t>، فإن تعميم نتائج الدراسة سيكون مقيدًا بالعاملين الإداريين في ديوان وزارة الإعلام ممن تنطبق عليهم خصائص الاختيار، ولا يمتد بالضرورة إلى جميع قطاعات الوزارة أو الهيئات والمؤسسات التابعة لها</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وقد تم اختيار العينة القصدية</w:t>
      </w:r>
      <w:r w:rsidRPr="00E430E8">
        <w:rPr>
          <w:rFonts w:ascii="Traditional Arabic" w:eastAsia="Calibri" w:hAnsi="Traditional Arabic" w:cs="Traditional Arabic"/>
          <w:sz w:val="32"/>
          <w:szCs w:val="32"/>
          <w:lang w:val="en-US"/>
        </w:rPr>
        <w:t xml:space="preserve"> (Purposive Sample) </w:t>
      </w:r>
      <w:r w:rsidRPr="00E430E8">
        <w:rPr>
          <w:rFonts w:ascii="Traditional Arabic" w:eastAsia="Calibri" w:hAnsi="Traditional Arabic" w:cs="Traditional Arabic"/>
          <w:sz w:val="32"/>
          <w:szCs w:val="32"/>
          <w:rtl/>
          <w:lang w:val="en-US"/>
        </w:rPr>
        <w:t xml:space="preserve">لملاءمتها لطبيعة موضوع الدراسة، إذ إن متغير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يرتبط بممارسات إدارية وتنظيمية قد لا يكون جميع العاملين على درجة واحدة من الإلمام بها، وإنما تتفاوت درجة المعرفة بها تبعًا لطبيعة المهام والمسؤوليات الوظيفية. </w:t>
      </w:r>
      <w:proofErr w:type="gramStart"/>
      <w:r w:rsidRPr="00E430E8">
        <w:rPr>
          <w:rFonts w:ascii="Traditional Arabic" w:eastAsia="Calibri" w:hAnsi="Traditional Arabic" w:cs="Traditional Arabic"/>
          <w:sz w:val="32"/>
          <w:szCs w:val="32"/>
          <w:rtl/>
          <w:lang w:val="en-US"/>
        </w:rPr>
        <w:t>لذلك</w:t>
      </w:r>
      <w:proofErr w:type="gramEnd"/>
      <w:r w:rsidRPr="00E430E8">
        <w:rPr>
          <w:rFonts w:ascii="Traditional Arabic" w:eastAsia="Calibri" w:hAnsi="Traditional Arabic" w:cs="Traditional Arabic"/>
          <w:sz w:val="32"/>
          <w:szCs w:val="32"/>
          <w:rtl/>
          <w:lang w:val="en-US"/>
        </w:rPr>
        <w:t xml:space="preserve"> ركزت الدراسة على العاملين القادرين على تقديم استجابات مبنية على معرفة فعلية بطبيعة التخطيط، وتطوير القدرات، وآليات المتابعة والتقييم داخل الوزارة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وشملت الفئات المستهدفة العاملين في إدارات الموارد البشرية، والتخطيط، والتطوير الإداري، والشؤون التنظيمية، بالإضافة إلى شاغلي الوظائف </w:t>
      </w:r>
      <w:proofErr w:type="spellStart"/>
      <w:r w:rsidRPr="00E430E8">
        <w:rPr>
          <w:rFonts w:ascii="Traditional Arabic" w:eastAsia="Calibri" w:hAnsi="Traditional Arabic" w:cs="Traditional Arabic"/>
          <w:sz w:val="32"/>
          <w:szCs w:val="32"/>
          <w:rtl/>
          <w:lang w:val="en-US"/>
        </w:rPr>
        <w:t>الإ</w:t>
      </w:r>
      <w:bookmarkStart w:id="0" w:name="_GoBack"/>
      <w:bookmarkEnd w:id="0"/>
      <w:r w:rsidRPr="00E430E8">
        <w:rPr>
          <w:rFonts w:ascii="Traditional Arabic" w:eastAsia="Calibri" w:hAnsi="Traditional Arabic" w:cs="Traditional Arabic"/>
          <w:sz w:val="32"/>
          <w:szCs w:val="32"/>
          <w:rtl/>
          <w:lang w:val="en-US"/>
        </w:rPr>
        <w:t>شرافية</w:t>
      </w:r>
      <w:proofErr w:type="spellEnd"/>
      <w:r w:rsidRPr="00E430E8">
        <w:rPr>
          <w:rFonts w:ascii="Traditional Arabic" w:eastAsia="Calibri" w:hAnsi="Traditional Arabic" w:cs="Traditional Arabic"/>
          <w:sz w:val="32"/>
          <w:szCs w:val="32"/>
          <w:rtl/>
          <w:lang w:val="en-US"/>
        </w:rPr>
        <w:t xml:space="preserve"> والقيادية الوسطى. وقد استند اختيار هذه الفئات إلى عدة مبررات، من أبرزها: مشاركتهم المباشرة في تنفيذ أو متابعة أو تقييم سياسات وإجراءات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داخل الوزارة، وامتلاكهم مستوى أعلى من المعرفة بطبيعة الخطط والبرامج التطويرية المتعلقة بالموارد البشرية مقارنة بغيرهم من العاملين، وتوافق طبيعة وظائفهم مع متغيرات الدراسة، الأمر الذي يعزز من دقة البيانات المجمعة وصدق النتائج المتوقعة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كما تم التنسيق مع الجهات المختصة في الوزارة للوصول إلى الفئات </w:t>
      </w:r>
      <w:proofErr w:type="gramStart"/>
      <w:r w:rsidRPr="00E430E8">
        <w:rPr>
          <w:rFonts w:ascii="Traditional Arabic" w:eastAsia="Calibri" w:hAnsi="Traditional Arabic" w:cs="Traditional Arabic"/>
          <w:sz w:val="32"/>
          <w:szCs w:val="32"/>
          <w:rtl/>
          <w:lang w:val="en-US"/>
        </w:rPr>
        <w:t>المستهدفة</w:t>
      </w:r>
      <w:proofErr w:type="gramEnd"/>
      <w:r w:rsidRPr="00E430E8">
        <w:rPr>
          <w:rFonts w:ascii="Traditional Arabic" w:eastAsia="Calibri" w:hAnsi="Traditional Arabic" w:cs="Traditional Arabic"/>
          <w:sz w:val="32"/>
          <w:szCs w:val="32"/>
          <w:rtl/>
          <w:lang w:val="en-US"/>
        </w:rPr>
        <w:t xml:space="preserve"> وتوزيع أداة الدراسة عليهم. وروعي عند اختيار أفراد العينة تحقيق قدر مناسب من التنوع من حيث الجنس، والمؤهل العلمي، </w:t>
      </w:r>
      <w:r w:rsidRPr="00E430E8">
        <w:rPr>
          <w:rFonts w:ascii="Traditional Arabic" w:eastAsia="Calibri" w:hAnsi="Traditional Arabic" w:cs="Traditional Arabic"/>
          <w:sz w:val="32"/>
          <w:szCs w:val="32"/>
          <w:rtl/>
          <w:lang w:val="en-US"/>
        </w:rPr>
        <w:lastRenderedPageBreak/>
        <w:t>وسنوات الخبرة، والمستوى الوظيفي، والإدارة التي يعمل بها المشارك، بما يسهم في تنويع خصائص المشاركين ويرفع من إمكانية الاستفادة من النتائج في بيئات تنظيمية مماثلة، دون الادعاء بإمكان تعميمها إحصائيًا على جميع قطاعات الوزارة أو الجهات التابعة لها</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3.6 </w:t>
      </w:r>
      <w:proofErr w:type="gramStart"/>
      <w:r w:rsidRPr="00E430E8">
        <w:rPr>
          <w:rFonts w:ascii="Traditional Arabic" w:eastAsia="Calibri" w:hAnsi="Traditional Arabic" w:cs="Traditional Arabic"/>
          <w:b/>
          <w:bCs/>
          <w:sz w:val="32"/>
          <w:szCs w:val="32"/>
          <w:rtl/>
          <w:lang w:val="en-US"/>
        </w:rPr>
        <w:t>متغيرات</w:t>
      </w:r>
      <w:proofErr w:type="gramEnd"/>
      <w:r w:rsidRPr="00E430E8">
        <w:rPr>
          <w:rFonts w:ascii="Traditional Arabic" w:eastAsia="Calibri" w:hAnsi="Traditional Arabic" w:cs="Traditional Arabic"/>
          <w:b/>
          <w:bCs/>
          <w:sz w:val="32"/>
          <w:szCs w:val="32"/>
          <w:rtl/>
          <w:lang w:val="en-US"/>
        </w:rPr>
        <w:t xml:space="preserve">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استناداً إلى الإطار النظري والدراسات السابقة ذات العلاقة بالتخطيط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والبراعة التنظيمية، تم بناء النموذج المفاهيمي للدراسة الذي يفترض وجود تأثير للتخطيط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في تعزيز البراعة التنظيمية لدى العاملين الإداريين في وزارة الإعلام السعودية. </w:t>
      </w:r>
      <w:proofErr w:type="gramStart"/>
      <w:r w:rsidRPr="00E430E8">
        <w:rPr>
          <w:rFonts w:ascii="Traditional Arabic" w:eastAsia="Calibri" w:hAnsi="Traditional Arabic" w:cs="Traditional Arabic"/>
          <w:sz w:val="32"/>
          <w:szCs w:val="32"/>
          <w:rtl/>
          <w:lang w:val="en-US"/>
        </w:rPr>
        <w:t>وقد</w:t>
      </w:r>
      <w:proofErr w:type="gramEnd"/>
      <w:r w:rsidRPr="00E430E8">
        <w:rPr>
          <w:rFonts w:ascii="Traditional Arabic" w:eastAsia="Calibri" w:hAnsi="Traditional Arabic" w:cs="Traditional Arabic"/>
          <w:sz w:val="32"/>
          <w:szCs w:val="32"/>
          <w:rtl/>
          <w:lang w:val="en-US"/>
        </w:rPr>
        <w:t xml:space="preserve"> اعتمدت الدراسة متغيراً مستقلاً ومتغيراً تابعاً، كما هو موضح في نموذج الدراسة المعتمد، وذلك على النحو الآتي</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أولاً: المتغير المستقل</w:t>
      </w:r>
      <w:r w:rsidRPr="00E430E8">
        <w:rPr>
          <w:rFonts w:ascii="Traditional Arabic" w:eastAsia="Calibri" w:hAnsi="Traditional Arabic" w:cs="Traditional Arabic" w:hint="cs"/>
          <w:sz w:val="32"/>
          <w:szCs w:val="32"/>
          <w:rtl/>
          <w:lang w:val="en-US" w:bidi="ar-AE"/>
        </w:rPr>
        <w:t xml:space="preserve"> (</w:t>
      </w:r>
      <w:r w:rsidRPr="00E430E8">
        <w:rPr>
          <w:rFonts w:ascii="Traditional Arabic" w:eastAsia="Calibri" w:hAnsi="Traditional Arabic" w:cs="Traditional Arabic"/>
          <w:sz w:val="32"/>
          <w:szCs w:val="32"/>
          <w:rtl/>
          <w:lang w:val="en-US"/>
        </w:rPr>
        <w:t xml:space="preserve">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w:t>
      </w:r>
      <w:r w:rsidRPr="00E430E8">
        <w:rPr>
          <w:rFonts w:ascii="Traditional Arabic" w:eastAsia="Calibri" w:hAnsi="Traditional Arabic" w:cs="Traditional Arabic" w:hint="cs"/>
          <w:sz w:val="32"/>
          <w:szCs w:val="32"/>
          <w:rtl/>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ويقصد به الدرجة التي يحصل عليها المبحوث على فقرات استبانة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المعدة لأغراض الدراسة، والتي تقيس مستوى الممارسات التي تتبناها وزارة الإعلام في مجال التخطيط للموارد البشرية، بما يشمل تحليل وتحديد </w:t>
      </w:r>
      <w:proofErr w:type="spellStart"/>
      <w:r w:rsidRPr="00E430E8">
        <w:rPr>
          <w:rFonts w:ascii="Traditional Arabic" w:eastAsia="Calibri" w:hAnsi="Traditional Arabic" w:cs="Traditional Arabic"/>
          <w:sz w:val="32"/>
          <w:szCs w:val="32"/>
          <w:rtl/>
          <w:lang w:val="en-US"/>
        </w:rPr>
        <w:t>الإحتياجات</w:t>
      </w:r>
      <w:proofErr w:type="spellEnd"/>
      <w:r w:rsidRPr="00E430E8">
        <w:rPr>
          <w:rFonts w:ascii="Traditional Arabic" w:eastAsia="Calibri" w:hAnsi="Traditional Arabic" w:cs="Traditional Arabic"/>
          <w:sz w:val="32"/>
          <w:szCs w:val="32"/>
          <w:rtl/>
          <w:lang w:val="en-US"/>
        </w:rPr>
        <w:t xml:space="preserve"> الحالية والمستقبلية من القوى العاملة، وتطوير القدرات البشرية، ومتابعة وتقويم خطط الموارد البشرية بما ينسجم مع الأهداف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ة للوزارة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وقد تم اختيار هذا المتغير استناداً إلى الأدبيات الحديثة التي تؤكد أن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يمثل أحد المرتكزات الأساسية في تحقيق الكفاءة التنظيمية وتعزيز قدرة المؤسسات على مواجهة التغيرات البيئية والتنافسية. كما اعتمدت الدراسة الأبعاد </w:t>
      </w:r>
      <w:proofErr w:type="gramStart"/>
      <w:r w:rsidRPr="00E430E8">
        <w:rPr>
          <w:rFonts w:ascii="Traditional Arabic" w:eastAsia="Calibri" w:hAnsi="Traditional Arabic" w:cs="Traditional Arabic"/>
          <w:sz w:val="32"/>
          <w:szCs w:val="32"/>
          <w:rtl/>
          <w:lang w:val="en-US"/>
        </w:rPr>
        <w:t>الأكثر</w:t>
      </w:r>
      <w:proofErr w:type="gramEnd"/>
      <w:r w:rsidRPr="00E430E8">
        <w:rPr>
          <w:rFonts w:ascii="Traditional Arabic" w:eastAsia="Calibri" w:hAnsi="Traditional Arabic" w:cs="Traditional Arabic"/>
          <w:sz w:val="32"/>
          <w:szCs w:val="32"/>
          <w:rtl/>
          <w:lang w:val="en-US"/>
        </w:rPr>
        <w:t xml:space="preserve"> شيوعاً في الدراسات الحديثة، وبخاصة ما </w:t>
      </w:r>
      <w:r w:rsidRPr="00E430E8">
        <w:rPr>
          <w:rFonts w:ascii="Traditional Arabic" w:eastAsia="Calibri" w:hAnsi="Traditional Arabic" w:cs="Traditional Arabic"/>
          <w:sz w:val="32"/>
          <w:szCs w:val="32"/>
          <w:rtl/>
          <w:lang w:val="en-US"/>
        </w:rPr>
        <w:lastRenderedPageBreak/>
        <w:t>ورد لدى</w:t>
      </w:r>
      <w:r w:rsidRPr="00E430E8">
        <w:rPr>
          <w:rFonts w:ascii="Traditional Arabic" w:eastAsia="Calibri" w:hAnsi="Traditional Arabic" w:cs="Traditional Arabic"/>
          <w:sz w:val="32"/>
          <w:szCs w:val="32"/>
          <w:lang w:val="en-US"/>
        </w:rPr>
        <w:t xml:space="preserve"> Malik (2022)</w:t>
      </w:r>
      <w:r w:rsidRPr="00E430E8">
        <w:rPr>
          <w:rFonts w:ascii="Traditional Arabic" w:eastAsia="Calibri" w:hAnsi="Traditional Arabic" w:cs="Traditional Arabic"/>
          <w:sz w:val="32"/>
          <w:szCs w:val="32"/>
          <w:rtl/>
          <w:lang w:val="en-US"/>
        </w:rPr>
        <w:t>، و</w:t>
      </w:r>
      <w:proofErr w:type="spellStart"/>
      <w:r w:rsidRPr="00E430E8">
        <w:rPr>
          <w:rFonts w:ascii="Traditional Arabic" w:eastAsia="Calibri" w:hAnsi="Traditional Arabic" w:cs="Traditional Arabic"/>
          <w:sz w:val="32"/>
          <w:szCs w:val="32"/>
          <w:lang w:val="en-US"/>
        </w:rPr>
        <w:t>Belcourt</w:t>
      </w:r>
      <w:proofErr w:type="spellEnd"/>
      <w:r w:rsidRPr="00E430E8">
        <w:rPr>
          <w:rFonts w:ascii="Traditional Arabic" w:eastAsia="Calibri" w:hAnsi="Traditional Arabic" w:cs="Traditional Arabic"/>
          <w:sz w:val="32"/>
          <w:szCs w:val="32"/>
          <w:lang w:val="en-US"/>
        </w:rPr>
        <w:t xml:space="preserve"> and </w:t>
      </w:r>
      <w:proofErr w:type="spellStart"/>
      <w:r w:rsidRPr="00E430E8">
        <w:rPr>
          <w:rFonts w:ascii="Traditional Arabic" w:eastAsia="Calibri" w:hAnsi="Traditional Arabic" w:cs="Traditional Arabic"/>
          <w:sz w:val="32"/>
          <w:szCs w:val="32"/>
          <w:lang w:val="en-US"/>
        </w:rPr>
        <w:t>Podolsky</w:t>
      </w:r>
      <w:proofErr w:type="spellEnd"/>
      <w:r w:rsidRPr="00E430E8">
        <w:rPr>
          <w:rFonts w:ascii="Traditional Arabic" w:eastAsia="Calibri" w:hAnsi="Traditional Arabic" w:cs="Traditional Arabic"/>
          <w:sz w:val="32"/>
          <w:szCs w:val="32"/>
          <w:lang w:val="en-US"/>
        </w:rPr>
        <w:t xml:space="preserve"> (2023)</w:t>
      </w:r>
      <w:r w:rsidRPr="00E430E8">
        <w:rPr>
          <w:rFonts w:ascii="Traditional Arabic" w:eastAsia="Calibri" w:hAnsi="Traditional Arabic" w:cs="Traditional Arabic"/>
          <w:sz w:val="32"/>
          <w:szCs w:val="32"/>
          <w:rtl/>
          <w:lang w:val="en-US"/>
        </w:rPr>
        <w:t>، و</w:t>
      </w:r>
      <w:r w:rsidRPr="00E430E8">
        <w:rPr>
          <w:rFonts w:ascii="Traditional Arabic" w:eastAsia="Calibri" w:hAnsi="Traditional Arabic" w:cs="Traditional Arabic"/>
          <w:sz w:val="32"/>
          <w:szCs w:val="32"/>
          <w:lang w:val="en-US"/>
        </w:rPr>
        <w:t>Smith (2022)</w:t>
      </w:r>
      <w:r w:rsidRPr="00E430E8">
        <w:rPr>
          <w:rFonts w:ascii="Traditional Arabic" w:eastAsia="Calibri" w:hAnsi="Traditional Arabic" w:cs="Traditional Arabic"/>
          <w:sz w:val="32"/>
          <w:szCs w:val="32"/>
          <w:rtl/>
          <w:lang w:val="en-US"/>
        </w:rPr>
        <w:t>، و</w:t>
      </w:r>
      <w:proofErr w:type="spellStart"/>
      <w:r w:rsidRPr="00E430E8">
        <w:rPr>
          <w:rFonts w:ascii="Traditional Arabic" w:eastAsia="Calibri" w:hAnsi="Traditional Arabic" w:cs="Traditional Arabic"/>
          <w:sz w:val="32"/>
          <w:szCs w:val="32"/>
          <w:lang w:val="en-US"/>
        </w:rPr>
        <w:t>Aguinis</w:t>
      </w:r>
      <w:proofErr w:type="spellEnd"/>
      <w:r w:rsidRPr="00E430E8">
        <w:rPr>
          <w:rFonts w:ascii="Traditional Arabic" w:eastAsia="Calibri" w:hAnsi="Traditional Arabic" w:cs="Traditional Arabic"/>
          <w:sz w:val="32"/>
          <w:szCs w:val="32"/>
          <w:lang w:val="en-US"/>
        </w:rPr>
        <w:t xml:space="preserve"> (2019).</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ويتكون هذا المتغير من الأبعاد الآتية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1"/>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التحليل والتنبؤ </w:t>
      </w:r>
      <w:proofErr w:type="spellStart"/>
      <w:r w:rsidRPr="00E430E8">
        <w:rPr>
          <w:rFonts w:ascii="Traditional Arabic" w:eastAsia="Calibri" w:hAnsi="Traditional Arabic" w:cs="Traditional Arabic"/>
          <w:sz w:val="32"/>
          <w:szCs w:val="32"/>
          <w:rtl/>
          <w:lang w:val="en-US"/>
        </w:rPr>
        <w:t>بالإحتياجات</w:t>
      </w:r>
      <w:proofErr w:type="spellEnd"/>
      <w:r w:rsidRPr="00E430E8">
        <w:rPr>
          <w:rFonts w:ascii="Traditional Arabic" w:eastAsia="Calibri" w:hAnsi="Traditional Arabic" w:cs="Traditional Arabic"/>
          <w:sz w:val="32"/>
          <w:szCs w:val="32"/>
          <w:rtl/>
          <w:lang w:val="en-US"/>
        </w:rPr>
        <w:t xml:space="preserve">: ويقصد به قدرة الوزارة على تحديد احتياجاتها الحالية والمستقبلية من الموارد البشرية في ضوء أهدافها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ة ومتطلبات العمل</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1"/>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تطوير القدرات البشرية: ويقصد به الجهود والممارسات التي تتبناها الوزارة لتنمية معارف العاملين ومهاراتهم وقدراتهم بما يحقق التوافق بين احتياجات العمل الحالية </w:t>
      </w:r>
      <w:proofErr w:type="gramStart"/>
      <w:r w:rsidRPr="00E430E8">
        <w:rPr>
          <w:rFonts w:ascii="Traditional Arabic" w:eastAsia="Calibri" w:hAnsi="Traditional Arabic" w:cs="Traditional Arabic"/>
          <w:sz w:val="32"/>
          <w:szCs w:val="32"/>
          <w:rtl/>
          <w:lang w:val="en-US"/>
        </w:rPr>
        <w:t>والمستقبلية</w:t>
      </w:r>
      <w:proofErr w:type="gramEnd"/>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1"/>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المتابعة والتقييم: ويقصد به مدى قيام الوزارة بمتابعة تنفيذ </w:t>
      </w:r>
      <w:proofErr w:type="gramStart"/>
      <w:r w:rsidRPr="00E430E8">
        <w:rPr>
          <w:rFonts w:ascii="Traditional Arabic" w:eastAsia="Calibri" w:hAnsi="Traditional Arabic" w:cs="Traditional Arabic"/>
          <w:sz w:val="32"/>
          <w:szCs w:val="32"/>
          <w:rtl/>
          <w:lang w:val="en-US"/>
        </w:rPr>
        <w:t>خطط</w:t>
      </w:r>
      <w:proofErr w:type="gramEnd"/>
      <w:r w:rsidRPr="00E430E8">
        <w:rPr>
          <w:rFonts w:ascii="Traditional Arabic" w:eastAsia="Calibri" w:hAnsi="Traditional Arabic" w:cs="Traditional Arabic"/>
          <w:sz w:val="32"/>
          <w:szCs w:val="32"/>
          <w:rtl/>
          <w:lang w:val="en-US"/>
        </w:rPr>
        <w:t xml:space="preserve"> الموارد البشرية وتقويم نتائجها بصورة دورية لضمان تحقيق الأهداف المخطط لها</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ثانياً: </w:t>
      </w:r>
      <w:proofErr w:type="gramStart"/>
      <w:r w:rsidRPr="00E430E8">
        <w:rPr>
          <w:rFonts w:ascii="Traditional Arabic" w:eastAsia="Calibri" w:hAnsi="Traditional Arabic" w:cs="Traditional Arabic"/>
          <w:sz w:val="32"/>
          <w:szCs w:val="32"/>
          <w:rtl/>
          <w:lang w:val="en-US"/>
        </w:rPr>
        <w:t>المتغير</w:t>
      </w:r>
      <w:proofErr w:type="gramEnd"/>
      <w:r w:rsidRPr="00E430E8">
        <w:rPr>
          <w:rFonts w:ascii="Traditional Arabic" w:eastAsia="Calibri" w:hAnsi="Traditional Arabic" w:cs="Traditional Arabic"/>
          <w:sz w:val="32"/>
          <w:szCs w:val="32"/>
          <w:rtl/>
          <w:lang w:val="en-US"/>
        </w:rPr>
        <w:t xml:space="preserve"> التابع</w:t>
      </w:r>
      <w:r w:rsidRPr="00E430E8">
        <w:rPr>
          <w:rFonts w:ascii="Traditional Arabic" w:eastAsia="Calibri" w:hAnsi="Traditional Arabic" w:cs="Traditional Arabic" w:hint="cs"/>
          <w:sz w:val="32"/>
          <w:szCs w:val="32"/>
          <w:rtl/>
          <w:lang w:val="en-US" w:bidi="ar-AE"/>
        </w:rPr>
        <w:t xml:space="preserve"> (</w:t>
      </w:r>
      <w:r w:rsidRPr="00E430E8">
        <w:rPr>
          <w:rFonts w:ascii="Traditional Arabic" w:eastAsia="Calibri" w:hAnsi="Traditional Arabic" w:cs="Traditional Arabic"/>
          <w:sz w:val="32"/>
          <w:szCs w:val="32"/>
          <w:rtl/>
          <w:lang w:val="en-US"/>
        </w:rPr>
        <w:t>البراعة التنظيمية</w:t>
      </w:r>
      <w:r w:rsidRPr="00E430E8">
        <w:rPr>
          <w:rFonts w:ascii="Traditional Arabic" w:eastAsia="Calibri" w:hAnsi="Traditional Arabic" w:cs="Traditional Arabic" w:hint="cs"/>
          <w:sz w:val="32"/>
          <w:szCs w:val="32"/>
          <w:rtl/>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ويقصد بها الدرجة التي يحصل عليها المبحوث على فقرات استبانة البراعة التنظيمية المعدة لأغراض الدراسة، والتي تعكس قدرة الوزارة على تحقيق التوازن بين استثمار مواردها الحالية وتطوير قدراتها المستقبلية، من خلال تعزيز المرونة التنظيمية والتكيف مع المتغيرات وسرعة </w:t>
      </w:r>
      <w:proofErr w:type="spellStart"/>
      <w:r w:rsidRPr="00E430E8">
        <w:rPr>
          <w:rFonts w:ascii="Traditional Arabic" w:eastAsia="Calibri" w:hAnsi="Traditional Arabic" w:cs="Traditional Arabic"/>
          <w:sz w:val="32"/>
          <w:szCs w:val="32"/>
          <w:rtl/>
          <w:lang w:val="en-US"/>
        </w:rPr>
        <w:t>الإستجابة</w:t>
      </w:r>
      <w:proofErr w:type="spellEnd"/>
      <w:r w:rsidRPr="00E430E8">
        <w:rPr>
          <w:rFonts w:ascii="Traditional Arabic" w:eastAsia="Calibri" w:hAnsi="Traditional Arabic" w:cs="Traditional Arabic"/>
          <w:sz w:val="32"/>
          <w:szCs w:val="32"/>
          <w:rtl/>
          <w:lang w:val="en-US"/>
        </w:rPr>
        <w:t xml:space="preserve"> للفرص والتحديات </w:t>
      </w:r>
      <w:proofErr w:type="spellStart"/>
      <w:r w:rsidRPr="00E430E8">
        <w:rPr>
          <w:rFonts w:ascii="Traditional Arabic" w:eastAsia="Calibri" w:hAnsi="Traditional Arabic" w:cs="Traditional Arabic"/>
          <w:sz w:val="32"/>
          <w:szCs w:val="32"/>
          <w:rtl/>
          <w:lang w:val="en-US"/>
        </w:rPr>
        <w:t>والإبتكار</w:t>
      </w:r>
      <w:proofErr w:type="spellEnd"/>
      <w:r w:rsidRPr="00E430E8">
        <w:rPr>
          <w:rFonts w:ascii="Traditional Arabic" w:eastAsia="Calibri" w:hAnsi="Traditional Arabic" w:cs="Traditional Arabic"/>
          <w:sz w:val="32"/>
          <w:szCs w:val="32"/>
          <w:rtl/>
          <w:lang w:val="en-US"/>
        </w:rPr>
        <w:t xml:space="preserve"> في بيئة العمل</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وقد تم اختيار هذا المتغير استناداً إلى الأدبيات الحديثة التي تنظر إلى البراعة التنظيمية بوصفها قدرة المنظمة على المواءمة بين الكفاءة التشغيلية والاستجابة للتغيرات البيئية، بما يسهم في تعزيز الأداء المؤسسي واستدامة الميزة التنافسية. واعتمدت الدراسة أبعاد البراعة التنظيمية </w:t>
      </w:r>
      <w:proofErr w:type="gramStart"/>
      <w:r w:rsidRPr="00E430E8">
        <w:rPr>
          <w:rFonts w:ascii="Traditional Arabic" w:eastAsia="Calibri" w:hAnsi="Traditional Arabic" w:cs="Traditional Arabic"/>
          <w:sz w:val="32"/>
          <w:szCs w:val="32"/>
          <w:rtl/>
          <w:lang w:val="en-US"/>
        </w:rPr>
        <w:t>الأكثر</w:t>
      </w:r>
      <w:proofErr w:type="gramEnd"/>
      <w:r w:rsidRPr="00E430E8">
        <w:rPr>
          <w:rFonts w:ascii="Traditional Arabic" w:eastAsia="Calibri" w:hAnsi="Traditional Arabic" w:cs="Traditional Arabic"/>
          <w:sz w:val="32"/>
          <w:szCs w:val="32"/>
          <w:rtl/>
          <w:lang w:val="en-US"/>
        </w:rPr>
        <w:t xml:space="preserve"> ارتباطاً بالقطاع الحكومي، استناداً إلى ما ورد لدى </w:t>
      </w:r>
      <w:proofErr w:type="spellStart"/>
      <w:r w:rsidRPr="00E430E8">
        <w:rPr>
          <w:rFonts w:ascii="Traditional Arabic" w:eastAsia="Calibri" w:hAnsi="Traditional Arabic" w:cs="Traditional Arabic"/>
          <w:sz w:val="32"/>
          <w:szCs w:val="32"/>
          <w:lang w:val="en-US"/>
        </w:rPr>
        <w:t>Barjis</w:t>
      </w:r>
      <w:proofErr w:type="spellEnd"/>
      <w:r w:rsidRPr="00E430E8">
        <w:rPr>
          <w:rFonts w:ascii="Traditional Arabic" w:eastAsia="Calibri" w:hAnsi="Traditional Arabic" w:cs="Traditional Arabic"/>
          <w:sz w:val="32"/>
          <w:szCs w:val="32"/>
          <w:lang w:val="en-US"/>
        </w:rPr>
        <w:t>, 2023)</w:t>
      </w:r>
      <w:r w:rsidRPr="00E430E8">
        <w:rPr>
          <w:rFonts w:ascii="Traditional Arabic" w:eastAsia="Calibri" w:hAnsi="Traditional Arabic" w:cs="Traditional Arabic"/>
          <w:sz w:val="32"/>
          <w:szCs w:val="32"/>
          <w:rtl/>
          <w:lang w:val="en-US"/>
        </w:rPr>
        <w:t>) و</w:t>
      </w:r>
      <w:proofErr w:type="spellStart"/>
      <w:r w:rsidRPr="00E430E8">
        <w:rPr>
          <w:rFonts w:ascii="Traditional Arabic" w:eastAsia="Calibri" w:hAnsi="Traditional Arabic" w:cs="Traditional Arabic"/>
          <w:sz w:val="32"/>
          <w:szCs w:val="32"/>
          <w:lang w:val="en-US"/>
        </w:rPr>
        <w:t>Tidd</w:t>
      </w:r>
      <w:proofErr w:type="spellEnd"/>
      <w:r w:rsidRPr="00E430E8">
        <w:rPr>
          <w:rFonts w:ascii="Traditional Arabic" w:eastAsia="Calibri" w:hAnsi="Traditional Arabic" w:cs="Traditional Arabic"/>
          <w:sz w:val="32"/>
          <w:szCs w:val="32"/>
          <w:lang w:val="en-US"/>
        </w:rPr>
        <w:t xml:space="preserve"> and </w:t>
      </w:r>
      <w:proofErr w:type="spellStart"/>
      <w:r w:rsidRPr="00E430E8">
        <w:rPr>
          <w:rFonts w:ascii="Traditional Arabic" w:eastAsia="Calibri" w:hAnsi="Traditional Arabic" w:cs="Traditional Arabic"/>
          <w:sz w:val="32"/>
          <w:szCs w:val="32"/>
          <w:lang w:val="en-US"/>
        </w:rPr>
        <w:t>Bessant</w:t>
      </w:r>
      <w:proofErr w:type="spellEnd"/>
      <w:r w:rsidRPr="00E430E8">
        <w:rPr>
          <w:rFonts w:ascii="Traditional Arabic" w:eastAsia="Calibri" w:hAnsi="Traditional Arabic" w:cs="Traditional Arabic"/>
          <w:sz w:val="32"/>
          <w:szCs w:val="32"/>
          <w:lang w:val="en-US"/>
        </w:rPr>
        <w:t xml:space="preserve">, 2023) </w:t>
      </w:r>
      <w:r w:rsidRPr="00E430E8">
        <w:rPr>
          <w:rFonts w:ascii="Traditional Arabic" w:eastAsia="Calibri" w:hAnsi="Traditional Arabic" w:cs="Traditional Arabic"/>
          <w:sz w:val="32"/>
          <w:szCs w:val="32"/>
          <w:rtl/>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lastRenderedPageBreak/>
        <w:t>ويتكون هذا المتغير من الأبعاد الآتية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2"/>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المرونة التنظيمية: وتعبر عن قدرة الوزارة على تعديل إجراءاتها وهياكلها وأساليب عملها بما يتلاءم مع المتغيرات الداخلية والخارجية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2"/>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التكيف التنظيمي: ويقصد به قدرة الوزارة على الاستجابة للتغيرات والتحديات البيئية وتوظيفها بما يخدم تحقيق أهدافها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2"/>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سرعة </w:t>
      </w:r>
      <w:proofErr w:type="spellStart"/>
      <w:r w:rsidRPr="00E430E8">
        <w:rPr>
          <w:rFonts w:ascii="Traditional Arabic" w:eastAsia="Calibri" w:hAnsi="Traditional Arabic" w:cs="Traditional Arabic"/>
          <w:sz w:val="32"/>
          <w:szCs w:val="32"/>
          <w:rtl/>
          <w:lang w:val="en-US"/>
        </w:rPr>
        <w:t>الإستجابة</w:t>
      </w:r>
      <w:proofErr w:type="spellEnd"/>
      <w:r w:rsidRPr="00E430E8">
        <w:rPr>
          <w:rFonts w:ascii="Traditional Arabic" w:eastAsia="Calibri" w:hAnsi="Traditional Arabic" w:cs="Traditional Arabic"/>
          <w:sz w:val="32"/>
          <w:szCs w:val="32"/>
          <w:rtl/>
          <w:lang w:val="en-US"/>
        </w:rPr>
        <w:t xml:space="preserve"> التنظيمية: وتعبر عن قدرة الوزارة على التعامل السريع والفعال مع المستجدات والفرص والتحديات التي تواجهها</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2"/>
        </w:numPr>
        <w:bidi/>
        <w:spacing w:after="160" w:line="360" w:lineRule="auto"/>
        <w:jc w:val="both"/>
        <w:rPr>
          <w:rFonts w:ascii="Traditional Arabic" w:eastAsia="Calibri" w:hAnsi="Traditional Arabic" w:cs="Traditional Arabic"/>
          <w:sz w:val="32"/>
          <w:szCs w:val="32"/>
          <w:lang w:val="en-US"/>
        </w:rPr>
      </w:pPr>
      <w:proofErr w:type="spellStart"/>
      <w:r w:rsidRPr="00E430E8">
        <w:rPr>
          <w:rFonts w:ascii="Traditional Arabic" w:eastAsia="Calibri" w:hAnsi="Traditional Arabic" w:cs="Traditional Arabic"/>
          <w:sz w:val="32"/>
          <w:szCs w:val="32"/>
          <w:rtl/>
          <w:lang w:val="en-US"/>
        </w:rPr>
        <w:t>الإبتكار</w:t>
      </w:r>
      <w:proofErr w:type="spellEnd"/>
      <w:r w:rsidRPr="00E430E8">
        <w:rPr>
          <w:rFonts w:ascii="Traditional Arabic" w:eastAsia="Calibri" w:hAnsi="Traditional Arabic" w:cs="Traditional Arabic"/>
          <w:sz w:val="32"/>
          <w:szCs w:val="32"/>
          <w:rtl/>
          <w:lang w:val="en-US"/>
        </w:rPr>
        <w:t xml:space="preserve"> التنظيمي: ويقصد به قدرة الوزارة على تبني الأفكار والممارسات الجديدة وتطوير أساليب العمل والخدمات بصورة مستمرة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ويفترض النموذج المفاهيمي للدراسة وجود تأثير إيجابي لأبعاد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المتمثلة في التحليل والتنبؤ </w:t>
      </w:r>
      <w:proofErr w:type="spellStart"/>
      <w:r w:rsidRPr="00E430E8">
        <w:rPr>
          <w:rFonts w:ascii="Traditional Arabic" w:eastAsia="Calibri" w:hAnsi="Traditional Arabic" w:cs="Traditional Arabic"/>
          <w:sz w:val="32"/>
          <w:szCs w:val="32"/>
          <w:rtl/>
          <w:lang w:val="en-US"/>
        </w:rPr>
        <w:t>بالإحتياجات</w:t>
      </w:r>
      <w:proofErr w:type="spellEnd"/>
      <w:r w:rsidRPr="00E430E8">
        <w:rPr>
          <w:rFonts w:ascii="Traditional Arabic" w:eastAsia="Calibri" w:hAnsi="Traditional Arabic" w:cs="Traditional Arabic"/>
          <w:sz w:val="32"/>
          <w:szCs w:val="32"/>
          <w:rtl/>
          <w:lang w:val="en-US"/>
        </w:rPr>
        <w:t xml:space="preserve">، وتطوير القدرات البشرية، والمتابعة والتقييم، في البراعة التنظيمية بأبعادها المتمثلة في المرونة التنظيمية، والتكيف التنظيمي، وسرعة </w:t>
      </w:r>
      <w:proofErr w:type="spellStart"/>
      <w:r w:rsidRPr="00E430E8">
        <w:rPr>
          <w:rFonts w:ascii="Traditional Arabic" w:eastAsia="Calibri" w:hAnsi="Traditional Arabic" w:cs="Traditional Arabic"/>
          <w:sz w:val="32"/>
          <w:szCs w:val="32"/>
          <w:rtl/>
          <w:lang w:val="en-US"/>
        </w:rPr>
        <w:t>الإستجابة</w:t>
      </w:r>
      <w:proofErr w:type="spellEnd"/>
      <w:r w:rsidRPr="00E430E8">
        <w:rPr>
          <w:rFonts w:ascii="Traditional Arabic" w:eastAsia="Calibri" w:hAnsi="Traditional Arabic" w:cs="Traditional Arabic"/>
          <w:sz w:val="32"/>
          <w:szCs w:val="32"/>
          <w:rtl/>
          <w:lang w:val="en-US"/>
        </w:rPr>
        <w:t xml:space="preserve"> التنظيمية، </w:t>
      </w:r>
      <w:proofErr w:type="spellStart"/>
      <w:r w:rsidRPr="00E430E8">
        <w:rPr>
          <w:rFonts w:ascii="Traditional Arabic" w:eastAsia="Calibri" w:hAnsi="Traditional Arabic" w:cs="Traditional Arabic"/>
          <w:sz w:val="32"/>
          <w:szCs w:val="32"/>
          <w:rtl/>
          <w:lang w:val="en-US"/>
        </w:rPr>
        <w:t>والإبتكار</w:t>
      </w:r>
      <w:proofErr w:type="spellEnd"/>
      <w:r w:rsidRPr="00E430E8">
        <w:rPr>
          <w:rFonts w:ascii="Traditional Arabic" w:eastAsia="Calibri" w:hAnsi="Traditional Arabic" w:cs="Traditional Arabic"/>
          <w:sz w:val="32"/>
          <w:szCs w:val="32"/>
          <w:rtl/>
          <w:lang w:val="en-US"/>
        </w:rPr>
        <w:t xml:space="preserve"> التنظيمي لدى العاملين الإداريين في وزارة الإعلام السعودية، وهو ما سيتم اختباره من خلال الفرضيات والإجراءات الإحصائية المعتمدة في الدراسة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3.7 أداة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lastRenderedPageBreak/>
        <w:t xml:space="preserve">اعتمدت الدراسة على الاستبانة بوصفها الأداة الرئيسة لجمع البيانات من أفراد العينة، نظراً لملاءمتها لطبيعة الدراسة وأهدافها، وقدرتها على جمع البيانات من عدد كبير من </w:t>
      </w:r>
      <w:proofErr w:type="spellStart"/>
      <w:r w:rsidRPr="00E430E8">
        <w:rPr>
          <w:rFonts w:ascii="Traditional Arabic" w:eastAsia="Calibri" w:hAnsi="Traditional Arabic" w:cs="Traditional Arabic"/>
          <w:sz w:val="32"/>
          <w:szCs w:val="32"/>
          <w:rtl/>
          <w:lang w:val="en-US"/>
        </w:rPr>
        <w:t>المبحوثين</w:t>
      </w:r>
      <w:proofErr w:type="spellEnd"/>
      <w:r w:rsidRPr="00E430E8">
        <w:rPr>
          <w:rFonts w:ascii="Traditional Arabic" w:eastAsia="Calibri" w:hAnsi="Traditional Arabic" w:cs="Traditional Arabic"/>
          <w:sz w:val="32"/>
          <w:szCs w:val="32"/>
          <w:rtl/>
          <w:lang w:val="en-US"/>
        </w:rPr>
        <w:t xml:space="preserve"> في وقت مناسب وبدرجة عالية من الموضوعية. استندت الدراسة الحالية في بناء أداة الدراسة إلى الأدب النظري والدراسات السابقة ذات العلاقة بمتغيرات الدراسة، ولا سيما الدراسات التي تناولت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والبراعة التنظيمية (</w:t>
      </w:r>
      <w:proofErr w:type="spellStart"/>
      <w:r w:rsidRPr="00E430E8">
        <w:rPr>
          <w:rFonts w:ascii="Traditional Arabic" w:eastAsia="Calibri" w:hAnsi="Traditional Arabic" w:cs="Traditional Arabic"/>
          <w:sz w:val="32"/>
          <w:szCs w:val="32"/>
          <w:lang w:val="en-US"/>
        </w:rPr>
        <w:t>Aguinis</w:t>
      </w:r>
      <w:proofErr w:type="spellEnd"/>
      <w:r w:rsidRPr="00E430E8">
        <w:rPr>
          <w:rFonts w:ascii="Traditional Arabic" w:eastAsia="Calibri" w:hAnsi="Traditional Arabic" w:cs="Traditional Arabic"/>
          <w:sz w:val="32"/>
          <w:szCs w:val="32"/>
          <w:lang w:val="en-US"/>
        </w:rPr>
        <w:t>, 2019</w:t>
      </w:r>
      <w:r w:rsidRPr="00E430E8">
        <w:rPr>
          <w:rFonts w:ascii="Traditional Arabic" w:eastAsia="Calibri" w:hAnsi="Traditional Arabic" w:cs="Traditional Arabic"/>
          <w:sz w:val="32"/>
          <w:szCs w:val="32"/>
          <w:rtl/>
          <w:lang w:val="en-US"/>
        </w:rPr>
        <w:t xml:space="preserve">؛ </w:t>
      </w:r>
      <w:r w:rsidRPr="00E430E8">
        <w:rPr>
          <w:rFonts w:ascii="Traditional Arabic" w:eastAsia="Calibri" w:hAnsi="Traditional Arabic" w:cs="Traditional Arabic"/>
          <w:sz w:val="32"/>
          <w:szCs w:val="32"/>
          <w:lang w:val="en-US"/>
        </w:rPr>
        <w:t>Malik, 2022</w:t>
      </w:r>
      <w:r w:rsidRPr="00E430E8">
        <w:rPr>
          <w:rFonts w:ascii="Traditional Arabic" w:eastAsia="Calibri" w:hAnsi="Traditional Arabic" w:cs="Traditional Arabic"/>
          <w:sz w:val="32"/>
          <w:szCs w:val="32"/>
          <w:rtl/>
          <w:lang w:val="en-US"/>
        </w:rPr>
        <w:t xml:space="preserve">؛ </w:t>
      </w:r>
      <w:r w:rsidRPr="00E430E8">
        <w:rPr>
          <w:rFonts w:ascii="Traditional Arabic" w:eastAsia="Calibri" w:hAnsi="Traditional Arabic" w:cs="Traditional Arabic"/>
          <w:sz w:val="32"/>
          <w:szCs w:val="32"/>
          <w:lang w:val="en-US"/>
        </w:rPr>
        <w:t>Smith, 2022</w:t>
      </w:r>
      <w:r w:rsidRPr="00E430E8">
        <w:rPr>
          <w:rFonts w:ascii="Traditional Arabic" w:eastAsia="Calibri" w:hAnsi="Traditional Arabic" w:cs="Traditional Arabic"/>
          <w:sz w:val="32"/>
          <w:szCs w:val="32"/>
          <w:rtl/>
          <w:lang w:val="en-US"/>
        </w:rPr>
        <w:t xml:space="preserve">؛ </w:t>
      </w:r>
      <w:proofErr w:type="spellStart"/>
      <w:r w:rsidRPr="00E430E8">
        <w:rPr>
          <w:rFonts w:ascii="Traditional Arabic" w:eastAsia="Calibri" w:hAnsi="Traditional Arabic" w:cs="Traditional Arabic"/>
          <w:sz w:val="32"/>
          <w:szCs w:val="32"/>
          <w:lang w:val="en-US"/>
        </w:rPr>
        <w:t>Belcourt</w:t>
      </w:r>
      <w:proofErr w:type="spellEnd"/>
      <w:r w:rsidRPr="00E430E8">
        <w:rPr>
          <w:rFonts w:ascii="Traditional Arabic" w:eastAsia="Calibri" w:hAnsi="Traditional Arabic" w:cs="Traditional Arabic"/>
          <w:sz w:val="32"/>
          <w:szCs w:val="32"/>
          <w:lang w:val="en-US"/>
        </w:rPr>
        <w:t xml:space="preserve"> &amp; </w:t>
      </w:r>
      <w:proofErr w:type="spellStart"/>
      <w:r w:rsidRPr="00E430E8">
        <w:rPr>
          <w:rFonts w:ascii="Traditional Arabic" w:eastAsia="Calibri" w:hAnsi="Traditional Arabic" w:cs="Traditional Arabic"/>
          <w:sz w:val="32"/>
          <w:szCs w:val="32"/>
          <w:lang w:val="en-US"/>
        </w:rPr>
        <w:t>Podolsky</w:t>
      </w:r>
      <w:proofErr w:type="spellEnd"/>
      <w:r w:rsidRPr="00E430E8">
        <w:rPr>
          <w:rFonts w:ascii="Traditional Arabic" w:eastAsia="Calibri" w:hAnsi="Traditional Arabic" w:cs="Traditional Arabic"/>
          <w:sz w:val="32"/>
          <w:szCs w:val="32"/>
          <w:lang w:val="en-US"/>
        </w:rPr>
        <w:t>, 2023</w:t>
      </w:r>
      <w:r w:rsidRPr="00E430E8">
        <w:rPr>
          <w:rFonts w:ascii="Traditional Arabic" w:eastAsia="Calibri" w:hAnsi="Traditional Arabic" w:cs="Traditional Arabic"/>
          <w:sz w:val="32"/>
          <w:szCs w:val="32"/>
          <w:rtl/>
          <w:lang w:val="en-US"/>
        </w:rPr>
        <w:t xml:space="preserve">؛ </w:t>
      </w:r>
      <w:proofErr w:type="spellStart"/>
      <w:r w:rsidRPr="00E430E8">
        <w:rPr>
          <w:rFonts w:ascii="Traditional Arabic" w:eastAsia="Calibri" w:hAnsi="Traditional Arabic" w:cs="Traditional Arabic"/>
          <w:sz w:val="32"/>
          <w:szCs w:val="32"/>
          <w:lang w:val="en-US"/>
        </w:rPr>
        <w:t>Barjis</w:t>
      </w:r>
      <w:proofErr w:type="spellEnd"/>
      <w:r w:rsidRPr="00E430E8">
        <w:rPr>
          <w:rFonts w:ascii="Traditional Arabic" w:eastAsia="Calibri" w:hAnsi="Traditional Arabic" w:cs="Traditional Arabic"/>
          <w:sz w:val="32"/>
          <w:szCs w:val="32"/>
          <w:lang w:val="en-US"/>
        </w:rPr>
        <w:t>, 2023</w:t>
      </w:r>
      <w:r w:rsidRPr="00E430E8">
        <w:rPr>
          <w:rFonts w:ascii="Traditional Arabic" w:eastAsia="Calibri" w:hAnsi="Traditional Arabic" w:cs="Traditional Arabic"/>
          <w:sz w:val="32"/>
          <w:szCs w:val="32"/>
          <w:rtl/>
          <w:lang w:val="en-US"/>
        </w:rPr>
        <w:t xml:space="preserve">؛ </w:t>
      </w:r>
      <w:proofErr w:type="spellStart"/>
      <w:r w:rsidRPr="00E430E8">
        <w:rPr>
          <w:rFonts w:ascii="Traditional Arabic" w:eastAsia="Calibri" w:hAnsi="Traditional Arabic" w:cs="Traditional Arabic"/>
          <w:sz w:val="32"/>
          <w:szCs w:val="32"/>
          <w:lang w:val="en-US"/>
        </w:rPr>
        <w:t>Tidd</w:t>
      </w:r>
      <w:proofErr w:type="spellEnd"/>
      <w:r w:rsidRPr="00E430E8">
        <w:rPr>
          <w:rFonts w:ascii="Traditional Arabic" w:eastAsia="Calibri" w:hAnsi="Traditional Arabic" w:cs="Traditional Arabic"/>
          <w:sz w:val="32"/>
          <w:szCs w:val="32"/>
          <w:lang w:val="en-US"/>
        </w:rPr>
        <w:t xml:space="preserve"> &amp; </w:t>
      </w:r>
      <w:proofErr w:type="spellStart"/>
      <w:r w:rsidRPr="00E430E8">
        <w:rPr>
          <w:rFonts w:ascii="Traditional Arabic" w:eastAsia="Calibri" w:hAnsi="Traditional Arabic" w:cs="Traditional Arabic"/>
          <w:sz w:val="32"/>
          <w:szCs w:val="32"/>
          <w:lang w:val="en-US"/>
        </w:rPr>
        <w:t>Bessant</w:t>
      </w:r>
      <w:proofErr w:type="spellEnd"/>
      <w:r w:rsidRPr="00E430E8">
        <w:rPr>
          <w:rFonts w:ascii="Traditional Arabic" w:eastAsia="Calibri" w:hAnsi="Traditional Arabic" w:cs="Traditional Arabic"/>
          <w:sz w:val="32"/>
          <w:szCs w:val="32"/>
          <w:lang w:val="en-US"/>
        </w:rPr>
        <w:t>, 2023</w:t>
      </w:r>
      <w:r w:rsidRPr="00E430E8">
        <w:rPr>
          <w:rFonts w:ascii="Traditional Arabic" w:eastAsia="Calibri" w:hAnsi="Traditional Arabic" w:cs="Traditional Arabic"/>
          <w:sz w:val="32"/>
          <w:szCs w:val="32"/>
          <w:rtl/>
          <w:lang w:val="en-US"/>
        </w:rPr>
        <w:t>)، مع إجراء التعديلات اللازمة لتناسب البيئة التنظيمية لوزارة الإعلام السعودية وأهداف الدراسة الحالية.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وتكونت الاستبانة من ثلاثة أجزاء رئيسة، تمثلت في البيانات الديموغرافية، والتخطيط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والبراعة التنظيمية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اشتمل الجزء الأول على البيانات الديموغرافية لأفراد الدراسة، وشملت: الجنس، والعمر، والمؤهل العلمي، وسنوات الخبرة، والمستوى الوظيفي، والإدارة أو الوحدة التنظيمية التي يعمل بها المشارك. </w:t>
      </w:r>
      <w:proofErr w:type="gramStart"/>
      <w:r w:rsidRPr="00E430E8">
        <w:rPr>
          <w:rFonts w:ascii="Traditional Arabic" w:eastAsia="Calibri" w:hAnsi="Traditional Arabic" w:cs="Traditional Arabic"/>
          <w:sz w:val="32"/>
          <w:szCs w:val="32"/>
          <w:rtl/>
          <w:lang w:val="en-US"/>
        </w:rPr>
        <w:t>وقد</w:t>
      </w:r>
      <w:proofErr w:type="gramEnd"/>
      <w:r w:rsidRPr="00E430E8">
        <w:rPr>
          <w:rFonts w:ascii="Traditional Arabic" w:eastAsia="Calibri" w:hAnsi="Traditional Arabic" w:cs="Traditional Arabic"/>
          <w:sz w:val="32"/>
          <w:szCs w:val="32"/>
          <w:rtl/>
          <w:lang w:val="en-US"/>
        </w:rPr>
        <w:t xml:space="preserve"> تم اختيار هذه المتغيرات لما لها من أهمية في وصف أفراد الدراسة والتعرف إلى خصائصهم المهنية والوظيفية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أما الجزء الثاني فقد خصص لقياس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في حين خصص الجزء الثالث لقياس البراعة التنظيمية، كما يوضح ذلك الجدول الآتي</w:t>
      </w:r>
      <w:r w:rsidRPr="00E430E8">
        <w:rPr>
          <w:rFonts w:ascii="Traditional Arabic" w:eastAsia="Calibri" w:hAnsi="Traditional Arabic" w:cs="Traditional Arabic"/>
          <w:sz w:val="32"/>
          <w:szCs w:val="32"/>
          <w:lang w:val="en-US"/>
        </w:rPr>
        <w:t>:</w:t>
      </w:r>
    </w:p>
    <w:p w:rsidR="00E430E8" w:rsidRPr="00E430E8" w:rsidRDefault="00E430E8" w:rsidP="00E430E8">
      <w:pPr>
        <w:bidi/>
        <w:spacing w:after="0" w:line="360" w:lineRule="auto"/>
        <w:jc w:val="center"/>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جدول (3-1) توزيع فقرات الاستبانة على متغيرات الدراسة وأبعادها</w:t>
      </w:r>
    </w:p>
    <w:tbl>
      <w:tblPr>
        <w:tblStyle w:val="a5"/>
        <w:bidiVisual/>
        <w:tblW w:w="0" w:type="auto"/>
        <w:tblLook w:val="04A0" w:firstRow="1" w:lastRow="0" w:firstColumn="1" w:lastColumn="0" w:noHBand="0" w:noVBand="1"/>
      </w:tblPr>
      <w:tblGrid>
        <w:gridCol w:w="3194"/>
        <w:gridCol w:w="2501"/>
        <w:gridCol w:w="1356"/>
        <w:gridCol w:w="1332"/>
      </w:tblGrid>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lang w:val="en-US"/>
              </w:rPr>
              <w:t>المتغير</w:t>
            </w:r>
          </w:p>
        </w:tc>
        <w:tc>
          <w:tcPr>
            <w:tcW w:w="0" w:type="auto"/>
            <w:hideMark/>
          </w:tcPr>
          <w:p w:rsidR="00E430E8" w:rsidRPr="00E430E8" w:rsidRDefault="00E430E8" w:rsidP="00E430E8">
            <w:pPr>
              <w:bidi/>
              <w:jc w:val="both"/>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lang w:val="en-US"/>
              </w:rPr>
              <w:t>البعد</w:t>
            </w:r>
          </w:p>
        </w:tc>
        <w:tc>
          <w:tcPr>
            <w:tcW w:w="0" w:type="auto"/>
            <w:hideMark/>
          </w:tcPr>
          <w:p w:rsidR="00E430E8" w:rsidRPr="00E430E8" w:rsidRDefault="00E430E8" w:rsidP="00E430E8">
            <w:pPr>
              <w:bidi/>
              <w:jc w:val="both"/>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lang w:val="en-US"/>
              </w:rPr>
              <w:t>أرقام الفقرات</w:t>
            </w:r>
          </w:p>
        </w:tc>
        <w:tc>
          <w:tcPr>
            <w:tcW w:w="0" w:type="auto"/>
            <w:hideMark/>
          </w:tcPr>
          <w:p w:rsidR="00E430E8" w:rsidRPr="00E430E8" w:rsidRDefault="00E430E8" w:rsidP="00E430E8">
            <w:pPr>
              <w:bidi/>
              <w:jc w:val="both"/>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lang w:val="en-US"/>
              </w:rPr>
              <w:t>عدد الفقرات</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التحليل والتنبؤ </w:t>
            </w:r>
            <w:proofErr w:type="spellStart"/>
            <w:r w:rsidRPr="00E430E8">
              <w:rPr>
                <w:rFonts w:ascii="Traditional Arabic" w:eastAsia="Calibri" w:hAnsi="Traditional Arabic" w:cs="Traditional Arabic"/>
                <w:sz w:val="32"/>
                <w:szCs w:val="32"/>
                <w:rtl/>
                <w:lang w:val="en-US"/>
              </w:rPr>
              <w:t>بالإحتياجات</w:t>
            </w:r>
            <w:proofErr w:type="spellEnd"/>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1–6</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تطوير</w:t>
            </w:r>
            <w:proofErr w:type="gramEnd"/>
            <w:r w:rsidRPr="00E430E8">
              <w:rPr>
                <w:rFonts w:ascii="Traditional Arabic" w:eastAsia="Calibri" w:hAnsi="Traditional Arabic" w:cs="Traditional Arabic"/>
                <w:sz w:val="32"/>
                <w:szCs w:val="32"/>
                <w:rtl/>
                <w:lang w:val="en-US"/>
              </w:rPr>
              <w:t xml:space="preserve"> القدرات البشرية</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7–12</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المتابعة </w:t>
            </w:r>
            <w:proofErr w:type="gramStart"/>
            <w:r w:rsidRPr="00E430E8">
              <w:rPr>
                <w:rFonts w:ascii="Traditional Arabic" w:eastAsia="Calibri" w:hAnsi="Traditional Arabic" w:cs="Traditional Arabic"/>
                <w:sz w:val="32"/>
                <w:szCs w:val="32"/>
                <w:rtl/>
                <w:lang w:val="en-US"/>
              </w:rPr>
              <w:t>والتقييم</w:t>
            </w:r>
            <w:proofErr w:type="gramEnd"/>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13–18</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البراعة</w:t>
            </w:r>
            <w:proofErr w:type="gramEnd"/>
            <w:r w:rsidRPr="00E430E8">
              <w:rPr>
                <w:rFonts w:ascii="Traditional Arabic" w:eastAsia="Calibri" w:hAnsi="Traditional Arabic" w:cs="Traditional Arabic"/>
                <w:sz w:val="32"/>
                <w:szCs w:val="32"/>
                <w:rtl/>
                <w:lang w:val="en-US"/>
              </w:rPr>
              <w:t xml:space="preserve"> التنظيمية</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المرونة</w:t>
            </w:r>
            <w:proofErr w:type="gramEnd"/>
            <w:r w:rsidRPr="00E430E8">
              <w:rPr>
                <w:rFonts w:ascii="Traditional Arabic" w:eastAsia="Calibri" w:hAnsi="Traditional Arabic" w:cs="Traditional Arabic"/>
                <w:sz w:val="32"/>
                <w:szCs w:val="32"/>
                <w:rtl/>
                <w:lang w:val="en-US"/>
              </w:rPr>
              <w:t xml:space="preserve"> التنظيمية</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19–24</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التكيف</w:t>
            </w:r>
            <w:proofErr w:type="gramEnd"/>
            <w:r w:rsidRPr="00E430E8">
              <w:rPr>
                <w:rFonts w:ascii="Traditional Arabic" w:eastAsia="Calibri" w:hAnsi="Traditional Arabic" w:cs="Traditional Arabic"/>
                <w:sz w:val="32"/>
                <w:szCs w:val="32"/>
                <w:rtl/>
                <w:lang w:val="en-US"/>
              </w:rPr>
              <w:t xml:space="preserve"> التنظيمي</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25–30</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سرعة </w:t>
            </w:r>
            <w:proofErr w:type="spellStart"/>
            <w:r w:rsidRPr="00E430E8">
              <w:rPr>
                <w:rFonts w:ascii="Traditional Arabic" w:eastAsia="Calibri" w:hAnsi="Traditional Arabic" w:cs="Traditional Arabic"/>
                <w:sz w:val="32"/>
                <w:szCs w:val="32"/>
                <w:rtl/>
                <w:lang w:val="en-US"/>
              </w:rPr>
              <w:t>الإستجابة</w:t>
            </w:r>
            <w:proofErr w:type="spellEnd"/>
            <w:r w:rsidRPr="00E430E8">
              <w:rPr>
                <w:rFonts w:ascii="Traditional Arabic" w:eastAsia="Calibri" w:hAnsi="Traditional Arabic" w:cs="Traditional Arabic"/>
                <w:sz w:val="32"/>
                <w:szCs w:val="32"/>
                <w:rtl/>
                <w:lang w:val="en-US"/>
              </w:rPr>
              <w:t xml:space="preserve"> التنظيمية</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31–36</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roofErr w:type="spellStart"/>
            <w:r w:rsidRPr="00E430E8">
              <w:rPr>
                <w:rFonts w:ascii="Traditional Arabic" w:eastAsia="Calibri" w:hAnsi="Traditional Arabic" w:cs="Traditional Arabic"/>
                <w:sz w:val="32"/>
                <w:szCs w:val="32"/>
                <w:rtl/>
                <w:lang w:val="en-US"/>
              </w:rPr>
              <w:t>الإبتكار</w:t>
            </w:r>
            <w:proofErr w:type="spellEnd"/>
            <w:r w:rsidRPr="00E430E8">
              <w:rPr>
                <w:rFonts w:ascii="Traditional Arabic" w:eastAsia="Calibri" w:hAnsi="Traditional Arabic" w:cs="Traditional Arabic"/>
                <w:sz w:val="32"/>
                <w:szCs w:val="32"/>
                <w:rtl/>
                <w:lang w:val="en-US"/>
              </w:rPr>
              <w:t xml:space="preserve"> التنظيمي</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37–42</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6</w:t>
            </w:r>
          </w:p>
        </w:tc>
      </w:tr>
      <w:tr w:rsidR="00E430E8" w:rsidRPr="00E430E8" w:rsidTr="00935FC1">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b/>
                <w:bCs/>
                <w:sz w:val="32"/>
                <w:szCs w:val="32"/>
                <w:rtl/>
                <w:lang w:val="en-US"/>
              </w:rPr>
              <w:t>المجموع</w:t>
            </w:r>
            <w:proofErr w:type="gramEnd"/>
            <w:r w:rsidRPr="00E430E8">
              <w:rPr>
                <w:rFonts w:ascii="Traditional Arabic" w:eastAsia="Calibri" w:hAnsi="Traditional Arabic" w:cs="Traditional Arabic"/>
                <w:b/>
                <w:bCs/>
                <w:sz w:val="32"/>
                <w:szCs w:val="32"/>
                <w:rtl/>
                <w:lang w:val="en-US"/>
              </w:rPr>
              <w:t xml:space="preserve"> الكلي</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b/>
                <w:bCs/>
                <w:sz w:val="32"/>
                <w:szCs w:val="32"/>
                <w:lang w:val="en-US"/>
              </w:rPr>
              <w:t>1–42</w:t>
            </w:r>
          </w:p>
        </w:tc>
        <w:tc>
          <w:tcPr>
            <w:tcW w:w="0" w:type="auto"/>
            <w:hideMark/>
          </w:tcPr>
          <w:p w:rsidR="00E430E8" w:rsidRPr="00E430E8" w:rsidRDefault="00E430E8" w:rsidP="00E430E8">
            <w:pPr>
              <w:bidi/>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b/>
                <w:bCs/>
                <w:sz w:val="32"/>
                <w:szCs w:val="32"/>
                <w:lang w:val="en-US"/>
              </w:rPr>
              <w:t>42</w:t>
            </w:r>
          </w:p>
        </w:tc>
      </w:tr>
    </w:tbl>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وبذلك بلغ إجمالي عدد فقرات الاستبانة (42) فقرة موزعة على متغيرات الدراسة وأبعادها المختلفة، إضافة إلى البيانات الديموغرافية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وقد استخدمت الدراسة مقياس ليكرت الخماسي</w:t>
      </w:r>
      <w:r w:rsidRPr="00E430E8">
        <w:rPr>
          <w:rFonts w:ascii="Traditional Arabic" w:eastAsia="Calibri" w:hAnsi="Traditional Arabic" w:cs="Traditional Arabic"/>
          <w:sz w:val="32"/>
          <w:szCs w:val="32"/>
          <w:lang w:val="en-US"/>
        </w:rPr>
        <w:t xml:space="preserve"> (Likert Five-Point Scale) </w:t>
      </w:r>
      <w:r w:rsidRPr="00E430E8">
        <w:rPr>
          <w:rFonts w:ascii="Traditional Arabic" w:eastAsia="Calibri" w:hAnsi="Traditional Arabic" w:cs="Traditional Arabic"/>
          <w:sz w:val="32"/>
          <w:szCs w:val="32"/>
          <w:rtl/>
          <w:lang w:val="en-US"/>
        </w:rPr>
        <w:t>لقياس استجابات أفراد الدراسة على فقرات الاستبانة، كما هو موضح في الجدول الآتي</w:t>
      </w:r>
      <w:r w:rsidRPr="00E430E8">
        <w:rPr>
          <w:rFonts w:ascii="Traditional Arabic" w:eastAsia="Calibri" w:hAnsi="Traditional Arabic" w:cs="Traditional Arabic"/>
          <w:sz w:val="32"/>
          <w:szCs w:val="32"/>
          <w:lang w:val="en-US"/>
        </w:rPr>
        <w:t>:</w:t>
      </w:r>
    </w:p>
    <w:p w:rsidR="00E430E8" w:rsidRPr="00E430E8" w:rsidRDefault="00E430E8" w:rsidP="00E430E8">
      <w:pPr>
        <w:bidi/>
        <w:spacing w:after="0" w:line="360" w:lineRule="auto"/>
        <w:jc w:val="center"/>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جدول (3-2) مقياس ليكرت الخماسي المستخدم في الدراسة</w:t>
      </w:r>
    </w:p>
    <w:tbl>
      <w:tblPr>
        <w:tblStyle w:val="a5"/>
        <w:bidiVisual/>
        <w:tblW w:w="5000" w:type="pct"/>
        <w:tblLook w:val="04A0" w:firstRow="1" w:lastRow="0" w:firstColumn="1" w:lastColumn="0" w:noHBand="0" w:noVBand="1"/>
      </w:tblPr>
      <w:tblGrid>
        <w:gridCol w:w="2909"/>
        <w:gridCol w:w="5613"/>
      </w:tblGrid>
      <w:tr w:rsidR="00E430E8" w:rsidRPr="00E430E8" w:rsidTr="00935FC1">
        <w:tc>
          <w:tcPr>
            <w:tcW w:w="1707" w:type="pct"/>
            <w:hideMark/>
          </w:tcPr>
          <w:p w:rsidR="00E430E8" w:rsidRPr="00E430E8" w:rsidRDefault="00E430E8" w:rsidP="00E430E8">
            <w:pPr>
              <w:bidi/>
              <w:spacing w:line="360" w:lineRule="auto"/>
              <w:jc w:val="both"/>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lang w:val="en-US"/>
              </w:rPr>
              <w:t>الدرجة</w:t>
            </w:r>
          </w:p>
        </w:tc>
        <w:tc>
          <w:tcPr>
            <w:tcW w:w="3293" w:type="pct"/>
            <w:hideMark/>
          </w:tcPr>
          <w:p w:rsidR="00E430E8" w:rsidRPr="00E430E8" w:rsidRDefault="00E430E8" w:rsidP="00E430E8">
            <w:pPr>
              <w:bidi/>
              <w:spacing w:line="360" w:lineRule="auto"/>
              <w:jc w:val="both"/>
              <w:rPr>
                <w:rFonts w:ascii="Traditional Arabic" w:eastAsia="Calibri" w:hAnsi="Traditional Arabic" w:cs="Traditional Arabic"/>
                <w:b/>
                <w:bCs/>
                <w:sz w:val="32"/>
                <w:szCs w:val="32"/>
                <w:lang w:val="en-US"/>
              </w:rPr>
            </w:pPr>
            <w:proofErr w:type="gramStart"/>
            <w:r w:rsidRPr="00E430E8">
              <w:rPr>
                <w:rFonts w:ascii="Traditional Arabic" w:eastAsia="Calibri" w:hAnsi="Traditional Arabic" w:cs="Traditional Arabic"/>
                <w:b/>
                <w:bCs/>
                <w:sz w:val="32"/>
                <w:szCs w:val="32"/>
                <w:rtl/>
                <w:lang w:val="en-US"/>
              </w:rPr>
              <w:t>مستوى</w:t>
            </w:r>
            <w:proofErr w:type="gramEnd"/>
            <w:r w:rsidRPr="00E430E8">
              <w:rPr>
                <w:rFonts w:ascii="Traditional Arabic" w:eastAsia="Calibri" w:hAnsi="Traditional Arabic" w:cs="Traditional Arabic"/>
                <w:b/>
                <w:bCs/>
                <w:sz w:val="32"/>
                <w:szCs w:val="32"/>
                <w:rtl/>
                <w:lang w:val="en-US"/>
              </w:rPr>
              <w:t xml:space="preserve"> الموافقة</w:t>
            </w:r>
          </w:p>
        </w:tc>
      </w:tr>
      <w:tr w:rsidR="00E430E8" w:rsidRPr="00E430E8" w:rsidTr="00935FC1">
        <w:tc>
          <w:tcPr>
            <w:tcW w:w="1707"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5</w:t>
            </w:r>
          </w:p>
        </w:tc>
        <w:tc>
          <w:tcPr>
            <w:tcW w:w="3293"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موافق</w:t>
            </w:r>
            <w:proofErr w:type="gramEnd"/>
            <w:r w:rsidRPr="00E430E8">
              <w:rPr>
                <w:rFonts w:ascii="Traditional Arabic" w:eastAsia="Calibri" w:hAnsi="Traditional Arabic" w:cs="Traditional Arabic"/>
                <w:sz w:val="32"/>
                <w:szCs w:val="32"/>
                <w:rtl/>
                <w:lang w:val="en-US"/>
              </w:rPr>
              <w:t xml:space="preserve"> بشدة</w:t>
            </w:r>
          </w:p>
        </w:tc>
      </w:tr>
      <w:tr w:rsidR="00E430E8" w:rsidRPr="00E430E8" w:rsidTr="00935FC1">
        <w:tc>
          <w:tcPr>
            <w:tcW w:w="1707"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4</w:t>
            </w:r>
          </w:p>
        </w:tc>
        <w:tc>
          <w:tcPr>
            <w:tcW w:w="3293"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موافق</w:t>
            </w:r>
          </w:p>
        </w:tc>
      </w:tr>
      <w:tr w:rsidR="00E430E8" w:rsidRPr="00E430E8" w:rsidTr="00935FC1">
        <w:tc>
          <w:tcPr>
            <w:tcW w:w="1707"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3</w:t>
            </w:r>
          </w:p>
        </w:tc>
        <w:tc>
          <w:tcPr>
            <w:tcW w:w="3293"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محايد</w:t>
            </w:r>
          </w:p>
        </w:tc>
      </w:tr>
      <w:tr w:rsidR="00E430E8" w:rsidRPr="00E430E8" w:rsidTr="00935FC1">
        <w:tc>
          <w:tcPr>
            <w:tcW w:w="1707"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2</w:t>
            </w:r>
          </w:p>
        </w:tc>
        <w:tc>
          <w:tcPr>
            <w:tcW w:w="3293"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غير موافق</w:t>
            </w:r>
          </w:p>
        </w:tc>
      </w:tr>
      <w:tr w:rsidR="00E430E8" w:rsidRPr="00E430E8" w:rsidTr="00935FC1">
        <w:tc>
          <w:tcPr>
            <w:tcW w:w="1707"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1</w:t>
            </w:r>
          </w:p>
        </w:tc>
        <w:tc>
          <w:tcPr>
            <w:tcW w:w="3293"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غير موافق بشدة</w:t>
            </w:r>
          </w:p>
        </w:tc>
      </w:tr>
    </w:tbl>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ولتفسير المتوسطات الحسابية لاستجابات أفراد الدراسة، تم حساب </w:t>
      </w:r>
      <w:proofErr w:type="gramStart"/>
      <w:r w:rsidRPr="00E430E8">
        <w:rPr>
          <w:rFonts w:ascii="Traditional Arabic" w:eastAsia="Calibri" w:hAnsi="Traditional Arabic" w:cs="Traditional Arabic"/>
          <w:sz w:val="32"/>
          <w:szCs w:val="32"/>
          <w:rtl/>
          <w:lang w:val="en-US"/>
        </w:rPr>
        <w:t>طول</w:t>
      </w:r>
      <w:proofErr w:type="gramEnd"/>
      <w:r w:rsidRPr="00E430E8">
        <w:rPr>
          <w:rFonts w:ascii="Traditional Arabic" w:eastAsia="Calibri" w:hAnsi="Traditional Arabic" w:cs="Traditional Arabic"/>
          <w:sz w:val="32"/>
          <w:szCs w:val="32"/>
          <w:rtl/>
          <w:lang w:val="en-US"/>
        </w:rPr>
        <w:t xml:space="preserve"> الفئة وفق المعادلة الآتية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طول الفئة = (الحد الأعلى للمقياس – الحد الأدنى للمقياس) ÷ </w:t>
      </w:r>
      <w:proofErr w:type="gramStart"/>
      <w:r w:rsidRPr="00E430E8">
        <w:rPr>
          <w:rFonts w:ascii="Traditional Arabic" w:eastAsia="Calibri" w:hAnsi="Traditional Arabic" w:cs="Traditional Arabic"/>
          <w:sz w:val="32"/>
          <w:szCs w:val="32"/>
          <w:rtl/>
          <w:lang w:val="en-US"/>
        </w:rPr>
        <w:t>عدد</w:t>
      </w:r>
      <w:proofErr w:type="gramEnd"/>
      <w:r w:rsidRPr="00E430E8">
        <w:rPr>
          <w:rFonts w:ascii="Traditional Arabic" w:eastAsia="Calibri" w:hAnsi="Traditional Arabic" w:cs="Traditional Arabic"/>
          <w:sz w:val="32"/>
          <w:szCs w:val="32"/>
          <w:rtl/>
          <w:lang w:val="en-US"/>
        </w:rPr>
        <w:t xml:space="preserve"> الفئات</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lastRenderedPageBreak/>
        <w:t>= (5 – 1) ÷ 5</w:t>
      </w:r>
      <w:r w:rsidRPr="00E430E8">
        <w:rPr>
          <w:rFonts w:ascii="Traditional Arabic" w:eastAsia="Calibri" w:hAnsi="Traditional Arabic" w:cs="Traditional Arabic" w:hint="cs"/>
          <w:sz w:val="32"/>
          <w:szCs w:val="32"/>
          <w:rtl/>
          <w:lang w:val="en-US"/>
        </w:rPr>
        <w:t xml:space="preserve"> 0.80</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bidi="ar-JO"/>
        </w:rPr>
      </w:pPr>
      <w:r w:rsidRPr="00E430E8">
        <w:rPr>
          <w:rFonts w:ascii="Traditional Arabic" w:eastAsia="Calibri" w:hAnsi="Traditional Arabic" w:cs="Traditional Arabic"/>
          <w:sz w:val="32"/>
          <w:szCs w:val="32"/>
          <w:rtl/>
          <w:lang w:val="en-US"/>
        </w:rPr>
        <w:t xml:space="preserve">وبناءً على ذلك تم اعتماد المعيار الآتي لتفسير </w:t>
      </w:r>
      <w:proofErr w:type="gramStart"/>
      <w:r w:rsidRPr="00E430E8">
        <w:rPr>
          <w:rFonts w:ascii="Traditional Arabic" w:eastAsia="Calibri" w:hAnsi="Traditional Arabic" w:cs="Traditional Arabic"/>
          <w:sz w:val="32"/>
          <w:szCs w:val="32"/>
          <w:rtl/>
          <w:lang w:val="en-US"/>
        </w:rPr>
        <w:t>المتوسطات</w:t>
      </w:r>
      <w:proofErr w:type="gramEnd"/>
      <w:r w:rsidRPr="00E430E8">
        <w:rPr>
          <w:rFonts w:ascii="Traditional Arabic" w:eastAsia="Calibri" w:hAnsi="Traditional Arabic" w:cs="Traditional Arabic"/>
          <w:sz w:val="32"/>
          <w:szCs w:val="32"/>
          <w:rtl/>
          <w:lang w:val="en-US"/>
        </w:rPr>
        <w:t xml:space="preserve"> الحسابية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after="0" w:line="360" w:lineRule="auto"/>
        <w:jc w:val="center"/>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جدول (3-3) معيار </w:t>
      </w:r>
      <w:proofErr w:type="gramStart"/>
      <w:r w:rsidRPr="00E430E8">
        <w:rPr>
          <w:rFonts w:ascii="Traditional Arabic" w:eastAsia="Calibri" w:hAnsi="Traditional Arabic" w:cs="Traditional Arabic"/>
          <w:sz w:val="32"/>
          <w:szCs w:val="32"/>
          <w:rtl/>
          <w:lang w:val="en-US"/>
        </w:rPr>
        <w:t>تفسير</w:t>
      </w:r>
      <w:proofErr w:type="gramEnd"/>
      <w:r w:rsidRPr="00E430E8">
        <w:rPr>
          <w:rFonts w:ascii="Traditional Arabic" w:eastAsia="Calibri" w:hAnsi="Traditional Arabic" w:cs="Traditional Arabic"/>
          <w:sz w:val="32"/>
          <w:szCs w:val="32"/>
          <w:rtl/>
          <w:lang w:val="en-US"/>
        </w:rPr>
        <w:t xml:space="preserve"> المتوسطات الحسابية</w:t>
      </w:r>
    </w:p>
    <w:tbl>
      <w:tblPr>
        <w:tblStyle w:val="a5"/>
        <w:bidiVisual/>
        <w:tblW w:w="5000" w:type="pct"/>
        <w:jc w:val="center"/>
        <w:tblLook w:val="04A0" w:firstRow="1" w:lastRow="0" w:firstColumn="1" w:lastColumn="0" w:noHBand="0" w:noVBand="1"/>
      </w:tblPr>
      <w:tblGrid>
        <w:gridCol w:w="4472"/>
        <w:gridCol w:w="4050"/>
      </w:tblGrid>
      <w:tr w:rsidR="00E430E8" w:rsidRPr="00E430E8" w:rsidTr="00935FC1">
        <w:trPr>
          <w:jc w:val="center"/>
        </w:trPr>
        <w:tc>
          <w:tcPr>
            <w:tcW w:w="2624" w:type="pct"/>
            <w:hideMark/>
          </w:tcPr>
          <w:p w:rsidR="00E430E8" w:rsidRPr="00E430E8" w:rsidRDefault="00E430E8" w:rsidP="00E430E8">
            <w:pPr>
              <w:bidi/>
              <w:spacing w:line="360" w:lineRule="auto"/>
              <w:jc w:val="both"/>
              <w:rPr>
                <w:rFonts w:ascii="Traditional Arabic" w:eastAsia="Calibri" w:hAnsi="Traditional Arabic" w:cs="Traditional Arabic"/>
                <w:b/>
                <w:bCs/>
                <w:sz w:val="32"/>
                <w:szCs w:val="32"/>
                <w:lang w:val="en-US"/>
              </w:rPr>
            </w:pPr>
            <w:proofErr w:type="gramStart"/>
            <w:r w:rsidRPr="00E430E8">
              <w:rPr>
                <w:rFonts w:ascii="Traditional Arabic" w:eastAsia="Calibri" w:hAnsi="Traditional Arabic" w:cs="Traditional Arabic"/>
                <w:b/>
                <w:bCs/>
                <w:sz w:val="32"/>
                <w:szCs w:val="32"/>
                <w:rtl/>
                <w:lang w:val="en-US"/>
              </w:rPr>
              <w:t>المتوسط</w:t>
            </w:r>
            <w:proofErr w:type="gramEnd"/>
            <w:r w:rsidRPr="00E430E8">
              <w:rPr>
                <w:rFonts w:ascii="Traditional Arabic" w:eastAsia="Calibri" w:hAnsi="Traditional Arabic" w:cs="Traditional Arabic"/>
                <w:b/>
                <w:bCs/>
                <w:sz w:val="32"/>
                <w:szCs w:val="32"/>
                <w:rtl/>
                <w:lang w:val="en-US"/>
              </w:rPr>
              <w:t xml:space="preserve"> الحسابي</w:t>
            </w:r>
          </w:p>
        </w:tc>
        <w:tc>
          <w:tcPr>
            <w:tcW w:w="2376" w:type="pct"/>
            <w:hideMark/>
          </w:tcPr>
          <w:p w:rsidR="00E430E8" w:rsidRPr="00E430E8" w:rsidRDefault="00E430E8" w:rsidP="00E430E8">
            <w:pPr>
              <w:bidi/>
              <w:spacing w:line="360" w:lineRule="auto"/>
              <w:jc w:val="both"/>
              <w:rPr>
                <w:rFonts w:ascii="Traditional Arabic" w:eastAsia="Calibri" w:hAnsi="Traditional Arabic" w:cs="Traditional Arabic"/>
                <w:b/>
                <w:bCs/>
                <w:sz w:val="32"/>
                <w:szCs w:val="32"/>
                <w:lang w:val="en-US"/>
              </w:rPr>
            </w:pPr>
            <w:proofErr w:type="gramStart"/>
            <w:r w:rsidRPr="00E430E8">
              <w:rPr>
                <w:rFonts w:ascii="Traditional Arabic" w:eastAsia="Calibri" w:hAnsi="Traditional Arabic" w:cs="Traditional Arabic"/>
                <w:b/>
                <w:bCs/>
                <w:sz w:val="32"/>
                <w:szCs w:val="32"/>
                <w:rtl/>
                <w:lang w:val="en-US"/>
              </w:rPr>
              <w:t>مستوى</w:t>
            </w:r>
            <w:proofErr w:type="gramEnd"/>
            <w:r w:rsidRPr="00E430E8">
              <w:rPr>
                <w:rFonts w:ascii="Traditional Arabic" w:eastAsia="Calibri" w:hAnsi="Traditional Arabic" w:cs="Traditional Arabic"/>
                <w:b/>
                <w:bCs/>
                <w:sz w:val="32"/>
                <w:szCs w:val="32"/>
                <w:rtl/>
                <w:lang w:val="en-US"/>
              </w:rPr>
              <w:t xml:space="preserve"> التقدير</w:t>
            </w:r>
          </w:p>
        </w:tc>
      </w:tr>
      <w:tr w:rsidR="00E430E8" w:rsidRPr="00E430E8" w:rsidTr="00935FC1">
        <w:trPr>
          <w:jc w:val="center"/>
        </w:trPr>
        <w:tc>
          <w:tcPr>
            <w:tcW w:w="2624"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1.00 – 1.80</w:t>
            </w:r>
          </w:p>
        </w:tc>
        <w:tc>
          <w:tcPr>
            <w:tcW w:w="2376"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منخفضة</w:t>
            </w:r>
            <w:proofErr w:type="gramEnd"/>
            <w:r w:rsidRPr="00E430E8">
              <w:rPr>
                <w:rFonts w:ascii="Traditional Arabic" w:eastAsia="Calibri" w:hAnsi="Traditional Arabic" w:cs="Traditional Arabic"/>
                <w:sz w:val="32"/>
                <w:szCs w:val="32"/>
                <w:rtl/>
                <w:lang w:val="en-US"/>
              </w:rPr>
              <w:t xml:space="preserve"> جداً</w:t>
            </w:r>
          </w:p>
        </w:tc>
      </w:tr>
      <w:tr w:rsidR="00E430E8" w:rsidRPr="00E430E8" w:rsidTr="00935FC1">
        <w:trPr>
          <w:jc w:val="center"/>
        </w:trPr>
        <w:tc>
          <w:tcPr>
            <w:tcW w:w="2624"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1.81 – 2.60</w:t>
            </w:r>
          </w:p>
        </w:tc>
        <w:tc>
          <w:tcPr>
            <w:tcW w:w="2376"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منخفضة</w:t>
            </w:r>
          </w:p>
        </w:tc>
      </w:tr>
      <w:tr w:rsidR="00E430E8" w:rsidRPr="00E430E8" w:rsidTr="00935FC1">
        <w:trPr>
          <w:jc w:val="center"/>
        </w:trPr>
        <w:tc>
          <w:tcPr>
            <w:tcW w:w="2624"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2.61 – 3.40</w:t>
            </w:r>
          </w:p>
        </w:tc>
        <w:tc>
          <w:tcPr>
            <w:tcW w:w="2376"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متوسطة</w:t>
            </w:r>
          </w:p>
        </w:tc>
      </w:tr>
      <w:tr w:rsidR="00E430E8" w:rsidRPr="00E430E8" w:rsidTr="00935FC1">
        <w:trPr>
          <w:jc w:val="center"/>
        </w:trPr>
        <w:tc>
          <w:tcPr>
            <w:tcW w:w="2624"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3.41 – 4.20</w:t>
            </w:r>
          </w:p>
        </w:tc>
        <w:tc>
          <w:tcPr>
            <w:tcW w:w="2376"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مرتفعة</w:t>
            </w:r>
          </w:p>
        </w:tc>
      </w:tr>
      <w:tr w:rsidR="00E430E8" w:rsidRPr="00E430E8" w:rsidTr="00935FC1">
        <w:trPr>
          <w:jc w:val="center"/>
        </w:trPr>
        <w:tc>
          <w:tcPr>
            <w:tcW w:w="2624"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lang w:val="en-US"/>
              </w:rPr>
              <w:t>4.21 – 5.00</w:t>
            </w:r>
          </w:p>
        </w:tc>
        <w:tc>
          <w:tcPr>
            <w:tcW w:w="2376" w:type="pct"/>
            <w:hideMark/>
          </w:tcPr>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مرتفعة</w:t>
            </w:r>
            <w:proofErr w:type="gramEnd"/>
            <w:r w:rsidRPr="00E430E8">
              <w:rPr>
                <w:rFonts w:ascii="Traditional Arabic" w:eastAsia="Calibri" w:hAnsi="Traditional Arabic" w:cs="Traditional Arabic"/>
                <w:sz w:val="32"/>
                <w:szCs w:val="32"/>
                <w:rtl/>
                <w:lang w:val="en-US"/>
              </w:rPr>
              <w:t xml:space="preserve"> جداً</w:t>
            </w:r>
          </w:p>
        </w:tc>
      </w:tr>
    </w:tbl>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3.7.1 </w:t>
      </w:r>
      <w:proofErr w:type="gramStart"/>
      <w:r w:rsidRPr="00E430E8">
        <w:rPr>
          <w:rFonts w:ascii="Traditional Arabic" w:eastAsia="Calibri" w:hAnsi="Traditional Arabic" w:cs="Traditional Arabic"/>
          <w:b/>
          <w:bCs/>
          <w:sz w:val="32"/>
          <w:szCs w:val="32"/>
          <w:rtl/>
          <w:lang w:val="en-US"/>
        </w:rPr>
        <w:t>الدراسة</w:t>
      </w:r>
      <w:proofErr w:type="gramEnd"/>
      <w:r w:rsidRPr="00E430E8">
        <w:rPr>
          <w:rFonts w:ascii="Traditional Arabic" w:eastAsia="Calibri" w:hAnsi="Traditional Arabic" w:cs="Traditional Arabic"/>
          <w:b/>
          <w:bCs/>
          <w:sz w:val="32"/>
          <w:szCs w:val="32"/>
          <w:rtl/>
          <w:lang w:val="en-US"/>
        </w:rPr>
        <w:t xml:space="preserve"> الاستطلاعية (</w:t>
      </w:r>
      <w:r w:rsidRPr="00E430E8">
        <w:rPr>
          <w:rFonts w:ascii="Traditional Arabic" w:eastAsia="Calibri" w:hAnsi="Traditional Arabic" w:cs="Traditional Arabic"/>
          <w:b/>
          <w:bCs/>
          <w:sz w:val="32"/>
          <w:szCs w:val="32"/>
          <w:lang w:val="en-US"/>
        </w:rPr>
        <w:t>Pilot Study</w:t>
      </w:r>
      <w:r w:rsidRPr="00E430E8">
        <w:rPr>
          <w:rFonts w:ascii="Traditional Arabic" w:eastAsia="Calibri" w:hAnsi="Traditional Arabic" w:cs="Traditional Arabic"/>
          <w:b/>
          <w:bCs/>
          <w:sz w:val="32"/>
          <w:szCs w:val="32"/>
          <w:rtl/>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قبل تطبيق أداة الدراسة على العينة النهائية، أجرى الباحث دراسة استطلاعية</w:t>
      </w:r>
      <w:r w:rsidRPr="00E430E8">
        <w:rPr>
          <w:rFonts w:ascii="Traditional Arabic" w:eastAsia="Calibri" w:hAnsi="Traditional Arabic" w:cs="Traditional Arabic"/>
          <w:sz w:val="32"/>
          <w:szCs w:val="32"/>
          <w:lang w:val="en-US"/>
        </w:rPr>
        <w:t xml:space="preserve"> (Pilot Study) </w:t>
      </w:r>
      <w:r w:rsidRPr="00E430E8">
        <w:rPr>
          <w:rFonts w:ascii="Traditional Arabic" w:eastAsia="Calibri" w:hAnsi="Traditional Arabic" w:cs="Traditional Arabic"/>
          <w:sz w:val="32"/>
          <w:szCs w:val="32"/>
          <w:rtl/>
          <w:lang w:val="en-US"/>
        </w:rPr>
        <w:t xml:space="preserve">بهدف التحقق من وضوح فقرات الاستبانة، وسلامة صياغتها، ومدى ملاءمتها لقياس متغيرات الدراسة، بالإضافة إلى التحقق من الخصائص </w:t>
      </w:r>
      <w:proofErr w:type="spellStart"/>
      <w:r w:rsidRPr="00E430E8">
        <w:rPr>
          <w:rFonts w:ascii="Traditional Arabic" w:eastAsia="Calibri" w:hAnsi="Traditional Arabic" w:cs="Traditional Arabic"/>
          <w:sz w:val="32"/>
          <w:szCs w:val="32"/>
          <w:rtl/>
          <w:lang w:val="en-US"/>
        </w:rPr>
        <w:t>السيكومترية</w:t>
      </w:r>
      <w:proofErr w:type="spellEnd"/>
      <w:r w:rsidRPr="00E430E8">
        <w:rPr>
          <w:rFonts w:ascii="Traditional Arabic" w:eastAsia="Calibri" w:hAnsi="Traditional Arabic" w:cs="Traditional Arabic"/>
          <w:sz w:val="32"/>
          <w:szCs w:val="32"/>
          <w:rtl/>
          <w:lang w:val="en-US"/>
        </w:rPr>
        <w:t xml:space="preserve"> للأداة من حيث الصدق والثبات، تمهيدًا لتطبيقها على العينة النهائية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وقد</w:t>
      </w:r>
      <w:proofErr w:type="gramEnd"/>
      <w:r w:rsidRPr="00E430E8">
        <w:rPr>
          <w:rFonts w:ascii="Traditional Arabic" w:eastAsia="Calibri" w:hAnsi="Traditional Arabic" w:cs="Traditional Arabic"/>
          <w:sz w:val="32"/>
          <w:szCs w:val="32"/>
          <w:rtl/>
          <w:lang w:val="en-US"/>
        </w:rPr>
        <w:t xml:space="preserve"> طُبقت الدراسة الاستطلاعية على عينة مكونة من (30) موظفًا من العاملين الإداريين في ديوان وزارة الإعلام، ممن تنطبق عليهم خصائص مجتمع الدراسة، وتم اختيارهم من خارج العينة النهائية، وذلك لضمان استقلالية النتائج وعدم تأثر التحليلات الإحصائية الخاصة بالدراسة الأساسية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lastRenderedPageBreak/>
        <w:t>وبعد جمع بيانات الدراسة الاستطلاعية، تم إجراء التحليلات الإحصائية اللازمة للتحقق من صدق أداة الدراسة وثباتها، حيث تم حساب معاملات ارتباط بيرسون للتحقق من صدق البناء، ومعامل كرونباخ ألفا للتحقق من ثبات الأداة. وقد أظهرت النتائج تمتع الأداة بدرجات مناسبة من الصدق والثبات، مما يؤكد صلاحيتها للتطبيق على العينة النهائية، وسيتم عرض نتائج هذه الاختبارات بالتفصيل في الأقسام اللاحقة من هذا الفصل</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3.8 صدق أداة الدراسة</w:t>
      </w: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3.8.1 صدق المحتوى (</w:t>
      </w:r>
      <w:proofErr w:type="gramStart"/>
      <w:r w:rsidRPr="00E430E8">
        <w:rPr>
          <w:rFonts w:ascii="Traditional Arabic" w:eastAsia="Calibri" w:hAnsi="Traditional Arabic" w:cs="Traditional Arabic"/>
          <w:b/>
          <w:bCs/>
          <w:sz w:val="32"/>
          <w:szCs w:val="32"/>
          <w:rtl/>
          <w:lang w:val="en-US"/>
        </w:rPr>
        <w:t>المحكمين</w:t>
      </w:r>
      <w:proofErr w:type="gramEnd"/>
      <w:r w:rsidRPr="00E430E8">
        <w:rPr>
          <w:rFonts w:ascii="Traditional Arabic" w:eastAsia="Calibri" w:hAnsi="Traditional Arabic" w:cs="Traditional Arabic"/>
          <w:b/>
          <w:bCs/>
          <w:sz w:val="32"/>
          <w:szCs w:val="32"/>
          <w:rtl/>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للتحقق من صدق محتوى أداة الدراسة، عُرضت الاستبانة بصورتها الأولية على مجموعة من المحكمين المتخصصين في الإدارة، وإدارة الموارد البشرية، والقياس والتقويم، ومناهج البحث العلمي، ممن يمتلكون الخبرة الأكاديمية والبحثية المرتبطة بموضوع الدراسة، وذلك بهدف التأكد من مدى ملاءمة فقرات الاستبانة لأبعاد الدراسة، ووضوح صياغتها اللغوية، وسلامة عباراتها، ومناسبتها لمجتمع الدراسة، وشمولها لجميع متغيرات الدراسة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وطُلب</w:t>
      </w:r>
      <w:proofErr w:type="gramEnd"/>
      <w:r w:rsidRPr="00E430E8">
        <w:rPr>
          <w:rFonts w:ascii="Traditional Arabic" w:eastAsia="Calibri" w:hAnsi="Traditional Arabic" w:cs="Traditional Arabic"/>
          <w:sz w:val="32"/>
          <w:szCs w:val="32"/>
          <w:rtl/>
        </w:rPr>
        <w:t xml:space="preserve"> من المحكمين إبداء آرائهم حول مدى انتماء كل فقرة للبعد الذي تقيسه، ووضوح صياغتها، وسلامة لغتها، ومدى ملاءمتها لتحقيق أهداف الدراسة، بالإضافة إلى اقتراح أي تعديل أو حذف أو إضافة يرونها مناسبة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وقد</w:t>
      </w:r>
      <w:proofErr w:type="gramEnd"/>
      <w:r w:rsidRPr="00E430E8">
        <w:rPr>
          <w:rFonts w:ascii="Traditional Arabic" w:eastAsia="Calibri" w:hAnsi="Traditional Arabic" w:cs="Traditional Arabic"/>
          <w:sz w:val="32"/>
          <w:szCs w:val="32"/>
          <w:rtl/>
        </w:rPr>
        <w:t xml:space="preserve"> قام الباحث بجمع ملاحظات المحكمين وتحليلها، واعتمد معيار اتفاق غالبية المحكمين في قبول التعديلات المقترحة. وفي ضوء تلك الملاحظات، أجرى الباحث التعديلات اللازمة على عدد من </w:t>
      </w:r>
      <w:r w:rsidRPr="00E430E8">
        <w:rPr>
          <w:rFonts w:ascii="Traditional Arabic" w:eastAsia="Calibri" w:hAnsi="Traditional Arabic" w:cs="Traditional Arabic"/>
          <w:sz w:val="32"/>
          <w:szCs w:val="32"/>
          <w:rtl/>
        </w:rPr>
        <w:lastRenderedPageBreak/>
        <w:t>الفقرات من حيث الصياغة، والوضوح، والدقة اللغوية، كما تم تعديل بعض العبارات بما يتناسب مع طبيعة العمل في وزارة الإعلام السعودية وأهداف الدراسة، حتى أصبحت أداة الدراسة بصورتها النهائية صالحة للتطبيق</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وقد</w:t>
      </w:r>
      <w:proofErr w:type="gramEnd"/>
      <w:r w:rsidRPr="00E430E8">
        <w:rPr>
          <w:rFonts w:ascii="Traditional Arabic" w:eastAsia="Calibri" w:hAnsi="Traditional Arabic" w:cs="Traditional Arabic"/>
          <w:sz w:val="32"/>
          <w:szCs w:val="32"/>
          <w:rtl/>
        </w:rPr>
        <w:t xml:space="preserve"> أسفرت عملية التحكيم عن الاتفاق على صلاحية جميع أبعاد الأداة وفقراتها بعد إجراء التعديلات المقترحة، واعتمد الباحث النسخة المعدلة بوصفها الصيغة النهائية لأداة الدراسة، والتي استخدمت في الدراسة الاستطلاعية ثم في التطبيق على العينة النهائية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3.8.2 صدق البناء</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بعد الانتهاء من التحقق من صدق المحتوى وإجراء التعديلات اللازمة في ضوء آراء المحكمين، تم التحقق من صدق البناء لأداة الدراسة من خلال تطبيقها على عينة استطلاعية مكونة من (30) موظفًا من العاملين الإداريين في ديوان وزارة الإعلام، ممن تنطبق عليهم خصائص مجتمع الدراسة، وتم اختيارهم من خارج العينة النهائية للدراسة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وللتحقق من صدق البناء، تم حساب معاملات ارتباط بيرسون (</w:t>
      </w:r>
      <w:r w:rsidRPr="00E430E8">
        <w:rPr>
          <w:rFonts w:ascii="Traditional Arabic" w:eastAsia="Calibri" w:hAnsi="Traditional Arabic" w:cs="Traditional Arabic"/>
          <w:sz w:val="32"/>
          <w:szCs w:val="32"/>
        </w:rPr>
        <w:t>Pearson Correlation Coefficient</w:t>
      </w:r>
      <w:r w:rsidRPr="00E430E8">
        <w:rPr>
          <w:rFonts w:ascii="Traditional Arabic" w:eastAsia="Calibri" w:hAnsi="Traditional Arabic" w:cs="Traditional Arabic"/>
          <w:sz w:val="32"/>
          <w:szCs w:val="32"/>
          <w:rtl/>
        </w:rPr>
        <w:t xml:space="preserve">) بين كل فقرة والدرجة الكلية للبعد الذي تنتمي إليه، وذلك بعد استبعاد درجة الفقرة من الدرجة الكلية للبعد، بهدف التحقق من مدى اتساق كل فقرة مع البعد الذي صُممت لقياسه. </w:t>
      </w:r>
      <w:proofErr w:type="gramStart"/>
      <w:r w:rsidRPr="00E430E8">
        <w:rPr>
          <w:rFonts w:ascii="Traditional Arabic" w:eastAsia="Calibri" w:hAnsi="Traditional Arabic" w:cs="Traditional Arabic"/>
          <w:sz w:val="32"/>
          <w:szCs w:val="32"/>
          <w:rtl/>
        </w:rPr>
        <w:t>كما</w:t>
      </w:r>
      <w:proofErr w:type="gramEnd"/>
      <w:r w:rsidRPr="00E430E8">
        <w:rPr>
          <w:rFonts w:ascii="Traditional Arabic" w:eastAsia="Calibri" w:hAnsi="Traditional Arabic" w:cs="Traditional Arabic"/>
          <w:sz w:val="32"/>
          <w:szCs w:val="32"/>
          <w:rtl/>
        </w:rPr>
        <w:t xml:space="preserve"> تم حساب معاملات الارتباط بين الأبعاد والدرجة الكلية للمتغير الذي تنتمي إليه، وذلك للتحقق من مدى اتساق الأبعاد مع البناء النظري العام لمتغيرات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lastRenderedPageBreak/>
        <w:t xml:space="preserve">وقد أظهرت نتائج التحليل الإحصائي أن جميع معاملات الارتباط </w:t>
      </w:r>
      <w:proofErr w:type="gramStart"/>
      <w:r w:rsidRPr="00E430E8">
        <w:rPr>
          <w:rFonts w:ascii="Traditional Arabic" w:eastAsia="Calibri" w:hAnsi="Traditional Arabic" w:cs="Traditional Arabic"/>
          <w:sz w:val="32"/>
          <w:szCs w:val="32"/>
          <w:rtl/>
        </w:rPr>
        <w:t>جاءت</w:t>
      </w:r>
      <w:proofErr w:type="gramEnd"/>
      <w:r w:rsidRPr="00E430E8">
        <w:rPr>
          <w:rFonts w:ascii="Traditional Arabic" w:eastAsia="Calibri" w:hAnsi="Traditional Arabic" w:cs="Traditional Arabic"/>
          <w:sz w:val="32"/>
          <w:szCs w:val="32"/>
          <w:rtl/>
        </w:rPr>
        <w:t xml:space="preserve"> موجبة ودالة إحصائيًا عند مستوى الدلالة (</w:t>
      </w:r>
      <w:r w:rsidRPr="00E430E8">
        <w:rPr>
          <w:rFonts w:ascii="Times New Roman" w:eastAsia="Calibri" w:hAnsi="Times New Roman" w:cs="Times New Roman"/>
          <w:sz w:val="32"/>
          <w:szCs w:val="32"/>
        </w:rPr>
        <w:t>α</w:t>
      </w:r>
      <w:r w:rsidRPr="00E430E8">
        <w:rPr>
          <w:rFonts w:ascii="Traditional Arabic" w:eastAsia="Calibri" w:hAnsi="Traditional Arabic" w:cs="Traditional Arabic"/>
          <w:sz w:val="32"/>
          <w:szCs w:val="32"/>
        </w:rPr>
        <w:t xml:space="preserve"> </w:t>
      </w:r>
      <w:r w:rsidRPr="00E430E8">
        <w:rPr>
          <w:rFonts w:ascii="Times New Roman" w:eastAsia="Calibri" w:hAnsi="Times New Roman" w:cs="Times New Roman"/>
          <w:sz w:val="32"/>
          <w:szCs w:val="32"/>
        </w:rPr>
        <w:t>≤</w:t>
      </w:r>
      <w:r w:rsidRPr="00E430E8">
        <w:rPr>
          <w:rFonts w:ascii="Traditional Arabic" w:eastAsia="Calibri" w:hAnsi="Traditional Arabic" w:cs="Traditional Arabic"/>
          <w:sz w:val="32"/>
          <w:szCs w:val="32"/>
        </w:rPr>
        <w:t xml:space="preserve"> 0.05</w:t>
      </w:r>
      <w:proofErr w:type="gramStart"/>
      <w:r w:rsidRPr="00E430E8">
        <w:rPr>
          <w:rFonts w:ascii="Traditional Arabic" w:eastAsia="Calibri" w:hAnsi="Traditional Arabic" w:cs="Traditional Arabic"/>
          <w:sz w:val="32"/>
          <w:szCs w:val="32"/>
          <w:rtl/>
        </w:rPr>
        <w:t>)،</w:t>
      </w:r>
      <w:proofErr w:type="gramEnd"/>
      <w:r w:rsidRPr="00E430E8">
        <w:rPr>
          <w:rFonts w:ascii="Traditional Arabic" w:eastAsia="Calibri" w:hAnsi="Traditional Arabic" w:cs="Traditional Arabic"/>
          <w:sz w:val="32"/>
          <w:szCs w:val="32"/>
          <w:rtl/>
        </w:rPr>
        <w:t xml:space="preserve"> كما تراوحت قيم معاملات الارتباط ضمن الحدود المقبولة إحصائيًا، مما يدل على وجود اتساق داخلي مناسب بين الفقرات والأبعاد التي تنتمي إليها، ويؤكد تمتع أداة الدراسة بدرجة مناسبة من صدق البناء.</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bidi="ar-JO"/>
        </w:rPr>
      </w:pPr>
      <w:r w:rsidRPr="00E430E8">
        <w:rPr>
          <w:rFonts w:ascii="Traditional Arabic" w:eastAsia="Calibri" w:hAnsi="Traditional Arabic" w:cs="Traditional Arabic"/>
          <w:sz w:val="32"/>
          <w:szCs w:val="32"/>
          <w:rtl/>
        </w:rPr>
        <w:t>ويعرض الجدول (3-8) معاملات ارتباط بيرسون بين فقرات كل بعد والدرجة الكلية للبعد الذي تنتمي إليه، وفقًا لبيانات العينة الاستطلاعية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center"/>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rPr>
        <w:t xml:space="preserve">جدول (3-8) معاملات ارتباط بيرسون بين فقرات </w:t>
      </w:r>
      <w:proofErr w:type="spellStart"/>
      <w:r w:rsidRPr="00E430E8">
        <w:rPr>
          <w:rFonts w:ascii="Traditional Arabic" w:eastAsia="Calibri" w:hAnsi="Traditional Arabic" w:cs="Traditional Arabic" w:hint="cs"/>
          <w:b/>
          <w:bCs/>
          <w:sz w:val="32"/>
          <w:szCs w:val="32"/>
          <w:rtl/>
        </w:rPr>
        <w:t>الاداة</w:t>
      </w:r>
      <w:proofErr w:type="spellEnd"/>
      <w:r w:rsidRPr="00E430E8">
        <w:rPr>
          <w:rFonts w:ascii="Traditional Arabic" w:eastAsia="Calibri" w:hAnsi="Traditional Arabic" w:cs="Traditional Arabic"/>
          <w:b/>
          <w:bCs/>
          <w:sz w:val="32"/>
          <w:szCs w:val="32"/>
          <w:rtl/>
        </w:rPr>
        <w:t xml:space="preserve"> والدرجة الكلية للبعد الذي تنتمي إليه</w:t>
      </w:r>
    </w:p>
    <w:tbl>
      <w:tblPr>
        <w:tblStyle w:val="1"/>
        <w:bidiVisual/>
        <w:tblW w:w="5000" w:type="pct"/>
        <w:tblLook w:val="04A0" w:firstRow="1" w:lastRow="0" w:firstColumn="1" w:lastColumn="0" w:noHBand="0" w:noVBand="1"/>
      </w:tblPr>
      <w:tblGrid>
        <w:gridCol w:w="2037"/>
        <w:gridCol w:w="2851"/>
        <w:gridCol w:w="968"/>
        <w:gridCol w:w="1331"/>
        <w:gridCol w:w="1335"/>
      </w:tblGrid>
      <w:tr w:rsidR="00E430E8" w:rsidRPr="00E430E8" w:rsidTr="00935FC1">
        <w:tc>
          <w:tcPr>
            <w:tcW w:w="1195"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المتغير</w:t>
            </w:r>
          </w:p>
        </w:tc>
        <w:tc>
          <w:tcPr>
            <w:tcW w:w="1673"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البعد</w:t>
            </w:r>
          </w:p>
        </w:tc>
        <w:tc>
          <w:tcPr>
            <w:tcW w:w="568"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رقم الفقرة</w:t>
            </w:r>
          </w:p>
        </w:tc>
        <w:tc>
          <w:tcPr>
            <w:tcW w:w="781" w:type="pct"/>
            <w:hideMark/>
          </w:tcPr>
          <w:p w:rsidR="00E430E8" w:rsidRPr="00E430E8" w:rsidRDefault="00E430E8" w:rsidP="00E430E8">
            <w:pPr>
              <w:bidi/>
              <w:jc w:val="both"/>
              <w:rPr>
                <w:rFonts w:ascii="Traditional Arabic" w:hAnsi="Traditional Arabic" w:cs="Traditional Arabic"/>
                <w:b/>
                <w:bCs/>
                <w:sz w:val="28"/>
                <w:szCs w:val="28"/>
                <w:lang w:val="en-US"/>
              </w:rPr>
            </w:pPr>
            <w:proofErr w:type="gramStart"/>
            <w:r w:rsidRPr="00E430E8">
              <w:rPr>
                <w:rFonts w:ascii="Traditional Arabic" w:hAnsi="Traditional Arabic" w:cs="Traditional Arabic"/>
                <w:b/>
                <w:bCs/>
                <w:sz w:val="28"/>
                <w:szCs w:val="28"/>
                <w:rtl/>
              </w:rPr>
              <w:t>معامل</w:t>
            </w:r>
            <w:proofErr w:type="gramEnd"/>
            <w:r w:rsidRPr="00E430E8">
              <w:rPr>
                <w:rFonts w:ascii="Traditional Arabic" w:hAnsi="Traditional Arabic" w:cs="Traditional Arabic"/>
                <w:b/>
                <w:bCs/>
                <w:sz w:val="28"/>
                <w:szCs w:val="28"/>
                <w:rtl/>
              </w:rPr>
              <w:t xml:space="preserve"> الارتباط</w:t>
            </w:r>
          </w:p>
        </w:tc>
        <w:tc>
          <w:tcPr>
            <w:tcW w:w="783"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مستوى الدلالة</w:t>
            </w:r>
          </w:p>
        </w:tc>
      </w:tr>
      <w:tr w:rsidR="00E430E8" w:rsidRPr="00E430E8" w:rsidTr="00935FC1">
        <w:tc>
          <w:tcPr>
            <w:tcW w:w="1195" w:type="pct"/>
            <w:vMerge w:val="restar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التخطيط </w:t>
            </w:r>
            <w:r>
              <w:rPr>
                <w:rFonts w:ascii="Traditional Arabic" w:hAnsi="Traditional Arabic" w:cs="Traditional Arabic"/>
                <w:sz w:val="28"/>
                <w:szCs w:val="28"/>
                <w:rtl/>
              </w:rPr>
              <w:t>الاستراتيجي</w:t>
            </w:r>
            <w:r w:rsidRPr="00E430E8">
              <w:rPr>
                <w:rFonts w:ascii="Traditional Arabic" w:hAnsi="Traditional Arabic" w:cs="Traditional Arabic"/>
                <w:sz w:val="28"/>
                <w:szCs w:val="28"/>
                <w:rtl/>
              </w:rPr>
              <w:t xml:space="preserve"> للموارد البشرية</w:t>
            </w: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0.742</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0.781</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0.803</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0.764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0.789</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0.817</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0.776</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0.821</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0.793</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0.808</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0.755</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0.834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0.768</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0.812</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0.795</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0.783</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0.824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0.801</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val="restar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lastRenderedPageBreak/>
              <w:t>البراعة</w:t>
            </w:r>
            <w:proofErr w:type="gramEnd"/>
            <w:r w:rsidRPr="00E430E8">
              <w:rPr>
                <w:rFonts w:ascii="Traditional Arabic" w:hAnsi="Traditional Arabic" w:cs="Traditional Arabic"/>
                <w:sz w:val="28"/>
                <w:szCs w:val="28"/>
                <w:rtl/>
              </w:rPr>
              <w:t xml:space="preserve"> التنظيمية</w:t>
            </w: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0.772</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0.806</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0.829</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0.791</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0.814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0.836</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0.784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0.822</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0.811</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0.793</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0.838</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0.817</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0.769</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0.805</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0.827</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0.792</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0.814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0.836</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1</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0.781</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2</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0.826</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3</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0.844</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4</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0.809</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5</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0.833</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r w:rsidR="00E430E8" w:rsidRPr="00E430E8" w:rsidTr="00935FC1">
        <w:tc>
          <w:tcPr>
            <w:tcW w:w="1195" w:type="pct"/>
            <w:vMerge/>
          </w:tcPr>
          <w:p w:rsidR="00E430E8" w:rsidRPr="00E430E8" w:rsidRDefault="00E430E8" w:rsidP="00E430E8">
            <w:pPr>
              <w:bidi/>
              <w:jc w:val="both"/>
              <w:rPr>
                <w:rFonts w:ascii="Traditional Arabic" w:hAnsi="Traditional Arabic" w:cs="Traditional Arabic"/>
                <w:sz w:val="28"/>
                <w:szCs w:val="28"/>
                <w:lang w:val="en-US"/>
              </w:rPr>
            </w:pPr>
          </w:p>
        </w:tc>
        <w:tc>
          <w:tcPr>
            <w:tcW w:w="1673"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568"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81"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0.858</w:t>
            </w:r>
          </w:p>
        </w:tc>
        <w:tc>
          <w:tcPr>
            <w:tcW w:w="783"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0.000</w:t>
            </w:r>
          </w:p>
        </w:tc>
      </w:tr>
    </w:tbl>
    <w:p w:rsidR="00E430E8" w:rsidRPr="00E430E8" w:rsidRDefault="00E430E8" w:rsidP="00E430E8">
      <w:pPr>
        <w:bidi/>
        <w:spacing w:line="360" w:lineRule="auto"/>
        <w:jc w:val="both"/>
        <w:rPr>
          <w:rFonts w:ascii="Traditional Arabic" w:eastAsia="Calibri" w:hAnsi="Traditional Arabic" w:cs="Traditional Arabic"/>
          <w:sz w:val="32"/>
          <w:szCs w:val="32"/>
          <w:rtl/>
        </w:rPr>
      </w:pP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يتضح من الجدول (3-8) أن معاملات ارتباط بيرسون بين فقرات أداة الدراسة والدرجة الكلية للأبعاد التي تنتمي إليها جاءت جميعها موجبة ودالة إحصائيًا عند مستوى الدلالة (</w:t>
      </w:r>
      <w:r w:rsidRPr="00E430E8">
        <w:rPr>
          <w:rFonts w:ascii="Times New Roman" w:eastAsia="Calibri" w:hAnsi="Times New Roman" w:cs="Times New Roman"/>
          <w:sz w:val="32"/>
          <w:szCs w:val="32"/>
        </w:rPr>
        <w:t>α</w:t>
      </w:r>
      <w:r w:rsidRPr="00E430E8">
        <w:rPr>
          <w:rFonts w:ascii="Traditional Arabic" w:eastAsia="Calibri" w:hAnsi="Traditional Arabic" w:cs="Traditional Arabic"/>
          <w:sz w:val="32"/>
          <w:szCs w:val="32"/>
        </w:rPr>
        <w:t xml:space="preserve"> </w:t>
      </w:r>
      <w:r w:rsidRPr="00E430E8">
        <w:rPr>
          <w:rFonts w:ascii="Times New Roman" w:eastAsia="Calibri" w:hAnsi="Times New Roman" w:cs="Times New Roman"/>
          <w:sz w:val="32"/>
          <w:szCs w:val="32"/>
        </w:rPr>
        <w:t>≤</w:t>
      </w:r>
      <w:r w:rsidRPr="00E430E8">
        <w:rPr>
          <w:rFonts w:ascii="Traditional Arabic" w:eastAsia="Calibri" w:hAnsi="Traditional Arabic" w:cs="Traditional Arabic"/>
          <w:sz w:val="32"/>
          <w:szCs w:val="32"/>
        </w:rPr>
        <w:t xml:space="preserve"> 0.05</w:t>
      </w:r>
      <w:proofErr w:type="gramStart"/>
      <w:r w:rsidRPr="00E430E8">
        <w:rPr>
          <w:rFonts w:ascii="Traditional Arabic" w:eastAsia="Calibri" w:hAnsi="Traditional Arabic" w:cs="Traditional Arabic"/>
          <w:sz w:val="32"/>
          <w:szCs w:val="32"/>
          <w:rtl/>
        </w:rPr>
        <w:t>)،</w:t>
      </w:r>
      <w:proofErr w:type="gramEnd"/>
      <w:r w:rsidRPr="00E430E8">
        <w:rPr>
          <w:rFonts w:ascii="Traditional Arabic" w:eastAsia="Calibri" w:hAnsi="Traditional Arabic" w:cs="Traditional Arabic"/>
          <w:sz w:val="32"/>
          <w:szCs w:val="32"/>
          <w:rtl/>
        </w:rPr>
        <w:t xml:space="preserve"> حيث تراوحت قيم معاملات الارتباط بين (0.742–0.858)، وهي قيم مقبولة ومرتفعة، مما يدل على </w:t>
      </w:r>
      <w:r w:rsidRPr="00E430E8">
        <w:rPr>
          <w:rFonts w:ascii="Traditional Arabic" w:eastAsia="Calibri" w:hAnsi="Traditional Arabic" w:cs="Traditional Arabic"/>
          <w:sz w:val="32"/>
          <w:szCs w:val="32"/>
          <w:rtl/>
        </w:rPr>
        <w:lastRenderedPageBreak/>
        <w:t>اتساق الفقرات مع الأبعاد التي تقيسها، ويؤكد تمتع أداة الدراسة بدرجة مناسبة من صدق البناء، وبالتالي صلاحيتها للتطبيق على العينة النهائية.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3.9 </w:t>
      </w:r>
      <w:proofErr w:type="gramStart"/>
      <w:r w:rsidRPr="00E430E8">
        <w:rPr>
          <w:rFonts w:ascii="Traditional Arabic" w:eastAsia="Calibri" w:hAnsi="Traditional Arabic" w:cs="Traditional Arabic"/>
          <w:b/>
          <w:bCs/>
          <w:sz w:val="32"/>
          <w:szCs w:val="32"/>
          <w:rtl/>
          <w:lang w:val="en-US"/>
        </w:rPr>
        <w:t>ثبات</w:t>
      </w:r>
      <w:proofErr w:type="gramEnd"/>
      <w:r w:rsidRPr="00E430E8">
        <w:rPr>
          <w:rFonts w:ascii="Traditional Arabic" w:eastAsia="Calibri" w:hAnsi="Traditional Arabic" w:cs="Traditional Arabic"/>
          <w:b/>
          <w:bCs/>
          <w:sz w:val="32"/>
          <w:szCs w:val="32"/>
          <w:rtl/>
          <w:lang w:val="en-US"/>
        </w:rPr>
        <w:t xml:space="preserve"> أداة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يُقصد بثبات أداة الدراسة مدى اتساق نتائجها واستقرارها عند استخدامها في قياس الظاهرة نفسها في ظروف متشابهة، ويُعد من المؤشرات الأساسية للحكم على جودة أدوات القياس في الدراسات الإدارية والعلوم السلوكية، إذ يعكس مدى اتساق فقرات الأداة في قياس المفاهيم التي صُممت من أجلها</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rtl/>
        </w:rPr>
      </w:pPr>
      <w:proofErr w:type="gramStart"/>
      <w:r w:rsidRPr="00E430E8">
        <w:rPr>
          <w:rFonts w:ascii="Traditional Arabic" w:eastAsia="Calibri" w:hAnsi="Traditional Arabic" w:cs="Traditional Arabic"/>
          <w:sz w:val="32"/>
          <w:szCs w:val="32"/>
          <w:rtl/>
        </w:rPr>
        <w:t>وللتحقق</w:t>
      </w:r>
      <w:proofErr w:type="gramEnd"/>
      <w:r w:rsidRPr="00E430E8">
        <w:rPr>
          <w:rFonts w:ascii="Traditional Arabic" w:eastAsia="Calibri" w:hAnsi="Traditional Arabic" w:cs="Traditional Arabic"/>
          <w:sz w:val="32"/>
          <w:szCs w:val="32"/>
          <w:rtl/>
        </w:rPr>
        <w:t xml:space="preserve"> من ثبات أداة الدراسة، استخدم الباحث معامل الاتساق الداخلي (</w:t>
      </w:r>
      <w:proofErr w:type="spellStart"/>
      <w:r w:rsidRPr="00E430E8">
        <w:rPr>
          <w:rFonts w:ascii="Traditional Arabic" w:eastAsia="Calibri" w:hAnsi="Traditional Arabic" w:cs="Traditional Arabic"/>
          <w:sz w:val="32"/>
          <w:szCs w:val="32"/>
        </w:rPr>
        <w:t>Cronbach's</w:t>
      </w:r>
      <w:proofErr w:type="spellEnd"/>
      <w:r w:rsidRPr="00E430E8">
        <w:rPr>
          <w:rFonts w:ascii="Traditional Arabic" w:eastAsia="Calibri" w:hAnsi="Traditional Arabic" w:cs="Traditional Arabic"/>
          <w:sz w:val="32"/>
          <w:szCs w:val="32"/>
        </w:rPr>
        <w:t xml:space="preserve"> Alpha</w:t>
      </w:r>
      <w:r w:rsidRPr="00E430E8">
        <w:rPr>
          <w:rFonts w:ascii="Traditional Arabic" w:eastAsia="Calibri" w:hAnsi="Traditional Arabic" w:cs="Traditional Arabic"/>
          <w:sz w:val="32"/>
          <w:szCs w:val="32"/>
          <w:rtl/>
        </w:rPr>
        <w:t xml:space="preserve">)، وذلك بالاعتماد على بيانات الدراسة الاستطلاعية التي طُبقت على عينة مكونة من (30) موظفًا من العاملين الإداريين في ديوان وزارة الإعلام، ممن تنطبق عليهم خصائص مجتمع الدراسة، ومن خارج العينة النهائية. </w:t>
      </w:r>
      <w:proofErr w:type="gramStart"/>
      <w:r w:rsidRPr="00E430E8">
        <w:rPr>
          <w:rFonts w:ascii="Traditional Arabic" w:eastAsia="Calibri" w:hAnsi="Traditional Arabic" w:cs="Traditional Arabic"/>
          <w:sz w:val="32"/>
          <w:szCs w:val="32"/>
          <w:rtl/>
        </w:rPr>
        <w:t>وقد</w:t>
      </w:r>
      <w:proofErr w:type="gramEnd"/>
      <w:r w:rsidRPr="00E430E8">
        <w:rPr>
          <w:rFonts w:ascii="Traditional Arabic" w:eastAsia="Calibri" w:hAnsi="Traditional Arabic" w:cs="Traditional Arabic"/>
          <w:sz w:val="32"/>
          <w:szCs w:val="32"/>
          <w:rtl/>
        </w:rPr>
        <w:t xml:space="preserve"> تم حساب معاملات الثبات لكل بعد من أبعاد الدراسة على حدة، ولكل متغير رئيس، بالإضافة إلى حساب معامل الثبات للأداة ككل.</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ويُعد معامل كرونباخ ألفا من أكثر المؤشرات الإحصائية استخدامًا في الدراسات الإدارية والإنسانية للتحقق من ثبات أدوات القياس، حيث تشير الأدبيات المنهجية إلى أن قيمة (0.70) </w:t>
      </w:r>
      <w:proofErr w:type="gramStart"/>
      <w:r w:rsidRPr="00E430E8">
        <w:rPr>
          <w:rFonts w:ascii="Traditional Arabic" w:eastAsia="Calibri" w:hAnsi="Traditional Arabic" w:cs="Traditional Arabic"/>
          <w:sz w:val="32"/>
          <w:szCs w:val="32"/>
          <w:rtl/>
        </w:rPr>
        <w:t>فأكثر</w:t>
      </w:r>
      <w:proofErr w:type="gramEnd"/>
      <w:r w:rsidRPr="00E430E8">
        <w:rPr>
          <w:rFonts w:ascii="Traditional Arabic" w:eastAsia="Calibri" w:hAnsi="Traditional Arabic" w:cs="Traditional Arabic"/>
          <w:sz w:val="32"/>
          <w:szCs w:val="32"/>
          <w:rtl/>
        </w:rPr>
        <w:t xml:space="preserve"> تعد مقبولة، في حين تعكس القيم التي تزيد على (0.80) مستوى </w:t>
      </w:r>
      <w:proofErr w:type="gramStart"/>
      <w:r w:rsidRPr="00E430E8">
        <w:rPr>
          <w:rFonts w:ascii="Traditional Arabic" w:eastAsia="Calibri" w:hAnsi="Traditional Arabic" w:cs="Traditional Arabic"/>
          <w:sz w:val="32"/>
          <w:szCs w:val="32"/>
          <w:rtl/>
        </w:rPr>
        <w:t>مرتفعًا</w:t>
      </w:r>
      <w:proofErr w:type="gramEnd"/>
      <w:r w:rsidRPr="00E430E8">
        <w:rPr>
          <w:rFonts w:ascii="Traditional Arabic" w:eastAsia="Calibri" w:hAnsi="Traditional Arabic" w:cs="Traditional Arabic"/>
          <w:sz w:val="32"/>
          <w:szCs w:val="32"/>
          <w:rtl/>
        </w:rPr>
        <w:t xml:space="preserve"> من الاتساق الداخلي، بينما تشير القيم التي تتجاوز (0.90) إلى مستوى عالٍ جدًا من الثبات، مما يعزز موثوقية نتائج الدراسة.</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bidi="ar-JO"/>
        </w:rPr>
      </w:pPr>
      <w:r w:rsidRPr="00E430E8">
        <w:rPr>
          <w:rFonts w:ascii="Traditional Arabic" w:eastAsia="Calibri" w:hAnsi="Traditional Arabic" w:cs="Traditional Arabic"/>
          <w:sz w:val="32"/>
          <w:szCs w:val="32"/>
          <w:rtl/>
        </w:rPr>
        <w:t xml:space="preserve">وقد أظهرت نتائج التحليل الإحصائي أن جميع معاملات الثبات جاءت مرتفعة، إذ تراوحت قيم معامل كرونباخ ألفا بين (0.891–0.918) لأبعاد الدراسة المختلفة، كما بلغت قيمة الثبات لمتغير التخطيط </w:t>
      </w:r>
      <w:r>
        <w:rPr>
          <w:rFonts w:ascii="Traditional Arabic" w:eastAsia="Calibri" w:hAnsi="Traditional Arabic" w:cs="Traditional Arabic"/>
          <w:sz w:val="32"/>
          <w:szCs w:val="32"/>
          <w:rtl/>
        </w:rPr>
        <w:lastRenderedPageBreak/>
        <w:t>الاستراتيجي</w:t>
      </w:r>
      <w:r w:rsidRPr="00E430E8">
        <w:rPr>
          <w:rFonts w:ascii="Traditional Arabic" w:eastAsia="Calibri" w:hAnsi="Traditional Arabic" w:cs="Traditional Arabic"/>
          <w:sz w:val="32"/>
          <w:szCs w:val="32"/>
          <w:rtl/>
        </w:rPr>
        <w:t xml:space="preserve"> للموارد البشرية ككل (0.936)، </w:t>
      </w:r>
      <w:proofErr w:type="gramStart"/>
      <w:r w:rsidRPr="00E430E8">
        <w:rPr>
          <w:rFonts w:ascii="Traditional Arabic" w:eastAsia="Calibri" w:hAnsi="Traditional Arabic" w:cs="Traditional Arabic"/>
          <w:sz w:val="32"/>
          <w:szCs w:val="32"/>
          <w:rtl/>
        </w:rPr>
        <w:t>ولمتغير</w:t>
      </w:r>
      <w:proofErr w:type="gramEnd"/>
      <w:r w:rsidRPr="00E430E8">
        <w:rPr>
          <w:rFonts w:ascii="Traditional Arabic" w:eastAsia="Calibri" w:hAnsi="Traditional Arabic" w:cs="Traditional Arabic"/>
          <w:sz w:val="32"/>
          <w:szCs w:val="32"/>
          <w:rtl/>
        </w:rPr>
        <w:t xml:space="preserve"> البراعة التنظيمية (0.948)، في حين بلغ معامل الثبات الكلي لأداة الدراسة (0.955)، وهي جميعها قيم مرتفعة تدل على تمتع الأداة بدرجة عالية من الاتساق الداخلي، مما يؤكد صلاحيتها للتطبيق على العينة النهائية.</w:t>
      </w:r>
    </w:p>
    <w:p w:rsidR="00E430E8" w:rsidRPr="00E430E8" w:rsidRDefault="00E430E8" w:rsidP="00E430E8">
      <w:pPr>
        <w:bidi/>
        <w:spacing w:after="0" w:line="240" w:lineRule="auto"/>
        <w:jc w:val="both"/>
        <w:rPr>
          <w:rFonts w:ascii="Traditional Arabic" w:eastAsia="Calibri" w:hAnsi="Traditional Arabic" w:cs="Traditional Arabic"/>
          <w:b/>
          <w:bCs/>
          <w:sz w:val="32"/>
          <w:szCs w:val="32"/>
          <w:lang w:val="en-US"/>
        </w:rPr>
      </w:pPr>
      <w:r w:rsidRPr="00E430E8">
        <w:rPr>
          <w:rFonts w:ascii="Traditional Arabic" w:eastAsia="Calibri" w:hAnsi="Traditional Arabic" w:cs="Traditional Arabic"/>
          <w:b/>
          <w:bCs/>
          <w:sz w:val="32"/>
          <w:szCs w:val="32"/>
          <w:rtl/>
        </w:rPr>
        <w:t>جدول (3-9) معاملات الثبات باستخدام معامل كرونباخ ألفا (</w:t>
      </w:r>
      <w:proofErr w:type="spellStart"/>
      <w:r w:rsidRPr="00E430E8">
        <w:rPr>
          <w:rFonts w:ascii="Traditional Arabic" w:eastAsia="Calibri" w:hAnsi="Traditional Arabic" w:cs="Traditional Arabic"/>
          <w:b/>
          <w:bCs/>
          <w:sz w:val="32"/>
          <w:szCs w:val="32"/>
        </w:rPr>
        <w:t>Cronbach's</w:t>
      </w:r>
      <w:proofErr w:type="spellEnd"/>
      <w:r w:rsidRPr="00E430E8">
        <w:rPr>
          <w:rFonts w:ascii="Traditional Arabic" w:eastAsia="Calibri" w:hAnsi="Traditional Arabic" w:cs="Traditional Arabic"/>
          <w:b/>
          <w:bCs/>
          <w:sz w:val="32"/>
          <w:szCs w:val="32"/>
        </w:rPr>
        <w:t xml:space="preserve"> Alpha</w:t>
      </w:r>
      <w:r w:rsidRPr="00E430E8">
        <w:rPr>
          <w:rFonts w:ascii="Traditional Arabic" w:eastAsia="Calibri" w:hAnsi="Traditional Arabic" w:cs="Traditional Arabic"/>
          <w:b/>
          <w:bCs/>
          <w:sz w:val="32"/>
          <w:szCs w:val="32"/>
          <w:rtl/>
        </w:rPr>
        <w:t>)</w:t>
      </w:r>
    </w:p>
    <w:tbl>
      <w:tblPr>
        <w:tblStyle w:val="1"/>
        <w:bidiVisual/>
        <w:tblW w:w="5000" w:type="pct"/>
        <w:tblLook w:val="04A0" w:firstRow="1" w:lastRow="0" w:firstColumn="1" w:lastColumn="0" w:noHBand="0" w:noVBand="1"/>
      </w:tblPr>
      <w:tblGrid>
        <w:gridCol w:w="3412"/>
        <w:gridCol w:w="2504"/>
        <w:gridCol w:w="1346"/>
        <w:gridCol w:w="1260"/>
      </w:tblGrid>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المتغير</w:t>
            </w:r>
          </w:p>
        </w:tc>
        <w:tc>
          <w:tcPr>
            <w:tcW w:w="1469"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البعد</w:t>
            </w:r>
          </w:p>
        </w:tc>
        <w:tc>
          <w:tcPr>
            <w:tcW w:w="790"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عدد الفقرات</w:t>
            </w:r>
          </w:p>
        </w:tc>
        <w:tc>
          <w:tcPr>
            <w:tcW w:w="740" w:type="pct"/>
            <w:hideMark/>
          </w:tcPr>
          <w:p w:rsidR="00E430E8" w:rsidRPr="00E430E8" w:rsidRDefault="00E430E8" w:rsidP="00E430E8">
            <w:pPr>
              <w:bidi/>
              <w:jc w:val="both"/>
              <w:rPr>
                <w:rFonts w:ascii="Traditional Arabic" w:hAnsi="Traditional Arabic" w:cs="Traditional Arabic"/>
                <w:b/>
                <w:bCs/>
                <w:sz w:val="28"/>
                <w:szCs w:val="28"/>
                <w:lang w:val="en-US"/>
              </w:rPr>
            </w:pPr>
            <w:r w:rsidRPr="00E430E8">
              <w:rPr>
                <w:rFonts w:ascii="Traditional Arabic" w:hAnsi="Traditional Arabic" w:cs="Traditional Arabic"/>
                <w:b/>
                <w:bCs/>
                <w:sz w:val="28"/>
                <w:szCs w:val="28"/>
                <w:rtl/>
              </w:rPr>
              <w:t>كرونباخ ألفا</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rtl/>
              </w:rPr>
              <w:t xml:space="preserve">التخطيط </w:t>
            </w:r>
            <w:r>
              <w:rPr>
                <w:rFonts w:ascii="Traditional Arabic" w:hAnsi="Traditional Arabic" w:cs="Traditional Arabic"/>
                <w:b/>
                <w:bCs/>
                <w:sz w:val="28"/>
                <w:szCs w:val="28"/>
                <w:rtl/>
              </w:rPr>
              <w:t>الاستراتيجي</w:t>
            </w:r>
            <w:r w:rsidRPr="00E430E8">
              <w:rPr>
                <w:rFonts w:ascii="Traditional Arabic" w:hAnsi="Traditional Arabic" w:cs="Traditional Arabic"/>
                <w:b/>
                <w:bCs/>
                <w:sz w:val="28"/>
                <w:szCs w:val="28"/>
                <w:rtl/>
              </w:rPr>
              <w:t xml:space="preserve"> للموارد البشرية</w:t>
            </w: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التحليل والتنبؤ بالاحتياجات</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0.891</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تطوير</w:t>
            </w:r>
            <w:proofErr w:type="gramEnd"/>
            <w:r w:rsidRPr="00E430E8">
              <w:rPr>
                <w:rFonts w:ascii="Traditional Arabic" w:hAnsi="Traditional Arabic" w:cs="Traditional Arabic"/>
                <w:sz w:val="28"/>
                <w:szCs w:val="28"/>
                <w:rtl/>
              </w:rPr>
              <w:t xml:space="preserve"> القدرات البشرية</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0.905</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rtl/>
              </w:rPr>
              <w:t xml:space="preserve">المتابعة </w:t>
            </w:r>
            <w:proofErr w:type="gramStart"/>
            <w:r w:rsidRPr="00E430E8">
              <w:rPr>
                <w:rFonts w:ascii="Traditional Arabic" w:hAnsi="Traditional Arabic" w:cs="Traditional Arabic"/>
                <w:sz w:val="28"/>
                <w:szCs w:val="28"/>
                <w:rtl/>
              </w:rPr>
              <w:t>والتقييم</w:t>
            </w:r>
            <w:proofErr w:type="gramEnd"/>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0.898</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rtl/>
              </w:rPr>
              <w:t>المتغير ككل</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lang w:val="en-US"/>
              </w:rPr>
              <w:t>18</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lang w:val="en-US"/>
              </w:rPr>
              <w:t>0.936</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b/>
                <w:bCs/>
                <w:sz w:val="28"/>
                <w:szCs w:val="28"/>
                <w:rtl/>
              </w:rPr>
              <w:t>البراعة</w:t>
            </w:r>
            <w:proofErr w:type="gramEnd"/>
            <w:r w:rsidRPr="00E430E8">
              <w:rPr>
                <w:rFonts w:ascii="Traditional Arabic" w:hAnsi="Traditional Arabic" w:cs="Traditional Arabic"/>
                <w:b/>
                <w:bCs/>
                <w:sz w:val="28"/>
                <w:szCs w:val="28"/>
                <w:rtl/>
              </w:rPr>
              <w:t xml:space="preserve"> التنظيمية</w:t>
            </w: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المرونة</w:t>
            </w:r>
            <w:proofErr w:type="gramEnd"/>
            <w:r w:rsidRPr="00E430E8">
              <w:rPr>
                <w:rFonts w:ascii="Traditional Arabic" w:hAnsi="Traditional Arabic" w:cs="Traditional Arabic"/>
                <w:sz w:val="28"/>
                <w:szCs w:val="28"/>
                <w:rtl/>
              </w:rPr>
              <w:t xml:space="preserve"> التنظيمية</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0.901</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التكيف</w:t>
            </w:r>
            <w:proofErr w:type="gramEnd"/>
            <w:r w:rsidRPr="00E430E8">
              <w:rPr>
                <w:rFonts w:ascii="Traditional Arabic" w:hAnsi="Traditional Arabic" w:cs="Traditional Arabic"/>
                <w:sz w:val="28"/>
                <w:szCs w:val="28"/>
                <w:rtl/>
              </w:rPr>
              <w:t xml:space="preserve"> التنظيمي</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0.913</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سرعة</w:t>
            </w:r>
            <w:proofErr w:type="gramEnd"/>
            <w:r w:rsidRPr="00E430E8">
              <w:rPr>
                <w:rFonts w:ascii="Traditional Arabic" w:hAnsi="Traditional Arabic" w:cs="Traditional Arabic"/>
                <w:sz w:val="28"/>
                <w:szCs w:val="28"/>
                <w:rtl/>
              </w:rPr>
              <w:t xml:space="preserve"> الاستجابة التنظيمية</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0.896</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الابتكار</w:t>
            </w:r>
            <w:proofErr w:type="gramEnd"/>
            <w:r w:rsidRPr="00E430E8">
              <w:rPr>
                <w:rFonts w:ascii="Traditional Arabic" w:hAnsi="Traditional Arabic" w:cs="Traditional Arabic"/>
                <w:sz w:val="28"/>
                <w:szCs w:val="28"/>
                <w:rtl/>
              </w:rPr>
              <w:t xml:space="preserve"> التنظيمي</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6</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sz w:val="28"/>
                <w:szCs w:val="28"/>
                <w:lang w:val="en-US"/>
              </w:rPr>
              <w:t>0.918</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rtl/>
              </w:rPr>
              <w:t>المتغير ككل</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lang w:val="en-US"/>
              </w:rPr>
              <w:t>24</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lang w:val="en-US"/>
              </w:rPr>
              <w:t>0.948</w:t>
            </w:r>
          </w:p>
        </w:tc>
      </w:tr>
      <w:tr w:rsidR="00E430E8" w:rsidRPr="00E430E8" w:rsidTr="00935FC1">
        <w:tc>
          <w:tcPr>
            <w:tcW w:w="2002"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rtl/>
              </w:rPr>
              <w:t>أداة الدراسة ككل</w:t>
            </w:r>
          </w:p>
        </w:tc>
        <w:tc>
          <w:tcPr>
            <w:tcW w:w="1469" w:type="pct"/>
            <w:hideMark/>
          </w:tcPr>
          <w:p w:rsidR="00E430E8" w:rsidRPr="00E430E8" w:rsidRDefault="00E430E8" w:rsidP="00E430E8">
            <w:pPr>
              <w:bidi/>
              <w:jc w:val="both"/>
              <w:rPr>
                <w:rFonts w:ascii="Traditional Arabic" w:hAnsi="Traditional Arabic" w:cs="Traditional Arabic"/>
                <w:sz w:val="28"/>
                <w:szCs w:val="28"/>
                <w:lang w:val="en-US"/>
              </w:rPr>
            </w:pPr>
            <w:proofErr w:type="gramStart"/>
            <w:r w:rsidRPr="00E430E8">
              <w:rPr>
                <w:rFonts w:ascii="Traditional Arabic" w:hAnsi="Traditional Arabic" w:cs="Traditional Arabic"/>
                <w:sz w:val="28"/>
                <w:szCs w:val="28"/>
                <w:rtl/>
              </w:rPr>
              <w:t>جميع</w:t>
            </w:r>
            <w:proofErr w:type="gramEnd"/>
            <w:r w:rsidRPr="00E430E8">
              <w:rPr>
                <w:rFonts w:ascii="Traditional Arabic" w:hAnsi="Traditional Arabic" w:cs="Traditional Arabic"/>
                <w:sz w:val="28"/>
                <w:szCs w:val="28"/>
                <w:rtl/>
              </w:rPr>
              <w:t xml:space="preserve"> الفقرات</w:t>
            </w:r>
          </w:p>
        </w:tc>
        <w:tc>
          <w:tcPr>
            <w:tcW w:w="79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lang w:val="en-US"/>
              </w:rPr>
              <w:t>42</w:t>
            </w:r>
          </w:p>
        </w:tc>
        <w:tc>
          <w:tcPr>
            <w:tcW w:w="740" w:type="pct"/>
            <w:hideMark/>
          </w:tcPr>
          <w:p w:rsidR="00E430E8" w:rsidRPr="00E430E8" w:rsidRDefault="00E430E8" w:rsidP="00E430E8">
            <w:pPr>
              <w:bidi/>
              <w:jc w:val="both"/>
              <w:rPr>
                <w:rFonts w:ascii="Traditional Arabic" w:hAnsi="Traditional Arabic" w:cs="Traditional Arabic"/>
                <w:sz w:val="28"/>
                <w:szCs w:val="28"/>
                <w:lang w:val="en-US"/>
              </w:rPr>
            </w:pPr>
            <w:r w:rsidRPr="00E430E8">
              <w:rPr>
                <w:rFonts w:ascii="Traditional Arabic" w:hAnsi="Traditional Arabic" w:cs="Traditional Arabic"/>
                <w:b/>
                <w:bCs/>
                <w:sz w:val="28"/>
                <w:szCs w:val="28"/>
                <w:lang w:val="en-US"/>
              </w:rPr>
              <w:t>0.955</w:t>
            </w:r>
          </w:p>
        </w:tc>
      </w:tr>
    </w:tbl>
    <w:p w:rsidR="00E430E8" w:rsidRPr="00E430E8" w:rsidRDefault="00E430E8" w:rsidP="00E430E8">
      <w:pPr>
        <w:bidi/>
        <w:spacing w:after="0" w:line="24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يتضح من نتائج الجدول (3-9) أن معاملات الثبات لجميع أبعاد الدراسة جاءت مرتفعة، حيث تراوحت قيم معامل كرونباخ ألفا بين (0.891) و(0.918)، وهي </w:t>
      </w:r>
      <w:proofErr w:type="gramStart"/>
      <w:r w:rsidRPr="00E430E8">
        <w:rPr>
          <w:rFonts w:ascii="Traditional Arabic" w:eastAsia="Calibri" w:hAnsi="Traditional Arabic" w:cs="Traditional Arabic"/>
          <w:sz w:val="32"/>
          <w:szCs w:val="32"/>
          <w:rtl/>
        </w:rPr>
        <w:t>قيم</w:t>
      </w:r>
      <w:proofErr w:type="gramEnd"/>
      <w:r w:rsidRPr="00E430E8">
        <w:rPr>
          <w:rFonts w:ascii="Traditional Arabic" w:eastAsia="Calibri" w:hAnsi="Traditional Arabic" w:cs="Traditional Arabic"/>
          <w:sz w:val="32"/>
          <w:szCs w:val="32"/>
          <w:rtl/>
        </w:rPr>
        <w:t xml:space="preserve"> تفوق الحد الأدنى المقبول في الدراسات الإدارية والإنسانية. كما بلغ معامل الثبات لمتغير 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(0.936)، </w:t>
      </w:r>
      <w:proofErr w:type="gramStart"/>
      <w:r w:rsidRPr="00E430E8">
        <w:rPr>
          <w:rFonts w:ascii="Traditional Arabic" w:eastAsia="Calibri" w:hAnsi="Traditional Arabic" w:cs="Traditional Arabic"/>
          <w:sz w:val="32"/>
          <w:szCs w:val="32"/>
          <w:rtl/>
        </w:rPr>
        <w:t>ولمتغير</w:t>
      </w:r>
      <w:proofErr w:type="gramEnd"/>
      <w:r w:rsidRPr="00E430E8">
        <w:rPr>
          <w:rFonts w:ascii="Traditional Arabic" w:eastAsia="Calibri" w:hAnsi="Traditional Arabic" w:cs="Traditional Arabic"/>
          <w:sz w:val="32"/>
          <w:szCs w:val="32"/>
          <w:rtl/>
        </w:rPr>
        <w:t xml:space="preserve"> البراعة التنظيمية (0.948)، </w:t>
      </w:r>
      <w:proofErr w:type="gramStart"/>
      <w:r w:rsidRPr="00E430E8">
        <w:rPr>
          <w:rFonts w:ascii="Traditional Arabic" w:eastAsia="Calibri" w:hAnsi="Traditional Arabic" w:cs="Traditional Arabic"/>
          <w:sz w:val="32"/>
          <w:szCs w:val="32"/>
          <w:rtl/>
        </w:rPr>
        <w:t>بينما</w:t>
      </w:r>
      <w:proofErr w:type="gramEnd"/>
      <w:r w:rsidRPr="00E430E8">
        <w:rPr>
          <w:rFonts w:ascii="Traditional Arabic" w:eastAsia="Calibri" w:hAnsi="Traditional Arabic" w:cs="Traditional Arabic"/>
          <w:sz w:val="32"/>
          <w:szCs w:val="32"/>
          <w:rtl/>
        </w:rPr>
        <w:t xml:space="preserve"> بلغ معامل الثبات الكلي لأداة الدراسة (0.955)، وهي قيمة </w:t>
      </w:r>
      <w:proofErr w:type="gramStart"/>
      <w:r w:rsidRPr="00E430E8">
        <w:rPr>
          <w:rFonts w:ascii="Traditional Arabic" w:eastAsia="Calibri" w:hAnsi="Traditional Arabic" w:cs="Traditional Arabic"/>
          <w:sz w:val="32"/>
          <w:szCs w:val="32"/>
          <w:rtl/>
        </w:rPr>
        <w:t>تعكس</w:t>
      </w:r>
      <w:proofErr w:type="gramEnd"/>
      <w:r w:rsidRPr="00E430E8">
        <w:rPr>
          <w:rFonts w:ascii="Traditional Arabic" w:eastAsia="Calibri" w:hAnsi="Traditional Arabic" w:cs="Traditional Arabic"/>
          <w:sz w:val="32"/>
          <w:szCs w:val="32"/>
          <w:rtl/>
        </w:rPr>
        <w:t xml:space="preserve"> مستوى مرتفعًا جدًا من الاتساق الداخلي بين فقرات الأداة. وبناءً على ذلك، يمكن الاعتماد على أداة الدراسة في جمع بيانات الدراسة الأساسية، لما تتمتع به من درجة عالية من الثبات والموثوقية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lastRenderedPageBreak/>
        <w:t>3.10 إجراءات الدراسة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لتحقيق أهداف الدراسة والإجابة عن أسئلتها واختبار فرضياتها، اتبع الباحث الإجراءات الآتية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مراجعة الأدب النظري والدراسات السابقة ذات العلاقة بالتخطيط </w:t>
      </w:r>
      <w:r>
        <w:rPr>
          <w:rFonts w:ascii="Traditional Arabic" w:eastAsia="Calibri" w:hAnsi="Traditional Arabic" w:cs="Traditional Arabic"/>
          <w:sz w:val="32"/>
          <w:szCs w:val="32"/>
          <w:rtl/>
        </w:rPr>
        <w:t>الاستراتيجي</w:t>
      </w:r>
      <w:r w:rsidRPr="00E430E8">
        <w:rPr>
          <w:rFonts w:ascii="Traditional Arabic" w:eastAsia="Calibri" w:hAnsi="Traditional Arabic" w:cs="Traditional Arabic"/>
          <w:sz w:val="32"/>
          <w:szCs w:val="32"/>
          <w:rtl/>
        </w:rPr>
        <w:t xml:space="preserve"> للموارد البشرية والبراعة التنظيمية، وبناء الإطار النظري ونموذج الدراسة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تطوير أداة الدراسة بالاستناد إلى الأدب النظري والدراسات السابقة ذات الصلة، </w:t>
      </w:r>
      <w:proofErr w:type="gramStart"/>
      <w:r w:rsidRPr="00E430E8">
        <w:rPr>
          <w:rFonts w:ascii="Traditional Arabic" w:eastAsia="Calibri" w:hAnsi="Traditional Arabic" w:cs="Traditional Arabic"/>
          <w:sz w:val="32"/>
          <w:szCs w:val="32"/>
          <w:rtl/>
        </w:rPr>
        <w:t>بما</w:t>
      </w:r>
      <w:proofErr w:type="gramEnd"/>
      <w:r w:rsidRPr="00E430E8">
        <w:rPr>
          <w:rFonts w:ascii="Traditional Arabic" w:eastAsia="Calibri" w:hAnsi="Traditional Arabic" w:cs="Traditional Arabic"/>
          <w:sz w:val="32"/>
          <w:szCs w:val="32"/>
          <w:rtl/>
        </w:rPr>
        <w:t xml:space="preserve"> يتناسب مع طبيعة العمل في وزارة الإعلام السعودية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عرض</w:t>
      </w:r>
      <w:proofErr w:type="gramEnd"/>
      <w:r w:rsidRPr="00E430E8">
        <w:rPr>
          <w:rFonts w:ascii="Traditional Arabic" w:eastAsia="Calibri" w:hAnsi="Traditional Arabic" w:cs="Traditional Arabic"/>
          <w:sz w:val="32"/>
          <w:szCs w:val="32"/>
          <w:rtl/>
        </w:rPr>
        <w:t xml:space="preserve"> أداة الدراسة على مجموعة من المحكمين المتخصصين للتحقق من صدق المحتوى، وإجراء التعديلات اللازمة في ضوء ملاحظاتهم</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تطبيق الأداة على عينة استطلاعية من خارج العينة الأصلية للتحقق </w:t>
      </w:r>
      <w:proofErr w:type="gramStart"/>
      <w:r w:rsidRPr="00E430E8">
        <w:rPr>
          <w:rFonts w:ascii="Traditional Arabic" w:eastAsia="Calibri" w:hAnsi="Traditional Arabic" w:cs="Traditional Arabic"/>
          <w:sz w:val="32"/>
          <w:szCs w:val="32"/>
          <w:rtl/>
        </w:rPr>
        <w:t>من</w:t>
      </w:r>
      <w:proofErr w:type="gramEnd"/>
      <w:r w:rsidRPr="00E430E8">
        <w:rPr>
          <w:rFonts w:ascii="Traditional Arabic" w:eastAsia="Calibri" w:hAnsi="Traditional Arabic" w:cs="Traditional Arabic"/>
          <w:sz w:val="32"/>
          <w:szCs w:val="32"/>
          <w:rtl/>
        </w:rPr>
        <w:t xml:space="preserve"> صدق البناء وثبات الأداة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الحصول على الموافقات </w:t>
      </w:r>
      <w:proofErr w:type="gramStart"/>
      <w:r w:rsidRPr="00E430E8">
        <w:rPr>
          <w:rFonts w:ascii="Traditional Arabic" w:eastAsia="Calibri" w:hAnsi="Traditional Arabic" w:cs="Traditional Arabic"/>
          <w:sz w:val="32"/>
          <w:szCs w:val="32"/>
          <w:rtl/>
        </w:rPr>
        <w:t>اللازمة</w:t>
      </w:r>
      <w:proofErr w:type="gramEnd"/>
      <w:r w:rsidRPr="00E430E8">
        <w:rPr>
          <w:rFonts w:ascii="Traditional Arabic" w:eastAsia="Calibri" w:hAnsi="Traditional Arabic" w:cs="Traditional Arabic"/>
          <w:sz w:val="32"/>
          <w:szCs w:val="32"/>
          <w:rtl/>
        </w:rPr>
        <w:t xml:space="preserve"> لتنفيذ الدراسة، وتحديد مجتمع الدراسة واختيار العينة المناسبة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rPr>
        <w:t xml:space="preserve">توزيع </w:t>
      </w:r>
      <w:proofErr w:type="spellStart"/>
      <w:r w:rsidRPr="00E430E8">
        <w:rPr>
          <w:rFonts w:ascii="Traditional Arabic" w:eastAsia="Calibri" w:hAnsi="Traditional Arabic" w:cs="Traditional Arabic"/>
          <w:sz w:val="32"/>
          <w:szCs w:val="32"/>
          <w:rtl/>
        </w:rPr>
        <w:t>الإستبانة</w:t>
      </w:r>
      <w:proofErr w:type="spellEnd"/>
      <w:r w:rsidRPr="00E430E8">
        <w:rPr>
          <w:rFonts w:ascii="Traditional Arabic" w:eastAsia="Calibri" w:hAnsi="Traditional Arabic" w:cs="Traditional Arabic"/>
          <w:sz w:val="32"/>
          <w:szCs w:val="32"/>
          <w:rtl/>
        </w:rPr>
        <w:t xml:space="preserve"> على أفراد عينة الدراسة وجمع البيانات ومراجعتها واستبعاد </w:t>
      </w:r>
      <w:proofErr w:type="spellStart"/>
      <w:r w:rsidRPr="00E430E8">
        <w:rPr>
          <w:rFonts w:ascii="Traditional Arabic" w:eastAsia="Calibri" w:hAnsi="Traditional Arabic" w:cs="Traditional Arabic"/>
          <w:sz w:val="32"/>
          <w:szCs w:val="32"/>
          <w:rtl/>
        </w:rPr>
        <w:t>الإستبانات</w:t>
      </w:r>
      <w:proofErr w:type="spellEnd"/>
      <w:r w:rsidRPr="00E430E8">
        <w:rPr>
          <w:rFonts w:ascii="Traditional Arabic" w:eastAsia="Calibri" w:hAnsi="Traditional Arabic" w:cs="Traditional Arabic"/>
          <w:sz w:val="32"/>
          <w:szCs w:val="32"/>
          <w:rtl/>
        </w:rPr>
        <w:t xml:space="preserve"> غير الصالحة للتحليل</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ترميز</w:t>
      </w:r>
      <w:proofErr w:type="gramEnd"/>
      <w:r w:rsidRPr="00E430E8">
        <w:rPr>
          <w:rFonts w:ascii="Traditional Arabic" w:eastAsia="Calibri" w:hAnsi="Traditional Arabic" w:cs="Traditional Arabic"/>
          <w:sz w:val="32"/>
          <w:szCs w:val="32"/>
          <w:rtl/>
        </w:rPr>
        <w:t xml:space="preserve"> البيانات وإدخالها إلى برنامج الحزمة الإحصائية للعلوم الاجتماعية</w:t>
      </w:r>
      <w:r w:rsidRPr="00E430E8">
        <w:rPr>
          <w:rFonts w:ascii="Traditional Arabic" w:eastAsia="Calibri" w:hAnsi="Traditional Arabic" w:cs="Traditional Arabic"/>
          <w:sz w:val="32"/>
          <w:szCs w:val="32"/>
          <w:lang w:val="en-US"/>
        </w:rPr>
        <w:t xml:space="preserve"> (SPSS) </w:t>
      </w:r>
      <w:r w:rsidRPr="00E430E8">
        <w:rPr>
          <w:rFonts w:ascii="Traditional Arabic" w:eastAsia="Calibri" w:hAnsi="Traditional Arabic" w:cs="Traditional Arabic"/>
          <w:sz w:val="32"/>
          <w:szCs w:val="32"/>
          <w:rtl/>
        </w:rPr>
        <w:t>وإجراء التحليلات الإحصائية المناسبة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تحليل</w:t>
      </w:r>
      <w:proofErr w:type="gramEnd"/>
      <w:r w:rsidRPr="00E430E8">
        <w:rPr>
          <w:rFonts w:ascii="Traditional Arabic" w:eastAsia="Calibri" w:hAnsi="Traditional Arabic" w:cs="Traditional Arabic"/>
          <w:sz w:val="32"/>
          <w:szCs w:val="32"/>
          <w:rtl/>
        </w:rPr>
        <w:t xml:space="preserve"> النتائج وتفسيرها ومناقشتها في ضوء الأدب النظري والدراسات السابقة</w:t>
      </w:r>
      <w:r w:rsidRPr="00E430E8">
        <w:rPr>
          <w:rFonts w:ascii="Traditional Arabic" w:eastAsia="Calibri" w:hAnsi="Traditional Arabic" w:cs="Traditional Arabic"/>
          <w:sz w:val="32"/>
          <w:szCs w:val="32"/>
          <w:lang w:val="en-US"/>
        </w:rPr>
        <w:t>.</w:t>
      </w:r>
    </w:p>
    <w:p w:rsidR="00E430E8" w:rsidRPr="00E430E8" w:rsidRDefault="00E430E8" w:rsidP="00E430E8">
      <w:pPr>
        <w:numPr>
          <w:ilvl w:val="0"/>
          <w:numId w:val="3"/>
        </w:numPr>
        <w:bidi/>
        <w:spacing w:after="160"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rPr>
        <w:t>استخلاص</w:t>
      </w:r>
      <w:proofErr w:type="gramEnd"/>
      <w:r w:rsidRPr="00E430E8">
        <w:rPr>
          <w:rFonts w:ascii="Traditional Arabic" w:eastAsia="Calibri" w:hAnsi="Traditional Arabic" w:cs="Traditional Arabic"/>
          <w:sz w:val="32"/>
          <w:szCs w:val="32"/>
          <w:rtl/>
        </w:rPr>
        <w:t xml:space="preserve"> الاستنتاجات وصياغة التوصيات والمقترحات المستقبلية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rt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3.</w:t>
      </w:r>
      <w:r w:rsidRPr="00E430E8">
        <w:rPr>
          <w:rFonts w:ascii="Traditional Arabic" w:eastAsia="Calibri" w:hAnsi="Traditional Arabic" w:cs="Traditional Arabic" w:hint="cs"/>
          <w:b/>
          <w:bCs/>
          <w:sz w:val="32"/>
          <w:szCs w:val="32"/>
          <w:rtl/>
          <w:lang w:val="en-US"/>
        </w:rPr>
        <w:t>10.1</w:t>
      </w:r>
      <w:r w:rsidRPr="00E430E8">
        <w:rPr>
          <w:rFonts w:ascii="Traditional Arabic" w:eastAsia="Calibri" w:hAnsi="Traditional Arabic" w:cs="Traditional Arabic"/>
          <w:b/>
          <w:bCs/>
          <w:sz w:val="32"/>
          <w:szCs w:val="32"/>
          <w:rtl/>
          <w:lang w:val="en-US"/>
        </w:rPr>
        <w:t xml:space="preserve"> </w:t>
      </w:r>
      <w:proofErr w:type="gramStart"/>
      <w:r w:rsidRPr="00E430E8">
        <w:rPr>
          <w:rFonts w:ascii="Traditional Arabic" w:eastAsia="Calibri" w:hAnsi="Traditional Arabic" w:cs="Traditional Arabic"/>
          <w:b/>
          <w:bCs/>
          <w:sz w:val="32"/>
          <w:szCs w:val="32"/>
          <w:rtl/>
          <w:lang w:val="en-US"/>
        </w:rPr>
        <w:t>الاعتبارات</w:t>
      </w:r>
      <w:proofErr w:type="gramEnd"/>
      <w:r w:rsidRPr="00E430E8">
        <w:rPr>
          <w:rFonts w:ascii="Traditional Arabic" w:eastAsia="Calibri" w:hAnsi="Traditional Arabic" w:cs="Traditional Arabic"/>
          <w:b/>
          <w:bCs/>
          <w:sz w:val="32"/>
          <w:szCs w:val="32"/>
          <w:rtl/>
          <w:lang w:val="en-US"/>
        </w:rPr>
        <w:t xml:space="preserve"> الأخلاقية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التزم</w:t>
      </w:r>
      <w:proofErr w:type="gramEnd"/>
      <w:r w:rsidRPr="00E430E8">
        <w:rPr>
          <w:rFonts w:ascii="Traditional Arabic" w:eastAsia="Calibri" w:hAnsi="Traditional Arabic" w:cs="Traditional Arabic"/>
          <w:sz w:val="32"/>
          <w:szCs w:val="32"/>
          <w:rtl/>
          <w:lang w:val="en-US"/>
        </w:rPr>
        <w:t xml:space="preserve"> الباحث بالمبادئ الأخلاقية المتعارف عليها في البحوث العلمية طوال مراحل تنفيذ الدراسة، وذلك بما يضمن حماية حقوق المشاركين والمحافظة على سرية بياناتهم، وتحقيق أعلى معايير النزاهة العلمية. وقد تم الحصول على الموافقات الرسمية اللازمة من الجهات المختصة في وزارة الإعلام قبل البدء في جمع البيانات، كما تم توضيح الهدف من الدراسة للمشاركين، والتأكيد على أن مشاركتهم اختيارية بالكامل، وأن لهم الحق في الامتناع عن المشاركة أو الانسحاب في أي وقت دون أن يترتب على ذلك أي آثار سلبية</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كما تم التأكيد للمشاركين أن المعلومات التي سيتم جمعها ستستخدم لأغراض البحث العلمي فقط، وستعامل بسرية تامة، ولن تستخدم إلا في صورة نتائج إحصائية مجمعة دون الإشارة إلى أسماء المشاركين أو أي معلومات يمكن أن تكشف عن هوياتهم. وحرص الباحث كذلك </w:t>
      </w:r>
      <w:proofErr w:type="gramStart"/>
      <w:r w:rsidRPr="00E430E8">
        <w:rPr>
          <w:rFonts w:ascii="Traditional Arabic" w:eastAsia="Calibri" w:hAnsi="Traditional Arabic" w:cs="Traditional Arabic"/>
          <w:sz w:val="32"/>
          <w:szCs w:val="32"/>
          <w:rtl/>
          <w:lang w:val="en-US"/>
        </w:rPr>
        <w:t>على</w:t>
      </w:r>
      <w:proofErr w:type="gramEnd"/>
      <w:r w:rsidRPr="00E430E8">
        <w:rPr>
          <w:rFonts w:ascii="Traditional Arabic" w:eastAsia="Calibri" w:hAnsi="Traditional Arabic" w:cs="Traditional Arabic"/>
          <w:sz w:val="32"/>
          <w:szCs w:val="32"/>
          <w:rtl/>
          <w:lang w:val="en-US"/>
        </w:rPr>
        <w:t xml:space="preserve"> حفظ البيانات بصورة آمنة، وعدم إتاحتها إلا لأغراض التحليل العلمي، بما ينسجم مع أخلاقيات البحث العلمي والمعايير الأكاديمية المعمول بها</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Calibri" w:eastAsia="Calibri" w:hAnsi="Calibri" w:cs="Arial"/>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3.11 </w:t>
      </w:r>
      <w:proofErr w:type="gramStart"/>
      <w:r w:rsidRPr="00E430E8">
        <w:rPr>
          <w:rFonts w:ascii="Traditional Arabic" w:eastAsia="Calibri" w:hAnsi="Traditional Arabic" w:cs="Traditional Arabic"/>
          <w:b/>
          <w:bCs/>
          <w:sz w:val="32"/>
          <w:szCs w:val="32"/>
          <w:rtl/>
          <w:lang w:val="en-US"/>
        </w:rPr>
        <w:t>المعالجة</w:t>
      </w:r>
      <w:proofErr w:type="gramEnd"/>
      <w:r w:rsidRPr="00E430E8">
        <w:rPr>
          <w:rFonts w:ascii="Traditional Arabic" w:eastAsia="Calibri" w:hAnsi="Traditional Arabic" w:cs="Traditional Arabic"/>
          <w:b/>
          <w:bCs/>
          <w:sz w:val="32"/>
          <w:szCs w:val="32"/>
          <w:rtl/>
          <w:lang w:val="en-US"/>
        </w:rPr>
        <w:t xml:space="preserve"> الإحصائية</w:t>
      </w:r>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roofErr w:type="gramStart"/>
      <w:r w:rsidRPr="00E430E8">
        <w:rPr>
          <w:rFonts w:ascii="Traditional Arabic" w:eastAsia="Calibri" w:hAnsi="Traditional Arabic" w:cs="Traditional Arabic"/>
          <w:sz w:val="32"/>
          <w:szCs w:val="32"/>
          <w:rtl/>
          <w:lang w:val="en-US"/>
        </w:rPr>
        <w:t>اعتمد</w:t>
      </w:r>
      <w:proofErr w:type="gramEnd"/>
      <w:r w:rsidRPr="00E430E8">
        <w:rPr>
          <w:rFonts w:ascii="Traditional Arabic" w:eastAsia="Calibri" w:hAnsi="Traditional Arabic" w:cs="Traditional Arabic"/>
          <w:sz w:val="32"/>
          <w:szCs w:val="32"/>
          <w:rtl/>
          <w:lang w:val="en-US"/>
        </w:rPr>
        <w:t xml:space="preserve"> الباحث على برنامج الحزمة الإحصائية للعلوم الاجتماعية (</w:t>
      </w:r>
      <w:r w:rsidRPr="00E430E8">
        <w:rPr>
          <w:rFonts w:ascii="Traditional Arabic" w:eastAsia="Calibri" w:hAnsi="Traditional Arabic" w:cs="Traditional Arabic"/>
          <w:sz w:val="32"/>
          <w:szCs w:val="32"/>
          <w:lang w:val="en-US"/>
        </w:rPr>
        <w:t>SPSS</w:t>
      </w:r>
      <w:r w:rsidRPr="00E430E8">
        <w:rPr>
          <w:rFonts w:ascii="Traditional Arabic" w:eastAsia="Calibri" w:hAnsi="Traditional Arabic" w:cs="Traditional Arabic"/>
          <w:sz w:val="32"/>
          <w:szCs w:val="32"/>
          <w:rtl/>
          <w:lang w:val="en-US"/>
        </w:rPr>
        <w:t>) في إدخال البيانات ومعالجتها وتحليلها، وذلك للإجابة عن أسئلة الدراسة واختبار فرضياتها، من خلال استخدام الأساليب الإحصائية الآتية:</w:t>
      </w:r>
    </w:p>
    <w:tbl>
      <w:tblPr>
        <w:tblStyle w:val="1"/>
        <w:bidiVisual/>
        <w:tblW w:w="5000" w:type="pct"/>
        <w:tblLook w:val="04A0" w:firstRow="1" w:lastRow="0" w:firstColumn="1" w:lastColumn="0" w:noHBand="0" w:noVBand="1"/>
      </w:tblPr>
      <w:tblGrid>
        <w:gridCol w:w="3395"/>
        <w:gridCol w:w="5127"/>
      </w:tblGrid>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b/>
                <w:bCs/>
                <w:sz w:val="32"/>
                <w:szCs w:val="32"/>
                <w:lang w:val="en-US"/>
              </w:rPr>
            </w:pPr>
            <w:proofErr w:type="gramStart"/>
            <w:r w:rsidRPr="00E430E8">
              <w:rPr>
                <w:rFonts w:ascii="Traditional Arabic" w:hAnsi="Traditional Arabic" w:cs="Traditional Arabic"/>
                <w:b/>
                <w:bCs/>
                <w:sz w:val="32"/>
                <w:szCs w:val="32"/>
                <w:rtl/>
                <w:lang w:val="en-US"/>
              </w:rPr>
              <w:lastRenderedPageBreak/>
              <w:t>الأسلوب</w:t>
            </w:r>
            <w:proofErr w:type="gramEnd"/>
            <w:r w:rsidRPr="00E430E8">
              <w:rPr>
                <w:rFonts w:ascii="Traditional Arabic" w:hAnsi="Traditional Arabic" w:cs="Traditional Arabic"/>
                <w:b/>
                <w:bCs/>
                <w:sz w:val="32"/>
                <w:szCs w:val="32"/>
                <w:rtl/>
                <w:lang w:val="en-US"/>
              </w:rPr>
              <w:t xml:space="preserve"> الإحصائي</w:t>
            </w:r>
          </w:p>
        </w:tc>
        <w:tc>
          <w:tcPr>
            <w:tcW w:w="3008" w:type="pct"/>
            <w:hideMark/>
          </w:tcPr>
          <w:p w:rsidR="00E430E8" w:rsidRPr="00E430E8" w:rsidRDefault="00E430E8" w:rsidP="00E430E8">
            <w:pPr>
              <w:bidi/>
              <w:jc w:val="both"/>
              <w:rPr>
                <w:rFonts w:ascii="Traditional Arabic" w:hAnsi="Traditional Arabic" w:cs="Traditional Arabic"/>
                <w:b/>
                <w:bCs/>
                <w:sz w:val="32"/>
                <w:szCs w:val="32"/>
                <w:lang w:val="en-US"/>
              </w:rPr>
            </w:pPr>
            <w:r w:rsidRPr="00E430E8">
              <w:rPr>
                <w:rFonts w:ascii="Traditional Arabic" w:hAnsi="Traditional Arabic" w:cs="Traditional Arabic"/>
                <w:b/>
                <w:bCs/>
                <w:sz w:val="32"/>
                <w:szCs w:val="32"/>
                <w:rtl/>
                <w:lang w:val="en-US"/>
              </w:rPr>
              <w:t>الغرض من استخدامه</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التكرارات والنسب المئوية</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وصف الخصائص الديموغرافية لعينة الدراسة، وتشمل الجنس، والمؤهل العلمي، وسنوات الخبرة، والمستوى الوظيفي، والإدارة التي يعمل بها المشارك</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proofErr w:type="gramStart"/>
            <w:r w:rsidRPr="00E430E8">
              <w:rPr>
                <w:rFonts w:ascii="Traditional Arabic" w:hAnsi="Traditional Arabic" w:cs="Traditional Arabic"/>
                <w:sz w:val="32"/>
                <w:szCs w:val="32"/>
                <w:rtl/>
                <w:lang w:val="en-US"/>
              </w:rPr>
              <w:t>المتوسطات</w:t>
            </w:r>
            <w:proofErr w:type="gramEnd"/>
            <w:r w:rsidRPr="00E430E8">
              <w:rPr>
                <w:rFonts w:ascii="Traditional Arabic" w:hAnsi="Traditional Arabic" w:cs="Traditional Arabic"/>
                <w:sz w:val="32"/>
                <w:szCs w:val="32"/>
                <w:rtl/>
                <w:lang w:val="en-US"/>
              </w:rPr>
              <w:t xml:space="preserve"> الحسابية والانحرافات المعيارية</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 xml:space="preserve">تحديد مستوى ممارسة التخطيط </w:t>
            </w:r>
            <w:r>
              <w:rPr>
                <w:rFonts w:ascii="Traditional Arabic" w:hAnsi="Traditional Arabic" w:cs="Traditional Arabic"/>
                <w:sz w:val="32"/>
                <w:szCs w:val="32"/>
                <w:rtl/>
                <w:lang w:val="en-US"/>
              </w:rPr>
              <w:t>الاستراتيجي</w:t>
            </w:r>
            <w:r w:rsidRPr="00E430E8">
              <w:rPr>
                <w:rFonts w:ascii="Traditional Arabic" w:hAnsi="Traditional Arabic" w:cs="Traditional Arabic"/>
                <w:sz w:val="32"/>
                <w:szCs w:val="32"/>
                <w:rtl/>
                <w:lang w:val="en-US"/>
              </w:rPr>
              <w:t xml:space="preserve"> للموارد البشرية، ومستوى البراعة التنظيمية، وترتيب الأبعاد والفقرات وفقًا لأهميتها النسبية</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معامل ارتباط بيرسون (</w:t>
            </w:r>
            <w:r w:rsidRPr="00E430E8">
              <w:rPr>
                <w:rFonts w:ascii="Traditional Arabic" w:hAnsi="Traditional Arabic" w:cs="Traditional Arabic"/>
                <w:sz w:val="32"/>
                <w:szCs w:val="32"/>
                <w:lang w:val="en-US"/>
              </w:rPr>
              <w:t>Pearson Correlation</w:t>
            </w:r>
            <w:r w:rsidRPr="00E430E8">
              <w:rPr>
                <w:rFonts w:ascii="Traditional Arabic" w:hAnsi="Traditional Arabic" w:cs="Traditional Arabic"/>
                <w:sz w:val="32"/>
                <w:szCs w:val="32"/>
                <w:rtl/>
                <w:lang w:val="en-US"/>
              </w:rPr>
              <w:t>)</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proofErr w:type="gramStart"/>
            <w:r w:rsidRPr="00E430E8">
              <w:rPr>
                <w:rFonts w:ascii="Traditional Arabic" w:hAnsi="Traditional Arabic" w:cs="Traditional Arabic"/>
                <w:sz w:val="32"/>
                <w:szCs w:val="32"/>
                <w:rtl/>
                <w:lang w:val="en-US"/>
              </w:rPr>
              <w:t>التحقق</w:t>
            </w:r>
            <w:proofErr w:type="gramEnd"/>
            <w:r w:rsidRPr="00E430E8">
              <w:rPr>
                <w:rFonts w:ascii="Traditional Arabic" w:hAnsi="Traditional Arabic" w:cs="Traditional Arabic"/>
                <w:sz w:val="32"/>
                <w:szCs w:val="32"/>
                <w:rtl/>
                <w:lang w:val="en-US"/>
              </w:rPr>
              <w:t xml:space="preserve"> من صدق البناء في الدراسة الاستطلاعية، والكشف عن طبيعة العلاقة بين متغيري الدراسة الرئيسين</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معامل كرونباخ ألفا (</w:t>
            </w:r>
            <w:proofErr w:type="spellStart"/>
            <w:r w:rsidRPr="00E430E8">
              <w:rPr>
                <w:rFonts w:ascii="Traditional Arabic" w:hAnsi="Traditional Arabic" w:cs="Traditional Arabic"/>
                <w:sz w:val="32"/>
                <w:szCs w:val="32"/>
                <w:lang w:val="en-US"/>
              </w:rPr>
              <w:t>Cronbach's</w:t>
            </w:r>
            <w:proofErr w:type="spellEnd"/>
            <w:r w:rsidRPr="00E430E8">
              <w:rPr>
                <w:rFonts w:ascii="Traditional Arabic" w:hAnsi="Traditional Arabic" w:cs="Traditional Arabic"/>
                <w:sz w:val="32"/>
                <w:szCs w:val="32"/>
                <w:lang w:val="en-US"/>
              </w:rPr>
              <w:t xml:space="preserve"> Alpha</w:t>
            </w:r>
            <w:r w:rsidRPr="00E430E8">
              <w:rPr>
                <w:rFonts w:ascii="Traditional Arabic" w:hAnsi="Traditional Arabic" w:cs="Traditional Arabic"/>
                <w:sz w:val="32"/>
                <w:szCs w:val="32"/>
                <w:rtl/>
                <w:lang w:val="en-US"/>
              </w:rPr>
              <w:t>)</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التحقق من ثبات أداة الدراسة وقياس الاتساق الداخلي لفقراتها</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proofErr w:type="gramStart"/>
            <w:r w:rsidRPr="00E430E8">
              <w:rPr>
                <w:rFonts w:ascii="Traditional Arabic" w:hAnsi="Traditional Arabic" w:cs="Traditional Arabic"/>
                <w:sz w:val="32"/>
                <w:szCs w:val="32"/>
                <w:rtl/>
                <w:lang w:val="en-US"/>
              </w:rPr>
              <w:t>تحليل</w:t>
            </w:r>
            <w:proofErr w:type="gramEnd"/>
            <w:r w:rsidRPr="00E430E8">
              <w:rPr>
                <w:rFonts w:ascii="Traditional Arabic" w:hAnsi="Traditional Arabic" w:cs="Traditional Arabic"/>
                <w:sz w:val="32"/>
                <w:szCs w:val="32"/>
                <w:rtl/>
                <w:lang w:val="en-US"/>
              </w:rPr>
              <w:t xml:space="preserve"> الانحدار الخطي المتعدد (</w:t>
            </w:r>
            <w:r w:rsidRPr="00E430E8">
              <w:rPr>
                <w:rFonts w:ascii="Traditional Arabic" w:hAnsi="Traditional Arabic" w:cs="Traditional Arabic"/>
                <w:sz w:val="32"/>
                <w:szCs w:val="32"/>
                <w:lang w:val="en-US"/>
              </w:rPr>
              <w:t>Multiple Linear Regression</w:t>
            </w:r>
            <w:r w:rsidRPr="00E430E8">
              <w:rPr>
                <w:rFonts w:ascii="Traditional Arabic" w:hAnsi="Traditional Arabic" w:cs="Traditional Arabic"/>
                <w:sz w:val="32"/>
                <w:szCs w:val="32"/>
                <w:rtl/>
                <w:lang w:val="en-US"/>
              </w:rPr>
              <w:t>)</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 xml:space="preserve">اختبار أثر أبعاد التخطيط </w:t>
            </w:r>
            <w:r>
              <w:rPr>
                <w:rFonts w:ascii="Traditional Arabic" w:hAnsi="Traditional Arabic" w:cs="Traditional Arabic"/>
                <w:sz w:val="32"/>
                <w:szCs w:val="32"/>
                <w:rtl/>
                <w:lang w:val="en-US"/>
              </w:rPr>
              <w:t>الاستراتيجي</w:t>
            </w:r>
            <w:r w:rsidRPr="00E430E8">
              <w:rPr>
                <w:rFonts w:ascii="Traditional Arabic" w:hAnsi="Traditional Arabic" w:cs="Traditional Arabic"/>
                <w:sz w:val="32"/>
                <w:szCs w:val="32"/>
                <w:rtl/>
                <w:lang w:val="en-US"/>
              </w:rPr>
              <w:t xml:space="preserve"> للموارد البشرية في البراعة التنظيمية، واختبار الفرضية الرئيسة والفرضيات الفرعية للدراسة</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proofErr w:type="gramStart"/>
            <w:r w:rsidRPr="00E430E8">
              <w:rPr>
                <w:rFonts w:ascii="Traditional Arabic" w:hAnsi="Traditional Arabic" w:cs="Traditional Arabic"/>
                <w:sz w:val="32"/>
                <w:szCs w:val="32"/>
                <w:rtl/>
                <w:lang w:val="en-US"/>
              </w:rPr>
              <w:t>معامل</w:t>
            </w:r>
            <w:proofErr w:type="gramEnd"/>
            <w:r w:rsidRPr="00E430E8">
              <w:rPr>
                <w:rFonts w:ascii="Traditional Arabic" w:hAnsi="Traditional Arabic" w:cs="Traditional Arabic"/>
                <w:sz w:val="32"/>
                <w:szCs w:val="32"/>
                <w:rtl/>
                <w:lang w:val="en-US"/>
              </w:rPr>
              <w:t xml:space="preserve"> التحديد (</w:t>
            </w:r>
            <w:proofErr w:type="spellStart"/>
            <w:r w:rsidRPr="00E430E8">
              <w:rPr>
                <w:rFonts w:ascii="Traditional Arabic" w:hAnsi="Traditional Arabic" w:cs="Traditional Arabic"/>
                <w:sz w:val="32"/>
                <w:szCs w:val="32"/>
                <w:lang w:val="en-US"/>
              </w:rPr>
              <w:t>R²</w:t>
            </w:r>
            <w:proofErr w:type="spellEnd"/>
            <w:r w:rsidRPr="00E430E8">
              <w:rPr>
                <w:rFonts w:ascii="Traditional Arabic" w:hAnsi="Traditional Arabic" w:cs="Traditional Arabic"/>
                <w:sz w:val="32"/>
                <w:szCs w:val="32"/>
                <w:rtl/>
                <w:lang w:val="en-US"/>
              </w:rPr>
              <w:t>)</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 xml:space="preserve">تحديد نسبة التباين في البراعة التنظيمية التي يمكن تفسيرها من خلال أبعاد التخطيط </w:t>
            </w:r>
            <w:r>
              <w:rPr>
                <w:rFonts w:ascii="Traditional Arabic" w:hAnsi="Traditional Arabic" w:cs="Traditional Arabic"/>
                <w:sz w:val="32"/>
                <w:szCs w:val="32"/>
                <w:rtl/>
                <w:lang w:val="en-US"/>
              </w:rPr>
              <w:t>الاستراتيجي</w:t>
            </w:r>
            <w:r w:rsidRPr="00E430E8">
              <w:rPr>
                <w:rFonts w:ascii="Traditional Arabic" w:hAnsi="Traditional Arabic" w:cs="Traditional Arabic"/>
                <w:sz w:val="32"/>
                <w:szCs w:val="32"/>
                <w:rtl/>
                <w:lang w:val="en-US"/>
              </w:rPr>
              <w:t xml:space="preserve"> للموارد البشرية</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اختبار (</w:t>
            </w:r>
            <w:r w:rsidRPr="00E430E8">
              <w:rPr>
                <w:rFonts w:ascii="Traditional Arabic" w:hAnsi="Traditional Arabic" w:cs="Traditional Arabic"/>
                <w:sz w:val="32"/>
                <w:szCs w:val="32"/>
                <w:lang w:val="en-US"/>
              </w:rPr>
              <w:t>F</w:t>
            </w:r>
            <w:r w:rsidRPr="00E430E8">
              <w:rPr>
                <w:rFonts w:ascii="Traditional Arabic" w:hAnsi="Traditional Arabic" w:cs="Traditional Arabic"/>
                <w:sz w:val="32"/>
                <w:szCs w:val="32"/>
                <w:rtl/>
                <w:lang w:val="en-US"/>
              </w:rPr>
              <w:t>)</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التحقق من معنوية نموذج الانحدار الخطي المتعدد وصلاحيته للتفسير الإحصائي</w:t>
            </w:r>
            <w:r w:rsidRPr="00E430E8">
              <w:rPr>
                <w:rFonts w:ascii="Traditional Arabic" w:hAnsi="Traditional Arabic" w:cs="Traditional Arabic"/>
                <w:sz w:val="32"/>
                <w:szCs w:val="32"/>
                <w:lang w:val="en-US"/>
              </w:rPr>
              <w:t>.</w:t>
            </w:r>
          </w:p>
        </w:tc>
      </w:tr>
      <w:tr w:rsidR="00E430E8" w:rsidRPr="00E430E8" w:rsidTr="00935FC1">
        <w:tc>
          <w:tcPr>
            <w:tcW w:w="1992"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معاملات الانحدار المعيارية (</w:t>
            </w:r>
            <w:r w:rsidRPr="00E430E8">
              <w:rPr>
                <w:rFonts w:ascii="Traditional Arabic" w:hAnsi="Traditional Arabic" w:cs="Traditional Arabic"/>
                <w:sz w:val="32"/>
                <w:szCs w:val="32"/>
                <w:lang w:val="en-US"/>
              </w:rPr>
              <w:t>Beta</w:t>
            </w:r>
            <w:r w:rsidRPr="00E430E8">
              <w:rPr>
                <w:rFonts w:ascii="Traditional Arabic" w:hAnsi="Traditional Arabic" w:cs="Traditional Arabic"/>
                <w:sz w:val="32"/>
                <w:szCs w:val="32"/>
                <w:rtl/>
                <w:lang w:val="en-US"/>
              </w:rPr>
              <w:t xml:space="preserve">) </w:t>
            </w:r>
            <w:proofErr w:type="gramStart"/>
            <w:r w:rsidRPr="00E430E8">
              <w:rPr>
                <w:rFonts w:ascii="Traditional Arabic" w:hAnsi="Traditional Arabic" w:cs="Traditional Arabic"/>
                <w:sz w:val="32"/>
                <w:szCs w:val="32"/>
                <w:rtl/>
                <w:lang w:val="en-US"/>
              </w:rPr>
              <w:t>واختبار</w:t>
            </w:r>
            <w:proofErr w:type="gramEnd"/>
            <w:r w:rsidRPr="00E430E8">
              <w:rPr>
                <w:rFonts w:ascii="Traditional Arabic" w:hAnsi="Traditional Arabic" w:cs="Traditional Arabic"/>
                <w:sz w:val="32"/>
                <w:szCs w:val="32"/>
                <w:rtl/>
                <w:lang w:val="en-US"/>
              </w:rPr>
              <w:t xml:space="preserve"> (</w:t>
            </w:r>
            <w:r w:rsidRPr="00E430E8">
              <w:rPr>
                <w:rFonts w:ascii="Traditional Arabic" w:hAnsi="Traditional Arabic" w:cs="Traditional Arabic"/>
                <w:sz w:val="32"/>
                <w:szCs w:val="32"/>
                <w:lang w:val="en-US"/>
              </w:rPr>
              <w:t>t</w:t>
            </w:r>
            <w:r w:rsidRPr="00E430E8">
              <w:rPr>
                <w:rFonts w:ascii="Traditional Arabic" w:hAnsi="Traditional Arabic" w:cs="Traditional Arabic"/>
                <w:sz w:val="32"/>
                <w:szCs w:val="32"/>
                <w:rtl/>
                <w:lang w:val="en-US"/>
              </w:rPr>
              <w:t>)</w:t>
            </w:r>
          </w:p>
        </w:tc>
        <w:tc>
          <w:tcPr>
            <w:tcW w:w="3008" w:type="pct"/>
            <w:hideMark/>
          </w:tcPr>
          <w:p w:rsidR="00E430E8" w:rsidRPr="00E430E8" w:rsidRDefault="00E430E8" w:rsidP="00E430E8">
            <w:pPr>
              <w:bidi/>
              <w:jc w:val="both"/>
              <w:rPr>
                <w:rFonts w:ascii="Traditional Arabic" w:hAnsi="Traditional Arabic" w:cs="Traditional Arabic"/>
                <w:sz w:val="32"/>
                <w:szCs w:val="32"/>
                <w:lang w:val="en-US"/>
              </w:rPr>
            </w:pPr>
            <w:r w:rsidRPr="00E430E8">
              <w:rPr>
                <w:rFonts w:ascii="Traditional Arabic" w:hAnsi="Traditional Arabic" w:cs="Traditional Arabic"/>
                <w:sz w:val="32"/>
                <w:szCs w:val="32"/>
                <w:rtl/>
                <w:lang w:val="en-US"/>
              </w:rPr>
              <w:t xml:space="preserve">تحديد مقدار واتجاه تأثير كل بعد من أبعاد التخطيط </w:t>
            </w:r>
            <w:r>
              <w:rPr>
                <w:rFonts w:ascii="Traditional Arabic" w:hAnsi="Traditional Arabic" w:cs="Traditional Arabic"/>
                <w:sz w:val="32"/>
                <w:szCs w:val="32"/>
                <w:rtl/>
                <w:lang w:val="en-US"/>
              </w:rPr>
              <w:t>الاستراتيجي</w:t>
            </w:r>
            <w:r w:rsidRPr="00E430E8">
              <w:rPr>
                <w:rFonts w:ascii="Traditional Arabic" w:hAnsi="Traditional Arabic" w:cs="Traditional Arabic"/>
                <w:sz w:val="32"/>
                <w:szCs w:val="32"/>
                <w:rtl/>
                <w:lang w:val="en-US"/>
              </w:rPr>
              <w:t xml:space="preserve"> للموارد البشرية في البراعة التنظيمية، والتحقق من دلالة هذا التأثير إحصائيًا</w:t>
            </w:r>
            <w:r w:rsidRPr="00E430E8">
              <w:rPr>
                <w:rFonts w:ascii="Traditional Arabic" w:hAnsi="Traditional Arabic" w:cs="Traditional Arabic"/>
                <w:sz w:val="32"/>
                <w:szCs w:val="32"/>
                <w:lang w:val="en-US"/>
              </w:rPr>
              <w:t>.</w:t>
            </w:r>
          </w:p>
        </w:tc>
      </w:tr>
    </w:tbl>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p>
    <w:p w:rsidR="00E430E8" w:rsidRPr="00E430E8" w:rsidRDefault="00E430E8" w:rsidP="00E430E8">
      <w:pPr>
        <w:bidi/>
        <w:spacing w:line="360" w:lineRule="auto"/>
        <w:jc w:val="both"/>
        <w:rPr>
          <w:rFonts w:ascii="Traditional Arabic" w:eastAsia="Calibri" w:hAnsi="Traditional Arabic" w:cs="Traditional Arabic"/>
          <w:b/>
          <w:bCs/>
          <w:sz w:val="32"/>
          <w:szCs w:val="32"/>
          <w:rtl/>
          <w:lang w:val="en-US"/>
        </w:rPr>
      </w:pPr>
      <w:r w:rsidRPr="00E430E8">
        <w:rPr>
          <w:rFonts w:ascii="Traditional Arabic" w:eastAsia="Calibri" w:hAnsi="Traditional Arabic" w:cs="Traditional Arabic"/>
          <w:b/>
          <w:bCs/>
          <w:sz w:val="32"/>
          <w:szCs w:val="32"/>
          <w:rtl/>
          <w:lang w:val="en-US"/>
        </w:rPr>
        <w:t xml:space="preserve">3.11.1 ربط الأساليب الإحصائية بأسئلة الدراسة </w:t>
      </w:r>
      <w:proofErr w:type="gramStart"/>
      <w:r w:rsidRPr="00E430E8">
        <w:rPr>
          <w:rFonts w:ascii="Traditional Arabic" w:eastAsia="Calibri" w:hAnsi="Traditional Arabic" w:cs="Traditional Arabic"/>
          <w:b/>
          <w:bCs/>
          <w:sz w:val="32"/>
          <w:szCs w:val="32"/>
          <w:rtl/>
          <w:lang w:val="en-US"/>
        </w:rPr>
        <w:t>وفرضياتها</w:t>
      </w:r>
      <w:proofErr w:type="gramEnd"/>
    </w:p>
    <w:p w:rsidR="00E430E8" w:rsidRPr="00E430E8" w:rsidRDefault="00E430E8" w:rsidP="00E430E8">
      <w:pPr>
        <w:bidi/>
        <w:spacing w:line="360" w:lineRule="auto"/>
        <w:jc w:val="both"/>
        <w:rPr>
          <w:rFonts w:ascii="Traditional Arabic" w:eastAsia="Calibri" w:hAnsi="Traditional Arabic" w:cs="Traditional Arabic"/>
          <w:sz w:val="32"/>
          <w:szCs w:val="32"/>
          <w:lang w:val="en-US"/>
        </w:rPr>
      </w:pPr>
      <w:r w:rsidRPr="00E430E8">
        <w:rPr>
          <w:rFonts w:ascii="Traditional Arabic" w:eastAsia="Calibri" w:hAnsi="Traditional Arabic" w:cs="Traditional Arabic"/>
          <w:sz w:val="32"/>
          <w:szCs w:val="32"/>
          <w:rtl/>
          <w:lang w:val="en-US"/>
        </w:rPr>
        <w:t xml:space="preserve">حرص الباحث على اختيار الأساليب الإحصائية بما يتناسب مع طبيعة كل سؤال من أسئلة الدراسة وفرضياتها؛ حيث استخدمت الإحصاءات الوصفية للإجابة عن الأسئلة المتعلقة بتحديد مستوى متغيرات الدراسة ووصف خصائص أفراد العينة، في حين استخدم معامل ارتباط بيرسون للكشف عن </w:t>
      </w:r>
      <w:r w:rsidRPr="00E430E8">
        <w:rPr>
          <w:rFonts w:ascii="Traditional Arabic" w:eastAsia="Calibri" w:hAnsi="Traditional Arabic" w:cs="Traditional Arabic"/>
          <w:sz w:val="32"/>
          <w:szCs w:val="32"/>
          <w:rtl/>
          <w:lang w:val="en-US"/>
        </w:rPr>
        <w:lastRenderedPageBreak/>
        <w:t xml:space="preserve">طبيعة العلاقة بين متغيري الدراسة، كما استخدم تحليل الانحدار الخطي المتعدد لاختبار أثر أبعاد التخطيط </w:t>
      </w:r>
      <w:r>
        <w:rPr>
          <w:rFonts w:ascii="Traditional Arabic" w:eastAsia="Calibri" w:hAnsi="Traditional Arabic" w:cs="Traditional Arabic"/>
          <w:sz w:val="32"/>
          <w:szCs w:val="32"/>
          <w:rtl/>
          <w:lang w:val="en-US"/>
        </w:rPr>
        <w:t>الاستراتيجي</w:t>
      </w:r>
      <w:r w:rsidRPr="00E430E8">
        <w:rPr>
          <w:rFonts w:ascii="Traditional Arabic" w:eastAsia="Calibri" w:hAnsi="Traditional Arabic" w:cs="Traditional Arabic"/>
          <w:sz w:val="32"/>
          <w:szCs w:val="32"/>
          <w:rtl/>
          <w:lang w:val="en-US"/>
        </w:rPr>
        <w:t xml:space="preserve"> للموارد البشرية في البراعة التنظيمية، والتحقق من صحة الفرضية الرئيسة والفرضيات الفرعية، بما يحقق الاتساق بين أهداف الدراسة، وأسئلتها، وفرضياتها، والأساليب الإحصائية المستخدمة في تحليل البيانات</w:t>
      </w:r>
      <w:r w:rsidRPr="00E430E8">
        <w:rPr>
          <w:rFonts w:ascii="Traditional Arabic" w:eastAsia="Calibri" w:hAnsi="Traditional Arabic" w:cs="Traditional Arabic"/>
          <w:sz w:val="32"/>
          <w:szCs w:val="32"/>
          <w:lang w:val="en-US"/>
        </w:rPr>
        <w:t>.</w:t>
      </w:r>
    </w:p>
    <w:p w:rsidR="00E430E8" w:rsidRPr="00E430E8" w:rsidRDefault="00E430E8" w:rsidP="00E430E8">
      <w:pPr>
        <w:bidi/>
        <w:spacing w:line="360" w:lineRule="auto"/>
        <w:jc w:val="both"/>
        <w:rPr>
          <w:rFonts w:ascii="Calibri" w:eastAsia="Calibri" w:hAnsi="Calibri" w:cs="Arial"/>
          <w:lang w:val="en-US"/>
        </w:rPr>
      </w:pPr>
    </w:p>
    <w:p w:rsidR="00E430E8" w:rsidRPr="00E430E8" w:rsidRDefault="00E430E8" w:rsidP="00E430E8">
      <w:pPr>
        <w:bidi/>
        <w:spacing w:line="360" w:lineRule="auto"/>
        <w:jc w:val="both"/>
        <w:rPr>
          <w:rFonts w:ascii="Traditional Arabic" w:eastAsia="Calibri" w:hAnsi="Traditional Arabic" w:cs="Traditional Arabic"/>
          <w:sz w:val="32"/>
          <w:szCs w:val="32"/>
          <w:lang w:val="en-US" w:bidi="ar-JO"/>
        </w:rPr>
      </w:pPr>
      <w:r w:rsidRPr="00E430E8">
        <w:rPr>
          <w:rFonts w:ascii="Traditional Arabic" w:eastAsia="Calibri" w:hAnsi="Traditional Arabic" w:cs="Traditional Arabic"/>
          <w:sz w:val="32"/>
          <w:szCs w:val="32"/>
          <w:rtl/>
          <w:lang w:val="en-US" w:bidi="ar-JO"/>
        </w:rPr>
        <w:br w:type="page"/>
      </w:r>
    </w:p>
    <w:p w:rsidR="00E430E8" w:rsidRPr="00E430E8" w:rsidRDefault="00E430E8" w:rsidP="00E430E8">
      <w:pPr>
        <w:pageBreakBefore/>
        <w:bidi/>
        <w:jc w:val="both"/>
        <w:rPr>
          <w:rFonts w:ascii="Traditional Arabic" w:eastAsia="Calibri" w:hAnsi="Traditional Arabic" w:cs="Traditional Arabic"/>
          <w:b/>
          <w:bCs/>
          <w:sz w:val="36"/>
          <w:szCs w:val="36"/>
          <w:rtl/>
          <w:lang w:val="en-US"/>
        </w:rPr>
      </w:pPr>
      <w:proofErr w:type="gramStart"/>
      <w:r w:rsidRPr="00E430E8">
        <w:rPr>
          <w:rFonts w:ascii="Traditional Arabic" w:eastAsia="Calibri" w:hAnsi="Traditional Arabic" w:cs="Traditional Arabic"/>
          <w:b/>
          <w:bCs/>
          <w:sz w:val="36"/>
          <w:szCs w:val="36"/>
          <w:rtl/>
          <w:lang w:val="en-US"/>
        </w:rPr>
        <w:lastRenderedPageBreak/>
        <w:t>قائمة</w:t>
      </w:r>
      <w:proofErr w:type="gramEnd"/>
      <w:r w:rsidRPr="00E430E8">
        <w:rPr>
          <w:rFonts w:ascii="Traditional Arabic" w:eastAsia="Calibri" w:hAnsi="Traditional Arabic" w:cs="Traditional Arabic"/>
          <w:b/>
          <w:bCs/>
          <w:sz w:val="36"/>
          <w:szCs w:val="36"/>
          <w:rtl/>
          <w:lang w:val="en-US"/>
        </w:rPr>
        <w:t xml:space="preserve"> المراجع</w:t>
      </w:r>
    </w:p>
    <w:p w:rsidR="00E430E8" w:rsidRPr="00E430E8" w:rsidRDefault="00E430E8" w:rsidP="00E430E8">
      <w:pPr>
        <w:bidi/>
        <w:jc w:val="both"/>
        <w:rPr>
          <w:rFonts w:ascii="Traditional Arabic" w:eastAsia="Calibri" w:hAnsi="Traditional Arabic" w:cs="Traditional Arabic"/>
          <w:b/>
          <w:bCs/>
          <w:sz w:val="36"/>
          <w:szCs w:val="36"/>
          <w:rtl/>
          <w:lang w:val="en-US" w:bidi="ar-JO"/>
        </w:rPr>
      </w:pPr>
      <w:proofErr w:type="gramStart"/>
      <w:r w:rsidRPr="00E430E8">
        <w:rPr>
          <w:rFonts w:ascii="Traditional Arabic" w:eastAsia="Calibri" w:hAnsi="Traditional Arabic" w:cs="Traditional Arabic" w:hint="cs"/>
          <w:b/>
          <w:bCs/>
          <w:sz w:val="36"/>
          <w:szCs w:val="36"/>
          <w:rtl/>
          <w:lang w:val="en-US" w:bidi="ar-JO"/>
        </w:rPr>
        <w:t>المراجع</w:t>
      </w:r>
      <w:proofErr w:type="gramEnd"/>
      <w:r w:rsidRPr="00E430E8">
        <w:rPr>
          <w:rFonts w:ascii="Traditional Arabic" w:eastAsia="Calibri" w:hAnsi="Traditional Arabic" w:cs="Traditional Arabic" w:hint="cs"/>
          <w:b/>
          <w:bCs/>
          <w:sz w:val="36"/>
          <w:szCs w:val="36"/>
          <w:rtl/>
          <w:lang w:val="en-US" w:bidi="ar-JO"/>
        </w:rPr>
        <w:t xml:space="preserve"> العربية</w:t>
      </w:r>
    </w:p>
    <w:p w:rsidR="00E430E8" w:rsidRPr="00E430E8" w:rsidRDefault="00E430E8" w:rsidP="00E430E8">
      <w:pPr>
        <w:bidi/>
        <w:rPr>
          <w:rFonts w:ascii="Traditional Arabic" w:eastAsia="Calibri" w:hAnsi="Traditional Arabic" w:cs="Traditional Arabic"/>
          <w:sz w:val="28"/>
          <w:szCs w:val="28"/>
          <w:rtl/>
          <w:lang w:bidi="ar-JO"/>
        </w:rPr>
      </w:pPr>
      <w:r w:rsidRPr="00E430E8">
        <w:rPr>
          <w:rFonts w:ascii="Traditional Arabic" w:eastAsia="Calibri" w:hAnsi="Traditional Arabic" w:cs="Traditional Arabic"/>
          <w:sz w:val="28"/>
          <w:szCs w:val="28"/>
          <w:rtl/>
          <w:lang w:bidi="ar-JO"/>
        </w:rPr>
        <w:t>أبو جنيب، جمانة طايل. (</w:t>
      </w:r>
      <w:r w:rsidRPr="00E430E8">
        <w:rPr>
          <w:rFonts w:ascii="Traditional Arabic" w:eastAsia="Calibri" w:hAnsi="Traditional Arabic" w:cs="Traditional Arabic"/>
          <w:sz w:val="28"/>
          <w:szCs w:val="28"/>
          <w:lang w:bidi="ar-JO"/>
        </w:rPr>
        <w:t>2020</w:t>
      </w:r>
      <w:r w:rsidRPr="00E430E8">
        <w:rPr>
          <w:rFonts w:ascii="Traditional Arabic" w:eastAsia="Calibri" w:hAnsi="Traditional Arabic" w:cs="Traditional Arabic"/>
          <w:sz w:val="28"/>
          <w:szCs w:val="28"/>
          <w:rtl/>
          <w:lang w:bidi="ar-JO"/>
        </w:rPr>
        <w:t xml:space="preserve">). </w:t>
      </w:r>
      <w:r w:rsidRPr="00E430E8">
        <w:rPr>
          <w:rFonts w:ascii="Traditional Arabic" w:eastAsia="Calibri" w:hAnsi="Traditional Arabic" w:cs="Traditional Arabic"/>
          <w:i/>
          <w:iCs/>
          <w:sz w:val="28"/>
          <w:szCs w:val="28"/>
          <w:rtl/>
          <w:lang w:bidi="ar-JO"/>
        </w:rPr>
        <w:t xml:space="preserve">مستوى ممارسة التفكير </w:t>
      </w:r>
      <w:r>
        <w:rPr>
          <w:rFonts w:ascii="Traditional Arabic" w:eastAsia="Calibri" w:hAnsi="Traditional Arabic" w:cs="Traditional Arabic"/>
          <w:i/>
          <w:iCs/>
          <w:sz w:val="28"/>
          <w:szCs w:val="28"/>
          <w:rtl/>
          <w:lang w:bidi="ar-JO"/>
        </w:rPr>
        <w:t>الاستراتيجي</w:t>
      </w:r>
      <w:r w:rsidRPr="00E430E8">
        <w:rPr>
          <w:rFonts w:ascii="Traditional Arabic" w:eastAsia="Calibri" w:hAnsi="Traditional Arabic" w:cs="Traditional Arabic"/>
          <w:i/>
          <w:iCs/>
          <w:sz w:val="28"/>
          <w:szCs w:val="28"/>
          <w:rtl/>
          <w:lang w:bidi="ar-JO"/>
        </w:rPr>
        <w:t xml:space="preserve"> لدى رؤساء الأقسام الأكاديمية وعلاقته بالبراعة التنظيمية في الجامعات الأردنية الخاصة</w:t>
      </w:r>
      <w:r w:rsidRPr="00E430E8">
        <w:rPr>
          <w:rFonts w:ascii="Traditional Arabic" w:eastAsia="Calibri" w:hAnsi="Traditional Arabic" w:cs="Traditional Arabic"/>
          <w:sz w:val="28"/>
          <w:szCs w:val="28"/>
          <w:rtl/>
          <w:lang w:bidi="ar-JO"/>
        </w:rPr>
        <w:t xml:space="preserve"> [رسالة ماجستير غير منشورة]. جامعة الشرق الأوسط، الأردن</w:t>
      </w:r>
      <w:r w:rsidRPr="00E430E8">
        <w:rPr>
          <w:rFonts w:ascii="Traditional Arabic" w:eastAsia="Calibri" w:hAnsi="Traditional Arabic" w:cs="Traditional Arabic"/>
          <w:sz w:val="28"/>
          <w:szCs w:val="28"/>
          <w:lang w:bidi="ar-JO"/>
        </w:rPr>
        <w:t>.</w:t>
      </w:r>
    </w:p>
    <w:p w:rsidR="00E430E8" w:rsidRPr="00E430E8" w:rsidRDefault="00E430E8" w:rsidP="00E430E8">
      <w:pPr>
        <w:bidi/>
        <w:rPr>
          <w:rFonts w:ascii="Traditional Arabic" w:eastAsia="Calibri" w:hAnsi="Traditional Arabic" w:cs="Traditional Arabic"/>
          <w:sz w:val="28"/>
          <w:szCs w:val="28"/>
          <w:rtl/>
          <w:lang w:bidi="ar-JO"/>
        </w:rPr>
      </w:pPr>
      <w:proofErr w:type="gramStart"/>
      <w:r w:rsidRPr="00E430E8">
        <w:rPr>
          <w:rFonts w:ascii="Traditional Arabic" w:eastAsia="Calibri" w:hAnsi="Traditional Arabic" w:cs="Traditional Arabic"/>
          <w:sz w:val="28"/>
          <w:szCs w:val="28"/>
          <w:rtl/>
          <w:lang w:bidi="ar-JO"/>
        </w:rPr>
        <w:t>أبو</w:t>
      </w:r>
      <w:proofErr w:type="gramEnd"/>
      <w:r w:rsidRPr="00E430E8">
        <w:rPr>
          <w:rFonts w:ascii="Traditional Arabic" w:eastAsia="Calibri" w:hAnsi="Traditional Arabic" w:cs="Traditional Arabic"/>
          <w:sz w:val="28"/>
          <w:szCs w:val="28"/>
          <w:rtl/>
          <w:lang w:bidi="ar-JO"/>
        </w:rPr>
        <w:t xml:space="preserve"> زيد، حمادة فوزي ثابت. (</w:t>
      </w:r>
      <w:r w:rsidRPr="00E430E8">
        <w:rPr>
          <w:rFonts w:ascii="Traditional Arabic" w:eastAsia="Calibri" w:hAnsi="Traditional Arabic" w:cs="Traditional Arabic"/>
          <w:sz w:val="28"/>
          <w:szCs w:val="28"/>
          <w:lang w:bidi="ar-JO"/>
        </w:rPr>
        <w:t>2021</w:t>
      </w:r>
      <w:r w:rsidRPr="00E430E8">
        <w:rPr>
          <w:rFonts w:ascii="Traditional Arabic" w:eastAsia="Calibri" w:hAnsi="Traditional Arabic" w:cs="Traditional Arabic"/>
          <w:sz w:val="28"/>
          <w:szCs w:val="28"/>
          <w:rtl/>
          <w:lang w:bidi="ar-JO"/>
        </w:rPr>
        <w:t xml:space="preserve">). أثر ممارسات إدارة الموارد البشرية </w:t>
      </w:r>
      <w:r>
        <w:rPr>
          <w:rFonts w:ascii="Traditional Arabic" w:eastAsia="Calibri" w:hAnsi="Traditional Arabic" w:cs="Traditional Arabic"/>
          <w:sz w:val="28"/>
          <w:szCs w:val="28"/>
          <w:rtl/>
          <w:lang w:bidi="ar-JO"/>
        </w:rPr>
        <w:t>الاستراتيجي</w:t>
      </w:r>
      <w:r w:rsidRPr="00E430E8">
        <w:rPr>
          <w:rFonts w:ascii="Traditional Arabic" w:eastAsia="Calibri" w:hAnsi="Traditional Arabic" w:cs="Traditional Arabic"/>
          <w:sz w:val="28"/>
          <w:szCs w:val="28"/>
          <w:rtl/>
          <w:lang w:bidi="ar-JO"/>
        </w:rPr>
        <w:t xml:space="preserve">ة على البراعة التنظيمية والأداء الابتكاري في ظل توسط دور الثقافة التنظيمية. </w:t>
      </w:r>
      <w:r w:rsidRPr="00E430E8">
        <w:rPr>
          <w:rFonts w:ascii="Traditional Arabic" w:eastAsia="Calibri" w:hAnsi="Traditional Arabic" w:cs="Traditional Arabic"/>
          <w:i/>
          <w:iCs/>
          <w:sz w:val="28"/>
          <w:szCs w:val="28"/>
          <w:rtl/>
          <w:lang w:bidi="ar-JO"/>
        </w:rPr>
        <w:t xml:space="preserve">المجلة العلمية للدراسات التجارية </w:t>
      </w:r>
      <w:proofErr w:type="gramStart"/>
      <w:r w:rsidRPr="00E430E8">
        <w:rPr>
          <w:rFonts w:ascii="Traditional Arabic" w:eastAsia="Calibri" w:hAnsi="Traditional Arabic" w:cs="Traditional Arabic"/>
          <w:i/>
          <w:iCs/>
          <w:sz w:val="28"/>
          <w:szCs w:val="28"/>
          <w:rtl/>
          <w:lang w:bidi="ar-JO"/>
        </w:rPr>
        <w:t>والبيئية</w:t>
      </w:r>
      <w:proofErr w:type="gramEnd"/>
      <w:r w:rsidRPr="00E430E8">
        <w:rPr>
          <w:rFonts w:ascii="Traditional Arabic" w:eastAsia="Calibri" w:hAnsi="Traditional Arabic" w:cs="Traditional Arabic"/>
          <w:sz w:val="28"/>
          <w:szCs w:val="28"/>
          <w:rtl/>
          <w:lang w:bidi="ar-JO"/>
        </w:rPr>
        <w:t>، 12(1)، 1–34</w:t>
      </w:r>
      <w:r w:rsidRPr="00E430E8">
        <w:rPr>
          <w:rFonts w:ascii="Traditional Arabic" w:eastAsia="Calibri" w:hAnsi="Traditional Arabic" w:cs="Traditional Arabic"/>
          <w:sz w:val="28"/>
          <w:szCs w:val="28"/>
          <w:lang w:bidi="ar-JO"/>
        </w:rPr>
        <w:t>. https://doi.org/10.21608/JCES.2021.168626</w:t>
      </w:r>
    </w:p>
    <w:p w:rsidR="00E430E8" w:rsidRPr="00E430E8" w:rsidRDefault="00E430E8" w:rsidP="00E430E8">
      <w:pPr>
        <w:bidi/>
        <w:rPr>
          <w:rFonts w:ascii="Traditional Arabic" w:eastAsia="Calibri" w:hAnsi="Traditional Arabic" w:cs="Traditional Arabic"/>
          <w:sz w:val="28"/>
          <w:szCs w:val="28"/>
          <w:rtl/>
          <w:lang w:bidi="ar-JO"/>
        </w:rPr>
      </w:pPr>
      <w:proofErr w:type="spellStart"/>
      <w:r w:rsidRPr="00E430E8">
        <w:rPr>
          <w:rFonts w:ascii="Traditional Arabic" w:eastAsia="Calibri" w:hAnsi="Traditional Arabic" w:cs="Traditional Arabic"/>
          <w:sz w:val="28"/>
          <w:szCs w:val="28"/>
          <w:rtl/>
          <w:lang w:bidi="ar-JO"/>
        </w:rPr>
        <w:t>الأزوري</w:t>
      </w:r>
      <w:proofErr w:type="spellEnd"/>
      <w:r w:rsidRPr="00E430E8">
        <w:rPr>
          <w:rFonts w:ascii="Traditional Arabic" w:eastAsia="Calibri" w:hAnsi="Traditional Arabic" w:cs="Traditional Arabic"/>
          <w:sz w:val="28"/>
          <w:szCs w:val="28"/>
          <w:rtl/>
          <w:lang w:bidi="ar-JO"/>
        </w:rPr>
        <w:t>، بوادر. (</w:t>
      </w:r>
      <w:r w:rsidRPr="00E430E8">
        <w:rPr>
          <w:rFonts w:ascii="Traditional Arabic" w:eastAsia="Calibri" w:hAnsi="Traditional Arabic" w:cs="Traditional Arabic"/>
          <w:sz w:val="28"/>
          <w:szCs w:val="28"/>
          <w:lang w:bidi="ar-JO"/>
        </w:rPr>
        <w:t>2022</w:t>
      </w:r>
      <w:r w:rsidRPr="00E430E8">
        <w:rPr>
          <w:rFonts w:ascii="Traditional Arabic" w:eastAsia="Calibri" w:hAnsi="Traditional Arabic" w:cs="Traditional Arabic"/>
          <w:sz w:val="28"/>
          <w:szCs w:val="28"/>
          <w:rtl/>
          <w:lang w:bidi="ar-JO"/>
        </w:rPr>
        <w:t xml:space="preserve">). </w:t>
      </w:r>
      <w:r w:rsidRPr="00E430E8">
        <w:rPr>
          <w:rFonts w:ascii="Traditional Arabic" w:eastAsia="Calibri" w:hAnsi="Traditional Arabic" w:cs="Traditional Arabic"/>
          <w:i/>
          <w:iCs/>
          <w:sz w:val="28"/>
          <w:szCs w:val="28"/>
          <w:rtl/>
          <w:lang w:bidi="ar-JO"/>
        </w:rPr>
        <w:t xml:space="preserve">دور التخطيط </w:t>
      </w:r>
      <w:r>
        <w:rPr>
          <w:rFonts w:ascii="Traditional Arabic" w:eastAsia="Calibri" w:hAnsi="Traditional Arabic" w:cs="Traditional Arabic"/>
          <w:i/>
          <w:iCs/>
          <w:sz w:val="28"/>
          <w:szCs w:val="28"/>
          <w:rtl/>
          <w:lang w:bidi="ar-JO"/>
        </w:rPr>
        <w:t>الاستراتيجي</w:t>
      </w:r>
      <w:r w:rsidRPr="00E430E8">
        <w:rPr>
          <w:rFonts w:ascii="Traditional Arabic" w:eastAsia="Calibri" w:hAnsi="Traditional Arabic" w:cs="Traditional Arabic"/>
          <w:i/>
          <w:iCs/>
          <w:sz w:val="28"/>
          <w:szCs w:val="28"/>
          <w:rtl/>
          <w:lang w:bidi="ar-JO"/>
        </w:rPr>
        <w:t xml:space="preserve"> للموارد البشرية في تحقيق تميز الأداء المؤسسي: دراسة ميدانية على الموظفين العاملين في الإدارة العامة للتعليم بمحافظة جدة</w:t>
      </w:r>
      <w:r w:rsidRPr="00E430E8">
        <w:rPr>
          <w:rFonts w:ascii="Traditional Arabic" w:eastAsia="Calibri" w:hAnsi="Traditional Arabic" w:cs="Traditional Arabic"/>
          <w:sz w:val="28"/>
          <w:szCs w:val="28"/>
          <w:rtl/>
          <w:lang w:bidi="ar-JO"/>
        </w:rPr>
        <w:t xml:space="preserve"> [رسالة ماجستير غير منشورة]. جامعة الملك عبد العزيز، كلية الاقتصاد والإدارة، المملكة العربية السعودية</w:t>
      </w:r>
      <w:r w:rsidRPr="00E430E8">
        <w:rPr>
          <w:rFonts w:ascii="Traditional Arabic" w:eastAsia="Calibri" w:hAnsi="Traditional Arabic" w:cs="Traditional Arabic"/>
          <w:sz w:val="28"/>
          <w:szCs w:val="28"/>
          <w:lang w:bidi="ar-JO"/>
        </w:rPr>
        <w:t>.</w:t>
      </w:r>
    </w:p>
    <w:p w:rsidR="00E430E8" w:rsidRPr="00E430E8" w:rsidRDefault="00E430E8" w:rsidP="00E430E8">
      <w:pPr>
        <w:bidi/>
        <w:rPr>
          <w:rFonts w:ascii="Traditional Arabic" w:eastAsia="Calibri" w:hAnsi="Traditional Arabic" w:cs="Traditional Arabic"/>
          <w:sz w:val="28"/>
          <w:szCs w:val="28"/>
          <w:rtl/>
          <w:lang w:bidi="ar-JO"/>
        </w:rPr>
      </w:pPr>
      <w:r w:rsidRPr="00E430E8">
        <w:rPr>
          <w:rFonts w:ascii="Traditional Arabic" w:eastAsia="Calibri" w:hAnsi="Traditional Arabic" w:cs="Traditional Arabic"/>
          <w:sz w:val="28"/>
          <w:szCs w:val="28"/>
          <w:rtl/>
          <w:lang w:bidi="ar-JO"/>
        </w:rPr>
        <w:t xml:space="preserve">الحسن، قاسم </w:t>
      </w:r>
      <w:proofErr w:type="gramStart"/>
      <w:r w:rsidRPr="00E430E8">
        <w:rPr>
          <w:rFonts w:ascii="Traditional Arabic" w:eastAsia="Calibri" w:hAnsi="Traditional Arabic" w:cs="Traditional Arabic"/>
          <w:sz w:val="28"/>
          <w:szCs w:val="28"/>
          <w:rtl/>
          <w:lang w:bidi="ar-JO"/>
        </w:rPr>
        <w:t>حسن</w:t>
      </w:r>
      <w:proofErr w:type="gramEnd"/>
      <w:r w:rsidRPr="00E430E8">
        <w:rPr>
          <w:rFonts w:ascii="Traditional Arabic" w:eastAsia="Calibri" w:hAnsi="Traditional Arabic" w:cs="Traditional Arabic"/>
          <w:sz w:val="28"/>
          <w:szCs w:val="28"/>
          <w:rtl/>
          <w:lang w:bidi="ar-JO"/>
        </w:rPr>
        <w:t>. (</w:t>
      </w:r>
      <w:r w:rsidRPr="00E430E8">
        <w:rPr>
          <w:rFonts w:ascii="Traditional Arabic" w:eastAsia="Calibri" w:hAnsi="Traditional Arabic" w:cs="Traditional Arabic"/>
          <w:sz w:val="28"/>
          <w:szCs w:val="28"/>
          <w:lang w:bidi="ar-JO"/>
        </w:rPr>
        <w:t>2022</w:t>
      </w:r>
      <w:r w:rsidRPr="00E430E8">
        <w:rPr>
          <w:rFonts w:ascii="Traditional Arabic" w:eastAsia="Calibri" w:hAnsi="Traditional Arabic" w:cs="Traditional Arabic"/>
          <w:sz w:val="28"/>
          <w:szCs w:val="28"/>
          <w:rtl/>
          <w:lang w:bidi="ar-JO"/>
        </w:rPr>
        <w:t xml:space="preserve">). تأثير التوجه </w:t>
      </w:r>
      <w:r>
        <w:rPr>
          <w:rFonts w:ascii="Traditional Arabic" w:eastAsia="Calibri" w:hAnsi="Traditional Arabic" w:cs="Traditional Arabic"/>
          <w:sz w:val="28"/>
          <w:szCs w:val="28"/>
          <w:rtl/>
          <w:lang w:bidi="ar-JO"/>
        </w:rPr>
        <w:t>الاستراتيجي</w:t>
      </w:r>
      <w:r w:rsidRPr="00E430E8">
        <w:rPr>
          <w:rFonts w:ascii="Traditional Arabic" w:eastAsia="Calibri" w:hAnsi="Traditional Arabic" w:cs="Traditional Arabic"/>
          <w:sz w:val="28"/>
          <w:szCs w:val="28"/>
          <w:rtl/>
          <w:lang w:bidi="ar-JO"/>
        </w:rPr>
        <w:t xml:space="preserve"> في تحقيق البراعة التنظيمية: دراسة حالة الجامعة الوطنية الخاصة في محافظة حماة. </w:t>
      </w:r>
      <w:r w:rsidRPr="00E430E8">
        <w:rPr>
          <w:rFonts w:ascii="Traditional Arabic" w:eastAsia="Calibri" w:hAnsi="Traditional Arabic" w:cs="Traditional Arabic"/>
          <w:i/>
          <w:iCs/>
          <w:sz w:val="28"/>
          <w:szCs w:val="28"/>
          <w:rtl/>
          <w:lang w:bidi="ar-JO"/>
        </w:rPr>
        <w:t>مجلة جامعة البعث سلسلة العلوم الاقتصادية</w:t>
      </w:r>
      <w:r w:rsidRPr="00E430E8">
        <w:rPr>
          <w:rFonts w:ascii="Traditional Arabic" w:eastAsia="Calibri" w:hAnsi="Traditional Arabic" w:cs="Traditional Arabic"/>
          <w:sz w:val="28"/>
          <w:szCs w:val="28"/>
          <w:rtl/>
          <w:lang w:bidi="ar-JO"/>
        </w:rPr>
        <w:t>، 44(27)، 115–161</w:t>
      </w:r>
      <w:r w:rsidRPr="00E430E8">
        <w:rPr>
          <w:rFonts w:ascii="Traditional Arabic" w:eastAsia="Calibri" w:hAnsi="Traditional Arabic" w:cs="Traditional Arabic"/>
          <w:sz w:val="28"/>
          <w:szCs w:val="28"/>
          <w:lang w:bidi="ar-JO"/>
        </w:rPr>
        <w:t>.</w:t>
      </w:r>
    </w:p>
    <w:p w:rsidR="00E430E8" w:rsidRPr="00E430E8" w:rsidRDefault="00E430E8" w:rsidP="00E430E8">
      <w:pPr>
        <w:bidi/>
        <w:rPr>
          <w:rFonts w:ascii="Traditional Arabic" w:eastAsia="Calibri" w:hAnsi="Traditional Arabic" w:cs="Traditional Arabic"/>
          <w:sz w:val="28"/>
          <w:szCs w:val="28"/>
          <w:rtl/>
          <w:lang w:bidi="ar-JO"/>
        </w:rPr>
      </w:pPr>
      <w:r w:rsidRPr="00E430E8">
        <w:rPr>
          <w:rFonts w:ascii="Traditional Arabic" w:eastAsia="Calibri" w:hAnsi="Traditional Arabic" w:cs="Traditional Arabic"/>
          <w:sz w:val="28"/>
          <w:szCs w:val="28"/>
          <w:rtl/>
          <w:lang w:bidi="ar-JO"/>
        </w:rPr>
        <w:t xml:space="preserve">حسن، مروان صباح، مجيد، عصام خضير، وسبتي، أسيل ناصر. (٢٠٢١). دور عناصر التفكير </w:t>
      </w:r>
      <w:r>
        <w:rPr>
          <w:rFonts w:ascii="Traditional Arabic" w:eastAsia="Calibri" w:hAnsi="Traditional Arabic" w:cs="Traditional Arabic"/>
          <w:sz w:val="28"/>
          <w:szCs w:val="28"/>
          <w:rtl/>
          <w:lang w:bidi="ar-JO"/>
        </w:rPr>
        <w:t>الاستراتيجي</w:t>
      </w:r>
      <w:r w:rsidRPr="00E430E8">
        <w:rPr>
          <w:rFonts w:ascii="Traditional Arabic" w:eastAsia="Calibri" w:hAnsi="Traditional Arabic" w:cs="Traditional Arabic"/>
          <w:sz w:val="28"/>
          <w:szCs w:val="28"/>
          <w:rtl/>
          <w:lang w:bidi="ar-JO"/>
        </w:rPr>
        <w:t xml:space="preserve"> في بناء البراعة التنظيمية: دراسة تحليلية لآراء المدراء في معمل أدوية سامراء. </w:t>
      </w:r>
      <w:r w:rsidRPr="00E430E8">
        <w:rPr>
          <w:rFonts w:ascii="Traditional Arabic" w:eastAsia="Calibri" w:hAnsi="Traditional Arabic" w:cs="Traditional Arabic"/>
          <w:i/>
          <w:iCs/>
          <w:sz w:val="28"/>
          <w:szCs w:val="28"/>
          <w:rtl/>
          <w:lang w:bidi="ar-JO"/>
        </w:rPr>
        <w:t>مجلة تكريت للعلوم الإدارية والاقتصادية</w:t>
      </w:r>
      <w:r w:rsidRPr="00E430E8">
        <w:rPr>
          <w:rFonts w:ascii="Traditional Arabic" w:eastAsia="Calibri" w:hAnsi="Traditional Arabic" w:cs="Traditional Arabic"/>
          <w:sz w:val="28"/>
          <w:szCs w:val="28"/>
          <w:rtl/>
          <w:lang w:bidi="ar-JO"/>
        </w:rPr>
        <w:t>، 17(53)، 497–514</w:t>
      </w:r>
      <w:r w:rsidRPr="00E430E8">
        <w:rPr>
          <w:rFonts w:ascii="Traditional Arabic" w:eastAsia="Calibri" w:hAnsi="Traditional Arabic" w:cs="Traditional Arabic"/>
          <w:sz w:val="28"/>
          <w:szCs w:val="28"/>
          <w:lang w:bidi="ar-JO"/>
        </w:rPr>
        <w:t>. https://doi.org/10.25130/tjaes.17.53.1.29</w:t>
      </w:r>
    </w:p>
    <w:p w:rsidR="00E430E8" w:rsidRPr="00E430E8" w:rsidRDefault="00E430E8" w:rsidP="00E430E8">
      <w:pPr>
        <w:bidi/>
        <w:rPr>
          <w:rFonts w:ascii="Traditional Arabic" w:eastAsia="Calibri" w:hAnsi="Traditional Arabic" w:cs="Traditional Arabic"/>
          <w:sz w:val="28"/>
          <w:szCs w:val="28"/>
          <w:rtl/>
          <w:lang w:bidi="ar-JO"/>
        </w:rPr>
      </w:pPr>
      <w:r w:rsidRPr="00E430E8">
        <w:rPr>
          <w:rFonts w:ascii="Traditional Arabic" w:eastAsia="Calibri" w:hAnsi="Traditional Arabic" w:cs="Traditional Arabic"/>
          <w:sz w:val="28"/>
          <w:szCs w:val="28"/>
          <w:rtl/>
          <w:lang w:bidi="ar-JO"/>
        </w:rPr>
        <w:t>حميد، أثير. (</w:t>
      </w:r>
      <w:r w:rsidRPr="00E430E8">
        <w:rPr>
          <w:rFonts w:ascii="Traditional Arabic" w:eastAsia="Calibri" w:hAnsi="Traditional Arabic" w:cs="Traditional Arabic"/>
          <w:sz w:val="28"/>
          <w:szCs w:val="28"/>
          <w:lang w:bidi="ar-JO"/>
        </w:rPr>
        <w:t>2021</w:t>
      </w:r>
      <w:r w:rsidRPr="00E430E8">
        <w:rPr>
          <w:rFonts w:ascii="Traditional Arabic" w:eastAsia="Calibri" w:hAnsi="Traditional Arabic" w:cs="Traditional Arabic"/>
          <w:sz w:val="28"/>
          <w:szCs w:val="28"/>
          <w:rtl/>
          <w:lang w:bidi="ar-JO"/>
        </w:rPr>
        <w:t xml:space="preserve">). </w:t>
      </w:r>
      <w:r w:rsidRPr="00E430E8">
        <w:rPr>
          <w:rFonts w:ascii="Traditional Arabic" w:eastAsia="Calibri" w:hAnsi="Traditional Arabic" w:cs="Traditional Arabic"/>
          <w:i/>
          <w:iCs/>
          <w:sz w:val="28"/>
          <w:szCs w:val="28"/>
          <w:rtl/>
          <w:lang w:bidi="ar-JO"/>
        </w:rPr>
        <w:t xml:space="preserve">تأثير القيادة </w:t>
      </w:r>
      <w:r>
        <w:rPr>
          <w:rFonts w:ascii="Traditional Arabic" w:eastAsia="Calibri" w:hAnsi="Traditional Arabic" w:cs="Traditional Arabic"/>
          <w:i/>
          <w:iCs/>
          <w:sz w:val="28"/>
          <w:szCs w:val="28"/>
          <w:rtl/>
          <w:lang w:bidi="ar-JO"/>
        </w:rPr>
        <w:t>الاستراتيجي</w:t>
      </w:r>
      <w:r w:rsidRPr="00E430E8">
        <w:rPr>
          <w:rFonts w:ascii="Traditional Arabic" w:eastAsia="Calibri" w:hAnsi="Traditional Arabic" w:cs="Traditional Arabic"/>
          <w:i/>
          <w:iCs/>
          <w:sz w:val="28"/>
          <w:szCs w:val="28"/>
          <w:rtl/>
          <w:lang w:bidi="ar-JO"/>
        </w:rPr>
        <w:t>ة في البراعة التنظيمية: دراسة تحليلية لآراء عينة من القيادات في الشرطة الاتحادية العراقية</w:t>
      </w:r>
      <w:r w:rsidRPr="00E430E8">
        <w:rPr>
          <w:rFonts w:ascii="Traditional Arabic" w:eastAsia="Calibri" w:hAnsi="Traditional Arabic" w:cs="Traditional Arabic"/>
          <w:sz w:val="28"/>
          <w:szCs w:val="28"/>
          <w:rtl/>
          <w:lang w:bidi="ar-JO"/>
        </w:rPr>
        <w:t xml:space="preserve"> [رسالة ماجستير غير منشورة]. جامعة كربلاء، كلية الإدارة والاقتصاد، العراق</w:t>
      </w:r>
      <w:r w:rsidRPr="00E430E8">
        <w:rPr>
          <w:rFonts w:ascii="Traditional Arabic" w:eastAsia="Calibri" w:hAnsi="Traditional Arabic" w:cs="Traditional Arabic"/>
          <w:sz w:val="28"/>
          <w:szCs w:val="28"/>
          <w:lang w:bidi="ar-JO"/>
        </w:rPr>
        <w:t>.</w:t>
      </w:r>
    </w:p>
    <w:p w:rsidR="00E430E8" w:rsidRPr="00E430E8" w:rsidRDefault="00E430E8" w:rsidP="00E430E8">
      <w:pPr>
        <w:bidi/>
        <w:rPr>
          <w:rFonts w:ascii="Traditional Arabic" w:eastAsia="Calibri" w:hAnsi="Traditional Arabic" w:cs="Traditional Arabic"/>
          <w:sz w:val="28"/>
          <w:szCs w:val="28"/>
          <w:rtl/>
          <w:lang w:bidi="ar-JO"/>
        </w:rPr>
      </w:pPr>
      <w:r w:rsidRPr="00E430E8">
        <w:rPr>
          <w:rFonts w:ascii="Traditional Arabic" w:eastAsia="Calibri" w:hAnsi="Traditional Arabic" w:cs="Traditional Arabic"/>
          <w:sz w:val="28"/>
          <w:szCs w:val="28"/>
          <w:rtl/>
          <w:lang w:bidi="ar-JO"/>
        </w:rPr>
        <w:t>عبد طوفان، مثال جواد، والجنابي، عادل عباس عد حسين. (</w:t>
      </w:r>
      <w:r w:rsidRPr="00E430E8">
        <w:rPr>
          <w:rFonts w:ascii="Traditional Arabic" w:eastAsia="Calibri" w:hAnsi="Traditional Arabic" w:cs="Traditional Arabic"/>
          <w:sz w:val="28"/>
          <w:szCs w:val="28"/>
          <w:lang w:bidi="ar-JO"/>
        </w:rPr>
        <w:t>2022</w:t>
      </w:r>
      <w:r w:rsidRPr="00E430E8">
        <w:rPr>
          <w:rFonts w:ascii="Traditional Arabic" w:eastAsia="Calibri" w:hAnsi="Traditional Arabic" w:cs="Traditional Arabic"/>
          <w:sz w:val="28"/>
          <w:szCs w:val="28"/>
          <w:rtl/>
          <w:lang w:bidi="ar-JO"/>
        </w:rPr>
        <w:t xml:space="preserve">). دور الاحتواء </w:t>
      </w:r>
      <w:r>
        <w:rPr>
          <w:rFonts w:ascii="Traditional Arabic" w:eastAsia="Calibri" w:hAnsi="Traditional Arabic" w:cs="Traditional Arabic"/>
          <w:sz w:val="28"/>
          <w:szCs w:val="28"/>
          <w:rtl/>
          <w:lang w:bidi="ar-JO"/>
        </w:rPr>
        <w:t>الاستراتيجي</w:t>
      </w:r>
      <w:r w:rsidRPr="00E430E8">
        <w:rPr>
          <w:rFonts w:ascii="Traditional Arabic" w:eastAsia="Calibri" w:hAnsi="Traditional Arabic" w:cs="Traditional Arabic"/>
          <w:sz w:val="28"/>
          <w:szCs w:val="28"/>
          <w:rtl/>
          <w:lang w:bidi="ar-JO"/>
        </w:rPr>
        <w:t xml:space="preserve"> في تعزيز البراعة التنظيمية (بحث استطلاعي تحليلي لآراء العاملين في رئاسة جامعة كربلاء).</w:t>
      </w:r>
      <w:r w:rsidRPr="00E430E8">
        <w:rPr>
          <w:rFonts w:ascii="Traditional Arabic" w:eastAsia="Calibri" w:hAnsi="Traditional Arabic" w:cs="Traditional Arabic" w:hint="cs"/>
          <w:sz w:val="28"/>
          <w:szCs w:val="28"/>
          <w:rtl/>
          <w:lang w:bidi="ar-JO"/>
        </w:rPr>
        <w:t xml:space="preserve"> </w:t>
      </w:r>
      <w:r w:rsidRPr="00E430E8">
        <w:rPr>
          <w:rFonts w:ascii="Traditional Arabic" w:eastAsia="Calibri" w:hAnsi="Traditional Arabic" w:cs="Traditional Arabic"/>
          <w:sz w:val="28"/>
          <w:szCs w:val="28"/>
          <w:rtl/>
          <w:lang w:bidi="ar-JO"/>
        </w:rPr>
        <w:t xml:space="preserve"> </w:t>
      </w:r>
      <w:r w:rsidRPr="00E430E8">
        <w:rPr>
          <w:rFonts w:ascii="Traditional Arabic" w:eastAsia="Calibri" w:hAnsi="Traditional Arabic" w:cs="Traditional Arabic"/>
          <w:i/>
          <w:iCs/>
          <w:sz w:val="28"/>
          <w:szCs w:val="28"/>
          <w:rtl/>
          <w:lang w:bidi="ar-JO"/>
        </w:rPr>
        <w:t>المجلة</w:t>
      </w:r>
      <w:r w:rsidRPr="00E430E8">
        <w:rPr>
          <w:rFonts w:ascii="Traditional Arabic" w:eastAsia="Calibri" w:hAnsi="Traditional Arabic" w:cs="Traditional Arabic" w:hint="cs"/>
          <w:i/>
          <w:iCs/>
          <w:sz w:val="28"/>
          <w:szCs w:val="28"/>
          <w:rtl/>
          <w:lang w:bidi="ar-JO"/>
        </w:rPr>
        <w:t xml:space="preserve"> الوطنية للبحوث</w:t>
      </w:r>
      <w:r w:rsidRPr="00E430E8">
        <w:rPr>
          <w:rFonts w:ascii="Traditional Arabic" w:eastAsia="Calibri" w:hAnsi="Traditional Arabic" w:cs="Traditional Arabic"/>
          <w:sz w:val="28"/>
          <w:szCs w:val="28"/>
          <w:rtl/>
          <w:lang w:bidi="ar-JO"/>
        </w:rPr>
        <w:t>، 18(2</w:t>
      </w:r>
      <w:r w:rsidRPr="00E430E8">
        <w:rPr>
          <w:rFonts w:ascii="Traditional Arabic" w:eastAsia="Calibri" w:hAnsi="Traditional Arabic" w:cs="Traditional Arabic" w:hint="cs"/>
          <w:sz w:val="28"/>
          <w:szCs w:val="28"/>
          <w:rtl/>
          <w:lang w:bidi="ar-JO"/>
        </w:rPr>
        <w:t>).</w:t>
      </w:r>
      <w:r w:rsidRPr="00E430E8">
        <w:rPr>
          <w:rFonts w:ascii="Traditional Arabic" w:eastAsia="Calibri" w:hAnsi="Traditional Arabic" w:cs="Traditional Arabic"/>
          <w:sz w:val="28"/>
          <w:szCs w:val="28"/>
          <w:lang w:bidi="ar-JO"/>
        </w:rPr>
        <w:t xml:space="preserve"> https://doi.org/10.31185/.Vol18.Iss51.276</w:t>
      </w:r>
    </w:p>
    <w:p w:rsidR="00E430E8" w:rsidRPr="00E430E8" w:rsidRDefault="00E430E8" w:rsidP="00E430E8">
      <w:pPr>
        <w:bidi/>
        <w:rPr>
          <w:rFonts w:ascii="Traditional Arabic" w:eastAsia="Calibri" w:hAnsi="Traditional Arabic" w:cs="Traditional Arabic"/>
          <w:sz w:val="28"/>
          <w:szCs w:val="28"/>
          <w:rtl/>
          <w:lang w:bidi="ar-JO"/>
        </w:rPr>
      </w:pPr>
      <w:r w:rsidRPr="00E430E8">
        <w:rPr>
          <w:rFonts w:ascii="Traditional Arabic" w:eastAsia="Calibri" w:hAnsi="Traditional Arabic" w:cs="Traditional Arabic"/>
          <w:sz w:val="28"/>
          <w:szCs w:val="28"/>
          <w:rtl/>
          <w:lang w:bidi="ar-JO"/>
        </w:rPr>
        <w:t>علي، سامر محمد. (</w:t>
      </w:r>
      <w:r w:rsidRPr="00E430E8">
        <w:rPr>
          <w:rFonts w:ascii="Traditional Arabic" w:eastAsia="Calibri" w:hAnsi="Traditional Arabic" w:cs="Traditional Arabic"/>
          <w:sz w:val="28"/>
          <w:szCs w:val="28"/>
          <w:lang w:bidi="ar-JO"/>
        </w:rPr>
        <w:t>2023</w:t>
      </w:r>
      <w:r w:rsidRPr="00E430E8">
        <w:rPr>
          <w:rFonts w:ascii="Traditional Arabic" w:eastAsia="Calibri" w:hAnsi="Traditional Arabic" w:cs="Traditional Arabic"/>
          <w:sz w:val="28"/>
          <w:szCs w:val="28"/>
          <w:rtl/>
          <w:lang w:bidi="ar-JO"/>
        </w:rPr>
        <w:t xml:space="preserve">). </w:t>
      </w:r>
      <w:r w:rsidRPr="00E430E8">
        <w:rPr>
          <w:rFonts w:ascii="Traditional Arabic" w:eastAsia="Calibri" w:hAnsi="Traditional Arabic" w:cs="Traditional Arabic"/>
          <w:i/>
          <w:iCs/>
          <w:sz w:val="28"/>
          <w:szCs w:val="28"/>
          <w:rtl/>
          <w:lang w:bidi="ar-JO"/>
        </w:rPr>
        <w:t xml:space="preserve">أثر التخطيط </w:t>
      </w:r>
      <w:r>
        <w:rPr>
          <w:rFonts w:ascii="Traditional Arabic" w:eastAsia="Calibri" w:hAnsi="Traditional Arabic" w:cs="Traditional Arabic"/>
          <w:i/>
          <w:iCs/>
          <w:sz w:val="28"/>
          <w:szCs w:val="28"/>
          <w:rtl/>
          <w:lang w:bidi="ar-JO"/>
        </w:rPr>
        <w:t>الاستراتيجي</w:t>
      </w:r>
      <w:r w:rsidRPr="00E430E8">
        <w:rPr>
          <w:rFonts w:ascii="Traditional Arabic" w:eastAsia="Calibri" w:hAnsi="Traditional Arabic" w:cs="Traditional Arabic"/>
          <w:i/>
          <w:iCs/>
          <w:sz w:val="28"/>
          <w:szCs w:val="28"/>
          <w:rtl/>
          <w:lang w:bidi="ar-JO"/>
        </w:rPr>
        <w:t xml:space="preserve"> على الأداء الوظيفي: دراسة ميدانية على شركة </w:t>
      </w:r>
      <w:proofErr w:type="spellStart"/>
      <w:r w:rsidRPr="00E430E8">
        <w:rPr>
          <w:rFonts w:ascii="Traditional Arabic" w:eastAsia="Calibri" w:hAnsi="Traditional Arabic" w:cs="Traditional Arabic"/>
          <w:i/>
          <w:iCs/>
          <w:sz w:val="28"/>
          <w:szCs w:val="28"/>
          <w:rtl/>
          <w:lang w:bidi="ar-JO"/>
        </w:rPr>
        <w:t>سيرياتل</w:t>
      </w:r>
      <w:proofErr w:type="spellEnd"/>
      <w:r w:rsidRPr="00E430E8">
        <w:rPr>
          <w:rFonts w:ascii="Traditional Arabic" w:eastAsia="Calibri" w:hAnsi="Traditional Arabic" w:cs="Traditional Arabic"/>
          <w:i/>
          <w:iCs/>
          <w:sz w:val="28"/>
          <w:szCs w:val="28"/>
          <w:rtl/>
          <w:lang w:bidi="ar-JO"/>
        </w:rPr>
        <w:t xml:space="preserve"> للاتصالات</w:t>
      </w:r>
      <w:r w:rsidRPr="00E430E8">
        <w:rPr>
          <w:rFonts w:ascii="Traditional Arabic" w:eastAsia="Calibri" w:hAnsi="Traditional Arabic" w:cs="Traditional Arabic"/>
          <w:sz w:val="28"/>
          <w:szCs w:val="28"/>
          <w:rtl/>
          <w:lang w:bidi="ar-JO"/>
        </w:rPr>
        <w:t xml:space="preserve"> [رسالة ماجستير غير منشورة]. </w:t>
      </w:r>
      <w:proofErr w:type="gramStart"/>
      <w:r w:rsidRPr="00E430E8">
        <w:rPr>
          <w:rFonts w:ascii="Traditional Arabic" w:eastAsia="Calibri" w:hAnsi="Traditional Arabic" w:cs="Traditional Arabic"/>
          <w:sz w:val="28"/>
          <w:szCs w:val="28"/>
          <w:rtl/>
          <w:lang w:bidi="ar-JO"/>
        </w:rPr>
        <w:t>الجامعة</w:t>
      </w:r>
      <w:proofErr w:type="gramEnd"/>
      <w:r w:rsidRPr="00E430E8">
        <w:rPr>
          <w:rFonts w:ascii="Traditional Arabic" w:eastAsia="Calibri" w:hAnsi="Traditional Arabic" w:cs="Traditional Arabic"/>
          <w:sz w:val="28"/>
          <w:szCs w:val="28"/>
          <w:rtl/>
          <w:lang w:bidi="ar-JO"/>
        </w:rPr>
        <w:t xml:space="preserve"> الافتراضية السورية، سوريا.</w:t>
      </w:r>
    </w:p>
    <w:p w:rsidR="00E430E8" w:rsidRPr="00E430E8" w:rsidRDefault="00E430E8" w:rsidP="00E430E8">
      <w:pPr>
        <w:bidi/>
        <w:jc w:val="both"/>
        <w:rPr>
          <w:rFonts w:ascii="Traditional Arabic" w:eastAsia="Calibri" w:hAnsi="Traditional Arabic" w:cs="Traditional Arabic"/>
          <w:sz w:val="28"/>
          <w:szCs w:val="28"/>
          <w:lang w:bidi="ar-JO"/>
        </w:rPr>
      </w:pPr>
      <w:r w:rsidRPr="00E430E8">
        <w:rPr>
          <w:rFonts w:ascii="Traditional Arabic" w:eastAsia="Calibri" w:hAnsi="Traditional Arabic" w:cs="Traditional Arabic"/>
          <w:sz w:val="28"/>
          <w:szCs w:val="28"/>
          <w:rtl/>
          <w:lang w:bidi="ar-JO"/>
        </w:rPr>
        <w:br w:type="page"/>
      </w:r>
    </w:p>
    <w:p w:rsidR="00E430E8" w:rsidRPr="00E430E8" w:rsidRDefault="00E430E8" w:rsidP="00E430E8">
      <w:pPr>
        <w:bidi/>
        <w:jc w:val="both"/>
        <w:rPr>
          <w:rFonts w:ascii="Traditional Arabic" w:eastAsia="Calibri" w:hAnsi="Traditional Arabic" w:cs="Traditional Arabic"/>
          <w:b/>
          <w:bCs/>
          <w:sz w:val="28"/>
          <w:szCs w:val="28"/>
          <w:lang w:val="en-US" w:bidi="ar-JO"/>
        </w:rPr>
      </w:pPr>
      <w:r w:rsidRPr="00E430E8">
        <w:rPr>
          <w:rFonts w:ascii="Traditional Arabic" w:eastAsia="Calibri" w:hAnsi="Traditional Arabic" w:cs="Traditional Arabic"/>
          <w:b/>
          <w:bCs/>
          <w:sz w:val="32"/>
          <w:szCs w:val="32"/>
          <w:rtl/>
          <w:lang w:val="en-US"/>
        </w:rPr>
        <w:lastRenderedPageBreak/>
        <w:t xml:space="preserve">ثانيًا: </w:t>
      </w:r>
      <w:proofErr w:type="gramStart"/>
      <w:r w:rsidRPr="00E430E8">
        <w:rPr>
          <w:rFonts w:ascii="Traditional Arabic" w:eastAsia="Calibri" w:hAnsi="Traditional Arabic" w:cs="Traditional Arabic"/>
          <w:b/>
          <w:bCs/>
          <w:sz w:val="32"/>
          <w:szCs w:val="32"/>
          <w:rtl/>
          <w:lang w:val="en-US"/>
        </w:rPr>
        <w:t>المراجع</w:t>
      </w:r>
      <w:proofErr w:type="gramEnd"/>
      <w:r w:rsidRPr="00E430E8">
        <w:rPr>
          <w:rFonts w:ascii="Traditional Arabic" w:eastAsia="Calibri" w:hAnsi="Traditional Arabic" w:cs="Traditional Arabic"/>
          <w:b/>
          <w:bCs/>
          <w:sz w:val="32"/>
          <w:szCs w:val="32"/>
          <w:rtl/>
          <w:lang w:val="en-US"/>
        </w:rPr>
        <w:t xml:space="preserve"> الأجنبية</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Aguinis</w:t>
      </w:r>
      <w:proofErr w:type="spellEnd"/>
      <w:r w:rsidRPr="00E430E8">
        <w:rPr>
          <w:rFonts w:ascii="Traditional Arabic" w:eastAsia="Calibri" w:hAnsi="Traditional Arabic" w:cs="Traditional Arabic"/>
          <w:sz w:val="24"/>
          <w:szCs w:val="24"/>
          <w:lang w:val="en-US" w:bidi="ar-JO"/>
        </w:rPr>
        <w:t xml:space="preserve">, H. (2019). </w:t>
      </w:r>
      <w:r w:rsidRPr="00E430E8">
        <w:rPr>
          <w:rFonts w:ascii="Traditional Arabic" w:eastAsia="Calibri" w:hAnsi="Traditional Arabic" w:cs="Traditional Arabic"/>
          <w:i/>
          <w:iCs/>
          <w:sz w:val="24"/>
          <w:szCs w:val="24"/>
          <w:lang w:val="en-US" w:bidi="ar-JO"/>
        </w:rPr>
        <w:t>Performance management</w:t>
      </w:r>
      <w:r w:rsidRPr="00E430E8">
        <w:rPr>
          <w:rFonts w:ascii="Traditional Arabic" w:eastAsia="Calibri" w:hAnsi="Traditional Arabic" w:cs="Traditional Arabic"/>
          <w:sz w:val="24"/>
          <w:szCs w:val="24"/>
          <w:lang w:val="en-US" w:bidi="ar-JO"/>
        </w:rPr>
        <w:t xml:space="preserve"> (4th </w:t>
      </w:r>
      <w:proofErr w:type="gramStart"/>
      <w:r w:rsidRPr="00E430E8">
        <w:rPr>
          <w:rFonts w:ascii="Traditional Arabic" w:eastAsia="Calibri" w:hAnsi="Traditional Arabic" w:cs="Traditional Arabic"/>
          <w:sz w:val="24"/>
          <w:szCs w:val="24"/>
          <w:lang w:val="en-US" w:bidi="ar-JO"/>
        </w:rPr>
        <w:t>ed</w:t>
      </w:r>
      <w:proofErr w:type="gramEnd"/>
      <w:r w:rsidRPr="00E430E8">
        <w:rPr>
          <w:rFonts w:ascii="Traditional Arabic" w:eastAsia="Calibri" w:hAnsi="Traditional Arabic" w:cs="Traditional Arabic"/>
          <w:sz w:val="24"/>
          <w:szCs w:val="24"/>
          <w:lang w:val="en-US" w:bidi="ar-JO"/>
        </w:rPr>
        <w:t>.). Chicago Business Press.</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Alhosani</w:t>
      </w:r>
      <w:proofErr w:type="spellEnd"/>
      <w:r w:rsidRPr="00E430E8">
        <w:rPr>
          <w:rFonts w:ascii="Traditional Arabic" w:eastAsia="Calibri" w:hAnsi="Traditional Arabic" w:cs="Traditional Arabic"/>
          <w:sz w:val="24"/>
          <w:szCs w:val="24"/>
          <w:lang w:val="en-US" w:bidi="ar-JO"/>
        </w:rPr>
        <w:t>, F. H., &amp; Ahmad, S. Z. (2024).</w:t>
      </w:r>
      <w:proofErr w:type="gramEnd"/>
      <w:r w:rsidRPr="00E430E8">
        <w:rPr>
          <w:rFonts w:ascii="Traditional Arabic" w:eastAsia="Calibri" w:hAnsi="Traditional Arabic" w:cs="Traditional Arabic"/>
          <w:sz w:val="24"/>
          <w:szCs w:val="24"/>
          <w:lang w:val="en-US" w:bidi="ar-JO"/>
        </w:rPr>
        <w:t xml:space="preserve"> Role of human resource practices, leadership and intellectual capital in enhancing organisational performance: The mediating effect of organisational agility. </w:t>
      </w:r>
      <w:r w:rsidRPr="00E430E8">
        <w:rPr>
          <w:rFonts w:ascii="Traditional Arabic" w:eastAsia="Calibri" w:hAnsi="Traditional Arabic" w:cs="Traditional Arabic"/>
          <w:i/>
          <w:iCs/>
          <w:sz w:val="24"/>
          <w:szCs w:val="24"/>
          <w:lang w:val="en-US" w:bidi="ar-JO"/>
        </w:rPr>
        <w:t>Journal of Intellectual Capital, 25</w:t>
      </w:r>
      <w:r w:rsidRPr="00E430E8">
        <w:rPr>
          <w:rFonts w:ascii="Traditional Arabic" w:eastAsia="Calibri" w:hAnsi="Traditional Arabic" w:cs="Traditional Arabic"/>
          <w:sz w:val="24"/>
          <w:szCs w:val="24"/>
          <w:lang w:val="en-US" w:bidi="ar-JO"/>
        </w:rPr>
        <w:t xml:space="preserve">(4), 664–685. </w:t>
      </w:r>
      <w:hyperlink r:id="rId6" w:history="1">
        <w:r w:rsidRPr="00E430E8">
          <w:rPr>
            <w:rFonts w:ascii="Traditional Arabic" w:eastAsia="Calibri" w:hAnsi="Traditional Arabic" w:cs="Traditional Arabic"/>
            <w:color w:val="0000FF"/>
            <w:sz w:val="24"/>
            <w:szCs w:val="24"/>
            <w:u w:val="single"/>
            <w:lang w:val="en-US" w:bidi="ar-JO"/>
          </w:rPr>
          <w:t>https://doi.org/10.1108/JIC-08-2023-0183</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Almagharbeh</w:t>
      </w:r>
      <w:proofErr w:type="spellEnd"/>
      <w:r w:rsidRPr="00E430E8">
        <w:rPr>
          <w:rFonts w:ascii="Traditional Arabic" w:eastAsia="Calibri" w:hAnsi="Traditional Arabic" w:cs="Traditional Arabic"/>
          <w:sz w:val="24"/>
          <w:szCs w:val="24"/>
          <w:lang w:val="en-US" w:bidi="ar-JO"/>
        </w:rPr>
        <w:t xml:space="preserve">, B. K. (2024). The effect of human resource agility on organizational sustainability: Structural equation modeling approach. </w:t>
      </w:r>
      <w:r w:rsidRPr="00E430E8">
        <w:rPr>
          <w:rFonts w:ascii="Traditional Arabic" w:eastAsia="Calibri" w:hAnsi="Traditional Arabic" w:cs="Traditional Arabic"/>
          <w:i/>
          <w:iCs/>
          <w:sz w:val="24"/>
          <w:szCs w:val="24"/>
          <w:lang w:val="en-US" w:bidi="ar-JO"/>
        </w:rPr>
        <w:t>International Journal of Human Capital in Urban Management, 9</w:t>
      </w:r>
      <w:r w:rsidRPr="00E430E8">
        <w:rPr>
          <w:rFonts w:ascii="Traditional Arabic" w:eastAsia="Calibri" w:hAnsi="Traditional Arabic" w:cs="Traditional Arabic"/>
          <w:sz w:val="24"/>
          <w:szCs w:val="24"/>
          <w:lang w:val="en-US" w:bidi="ar-JO"/>
        </w:rPr>
        <w:t>(1), 177–188.</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Alqarni</w:t>
      </w:r>
      <w:proofErr w:type="spellEnd"/>
      <w:r w:rsidRPr="00E430E8">
        <w:rPr>
          <w:rFonts w:ascii="Traditional Arabic" w:eastAsia="Calibri" w:hAnsi="Traditional Arabic" w:cs="Traditional Arabic"/>
          <w:sz w:val="24"/>
          <w:szCs w:val="24"/>
          <w:lang w:val="en-US" w:bidi="ar-JO"/>
        </w:rPr>
        <w:t xml:space="preserve">, K., </w:t>
      </w:r>
      <w:proofErr w:type="spellStart"/>
      <w:r w:rsidRPr="00E430E8">
        <w:rPr>
          <w:rFonts w:ascii="Traditional Arabic" w:eastAsia="Calibri" w:hAnsi="Traditional Arabic" w:cs="Traditional Arabic"/>
          <w:sz w:val="24"/>
          <w:szCs w:val="24"/>
          <w:lang w:val="en-US" w:bidi="ar-JO"/>
        </w:rPr>
        <w:t>Agina</w:t>
      </w:r>
      <w:proofErr w:type="spellEnd"/>
      <w:r w:rsidRPr="00E430E8">
        <w:rPr>
          <w:rFonts w:ascii="Traditional Arabic" w:eastAsia="Calibri" w:hAnsi="Traditional Arabic" w:cs="Traditional Arabic"/>
          <w:sz w:val="24"/>
          <w:szCs w:val="24"/>
          <w:lang w:val="en-US" w:bidi="ar-JO"/>
        </w:rPr>
        <w:t xml:space="preserve">, M. F., </w:t>
      </w:r>
      <w:proofErr w:type="spellStart"/>
      <w:r w:rsidRPr="00E430E8">
        <w:rPr>
          <w:rFonts w:ascii="Traditional Arabic" w:eastAsia="Calibri" w:hAnsi="Traditional Arabic" w:cs="Traditional Arabic"/>
          <w:sz w:val="24"/>
          <w:szCs w:val="24"/>
          <w:lang w:val="en-US" w:bidi="ar-JO"/>
        </w:rPr>
        <w:t>Khairy</w:t>
      </w:r>
      <w:proofErr w:type="spellEnd"/>
      <w:r w:rsidRPr="00E430E8">
        <w:rPr>
          <w:rFonts w:ascii="Traditional Arabic" w:eastAsia="Calibri" w:hAnsi="Traditional Arabic" w:cs="Traditional Arabic"/>
          <w:sz w:val="24"/>
          <w:szCs w:val="24"/>
          <w:lang w:val="en-US" w:bidi="ar-JO"/>
        </w:rPr>
        <w:t>, H. A., Al-</w:t>
      </w:r>
      <w:proofErr w:type="spellStart"/>
      <w:r w:rsidRPr="00E430E8">
        <w:rPr>
          <w:rFonts w:ascii="Traditional Arabic" w:eastAsia="Calibri" w:hAnsi="Traditional Arabic" w:cs="Traditional Arabic"/>
          <w:sz w:val="24"/>
          <w:szCs w:val="24"/>
          <w:lang w:val="en-US" w:bidi="ar-JO"/>
        </w:rPr>
        <w:t>Romeedy</w:t>
      </w:r>
      <w:proofErr w:type="spellEnd"/>
      <w:r w:rsidRPr="00E430E8">
        <w:rPr>
          <w:rFonts w:ascii="Traditional Arabic" w:eastAsia="Calibri" w:hAnsi="Traditional Arabic" w:cs="Traditional Arabic"/>
          <w:sz w:val="24"/>
          <w:szCs w:val="24"/>
          <w:lang w:val="en-US" w:bidi="ar-JO"/>
        </w:rPr>
        <w:t xml:space="preserve">, B. S., </w:t>
      </w:r>
      <w:proofErr w:type="spellStart"/>
      <w:r w:rsidRPr="00E430E8">
        <w:rPr>
          <w:rFonts w:ascii="Traditional Arabic" w:eastAsia="Calibri" w:hAnsi="Traditional Arabic" w:cs="Traditional Arabic"/>
          <w:sz w:val="24"/>
          <w:szCs w:val="24"/>
          <w:lang w:val="en-US" w:bidi="ar-JO"/>
        </w:rPr>
        <w:t>Farrag</w:t>
      </w:r>
      <w:proofErr w:type="spellEnd"/>
      <w:r w:rsidRPr="00E430E8">
        <w:rPr>
          <w:rFonts w:ascii="Traditional Arabic" w:eastAsia="Calibri" w:hAnsi="Traditional Arabic" w:cs="Traditional Arabic"/>
          <w:sz w:val="24"/>
          <w:szCs w:val="24"/>
          <w:lang w:val="en-US" w:bidi="ar-JO"/>
        </w:rPr>
        <w:t xml:space="preserve">, D. A., &amp; </w:t>
      </w:r>
      <w:proofErr w:type="spellStart"/>
      <w:r w:rsidRPr="00E430E8">
        <w:rPr>
          <w:rFonts w:ascii="Traditional Arabic" w:eastAsia="Calibri" w:hAnsi="Traditional Arabic" w:cs="Traditional Arabic"/>
          <w:sz w:val="24"/>
          <w:szCs w:val="24"/>
          <w:lang w:val="en-US" w:bidi="ar-JO"/>
        </w:rPr>
        <w:t>Abdallah</w:t>
      </w:r>
      <w:proofErr w:type="spellEnd"/>
      <w:r w:rsidRPr="00E430E8">
        <w:rPr>
          <w:rFonts w:ascii="Traditional Arabic" w:eastAsia="Calibri" w:hAnsi="Traditional Arabic" w:cs="Traditional Arabic"/>
          <w:sz w:val="24"/>
          <w:szCs w:val="24"/>
          <w:lang w:val="en-US" w:bidi="ar-JO"/>
        </w:rPr>
        <w:t xml:space="preserve">, R. M. (2023). The effect of electronic human resource management systems on sustainable competitive advantages: The roles of sustainable innovation and organizational agility. </w:t>
      </w:r>
      <w:r w:rsidRPr="00E430E8">
        <w:rPr>
          <w:rFonts w:ascii="Traditional Arabic" w:eastAsia="Calibri" w:hAnsi="Traditional Arabic" w:cs="Traditional Arabic"/>
          <w:i/>
          <w:iCs/>
          <w:sz w:val="24"/>
          <w:szCs w:val="24"/>
          <w:lang w:val="en-US" w:bidi="ar-JO"/>
        </w:rPr>
        <w:t>Sustainability, 15</w:t>
      </w:r>
      <w:r w:rsidRPr="00E430E8">
        <w:rPr>
          <w:rFonts w:ascii="Traditional Arabic" w:eastAsia="Calibri" w:hAnsi="Traditional Arabic" w:cs="Traditional Arabic"/>
          <w:sz w:val="24"/>
          <w:szCs w:val="24"/>
          <w:lang w:val="en-US" w:bidi="ar-JO"/>
        </w:rPr>
        <w:t xml:space="preserve">(23), Article 16382. </w:t>
      </w:r>
      <w:hyperlink r:id="rId7" w:history="1">
        <w:r w:rsidRPr="00E430E8">
          <w:rPr>
            <w:rFonts w:ascii="Traditional Arabic" w:eastAsia="Calibri" w:hAnsi="Traditional Arabic" w:cs="Traditional Arabic"/>
            <w:color w:val="0000FF"/>
            <w:sz w:val="24"/>
            <w:szCs w:val="24"/>
            <w:u w:val="single"/>
            <w:lang w:val="en-US" w:bidi="ar-JO"/>
          </w:rPr>
          <w:t>https://doi.org/10.3390/su152316382</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Alshammari</w:t>
      </w:r>
      <w:proofErr w:type="spellEnd"/>
      <w:r w:rsidRPr="00E430E8">
        <w:rPr>
          <w:rFonts w:ascii="Traditional Arabic" w:eastAsia="Calibri" w:hAnsi="Traditional Arabic" w:cs="Traditional Arabic"/>
          <w:sz w:val="24"/>
          <w:szCs w:val="24"/>
          <w:lang w:val="en-US" w:bidi="ar-JO"/>
        </w:rPr>
        <w:t xml:space="preserve">, A. A. (2020). The impact of human resource management practices, organizational learning, organizational culture and knowledge management capabilities on organizational performance in Saudi organizations: A conceptual framework. </w:t>
      </w:r>
      <w:proofErr w:type="spellStart"/>
      <w:proofErr w:type="gramStart"/>
      <w:r w:rsidRPr="00E430E8">
        <w:rPr>
          <w:rFonts w:ascii="Traditional Arabic" w:eastAsia="Calibri" w:hAnsi="Traditional Arabic" w:cs="Traditional Arabic"/>
          <w:i/>
          <w:iCs/>
          <w:sz w:val="24"/>
          <w:szCs w:val="24"/>
          <w:lang w:val="en-US" w:bidi="ar-JO"/>
        </w:rPr>
        <w:t>Revista</w:t>
      </w:r>
      <w:proofErr w:type="spellEnd"/>
      <w:r w:rsidRPr="00E430E8">
        <w:rPr>
          <w:rFonts w:ascii="Traditional Arabic" w:eastAsia="Calibri" w:hAnsi="Traditional Arabic" w:cs="Traditional Arabic"/>
          <w:i/>
          <w:iCs/>
          <w:sz w:val="24"/>
          <w:szCs w:val="24"/>
          <w:lang w:val="en-US" w:bidi="ar-JO"/>
        </w:rPr>
        <w:t xml:space="preserve"> Argentina de </w:t>
      </w:r>
      <w:proofErr w:type="spellStart"/>
      <w:r w:rsidRPr="00E430E8">
        <w:rPr>
          <w:rFonts w:ascii="Traditional Arabic" w:eastAsia="Calibri" w:hAnsi="Traditional Arabic" w:cs="Traditional Arabic"/>
          <w:i/>
          <w:iCs/>
          <w:sz w:val="24"/>
          <w:szCs w:val="24"/>
          <w:lang w:val="en-US" w:bidi="ar-JO"/>
        </w:rPr>
        <w:t>Clínica</w:t>
      </w:r>
      <w:proofErr w:type="spellEnd"/>
      <w:r w:rsidRPr="00E430E8">
        <w:rPr>
          <w:rFonts w:ascii="Traditional Arabic" w:eastAsia="Calibri" w:hAnsi="Traditional Arabic" w:cs="Traditional Arabic"/>
          <w:i/>
          <w:iCs/>
          <w:sz w:val="24"/>
          <w:szCs w:val="24"/>
          <w:lang w:val="en-US" w:bidi="ar-JO"/>
        </w:rPr>
        <w:t xml:space="preserve"> </w:t>
      </w:r>
      <w:proofErr w:type="spellStart"/>
      <w:r w:rsidRPr="00E430E8">
        <w:rPr>
          <w:rFonts w:ascii="Traditional Arabic" w:eastAsia="Calibri" w:hAnsi="Traditional Arabic" w:cs="Traditional Arabic"/>
          <w:i/>
          <w:iCs/>
          <w:sz w:val="24"/>
          <w:szCs w:val="24"/>
          <w:lang w:val="en-US" w:bidi="ar-JO"/>
        </w:rPr>
        <w:t>Psicológica</w:t>
      </w:r>
      <w:proofErr w:type="spellEnd"/>
      <w:r w:rsidRPr="00E430E8">
        <w:rPr>
          <w:rFonts w:ascii="Traditional Arabic" w:eastAsia="Calibri" w:hAnsi="Traditional Arabic" w:cs="Traditional Arabic"/>
          <w:i/>
          <w:iCs/>
          <w:sz w:val="24"/>
          <w:szCs w:val="24"/>
          <w:lang w:val="en-US" w:bidi="ar-JO"/>
        </w:rPr>
        <w:t>, 29</w:t>
      </w:r>
      <w:r w:rsidRPr="00E430E8">
        <w:rPr>
          <w:rFonts w:ascii="Traditional Arabic" w:eastAsia="Calibri" w:hAnsi="Traditional Arabic" w:cs="Traditional Arabic"/>
          <w:sz w:val="24"/>
          <w:szCs w:val="24"/>
          <w:lang w:val="en-US" w:bidi="ar-JO"/>
        </w:rPr>
        <w:t>(4), 714–721.</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Alyamani</w:t>
      </w:r>
      <w:proofErr w:type="spellEnd"/>
      <w:r w:rsidRPr="00E430E8">
        <w:rPr>
          <w:rFonts w:ascii="Traditional Arabic" w:eastAsia="Calibri" w:hAnsi="Traditional Arabic" w:cs="Traditional Arabic"/>
          <w:sz w:val="24"/>
          <w:szCs w:val="24"/>
          <w:lang w:val="en-US" w:bidi="ar-JO"/>
        </w:rPr>
        <w:t xml:space="preserve">, K. A. Z. (2025). </w:t>
      </w:r>
      <w:proofErr w:type="gramStart"/>
      <w:r w:rsidRPr="00E430E8">
        <w:rPr>
          <w:rFonts w:ascii="Traditional Arabic" w:eastAsia="Calibri" w:hAnsi="Traditional Arabic" w:cs="Traditional Arabic"/>
          <w:sz w:val="24"/>
          <w:szCs w:val="24"/>
          <w:lang w:val="en-US" w:bidi="ar-JO"/>
        </w:rPr>
        <w:t xml:space="preserve">Transforming Saudi Arabia's workforce: </w:t>
      </w:r>
      <w:proofErr w:type="spellStart"/>
      <w:r w:rsidRPr="00E430E8">
        <w:rPr>
          <w:rFonts w:ascii="Traditional Arabic" w:eastAsia="Calibri" w:hAnsi="Traditional Arabic" w:cs="Traditional Arabic"/>
          <w:sz w:val="24"/>
          <w:szCs w:val="24"/>
          <w:lang w:val="en-US" w:bidi="ar-JO"/>
        </w:rPr>
        <w:t>HR</w:t>
      </w:r>
      <w:proofErr w:type="spellEnd"/>
      <w:r w:rsidRPr="00E430E8">
        <w:rPr>
          <w:rFonts w:ascii="Traditional Arabic" w:eastAsia="Calibri" w:hAnsi="Traditional Arabic" w:cs="Traditional Arabic"/>
          <w:sz w:val="24"/>
          <w:szCs w:val="24"/>
          <w:lang w:val="en-US" w:bidi="ar-JO"/>
        </w:rPr>
        <w:t xml:space="preserve"> management strategies in action.</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International Journal of Innovative Research and Scientific Studies, 8</w:t>
      </w:r>
      <w:r w:rsidRPr="00E430E8">
        <w:rPr>
          <w:rFonts w:ascii="Traditional Arabic" w:eastAsia="Calibri" w:hAnsi="Traditional Arabic" w:cs="Traditional Arabic"/>
          <w:sz w:val="24"/>
          <w:szCs w:val="24"/>
          <w:lang w:val="en-US" w:bidi="ar-JO"/>
        </w:rPr>
        <w:t xml:space="preserve">(2), 465–476. </w:t>
      </w:r>
      <w:hyperlink r:id="rId8" w:history="1">
        <w:r w:rsidRPr="00E430E8">
          <w:rPr>
            <w:rFonts w:ascii="Traditional Arabic" w:eastAsia="Calibri" w:hAnsi="Traditional Arabic" w:cs="Traditional Arabic"/>
            <w:color w:val="0000FF"/>
            <w:sz w:val="24"/>
            <w:szCs w:val="24"/>
            <w:u w:val="single"/>
            <w:lang w:val="en-US" w:bidi="ar-JO"/>
          </w:rPr>
          <w:t>https://doi.org/10.53894/ijirss.v8i2.5198</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Alyamani</w:t>
      </w:r>
      <w:proofErr w:type="spellEnd"/>
      <w:r w:rsidRPr="00E430E8">
        <w:rPr>
          <w:rFonts w:ascii="Traditional Arabic" w:eastAsia="Calibri" w:hAnsi="Traditional Arabic" w:cs="Traditional Arabic"/>
          <w:sz w:val="24"/>
          <w:szCs w:val="24"/>
          <w:lang w:val="en-US" w:bidi="ar-JO"/>
        </w:rPr>
        <w:t xml:space="preserve">, N. (2025). </w:t>
      </w:r>
      <w:proofErr w:type="gramStart"/>
      <w:r w:rsidRPr="00E430E8">
        <w:rPr>
          <w:rFonts w:ascii="Traditional Arabic" w:eastAsia="Calibri" w:hAnsi="Traditional Arabic" w:cs="Traditional Arabic"/>
          <w:i/>
          <w:iCs/>
          <w:sz w:val="24"/>
          <w:szCs w:val="24"/>
          <w:lang w:val="en-US" w:bidi="ar-JO"/>
        </w:rPr>
        <w:t>The role of Saudi Vision 2030 in reshaping human resource management strategies</w:t>
      </w:r>
      <w:r w:rsidRPr="00E430E8">
        <w:rPr>
          <w:rFonts w:ascii="Traditional Arabic" w:eastAsia="Calibri" w:hAnsi="Traditional Arabic" w:cs="Traditional Arabic"/>
          <w:sz w:val="24"/>
          <w:szCs w:val="24"/>
          <w:lang w:val="en-US" w:bidi="ar-JO"/>
        </w:rPr>
        <w:t xml:space="preserve"> [Unpublished master's thesis].</w:t>
      </w:r>
      <w:proofErr w:type="gramEnd"/>
      <w:r w:rsidRPr="00E430E8">
        <w:rPr>
          <w:rFonts w:ascii="Traditional Arabic" w:eastAsia="Calibri" w:hAnsi="Traditional Arabic" w:cs="Traditional Arabic"/>
          <w:sz w:val="24"/>
          <w:szCs w:val="24"/>
          <w:lang w:val="en-US" w:bidi="ar-JO"/>
        </w:rPr>
        <w:t xml:space="preserve"> </w:t>
      </w:r>
      <w:proofErr w:type="spellStart"/>
      <w:proofErr w:type="gramStart"/>
      <w:r w:rsidRPr="00E430E8">
        <w:rPr>
          <w:rFonts w:ascii="Traditional Arabic" w:eastAsia="Calibri" w:hAnsi="Traditional Arabic" w:cs="Traditional Arabic"/>
          <w:sz w:val="24"/>
          <w:szCs w:val="24"/>
          <w:lang w:val="en-US" w:bidi="ar-JO"/>
        </w:rPr>
        <w:t>Universiti</w:t>
      </w:r>
      <w:proofErr w:type="spellEnd"/>
      <w:r w:rsidRPr="00E430E8">
        <w:rPr>
          <w:rFonts w:ascii="Traditional Arabic" w:eastAsia="Calibri" w:hAnsi="Traditional Arabic" w:cs="Traditional Arabic"/>
          <w:sz w:val="24"/>
          <w:szCs w:val="24"/>
          <w:lang w:val="en-US" w:bidi="ar-JO"/>
        </w:rPr>
        <w:t xml:space="preserve"> </w:t>
      </w:r>
      <w:proofErr w:type="spellStart"/>
      <w:r w:rsidRPr="00E430E8">
        <w:rPr>
          <w:rFonts w:ascii="Traditional Arabic" w:eastAsia="Calibri" w:hAnsi="Traditional Arabic" w:cs="Traditional Arabic"/>
          <w:sz w:val="24"/>
          <w:szCs w:val="24"/>
          <w:lang w:val="en-US" w:bidi="ar-JO"/>
        </w:rPr>
        <w:t>Sains</w:t>
      </w:r>
      <w:proofErr w:type="spellEnd"/>
      <w:r w:rsidRPr="00E430E8">
        <w:rPr>
          <w:rFonts w:ascii="Traditional Arabic" w:eastAsia="Calibri" w:hAnsi="Traditional Arabic" w:cs="Traditional Arabic"/>
          <w:sz w:val="24"/>
          <w:szCs w:val="24"/>
          <w:lang w:val="en-US" w:bidi="ar-JO"/>
        </w:rPr>
        <w:t xml:space="preserve"> Malaysia.</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Argyris</w:t>
      </w:r>
      <w:proofErr w:type="spellEnd"/>
      <w:r w:rsidRPr="00E430E8">
        <w:rPr>
          <w:rFonts w:ascii="Traditional Arabic" w:eastAsia="Calibri" w:hAnsi="Traditional Arabic" w:cs="Traditional Arabic"/>
          <w:sz w:val="24"/>
          <w:szCs w:val="24"/>
          <w:lang w:val="en-US" w:bidi="ar-JO"/>
        </w:rPr>
        <w:t xml:space="preserve">, C., &amp; </w:t>
      </w:r>
      <w:proofErr w:type="spellStart"/>
      <w:r w:rsidRPr="00E430E8">
        <w:rPr>
          <w:rFonts w:ascii="Traditional Arabic" w:eastAsia="Calibri" w:hAnsi="Traditional Arabic" w:cs="Traditional Arabic"/>
          <w:sz w:val="24"/>
          <w:szCs w:val="24"/>
          <w:lang w:val="en-US" w:bidi="ar-JO"/>
        </w:rPr>
        <w:t>Schön</w:t>
      </w:r>
      <w:proofErr w:type="spellEnd"/>
      <w:r w:rsidRPr="00E430E8">
        <w:rPr>
          <w:rFonts w:ascii="Traditional Arabic" w:eastAsia="Calibri" w:hAnsi="Traditional Arabic" w:cs="Traditional Arabic"/>
          <w:sz w:val="24"/>
          <w:szCs w:val="24"/>
          <w:lang w:val="en-US" w:bidi="ar-JO"/>
        </w:rPr>
        <w:t>, D. A. (1978).</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Organizational learning: A theory of action perspective</w:t>
      </w:r>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Addison-Wesley.</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Asfahani</w:t>
      </w:r>
      <w:proofErr w:type="spellEnd"/>
      <w:r w:rsidRPr="00E430E8">
        <w:rPr>
          <w:rFonts w:ascii="Traditional Arabic" w:eastAsia="Calibri" w:hAnsi="Traditional Arabic" w:cs="Traditional Arabic"/>
          <w:sz w:val="24"/>
          <w:szCs w:val="24"/>
          <w:lang w:val="en-US" w:bidi="ar-JO"/>
        </w:rPr>
        <w:t xml:space="preserve">, A. M. (2021). The impact of modern strategic human resources management models on promoting organizational agility. </w:t>
      </w:r>
      <w:r w:rsidRPr="00E430E8">
        <w:rPr>
          <w:rFonts w:ascii="Traditional Arabic" w:eastAsia="Calibri" w:hAnsi="Traditional Arabic" w:cs="Traditional Arabic"/>
          <w:i/>
          <w:iCs/>
          <w:sz w:val="24"/>
          <w:szCs w:val="24"/>
          <w:lang w:val="en-US" w:bidi="ar-JO"/>
        </w:rPr>
        <w:t>Academy of Strategic Management Journal, 20</w:t>
      </w:r>
      <w:r w:rsidRPr="00E430E8">
        <w:rPr>
          <w:rFonts w:ascii="Traditional Arabic" w:eastAsia="Calibri" w:hAnsi="Traditional Arabic" w:cs="Traditional Arabic"/>
          <w:sz w:val="24"/>
          <w:szCs w:val="24"/>
          <w:lang w:val="en-US" w:bidi="ar-JO"/>
        </w:rPr>
        <w:t>(2), 1–12.</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Badraig</w:t>
      </w:r>
      <w:proofErr w:type="spellEnd"/>
      <w:r w:rsidRPr="00E430E8">
        <w:rPr>
          <w:rFonts w:ascii="Traditional Arabic" w:eastAsia="Calibri" w:hAnsi="Traditional Arabic" w:cs="Traditional Arabic"/>
          <w:sz w:val="24"/>
          <w:szCs w:val="24"/>
          <w:lang w:val="en-US" w:bidi="ar-JO"/>
        </w:rPr>
        <w:t xml:space="preserve">, H. A. (2022). The role of human resource management practices in achieving job satisfaction within organizations in the Kingdom of Saudi </w:t>
      </w:r>
      <w:r w:rsidRPr="00E430E8">
        <w:rPr>
          <w:rFonts w:ascii="Traditional Arabic" w:eastAsia="Calibri" w:hAnsi="Traditional Arabic" w:cs="Traditional Arabic"/>
          <w:sz w:val="24"/>
          <w:szCs w:val="24"/>
          <w:lang w:val="en-US" w:bidi="ar-JO"/>
        </w:rPr>
        <w:lastRenderedPageBreak/>
        <w:t xml:space="preserve">Arabia: A field study. </w:t>
      </w:r>
      <w:r w:rsidRPr="00E430E8">
        <w:rPr>
          <w:rFonts w:ascii="Traditional Arabic" w:eastAsia="Calibri" w:hAnsi="Traditional Arabic" w:cs="Traditional Arabic"/>
          <w:i/>
          <w:iCs/>
          <w:sz w:val="24"/>
          <w:szCs w:val="24"/>
          <w:lang w:val="en-US" w:bidi="ar-JO"/>
        </w:rPr>
        <w:t>International Journal of Research and Studies Publishing, 3</w:t>
      </w:r>
      <w:r w:rsidRPr="00E430E8">
        <w:rPr>
          <w:rFonts w:ascii="Traditional Arabic" w:eastAsia="Calibri" w:hAnsi="Traditional Arabic" w:cs="Traditional Arabic"/>
          <w:sz w:val="24"/>
          <w:szCs w:val="24"/>
          <w:lang w:val="en-US" w:bidi="ar-JO"/>
        </w:rPr>
        <w:t xml:space="preserve">(34), 332–358. </w:t>
      </w:r>
      <w:hyperlink r:id="rId9" w:history="1">
        <w:r w:rsidRPr="00E430E8">
          <w:rPr>
            <w:rFonts w:ascii="Traditional Arabic" w:eastAsia="Calibri" w:hAnsi="Traditional Arabic" w:cs="Traditional Arabic"/>
            <w:color w:val="0000FF"/>
            <w:sz w:val="24"/>
            <w:szCs w:val="24"/>
            <w:u w:val="single"/>
            <w:lang w:val="en-US" w:bidi="ar-JO"/>
          </w:rPr>
          <w:t>https://doi.org/10.52133/ijrsp.v3.34.11</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Barahma</w:t>
      </w:r>
      <w:proofErr w:type="spellEnd"/>
      <w:r w:rsidRPr="00E430E8">
        <w:rPr>
          <w:rFonts w:ascii="Traditional Arabic" w:eastAsia="Calibri" w:hAnsi="Traditional Arabic" w:cs="Traditional Arabic"/>
          <w:sz w:val="24"/>
          <w:szCs w:val="24"/>
          <w:lang w:val="en-US" w:bidi="ar-JO"/>
        </w:rPr>
        <w:t xml:space="preserve">, M., Ali, K. B., </w:t>
      </w:r>
      <w:proofErr w:type="spellStart"/>
      <w:r w:rsidRPr="00E430E8">
        <w:rPr>
          <w:rFonts w:ascii="Traditional Arabic" w:eastAsia="Calibri" w:hAnsi="Traditional Arabic" w:cs="Traditional Arabic"/>
          <w:sz w:val="24"/>
          <w:szCs w:val="24"/>
          <w:lang w:val="en-US" w:bidi="ar-JO"/>
        </w:rPr>
        <w:t>Nashief</w:t>
      </w:r>
      <w:proofErr w:type="spellEnd"/>
      <w:r w:rsidRPr="00E430E8">
        <w:rPr>
          <w:rFonts w:ascii="Traditional Arabic" w:eastAsia="Calibri" w:hAnsi="Traditional Arabic" w:cs="Traditional Arabic"/>
          <w:sz w:val="24"/>
          <w:szCs w:val="24"/>
          <w:lang w:val="en-US" w:bidi="ar-JO"/>
        </w:rPr>
        <w:t>, M., &amp; Al-</w:t>
      </w:r>
      <w:proofErr w:type="spellStart"/>
      <w:r w:rsidRPr="00E430E8">
        <w:rPr>
          <w:rFonts w:ascii="Traditional Arabic" w:eastAsia="Calibri" w:hAnsi="Traditional Arabic" w:cs="Traditional Arabic"/>
          <w:sz w:val="24"/>
          <w:szCs w:val="24"/>
          <w:lang w:val="en-US" w:bidi="ar-JO"/>
        </w:rPr>
        <w:t>Awlaqi</w:t>
      </w:r>
      <w:proofErr w:type="spellEnd"/>
      <w:r w:rsidRPr="00E430E8">
        <w:rPr>
          <w:rFonts w:ascii="Traditional Arabic" w:eastAsia="Calibri" w:hAnsi="Traditional Arabic" w:cs="Traditional Arabic"/>
          <w:sz w:val="24"/>
          <w:szCs w:val="24"/>
          <w:lang w:val="en-US" w:bidi="ar-JO"/>
        </w:rPr>
        <w:t>, M. A. (2019).</w:t>
      </w:r>
      <w:proofErr w:type="gramEnd"/>
      <w:r w:rsidRPr="00E430E8">
        <w:rPr>
          <w:rFonts w:ascii="Traditional Arabic" w:eastAsia="Calibri" w:hAnsi="Traditional Arabic" w:cs="Traditional Arabic"/>
          <w:sz w:val="24"/>
          <w:szCs w:val="24"/>
          <w:lang w:val="en-US" w:bidi="ar-JO"/>
        </w:rPr>
        <w:t xml:space="preserve"> The impact of human resources management strategies on strategic agility: A field study in large and medium Yemeni manufacturing sector. </w:t>
      </w:r>
      <w:r w:rsidRPr="00E430E8">
        <w:rPr>
          <w:rFonts w:ascii="Traditional Arabic" w:eastAsia="Calibri" w:hAnsi="Traditional Arabic" w:cs="Traditional Arabic"/>
          <w:i/>
          <w:iCs/>
          <w:sz w:val="24"/>
          <w:szCs w:val="24"/>
          <w:lang w:val="en-US" w:bidi="ar-JO"/>
        </w:rPr>
        <w:t>Journal of Social Sciences (</w:t>
      </w:r>
      <w:proofErr w:type="spellStart"/>
      <w:r w:rsidRPr="00E430E8">
        <w:rPr>
          <w:rFonts w:ascii="Traditional Arabic" w:eastAsia="Calibri" w:hAnsi="Traditional Arabic" w:cs="Traditional Arabic"/>
          <w:i/>
          <w:iCs/>
          <w:sz w:val="24"/>
          <w:szCs w:val="24"/>
          <w:lang w:val="en-US" w:bidi="ar-JO"/>
        </w:rPr>
        <w:t>COES&amp;RJ-JSS</w:t>
      </w:r>
      <w:proofErr w:type="spellEnd"/>
      <w:r w:rsidRPr="00E430E8">
        <w:rPr>
          <w:rFonts w:ascii="Traditional Arabic" w:eastAsia="Calibri" w:hAnsi="Traditional Arabic" w:cs="Traditional Arabic"/>
          <w:i/>
          <w:iCs/>
          <w:sz w:val="24"/>
          <w:szCs w:val="24"/>
          <w:lang w:val="en-US" w:bidi="ar-JO"/>
        </w:rPr>
        <w:t>), 8</w:t>
      </w:r>
      <w:r w:rsidRPr="00E430E8">
        <w:rPr>
          <w:rFonts w:ascii="Traditional Arabic" w:eastAsia="Calibri" w:hAnsi="Traditional Arabic" w:cs="Traditional Arabic"/>
          <w:sz w:val="24"/>
          <w:szCs w:val="24"/>
          <w:lang w:val="en-US" w:bidi="ar-JO"/>
        </w:rPr>
        <w:t xml:space="preserve">(4), 611–629. </w:t>
      </w:r>
      <w:hyperlink r:id="rId10" w:history="1">
        <w:r w:rsidRPr="00E430E8">
          <w:rPr>
            <w:rFonts w:ascii="Traditional Arabic" w:eastAsia="Calibri" w:hAnsi="Traditional Arabic" w:cs="Traditional Arabic"/>
            <w:color w:val="0000FF"/>
            <w:sz w:val="24"/>
            <w:szCs w:val="24"/>
            <w:u w:val="single"/>
            <w:lang w:val="en-US" w:bidi="ar-JO"/>
          </w:rPr>
          <w:t>https://doi.org/10.25255/jss.2019.8.4.611.629</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Barjis</w:t>
      </w:r>
      <w:proofErr w:type="spellEnd"/>
      <w:r w:rsidRPr="00E430E8">
        <w:rPr>
          <w:rFonts w:ascii="Traditional Arabic" w:eastAsia="Calibri" w:hAnsi="Traditional Arabic" w:cs="Traditional Arabic"/>
          <w:sz w:val="24"/>
          <w:szCs w:val="24"/>
          <w:lang w:val="en-US" w:bidi="ar-JO"/>
        </w:rPr>
        <w:t xml:space="preserve">, J. (Ed.). </w:t>
      </w:r>
      <w:proofErr w:type="gramStart"/>
      <w:r w:rsidRPr="00E430E8">
        <w:rPr>
          <w:rFonts w:ascii="Traditional Arabic" w:eastAsia="Calibri" w:hAnsi="Traditional Arabic" w:cs="Traditional Arabic"/>
          <w:sz w:val="24"/>
          <w:szCs w:val="24"/>
          <w:lang w:val="en-US" w:bidi="ar-JO"/>
        </w:rPr>
        <w:t xml:space="preserve">(2023). </w:t>
      </w:r>
      <w:r w:rsidRPr="00E430E8">
        <w:rPr>
          <w:rFonts w:ascii="Traditional Arabic" w:eastAsia="Calibri" w:hAnsi="Traditional Arabic" w:cs="Traditional Arabic"/>
          <w:i/>
          <w:iCs/>
          <w:sz w:val="24"/>
          <w:szCs w:val="24"/>
          <w:lang w:val="en-US" w:bidi="ar-JO"/>
        </w:rPr>
        <w:t>Model-driven organizational and business agility</w:t>
      </w:r>
      <w:r w:rsidRPr="00E430E8">
        <w:rPr>
          <w:rFonts w:ascii="Traditional Arabic" w:eastAsia="Calibri" w:hAnsi="Traditional Arabic" w:cs="Traditional Arabic"/>
          <w:sz w:val="24"/>
          <w:szCs w:val="24"/>
          <w:lang w:val="en-US" w:bidi="ar-JO"/>
        </w:rPr>
        <w:t>.</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Springer.</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r w:rsidRPr="00E430E8">
        <w:rPr>
          <w:rFonts w:ascii="Traditional Arabic" w:eastAsia="Calibri" w:hAnsi="Traditional Arabic" w:cs="Traditional Arabic"/>
          <w:sz w:val="24"/>
          <w:szCs w:val="24"/>
          <w:lang w:val="en-US" w:bidi="ar-JO"/>
        </w:rPr>
        <w:t xml:space="preserve">Barney, J. (1991). Firm resources and sustained competitive advantage. </w:t>
      </w:r>
      <w:r w:rsidRPr="00E430E8">
        <w:rPr>
          <w:rFonts w:ascii="Traditional Arabic" w:eastAsia="Calibri" w:hAnsi="Traditional Arabic" w:cs="Traditional Arabic"/>
          <w:i/>
          <w:iCs/>
          <w:sz w:val="24"/>
          <w:szCs w:val="24"/>
          <w:lang w:val="en-US" w:bidi="ar-JO"/>
        </w:rPr>
        <w:t>Journal of Management, 17</w:t>
      </w:r>
      <w:r w:rsidRPr="00E430E8">
        <w:rPr>
          <w:rFonts w:ascii="Traditional Arabic" w:eastAsia="Calibri" w:hAnsi="Traditional Arabic" w:cs="Traditional Arabic"/>
          <w:sz w:val="24"/>
          <w:szCs w:val="24"/>
          <w:lang w:val="en-US" w:bidi="ar-JO"/>
        </w:rPr>
        <w:t>(1), 99–120.</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r w:rsidRPr="00E430E8">
        <w:rPr>
          <w:rFonts w:ascii="Traditional Arabic" w:eastAsia="Calibri" w:hAnsi="Traditional Arabic" w:cs="Traditional Arabic"/>
          <w:sz w:val="24"/>
          <w:szCs w:val="24"/>
          <w:lang w:val="en-US" w:bidi="ar-JO"/>
        </w:rPr>
        <w:t xml:space="preserve">Becker, G. S. (1964). </w:t>
      </w:r>
      <w:r w:rsidRPr="00E430E8">
        <w:rPr>
          <w:rFonts w:ascii="Traditional Arabic" w:eastAsia="Calibri" w:hAnsi="Traditional Arabic" w:cs="Traditional Arabic"/>
          <w:i/>
          <w:iCs/>
          <w:sz w:val="24"/>
          <w:szCs w:val="24"/>
          <w:lang w:val="en-US" w:bidi="ar-JO"/>
        </w:rPr>
        <w:t>Human capital: A theoretical and empirical analysis, with special reference to education</w:t>
      </w:r>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University of Chicago Press.</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Belcourt</w:t>
      </w:r>
      <w:proofErr w:type="spellEnd"/>
      <w:r w:rsidRPr="00E430E8">
        <w:rPr>
          <w:rFonts w:ascii="Traditional Arabic" w:eastAsia="Calibri" w:hAnsi="Traditional Arabic" w:cs="Traditional Arabic"/>
          <w:sz w:val="24"/>
          <w:szCs w:val="24"/>
          <w:lang w:val="en-US" w:bidi="ar-JO"/>
        </w:rPr>
        <w:t xml:space="preserve">, M., &amp; </w:t>
      </w:r>
      <w:proofErr w:type="spellStart"/>
      <w:r w:rsidRPr="00E430E8">
        <w:rPr>
          <w:rFonts w:ascii="Traditional Arabic" w:eastAsia="Calibri" w:hAnsi="Traditional Arabic" w:cs="Traditional Arabic"/>
          <w:sz w:val="24"/>
          <w:szCs w:val="24"/>
          <w:lang w:val="en-US" w:bidi="ar-JO"/>
        </w:rPr>
        <w:t>Podolsky</w:t>
      </w:r>
      <w:proofErr w:type="spellEnd"/>
      <w:r w:rsidRPr="00E430E8">
        <w:rPr>
          <w:rFonts w:ascii="Traditional Arabic" w:eastAsia="Calibri" w:hAnsi="Traditional Arabic" w:cs="Traditional Arabic"/>
          <w:sz w:val="24"/>
          <w:szCs w:val="24"/>
          <w:lang w:val="en-US" w:bidi="ar-JO"/>
        </w:rPr>
        <w:t>, M. (2023).</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Strategic human resources planning</w:t>
      </w:r>
      <w:r w:rsidRPr="00E430E8">
        <w:rPr>
          <w:rFonts w:ascii="Traditional Arabic" w:eastAsia="Calibri" w:hAnsi="Traditional Arabic" w:cs="Traditional Arabic"/>
          <w:sz w:val="24"/>
          <w:szCs w:val="24"/>
          <w:lang w:val="en-US" w:bidi="ar-JO"/>
        </w:rPr>
        <w:t xml:space="preserve"> (8th </w:t>
      </w:r>
      <w:proofErr w:type="gramStart"/>
      <w:r w:rsidRPr="00E430E8">
        <w:rPr>
          <w:rFonts w:ascii="Traditional Arabic" w:eastAsia="Calibri" w:hAnsi="Traditional Arabic" w:cs="Traditional Arabic"/>
          <w:sz w:val="24"/>
          <w:szCs w:val="24"/>
          <w:lang w:val="en-US" w:bidi="ar-JO"/>
        </w:rPr>
        <w:t>ed</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Top Hat.</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Boxall</w:t>
      </w:r>
      <w:proofErr w:type="spellEnd"/>
      <w:r w:rsidRPr="00E430E8">
        <w:rPr>
          <w:rFonts w:ascii="Traditional Arabic" w:eastAsia="Calibri" w:hAnsi="Traditional Arabic" w:cs="Traditional Arabic"/>
          <w:sz w:val="24"/>
          <w:szCs w:val="24"/>
          <w:lang w:val="en-US" w:bidi="ar-JO"/>
        </w:rPr>
        <w:t>, P., &amp; Purcell, J. (2016).</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Strategy and human resource management</w:t>
      </w:r>
      <w:r w:rsidRPr="00E430E8">
        <w:rPr>
          <w:rFonts w:ascii="Traditional Arabic" w:eastAsia="Calibri" w:hAnsi="Traditional Arabic" w:cs="Traditional Arabic"/>
          <w:sz w:val="24"/>
          <w:szCs w:val="24"/>
          <w:lang w:val="en-US" w:bidi="ar-JO"/>
        </w:rPr>
        <w:t xml:space="preserve"> (4th </w:t>
      </w:r>
      <w:proofErr w:type="gramStart"/>
      <w:r w:rsidRPr="00E430E8">
        <w:rPr>
          <w:rFonts w:ascii="Traditional Arabic" w:eastAsia="Calibri" w:hAnsi="Traditional Arabic" w:cs="Traditional Arabic"/>
          <w:sz w:val="24"/>
          <w:szCs w:val="24"/>
          <w:lang w:val="en-US" w:bidi="ar-JO"/>
        </w:rPr>
        <w:t>ed</w:t>
      </w:r>
      <w:proofErr w:type="gramEnd"/>
      <w:r w:rsidRPr="00E430E8">
        <w:rPr>
          <w:rFonts w:ascii="Traditional Arabic" w:eastAsia="Calibri" w:hAnsi="Traditional Arabic" w:cs="Traditional Arabic"/>
          <w:sz w:val="24"/>
          <w:szCs w:val="24"/>
          <w:lang w:val="en-US" w:bidi="ar-JO"/>
        </w:rPr>
        <w:t>.). Palgrave Macmillan.</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General Authority for Media Regulation.</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 xml:space="preserve">(2023). </w:t>
      </w:r>
      <w:r w:rsidRPr="00E430E8">
        <w:rPr>
          <w:rFonts w:ascii="Traditional Arabic" w:eastAsia="Calibri" w:hAnsi="Traditional Arabic" w:cs="Traditional Arabic"/>
          <w:i/>
          <w:iCs/>
          <w:sz w:val="24"/>
          <w:szCs w:val="24"/>
          <w:lang w:val="en-US" w:bidi="ar-JO"/>
        </w:rPr>
        <w:t>Organizational structure.</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Hamidianpour</w:t>
      </w:r>
      <w:proofErr w:type="spellEnd"/>
      <w:r w:rsidRPr="00E430E8">
        <w:rPr>
          <w:rFonts w:ascii="Traditional Arabic" w:eastAsia="Calibri" w:hAnsi="Traditional Arabic" w:cs="Traditional Arabic"/>
          <w:sz w:val="24"/>
          <w:szCs w:val="24"/>
          <w:lang w:val="en-US" w:bidi="ar-JO"/>
        </w:rPr>
        <w:t xml:space="preserve">, F., </w:t>
      </w:r>
      <w:proofErr w:type="spellStart"/>
      <w:r w:rsidRPr="00E430E8">
        <w:rPr>
          <w:rFonts w:ascii="Traditional Arabic" w:eastAsia="Calibri" w:hAnsi="Traditional Arabic" w:cs="Traditional Arabic"/>
          <w:sz w:val="24"/>
          <w:szCs w:val="24"/>
          <w:lang w:val="en-US" w:bidi="ar-JO"/>
        </w:rPr>
        <w:t>Esmaeilpour</w:t>
      </w:r>
      <w:proofErr w:type="spellEnd"/>
      <w:r w:rsidRPr="00E430E8">
        <w:rPr>
          <w:rFonts w:ascii="Traditional Arabic" w:eastAsia="Calibri" w:hAnsi="Traditional Arabic" w:cs="Traditional Arabic"/>
          <w:sz w:val="24"/>
          <w:szCs w:val="24"/>
          <w:lang w:val="en-US" w:bidi="ar-JO"/>
        </w:rPr>
        <w:t xml:space="preserve">, M., &amp; </w:t>
      </w:r>
      <w:proofErr w:type="spellStart"/>
      <w:r w:rsidRPr="00E430E8">
        <w:rPr>
          <w:rFonts w:ascii="Traditional Arabic" w:eastAsia="Calibri" w:hAnsi="Traditional Arabic" w:cs="Traditional Arabic"/>
          <w:sz w:val="24"/>
          <w:szCs w:val="24"/>
          <w:lang w:val="en-US" w:bidi="ar-JO"/>
        </w:rPr>
        <w:t>Firoozi</w:t>
      </w:r>
      <w:proofErr w:type="spellEnd"/>
      <w:r w:rsidRPr="00E430E8">
        <w:rPr>
          <w:rFonts w:ascii="Traditional Arabic" w:eastAsia="Calibri" w:hAnsi="Traditional Arabic" w:cs="Traditional Arabic"/>
          <w:sz w:val="24"/>
          <w:szCs w:val="24"/>
          <w:lang w:val="en-US" w:bidi="ar-JO"/>
        </w:rPr>
        <w:t>, H. (2016).</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 xml:space="preserve">Assessing the impact of electronic human resource management on creation of organizational agility: A study in the </w:t>
      </w:r>
      <w:proofErr w:type="spellStart"/>
      <w:r w:rsidRPr="00E430E8">
        <w:rPr>
          <w:rFonts w:ascii="Traditional Arabic" w:eastAsia="Calibri" w:hAnsi="Traditional Arabic" w:cs="Traditional Arabic"/>
          <w:sz w:val="24"/>
          <w:szCs w:val="24"/>
          <w:lang w:val="en-US" w:bidi="ar-JO"/>
        </w:rPr>
        <w:t>Bushehr</w:t>
      </w:r>
      <w:proofErr w:type="spellEnd"/>
      <w:r w:rsidRPr="00E430E8">
        <w:rPr>
          <w:rFonts w:ascii="Traditional Arabic" w:eastAsia="Calibri" w:hAnsi="Traditional Arabic" w:cs="Traditional Arabic"/>
          <w:sz w:val="24"/>
          <w:szCs w:val="24"/>
          <w:lang w:val="en-US" w:bidi="ar-JO"/>
        </w:rPr>
        <w:t xml:space="preserve"> banks, Iran.</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Asian Social Science, 12</w:t>
      </w:r>
      <w:r w:rsidRPr="00E430E8">
        <w:rPr>
          <w:rFonts w:ascii="Traditional Arabic" w:eastAsia="Calibri" w:hAnsi="Traditional Arabic" w:cs="Traditional Arabic"/>
          <w:sz w:val="24"/>
          <w:szCs w:val="24"/>
          <w:lang w:val="en-US" w:bidi="ar-JO"/>
        </w:rPr>
        <w:t xml:space="preserve">(7), 105–114. </w:t>
      </w:r>
      <w:hyperlink r:id="rId11" w:history="1">
        <w:r w:rsidRPr="00E430E8">
          <w:rPr>
            <w:rFonts w:ascii="Traditional Arabic" w:eastAsia="Calibri" w:hAnsi="Traditional Arabic" w:cs="Traditional Arabic"/>
            <w:color w:val="0000FF"/>
            <w:sz w:val="24"/>
            <w:szCs w:val="24"/>
            <w:u w:val="single"/>
            <w:lang w:val="en-US" w:bidi="ar-JO"/>
          </w:rPr>
          <w:t>https://doi.org/10.5539/ass.v12n7p105</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HRSD</w:t>
      </w:r>
      <w:proofErr w:type="spellEnd"/>
      <w:r w:rsidRPr="00E430E8">
        <w:rPr>
          <w:rFonts w:ascii="Traditional Arabic" w:eastAsia="Calibri" w:hAnsi="Traditional Arabic" w:cs="Traditional Arabic"/>
          <w:sz w:val="24"/>
          <w:szCs w:val="24"/>
          <w:lang w:val="en-US" w:bidi="ar-JO"/>
        </w:rPr>
        <w:t>.</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 xml:space="preserve">(2023). </w:t>
      </w:r>
      <w:r w:rsidRPr="00E430E8">
        <w:rPr>
          <w:rFonts w:ascii="Traditional Arabic" w:eastAsia="Calibri" w:hAnsi="Traditional Arabic" w:cs="Traditional Arabic"/>
          <w:i/>
          <w:iCs/>
          <w:sz w:val="24"/>
          <w:szCs w:val="24"/>
          <w:lang w:val="en-US" w:bidi="ar-JO"/>
        </w:rPr>
        <w:t>Annual report on strategic human resource planning in Saudi governmental agencies.</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r w:rsidRPr="00E430E8">
        <w:rPr>
          <w:rFonts w:ascii="Traditional Arabic" w:eastAsia="Calibri" w:hAnsi="Traditional Arabic" w:cs="Traditional Arabic"/>
          <w:sz w:val="24"/>
          <w:szCs w:val="24"/>
          <w:lang w:val="en-US" w:bidi="ar-JO"/>
        </w:rPr>
        <w:t xml:space="preserve">Malik, A. (Ed.). </w:t>
      </w:r>
      <w:proofErr w:type="gramStart"/>
      <w:r w:rsidRPr="00E430E8">
        <w:rPr>
          <w:rFonts w:ascii="Traditional Arabic" w:eastAsia="Calibri" w:hAnsi="Traditional Arabic" w:cs="Traditional Arabic"/>
          <w:sz w:val="24"/>
          <w:szCs w:val="24"/>
          <w:lang w:val="en-US" w:bidi="ar-JO"/>
        </w:rPr>
        <w:t xml:space="preserve">(2022). </w:t>
      </w:r>
      <w:r w:rsidRPr="00E430E8">
        <w:rPr>
          <w:rFonts w:ascii="Traditional Arabic" w:eastAsia="Calibri" w:hAnsi="Traditional Arabic" w:cs="Traditional Arabic"/>
          <w:i/>
          <w:iCs/>
          <w:sz w:val="24"/>
          <w:szCs w:val="24"/>
          <w:lang w:val="en-US" w:bidi="ar-JO"/>
        </w:rPr>
        <w:t>Strategic human resource management and employment relations</w:t>
      </w:r>
      <w:r w:rsidRPr="00E430E8">
        <w:rPr>
          <w:rFonts w:ascii="Traditional Arabic" w:eastAsia="Calibri" w:hAnsi="Traditional Arabic" w:cs="Traditional Arabic"/>
          <w:sz w:val="24"/>
          <w:szCs w:val="24"/>
          <w:lang w:val="en-US" w:bidi="ar-JO"/>
        </w:rPr>
        <w:t>.</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Springer.</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March, J. G. (1991).</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Exploration and exploitation in organizational learning.</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Organization Science, 2</w:t>
      </w:r>
      <w:r w:rsidRPr="00E430E8">
        <w:rPr>
          <w:rFonts w:ascii="Traditional Arabic" w:eastAsia="Calibri" w:hAnsi="Traditional Arabic" w:cs="Traditional Arabic"/>
          <w:sz w:val="24"/>
          <w:szCs w:val="24"/>
          <w:lang w:val="en-US" w:bidi="ar-JO"/>
        </w:rPr>
        <w:t>(1), 71–87.</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Marhoon</w:t>
      </w:r>
      <w:proofErr w:type="spellEnd"/>
      <w:r w:rsidRPr="00E430E8">
        <w:rPr>
          <w:rFonts w:ascii="Traditional Arabic" w:eastAsia="Calibri" w:hAnsi="Traditional Arabic" w:cs="Traditional Arabic"/>
          <w:sz w:val="24"/>
          <w:szCs w:val="24"/>
          <w:lang w:val="en-US" w:bidi="ar-JO"/>
        </w:rPr>
        <w:t>, R. H., &amp; Omar, K. M. (2024).</w:t>
      </w:r>
      <w:proofErr w:type="gramEnd"/>
      <w:r w:rsidRPr="00E430E8">
        <w:rPr>
          <w:rFonts w:ascii="Traditional Arabic" w:eastAsia="Calibri" w:hAnsi="Traditional Arabic" w:cs="Traditional Arabic"/>
          <w:sz w:val="24"/>
          <w:szCs w:val="24"/>
          <w:lang w:val="en-US" w:bidi="ar-JO"/>
        </w:rPr>
        <w:t xml:space="preserve"> The role of sustainable human resource management in enhancing organizational agility: Articles review. </w:t>
      </w:r>
      <w:proofErr w:type="gramStart"/>
      <w:r w:rsidRPr="00E430E8">
        <w:rPr>
          <w:rFonts w:ascii="Traditional Arabic" w:eastAsia="Calibri" w:hAnsi="Traditional Arabic" w:cs="Traditional Arabic"/>
          <w:sz w:val="24"/>
          <w:szCs w:val="24"/>
          <w:lang w:val="en-US" w:bidi="ar-JO"/>
        </w:rPr>
        <w:t xml:space="preserve">In </w:t>
      </w:r>
      <w:r w:rsidRPr="00E430E8">
        <w:rPr>
          <w:rFonts w:ascii="Traditional Arabic" w:eastAsia="Calibri" w:hAnsi="Traditional Arabic" w:cs="Traditional Arabic"/>
          <w:i/>
          <w:iCs/>
          <w:sz w:val="24"/>
          <w:szCs w:val="24"/>
          <w:lang w:val="en-US" w:bidi="ar-JO"/>
        </w:rPr>
        <w:t>Proceedings of the 2024 International Conference on Decision Aid Sciences and Applications (</w:t>
      </w:r>
      <w:proofErr w:type="spellStart"/>
      <w:r w:rsidRPr="00E430E8">
        <w:rPr>
          <w:rFonts w:ascii="Traditional Arabic" w:eastAsia="Calibri" w:hAnsi="Traditional Arabic" w:cs="Traditional Arabic"/>
          <w:i/>
          <w:iCs/>
          <w:sz w:val="24"/>
          <w:szCs w:val="24"/>
          <w:lang w:val="en-US" w:bidi="ar-JO"/>
        </w:rPr>
        <w:t>DASA</w:t>
      </w:r>
      <w:proofErr w:type="spellEnd"/>
      <w:r w:rsidRPr="00E430E8">
        <w:rPr>
          <w:rFonts w:ascii="Traditional Arabic" w:eastAsia="Calibri" w:hAnsi="Traditional Arabic" w:cs="Traditional Arabic"/>
          <w:i/>
          <w:iCs/>
          <w:sz w:val="24"/>
          <w:szCs w:val="24"/>
          <w:lang w:val="en-US" w:bidi="ar-JO"/>
        </w:rPr>
        <w:t>)</w:t>
      </w:r>
      <w:r w:rsidRPr="00E430E8">
        <w:rPr>
          <w:rFonts w:ascii="Traditional Arabic" w:eastAsia="Calibri" w:hAnsi="Traditional Arabic" w:cs="Traditional Arabic"/>
          <w:sz w:val="24"/>
          <w:szCs w:val="24"/>
          <w:lang w:val="en-US" w:bidi="ar-JO"/>
        </w:rPr>
        <w:t>.</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IEEE.</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Mekuri-Ndimele</w:t>
      </w:r>
      <w:proofErr w:type="spellEnd"/>
      <w:r w:rsidRPr="00E430E8">
        <w:rPr>
          <w:rFonts w:ascii="Traditional Arabic" w:eastAsia="Calibri" w:hAnsi="Traditional Arabic" w:cs="Traditional Arabic"/>
          <w:sz w:val="24"/>
          <w:szCs w:val="24"/>
          <w:lang w:val="en-US" w:bidi="ar-JO"/>
        </w:rPr>
        <w:t xml:space="preserve">, J. A. (2025). </w:t>
      </w:r>
      <w:proofErr w:type="gramStart"/>
      <w:r w:rsidRPr="00E430E8">
        <w:rPr>
          <w:rFonts w:ascii="Traditional Arabic" w:eastAsia="Calibri" w:hAnsi="Traditional Arabic" w:cs="Traditional Arabic"/>
          <w:sz w:val="24"/>
          <w:szCs w:val="24"/>
          <w:lang w:val="en-US" w:bidi="ar-JO"/>
        </w:rPr>
        <w:t>Human resource planning and organisational agility of manufacturing companies in Rivers State.</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 xml:space="preserve">International Journal of Social </w:t>
      </w:r>
      <w:r w:rsidRPr="00E430E8">
        <w:rPr>
          <w:rFonts w:ascii="Traditional Arabic" w:eastAsia="Calibri" w:hAnsi="Traditional Arabic" w:cs="Traditional Arabic"/>
          <w:i/>
          <w:iCs/>
          <w:sz w:val="24"/>
          <w:szCs w:val="24"/>
          <w:lang w:val="en-US" w:bidi="ar-JO"/>
        </w:rPr>
        <w:lastRenderedPageBreak/>
        <w:t>Sciences and Management Research, 11</w:t>
      </w:r>
      <w:r w:rsidRPr="00E430E8">
        <w:rPr>
          <w:rFonts w:ascii="Traditional Arabic" w:eastAsia="Calibri" w:hAnsi="Traditional Arabic" w:cs="Traditional Arabic"/>
          <w:sz w:val="24"/>
          <w:szCs w:val="24"/>
          <w:lang w:val="en-US" w:bidi="ar-JO"/>
        </w:rPr>
        <w:t xml:space="preserve">(2), 331–342. </w:t>
      </w:r>
      <w:hyperlink r:id="rId12" w:history="1">
        <w:r w:rsidRPr="00E430E8">
          <w:rPr>
            <w:rFonts w:ascii="Traditional Arabic" w:eastAsia="Calibri" w:hAnsi="Traditional Arabic" w:cs="Traditional Arabic"/>
            <w:color w:val="0000FF"/>
            <w:sz w:val="24"/>
            <w:szCs w:val="24"/>
            <w:u w:val="single"/>
            <w:lang w:val="en-US" w:bidi="ar-JO"/>
          </w:rPr>
          <w:t>https://doi.org/10.56201/ijssmr.vol.11no2.2025.pg.331.342</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Ministry of Communications and Information Technology.</w:t>
      </w:r>
      <w:proofErr w:type="gramEnd"/>
      <w:r w:rsidRPr="00E430E8">
        <w:rPr>
          <w:rFonts w:ascii="Traditional Arabic" w:eastAsia="Calibri" w:hAnsi="Traditional Arabic" w:cs="Traditional Arabic"/>
          <w:sz w:val="24"/>
          <w:szCs w:val="24"/>
          <w:lang w:val="en-US" w:bidi="ar-JO"/>
        </w:rPr>
        <w:t xml:space="preserve"> (2024, January 15). </w:t>
      </w:r>
      <w:r w:rsidRPr="00E430E8">
        <w:rPr>
          <w:rFonts w:ascii="Traditional Arabic" w:eastAsia="Calibri" w:hAnsi="Traditional Arabic" w:cs="Traditional Arabic"/>
          <w:i/>
          <w:iCs/>
          <w:sz w:val="24"/>
          <w:szCs w:val="24"/>
          <w:lang w:val="en-US" w:bidi="ar-JO"/>
        </w:rPr>
        <w:t>Saudi Arabia jumps 25 places to 4th position globally, 1st regionally in digital services index.</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 xml:space="preserve">O'Reilly, C. A., III, &amp; </w:t>
      </w:r>
      <w:proofErr w:type="spellStart"/>
      <w:r w:rsidRPr="00E430E8">
        <w:rPr>
          <w:rFonts w:ascii="Traditional Arabic" w:eastAsia="Calibri" w:hAnsi="Traditional Arabic" w:cs="Traditional Arabic"/>
          <w:sz w:val="24"/>
          <w:szCs w:val="24"/>
          <w:lang w:val="en-US" w:bidi="ar-JO"/>
        </w:rPr>
        <w:t>Tushman</w:t>
      </w:r>
      <w:proofErr w:type="spellEnd"/>
      <w:r w:rsidRPr="00E430E8">
        <w:rPr>
          <w:rFonts w:ascii="Traditional Arabic" w:eastAsia="Calibri" w:hAnsi="Traditional Arabic" w:cs="Traditional Arabic"/>
          <w:sz w:val="24"/>
          <w:szCs w:val="24"/>
          <w:lang w:val="en-US" w:bidi="ar-JO"/>
        </w:rPr>
        <w:t>, M. L. (2013).</w:t>
      </w:r>
      <w:proofErr w:type="gramEnd"/>
      <w:r w:rsidRPr="00E430E8">
        <w:rPr>
          <w:rFonts w:ascii="Traditional Arabic" w:eastAsia="Calibri" w:hAnsi="Traditional Arabic" w:cs="Traditional Arabic"/>
          <w:sz w:val="24"/>
          <w:szCs w:val="24"/>
          <w:lang w:val="en-US" w:bidi="ar-JO"/>
        </w:rPr>
        <w:t xml:space="preserve"> Organizational ambidexterity: Past, present, and future. </w:t>
      </w:r>
      <w:r w:rsidRPr="00E430E8">
        <w:rPr>
          <w:rFonts w:ascii="Traditional Arabic" w:eastAsia="Calibri" w:hAnsi="Traditional Arabic" w:cs="Traditional Arabic"/>
          <w:i/>
          <w:iCs/>
          <w:sz w:val="24"/>
          <w:szCs w:val="24"/>
          <w:lang w:val="en-US" w:bidi="ar-JO"/>
        </w:rPr>
        <w:t>Academy of Management Perspectives, 27</w:t>
      </w:r>
      <w:r w:rsidRPr="00E430E8">
        <w:rPr>
          <w:rFonts w:ascii="Traditional Arabic" w:eastAsia="Calibri" w:hAnsi="Traditional Arabic" w:cs="Traditional Arabic"/>
          <w:sz w:val="24"/>
          <w:szCs w:val="24"/>
          <w:lang w:val="en-US" w:bidi="ar-JO"/>
        </w:rPr>
        <w:t>(4), 324–338.</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Saad</w:t>
      </w:r>
      <w:proofErr w:type="spellEnd"/>
      <w:r w:rsidRPr="00E430E8">
        <w:rPr>
          <w:rFonts w:ascii="Traditional Arabic" w:eastAsia="Calibri" w:hAnsi="Traditional Arabic" w:cs="Traditional Arabic"/>
          <w:sz w:val="24"/>
          <w:szCs w:val="24"/>
          <w:lang w:val="en-US" w:bidi="ar-JO"/>
        </w:rPr>
        <w:t>, M. A., &amp; Al-</w:t>
      </w:r>
      <w:proofErr w:type="spellStart"/>
      <w:r w:rsidRPr="00E430E8">
        <w:rPr>
          <w:rFonts w:ascii="Traditional Arabic" w:eastAsia="Calibri" w:hAnsi="Traditional Arabic" w:cs="Traditional Arabic"/>
          <w:sz w:val="24"/>
          <w:szCs w:val="24"/>
          <w:lang w:val="en-US" w:bidi="ar-JO"/>
        </w:rPr>
        <w:t>Naggar</w:t>
      </w:r>
      <w:proofErr w:type="spellEnd"/>
      <w:r w:rsidRPr="00E430E8">
        <w:rPr>
          <w:rFonts w:ascii="Traditional Arabic" w:eastAsia="Calibri" w:hAnsi="Traditional Arabic" w:cs="Traditional Arabic"/>
          <w:sz w:val="24"/>
          <w:szCs w:val="24"/>
          <w:lang w:val="en-US" w:bidi="ar-JO"/>
        </w:rPr>
        <w:t>, S. A. (2023).</w:t>
      </w:r>
      <w:proofErr w:type="gramEnd"/>
      <w:r w:rsidRPr="00E430E8">
        <w:rPr>
          <w:rFonts w:ascii="Traditional Arabic" w:eastAsia="Calibri" w:hAnsi="Traditional Arabic" w:cs="Traditional Arabic"/>
          <w:sz w:val="24"/>
          <w:szCs w:val="24"/>
          <w:lang w:val="en-US" w:bidi="ar-JO"/>
        </w:rPr>
        <w:t xml:space="preserve"> The impact of human resources maintenance on enhancing organizational agility: An applied study on Secretariat of Northern Borders Region. </w:t>
      </w:r>
      <w:r w:rsidRPr="00E430E8">
        <w:rPr>
          <w:rFonts w:ascii="Traditional Arabic" w:eastAsia="Calibri" w:hAnsi="Traditional Arabic" w:cs="Traditional Arabic"/>
          <w:i/>
          <w:iCs/>
          <w:sz w:val="24"/>
          <w:szCs w:val="24"/>
          <w:lang w:val="en-US" w:bidi="ar-JO"/>
        </w:rPr>
        <w:t>Marketing and Management of Innovations, 1</w:t>
      </w:r>
      <w:r w:rsidRPr="00E430E8">
        <w:rPr>
          <w:rFonts w:ascii="Traditional Arabic" w:eastAsia="Calibri" w:hAnsi="Traditional Arabic" w:cs="Traditional Arabic"/>
          <w:sz w:val="24"/>
          <w:szCs w:val="24"/>
          <w:lang w:val="en-US" w:bidi="ar-JO"/>
        </w:rPr>
        <w:t xml:space="preserve">, 75–86. </w:t>
      </w:r>
      <w:hyperlink r:id="rId13" w:history="1">
        <w:r w:rsidRPr="00E430E8">
          <w:rPr>
            <w:rFonts w:ascii="Traditional Arabic" w:eastAsia="Calibri" w:hAnsi="Traditional Arabic" w:cs="Traditional Arabic"/>
            <w:color w:val="0000FF"/>
            <w:sz w:val="24"/>
            <w:szCs w:val="24"/>
            <w:u w:val="single"/>
            <w:lang w:val="en-US" w:bidi="ar-JO"/>
          </w:rPr>
          <w:t>https://doi.org/10.21272/mmi.2023.1-07</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r w:rsidRPr="00E430E8">
        <w:rPr>
          <w:rFonts w:ascii="Traditional Arabic" w:eastAsia="Calibri" w:hAnsi="Traditional Arabic" w:cs="Traditional Arabic"/>
          <w:sz w:val="24"/>
          <w:szCs w:val="24"/>
          <w:lang w:val="en-US" w:bidi="ar-JO"/>
        </w:rPr>
        <w:t xml:space="preserve">Smith, R. R. (2022). </w:t>
      </w:r>
      <w:r w:rsidRPr="00E430E8">
        <w:rPr>
          <w:rFonts w:ascii="Traditional Arabic" w:eastAsia="Calibri" w:hAnsi="Traditional Arabic" w:cs="Traditional Arabic"/>
          <w:i/>
          <w:iCs/>
          <w:sz w:val="24"/>
          <w:szCs w:val="24"/>
          <w:lang w:val="en-US" w:bidi="ar-JO"/>
        </w:rPr>
        <w:t>Strategic human capital development in Asia: Building ecosystems for business growth</w:t>
      </w:r>
      <w:r w:rsidRPr="00E430E8">
        <w:rPr>
          <w:rFonts w:ascii="Traditional Arabic" w:eastAsia="Calibri" w:hAnsi="Traditional Arabic" w:cs="Traditional Arabic"/>
          <w:sz w:val="24"/>
          <w:szCs w:val="24"/>
          <w:lang w:val="en-US" w:bidi="ar-JO"/>
        </w:rPr>
        <w:t xml:space="preserve">. </w:t>
      </w:r>
      <w:proofErr w:type="spellStart"/>
      <w:proofErr w:type="gramStart"/>
      <w:r w:rsidRPr="00E430E8">
        <w:rPr>
          <w:rFonts w:ascii="Traditional Arabic" w:eastAsia="Calibri" w:hAnsi="Traditional Arabic" w:cs="Traditional Arabic"/>
          <w:sz w:val="24"/>
          <w:szCs w:val="24"/>
          <w:lang w:val="en-US" w:bidi="ar-JO"/>
        </w:rPr>
        <w:t>Routledge</w:t>
      </w:r>
      <w:proofErr w:type="spellEnd"/>
      <w:r w:rsidRPr="00E430E8">
        <w:rPr>
          <w:rFonts w:ascii="Traditional Arabic" w:eastAsia="Calibri" w:hAnsi="Traditional Arabic" w:cs="Traditional Arabic"/>
          <w:sz w:val="24"/>
          <w:szCs w:val="24"/>
          <w:lang w:val="en-US" w:bidi="ar-JO"/>
        </w:rPr>
        <w:t>.</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r w:rsidRPr="00E430E8">
        <w:rPr>
          <w:rFonts w:ascii="Traditional Arabic" w:eastAsia="Calibri" w:hAnsi="Traditional Arabic" w:cs="Traditional Arabic"/>
          <w:sz w:val="24"/>
          <w:szCs w:val="24"/>
          <w:lang w:val="en-US" w:bidi="ar-JO"/>
        </w:rPr>
        <w:t>Teece</w:t>
      </w:r>
      <w:proofErr w:type="spellEnd"/>
      <w:r w:rsidRPr="00E430E8">
        <w:rPr>
          <w:rFonts w:ascii="Traditional Arabic" w:eastAsia="Calibri" w:hAnsi="Traditional Arabic" w:cs="Traditional Arabic"/>
          <w:sz w:val="24"/>
          <w:szCs w:val="24"/>
          <w:lang w:val="en-US" w:bidi="ar-JO"/>
        </w:rPr>
        <w:t xml:space="preserve">, D. J., Pisano, G., &amp; </w:t>
      </w:r>
      <w:proofErr w:type="spellStart"/>
      <w:r w:rsidRPr="00E430E8">
        <w:rPr>
          <w:rFonts w:ascii="Traditional Arabic" w:eastAsia="Calibri" w:hAnsi="Traditional Arabic" w:cs="Traditional Arabic"/>
          <w:sz w:val="24"/>
          <w:szCs w:val="24"/>
          <w:lang w:val="en-US" w:bidi="ar-JO"/>
        </w:rPr>
        <w:t>Shuen</w:t>
      </w:r>
      <w:proofErr w:type="spellEnd"/>
      <w:r w:rsidRPr="00E430E8">
        <w:rPr>
          <w:rFonts w:ascii="Traditional Arabic" w:eastAsia="Calibri" w:hAnsi="Traditional Arabic" w:cs="Traditional Arabic"/>
          <w:sz w:val="24"/>
          <w:szCs w:val="24"/>
          <w:lang w:val="en-US" w:bidi="ar-JO"/>
        </w:rPr>
        <w:t xml:space="preserve">, A. (1997). </w:t>
      </w:r>
      <w:proofErr w:type="gramStart"/>
      <w:r w:rsidRPr="00E430E8">
        <w:rPr>
          <w:rFonts w:ascii="Traditional Arabic" w:eastAsia="Calibri" w:hAnsi="Traditional Arabic" w:cs="Traditional Arabic"/>
          <w:sz w:val="24"/>
          <w:szCs w:val="24"/>
          <w:lang w:val="en-US" w:bidi="ar-JO"/>
        </w:rPr>
        <w:t>Dynamic capabilities and strategic management.</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Strategic Management Journal, 18</w:t>
      </w:r>
      <w:r w:rsidRPr="00E430E8">
        <w:rPr>
          <w:rFonts w:ascii="Traditional Arabic" w:eastAsia="Calibri" w:hAnsi="Traditional Arabic" w:cs="Traditional Arabic"/>
          <w:sz w:val="24"/>
          <w:szCs w:val="24"/>
          <w:lang w:val="en-US" w:bidi="ar-JO"/>
        </w:rPr>
        <w:t>(7), 509–533.</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Tidd</w:t>
      </w:r>
      <w:proofErr w:type="spellEnd"/>
      <w:r w:rsidRPr="00E430E8">
        <w:rPr>
          <w:rFonts w:ascii="Traditional Arabic" w:eastAsia="Calibri" w:hAnsi="Traditional Arabic" w:cs="Traditional Arabic"/>
          <w:sz w:val="24"/>
          <w:szCs w:val="24"/>
          <w:lang w:val="en-US" w:bidi="ar-JO"/>
        </w:rPr>
        <w:t xml:space="preserve">, J., &amp; </w:t>
      </w:r>
      <w:proofErr w:type="spellStart"/>
      <w:r w:rsidRPr="00E430E8">
        <w:rPr>
          <w:rFonts w:ascii="Traditional Arabic" w:eastAsia="Calibri" w:hAnsi="Traditional Arabic" w:cs="Traditional Arabic"/>
          <w:sz w:val="24"/>
          <w:szCs w:val="24"/>
          <w:lang w:val="en-US" w:bidi="ar-JO"/>
        </w:rPr>
        <w:t>Bessant</w:t>
      </w:r>
      <w:proofErr w:type="spellEnd"/>
      <w:r w:rsidRPr="00E430E8">
        <w:rPr>
          <w:rFonts w:ascii="Traditional Arabic" w:eastAsia="Calibri" w:hAnsi="Traditional Arabic" w:cs="Traditional Arabic"/>
          <w:sz w:val="24"/>
          <w:szCs w:val="24"/>
          <w:lang w:val="en-US" w:bidi="ar-JO"/>
        </w:rPr>
        <w:t>, J. (2021).</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Managing innovation: Integrating technological, market and organizational change</w:t>
      </w:r>
      <w:r w:rsidRPr="00E430E8">
        <w:rPr>
          <w:rFonts w:ascii="Traditional Arabic" w:eastAsia="Calibri" w:hAnsi="Traditional Arabic" w:cs="Traditional Arabic"/>
          <w:sz w:val="24"/>
          <w:szCs w:val="24"/>
          <w:lang w:val="en-US" w:bidi="ar-JO"/>
        </w:rPr>
        <w:t xml:space="preserve"> (7th </w:t>
      </w:r>
      <w:proofErr w:type="gramStart"/>
      <w:r w:rsidRPr="00E430E8">
        <w:rPr>
          <w:rFonts w:ascii="Traditional Arabic" w:eastAsia="Calibri" w:hAnsi="Traditional Arabic" w:cs="Traditional Arabic"/>
          <w:sz w:val="24"/>
          <w:szCs w:val="24"/>
          <w:lang w:val="en-US" w:bidi="ar-JO"/>
        </w:rPr>
        <w:t>ed</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Wiley.</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spellStart"/>
      <w:proofErr w:type="gramStart"/>
      <w:r w:rsidRPr="00E430E8">
        <w:rPr>
          <w:rFonts w:ascii="Traditional Arabic" w:eastAsia="Calibri" w:hAnsi="Traditional Arabic" w:cs="Traditional Arabic"/>
          <w:sz w:val="24"/>
          <w:szCs w:val="24"/>
          <w:lang w:val="en-US" w:bidi="ar-JO"/>
        </w:rPr>
        <w:t>Tiwow</w:t>
      </w:r>
      <w:proofErr w:type="spellEnd"/>
      <w:r w:rsidRPr="00E430E8">
        <w:rPr>
          <w:rFonts w:ascii="Traditional Arabic" w:eastAsia="Calibri" w:hAnsi="Traditional Arabic" w:cs="Traditional Arabic"/>
          <w:sz w:val="24"/>
          <w:szCs w:val="24"/>
          <w:lang w:val="en-US" w:bidi="ar-JO"/>
        </w:rPr>
        <w:t xml:space="preserve">, G. M., </w:t>
      </w:r>
      <w:proofErr w:type="spellStart"/>
      <w:r w:rsidRPr="00E430E8">
        <w:rPr>
          <w:rFonts w:ascii="Traditional Arabic" w:eastAsia="Calibri" w:hAnsi="Traditional Arabic" w:cs="Traditional Arabic"/>
          <w:sz w:val="24"/>
          <w:szCs w:val="24"/>
          <w:lang w:val="en-US" w:bidi="ar-JO"/>
        </w:rPr>
        <w:t>Batmetan</w:t>
      </w:r>
      <w:proofErr w:type="spellEnd"/>
      <w:r w:rsidRPr="00E430E8">
        <w:rPr>
          <w:rFonts w:ascii="Traditional Arabic" w:eastAsia="Calibri" w:hAnsi="Traditional Arabic" w:cs="Traditional Arabic"/>
          <w:sz w:val="24"/>
          <w:szCs w:val="24"/>
          <w:lang w:val="en-US" w:bidi="ar-JO"/>
        </w:rPr>
        <w:t xml:space="preserve">, J. R., </w:t>
      </w:r>
      <w:proofErr w:type="spellStart"/>
      <w:r w:rsidRPr="00E430E8">
        <w:rPr>
          <w:rFonts w:ascii="Traditional Arabic" w:eastAsia="Calibri" w:hAnsi="Traditional Arabic" w:cs="Traditional Arabic"/>
          <w:sz w:val="24"/>
          <w:szCs w:val="24"/>
          <w:lang w:val="en-US" w:bidi="ar-JO"/>
        </w:rPr>
        <w:t>Sumual</w:t>
      </w:r>
      <w:proofErr w:type="spellEnd"/>
      <w:r w:rsidRPr="00E430E8">
        <w:rPr>
          <w:rFonts w:ascii="Traditional Arabic" w:eastAsia="Calibri" w:hAnsi="Traditional Arabic" w:cs="Traditional Arabic"/>
          <w:sz w:val="24"/>
          <w:szCs w:val="24"/>
          <w:lang w:val="en-US" w:bidi="ar-JO"/>
        </w:rPr>
        <w:t xml:space="preserve">, T. E. M., &amp; </w:t>
      </w:r>
      <w:proofErr w:type="spellStart"/>
      <w:r w:rsidRPr="00E430E8">
        <w:rPr>
          <w:rFonts w:ascii="Traditional Arabic" w:eastAsia="Calibri" w:hAnsi="Traditional Arabic" w:cs="Traditional Arabic"/>
          <w:sz w:val="24"/>
          <w:szCs w:val="24"/>
          <w:lang w:val="en-US" w:bidi="ar-JO"/>
        </w:rPr>
        <w:t>Sumual</w:t>
      </w:r>
      <w:proofErr w:type="spellEnd"/>
      <w:r w:rsidRPr="00E430E8">
        <w:rPr>
          <w:rFonts w:ascii="Traditional Arabic" w:eastAsia="Calibri" w:hAnsi="Traditional Arabic" w:cs="Traditional Arabic"/>
          <w:sz w:val="24"/>
          <w:szCs w:val="24"/>
          <w:lang w:val="en-US" w:bidi="ar-JO"/>
        </w:rPr>
        <w:t>, S. D. M. (2023).</w:t>
      </w:r>
      <w:proofErr w:type="gramEnd"/>
      <w:r w:rsidRPr="00E430E8">
        <w:rPr>
          <w:rFonts w:ascii="Traditional Arabic" w:eastAsia="Calibri" w:hAnsi="Traditional Arabic" w:cs="Traditional Arabic"/>
          <w:sz w:val="24"/>
          <w:szCs w:val="24"/>
          <w:lang w:val="en-US" w:bidi="ar-JO"/>
        </w:rPr>
        <w:t xml:space="preserve"> Human resources management in trouble time: Strategy to increase organization agility for digital transformation in university. </w:t>
      </w:r>
      <w:proofErr w:type="gramStart"/>
      <w:r w:rsidRPr="00E430E8">
        <w:rPr>
          <w:rFonts w:ascii="Traditional Arabic" w:eastAsia="Calibri" w:hAnsi="Traditional Arabic" w:cs="Traditional Arabic"/>
          <w:i/>
          <w:iCs/>
          <w:sz w:val="24"/>
          <w:szCs w:val="24"/>
          <w:lang w:val="en-US" w:bidi="ar-JO"/>
        </w:rPr>
        <w:t>International Journal of Innovation, Technology and Education, 2</w:t>
      </w:r>
      <w:r w:rsidRPr="00E430E8">
        <w:rPr>
          <w:rFonts w:ascii="Traditional Arabic" w:eastAsia="Calibri" w:hAnsi="Traditional Arabic" w:cs="Traditional Arabic"/>
          <w:sz w:val="24"/>
          <w:szCs w:val="24"/>
          <w:lang w:val="en-US" w:bidi="ar-JO"/>
        </w:rPr>
        <w:t>(4).</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United Nations.</w:t>
      </w:r>
      <w:proofErr w:type="gramEnd"/>
      <w:r w:rsidRPr="00E430E8">
        <w:rPr>
          <w:rFonts w:ascii="Traditional Arabic" w:eastAsia="Calibri" w:hAnsi="Traditional Arabic" w:cs="Traditional Arabic"/>
          <w:sz w:val="24"/>
          <w:szCs w:val="24"/>
          <w:lang w:val="en-US" w:bidi="ar-JO"/>
        </w:rPr>
        <w:t xml:space="preserve"> (2023). </w:t>
      </w:r>
      <w:r w:rsidRPr="00E430E8">
        <w:rPr>
          <w:rFonts w:ascii="Traditional Arabic" w:eastAsia="Calibri" w:hAnsi="Traditional Arabic" w:cs="Traditional Arabic"/>
          <w:i/>
          <w:iCs/>
          <w:sz w:val="24"/>
          <w:szCs w:val="24"/>
          <w:lang w:val="en-US" w:bidi="ar-JO"/>
        </w:rPr>
        <w:t>United Nations E-Government Survey 2023: Leveraging digital technologies for effective governance</w:t>
      </w:r>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United Nations Department of Economic and Social Affairs.</w:t>
      </w:r>
      <w:proofErr w:type="gramEnd"/>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 xml:space="preserve">Wang, J., &amp; </w:t>
      </w:r>
      <w:proofErr w:type="spellStart"/>
      <w:r w:rsidRPr="00E430E8">
        <w:rPr>
          <w:rFonts w:ascii="Traditional Arabic" w:eastAsia="Calibri" w:hAnsi="Traditional Arabic" w:cs="Traditional Arabic"/>
          <w:sz w:val="24"/>
          <w:szCs w:val="24"/>
          <w:lang w:val="en-US" w:bidi="ar-JO"/>
        </w:rPr>
        <w:t>Regua</w:t>
      </w:r>
      <w:proofErr w:type="spellEnd"/>
      <w:r w:rsidRPr="00E430E8">
        <w:rPr>
          <w:rFonts w:ascii="Traditional Arabic" w:eastAsia="Calibri" w:hAnsi="Traditional Arabic" w:cs="Traditional Arabic"/>
          <w:sz w:val="24"/>
          <w:szCs w:val="24"/>
          <w:lang w:val="en-US" w:bidi="ar-JO"/>
        </w:rPr>
        <w:t>, D. (2024).</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The role of strategic human resource management in achieving organizational agility.</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International Journal of Science and Engineering Applications, 13</w:t>
      </w:r>
      <w:r w:rsidRPr="00E430E8">
        <w:rPr>
          <w:rFonts w:ascii="Traditional Arabic" w:eastAsia="Calibri" w:hAnsi="Traditional Arabic" w:cs="Traditional Arabic"/>
          <w:sz w:val="24"/>
          <w:szCs w:val="24"/>
          <w:lang w:val="en-US" w:bidi="ar-JO"/>
        </w:rPr>
        <w:t xml:space="preserve">(8), 92–96. </w:t>
      </w:r>
      <w:hyperlink r:id="rId14" w:history="1">
        <w:r w:rsidRPr="00E430E8">
          <w:rPr>
            <w:rFonts w:ascii="Traditional Arabic" w:eastAsia="Calibri" w:hAnsi="Traditional Arabic" w:cs="Traditional Arabic"/>
            <w:color w:val="0000FF"/>
            <w:sz w:val="24"/>
            <w:szCs w:val="24"/>
            <w:u w:val="single"/>
            <w:lang w:val="en-US" w:bidi="ar-JO"/>
          </w:rPr>
          <w:t>https://doi.org/10.7753/IJSEA1308.1020</w:t>
        </w:r>
      </w:hyperlink>
    </w:p>
    <w:p w:rsidR="00E430E8" w:rsidRPr="00E430E8" w:rsidRDefault="00E430E8" w:rsidP="00E430E8">
      <w:pPr>
        <w:spacing w:after="160" w:line="240" w:lineRule="auto"/>
        <w:ind w:left="1077" w:hanging="720"/>
        <w:rPr>
          <w:rFonts w:ascii="Traditional Arabic" w:eastAsia="Calibri" w:hAnsi="Traditional Arabic" w:cs="Traditional Arabic"/>
          <w:sz w:val="24"/>
          <w:szCs w:val="24"/>
          <w:lang w:val="en-US" w:bidi="ar-JO"/>
        </w:rPr>
      </w:pPr>
      <w:proofErr w:type="gramStart"/>
      <w:r w:rsidRPr="00E430E8">
        <w:rPr>
          <w:rFonts w:ascii="Traditional Arabic" w:eastAsia="Calibri" w:hAnsi="Traditional Arabic" w:cs="Traditional Arabic"/>
          <w:sz w:val="24"/>
          <w:szCs w:val="24"/>
          <w:lang w:val="en-US" w:bidi="ar-JO"/>
        </w:rPr>
        <w:t>Wright, P. M., &amp; McMahan, G. C. (1992).</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Theoretical perspectives for strategic human resource management.</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Journal of Management, 18</w:t>
      </w:r>
      <w:r w:rsidRPr="00E430E8">
        <w:rPr>
          <w:rFonts w:ascii="Traditional Arabic" w:eastAsia="Calibri" w:hAnsi="Traditional Arabic" w:cs="Traditional Arabic"/>
          <w:sz w:val="24"/>
          <w:szCs w:val="24"/>
          <w:lang w:val="en-US" w:bidi="ar-JO"/>
        </w:rPr>
        <w:t>(2), 295–320.</w:t>
      </w:r>
    </w:p>
    <w:p w:rsidR="00E430E8" w:rsidRPr="00E430E8" w:rsidRDefault="00E430E8" w:rsidP="00E430E8">
      <w:pPr>
        <w:spacing w:after="160" w:line="240" w:lineRule="auto"/>
        <w:ind w:left="1077" w:hanging="720"/>
        <w:rPr>
          <w:rFonts w:ascii="Traditional Arabic" w:eastAsia="Calibri" w:hAnsi="Traditional Arabic" w:cs="Traditional Arabic"/>
          <w:sz w:val="24"/>
          <w:szCs w:val="24"/>
          <w:rtl/>
          <w:lang w:val="en-US" w:bidi="ar-JO"/>
        </w:rPr>
      </w:pPr>
      <w:proofErr w:type="spellStart"/>
      <w:proofErr w:type="gramStart"/>
      <w:r w:rsidRPr="00E430E8">
        <w:rPr>
          <w:rFonts w:ascii="Traditional Arabic" w:eastAsia="Calibri" w:hAnsi="Traditional Arabic" w:cs="Traditional Arabic"/>
          <w:sz w:val="24"/>
          <w:szCs w:val="24"/>
          <w:lang w:val="en-US" w:bidi="ar-JO"/>
        </w:rPr>
        <w:t>Yamin</w:t>
      </w:r>
      <w:proofErr w:type="spellEnd"/>
      <w:r w:rsidRPr="00E430E8">
        <w:rPr>
          <w:rFonts w:ascii="Traditional Arabic" w:eastAsia="Calibri" w:hAnsi="Traditional Arabic" w:cs="Traditional Arabic"/>
          <w:sz w:val="24"/>
          <w:szCs w:val="24"/>
          <w:lang w:val="en-US" w:bidi="ar-JO"/>
        </w:rPr>
        <w:t xml:space="preserve">, M. A., </w:t>
      </w:r>
      <w:proofErr w:type="spellStart"/>
      <w:r w:rsidRPr="00E430E8">
        <w:rPr>
          <w:rFonts w:ascii="Traditional Arabic" w:eastAsia="Calibri" w:hAnsi="Traditional Arabic" w:cs="Traditional Arabic"/>
          <w:sz w:val="24"/>
          <w:szCs w:val="24"/>
          <w:lang w:val="en-US" w:bidi="ar-JO"/>
        </w:rPr>
        <w:t>Almuteri</w:t>
      </w:r>
      <w:proofErr w:type="spellEnd"/>
      <w:r w:rsidRPr="00E430E8">
        <w:rPr>
          <w:rFonts w:ascii="Traditional Arabic" w:eastAsia="Calibri" w:hAnsi="Traditional Arabic" w:cs="Traditional Arabic"/>
          <w:sz w:val="24"/>
          <w:szCs w:val="24"/>
          <w:lang w:val="en-US" w:bidi="ar-JO"/>
        </w:rPr>
        <w:t xml:space="preserve">, S. D., </w:t>
      </w:r>
      <w:proofErr w:type="spellStart"/>
      <w:r w:rsidRPr="00E430E8">
        <w:rPr>
          <w:rFonts w:ascii="Traditional Arabic" w:eastAsia="Calibri" w:hAnsi="Traditional Arabic" w:cs="Traditional Arabic"/>
          <w:sz w:val="24"/>
          <w:szCs w:val="24"/>
          <w:lang w:val="en-US" w:bidi="ar-JO"/>
        </w:rPr>
        <w:t>Bogari</w:t>
      </w:r>
      <w:proofErr w:type="spellEnd"/>
      <w:r w:rsidRPr="00E430E8">
        <w:rPr>
          <w:rFonts w:ascii="Traditional Arabic" w:eastAsia="Calibri" w:hAnsi="Traditional Arabic" w:cs="Traditional Arabic"/>
          <w:sz w:val="24"/>
          <w:szCs w:val="24"/>
          <w:lang w:val="en-US" w:bidi="ar-JO"/>
        </w:rPr>
        <w:t xml:space="preserve">, K. J., &amp; </w:t>
      </w:r>
      <w:proofErr w:type="spellStart"/>
      <w:r w:rsidRPr="00E430E8">
        <w:rPr>
          <w:rFonts w:ascii="Traditional Arabic" w:eastAsia="Calibri" w:hAnsi="Traditional Arabic" w:cs="Traditional Arabic"/>
          <w:sz w:val="24"/>
          <w:szCs w:val="24"/>
          <w:lang w:val="en-US" w:bidi="ar-JO"/>
        </w:rPr>
        <w:t>Ashi</w:t>
      </w:r>
      <w:proofErr w:type="spellEnd"/>
      <w:r w:rsidRPr="00E430E8">
        <w:rPr>
          <w:rFonts w:ascii="Traditional Arabic" w:eastAsia="Calibri" w:hAnsi="Traditional Arabic" w:cs="Traditional Arabic"/>
          <w:sz w:val="24"/>
          <w:szCs w:val="24"/>
          <w:lang w:val="en-US" w:bidi="ar-JO"/>
        </w:rPr>
        <w:t>, A. K. (2024).</w:t>
      </w:r>
      <w:proofErr w:type="gramEnd"/>
      <w:r w:rsidRPr="00E430E8">
        <w:rPr>
          <w:rFonts w:ascii="Traditional Arabic" w:eastAsia="Calibri" w:hAnsi="Traditional Arabic" w:cs="Traditional Arabic"/>
          <w:sz w:val="24"/>
          <w:szCs w:val="24"/>
          <w:lang w:val="en-US" w:bidi="ar-JO"/>
        </w:rPr>
        <w:t xml:space="preserve"> </w:t>
      </w:r>
      <w:proofErr w:type="gramStart"/>
      <w:r w:rsidRPr="00E430E8">
        <w:rPr>
          <w:rFonts w:ascii="Traditional Arabic" w:eastAsia="Calibri" w:hAnsi="Traditional Arabic" w:cs="Traditional Arabic"/>
          <w:sz w:val="24"/>
          <w:szCs w:val="24"/>
          <w:lang w:val="en-US" w:bidi="ar-JO"/>
        </w:rPr>
        <w:t>The influence of strategic human resource management and artificial intelligence in determining supply chain agility and supply chain resilience.</w:t>
      </w:r>
      <w:proofErr w:type="gramEnd"/>
      <w:r w:rsidRPr="00E430E8">
        <w:rPr>
          <w:rFonts w:ascii="Traditional Arabic" w:eastAsia="Calibri" w:hAnsi="Traditional Arabic" w:cs="Traditional Arabic"/>
          <w:sz w:val="24"/>
          <w:szCs w:val="24"/>
          <w:lang w:val="en-US" w:bidi="ar-JO"/>
        </w:rPr>
        <w:t xml:space="preserve"> </w:t>
      </w:r>
      <w:r w:rsidRPr="00E430E8">
        <w:rPr>
          <w:rFonts w:ascii="Traditional Arabic" w:eastAsia="Calibri" w:hAnsi="Traditional Arabic" w:cs="Traditional Arabic"/>
          <w:i/>
          <w:iCs/>
          <w:sz w:val="24"/>
          <w:szCs w:val="24"/>
          <w:lang w:val="en-US" w:bidi="ar-JO"/>
        </w:rPr>
        <w:t>Sustainability, 16</w:t>
      </w:r>
      <w:r w:rsidRPr="00E430E8">
        <w:rPr>
          <w:rFonts w:ascii="Traditional Arabic" w:eastAsia="Calibri" w:hAnsi="Traditional Arabic" w:cs="Traditional Arabic"/>
          <w:sz w:val="24"/>
          <w:szCs w:val="24"/>
          <w:lang w:val="en-US" w:bidi="ar-JO"/>
        </w:rPr>
        <w:t xml:space="preserve">(7), Article 2688. </w:t>
      </w:r>
      <w:hyperlink r:id="rId15" w:history="1">
        <w:r w:rsidRPr="00E430E8">
          <w:rPr>
            <w:rFonts w:ascii="Traditional Arabic" w:eastAsia="Calibri" w:hAnsi="Traditional Arabic" w:cs="Traditional Arabic"/>
            <w:color w:val="0000FF"/>
            <w:sz w:val="24"/>
            <w:szCs w:val="24"/>
            <w:u w:val="single"/>
            <w:lang w:val="en-US" w:bidi="ar-JO"/>
          </w:rPr>
          <w:t>https://doi.org/10.3390/su16072688</w:t>
        </w:r>
      </w:hyperlink>
    </w:p>
    <w:p w:rsidR="007419CC" w:rsidRDefault="007419CC" w:rsidP="00E430E8">
      <w:pPr>
        <w:bidi/>
      </w:pPr>
    </w:p>
    <w:sectPr w:rsidR="007419CC" w:rsidSect="00395E1F">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rsidR="00BD6864" w:rsidRDefault="00E430E8">
        <w:pPr>
          <w:pStyle w:val="a4"/>
          <w:jc w:val="center"/>
        </w:pPr>
        <w:r>
          <w:fldChar w:fldCharType="begin"/>
        </w:r>
        <w:r>
          <w:instrText xml:space="preserve"> PAGE   \* MERGEFORMAT </w:instrText>
        </w:r>
        <w:r>
          <w:fldChar w:fldCharType="separate"/>
        </w:r>
        <w:r>
          <w:rPr>
            <w:noProof/>
          </w:rPr>
          <w:t>8</w:t>
        </w:r>
        <w:r>
          <w:rPr>
            <w:noProof/>
          </w:rPr>
          <w:fldChar w:fldCharType="end"/>
        </w:r>
      </w:p>
    </w:sdtContent>
  </w:sdt>
  <w:p w:rsidR="00BD6864" w:rsidRDefault="00E430E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864" w:rsidRPr="00883E09" w:rsidRDefault="00E430E8" w:rsidP="008074A2">
    <w:pPr>
      <w:pStyle w:val="a4"/>
      <w:bidi/>
      <w:rPr>
        <w:sz w:val="24"/>
        <w:szCs w:val="24"/>
      </w:rPr>
    </w:pPr>
    <w:r>
      <w:rPr>
        <w:rFonts w:ascii="Times New Roman"/>
        <w:b/>
        <w:noProof/>
        <w:sz w:val="20"/>
      </w:rPr>
      <w:drawing>
        <wp:anchor distT="0" distB="0" distL="114300" distR="114300" simplePos="0" relativeHeight="251659264" behindDoc="0" locked="0" layoutInCell="1" allowOverlap="1" wp14:anchorId="148FE46B" wp14:editId="6F3A9537">
          <wp:simplePos x="0" y="0"/>
          <wp:positionH relativeFrom="margin">
            <wp:posOffset>-236220</wp:posOffset>
          </wp:positionH>
          <wp:positionV relativeFrom="margin">
            <wp:posOffset>8957945</wp:posOffset>
          </wp:positionV>
          <wp:extent cx="952500" cy="418465"/>
          <wp:effectExtent l="0" t="0" r="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864" w:rsidRDefault="00E430E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864" w:rsidRDefault="00E430E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rsidR="00BD6864" w:rsidRDefault="00E430E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DE6"/>
    <w:multiLevelType w:val="multilevel"/>
    <w:tmpl w:val="E488C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FE293D"/>
    <w:multiLevelType w:val="multilevel"/>
    <w:tmpl w:val="714E1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DF727D"/>
    <w:multiLevelType w:val="multilevel"/>
    <w:tmpl w:val="E864E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A47"/>
    <w:rsid w:val="001E4DDA"/>
    <w:rsid w:val="007419CC"/>
    <w:rsid w:val="00DF0A47"/>
    <w:rsid w:val="00E430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430E8"/>
    <w:pPr>
      <w:tabs>
        <w:tab w:val="center" w:pos="4680"/>
        <w:tab w:val="right" w:pos="9360"/>
      </w:tabs>
      <w:spacing w:after="0" w:line="240" w:lineRule="auto"/>
    </w:pPr>
  </w:style>
  <w:style w:type="character" w:customStyle="1" w:styleId="Char">
    <w:name w:val="رأس الصفحة Char"/>
    <w:basedOn w:val="a0"/>
    <w:link w:val="a3"/>
    <w:uiPriority w:val="99"/>
    <w:semiHidden/>
    <w:rsid w:val="00E430E8"/>
    <w:rPr>
      <w:lang w:val="en-GB"/>
    </w:rPr>
  </w:style>
  <w:style w:type="paragraph" w:styleId="a4">
    <w:name w:val="footer"/>
    <w:basedOn w:val="a"/>
    <w:link w:val="Char0"/>
    <w:uiPriority w:val="99"/>
    <w:semiHidden/>
    <w:unhideWhenUsed/>
    <w:rsid w:val="00E430E8"/>
    <w:pPr>
      <w:tabs>
        <w:tab w:val="center" w:pos="4680"/>
        <w:tab w:val="right" w:pos="9360"/>
      </w:tabs>
      <w:spacing w:after="0" w:line="240" w:lineRule="auto"/>
    </w:pPr>
  </w:style>
  <w:style w:type="character" w:customStyle="1" w:styleId="Char0">
    <w:name w:val="تذييل الصفحة Char"/>
    <w:basedOn w:val="a0"/>
    <w:link w:val="a4"/>
    <w:uiPriority w:val="99"/>
    <w:semiHidden/>
    <w:rsid w:val="00E430E8"/>
    <w:rPr>
      <w:lang w:val="en-GB"/>
    </w:rPr>
  </w:style>
  <w:style w:type="table" w:styleId="a5">
    <w:name w:val="Table Grid"/>
    <w:basedOn w:val="a1"/>
    <w:uiPriority w:val="59"/>
    <w:rsid w:val="00E430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a1"/>
    <w:next w:val="a5"/>
    <w:uiPriority w:val="59"/>
    <w:rsid w:val="00E430E8"/>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430E8"/>
    <w:pPr>
      <w:tabs>
        <w:tab w:val="center" w:pos="4680"/>
        <w:tab w:val="right" w:pos="9360"/>
      </w:tabs>
      <w:spacing w:after="0" w:line="240" w:lineRule="auto"/>
    </w:pPr>
  </w:style>
  <w:style w:type="character" w:customStyle="1" w:styleId="Char">
    <w:name w:val="رأس الصفحة Char"/>
    <w:basedOn w:val="a0"/>
    <w:link w:val="a3"/>
    <w:uiPriority w:val="99"/>
    <w:semiHidden/>
    <w:rsid w:val="00E430E8"/>
    <w:rPr>
      <w:lang w:val="en-GB"/>
    </w:rPr>
  </w:style>
  <w:style w:type="paragraph" w:styleId="a4">
    <w:name w:val="footer"/>
    <w:basedOn w:val="a"/>
    <w:link w:val="Char0"/>
    <w:uiPriority w:val="99"/>
    <w:semiHidden/>
    <w:unhideWhenUsed/>
    <w:rsid w:val="00E430E8"/>
    <w:pPr>
      <w:tabs>
        <w:tab w:val="center" w:pos="4680"/>
        <w:tab w:val="right" w:pos="9360"/>
      </w:tabs>
      <w:spacing w:after="0" w:line="240" w:lineRule="auto"/>
    </w:pPr>
  </w:style>
  <w:style w:type="character" w:customStyle="1" w:styleId="Char0">
    <w:name w:val="تذييل الصفحة Char"/>
    <w:basedOn w:val="a0"/>
    <w:link w:val="a4"/>
    <w:uiPriority w:val="99"/>
    <w:semiHidden/>
    <w:rsid w:val="00E430E8"/>
    <w:rPr>
      <w:lang w:val="en-GB"/>
    </w:rPr>
  </w:style>
  <w:style w:type="table" w:styleId="a5">
    <w:name w:val="Table Grid"/>
    <w:basedOn w:val="a1"/>
    <w:uiPriority w:val="59"/>
    <w:rsid w:val="00E430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a1"/>
    <w:next w:val="a5"/>
    <w:uiPriority w:val="59"/>
    <w:rsid w:val="00E430E8"/>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894/ijirss.v8i2.5198" TargetMode="External"/><Relationship Id="rId13" Type="http://schemas.openxmlformats.org/officeDocument/2006/relationships/hyperlink" Target="https://doi.org/10.21272/mmi.2023.1-07"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doi.org/10.3390/su152316382" TargetMode="External"/><Relationship Id="rId12" Type="http://schemas.openxmlformats.org/officeDocument/2006/relationships/hyperlink" Target="https://doi.org/10.56201/ijssmr.vol.11no2.2025.pg.331.342"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doi.org/10.1108/JIC-08-2023-0183" TargetMode="External"/><Relationship Id="rId11" Type="http://schemas.openxmlformats.org/officeDocument/2006/relationships/hyperlink" Target="https://doi.org/10.5539/ass.v12n7p105" TargetMode="External"/><Relationship Id="rId5" Type="http://schemas.openxmlformats.org/officeDocument/2006/relationships/webSettings" Target="webSettings.xml"/><Relationship Id="rId15" Type="http://schemas.openxmlformats.org/officeDocument/2006/relationships/hyperlink" Target="https://doi.org/10.3390/su16072688" TargetMode="External"/><Relationship Id="rId10" Type="http://schemas.openxmlformats.org/officeDocument/2006/relationships/hyperlink" Target="https://doi.org/10.25255/jss.2019.8.4.611.629"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52133/ijrsp.v3.34.11" TargetMode="External"/><Relationship Id="rId14" Type="http://schemas.openxmlformats.org/officeDocument/2006/relationships/hyperlink" Target="https://doi.org/10.7753/IJSEA1308.1020"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4985</Words>
  <Characters>28415</Characters>
  <Application>Microsoft Office Word</Application>
  <DocSecurity>0</DocSecurity>
  <Lines>236</Lines>
  <Paragraphs>66</Paragraphs>
  <ScaleCrop>false</ScaleCrop>
  <Company/>
  <LinksUpToDate>false</LinksUpToDate>
  <CharactersWithSpaces>33334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2026-07-11T21:19:00Z</dcterms:created>
  <dcterms:modified xsi:type="dcterms:W3CDTF">2026-07-11T21:20:00Z</dcterms:modified>
</cp:coreProperties>
</file>