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15D7C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B120B">
        <w:rPr>
          <w:rFonts w:hint="cs"/>
          <w:rtl/>
        </w:rPr>
        <w:t>ايثار العامري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3B120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41C5FAE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3B120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F8F551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3B120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8BFA2F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3B120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ADB377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3B120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EACA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3B120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75277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EC79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17826B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EC79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97251E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EC79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D02D5DF" w:rsidR="008239B5" w:rsidRDefault="008239B5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EC79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BD3528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1216B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2AD18EC" w:rsidR="008239B5" w:rsidRDefault="008239B5" w:rsidP="001216B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1216B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5A1E3F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1216B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EB3201F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0820666" w14:textId="77777777" w:rsidR="001216BC" w:rsidRDefault="001216BC">
            <w:pPr>
              <w:jc w:val="center"/>
            </w:pPr>
            <w:r w:rsidRPr="001216BC">
              <w:rPr>
                <w:rtl/>
              </w:rPr>
              <w:t>الأطروحة ممتازة علميًا، لكن يلزم:</w:t>
            </w:r>
          </w:p>
          <w:p w14:paraId="76224BDC" w14:textId="1CC537A7" w:rsidR="001216BC" w:rsidRDefault="001216BC">
            <w:pPr>
              <w:jc w:val="center"/>
            </w:pPr>
            <w:r w:rsidRPr="001216BC">
              <w:rPr>
                <w:rtl/>
              </w:rPr>
              <w:t xml:space="preserve"> 1) ضبط تنسيق العناوين</w:t>
            </w:r>
          </w:p>
          <w:p w14:paraId="7435E8FC" w14:textId="473C7A07" w:rsidR="008239B5" w:rsidRDefault="001216BC">
            <w:pPr>
              <w:jc w:val="center"/>
            </w:pPr>
            <w:r w:rsidRPr="001216BC">
              <w:rPr>
                <w:rtl/>
              </w:rPr>
              <w:t xml:space="preserve"> 2) توحيد أسلوب التوثيق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B65EA4"/>
    <w:multiLevelType w:val="hybridMultilevel"/>
    <w:tmpl w:val="A9E896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216BC"/>
    <w:rsid w:val="001C1BA3"/>
    <w:rsid w:val="003B120B"/>
    <w:rsid w:val="004E21BE"/>
    <w:rsid w:val="008239B5"/>
    <w:rsid w:val="008D7A2A"/>
    <w:rsid w:val="00C60C27"/>
    <w:rsid w:val="00D34A3E"/>
    <w:rsid w:val="00EB387B"/>
    <w:rsid w:val="00EC79A6"/>
    <w:rsid w:val="00F0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3B1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