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A3526D4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1F5196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D51C2D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0898E4E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4AD767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825239E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DA6BFD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3D46A12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11BA58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6F6102D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CAA0BE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8D76DCE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296766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B9C6169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E883E3F" w14:textId="35A56E36" w:rsidR="008239B5" w:rsidRDefault="00262F5D">
            <w:pPr>
              <w:jc w:val="center"/>
            </w:pPr>
            <w:r>
              <w:rPr>
                <w:rFonts w:hint="cs"/>
                <w:rtl/>
              </w:rPr>
              <w:t xml:space="preserve">لا يذكر عنوان الدراسة السابقة داخل المتن وفقا لنظام توثيق </w:t>
            </w:r>
            <w:r>
              <w:t>APA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681E955" w:rsidR="008239B5" w:rsidRDefault="00262F5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33CB8F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0E121F1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B912BA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7E00001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76CFDF5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B44A7E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B576072" w:rsidR="008239B5" w:rsidRDefault="00262F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3650"/>
    <w:rsid w:val="001C1BA3"/>
    <w:rsid w:val="00262F5D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