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5BB57A" w14:textId="77777777" w:rsidR="00E820E4" w:rsidRPr="001902DB" w:rsidRDefault="00E820E4" w:rsidP="00E820E4">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0B4DEAA8" w14:textId="77777777" w:rsidR="00E820E4" w:rsidRPr="001902DB" w:rsidRDefault="00E820E4" w:rsidP="00E820E4">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3DF7CEBE" wp14:editId="66C333BA">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472FE0A2" w14:textId="77777777" w:rsidR="00E820E4" w:rsidRPr="009125CE" w:rsidRDefault="00E820E4" w:rsidP="00E820E4">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Pr>
          <w:rFonts w:ascii="Sakkal Majalla" w:hAnsi="Sakkal Majalla" w:cs="Sakkal Majalla" w:hint="cs"/>
          <w:b/>
          <w:bCs/>
          <w:sz w:val="28"/>
          <w:szCs w:val="28"/>
          <w:rtl/>
          <w:lang w:bidi="ar-EG"/>
        </w:rPr>
        <w:t xml:space="preserve"> ماجستير إدارة المشاريع</w:t>
      </w:r>
    </w:p>
    <w:p w14:paraId="12C98A22" w14:textId="77777777" w:rsidR="00E820E4" w:rsidRPr="009125CE" w:rsidRDefault="00E820E4" w:rsidP="00E820E4">
      <w:pPr>
        <w:rPr>
          <w:rFonts w:ascii="Sakkal Majalla" w:hAnsi="Sakkal Majalla" w:cs="Sakkal Majalla"/>
          <w:sz w:val="28"/>
          <w:szCs w:val="28"/>
          <w:rtl/>
          <w:lang w:bidi="ar-EG"/>
        </w:rPr>
      </w:pPr>
    </w:p>
    <w:p w14:paraId="58C507AD" w14:textId="77777777" w:rsidR="00E820E4" w:rsidRPr="009125CE" w:rsidRDefault="00E820E4" w:rsidP="00E820E4">
      <w:pPr>
        <w:rPr>
          <w:rFonts w:ascii="Sakkal Majalla" w:hAnsi="Sakkal Majalla" w:cs="Sakkal Majalla"/>
          <w:sz w:val="28"/>
          <w:szCs w:val="28"/>
          <w:rtl/>
          <w:lang w:bidi="ar-EG"/>
        </w:rPr>
      </w:pPr>
    </w:p>
    <w:p w14:paraId="19C46313" w14:textId="77777777" w:rsidR="00E820E4" w:rsidRDefault="00E820E4" w:rsidP="00E820E4">
      <w:pPr>
        <w:rPr>
          <w:rFonts w:ascii="Sakkal Majalla" w:hAnsi="Sakkal Majalla" w:cs="Sakkal Majalla"/>
          <w:sz w:val="28"/>
          <w:szCs w:val="28"/>
          <w:rtl/>
          <w:lang w:bidi="ar-EG"/>
        </w:rPr>
      </w:pPr>
    </w:p>
    <w:p w14:paraId="1E19809C" w14:textId="77777777" w:rsidR="00E820E4" w:rsidRPr="009125CE" w:rsidRDefault="00E820E4" w:rsidP="00E820E4">
      <w:pPr>
        <w:rPr>
          <w:rFonts w:ascii="Sakkal Majalla" w:hAnsi="Sakkal Majalla" w:cs="Sakkal Majalla"/>
          <w:sz w:val="28"/>
          <w:szCs w:val="28"/>
          <w:rtl/>
          <w:lang w:bidi="ar-EG"/>
        </w:rPr>
      </w:pPr>
    </w:p>
    <w:p w14:paraId="536796B2" w14:textId="77777777" w:rsidR="00E820E4" w:rsidRPr="009125CE" w:rsidRDefault="00E820E4" w:rsidP="00E820E4">
      <w:pPr>
        <w:jc w:val="center"/>
        <w:rPr>
          <w:rFonts w:ascii="Sakkal Majalla" w:hAnsi="Sakkal Majalla" w:cs="Sakkal Majalla"/>
          <w:sz w:val="28"/>
          <w:szCs w:val="28"/>
          <w:rtl/>
          <w:lang w:bidi="ar-EG"/>
        </w:rPr>
      </w:pPr>
      <w:r w:rsidRPr="0082440C">
        <w:rPr>
          <w:rFonts w:ascii="Sakkal Majalla" w:hAnsi="Sakkal Majalla" w:cs="Sakkal Majalla"/>
          <w:b/>
          <w:bCs/>
          <w:sz w:val="40"/>
          <w:szCs w:val="40"/>
          <w:rtl/>
          <w:lang w:bidi="ar-EG"/>
        </w:rPr>
        <w:t>أثر القيادة التحويلية في تعزيز التوجه نحو التصميم المستدام من وجهة نظر فرق التصميم المعماري بالشركات الهندسية</w:t>
      </w:r>
    </w:p>
    <w:p w14:paraId="480D0314" w14:textId="77777777" w:rsidR="00E820E4" w:rsidRPr="009125CE" w:rsidRDefault="00E820E4" w:rsidP="00E820E4">
      <w:pPr>
        <w:rPr>
          <w:rFonts w:ascii="Sakkal Majalla" w:hAnsi="Sakkal Majalla" w:cs="Sakkal Majalla"/>
          <w:sz w:val="28"/>
          <w:szCs w:val="28"/>
          <w:rtl/>
          <w:lang w:bidi="ar-EG"/>
        </w:rPr>
      </w:pPr>
    </w:p>
    <w:p w14:paraId="363BFCFE" w14:textId="77777777" w:rsidR="00E820E4" w:rsidRPr="001902DB" w:rsidRDefault="00E820E4" w:rsidP="00E820E4">
      <w:pPr>
        <w:rPr>
          <w:rFonts w:ascii="Sakkal Majalla" w:hAnsi="Sakkal Majalla" w:cs="Sakkal Majalla"/>
          <w:b/>
          <w:bCs/>
          <w:sz w:val="28"/>
          <w:szCs w:val="28"/>
          <w:rtl/>
          <w:lang w:bidi="ar-EG"/>
        </w:rPr>
      </w:pPr>
    </w:p>
    <w:p w14:paraId="3665773D" w14:textId="77777777" w:rsidR="00E820E4" w:rsidRPr="001902DB" w:rsidRDefault="00E820E4" w:rsidP="00E820E4">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إعداد الطالب/</w:t>
      </w:r>
      <w:r w:rsidRPr="004005A9">
        <w:rPr>
          <w:rFonts w:ascii="Sakkal Majalla" w:hAnsi="Sakkal Majalla" w:cs="Sakkal Majalla" w:hint="cs"/>
          <w:b/>
          <w:bCs/>
          <w:sz w:val="28"/>
          <w:szCs w:val="28"/>
          <w:rtl/>
        </w:rPr>
        <w:t xml:space="preserve"> </w:t>
      </w:r>
      <w:r>
        <w:rPr>
          <w:rFonts w:ascii="Sakkal Majalla" w:hAnsi="Sakkal Majalla" w:cs="Sakkal Majalla" w:hint="cs"/>
          <w:b/>
          <w:bCs/>
          <w:sz w:val="28"/>
          <w:szCs w:val="28"/>
          <w:rtl/>
        </w:rPr>
        <w:t>م. عمر عماد السيد</w:t>
      </w:r>
    </w:p>
    <w:p w14:paraId="6D9C2644" w14:textId="77777777" w:rsidR="00E820E4" w:rsidRPr="001902DB" w:rsidRDefault="00E820E4" w:rsidP="00E820E4">
      <w:pPr>
        <w:jc w:val="center"/>
        <w:rPr>
          <w:rFonts w:ascii="Sakkal Majalla" w:hAnsi="Sakkal Majalla" w:cs="Sakkal Majalla"/>
          <w:b/>
          <w:bCs/>
          <w:sz w:val="28"/>
          <w:szCs w:val="28"/>
          <w:rtl/>
          <w:lang w:bidi="ar-EG"/>
        </w:rPr>
      </w:pPr>
    </w:p>
    <w:p w14:paraId="1A74E702" w14:textId="77777777" w:rsidR="00E820E4" w:rsidRPr="001902DB" w:rsidRDefault="00E820E4" w:rsidP="00E820E4">
      <w:pPr>
        <w:jc w:val="center"/>
        <w:rPr>
          <w:rFonts w:ascii="Sakkal Majalla" w:hAnsi="Sakkal Majalla" w:cs="Sakkal Majalla"/>
          <w:b/>
          <w:bCs/>
          <w:sz w:val="28"/>
          <w:szCs w:val="28"/>
          <w:rtl/>
          <w:lang w:bidi="ar-EG"/>
        </w:rPr>
      </w:pPr>
    </w:p>
    <w:p w14:paraId="11CEE536" w14:textId="77777777" w:rsidR="00E820E4" w:rsidRPr="001902DB" w:rsidRDefault="00E820E4" w:rsidP="00E820E4">
      <w:pPr>
        <w:jc w:val="center"/>
        <w:rPr>
          <w:rFonts w:ascii="Sakkal Majalla" w:hAnsi="Sakkal Majalla" w:cs="Sakkal Majalla"/>
          <w:b/>
          <w:bCs/>
          <w:sz w:val="28"/>
          <w:szCs w:val="28"/>
          <w:rtl/>
          <w:lang w:bidi="ar-EG"/>
        </w:rPr>
      </w:pPr>
    </w:p>
    <w:p w14:paraId="493C05E9" w14:textId="77777777" w:rsidR="00E820E4" w:rsidRPr="001902DB" w:rsidRDefault="00E820E4" w:rsidP="00E820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EBB8574" w14:textId="77777777" w:rsidR="00E820E4" w:rsidRPr="001902DB" w:rsidRDefault="00E820E4" w:rsidP="00E820E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 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 فايز جراد</w:t>
      </w:r>
    </w:p>
    <w:p w14:paraId="1AFB6366" w14:textId="77777777" w:rsidR="00E820E4" w:rsidRPr="001902DB" w:rsidRDefault="00E820E4" w:rsidP="00E820E4">
      <w:pPr>
        <w:jc w:val="center"/>
        <w:rPr>
          <w:rFonts w:ascii="Sakkal Majalla" w:hAnsi="Sakkal Majalla" w:cs="Sakkal Majalla"/>
          <w:b/>
          <w:bCs/>
          <w:sz w:val="28"/>
          <w:szCs w:val="28"/>
          <w:rtl/>
          <w:lang w:bidi="ar-EG"/>
        </w:rPr>
      </w:pPr>
    </w:p>
    <w:p w14:paraId="3920F2A2" w14:textId="77777777" w:rsidR="00E820E4" w:rsidRPr="001902DB" w:rsidRDefault="00E820E4" w:rsidP="00E820E4">
      <w:pPr>
        <w:jc w:val="center"/>
        <w:rPr>
          <w:rFonts w:ascii="Sakkal Majalla" w:hAnsi="Sakkal Majalla" w:cs="Sakkal Majalla"/>
          <w:b/>
          <w:bCs/>
          <w:sz w:val="28"/>
          <w:szCs w:val="28"/>
          <w:rtl/>
          <w:lang w:bidi="ar-EG"/>
        </w:rPr>
      </w:pPr>
    </w:p>
    <w:p w14:paraId="4008FBA1" w14:textId="77777777" w:rsidR="00E820E4" w:rsidRPr="001902DB" w:rsidRDefault="00E820E4" w:rsidP="00E820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33AA33F8" w14:textId="77777777" w:rsidR="00E820E4" w:rsidRPr="001902DB" w:rsidRDefault="00E820E4" w:rsidP="00E820E4">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23987AD3" w14:textId="77777777" w:rsidR="00E820E4" w:rsidRPr="001902DB" w:rsidRDefault="00E820E4" w:rsidP="00E820E4">
      <w:pPr>
        <w:rPr>
          <w:rFonts w:ascii="Sakkal Majalla" w:hAnsi="Sakkal Majalla" w:cs="Sakkal Majalla"/>
          <w:b/>
          <w:bCs/>
          <w:sz w:val="28"/>
          <w:szCs w:val="28"/>
          <w:rtl/>
        </w:rPr>
      </w:pPr>
    </w:p>
    <w:p w14:paraId="3B1CF1ED" w14:textId="77777777" w:rsidR="00E820E4" w:rsidRPr="00F06C1E" w:rsidRDefault="00E820E4" w:rsidP="00E820E4">
      <w:pPr>
        <w:rPr>
          <w:rtl/>
        </w:rPr>
        <w:sectPr w:rsidR="00E820E4" w:rsidRPr="00F06C1E" w:rsidSect="00E820E4">
          <w:footerReference w:type="default" r:id="rId6"/>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titlePg/>
          <w:bidi/>
          <w:rtlGutter/>
          <w:docGrid w:linePitch="360"/>
        </w:sectPr>
      </w:pPr>
    </w:p>
    <w:p w14:paraId="6079ECF5" w14:textId="77777777" w:rsidR="00E820E4" w:rsidRDefault="00E820E4" w:rsidP="00E820E4">
      <w:pPr>
        <w:rPr>
          <w:rtl/>
        </w:rPr>
      </w:pPr>
    </w:p>
    <w:p w14:paraId="4084675E" w14:textId="77777777" w:rsidR="00E820E4" w:rsidRPr="004005A9" w:rsidRDefault="00E820E4" w:rsidP="00E820E4">
      <w:pPr>
        <w:rPr>
          <w:lang w:bidi="ar-EG"/>
        </w:rPr>
      </w:pPr>
    </w:p>
    <w:p w14:paraId="327E5E5C" w14:textId="77777777" w:rsidR="00E820E4" w:rsidRPr="004005A9" w:rsidRDefault="00E820E4" w:rsidP="00E820E4">
      <w:pPr>
        <w:rPr>
          <w:lang w:bidi="ar-EG"/>
        </w:rPr>
      </w:pPr>
    </w:p>
    <w:p w14:paraId="34F6C7C3" w14:textId="77777777" w:rsidR="00E820E4" w:rsidRPr="004005A9" w:rsidRDefault="00E820E4" w:rsidP="00E820E4">
      <w:pPr>
        <w:rPr>
          <w:rFonts w:ascii="Sakkal Majalla" w:hAnsi="Sakkal Majalla" w:cs="Sakkal Majalla"/>
          <w:sz w:val="28"/>
          <w:szCs w:val="28"/>
          <w:u w:val="single"/>
          <w:rtl/>
        </w:rPr>
      </w:pPr>
    </w:p>
    <w:p w14:paraId="7A5A6398" w14:textId="77777777" w:rsidR="00E820E4" w:rsidRDefault="00E820E4" w:rsidP="00E820E4">
      <w:pPr>
        <w:rPr>
          <w:rFonts w:ascii="Sakkal Majalla" w:hAnsi="Sakkal Majalla" w:cs="Sakkal Majalla"/>
          <w:sz w:val="28"/>
          <w:szCs w:val="28"/>
          <w:u w:val="single"/>
          <w:lang w:bidi="ar-EG"/>
        </w:rPr>
      </w:pPr>
    </w:p>
    <w:p w14:paraId="78ABC3AA" w14:textId="77777777" w:rsidR="00E820E4" w:rsidRDefault="00E820E4" w:rsidP="00E820E4">
      <w:pPr>
        <w:rPr>
          <w:rFonts w:ascii="Sakkal Majalla" w:hAnsi="Sakkal Majalla" w:cs="Sakkal Majalla"/>
          <w:sz w:val="28"/>
          <w:szCs w:val="28"/>
          <w:u w:val="single"/>
        </w:rPr>
      </w:pPr>
    </w:p>
    <w:p w14:paraId="707E3DED" w14:textId="77777777" w:rsidR="00E820E4" w:rsidRDefault="00E820E4" w:rsidP="00E820E4">
      <w:pPr>
        <w:rPr>
          <w:rFonts w:ascii="Sakkal Majalla" w:hAnsi="Sakkal Majalla" w:cs="Sakkal Majalla"/>
          <w:sz w:val="28"/>
          <w:szCs w:val="28"/>
          <w:u w:val="single"/>
        </w:rPr>
      </w:pPr>
    </w:p>
    <w:p w14:paraId="361A9FF7" w14:textId="77777777" w:rsidR="00E820E4" w:rsidRDefault="00E820E4" w:rsidP="00E820E4">
      <w:pPr>
        <w:rPr>
          <w:rFonts w:ascii="Sakkal Majalla" w:hAnsi="Sakkal Majalla" w:cs="Sakkal Majalla"/>
          <w:sz w:val="28"/>
          <w:szCs w:val="28"/>
          <w:u w:val="single"/>
        </w:rPr>
      </w:pPr>
    </w:p>
    <w:p w14:paraId="36778BBE" w14:textId="77777777" w:rsidR="00E820E4" w:rsidRDefault="00E820E4" w:rsidP="00E820E4">
      <w:pPr>
        <w:rPr>
          <w:rFonts w:ascii="Sakkal Majalla" w:hAnsi="Sakkal Majalla" w:cs="Sakkal Majalla"/>
          <w:sz w:val="28"/>
          <w:szCs w:val="28"/>
          <w:u w:val="single"/>
        </w:rPr>
      </w:pPr>
    </w:p>
    <w:p w14:paraId="2338B6AA" w14:textId="77777777" w:rsidR="00E820E4" w:rsidRDefault="00E820E4" w:rsidP="00E820E4">
      <w:pPr>
        <w:rPr>
          <w:rFonts w:ascii="Sakkal Majalla" w:hAnsi="Sakkal Majalla" w:cs="Sakkal Majalla"/>
          <w:sz w:val="28"/>
          <w:szCs w:val="28"/>
          <w:u w:val="single"/>
        </w:rPr>
      </w:pPr>
    </w:p>
    <w:p w14:paraId="51C46BE7" w14:textId="77777777" w:rsidR="00E820E4" w:rsidRDefault="00E820E4" w:rsidP="00E820E4">
      <w:pPr>
        <w:rPr>
          <w:rFonts w:ascii="Sakkal Majalla" w:hAnsi="Sakkal Majalla" w:cs="Sakkal Majalla"/>
          <w:sz w:val="28"/>
          <w:szCs w:val="28"/>
          <w:u w:val="single"/>
        </w:rPr>
      </w:pPr>
    </w:p>
    <w:p w14:paraId="776C5614" w14:textId="77777777" w:rsidR="00E820E4" w:rsidRDefault="00E820E4" w:rsidP="00E820E4">
      <w:pPr>
        <w:rPr>
          <w:rFonts w:ascii="Sakkal Majalla" w:hAnsi="Sakkal Majalla" w:cs="Sakkal Majalla"/>
          <w:sz w:val="28"/>
          <w:szCs w:val="28"/>
          <w:u w:val="single"/>
        </w:rPr>
      </w:pPr>
    </w:p>
    <w:p w14:paraId="122F4351" w14:textId="77777777" w:rsidR="00E820E4" w:rsidRDefault="00E820E4" w:rsidP="00E820E4">
      <w:pPr>
        <w:rPr>
          <w:rFonts w:ascii="Sakkal Majalla" w:hAnsi="Sakkal Majalla" w:cs="Sakkal Majalla"/>
          <w:sz w:val="28"/>
          <w:szCs w:val="28"/>
          <w:u w:val="single"/>
          <w:rtl/>
        </w:rPr>
      </w:pPr>
    </w:p>
    <w:p w14:paraId="3A362C41" w14:textId="77777777" w:rsidR="00E820E4" w:rsidRPr="009125CE" w:rsidRDefault="00E820E4" w:rsidP="00E820E4">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4B4C8B6F" w14:textId="77777777" w:rsidR="00E820E4" w:rsidRPr="009170FD" w:rsidRDefault="00E820E4" w:rsidP="00E820E4">
      <w:pPr>
        <w:jc w:val="center"/>
        <w:rPr>
          <w:rFonts w:ascii="Sakkal Majalla" w:hAnsi="Sakkal Majalla" w:cs="Sakkal Majalla"/>
          <w:b/>
          <w:bCs/>
          <w:sz w:val="48"/>
          <w:szCs w:val="48"/>
          <w:u w:val="single"/>
          <w:rtl/>
        </w:rPr>
      </w:pPr>
      <w:r w:rsidRPr="009170FD">
        <w:rPr>
          <w:rFonts w:ascii="Sakkal Majalla" w:hAnsi="Sakkal Majalla" w:cs="Sakkal Majalla"/>
          <w:b/>
          <w:bCs/>
          <w:sz w:val="48"/>
          <w:szCs w:val="48"/>
          <w:u w:val="single"/>
          <w:rtl/>
        </w:rPr>
        <w:t>الإطار العام للدراسة</w:t>
      </w:r>
    </w:p>
    <w:p w14:paraId="528E08A6" w14:textId="77777777" w:rsidR="00E820E4" w:rsidRDefault="00E820E4" w:rsidP="00E820E4">
      <w:pPr>
        <w:rPr>
          <w:rFonts w:ascii="Sakkal Majalla" w:hAnsi="Sakkal Majalla" w:cs="Sakkal Majalla"/>
          <w:sz w:val="28"/>
          <w:szCs w:val="28"/>
          <w:u w:val="single"/>
          <w:rtl/>
        </w:rPr>
      </w:pPr>
    </w:p>
    <w:p w14:paraId="2DEEB4A7" w14:textId="77777777" w:rsidR="00E820E4" w:rsidRDefault="00E820E4" w:rsidP="00E820E4">
      <w:pPr>
        <w:rPr>
          <w:rFonts w:ascii="Sakkal Majalla" w:hAnsi="Sakkal Majalla" w:cs="Sakkal Majalla"/>
          <w:sz w:val="28"/>
          <w:szCs w:val="28"/>
          <w:u w:val="single"/>
          <w:rtl/>
        </w:rPr>
      </w:pPr>
    </w:p>
    <w:p w14:paraId="3995372C" w14:textId="77777777" w:rsidR="00E820E4" w:rsidRDefault="00E820E4" w:rsidP="00E820E4">
      <w:pPr>
        <w:rPr>
          <w:rFonts w:ascii="Sakkal Majalla" w:hAnsi="Sakkal Majalla" w:cs="Sakkal Majalla"/>
          <w:sz w:val="28"/>
          <w:szCs w:val="28"/>
          <w:u w:val="single"/>
          <w:rtl/>
        </w:rPr>
      </w:pPr>
    </w:p>
    <w:p w14:paraId="2C7257EC" w14:textId="77777777" w:rsidR="00E820E4" w:rsidRDefault="00E820E4" w:rsidP="00E820E4">
      <w:pPr>
        <w:rPr>
          <w:rFonts w:ascii="Sakkal Majalla" w:hAnsi="Sakkal Majalla" w:cs="Sakkal Majalla"/>
          <w:sz w:val="28"/>
          <w:szCs w:val="28"/>
          <w:u w:val="single"/>
          <w:rtl/>
        </w:rPr>
      </w:pPr>
    </w:p>
    <w:p w14:paraId="39A3B068" w14:textId="77777777" w:rsidR="00E820E4" w:rsidRDefault="00E820E4" w:rsidP="00E820E4">
      <w:pPr>
        <w:rPr>
          <w:rFonts w:ascii="Sakkal Majalla" w:hAnsi="Sakkal Majalla" w:cs="Sakkal Majalla"/>
          <w:sz w:val="28"/>
          <w:szCs w:val="28"/>
          <w:u w:val="single"/>
          <w:rtl/>
        </w:rPr>
      </w:pPr>
    </w:p>
    <w:p w14:paraId="57B35E0C" w14:textId="77777777" w:rsidR="00E820E4" w:rsidRDefault="00E820E4" w:rsidP="00E820E4">
      <w:pPr>
        <w:rPr>
          <w:rFonts w:ascii="Sakkal Majalla" w:hAnsi="Sakkal Majalla" w:cs="Sakkal Majalla"/>
          <w:sz w:val="28"/>
          <w:szCs w:val="28"/>
          <w:u w:val="single"/>
          <w:rtl/>
        </w:rPr>
      </w:pPr>
    </w:p>
    <w:p w14:paraId="172BCB27" w14:textId="77777777" w:rsidR="00E820E4" w:rsidRDefault="00E820E4" w:rsidP="00E820E4">
      <w:pPr>
        <w:rPr>
          <w:rFonts w:ascii="Sakkal Majalla" w:hAnsi="Sakkal Majalla" w:cs="Sakkal Majalla"/>
          <w:sz w:val="28"/>
          <w:szCs w:val="28"/>
          <w:u w:val="single"/>
          <w:rtl/>
        </w:rPr>
      </w:pPr>
    </w:p>
    <w:p w14:paraId="061D5403" w14:textId="77777777" w:rsidR="00E820E4" w:rsidRDefault="00E820E4" w:rsidP="00E820E4">
      <w:pPr>
        <w:rPr>
          <w:rFonts w:ascii="Sakkal Majalla" w:hAnsi="Sakkal Majalla" w:cs="Sakkal Majalla"/>
          <w:sz w:val="28"/>
          <w:szCs w:val="28"/>
          <w:u w:val="single"/>
          <w:rtl/>
        </w:rPr>
      </w:pPr>
    </w:p>
    <w:p w14:paraId="2E2CBD73" w14:textId="77777777" w:rsidR="00E820E4" w:rsidRPr="00912CCE" w:rsidRDefault="00E820E4" w:rsidP="00E820E4">
      <w:pPr>
        <w:pStyle w:val="Title"/>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المقدمة:</w:t>
      </w:r>
    </w:p>
    <w:p w14:paraId="056CADC3"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شهد قطاع العمارة والبناء في السنوات الأخيرة تحولًا متسارعًا نحو تبني مفاهيم الاستدامة، في ظل التحديات البيئية المتزايدة الناتجة عن التوسع العمراني وارتفاع معدلات استهلاك الطاقة واستنزاف الموارد الطبيعية. ويُعد هذا القطاع من أكثر القطاعات مساهمة في استهلاك الطاقة والانبعاثات البيئية عالميًا، الأمر الذي عزز الحاجة إلى اعتماد مبادئ التصميم المستدام كمدخل أساسي للحد من الآثار البيئية وتحسين كفاءة استخدام الموارد (</w:t>
      </w:r>
      <w:r w:rsidRPr="00912CCE">
        <w:rPr>
          <w:rFonts w:ascii="Simplified Arabic" w:hAnsi="Simplified Arabic" w:cs="Simplified Arabic"/>
          <w:sz w:val="28"/>
          <w:szCs w:val="28"/>
        </w:rPr>
        <w:t>UNEP, 2021</w:t>
      </w:r>
      <w:r w:rsidRPr="00912CCE">
        <w:rPr>
          <w:rFonts w:ascii="Simplified Arabic" w:hAnsi="Simplified Arabic" w:cs="Simplified Arabic"/>
          <w:sz w:val="28"/>
          <w:szCs w:val="28"/>
          <w:rtl/>
        </w:rPr>
        <w:t xml:space="preserve">؛ </w:t>
      </w:r>
      <w:r w:rsidRPr="00912CCE">
        <w:rPr>
          <w:rFonts w:ascii="Simplified Arabic" w:hAnsi="Simplified Arabic" w:cs="Simplified Arabic"/>
          <w:sz w:val="28"/>
          <w:szCs w:val="28"/>
        </w:rPr>
        <w:t>Kibert, 2016</w:t>
      </w:r>
      <w:r w:rsidRPr="00912CCE">
        <w:rPr>
          <w:rFonts w:ascii="Simplified Arabic" w:hAnsi="Simplified Arabic" w:cs="Simplified Arabic"/>
          <w:sz w:val="28"/>
          <w:szCs w:val="28"/>
          <w:rtl/>
        </w:rPr>
        <w:t>).</w:t>
      </w:r>
    </w:p>
    <w:p w14:paraId="3552C22B"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هذا السياق، تكتسب فرق التصميم المعماري أهمية محورية في تحقيق أهداف الاستدامة، نظرًا لدورها في اتخاذ قرارات تصميمية حاسمة في المراحل المبكرة من المشروع، مثل اختيار المواد، وأنظمة البناء، واستراتيجيات كفاءة الطاقة، والتي تنعكس بشكل مباشر على الأداء البيئي للمباني واستدامتها على المدى الطويل (</w:t>
      </w:r>
      <w:r w:rsidRPr="00912CCE">
        <w:rPr>
          <w:rFonts w:ascii="Simplified Arabic" w:hAnsi="Simplified Arabic" w:cs="Simplified Arabic"/>
          <w:sz w:val="28"/>
          <w:szCs w:val="28"/>
        </w:rPr>
        <w:t>Dorst, 2019</w:t>
      </w:r>
      <w:r w:rsidRPr="00912CCE">
        <w:rPr>
          <w:rFonts w:ascii="Simplified Arabic" w:hAnsi="Simplified Arabic" w:cs="Simplified Arabic"/>
          <w:sz w:val="28"/>
          <w:szCs w:val="28"/>
          <w:rtl/>
        </w:rPr>
        <w:t>).</w:t>
      </w:r>
    </w:p>
    <w:p w14:paraId="42EFCB88"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ومع ذلك، فإن تبني ممارسات التصميم المستدام لا يعتمد فقط على المعرفة التقنية أو الالتزام بالمعايير البيئية، بل يرتبط أيضًا بالعوامل التنظيمية التي تحكم سلوك الأفراد داخل فرق العمل، وفي مقدمتها نمط القيادة، الذي يمثل عاملًا مؤثرًا في توجيه القيم المهنية، وتحفيز الابتكار، وتعزيز تبني الممارسات الجديدة داخل بيئة العمل (</w:t>
      </w:r>
      <w:r w:rsidRPr="00912CCE">
        <w:rPr>
          <w:rFonts w:ascii="Simplified Arabic" w:hAnsi="Simplified Arabic" w:cs="Simplified Arabic"/>
          <w:sz w:val="28"/>
          <w:szCs w:val="28"/>
        </w:rPr>
        <w:t>Barros et al., 2024</w:t>
      </w:r>
      <w:r w:rsidRPr="00912CCE">
        <w:rPr>
          <w:rFonts w:ascii="Simplified Arabic" w:hAnsi="Simplified Arabic" w:cs="Simplified Arabic"/>
          <w:sz w:val="28"/>
          <w:szCs w:val="28"/>
          <w:rtl/>
        </w:rPr>
        <w:t xml:space="preserve">؛ </w:t>
      </w:r>
      <w:r w:rsidRPr="00912CCE">
        <w:rPr>
          <w:rFonts w:ascii="Simplified Arabic" w:hAnsi="Simplified Arabic" w:cs="Simplified Arabic"/>
          <w:sz w:val="28"/>
          <w:szCs w:val="28"/>
        </w:rPr>
        <w:t>Hwang &amp; Tan, 2012</w:t>
      </w:r>
      <w:r w:rsidRPr="00912CCE">
        <w:rPr>
          <w:rFonts w:ascii="Simplified Arabic" w:hAnsi="Simplified Arabic" w:cs="Simplified Arabic"/>
          <w:sz w:val="28"/>
          <w:szCs w:val="28"/>
          <w:rtl/>
        </w:rPr>
        <w:t>).</w:t>
      </w:r>
    </w:p>
    <w:p w14:paraId="045FE711"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هذا الإطار، تُعد القيادة التحويلية من أبرز الأنماط القيادية التي أثبتت فعاليتها في تعزيز أداء فرق العمل وتنمية الإبداع، من خلال تحفيز الأفراد، وتشجيعهم على التفكير الابتكاري، وبناء رؤية مشتركة، بما يسهم في خلق بيئة عمل داعمة لتبني الممارسات المستدامة والسلوكيات البيئية الإيجابية (</w:t>
      </w:r>
      <w:r w:rsidRPr="00912CCE">
        <w:rPr>
          <w:rFonts w:ascii="Simplified Arabic" w:hAnsi="Simplified Arabic" w:cs="Simplified Arabic"/>
          <w:sz w:val="28"/>
          <w:szCs w:val="28"/>
        </w:rPr>
        <w:t>Bass, 1985</w:t>
      </w:r>
      <w:r w:rsidRPr="00912CCE">
        <w:rPr>
          <w:rFonts w:ascii="Simplified Arabic" w:hAnsi="Simplified Arabic" w:cs="Simplified Arabic"/>
          <w:sz w:val="28"/>
          <w:szCs w:val="28"/>
          <w:rtl/>
        </w:rPr>
        <w:t xml:space="preserve">؛ </w:t>
      </w:r>
      <w:r w:rsidRPr="00912CCE">
        <w:rPr>
          <w:rFonts w:ascii="Simplified Arabic" w:hAnsi="Simplified Arabic" w:cs="Simplified Arabic"/>
          <w:sz w:val="28"/>
          <w:szCs w:val="28"/>
        </w:rPr>
        <w:t>Robertson &amp; Barling, 2017</w:t>
      </w:r>
      <w:r w:rsidRPr="00912CCE">
        <w:rPr>
          <w:rFonts w:ascii="Simplified Arabic" w:hAnsi="Simplified Arabic" w:cs="Simplified Arabic"/>
          <w:sz w:val="28"/>
          <w:szCs w:val="28"/>
          <w:rtl/>
        </w:rPr>
        <w:t xml:space="preserve">؛ </w:t>
      </w:r>
      <w:r w:rsidRPr="00912CCE">
        <w:rPr>
          <w:rFonts w:ascii="Simplified Arabic" w:hAnsi="Simplified Arabic" w:cs="Simplified Arabic"/>
          <w:sz w:val="28"/>
          <w:szCs w:val="28"/>
        </w:rPr>
        <w:t>Afsar et al., 2016</w:t>
      </w:r>
      <w:r w:rsidRPr="00912CCE">
        <w:rPr>
          <w:rFonts w:ascii="Simplified Arabic" w:hAnsi="Simplified Arabic" w:cs="Simplified Arabic"/>
          <w:sz w:val="28"/>
          <w:szCs w:val="28"/>
          <w:rtl/>
        </w:rPr>
        <w:t>).</w:t>
      </w:r>
    </w:p>
    <w:p w14:paraId="6E3035AA"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ومن هذا المنطلق، تسعى هذه الدراسة إلى تحليل أثر القيادة التحويلية في تعزيز التوجه نحو التصميم المستدام لدى فرق التصميم المعماري في المملكة العربية السعودية، من خلال فحص العلاقة بين أبعاد القيادة التحويلية ومستوى تبني ممارسات التصميم المستدام في سياق مهني يتسم بالتعقيد والحاجة إلى الابتكار المستمر.</w:t>
      </w:r>
    </w:p>
    <w:p w14:paraId="4A87A754" w14:textId="77777777" w:rsidR="00E820E4" w:rsidRPr="00912CCE" w:rsidRDefault="00E820E4" w:rsidP="00E820E4">
      <w:pPr>
        <w:spacing w:line="360" w:lineRule="auto"/>
        <w:jc w:val="both"/>
        <w:rPr>
          <w:rFonts w:ascii="Simplified Arabic" w:hAnsi="Simplified Arabic" w:cs="Simplified Arabic"/>
          <w:sz w:val="28"/>
          <w:szCs w:val="28"/>
          <w:rtl/>
        </w:rPr>
      </w:pPr>
    </w:p>
    <w:p w14:paraId="512B22FF" w14:textId="77777777" w:rsidR="00E820E4" w:rsidRPr="00912CCE" w:rsidRDefault="00E820E4" w:rsidP="00E820E4">
      <w:pPr>
        <w:pStyle w:val="Title"/>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 xml:space="preserve">مشكلة الدراسة: </w:t>
      </w:r>
    </w:p>
    <w:p w14:paraId="7EEA7689"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على الرغم من التوجه المتزايد عالميًا وإقليميًا نحو تبني مفاهيم الاستدامة في قطاعي العمارة والبناء، وما يصاحبه من تطور في المعايير والتشريعات البيئية، إلا أن مستوى تطبيق ممارسات التصميم المستدام داخل المشاريع المعمارية لا يزال دون المستوى المأمول، حيث تظهر فجوة واضحة بين المعرفة النظرية بمفاهيم الاستدامة والتطبيق الفعلي لها داخل بيئات العمل المهنية.</w:t>
      </w:r>
    </w:p>
    <w:p w14:paraId="03D2672D"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ولا يمكن تفسير هذه الفجوة بالاعتماد على العوامل التقنية فقط، بل تمتد لتشمل عوامل تنظيمية وسلوكية تؤثر في كيفية تبني الأفراد للممارسات المستدامة داخل فرق العمل، مثل طبيعة القيادة، والثقافة التنظيمية، ومستوى دعم الابتكار. وفي هذا السياق، يُعد نمط القيادة من العوامل الحاسمة التي يمكن أن تسهم في تفسير هذا التفاوت، نظرًا لدوره في تشكيل القيم المهنية، وتوجيه سلوك الأفراد، وتحفيزهم نحو تبني ممارسات جديدة.</w:t>
      </w:r>
    </w:p>
    <w:p w14:paraId="39CCD123"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 xml:space="preserve">وعلى الرغم من تناول العديد من الدراسات للقيادة التحويلية وعلاقتها بالإبداع والأداء التنظيمي، وأخرى تناولت الاستدامة في قطاع البناء، إلا أن هناك نقصًا في الدراسات التي بحثت بشكل مباشر في دور القيادة التحويلية في تعزيز التوجه نحو التصميم المستدام داخل فرق التصميم المعماري، خاصة في </w:t>
      </w:r>
      <w:r w:rsidRPr="00912CCE">
        <w:rPr>
          <w:rFonts w:ascii="Simplified Arabic" w:hAnsi="Simplified Arabic" w:cs="Simplified Arabic"/>
          <w:sz w:val="28"/>
          <w:szCs w:val="28"/>
          <w:rtl/>
        </w:rPr>
        <w:lastRenderedPageBreak/>
        <w:t>السياق العربي، وبشكل أكثر تحديدًا في المملكة العربية السعودية، التي تشهد تحولًا عمرانيًا متسارعًا وتوجهًا متزايدًا نحو الاستدامة.</w:t>
      </w:r>
    </w:p>
    <w:p w14:paraId="017FF081" w14:textId="77777777" w:rsidR="00E820E4" w:rsidRPr="00912CCE" w:rsidRDefault="00E820E4" w:rsidP="00E820E4">
      <w:pPr>
        <w:spacing w:line="360" w:lineRule="auto"/>
        <w:jc w:val="both"/>
        <w:rPr>
          <w:rFonts w:ascii="Simplified Arabic" w:hAnsi="Simplified Arabic" w:cs="Simplified Arabic"/>
          <w:sz w:val="28"/>
          <w:szCs w:val="28"/>
          <w:u w:val="single"/>
          <w:rtl/>
        </w:rPr>
      </w:pPr>
      <w:r w:rsidRPr="00912CCE">
        <w:rPr>
          <w:rFonts w:ascii="Simplified Arabic" w:hAnsi="Simplified Arabic" w:cs="Simplified Arabic"/>
          <w:sz w:val="28"/>
          <w:szCs w:val="28"/>
          <w:rtl/>
        </w:rPr>
        <w:t>وبناءً على ما سبق، تتمثل مشكلة الدراسة في ضعف الفهم العلمي لطبيعة العلاقة بين القيادة التحويلية والتوجه نحو التصميم المستدام داخل فرق التصميم المعماري، ومدى قدرة هذا النمط القيادي على تفسير التفاوت في مستوى تبني ممارسات التصميم المستدام في بيئة العمل المعماري.</w:t>
      </w:r>
    </w:p>
    <w:p w14:paraId="243A2E9A"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671A8417" w14:textId="77777777" w:rsidR="00E820E4" w:rsidRPr="00912CCE" w:rsidRDefault="00E820E4" w:rsidP="00E820E4">
      <w:pPr>
        <w:pStyle w:val="Title"/>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 xml:space="preserve">أهمية الدراسة: </w:t>
      </w:r>
    </w:p>
    <w:p w14:paraId="7F4A49E5"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sz w:val="28"/>
          <w:szCs w:val="28"/>
          <w:rtl/>
        </w:rPr>
        <w:t>تكتسب هذه الدراسة أهميتها من تناولها لأحد الموضوعات الحديثة التي تجمع بين البعد القيادي والبعد البيئي في سياق مهني متخصص، وهو فرق التصميم المعماري، وذلك في ظل التوجه المتزايد نحو الاستدامة في قطاع العمارة والبناء.</w:t>
      </w:r>
    </w:p>
    <w:p w14:paraId="6001CF20"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sz w:val="28"/>
          <w:szCs w:val="28"/>
          <w:rtl/>
        </w:rPr>
        <w:t>تكتسب هذه الدراسة أهميتها من تناولها لأحد الموضوعات الحديثة التي تجمع بين البعد القيادي والبعد البيئي في سياق مهني متخصص، وهو فرق التصميم المعماري، وذلك في ظل التوجه المتزايد نحو الاستدامة في قطاع العمارة والبناء.</w:t>
      </w:r>
    </w:p>
    <w:p w14:paraId="4073DF0F"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أولًا: الأهمية العلمية:</w:t>
      </w:r>
    </w:p>
    <w:p w14:paraId="38411386" w14:textId="77777777" w:rsidR="00E820E4" w:rsidRPr="00912CCE" w:rsidRDefault="00E820E4" w:rsidP="00E820E4">
      <w:pPr>
        <w:pStyle w:val="ListParagraph"/>
        <w:numPr>
          <w:ilvl w:val="0"/>
          <w:numId w:val="85"/>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تسهم الدراسة في إثراء الأدبيات العلمية حول القيادة التحويلية وعلاقتها بالتوجه نحو التصميم المستدام في المجال المعماري.</w:t>
      </w:r>
    </w:p>
    <w:p w14:paraId="3396C3B0" w14:textId="77777777" w:rsidR="00E820E4" w:rsidRPr="00912CCE" w:rsidRDefault="00E820E4" w:rsidP="00E820E4">
      <w:pPr>
        <w:pStyle w:val="ListParagraph"/>
        <w:numPr>
          <w:ilvl w:val="0"/>
          <w:numId w:val="85"/>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توفر الدراسة إطارًا نظريًا يمكن الاعتماد عليه في فهم كيفية تأثير ممارسات القيادة التحويلية على تعزيز التفكير الإبداعي والابتكار في فرق التصميم.</w:t>
      </w:r>
    </w:p>
    <w:p w14:paraId="39DDFFC5" w14:textId="77777777" w:rsidR="00E820E4" w:rsidRPr="00912CCE" w:rsidRDefault="00E820E4" w:rsidP="00E820E4">
      <w:pPr>
        <w:pStyle w:val="ListParagraph"/>
        <w:numPr>
          <w:ilvl w:val="0"/>
          <w:numId w:val="85"/>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تساهم في توضيح أبعاد القيادة التحويلية (الاستثارة الفكرية، التأثير المثالي، التحفيز الإلهامي) ودورها في تعزيز الالتزام بمبادئ الاستدامة، ما يدعم تطوير نماذج قيادية مستقبلية في الشركات الهندسية.</w:t>
      </w:r>
    </w:p>
    <w:p w14:paraId="14A9F153" w14:textId="77777777" w:rsidR="00E820E4" w:rsidRPr="00912CCE" w:rsidRDefault="00E820E4" w:rsidP="00E820E4">
      <w:pPr>
        <w:pStyle w:val="ListParagraph"/>
        <w:numPr>
          <w:ilvl w:val="0"/>
          <w:numId w:val="85"/>
        </w:num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sz w:val="28"/>
          <w:szCs w:val="28"/>
          <w:rtl/>
        </w:rPr>
        <w:t>تقدم الدراسة قاعدة علمية يمكن للباحثين الاستناد إليها لإجراء دراسات مستقبلية حول القيادة المستدامة وأثرها على الأداء المؤسسي والممارسات البيئية في مجال التصميم المعماري..</w:t>
      </w:r>
    </w:p>
    <w:p w14:paraId="569BBEF0"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ثانيًا: الأهمية التطبيقية:</w:t>
      </w:r>
    </w:p>
    <w:p w14:paraId="2FF8E976" w14:textId="77777777" w:rsidR="00E820E4" w:rsidRPr="00912CCE" w:rsidRDefault="00E820E4" w:rsidP="00E820E4">
      <w:pPr>
        <w:pStyle w:val="ListParagraph"/>
        <w:numPr>
          <w:ilvl w:val="0"/>
          <w:numId w:val="86"/>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تساعد نتائج الدراسة الشركات الهندسية على تعزيز مهارات القيادة التحويلية لدى مديري المشاريع ورؤساء فرق التصميم، بما ينعكس إيجابًا على جودة التصميم المستدام.</w:t>
      </w:r>
    </w:p>
    <w:p w14:paraId="7B211966" w14:textId="77777777" w:rsidR="00E820E4" w:rsidRPr="00912CCE" w:rsidRDefault="00E820E4" w:rsidP="00E820E4">
      <w:pPr>
        <w:pStyle w:val="ListParagraph"/>
        <w:numPr>
          <w:ilvl w:val="0"/>
          <w:numId w:val="86"/>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تقدم توصيات عملية لتبني استراتيجيات ابتكارية وتشجيع التفكير الإبداعي داخل فرق التصميم المعماري، مما يساهم في تحقيق مشاريع أكثر كفاءة واستدامة.</w:t>
      </w:r>
    </w:p>
    <w:p w14:paraId="3FD84D79" w14:textId="77777777" w:rsidR="00E820E4" w:rsidRPr="00912CCE" w:rsidRDefault="00E820E4" w:rsidP="00E820E4">
      <w:pPr>
        <w:pStyle w:val="ListParagraph"/>
        <w:numPr>
          <w:ilvl w:val="0"/>
          <w:numId w:val="86"/>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تُمكّن الجهات الإدارية من تصميم برامج تدريبية مخصصة للقادة تهدف إلى زيادة التفاعل مع معايير الاستدامة وتشجيع الابتكار في المشاريع المعمارية.</w:t>
      </w:r>
    </w:p>
    <w:p w14:paraId="6820F8B1" w14:textId="77777777" w:rsidR="00E820E4" w:rsidRPr="00912CCE" w:rsidRDefault="00E820E4" w:rsidP="00E820E4">
      <w:pPr>
        <w:pStyle w:val="ListParagraph"/>
        <w:numPr>
          <w:ilvl w:val="0"/>
          <w:numId w:val="86"/>
        </w:num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sz w:val="28"/>
          <w:szCs w:val="28"/>
          <w:rtl/>
        </w:rPr>
        <w:t>تساهم الدراسة في تطوير مؤشرات أداء مرتبطة بالاستدامة يمكن استخدامها في تقييم أداء فرق التصميم وتحفيزهم على الالتزام بالممارسات المستدامة.</w:t>
      </w:r>
    </w:p>
    <w:p w14:paraId="53F1810E"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تهدف هذه الدراسة إلى تحليل أثر القيادة التحويلية في تعزيز التوجه نحو التصميم المستدام لدى فرق التصميم المعماري في المملكة العربية السعودية، وذلك من خلال تحقيق الأهداف التالية:</w:t>
      </w:r>
    </w:p>
    <w:p w14:paraId="72F0DF5B" w14:textId="77777777" w:rsidR="00E820E4" w:rsidRPr="00912CCE" w:rsidRDefault="00E820E4" w:rsidP="00E820E4">
      <w:pPr>
        <w:pStyle w:val="ListParagraph"/>
        <w:numPr>
          <w:ilvl w:val="0"/>
          <w:numId w:val="25"/>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قياس مستوى ممارسة القيادة التحويلية داخل فرق التصميم المعماري، من خلال أبعادها الأربعة: التأثير المثالي، والتحفيز الإلهامي، والاستثارة الفكرية، والاعتبار الفردي.</w:t>
      </w:r>
    </w:p>
    <w:p w14:paraId="1DB5AE21" w14:textId="77777777" w:rsidR="00E820E4" w:rsidRPr="00912CCE" w:rsidRDefault="00E820E4" w:rsidP="00E820E4">
      <w:pPr>
        <w:pStyle w:val="ListParagraph"/>
        <w:numPr>
          <w:ilvl w:val="0"/>
          <w:numId w:val="25"/>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قياس مستوى التوجه نحو التصميم المستدام لدى فرق التصميم المعماري، من خلال أبعاده: الوعي البيئي، وممارسات التصميم المستدام، والابتكار في التصميم المستدام.</w:t>
      </w:r>
    </w:p>
    <w:p w14:paraId="5DE5FC6E" w14:textId="77777777" w:rsidR="00E820E4" w:rsidRPr="00912CCE" w:rsidRDefault="00E820E4" w:rsidP="00E820E4">
      <w:pPr>
        <w:pStyle w:val="ListParagraph"/>
        <w:numPr>
          <w:ilvl w:val="0"/>
          <w:numId w:val="25"/>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اختبار أثر القيادة التحويلية على التوجه نحو التصميم المستدام باستخدام نماذج الانحدار الإحصائي.</w:t>
      </w:r>
    </w:p>
    <w:p w14:paraId="5B11FCFF" w14:textId="77777777" w:rsidR="00E820E4" w:rsidRPr="00912CCE" w:rsidRDefault="00E820E4" w:rsidP="00E820E4">
      <w:pPr>
        <w:pStyle w:val="Title"/>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 xml:space="preserve">تساؤلات الدراسة: </w:t>
      </w:r>
    </w:p>
    <w:p w14:paraId="5C23B833"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السؤال الرئيسي:</w:t>
      </w:r>
    </w:p>
    <w:p w14:paraId="615E5624"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ما أثر القيادة التحويلية في تعزيز التوجه نحو التصميم المستدام من وجهة نظر فرق التصميم المعماري بالشركات الهندسية؟</w:t>
      </w:r>
    </w:p>
    <w:p w14:paraId="7B1B8634"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التساؤلات الفرعية:</w:t>
      </w:r>
    </w:p>
    <w:p w14:paraId="69F88501" w14:textId="77777777" w:rsidR="00E820E4" w:rsidRPr="00912CCE" w:rsidRDefault="00E820E4" w:rsidP="00E820E4">
      <w:pPr>
        <w:pStyle w:val="ListParagraph"/>
        <w:numPr>
          <w:ilvl w:val="0"/>
          <w:numId w:val="87"/>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ما مستوى ممارسة القيادة التحويلية من وجهة نظر فرق التصميم المعماري بالشركات الهندسية؟</w:t>
      </w:r>
    </w:p>
    <w:p w14:paraId="7E136AF9" w14:textId="77777777" w:rsidR="00E820E4" w:rsidRPr="00912CCE" w:rsidRDefault="00E820E4" w:rsidP="00E820E4">
      <w:pPr>
        <w:pStyle w:val="ListParagraph"/>
        <w:numPr>
          <w:ilvl w:val="0"/>
          <w:numId w:val="87"/>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ما مستوى التوجه نحو التصميم المستدام من وجهة نظر فرق التصميم المعماري بالشركات الهندسية؟</w:t>
      </w:r>
    </w:p>
    <w:p w14:paraId="49FBDD13" w14:textId="77777777" w:rsidR="00E820E4" w:rsidRPr="00912CCE" w:rsidRDefault="00E820E4" w:rsidP="00E820E4">
      <w:pPr>
        <w:pStyle w:val="ListParagraph"/>
        <w:numPr>
          <w:ilvl w:val="0"/>
          <w:numId w:val="87"/>
        </w:numPr>
        <w:spacing w:line="360" w:lineRule="auto"/>
        <w:jc w:val="both"/>
        <w:rPr>
          <w:rFonts w:ascii="Simplified Arabic" w:hAnsi="Simplified Arabic" w:cs="Simplified Arabic"/>
          <w:b/>
          <w:bCs/>
          <w:sz w:val="28"/>
          <w:szCs w:val="28"/>
          <w:u w:val="single"/>
          <w:rtl/>
        </w:rPr>
      </w:pPr>
      <w:r w:rsidRPr="00912CCE">
        <w:rPr>
          <w:rFonts w:ascii="Simplified Arabic" w:hAnsi="Simplified Arabic" w:cs="Simplified Arabic"/>
          <w:sz w:val="28"/>
          <w:szCs w:val="28"/>
          <w:rtl/>
        </w:rPr>
        <w:t xml:space="preserve">ما أثر القيادة التحويلية في تعزيز التوجه نحو التصميم المستدام من وجهة نظر فرق التصميم المعماري </w:t>
      </w:r>
      <w:r w:rsidRPr="00912CCE">
        <w:rPr>
          <w:rFonts w:ascii="Simplified Arabic" w:hAnsi="Simplified Arabic" w:cs="Simplified Arabic"/>
          <w:b/>
          <w:bCs/>
          <w:sz w:val="28"/>
          <w:szCs w:val="28"/>
          <w:u w:val="single"/>
          <w:rtl/>
        </w:rPr>
        <w:t>فروض الدراسة:</w:t>
      </w:r>
    </w:p>
    <w:p w14:paraId="5E5CFD3D"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الفرضية الرئيسية:</w:t>
      </w:r>
    </w:p>
    <w:p w14:paraId="306BF71C"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sz w:val="28"/>
          <w:szCs w:val="28"/>
          <w:rtl/>
        </w:rPr>
        <w:t>يوجد أثر إيجابي ذو دلالة إحصائية للقيادة التحويلية على التوجه نحو التصميم المستدام لدى فرق التصميم المعماري في المملكة العربية السعودية.</w:t>
      </w:r>
    </w:p>
    <w:p w14:paraId="38F3C0DE"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الفرضيات الفرعية:</w:t>
      </w:r>
    </w:p>
    <w:p w14:paraId="7A3ADA5D" w14:textId="77777777" w:rsidR="00E820E4" w:rsidRPr="00912CCE" w:rsidRDefault="00E820E4" w:rsidP="00E820E4">
      <w:pPr>
        <w:pStyle w:val="ListParagraph"/>
        <w:numPr>
          <w:ilvl w:val="0"/>
          <w:numId w:val="26"/>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يوجد أثر إيجابي ذو دلالة إحصائية للتأثير المثالي على التوجه نحو التصميم المستدام.</w:t>
      </w:r>
    </w:p>
    <w:p w14:paraId="3ED81A32" w14:textId="77777777" w:rsidR="00E820E4" w:rsidRPr="00912CCE" w:rsidRDefault="00E820E4" w:rsidP="00E820E4">
      <w:pPr>
        <w:pStyle w:val="ListParagraph"/>
        <w:numPr>
          <w:ilvl w:val="0"/>
          <w:numId w:val="26"/>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يوجد أثر إيجابي ذو دلالة إحصائية للتحفيز الإلهامي على التوجه نحو التصميم المستدام.</w:t>
      </w:r>
    </w:p>
    <w:p w14:paraId="0371C61C" w14:textId="77777777" w:rsidR="00E820E4" w:rsidRPr="00912CCE" w:rsidRDefault="00E820E4" w:rsidP="00E820E4">
      <w:pPr>
        <w:pStyle w:val="ListParagraph"/>
        <w:numPr>
          <w:ilvl w:val="0"/>
          <w:numId w:val="26"/>
        </w:num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يوجد أثر إيجابي ذو دلالة إحصائية للاستثارة الفكرية على التوجه نحو التصميم المستدام.</w:t>
      </w:r>
    </w:p>
    <w:p w14:paraId="3EC9E0C3" w14:textId="77777777" w:rsidR="00E820E4" w:rsidRPr="00912CCE" w:rsidRDefault="00E820E4" w:rsidP="00E820E4">
      <w:pPr>
        <w:keepNext/>
        <w:spacing w:line="360" w:lineRule="auto"/>
        <w:jc w:val="both"/>
        <w:rPr>
          <w:rFonts w:ascii="Simplified Arabic" w:hAnsi="Simplified Arabic" w:cs="Simplified Arabic"/>
          <w:sz w:val="28"/>
          <w:szCs w:val="28"/>
        </w:rPr>
      </w:pPr>
    </w:p>
    <w:p w14:paraId="61C06258" w14:textId="77777777" w:rsidR="00E820E4" w:rsidRPr="00912CCE" w:rsidRDefault="00E820E4" w:rsidP="00E820E4">
      <w:pPr>
        <w:spacing w:line="360" w:lineRule="auto"/>
        <w:jc w:val="both"/>
        <w:rPr>
          <w:rFonts w:ascii="Simplified Arabic" w:hAnsi="Simplified Arabic" w:cs="Simplified Arabic"/>
          <w:sz w:val="28"/>
          <w:szCs w:val="28"/>
          <w:rtl/>
        </w:rPr>
      </w:pPr>
    </w:p>
    <w:p w14:paraId="2C89AB14"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r w:rsidRPr="00912CCE">
        <w:rPr>
          <w:rFonts w:ascii="Simplified Arabic" w:hAnsi="Simplified Arabic" w:cs="Simplified Arabic"/>
          <w:b/>
          <w:bCs/>
          <w:sz w:val="28"/>
          <w:szCs w:val="28"/>
          <w:u w:val="single"/>
          <w:rtl/>
        </w:rPr>
        <w:t>النظرية العلمية المتبعة لإعداد البحث:</w:t>
      </w:r>
    </w:p>
    <w:p w14:paraId="3874E154"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تعتمد هذه الدراسة على نظرية القيادة التحويلية</w:t>
      </w:r>
      <w:r w:rsidRPr="00912CCE">
        <w:rPr>
          <w:rFonts w:ascii="Simplified Arabic" w:hAnsi="Simplified Arabic" w:cs="Simplified Arabic"/>
          <w:sz w:val="28"/>
          <w:szCs w:val="28"/>
        </w:rPr>
        <w:t xml:space="preserve"> (Transformational Leadership Theory) </w:t>
      </w:r>
      <w:r w:rsidRPr="00912CCE">
        <w:rPr>
          <w:rFonts w:ascii="Simplified Arabic" w:hAnsi="Simplified Arabic" w:cs="Simplified Arabic"/>
          <w:sz w:val="28"/>
          <w:szCs w:val="28"/>
          <w:rtl/>
        </w:rPr>
        <w:t>التي قدمها بيرنز</w:t>
      </w:r>
      <w:r w:rsidRPr="00912CCE">
        <w:rPr>
          <w:rFonts w:ascii="Simplified Arabic" w:hAnsi="Simplified Arabic" w:cs="Simplified Arabic"/>
          <w:sz w:val="28"/>
          <w:szCs w:val="28"/>
        </w:rPr>
        <w:t xml:space="preserve"> (Burns, 1978) </w:t>
      </w:r>
      <w:r w:rsidRPr="00912CCE">
        <w:rPr>
          <w:rFonts w:ascii="Simplified Arabic" w:hAnsi="Simplified Arabic" w:cs="Simplified Arabic"/>
          <w:sz w:val="28"/>
          <w:szCs w:val="28"/>
          <w:rtl/>
        </w:rPr>
        <w:t>وطوّرها باس</w:t>
      </w:r>
      <w:r w:rsidRPr="00912CCE">
        <w:rPr>
          <w:rFonts w:ascii="Simplified Arabic" w:hAnsi="Simplified Arabic" w:cs="Simplified Arabic"/>
          <w:sz w:val="28"/>
          <w:szCs w:val="28"/>
        </w:rPr>
        <w:t xml:space="preserve"> (Bass, 1985)</w:t>
      </w:r>
      <w:r w:rsidRPr="00912CCE">
        <w:rPr>
          <w:rFonts w:ascii="Simplified Arabic" w:hAnsi="Simplified Arabic" w:cs="Simplified Arabic"/>
          <w:sz w:val="28"/>
          <w:szCs w:val="28"/>
          <w:rtl/>
        </w:rPr>
        <w:t>، والتي تُعد من أبرز النظريات القيادية في الدراسات التنظيمية الحديثة. وتركز هذه النظرية على قدرة القائد على إحداث تغيير إيجابي في سلوك الأفراد واتجاهاتهم، من خلال إلهامهم وتحفيزهم وتعزيز قدراتهم على التفكير الإبداعي، بما يسهم في تحقيق مستويات أعلى من الأداء والابتكار داخل المؤسسات</w:t>
      </w:r>
      <w:r w:rsidRPr="00912CCE">
        <w:rPr>
          <w:rFonts w:ascii="Simplified Arabic" w:hAnsi="Simplified Arabic" w:cs="Simplified Arabic"/>
          <w:sz w:val="28"/>
          <w:szCs w:val="28"/>
        </w:rPr>
        <w:t>.</w:t>
      </w:r>
    </w:p>
    <w:p w14:paraId="76F51CCB" w14:textId="77777777" w:rsidR="00E820E4" w:rsidRPr="00912CCE" w:rsidRDefault="00E820E4" w:rsidP="00E820E4">
      <w:pPr>
        <w:spacing w:line="360" w:lineRule="auto"/>
        <w:jc w:val="both"/>
        <w:rPr>
          <w:rFonts w:ascii="Simplified Arabic" w:hAnsi="Simplified Arabic" w:cs="Simplified Arabic"/>
          <w:sz w:val="28"/>
          <w:szCs w:val="28"/>
        </w:rPr>
      </w:pPr>
      <w:r w:rsidRPr="00912CCE">
        <w:rPr>
          <w:rFonts w:ascii="Simplified Arabic" w:hAnsi="Simplified Arabic" w:cs="Simplified Arabic"/>
          <w:sz w:val="28"/>
          <w:szCs w:val="28"/>
          <w:rtl/>
        </w:rPr>
        <w:t>وتنطلق القيادة التحويلية من فكرة أن القائد لا يقتصر دوره على توجيه الأفراد أو إدارة المهام، بل يتجاوز ذلك إلى بناء رؤية مشتركة، وتحفيز الأفراد لتبني أهداف تتجاوز مصالحهم الشخصية، والعمل بروح جماعية تسهم في تطوير الأداء التنظيمي. كما تسهم القيادة التحويلية في خلق بيئة عمل داعمة للإبداع، وتشجع الأفراد على تقديم أفكار جديدة وتبني حلول مبتكرة، وهو ما يعد عاملًا أساسيًا في البيئات التي تتطلب الابتكار المستمر، مثل بيئة التصميم المعماري</w:t>
      </w:r>
      <w:r w:rsidRPr="00912CCE">
        <w:rPr>
          <w:rFonts w:ascii="Simplified Arabic" w:hAnsi="Simplified Arabic" w:cs="Simplified Arabic"/>
          <w:sz w:val="28"/>
          <w:szCs w:val="28"/>
        </w:rPr>
        <w:t>.</w:t>
      </w:r>
    </w:p>
    <w:p w14:paraId="345E8A50"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أولًا: القيادة التحويلية (</w:t>
      </w:r>
      <w:r w:rsidRPr="00912CCE">
        <w:rPr>
          <w:rFonts w:ascii="Simplified Arabic" w:hAnsi="Simplified Arabic" w:cs="Simplified Arabic"/>
          <w:b/>
          <w:bCs/>
          <w:sz w:val="28"/>
          <w:szCs w:val="28"/>
        </w:rPr>
        <w:t>Transformational Leadership</w:t>
      </w:r>
      <w:r w:rsidRPr="00912CCE">
        <w:rPr>
          <w:rFonts w:ascii="Simplified Arabic" w:hAnsi="Simplified Arabic" w:cs="Simplified Arabic"/>
          <w:b/>
          <w:bCs/>
          <w:sz w:val="28"/>
          <w:szCs w:val="28"/>
          <w:rtl/>
        </w:rPr>
        <w:t>):</w:t>
      </w:r>
    </w:p>
    <w:p w14:paraId="29ECEE90"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تُعد القيادة التحويلية من أبرز المفاهيم القيادية في الأدبيات التنظيمية الحديثة، وقد برزت بوصفها نمطًا قياديًا يتجاوز الأساليب التقليدية القائمة على التبادل والمكافأة والعقاب، ليركز على قدرة القائد على إلهام الأفراد وتحفيزهم وإحداث تغيير إيجابي في اتجاهاتهم وسلوكهم بما يخدم أهداف المنظمة على المدى الأبعد. وقد ظهر هذا المفهوم بصورة أولية في أعمال بيرنز (</w:t>
      </w:r>
      <w:r w:rsidRPr="00912CCE">
        <w:rPr>
          <w:rFonts w:ascii="Simplified Arabic" w:hAnsi="Simplified Arabic" w:cs="Simplified Arabic"/>
          <w:sz w:val="28"/>
          <w:szCs w:val="28"/>
        </w:rPr>
        <w:t>Burns, 1978</w:t>
      </w:r>
      <w:r w:rsidRPr="00912CCE">
        <w:rPr>
          <w:rFonts w:ascii="Simplified Arabic" w:hAnsi="Simplified Arabic" w:cs="Simplified Arabic"/>
          <w:sz w:val="28"/>
          <w:szCs w:val="28"/>
          <w:rtl/>
        </w:rPr>
        <w:t>)، ثم قام باس (</w:t>
      </w:r>
      <w:r w:rsidRPr="00912CCE">
        <w:rPr>
          <w:rFonts w:ascii="Simplified Arabic" w:hAnsi="Simplified Arabic" w:cs="Simplified Arabic"/>
          <w:sz w:val="28"/>
          <w:szCs w:val="28"/>
        </w:rPr>
        <w:t>Bass, 1985</w:t>
      </w:r>
      <w:r w:rsidRPr="00912CCE">
        <w:rPr>
          <w:rFonts w:ascii="Simplified Arabic" w:hAnsi="Simplified Arabic" w:cs="Simplified Arabic"/>
          <w:sz w:val="28"/>
          <w:szCs w:val="28"/>
          <w:rtl/>
        </w:rPr>
        <w:t>) بتطويره وإعطائه بعدًا تنظيميًا أكثر وضوحًا، من خلال تفسير كيفية تأثير القائد في أتباعه بما يدفعهم إلى تحقيق مستويات أداء تتجاوز المتوقع.</w:t>
      </w:r>
    </w:p>
    <w:p w14:paraId="0188D971"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وتفترض القيادة التحويلية أن القائد الفعال لا يقتصر دوره على توزيع المهام ومتابعة التنفيذ، بل يمتد إلى بناء رؤية مشتركة، وتعزيز الالتزام الجماعي، وتنمية الدافعية الداخلية لدى العاملين، بما يسهم في رفع مستوى الإبداع والابتكار داخل المنظمة. ومن هذا المنطلق، ترتبط القيادة التحويلية بشكل وثيق بالبيئات التي تتسم بالتعقيد، والتغير السريع، والحاجة إلى حلول جديدة، لأنها تساعد الأفراد على تجاوز الأنماط التقليدية في التفكير والعمل (</w:t>
      </w:r>
      <w:r w:rsidRPr="00912CCE">
        <w:rPr>
          <w:rFonts w:ascii="Simplified Arabic" w:hAnsi="Simplified Arabic" w:cs="Simplified Arabic"/>
          <w:sz w:val="28"/>
          <w:szCs w:val="28"/>
        </w:rPr>
        <w:t>Bass &amp; Avolio, 1994</w:t>
      </w:r>
      <w:r w:rsidRPr="00912CCE">
        <w:rPr>
          <w:rFonts w:ascii="Simplified Arabic" w:hAnsi="Simplified Arabic" w:cs="Simplified Arabic"/>
          <w:sz w:val="28"/>
          <w:szCs w:val="28"/>
          <w:rtl/>
        </w:rPr>
        <w:t>).</w:t>
      </w:r>
    </w:p>
    <w:p w14:paraId="7A0A7055" w14:textId="77777777" w:rsidR="00E820E4" w:rsidRPr="00912CCE" w:rsidRDefault="00E820E4" w:rsidP="00E820E4">
      <w:pPr>
        <w:spacing w:before="240" w:line="360" w:lineRule="auto"/>
        <w:jc w:val="both"/>
        <w:rPr>
          <w:rFonts w:ascii="Simplified Arabic" w:hAnsi="Simplified Arabic" w:cs="Simplified Arabic"/>
          <w:b/>
          <w:bCs/>
          <w:color w:val="000000" w:themeColor="text1"/>
          <w:sz w:val="28"/>
          <w:szCs w:val="28"/>
          <w:rtl/>
        </w:rPr>
      </w:pPr>
      <w:r w:rsidRPr="00912CCE">
        <w:rPr>
          <w:rFonts w:ascii="Simplified Arabic" w:hAnsi="Simplified Arabic" w:cs="Simplified Arabic"/>
          <w:b/>
          <w:bCs/>
          <w:color w:val="000000" w:themeColor="text1"/>
          <w:sz w:val="28"/>
          <w:szCs w:val="28"/>
          <w:rtl/>
        </w:rPr>
        <w:t xml:space="preserve">مفهوم القيادة التحويلية </w:t>
      </w:r>
    </w:p>
    <w:p w14:paraId="7D845421" w14:textId="77777777" w:rsidR="00E820E4" w:rsidRPr="00912CCE" w:rsidRDefault="00E820E4" w:rsidP="00E820E4">
      <w:pPr>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عرف النجار ومصطفى (2026، 1814) القيادة التحويلية بأنها: "القيادة التي تهتم بالتفاعلات الشخصية وتلبية احتياجات الموظفين، بما يحقق أهداف المنظمة ورفاهية الموظفين".</w:t>
      </w:r>
    </w:p>
    <w:p w14:paraId="589C66E7" w14:textId="77777777" w:rsidR="00E820E4" w:rsidRPr="00912CCE" w:rsidRDefault="00E820E4" w:rsidP="00E820E4">
      <w:pPr>
        <w:spacing w:after="0" w:line="360" w:lineRule="auto"/>
        <w:ind w:left="-58" w:firstLine="567"/>
        <w:jc w:val="both"/>
        <w:rPr>
          <w:rFonts w:ascii="Simplified Arabic" w:hAnsi="Simplified Arabic" w:cs="Simplified Arabic"/>
          <w:color w:val="000000" w:themeColor="text1"/>
          <w:sz w:val="28"/>
          <w:szCs w:val="28"/>
          <w:rtl/>
        </w:rPr>
      </w:pPr>
      <w:r w:rsidRPr="00912CCE">
        <w:rPr>
          <w:rFonts w:ascii="Simplified Arabic" w:hAnsi="Simplified Arabic" w:cs="Simplified Arabic"/>
          <w:color w:val="000000" w:themeColor="text1"/>
          <w:sz w:val="28"/>
          <w:szCs w:val="28"/>
          <w:rtl/>
        </w:rPr>
        <w:t xml:space="preserve">كما عرفه المحضر ( 2022،156 ) بـ "الأسلوب الذي يتبناه رؤساء الأقسام ووكلاء الكليات وعمداؤها للتأثير في سلوك أعضاء هيئة التدريس في ضوء امتلاكهم رؤية واضحة لرسالة القسم والكلية والجامعة لدى أعضاء هيئة التدريس على النحو الذي يكسب ثقتهم وولائهم ويحفزهم للعمل والتجديد والابتكار ". </w:t>
      </w:r>
    </w:p>
    <w:p w14:paraId="0324A1EF" w14:textId="77777777" w:rsidR="00E820E4" w:rsidRPr="00912CCE" w:rsidRDefault="00E820E4" w:rsidP="00E820E4">
      <w:pPr>
        <w:spacing w:before="240" w:line="360" w:lineRule="auto"/>
        <w:jc w:val="both"/>
        <w:rPr>
          <w:rFonts w:ascii="Simplified Arabic" w:hAnsi="Simplified Arabic" w:cs="Simplified Arabic"/>
          <w:b/>
          <w:bCs/>
          <w:color w:val="000000" w:themeColor="text1"/>
          <w:sz w:val="28"/>
          <w:szCs w:val="28"/>
          <w:rtl/>
        </w:rPr>
      </w:pPr>
      <w:r w:rsidRPr="00912CCE">
        <w:rPr>
          <w:rFonts w:ascii="Simplified Arabic" w:hAnsi="Simplified Arabic" w:cs="Simplified Arabic"/>
          <w:b/>
          <w:bCs/>
          <w:color w:val="000000" w:themeColor="text1"/>
          <w:sz w:val="28"/>
          <w:szCs w:val="28"/>
          <w:rtl/>
        </w:rPr>
        <w:lastRenderedPageBreak/>
        <w:t xml:space="preserve">أهمية القيادة التحويلية </w:t>
      </w:r>
    </w:p>
    <w:p w14:paraId="2F650486" w14:textId="77777777" w:rsidR="00E820E4" w:rsidRPr="00912CCE" w:rsidRDefault="00E820E4" w:rsidP="00E820E4">
      <w:pPr>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ذكر الغنام والصقر (2025، 617) أهمية القيادة التحويلية:</w:t>
      </w:r>
    </w:p>
    <w:p w14:paraId="516B5316" w14:textId="77777777" w:rsidR="00E820E4" w:rsidRPr="00912CCE" w:rsidRDefault="00E820E4" w:rsidP="00E820E4">
      <w:pPr>
        <w:pStyle w:val="ListParagraph"/>
        <w:numPr>
          <w:ilvl w:val="0"/>
          <w:numId w:val="88"/>
        </w:numPr>
        <w:spacing w:before="240" w:line="360" w:lineRule="auto"/>
        <w:jc w:val="both"/>
        <w:rPr>
          <w:rFonts w:ascii="Simplified Arabic" w:hAnsi="Simplified Arabic" w:cs="Simplified Arabic"/>
          <w:sz w:val="28"/>
          <w:szCs w:val="28"/>
          <w:lang w:bidi="ar-EG"/>
        </w:rPr>
      </w:pPr>
      <w:r w:rsidRPr="00912CCE">
        <w:rPr>
          <w:rFonts w:ascii="Simplified Arabic" w:hAnsi="Simplified Arabic" w:cs="Simplified Arabic"/>
          <w:sz w:val="28"/>
          <w:szCs w:val="28"/>
          <w:rtl/>
          <w:lang w:bidi="ar-EG"/>
        </w:rPr>
        <w:t>تساعد الموظفين على التطوير المهني والحفاظ على ثقافة التعاون والعمل الجماعي.</w:t>
      </w:r>
    </w:p>
    <w:p w14:paraId="1D5F4BA3" w14:textId="77777777" w:rsidR="00E820E4" w:rsidRPr="00912CCE" w:rsidRDefault="00E820E4" w:rsidP="00E820E4">
      <w:pPr>
        <w:pStyle w:val="ListParagraph"/>
        <w:numPr>
          <w:ilvl w:val="0"/>
          <w:numId w:val="88"/>
        </w:numPr>
        <w:spacing w:before="240" w:line="360" w:lineRule="auto"/>
        <w:jc w:val="both"/>
        <w:rPr>
          <w:rFonts w:ascii="Simplified Arabic" w:hAnsi="Simplified Arabic" w:cs="Simplified Arabic"/>
          <w:sz w:val="28"/>
          <w:szCs w:val="28"/>
          <w:lang w:bidi="ar-EG"/>
        </w:rPr>
      </w:pPr>
      <w:r w:rsidRPr="00912CCE">
        <w:rPr>
          <w:rFonts w:ascii="Simplified Arabic" w:hAnsi="Simplified Arabic" w:cs="Simplified Arabic"/>
          <w:sz w:val="28"/>
          <w:szCs w:val="28"/>
          <w:rtl/>
          <w:lang w:bidi="ar-EG"/>
        </w:rPr>
        <w:t>تساهم في حل المشكلات التي تواجه العاملين داخل المؤسسة، وتحفيزهم على المشاركة في عدد من النشاطات الجديدة والتي تدفعهم إلى بذل المزيد من العمل والجهد وبروح الفريق.</w:t>
      </w:r>
    </w:p>
    <w:p w14:paraId="6BE55B1E" w14:textId="77777777" w:rsidR="00E820E4" w:rsidRPr="00912CCE" w:rsidRDefault="00E820E4" w:rsidP="00E820E4">
      <w:pPr>
        <w:pStyle w:val="ListParagraph"/>
        <w:numPr>
          <w:ilvl w:val="0"/>
          <w:numId w:val="88"/>
        </w:numPr>
        <w:spacing w:before="240" w:line="360" w:lineRule="auto"/>
        <w:jc w:val="both"/>
        <w:rPr>
          <w:rFonts w:ascii="Simplified Arabic" w:hAnsi="Simplified Arabic" w:cs="Simplified Arabic"/>
          <w:sz w:val="28"/>
          <w:szCs w:val="28"/>
          <w:lang w:bidi="ar-EG"/>
        </w:rPr>
      </w:pPr>
      <w:r w:rsidRPr="00912CCE">
        <w:rPr>
          <w:rFonts w:ascii="Simplified Arabic" w:hAnsi="Simplified Arabic" w:cs="Simplified Arabic"/>
          <w:sz w:val="28"/>
          <w:szCs w:val="28"/>
          <w:rtl/>
          <w:lang w:bidi="ar-EG"/>
        </w:rPr>
        <w:t>تعمل القيادة التحويلية على زيادة دافعية العمل بالمنظمة، حيث يقوم القائد التحويلي بحل المشكلات التي تواجه العاملين وتعزز بوضوح أهداف المنظمة.</w:t>
      </w:r>
    </w:p>
    <w:p w14:paraId="58E582DC" w14:textId="77777777" w:rsidR="00E820E4" w:rsidRPr="00912CCE" w:rsidRDefault="00E820E4" w:rsidP="00E820E4">
      <w:pPr>
        <w:spacing w:before="240" w:line="360" w:lineRule="auto"/>
        <w:jc w:val="both"/>
        <w:rPr>
          <w:rFonts w:ascii="Simplified Arabic" w:hAnsi="Simplified Arabic" w:cs="Simplified Arabic"/>
          <w:b/>
          <w:bCs/>
          <w:color w:val="000000" w:themeColor="text1"/>
          <w:sz w:val="28"/>
          <w:szCs w:val="28"/>
          <w:rtl/>
        </w:rPr>
      </w:pPr>
      <w:r w:rsidRPr="00912CCE">
        <w:rPr>
          <w:rFonts w:ascii="Simplified Arabic" w:hAnsi="Simplified Arabic" w:cs="Simplified Arabic"/>
          <w:b/>
          <w:bCs/>
          <w:color w:val="000000" w:themeColor="text1"/>
          <w:sz w:val="28"/>
          <w:szCs w:val="28"/>
          <w:rtl/>
        </w:rPr>
        <w:t>خصائص القيادة التحويلية</w:t>
      </w:r>
    </w:p>
    <w:p w14:paraId="77DA2096" w14:textId="77777777" w:rsidR="00E820E4" w:rsidRPr="00912CCE" w:rsidRDefault="00E820E4" w:rsidP="00E820E4">
      <w:pPr>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أشار (</w:t>
      </w:r>
      <w:proofErr w:type="spellStart"/>
      <w:r w:rsidRPr="00912CCE">
        <w:rPr>
          <w:rFonts w:ascii="Simplified Arabic" w:hAnsi="Simplified Arabic" w:cs="Simplified Arabic"/>
          <w:sz w:val="28"/>
          <w:szCs w:val="28"/>
          <w:lang w:bidi="ar-EG"/>
        </w:rPr>
        <w:t>Helalat</w:t>
      </w:r>
      <w:proofErr w:type="spellEnd"/>
      <w:r w:rsidRPr="00912CCE">
        <w:rPr>
          <w:rFonts w:ascii="Simplified Arabic" w:hAnsi="Simplified Arabic" w:cs="Simplified Arabic"/>
          <w:sz w:val="28"/>
          <w:szCs w:val="28"/>
          <w:lang w:bidi="ar-EG"/>
        </w:rPr>
        <w:t xml:space="preserve"> et al., 2025</w:t>
      </w:r>
      <w:r w:rsidRPr="00912CCE">
        <w:rPr>
          <w:rFonts w:ascii="Simplified Arabic" w:hAnsi="Simplified Arabic" w:cs="Simplified Arabic"/>
          <w:sz w:val="28"/>
          <w:szCs w:val="28"/>
          <w:rtl/>
          <w:lang w:bidi="ar-EG"/>
        </w:rPr>
        <w:t>) لعدد من الخصائص للقيادة التحويلية وهي كالتالي:</w:t>
      </w:r>
    </w:p>
    <w:p w14:paraId="06212590" w14:textId="77777777" w:rsidR="00E820E4" w:rsidRPr="00912CCE" w:rsidRDefault="00E820E4" w:rsidP="00E820E4">
      <w:pPr>
        <w:pStyle w:val="ListParagraph"/>
        <w:numPr>
          <w:ilvl w:val="0"/>
          <w:numId w:val="89"/>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t>رؤية ملهمة وحافز قوي</w:t>
      </w:r>
    </w:p>
    <w:p w14:paraId="40AABD95" w14:textId="77777777" w:rsidR="00E820E4" w:rsidRPr="00912CCE" w:rsidRDefault="00E820E4" w:rsidP="00E820E4">
      <w:pPr>
        <w:pStyle w:val="ListParagraph"/>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يتمتع القادة التحويليون بقدرة فريدة على إيصال رؤية واضحة وملهمة. فهم لا يكتفون بتوضيح الأهداف، بل يربطون الناس عاطفيا بتلك الرؤية، مما يخلق بيئة يحفز فيها الحماس والشغف الأداء. يتمتع هذا النوع من القادة بقدرة شبه معدية على بث التفاؤل، مما يعزز الدافع الجماعي.</w:t>
      </w:r>
    </w:p>
    <w:p w14:paraId="7137E6C6" w14:textId="77777777" w:rsidR="00E820E4" w:rsidRPr="00912CCE" w:rsidRDefault="00E820E4" w:rsidP="00E820E4">
      <w:pPr>
        <w:pStyle w:val="ListParagraph"/>
        <w:numPr>
          <w:ilvl w:val="0"/>
          <w:numId w:val="89"/>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t>التحفيز الفكري والإبداع</w:t>
      </w:r>
    </w:p>
    <w:p w14:paraId="089D3E7B" w14:textId="77777777" w:rsidR="00E820E4" w:rsidRPr="00912CCE" w:rsidRDefault="00E820E4" w:rsidP="00E820E4">
      <w:pPr>
        <w:pStyle w:val="ListParagraph"/>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من أبرز جوانب القيادة التحويلية قدرتها على تحدي الوضع الراهن. يشجع القادة التحويليون فرقهم على التفكير النقدي واستكشاف حلول مبتكرة، ويعززون الإبداع والتفكير المستقل، مما لا يحسن العمليات داخل المؤسسة فحسب، بل يعزز أيضا قدرة الموظفين على حل المشكلات والتكيف مع التغيير.</w:t>
      </w:r>
    </w:p>
    <w:p w14:paraId="1372B49A" w14:textId="77777777" w:rsidR="00E820E4" w:rsidRPr="00912CCE" w:rsidRDefault="00E820E4" w:rsidP="00E820E4">
      <w:pPr>
        <w:pStyle w:val="ListParagraph"/>
        <w:numPr>
          <w:ilvl w:val="0"/>
          <w:numId w:val="89"/>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lastRenderedPageBreak/>
        <w:t>الاهتمام الفردي والتطوير الشخصي</w:t>
      </w:r>
    </w:p>
    <w:p w14:paraId="32872919" w14:textId="77777777" w:rsidR="00E820E4" w:rsidRPr="00912CCE" w:rsidRDefault="00E820E4" w:rsidP="00E820E4">
      <w:pPr>
        <w:pStyle w:val="ListParagraph"/>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يعد التطوير الشخصي ركيزة أساسية أخرى لهذا النمط القيادي. فالقادة التحويليون لا ينظرون إلى موظفيهم كمجرد عمال، بل كأفراد لهم تحدياتهم وتطلعاتهم الخاصة. وينعكس هذا في نهج شخصي يقدم لكل فرد من أفراد الفريق دعما محددا لنموه. وبهذه الطريقة، يضمنون شعور الموظفين بالتقدير، مما يزيد من التزامهم ورضاهم الوظيفي.</w:t>
      </w:r>
    </w:p>
    <w:p w14:paraId="064083EB" w14:textId="77777777" w:rsidR="00E820E4" w:rsidRPr="00912CCE" w:rsidRDefault="00E820E4" w:rsidP="00E820E4">
      <w:pPr>
        <w:pStyle w:val="ListParagraph"/>
        <w:numPr>
          <w:ilvl w:val="0"/>
          <w:numId w:val="89"/>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t>التأثير القيادي والقدوة الحسنة</w:t>
      </w:r>
    </w:p>
    <w:p w14:paraId="74118E0F" w14:textId="77777777" w:rsidR="00E820E4" w:rsidRPr="00912CCE" w:rsidRDefault="00E820E4" w:rsidP="00E820E4">
      <w:pPr>
        <w:pStyle w:val="ListParagraph"/>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يعد التأثير القيادي سمة أساسية لهؤلاء القادة. ينظر إليهم كقدوة حسنة لما يتمتعون به من أخلاق وتوافق بين أقوالهم وأفعالهم. ومن خلال غرس الثقة والاحترام، يصبحون مرجعا لأتباعهم، الذين يميلون إلى محاكاة سلوكهم والالتزام بالرؤية التي وضعها القائد.</w:t>
      </w:r>
    </w:p>
    <w:p w14:paraId="6083BE6C" w14:textId="77777777" w:rsidR="00E820E4" w:rsidRPr="00912CCE" w:rsidRDefault="00E820E4" w:rsidP="00E820E4">
      <w:pPr>
        <w:spacing w:before="240" w:line="360" w:lineRule="auto"/>
        <w:jc w:val="both"/>
        <w:rPr>
          <w:rFonts w:ascii="Simplified Arabic" w:hAnsi="Simplified Arabic" w:cs="Simplified Arabic"/>
          <w:b/>
          <w:bCs/>
          <w:color w:val="000000" w:themeColor="text1"/>
          <w:sz w:val="28"/>
          <w:szCs w:val="28"/>
          <w:rtl/>
          <w:lang w:bidi="ar-EG"/>
        </w:rPr>
      </w:pPr>
      <w:r w:rsidRPr="00912CCE">
        <w:rPr>
          <w:rFonts w:ascii="Simplified Arabic" w:hAnsi="Simplified Arabic" w:cs="Simplified Arabic"/>
          <w:b/>
          <w:bCs/>
          <w:color w:val="000000" w:themeColor="text1"/>
          <w:sz w:val="28"/>
          <w:szCs w:val="28"/>
          <w:rtl/>
          <w:lang w:bidi="ar-EG"/>
        </w:rPr>
        <w:t xml:space="preserve">مميزات القيادة التحويلية </w:t>
      </w:r>
    </w:p>
    <w:p w14:paraId="392D2182" w14:textId="77777777" w:rsidR="00E820E4" w:rsidRPr="00912CCE" w:rsidRDefault="00E820E4" w:rsidP="00E820E4">
      <w:pPr>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يحقق تطبيق القيادة التحويلية بشكل صحيح فوائد هامة عديدة، سواء للشركة أو لموظفيها. وهذه هي المزايا الرئيسية (</w:t>
      </w:r>
      <w:r w:rsidRPr="00912CCE">
        <w:rPr>
          <w:rFonts w:ascii="Simplified Arabic" w:hAnsi="Simplified Arabic" w:cs="Simplified Arabic"/>
          <w:sz w:val="28"/>
          <w:szCs w:val="28"/>
          <w:lang w:bidi="ar-EG"/>
        </w:rPr>
        <w:t>Notarnicola et al., 2024, 3568</w:t>
      </w:r>
      <w:r w:rsidRPr="00912CCE">
        <w:rPr>
          <w:rFonts w:ascii="Simplified Arabic" w:hAnsi="Simplified Arabic" w:cs="Simplified Arabic"/>
          <w:sz w:val="28"/>
          <w:szCs w:val="28"/>
          <w:rtl/>
          <w:lang w:bidi="ar-EG"/>
        </w:rPr>
        <w:t>):</w:t>
      </w:r>
    </w:p>
    <w:p w14:paraId="136B3DC3"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t>زيادة الرضا والتحفيز</w:t>
      </w:r>
    </w:p>
    <w:p w14:paraId="142D2AE6" w14:textId="77777777" w:rsidR="00E820E4" w:rsidRPr="00912CCE" w:rsidRDefault="00E820E4" w:rsidP="00E820E4">
      <w:pPr>
        <w:pStyle w:val="ListParagraph"/>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من خلال دعم الموظفين وتقديرهم، يزداد شعورهم بالتحفيز، مما يؤثر إيجاباً على أدائهم ونتائجهم، كما أن منح الموظفين استقلالية في أداء مهامهم ومساعدتهم على تحقيق أهدافهم المهنية يزيد من رضاهم الشخصي والجماعي.</w:t>
      </w:r>
    </w:p>
    <w:p w14:paraId="23D370DB"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t>تطوير بيئة عمل إيجابية</w:t>
      </w:r>
    </w:p>
    <w:p w14:paraId="019D36FD" w14:textId="77777777" w:rsidR="00E820E4" w:rsidRPr="00912CCE" w:rsidRDefault="00E820E4" w:rsidP="00E820E4">
      <w:pPr>
        <w:pStyle w:val="ListParagraph"/>
        <w:spacing w:before="240" w:line="360" w:lineRule="auto"/>
        <w:jc w:val="both"/>
        <w:rPr>
          <w:rFonts w:ascii="Simplified Arabic" w:hAnsi="Simplified Arabic" w:cs="Simplified Arabic"/>
          <w:b/>
          <w:bCs/>
          <w:sz w:val="28"/>
          <w:szCs w:val="28"/>
          <w:rtl/>
          <w:lang w:bidi="ar-EG"/>
        </w:rPr>
      </w:pPr>
      <w:r w:rsidRPr="00912CCE">
        <w:rPr>
          <w:rFonts w:ascii="Simplified Arabic" w:hAnsi="Simplified Arabic" w:cs="Simplified Arabic"/>
          <w:sz w:val="28"/>
          <w:szCs w:val="28"/>
          <w:rtl/>
          <w:lang w:bidi="ar-EG"/>
        </w:rPr>
        <w:t>تعزز القيادة التحويلية بيئة عمل تكون فيها القيم الأخلاقية مهمة، وهذا بدوره يساهم في تحقيق شعور بالانتماء والالتزام بالشركة بين الموظفين، مما يحسن الوحدة بين أعضاء الفريق.</w:t>
      </w:r>
    </w:p>
    <w:p w14:paraId="07532895"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b/>
          <w:bCs/>
          <w:sz w:val="28"/>
          <w:szCs w:val="28"/>
          <w:rtl/>
          <w:lang w:bidi="ar-EG"/>
        </w:rPr>
        <w:lastRenderedPageBreak/>
        <w:t>تحسين الأداء</w:t>
      </w:r>
    </w:p>
    <w:p w14:paraId="1C48971A" w14:textId="77777777" w:rsidR="00E820E4" w:rsidRPr="00912CCE" w:rsidRDefault="00E820E4" w:rsidP="00E820E4">
      <w:pPr>
        <w:pStyle w:val="ListParagraph"/>
        <w:spacing w:before="240" w:line="360" w:lineRule="auto"/>
        <w:jc w:val="both"/>
        <w:rPr>
          <w:rFonts w:ascii="Simplified Arabic" w:hAnsi="Simplified Arabic" w:cs="Simplified Arabic"/>
          <w:b/>
          <w:bCs/>
          <w:sz w:val="28"/>
          <w:szCs w:val="28"/>
          <w:rtl/>
          <w:lang w:bidi="ar-EG"/>
        </w:rPr>
      </w:pPr>
      <w:r w:rsidRPr="00912CCE">
        <w:rPr>
          <w:rFonts w:ascii="Simplified Arabic" w:hAnsi="Simplified Arabic" w:cs="Simplified Arabic"/>
          <w:sz w:val="28"/>
          <w:szCs w:val="28"/>
          <w:rtl/>
          <w:lang w:bidi="ar-EG"/>
        </w:rPr>
        <w:t>بدمج النقاط السابقة يتكون فريق من الموظفين الراضين والسعداء، مما ينعكس إيجاباً على زيادة الإنتاجية، ومن خلال تشجيع الابتكار والإبداع وتوفير الدعم الشخصي، يتمكن الموظفون من تحسين أدائهم، سواء على المستوى الفردي أو الجماعي.</w:t>
      </w:r>
    </w:p>
    <w:p w14:paraId="27D97D8D" w14:textId="77777777" w:rsidR="00E820E4" w:rsidRPr="00912CCE" w:rsidRDefault="00E820E4" w:rsidP="00E820E4">
      <w:pPr>
        <w:spacing w:before="240" w:line="360" w:lineRule="auto"/>
        <w:jc w:val="both"/>
        <w:rPr>
          <w:rFonts w:ascii="Simplified Arabic" w:hAnsi="Simplified Arabic" w:cs="Simplified Arabic"/>
          <w:b/>
          <w:bCs/>
          <w:color w:val="000000" w:themeColor="text1"/>
          <w:sz w:val="28"/>
          <w:szCs w:val="28"/>
          <w:rtl/>
          <w:lang w:bidi="ar-EG"/>
        </w:rPr>
      </w:pPr>
      <w:r w:rsidRPr="00912CCE">
        <w:rPr>
          <w:rFonts w:ascii="Simplified Arabic" w:hAnsi="Simplified Arabic" w:cs="Simplified Arabic"/>
          <w:b/>
          <w:bCs/>
          <w:color w:val="000000" w:themeColor="text1"/>
          <w:sz w:val="28"/>
          <w:szCs w:val="28"/>
          <w:rtl/>
          <w:lang w:bidi="ar-EG"/>
        </w:rPr>
        <w:t xml:space="preserve">عيوب القيادة التحويلية </w:t>
      </w:r>
    </w:p>
    <w:p w14:paraId="5DB255C9"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لا يعد هذا النمط مناسبًا للشركات التي تعمل في بيئات خاضعة للتنظيم، تعتبر القيادة التحويلية فعالة للغاية في الشركات ذات البيئات الديناميكية والمتغيرة، حيث يتعين على الموظفين التكيف والتحول باستمرار إلى ممارسات واستراتيجيات مختلفة، وعلى النقيض من ذلك، في الشركات التي لا تشهد تغييرات كبيرة في بيئتها أو تكون مهامها روتينية، دون الحاجة إلى الإبداع أو الابتكار، فإن القيادة التحويلية لن تضيف قيمة كبيرة للفريق.</w:t>
      </w:r>
    </w:p>
    <w:p w14:paraId="1D91F420"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sz w:val="28"/>
          <w:szCs w:val="28"/>
          <w:rtl/>
          <w:lang w:bidi="ar-EG"/>
        </w:rPr>
        <w:t>في حالة الأزمات التي تتطلب تدخلات وحلولًا حاسمة وسريعة، فإن القيادة التحويلية ليست الأسلوب الأمثل، لأنها تركز على مشاركة المجموعة وإلهامها، علاوة على ذلك، قد يصبح الموظفون معتمدين بشكل مفرط على القائد لتوجيههم وتحفيزهم، وهو ما قد يصبح مشكلة في حالات الطوارئ أو إذا لم يكن القائد موجودًا.</w:t>
      </w:r>
    </w:p>
    <w:p w14:paraId="034F213B"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sz w:val="28"/>
          <w:szCs w:val="28"/>
          <w:rtl/>
          <w:lang w:bidi="ar-EG"/>
        </w:rPr>
        <w:t>تتعدد متطلبات القيادة الناجحة، لكن في القيادة التحويلية الفعّالة، يصبح تحقيق هذه المتطلبات أكثر صعوبة. وقد يعاني القادة من إرهاق عاطفي، إذ قد يكون مستوى المشاركة الشخصية العالي المطلوب مرهقًا ومُثقلًا. ويُعدّ التعامل مع هذا العبء العاطفي صعبًا للغاية، لا سيما عند قيادة فريق كبير.</w:t>
      </w:r>
    </w:p>
    <w:p w14:paraId="0DBA915B" w14:textId="77777777" w:rsidR="00E820E4" w:rsidRPr="00912CCE" w:rsidRDefault="00E820E4" w:rsidP="00E820E4">
      <w:pPr>
        <w:pStyle w:val="ListParagraph"/>
        <w:numPr>
          <w:ilvl w:val="0"/>
          <w:numId w:val="90"/>
        </w:numPr>
        <w:spacing w:before="240" w:line="360" w:lineRule="auto"/>
        <w:jc w:val="both"/>
        <w:rPr>
          <w:rFonts w:ascii="Simplified Arabic" w:hAnsi="Simplified Arabic" w:cs="Simplified Arabic"/>
          <w:b/>
          <w:bCs/>
          <w:sz w:val="28"/>
          <w:szCs w:val="28"/>
          <w:lang w:bidi="ar-EG"/>
        </w:rPr>
      </w:pPr>
      <w:r w:rsidRPr="00912CCE">
        <w:rPr>
          <w:rFonts w:ascii="Simplified Arabic" w:hAnsi="Simplified Arabic" w:cs="Simplified Arabic"/>
          <w:sz w:val="28"/>
          <w:szCs w:val="28"/>
          <w:rtl/>
          <w:lang w:bidi="ar-EG"/>
        </w:rPr>
        <w:lastRenderedPageBreak/>
        <w:t>إذا كان الموظفون يعانون من انخفاض الحافز أو كان الأشخاص الذين يشكلون الفريق يجدون صعوبة في التكيف مع التغييرات، فمن الصعب للغاية تطبيق هذا النوع من القيادة، في هذه الحالات، من الأفضل عادةً اختيار أسلوب قيادة أكثر تفاعلية (</w:t>
      </w:r>
      <w:proofErr w:type="spellStart"/>
      <w:r w:rsidRPr="00912CCE">
        <w:rPr>
          <w:rFonts w:ascii="Simplified Arabic" w:hAnsi="Simplified Arabic" w:cs="Simplified Arabic"/>
          <w:sz w:val="28"/>
          <w:szCs w:val="28"/>
          <w:lang w:bidi="ar-EG"/>
        </w:rPr>
        <w:t>Ayandibu</w:t>
      </w:r>
      <w:proofErr w:type="spellEnd"/>
      <w:r w:rsidRPr="00912CCE">
        <w:rPr>
          <w:rFonts w:ascii="Simplified Arabic" w:hAnsi="Simplified Arabic" w:cs="Simplified Arabic"/>
          <w:sz w:val="28"/>
          <w:szCs w:val="28"/>
          <w:lang w:bidi="ar-EG"/>
        </w:rPr>
        <w:t>, 2024, 1090</w:t>
      </w:r>
      <w:r w:rsidRPr="00912CCE">
        <w:rPr>
          <w:rFonts w:ascii="Simplified Arabic" w:hAnsi="Simplified Arabic" w:cs="Simplified Arabic"/>
          <w:sz w:val="28"/>
          <w:szCs w:val="28"/>
          <w:rtl/>
          <w:lang w:bidi="ar-EG"/>
        </w:rPr>
        <w:t>).</w:t>
      </w:r>
    </w:p>
    <w:p w14:paraId="4966F706" w14:textId="77777777" w:rsidR="00E820E4" w:rsidRPr="00912CCE" w:rsidRDefault="00E820E4" w:rsidP="00E820E4">
      <w:pPr>
        <w:spacing w:line="360" w:lineRule="auto"/>
        <w:jc w:val="both"/>
        <w:rPr>
          <w:rFonts w:ascii="Simplified Arabic" w:hAnsi="Simplified Arabic" w:cs="Simplified Arabic"/>
          <w:sz w:val="28"/>
          <w:szCs w:val="28"/>
          <w:rtl/>
          <w:lang w:bidi="ar-EG"/>
        </w:rPr>
      </w:pPr>
      <w:r w:rsidRPr="00912CCE">
        <w:rPr>
          <w:rFonts w:ascii="Simplified Arabic" w:hAnsi="Simplified Arabic" w:cs="Simplified Arabic"/>
          <w:sz w:val="28"/>
          <w:szCs w:val="28"/>
          <w:rtl/>
          <w:lang w:bidi="ar-EG"/>
        </w:rPr>
        <w:t>أبعاد القيادة التحويلية</w:t>
      </w:r>
    </w:p>
    <w:p w14:paraId="0E1F7D0C"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قد حدد باس وأفوليو</w:t>
      </w:r>
      <w:r w:rsidRPr="00912CCE">
        <w:rPr>
          <w:rFonts w:ascii="Simplified Arabic" w:hAnsi="Simplified Arabic" w:cs="Simplified Arabic"/>
          <w:sz w:val="28"/>
          <w:szCs w:val="28"/>
        </w:rPr>
        <w:t xml:space="preserve"> (Bass &amp; Avolio, 1994) </w:t>
      </w:r>
      <w:r w:rsidRPr="00912CCE">
        <w:rPr>
          <w:rFonts w:ascii="Simplified Arabic" w:hAnsi="Simplified Arabic" w:cs="Simplified Arabic"/>
          <w:sz w:val="28"/>
          <w:szCs w:val="28"/>
          <w:rtl/>
        </w:rPr>
        <w:t>أربعة أبعاد رئيسية للقيادة التحويلية، تتمثل في</w:t>
      </w:r>
      <w:r w:rsidRPr="00912CCE">
        <w:rPr>
          <w:rFonts w:ascii="Simplified Arabic" w:hAnsi="Simplified Arabic" w:cs="Simplified Arabic"/>
          <w:sz w:val="28"/>
          <w:szCs w:val="28"/>
        </w:rPr>
        <w:t>:</w:t>
      </w:r>
    </w:p>
    <w:p w14:paraId="690CDCFF"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1</w:t>
      </w:r>
      <w:r w:rsidRPr="00912CCE">
        <w:rPr>
          <w:rFonts w:ascii="Simplified Arabic" w:hAnsi="Simplified Arabic" w:cs="Simplified Arabic"/>
          <w:sz w:val="28"/>
          <w:szCs w:val="28"/>
        </w:rPr>
        <w:t xml:space="preserve">- </w:t>
      </w:r>
      <w:r w:rsidRPr="00912CCE">
        <w:rPr>
          <w:rFonts w:ascii="Simplified Arabic" w:hAnsi="Simplified Arabic" w:cs="Simplified Arabic"/>
          <w:sz w:val="28"/>
          <w:szCs w:val="28"/>
          <w:rtl/>
        </w:rPr>
        <w:t>التأثير المثالي</w:t>
      </w:r>
      <w:r w:rsidRPr="00912CCE">
        <w:rPr>
          <w:rFonts w:ascii="Simplified Arabic" w:hAnsi="Simplified Arabic" w:cs="Simplified Arabic"/>
          <w:sz w:val="28"/>
          <w:szCs w:val="28"/>
        </w:rPr>
        <w:t xml:space="preserve"> (Idealized Influence):</w:t>
      </w:r>
    </w:p>
    <w:p w14:paraId="2D86FFD9"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يشير إلى قدرة القائد على أن يكون قدوة يحتذى بها من قبل أعضاء الفريق، حيث يتمتع بدرجة عالية من الثقة والاحترام، ويعكس قيماً ومبادئ واضحة تؤثر في سلوك الأفراد وتوجهاتهم</w:t>
      </w:r>
      <w:r w:rsidRPr="00912CCE">
        <w:rPr>
          <w:rFonts w:ascii="Simplified Arabic" w:hAnsi="Simplified Arabic" w:cs="Simplified Arabic"/>
          <w:sz w:val="28"/>
          <w:szCs w:val="28"/>
        </w:rPr>
        <w:t>.</w:t>
      </w:r>
    </w:p>
    <w:p w14:paraId="2F12002D"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2</w:t>
      </w:r>
      <w:r w:rsidRPr="00912CCE">
        <w:rPr>
          <w:rFonts w:ascii="Simplified Arabic" w:hAnsi="Simplified Arabic" w:cs="Simplified Arabic"/>
          <w:sz w:val="28"/>
          <w:szCs w:val="28"/>
        </w:rPr>
        <w:t xml:space="preserve">- </w:t>
      </w:r>
      <w:r w:rsidRPr="00912CCE">
        <w:rPr>
          <w:rFonts w:ascii="Simplified Arabic" w:hAnsi="Simplified Arabic" w:cs="Simplified Arabic"/>
          <w:sz w:val="28"/>
          <w:szCs w:val="28"/>
          <w:rtl/>
        </w:rPr>
        <w:t>التحفيز الإلهامي</w:t>
      </w:r>
      <w:r w:rsidRPr="00912CCE">
        <w:rPr>
          <w:rFonts w:ascii="Simplified Arabic" w:hAnsi="Simplified Arabic" w:cs="Simplified Arabic"/>
          <w:sz w:val="28"/>
          <w:szCs w:val="28"/>
        </w:rPr>
        <w:t xml:space="preserve"> (Inspirational Motivation):</w:t>
      </w:r>
    </w:p>
    <w:p w14:paraId="609D77BE"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يعكس قدرة القائد على تحفيز الأفراد من خلال صياغة رؤية واضحة وملهمة، وبث روح الحماس والتفاؤل، مما يدفعهم للعمل نحو تحقيق أهداف مشتركة، ويعزز التزامهم بالتوجهات التنظيمية</w:t>
      </w:r>
      <w:r w:rsidRPr="00912CCE">
        <w:rPr>
          <w:rFonts w:ascii="Simplified Arabic" w:hAnsi="Simplified Arabic" w:cs="Simplified Arabic"/>
          <w:sz w:val="28"/>
          <w:szCs w:val="28"/>
        </w:rPr>
        <w:t>.</w:t>
      </w:r>
    </w:p>
    <w:p w14:paraId="1407931C"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3</w:t>
      </w:r>
      <w:r w:rsidRPr="00912CCE">
        <w:rPr>
          <w:rFonts w:ascii="Simplified Arabic" w:hAnsi="Simplified Arabic" w:cs="Simplified Arabic"/>
          <w:sz w:val="28"/>
          <w:szCs w:val="28"/>
        </w:rPr>
        <w:t xml:space="preserve">- </w:t>
      </w:r>
      <w:r w:rsidRPr="00912CCE">
        <w:rPr>
          <w:rFonts w:ascii="Simplified Arabic" w:hAnsi="Simplified Arabic" w:cs="Simplified Arabic"/>
          <w:sz w:val="28"/>
          <w:szCs w:val="28"/>
          <w:rtl/>
        </w:rPr>
        <w:t>الاستثارة الفكرية</w:t>
      </w:r>
      <w:r w:rsidRPr="00912CCE">
        <w:rPr>
          <w:rFonts w:ascii="Simplified Arabic" w:hAnsi="Simplified Arabic" w:cs="Simplified Arabic"/>
          <w:sz w:val="28"/>
          <w:szCs w:val="28"/>
        </w:rPr>
        <w:t xml:space="preserve"> (Intellectual Stimulation):</w:t>
      </w:r>
    </w:p>
    <w:p w14:paraId="01A35FE9"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تتمثل في تشجيع الأفراد على التفكير النقدي، وتحدي الأساليب التقليدية، والبحث عن حلول جديدة ومبتكرة للمشكلات، وهو ما يسهم في تعزيز الإبداع وتطوير حلول تصميمية أكثر استدامة</w:t>
      </w:r>
      <w:r w:rsidRPr="00912CCE">
        <w:rPr>
          <w:rFonts w:ascii="Simplified Arabic" w:hAnsi="Simplified Arabic" w:cs="Simplified Arabic"/>
          <w:sz w:val="28"/>
          <w:szCs w:val="28"/>
        </w:rPr>
        <w:t>.</w:t>
      </w:r>
    </w:p>
    <w:p w14:paraId="73A30CBD"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4</w:t>
      </w:r>
      <w:r w:rsidRPr="00912CCE">
        <w:rPr>
          <w:rFonts w:ascii="Simplified Arabic" w:hAnsi="Simplified Arabic" w:cs="Simplified Arabic"/>
          <w:sz w:val="28"/>
          <w:szCs w:val="28"/>
        </w:rPr>
        <w:t xml:space="preserve">- </w:t>
      </w:r>
      <w:r w:rsidRPr="00912CCE">
        <w:rPr>
          <w:rFonts w:ascii="Simplified Arabic" w:hAnsi="Simplified Arabic" w:cs="Simplified Arabic"/>
          <w:sz w:val="28"/>
          <w:szCs w:val="28"/>
          <w:rtl/>
        </w:rPr>
        <w:t>الاعتبار الفردي</w:t>
      </w:r>
      <w:r w:rsidRPr="00912CCE">
        <w:rPr>
          <w:rFonts w:ascii="Simplified Arabic" w:hAnsi="Simplified Arabic" w:cs="Simplified Arabic"/>
          <w:sz w:val="28"/>
          <w:szCs w:val="28"/>
        </w:rPr>
        <w:t xml:space="preserve"> (Individualized Consideration):</w:t>
      </w:r>
    </w:p>
    <w:p w14:paraId="512C971C"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يشير إلى اهتمام القائد باحتياجات الأفراد وتطوير قدراتهم، من خلال تقديم الدعم والتوجيه المناسب، بما يسهم في تنمية مهاراتهم وتعزيز أدائهم</w:t>
      </w:r>
      <w:r w:rsidRPr="00912CCE">
        <w:rPr>
          <w:rFonts w:ascii="Simplified Arabic" w:hAnsi="Simplified Arabic" w:cs="Simplified Arabic"/>
          <w:sz w:val="28"/>
          <w:szCs w:val="28"/>
        </w:rPr>
        <w:t>.</w:t>
      </w:r>
    </w:p>
    <w:p w14:paraId="36ADFA7E"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وفي سياق فرق التصميم المعماري، تكتسب هذه الأبعاد أهمية خاصة، نظرًا لطبيعة العمل التي تعتمد على الإبداع والتفكير الابتكاري واتخاذ قرارات تصميمية معقدة تتعلق بالجوانب البيئية والوظيفية للمشاريع. كما أن تبني ممارسات التصميم المستدام يتطلب بيئة عمل تشجع على الابتكار، وتدعم التفكير غير التقليدي، وتعزز العمل الجماعي، وهي جميعها عناصر ترتبط بشكل مباشر بأبعاد القيادة التحويلية</w:t>
      </w:r>
      <w:r w:rsidRPr="00912CCE">
        <w:rPr>
          <w:rFonts w:ascii="Simplified Arabic" w:hAnsi="Simplified Arabic" w:cs="Simplified Arabic"/>
          <w:sz w:val="28"/>
          <w:szCs w:val="28"/>
        </w:rPr>
        <w:t>.</w:t>
      </w:r>
    </w:p>
    <w:p w14:paraId="4B6F8E23"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ومن هذا المنطلق، توفر القيادة التحويلية إطارًا نظريًا مناسبًا لتفسير كيفية تأثير القيادة في تعزيز التوجه نحو التصميم المستدام، من خلال تشكيل القيم البيئية لدى الأفراد، وتشجيعهم على تطوير حلول تصميمية مبتكرة، ودعم تبني الممارسات المستدامة داخل فرق العمل</w:t>
      </w:r>
      <w:r w:rsidRPr="00912CCE">
        <w:rPr>
          <w:rFonts w:ascii="Simplified Arabic" w:hAnsi="Simplified Arabic" w:cs="Simplified Arabic"/>
          <w:sz w:val="28"/>
          <w:szCs w:val="28"/>
        </w:rPr>
        <w:t>.</w:t>
      </w:r>
    </w:p>
    <w:p w14:paraId="11ACB0CE"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وبناءً على ذلك، تفترض هذه الدراسة أن القيادة التحويلية بأبعادها المختلفة يمكن أن تلعب دورًا جوهريًا في تعزيز التوجه نحو التصميم المستدام لدى فرق التصميم المعماري، من خلال تحفيز الإبداع، وتشجيع الابتكار، وتوجيه الجهود نحو تحقيق أهداف الاستدامة داخل بيئة العمل.</w:t>
      </w:r>
    </w:p>
    <w:p w14:paraId="29078B61" w14:textId="77777777" w:rsidR="00E820E4" w:rsidRPr="00912CCE" w:rsidRDefault="00E820E4" w:rsidP="00E820E4">
      <w:pPr>
        <w:spacing w:line="360" w:lineRule="auto"/>
        <w:jc w:val="both"/>
        <w:rPr>
          <w:rFonts w:ascii="Simplified Arabic" w:hAnsi="Simplified Arabic" w:cs="Simplified Arabic"/>
          <w:sz w:val="28"/>
          <w:szCs w:val="28"/>
          <w:rtl/>
        </w:rPr>
      </w:pPr>
    </w:p>
    <w:p w14:paraId="217AD917"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ضوء ما سبق، يمكن توظيف نظرية القيادة التحويلية لتفسير التوجه نحو التصميم المستدام داخل فرق التصميم المعماري، حيث تسهم هذه القيادة في تشكيل القيم المهنية للأفراد وتعزيز وعيهم بالقضايا البيئية، من خلال التأثير المثالي الذي يعكس التزام القائد بالممارسات المستدامة. كما يدعم التحفيز الإلهامي بناء رؤية مشتركة ترتبط بأهداف الاستدامة، في حين تسهم الاستثارة الفكرية في تشجيع الأفراد على تطوير حلول تصميمية مبتكرة تتجاوز الأساليب التقليدية نحو بدائل أكثر كفاءة واستدامة. أما الاعتبار الفردي، فيعزز من انخراط الأفراد في تبني هذه الممارسات من خلال دعم احتياجاتهم وتطوير قدراتهم. ومن ثم، توفر نظرية القيادة التحويلية إطارًا تفسيريًا لفهم كيفية تأثير القيادة في توجيه سلوك فرق التصميم نحو تبني ممارسات التصميم المستدام.</w:t>
      </w:r>
    </w:p>
    <w:p w14:paraId="00E6FA76" w14:textId="77777777" w:rsidR="00E820E4" w:rsidRPr="00912CCE" w:rsidRDefault="00E820E4" w:rsidP="00E820E4">
      <w:pPr>
        <w:spacing w:line="360" w:lineRule="auto"/>
        <w:jc w:val="both"/>
        <w:rPr>
          <w:rFonts w:ascii="Simplified Arabic" w:hAnsi="Simplified Arabic" w:cs="Simplified Arabic"/>
          <w:sz w:val="28"/>
          <w:szCs w:val="28"/>
          <w:rtl/>
        </w:rPr>
      </w:pPr>
    </w:p>
    <w:p w14:paraId="38232FB3"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ثانيًا: التوجه نحو التصميم المستدام (</w:t>
      </w:r>
      <w:r w:rsidRPr="00912CCE">
        <w:rPr>
          <w:rFonts w:ascii="Simplified Arabic" w:hAnsi="Simplified Arabic" w:cs="Simplified Arabic"/>
          <w:b/>
          <w:bCs/>
          <w:sz w:val="28"/>
          <w:szCs w:val="28"/>
        </w:rPr>
        <w:t>Sustainable Design Orientation</w:t>
      </w:r>
      <w:r w:rsidRPr="00912CCE">
        <w:rPr>
          <w:rFonts w:ascii="Simplified Arabic" w:hAnsi="Simplified Arabic" w:cs="Simplified Arabic"/>
          <w:b/>
          <w:bCs/>
          <w:sz w:val="28"/>
          <w:szCs w:val="28"/>
          <w:rtl/>
        </w:rPr>
        <w:t>):</w:t>
      </w:r>
    </w:p>
    <w:p w14:paraId="38E9ADA9"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يشير التوجه نحو التصميم المستدام إلى مدى تبني الأفراد أو الفرق أو المؤسسات للمفاهيم والممارسات التي تراعي الأبعاد البيئية والاجتماعية والاقتصادية في العملية التصميمية، بما يحد من الآثار السلبية على البيئة ويعزز كفاءة استخدام الموارد على المدى الطويل. وفي السياق المعماري، لا يُنظر إلى الاستدامة بوصفها مفهومًا عامًا، بل كمجموعة من القرارات التصميمية المرتبطة بكفاءة الطاقة، واختيار المواد، وتحسين الأداء البيئي للمباني، بحيث تصبح جزءًا لا يتجزأ من عملية اتخاذ القرار التصميمي (</w:t>
      </w:r>
      <w:r w:rsidRPr="00912CCE">
        <w:rPr>
          <w:rFonts w:ascii="Simplified Arabic" w:hAnsi="Simplified Arabic" w:cs="Simplified Arabic"/>
          <w:sz w:val="28"/>
          <w:szCs w:val="28"/>
        </w:rPr>
        <w:t>Kibert, 2016</w:t>
      </w:r>
      <w:r w:rsidRPr="00912CCE">
        <w:rPr>
          <w:rFonts w:ascii="Simplified Arabic" w:hAnsi="Simplified Arabic" w:cs="Simplified Arabic"/>
          <w:sz w:val="28"/>
          <w:szCs w:val="28"/>
          <w:rtl/>
        </w:rPr>
        <w:t>).</w:t>
      </w:r>
    </w:p>
    <w:p w14:paraId="77B80435" w14:textId="77777777" w:rsidR="00E820E4"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وقد ازداد الاهتمام بالتصميم المستدام نتيجة لما يمثله قطاع البناء من أثر كبير على استهلاك الطاقة والانبعاثات الكربونية واستخدام الموارد الطبيعية، مما جعل من الضروري دمج اعتبارات مثل كفاءة الطاقة، واستخدام المواد الصديقة للبيئة، وتقليل النفايات، وتحسين الأداء البيئي للمباني خلال دورة حياتها (</w:t>
      </w:r>
      <w:r w:rsidRPr="00912CCE">
        <w:rPr>
          <w:rFonts w:ascii="Simplified Arabic" w:hAnsi="Simplified Arabic" w:cs="Simplified Arabic"/>
          <w:sz w:val="28"/>
          <w:szCs w:val="28"/>
        </w:rPr>
        <w:t>UNEP, 2021</w:t>
      </w:r>
      <w:r w:rsidRPr="00912CCE">
        <w:rPr>
          <w:rFonts w:ascii="Simplified Arabic" w:hAnsi="Simplified Arabic" w:cs="Simplified Arabic"/>
          <w:sz w:val="28"/>
          <w:szCs w:val="28"/>
          <w:rtl/>
        </w:rPr>
        <w:t>).</w:t>
      </w:r>
    </w:p>
    <w:p w14:paraId="698660F5" w14:textId="77777777" w:rsidR="00E820E4" w:rsidRPr="000868E1" w:rsidRDefault="00E820E4" w:rsidP="00E820E4">
      <w:pPr>
        <w:spacing w:before="240" w:line="360" w:lineRule="auto"/>
        <w:jc w:val="both"/>
        <w:rPr>
          <w:rFonts w:ascii="Simplified Arabic" w:hAnsi="Simplified Arabic" w:cs="Simplified Arabic"/>
          <w:b/>
          <w:bCs/>
          <w:sz w:val="28"/>
          <w:szCs w:val="28"/>
          <w:rtl/>
          <w:lang w:bidi="ar-EG"/>
        </w:rPr>
      </w:pPr>
      <w:r w:rsidRPr="000868E1">
        <w:rPr>
          <w:rFonts w:ascii="Simplified Arabic" w:hAnsi="Simplified Arabic" w:cs="Simplified Arabic"/>
          <w:b/>
          <w:bCs/>
          <w:sz w:val="28"/>
          <w:szCs w:val="28"/>
          <w:rtl/>
          <w:lang w:bidi="ar-EG"/>
        </w:rPr>
        <w:t>مفهوم التصميم المستدام:</w:t>
      </w:r>
    </w:p>
    <w:p w14:paraId="63429302"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التصميم المستدام هو منظومة تصميمية تهدف إلى دمج المبنى والموقع بطريقة متكاملة مع الطبيعة، مستغلة أقل الموارد لتحقيق أقصى استفادة. يركز على استخدام خصائص البيئة الطبيعية لتشكيل فضاءات متوازنة بيئيًا، تجمع بين الفراغات الداخلية والخارجية، وتنسجم مع المحيط الحيوي، بحيث يكون المبنى جزءًا متكاملًا وحيويًا من البيئة (النجادي وعبد الكريم، 2018، ص. 190)</w:t>
      </w:r>
      <w:r w:rsidRPr="000868E1">
        <w:rPr>
          <w:rFonts w:ascii="Simplified Arabic" w:hAnsi="Simplified Arabic" w:cs="Simplified Arabic"/>
          <w:sz w:val="28"/>
          <w:szCs w:val="28"/>
          <w:lang w:bidi="ar-EG"/>
        </w:rPr>
        <w:t>.</w:t>
      </w:r>
    </w:p>
    <w:p w14:paraId="0C0EA52C" w14:textId="77777777" w:rsidR="00E820E4" w:rsidRPr="000868E1" w:rsidRDefault="00E820E4" w:rsidP="00E820E4">
      <w:pPr>
        <w:spacing w:before="240" w:line="360" w:lineRule="auto"/>
        <w:jc w:val="both"/>
        <w:rPr>
          <w:rFonts w:ascii="Simplified Arabic" w:hAnsi="Simplified Arabic" w:cs="Simplified Arabic"/>
          <w:b/>
          <w:bCs/>
          <w:sz w:val="28"/>
          <w:szCs w:val="28"/>
          <w:rtl/>
          <w:lang w:bidi="ar-EG"/>
        </w:rPr>
      </w:pPr>
      <w:r w:rsidRPr="000868E1">
        <w:rPr>
          <w:rFonts w:ascii="Simplified Arabic" w:hAnsi="Simplified Arabic" w:cs="Simplified Arabic"/>
          <w:b/>
          <w:bCs/>
          <w:sz w:val="28"/>
          <w:szCs w:val="28"/>
          <w:rtl/>
          <w:lang w:bidi="ar-EG"/>
        </w:rPr>
        <w:t>مبادئ التصميم المستدام</w:t>
      </w:r>
    </w:p>
    <w:p w14:paraId="28E33C9D"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lastRenderedPageBreak/>
        <w:t>لتحقيق التصميم المستدام، يجب اتباع مبادئ توجيهية توجه المصممين نحو حلول مستدامة، أهمها(النجادي وعبد الكريم، 2018، ص. 193)</w:t>
      </w:r>
      <w:r w:rsidRPr="000868E1">
        <w:rPr>
          <w:rFonts w:ascii="Simplified Arabic" w:hAnsi="Simplified Arabic" w:cs="Simplified Arabic"/>
          <w:sz w:val="28"/>
          <w:szCs w:val="28"/>
          <w:lang w:bidi="ar-EG"/>
        </w:rPr>
        <w:t>:</w:t>
      </w:r>
    </w:p>
    <w:p w14:paraId="30990C48"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دراسة المكان: فهم الموقع وخصائصه الطبيعية لتحديد أفضل الممارسات مثل استخدام الطاقة الشمسية والحفاظ على البيئة</w:t>
      </w:r>
      <w:r w:rsidRPr="000868E1">
        <w:rPr>
          <w:rFonts w:ascii="Simplified Arabic" w:hAnsi="Simplified Arabic" w:cs="Simplified Arabic"/>
          <w:sz w:val="28"/>
          <w:szCs w:val="28"/>
          <w:lang w:bidi="ar-EG"/>
        </w:rPr>
        <w:t>.</w:t>
      </w:r>
    </w:p>
    <w:p w14:paraId="7A78F74D"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التواصل مع الطبيعة: دمج المبنى مع البيئة المحيطة لتعزيز راحة المستخدمين واندماج المبنى في محيطه</w:t>
      </w:r>
      <w:r w:rsidRPr="000868E1">
        <w:rPr>
          <w:rFonts w:ascii="Simplified Arabic" w:hAnsi="Simplified Arabic" w:cs="Simplified Arabic"/>
          <w:sz w:val="28"/>
          <w:szCs w:val="28"/>
          <w:lang w:bidi="ar-EG"/>
        </w:rPr>
        <w:t>.</w:t>
      </w:r>
    </w:p>
    <w:p w14:paraId="0DB43A50"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إدراك العمليات الطبيعية: الاستفادة من الأنظمة الطبيعية في إعادة التوليد وتقليل النفايات من خلال اتباع الحلقات المغلقة للطاقة والمواد</w:t>
      </w:r>
      <w:r w:rsidRPr="000868E1">
        <w:rPr>
          <w:rFonts w:ascii="Simplified Arabic" w:hAnsi="Simplified Arabic" w:cs="Simplified Arabic"/>
          <w:sz w:val="28"/>
          <w:szCs w:val="28"/>
          <w:lang w:bidi="ar-EG"/>
        </w:rPr>
        <w:t>.</w:t>
      </w:r>
    </w:p>
    <w:p w14:paraId="562DD3EC"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دراسة الأثر البيئي: تقليل التأثير السلبي على البيئة من خلال الاستخدام المستدام وإعادة التدوير</w:t>
      </w:r>
      <w:r w:rsidRPr="000868E1">
        <w:rPr>
          <w:rFonts w:ascii="Simplified Arabic" w:hAnsi="Simplified Arabic" w:cs="Simplified Arabic"/>
          <w:sz w:val="28"/>
          <w:szCs w:val="28"/>
          <w:lang w:bidi="ar-EG"/>
        </w:rPr>
        <w:t>.</w:t>
      </w:r>
    </w:p>
    <w:p w14:paraId="3727DBCD"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دراسة الطبيعة البشرية: مراعاة ثقافات وعادات المستخدمين الذين سيعيشون في البيئة المبنية</w:t>
      </w:r>
      <w:r w:rsidRPr="000868E1">
        <w:rPr>
          <w:rFonts w:ascii="Simplified Arabic" w:hAnsi="Simplified Arabic" w:cs="Simplified Arabic"/>
          <w:sz w:val="28"/>
          <w:szCs w:val="28"/>
          <w:lang w:bidi="ar-EG"/>
        </w:rPr>
        <w:t>.</w:t>
      </w:r>
    </w:p>
    <w:p w14:paraId="0F2823DD" w14:textId="77777777" w:rsidR="00E820E4" w:rsidRPr="000868E1" w:rsidRDefault="00E820E4" w:rsidP="00E820E4">
      <w:pPr>
        <w:spacing w:before="240" w:line="360" w:lineRule="auto"/>
        <w:jc w:val="both"/>
        <w:rPr>
          <w:rFonts w:ascii="Simplified Arabic" w:hAnsi="Simplified Arabic" w:cs="Simplified Arabic"/>
          <w:b/>
          <w:bCs/>
          <w:sz w:val="28"/>
          <w:szCs w:val="28"/>
          <w:rtl/>
          <w:lang w:bidi="ar-EG"/>
        </w:rPr>
      </w:pPr>
      <w:r w:rsidRPr="000868E1">
        <w:rPr>
          <w:rFonts w:ascii="Simplified Arabic" w:hAnsi="Simplified Arabic" w:cs="Simplified Arabic"/>
          <w:b/>
          <w:bCs/>
          <w:sz w:val="28"/>
          <w:szCs w:val="28"/>
          <w:rtl/>
          <w:lang w:bidi="ar-EG"/>
        </w:rPr>
        <w:t>أنواع التصميم المستدام</w:t>
      </w:r>
    </w:p>
    <w:p w14:paraId="11F48757"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التصميم البيئي</w:t>
      </w:r>
      <w:r w:rsidRPr="000868E1">
        <w:rPr>
          <w:rFonts w:ascii="Simplified Arabic" w:hAnsi="Simplified Arabic" w:cs="Simplified Arabic"/>
          <w:sz w:val="28"/>
          <w:szCs w:val="28"/>
          <w:lang w:bidi="ar-EG"/>
        </w:rPr>
        <w:t xml:space="preserve"> (Ecological Design): </w:t>
      </w:r>
      <w:r w:rsidRPr="000868E1">
        <w:rPr>
          <w:rFonts w:ascii="Simplified Arabic" w:hAnsi="Simplified Arabic" w:cs="Simplified Arabic"/>
          <w:sz w:val="28"/>
          <w:szCs w:val="28"/>
          <w:rtl/>
          <w:lang w:bidi="ar-EG"/>
        </w:rPr>
        <w:t>يهدف إلى إنشاء مبانٍ تقلل الضرر البيئي وتدعم التنوع البيولوجي</w:t>
      </w:r>
      <w:r w:rsidRPr="000868E1">
        <w:rPr>
          <w:rFonts w:ascii="Simplified Arabic" w:hAnsi="Simplified Arabic" w:cs="Simplified Arabic"/>
          <w:sz w:val="28"/>
          <w:szCs w:val="28"/>
          <w:lang w:bidi="ar-EG"/>
        </w:rPr>
        <w:t>.</w:t>
      </w:r>
    </w:p>
    <w:p w14:paraId="6CF8D4F7"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تصميم موفر للطاقة</w:t>
      </w:r>
      <w:r w:rsidRPr="000868E1">
        <w:rPr>
          <w:rFonts w:ascii="Simplified Arabic" w:hAnsi="Simplified Arabic" w:cs="Simplified Arabic"/>
          <w:sz w:val="28"/>
          <w:szCs w:val="28"/>
          <w:lang w:bidi="ar-EG"/>
        </w:rPr>
        <w:t xml:space="preserve"> (Energy-efficient Design): </w:t>
      </w:r>
      <w:r w:rsidRPr="000868E1">
        <w:rPr>
          <w:rFonts w:ascii="Simplified Arabic" w:hAnsi="Simplified Arabic" w:cs="Simplified Arabic"/>
          <w:sz w:val="28"/>
          <w:szCs w:val="28"/>
          <w:rtl/>
          <w:lang w:bidi="ar-EG"/>
        </w:rPr>
        <w:t>يركز على تقليل استهلاك الطاقة من خلال العزل والإضاءة وأنظمة التدفئة والتبريد الفعالة</w:t>
      </w:r>
      <w:r w:rsidRPr="000868E1">
        <w:rPr>
          <w:rFonts w:ascii="Simplified Arabic" w:hAnsi="Simplified Arabic" w:cs="Simplified Arabic"/>
          <w:sz w:val="28"/>
          <w:szCs w:val="28"/>
          <w:lang w:bidi="ar-EG"/>
        </w:rPr>
        <w:t>.</w:t>
      </w:r>
    </w:p>
    <w:p w14:paraId="210F090F"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تصميم من المهد إلى المهد</w:t>
      </w:r>
      <w:r w:rsidRPr="000868E1">
        <w:rPr>
          <w:rFonts w:ascii="Simplified Arabic" w:hAnsi="Simplified Arabic" w:cs="Simplified Arabic"/>
          <w:sz w:val="28"/>
          <w:szCs w:val="28"/>
          <w:lang w:bidi="ar-EG"/>
        </w:rPr>
        <w:t xml:space="preserve"> (Cradle-to-Cradle Design): </w:t>
      </w:r>
      <w:r w:rsidRPr="000868E1">
        <w:rPr>
          <w:rFonts w:ascii="Simplified Arabic" w:hAnsi="Simplified Arabic" w:cs="Simplified Arabic"/>
          <w:sz w:val="28"/>
          <w:szCs w:val="28"/>
          <w:rtl/>
          <w:lang w:bidi="ar-EG"/>
        </w:rPr>
        <w:t>إنشاء منتجات ومباني يمكن إعادة استخدامها أو تدويرها لتقليل النفايات</w:t>
      </w:r>
      <w:r w:rsidRPr="000868E1">
        <w:rPr>
          <w:rFonts w:ascii="Simplified Arabic" w:hAnsi="Simplified Arabic" w:cs="Simplified Arabic"/>
          <w:sz w:val="28"/>
          <w:szCs w:val="28"/>
          <w:lang w:bidi="ar-EG"/>
        </w:rPr>
        <w:t>.</w:t>
      </w:r>
    </w:p>
    <w:p w14:paraId="58DB4BB4"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lastRenderedPageBreak/>
        <w:t>التصميم البيوفيلي</w:t>
      </w:r>
      <w:r w:rsidRPr="000868E1">
        <w:rPr>
          <w:rFonts w:ascii="Simplified Arabic" w:hAnsi="Simplified Arabic" w:cs="Simplified Arabic"/>
          <w:sz w:val="28"/>
          <w:szCs w:val="28"/>
          <w:lang w:bidi="ar-EG"/>
        </w:rPr>
        <w:t xml:space="preserve"> (Biophilic Design): </w:t>
      </w:r>
      <w:r w:rsidRPr="000868E1">
        <w:rPr>
          <w:rFonts w:ascii="Simplified Arabic" w:hAnsi="Simplified Arabic" w:cs="Simplified Arabic"/>
          <w:sz w:val="28"/>
          <w:szCs w:val="28"/>
          <w:rtl/>
          <w:lang w:bidi="ar-EG"/>
        </w:rPr>
        <w:t>دمج العناصر الطبيعية لتحسين صحة ورفاهية الإنسان وتعزيز الارتباط بالطبيعة</w:t>
      </w:r>
      <w:r w:rsidRPr="000868E1">
        <w:rPr>
          <w:rFonts w:ascii="Simplified Arabic" w:hAnsi="Simplified Arabic" w:cs="Simplified Arabic"/>
          <w:sz w:val="28"/>
          <w:szCs w:val="28"/>
          <w:lang w:bidi="ar-EG"/>
        </w:rPr>
        <w:t>.</w:t>
      </w:r>
    </w:p>
    <w:p w14:paraId="6FF42EA0"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التصميم المسؤول اجتماعيًا</w:t>
      </w:r>
      <w:r w:rsidRPr="000868E1">
        <w:rPr>
          <w:rFonts w:ascii="Simplified Arabic" w:hAnsi="Simplified Arabic" w:cs="Simplified Arabic"/>
          <w:sz w:val="28"/>
          <w:szCs w:val="28"/>
          <w:lang w:bidi="ar-EG"/>
        </w:rPr>
        <w:t xml:space="preserve"> (Socially Responsible Design): </w:t>
      </w:r>
      <w:r w:rsidRPr="000868E1">
        <w:rPr>
          <w:rFonts w:ascii="Simplified Arabic" w:hAnsi="Simplified Arabic" w:cs="Simplified Arabic"/>
          <w:sz w:val="28"/>
          <w:szCs w:val="28"/>
          <w:rtl/>
          <w:lang w:bidi="ar-EG"/>
        </w:rPr>
        <w:t>تصميم منتجات ومساحات عادلة ومتاحة للجميع، تدعم العدالة الاجتماعية والاقتصادية</w:t>
      </w:r>
      <w:r w:rsidRPr="000868E1">
        <w:rPr>
          <w:rFonts w:ascii="Simplified Arabic" w:hAnsi="Simplified Arabic" w:cs="Simplified Arabic"/>
          <w:sz w:val="28"/>
          <w:szCs w:val="28"/>
          <w:lang w:bidi="ar-EG"/>
        </w:rPr>
        <w:t>.</w:t>
      </w:r>
    </w:p>
    <w:p w14:paraId="05ADA218" w14:textId="77777777" w:rsidR="00E820E4" w:rsidRPr="000868E1" w:rsidRDefault="00E820E4" w:rsidP="00E820E4">
      <w:pPr>
        <w:spacing w:before="240" w:line="360" w:lineRule="auto"/>
        <w:jc w:val="both"/>
        <w:rPr>
          <w:rFonts w:ascii="Simplified Arabic" w:hAnsi="Simplified Arabic" w:cs="Simplified Arabic"/>
          <w:b/>
          <w:bCs/>
          <w:sz w:val="28"/>
          <w:szCs w:val="28"/>
          <w:rtl/>
          <w:lang w:bidi="ar-EG"/>
        </w:rPr>
      </w:pPr>
      <w:r w:rsidRPr="000868E1">
        <w:rPr>
          <w:rFonts w:ascii="Simplified Arabic" w:hAnsi="Simplified Arabic" w:cs="Simplified Arabic"/>
          <w:sz w:val="28"/>
          <w:szCs w:val="28"/>
          <w:rtl/>
          <w:lang w:bidi="ar-EG"/>
        </w:rPr>
        <w:t>التصميم العام</w:t>
      </w:r>
      <w:r w:rsidRPr="000868E1">
        <w:rPr>
          <w:rFonts w:ascii="Simplified Arabic" w:hAnsi="Simplified Arabic" w:cs="Simplified Arabic"/>
          <w:sz w:val="28"/>
          <w:szCs w:val="28"/>
          <w:lang w:bidi="ar-EG"/>
        </w:rPr>
        <w:t xml:space="preserve"> (Universal Design): </w:t>
      </w:r>
      <w:r w:rsidRPr="000868E1">
        <w:rPr>
          <w:rFonts w:ascii="Simplified Arabic" w:hAnsi="Simplified Arabic" w:cs="Simplified Arabic"/>
          <w:sz w:val="28"/>
          <w:szCs w:val="28"/>
          <w:rtl/>
          <w:lang w:bidi="ar-EG"/>
        </w:rPr>
        <w:t>إنشاء منتجات وبيئات يمكن الوصول إليها واستخدامها من قبل أكبر عدد ممكن من الأشخاص بغض النظر عن العمر أو القدرة</w:t>
      </w:r>
      <w:r w:rsidRPr="000868E1">
        <w:rPr>
          <w:rFonts w:ascii="Simplified Arabic" w:hAnsi="Simplified Arabic" w:cs="Simplified Arabic"/>
          <w:b/>
          <w:bCs/>
          <w:sz w:val="28"/>
          <w:szCs w:val="28"/>
          <w:rtl/>
          <w:lang w:bidi="ar-EG"/>
        </w:rPr>
        <w:t>(القيسي، 2023، 73)</w:t>
      </w:r>
      <w:r w:rsidRPr="000868E1">
        <w:rPr>
          <w:rFonts w:ascii="Simplified Arabic" w:hAnsi="Simplified Arabic" w:cs="Simplified Arabic"/>
          <w:b/>
          <w:bCs/>
          <w:sz w:val="28"/>
          <w:szCs w:val="28"/>
          <w:lang w:bidi="ar-EG"/>
        </w:rPr>
        <w:t>.</w:t>
      </w:r>
    </w:p>
    <w:p w14:paraId="713030D5" w14:textId="77777777" w:rsidR="00E820E4" w:rsidRPr="000868E1" w:rsidRDefault="00E820E4" w:rsidP="00E820E4">
      <w:pPr>
        <w:spacing w:before="240" w:line="360" w:lineRule="auto"/>
        <w:jc w:val="both"/>
        <w:rPr>
          <w:rFonts w:ascii="Simplified Arabic" w:hAnsi="Simplified Arabic" w:cs="Simplified Arabic"/>
          <w:b/>
          <w:bCs/>
          <w:sz w:val="28"/>
          <w:szCs w:val="28"/>
          <w:rtl/>
          <w:lang w:bidi="ar-EG"/>
        </w:rPr>
      </w:pPr>
      <w:r w:rsidRPr="000868E1">
        <w:rPr>
          <w:rFonts w:ascii="Simplified Arabic" w:hAnsi="Simplified Arabic" w:cs="Simplified Arabic"/>
          <w:b/>
          <w:bCs/>
          <w:sz w:val="28"/>
          <w:szCs w:val="28"/>
          <w:rtl/>
          <w:lang w:bidi="ar-EG"/>
        </w:rPr>
        <w:t>معايير التصميم المستدام</w:t>
      </w:r>
    </w:p>
    <w:p w14:paraId="60CE4B78"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دورة الحياة</w:t>
      </w:r>
      <w:r w:rsidRPr="000868E1">
        <w:rPr>
          <w:rFonts w:ascii="Simplified Arabic" w:hAnsi="Simplified Arabic" w:cs="Simplified Arabic"/>
          <w:sz w:val="28"/>
          <w:szCs w:val="28"/>
          <w:lang w:bidi="ar-EG"/>
        </w:rPr>
        <w:t xml:space="preserve"> (Life Cycle Thinking): </w:t>
      </w:r>
      <w:r w:rsidRPr="000868E1">
        <w:rPr>
          <w:rFonts w:ascii="Simplified Arabic" w:hAnsi="Simplified Arabic" w:cs="Simplified Arabic"/>
          <w:sz w:val="28"/>
          <w:szCs w:val="28"/>
          <w:rtl/>
          <w:lang w:bidi="ar-EG"/>
        </w:rPr>
        <w:t>مراعاة دورة حياة المبنى أو المنتج من الإنتاج وحتى التخلص</w:t>
      </w:r>
      <w:r w:rsidRPr="000868E1">
        <w:rPr>
          <w:rFonts w:ascii="Simplified Arabic" w:hAnsi="Simplified Arabic" w:cs="Simplified Arabic"/>
          <w:sz w:val="28"/>
          <w:szCs w:val="28"/>
          <w:lang w:bidi="ar-EG"/>
        </w:rPr>
        <w:t>.</w:t>
      </w:r>
    </w:p>
    <w:p w14:paraId="6532309B"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كفاءة الطاقة: تقليل استهلاك الطاقة باستخدام مواد فعالة وأنظمة مستدامة</w:t>
      </w:r>
      <w:r w:rsidRPr="000868E1">
        <w:rPr>
          <w:rFonts w:ascii="Simplified Arabic" w:hAnsi="Simplified Arabic" w:cs="Simplified Arabic"/>
          <w:sz w:val="28"/>
          <w:szCs w:val="28"/>
          <w:lang w:bidi="ar-EG"/>
        </w:rPr>
        <w:t>.</w:t>
      </w:r>
    </w:p>
    <w:p w14:paraId="517F875E"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الحفاظ على المياه: تقليل استهلاك المياه وإعادة تدويرها واستخدام مياه الأمطار</w:t>
      </w:r>
      <w:r w:rsidRPr="000868E1">
        <w:rPr>
          <w:rFonts w:ascii="Simplified Arabic" w:hAnsi="Simplified Arabic" w:cs="Simplified Arabic"/>
          <w:sz w:val="28"/>
          <w:szCs w:val="28"/>
          <w:lang w:bidi="ar-EG"/>
        </w:rPr>
        <w:t>.</w:t>
      </w:r>
    </w:p>
    <w:p w14:paraId="247911EB"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اختيار المواد: استخدام مواد منخفضة التأثير البيئي ومعاد تدويرها أو قابلة للتحلل</w:t>
      </w:r>
      <w:r w:rsidRPr="000868E1">
        <w:rPr>
          <w:rFonts w:ascii="Simplified Arabic" w:hAnsi="Simplified Arabic" w:cs="Simplified Arabic"/>
          <w:sz w:val="28"/>
          <w:szCs w:val="28"/>
          <w:lang w:bidi="ar-EG"/>
        </w:rPr>
        <w:t>.</w:t>
      </w:r>
    </w:p>
    <w:p w14:paraId="53B12602"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تقليل النفايات: تصميم المنتجات والمباني لتقليل النفايات وإعادة التدوير</w:t>
      </w:r>
      <w:r w:rsidRPr="000868E1">
        <w:rPr>
          <w:rFonts w:ascii="Simplified Arabic" w:hAnsi="Simplified Arabic" w:cs="Simplified Arabic"/>
          <w:sz w:val="28"/>
          <w:szCs w:val="28"/>
          <w:lang w:bidi="ar-EG"/>
        </w:rPr>
        <w:t>.</w:t>
      </w:r>
    </w:p>
    <w:p w14:paraId="4E0BF910"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صحة الإنسان ورفاهيته: استخدام مواد آمنة وتحسين جودة الهواء والإضاءة والتهوية</w:t>
      </w:r>
      <w:r w:rsidRPr="000868E1">
        <w:rPr>
          <w:rFonts w:ascii="Simplified Arabic" w:hAnsi="Simplified Arabic" w:cs="Simplified Arabic"/>
          <w:sz w:val="28"/>
          <w:szCs w:val="28"/>
          <w:lang w:bidi="ar-EG"/>
        </w:rPr>
        <w:t>.</w:t>
      </w:r>
    </w:p>
    <w:p w14:paraId="3C5EA897"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العدالة الاجتماعية: تصميم مساحات يمكن الوصول إليها لجميع المستخدمين، مع مراعاة احتياجات الفئات المحرومة</w:t>
      </w:r>
      <w:r w:rsidRPr="000868E1">
        <w:rPr>
          <w:rFonts w:ascii="Simplified Arabic" w:hAnsi="Simplified Arabic" w:cs="Simplified Arabic"/>
          <w:sz w:val="28"/>
          <w:szCs w:val="28"/>
          <w:lang w:bidi="ar-EG"/>
        </w:rPr>
        <w:t>.</w:t>
      </w:r>
    </w:p>
    <w:p w14:paraId="1676712A"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الجدوى الاقتصادية: تحسين التكاليف التشغيلية وزيادة كفاءة الاستثمار على المدى الطويل</w:t>
      </w:r>
      <w:r w:rsidRPr="000868E1">
        <w:rPr>
          <w:rFonts w:ascii="Simplified Arabic" w:hAnsi="Simplified Arabic" w:cs="Simplified Arabic"/>
          <w:sz w:val="28"/>
          <w:szCs w:val="28"/>
          <w:lang w:bidi="ar-EG"/>
        </w:rPr>
        <w:t>.</w:t>
      </w:r>
    </w:p>
    <w:p w14:paraId="58E01699"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lastRenderedPageBreak/>
        <w:t>التقليد الحيوي</w:t>
      </w:r>
      <w:r w:rsidRPr="000868E1">
        <w:rPr>
          <w:rFonts w:ascii="Simplified Arabic" w:hAnsi="Simplified Arabic" w:cs="Simplified Arabic"/>
          <w:sz w:val="28"/>
          <w:szCs w:val="28"/>
          <w:lang w:bidi="ar-EG"/>
        </w:rPr>
        <w:t xml:space="preserve"> (Biomimicry): </w:t>
      </w:r>
      <w:r w:rsidRPr="000868E1">
        <w:rPr>
          <w:rFonts w:ascii="Simplified Arabic" w:hAnsi="Simplified Arabic" w:cs="Simplified Arabic"/>
          <w:sz w:val="28"/>
          <w:szCs w:val="28"/>
          <w:rtl/>
          <w:lang w:bidi="ar-EG"/>
        </w:rPr>
        <w:t>استلهام حلول التصميم من الطبيعة لتحسين الكفاءة والمرونة</w:t>
      </w:r>
      <w:r w:rsidRPr="000868E1">
        <w:rPr>
          <w:rFonts w:ascii="Simplified Arabic" w:hAnsi="Simplified Arabic" w:cs="Simplified Arabic"/>
          <w:sz w:val="28"/>
          <w:szCs w:val="28"/>
          <w:lang w:bidi="ar-EG"/>
        </w:rPr>
        <w:t>.</w:t>
      </w:r>
    </w:p>
    <w:p w14:paraId="27CFCA38" w14:textId="77777777" w:rsidR="00E820E4" w:rsidRPr="000868E1" w:rsidRDefault="00E820E4" w:rsidP="00E820E4">
      <w:pPr>
        <w:spacing w:before="240" w:line="360" w:lineRule="auto"/>
        <w:jc w:val="both"/>
        <w:rPr>
          <w:rFonts w:ascii="Simplified Arabic" w:hAnsi="Simplified Arabic" w:cs="Simplified Arabic"/>
          <w:sz w:val="28"/>
          <w:szCs w:val="28"/>
          <w:rtl/>
          <w:lang w:bidi="ar-EG"/>
        </w:rPr>
      </w:pPr>
      <w:r w:rsidRPr="000868E1">
        <w:rPr>
          <w:rFonts w:ascii="Simplified Arabic" w:hAnsi="Simplified Arabic" w:cs="Simplified Arabic"/>
          <w:sz w:val="28"/>
          <w:szCs w:val="28"/>
          <w:rtl/>
          <w:lang w:bidi="ar-EG"/>
        </w:rPr>
        <w:t>استخدام الطاقة المتجددة: دمج الأسطح الخضراء والجدران الحية لتعزيز التنوع البيولوجي وجودة الهواء</w:t>
      </w:r>
      <w:r w:rsidRPr="000868E1">
        <w:rPr>
          <w:rFonts w:ascii="Simplified Arabic" w:hAnsi="Simplified Arabic" w:cs="Simplified Arabic"/>
          <w:sz w:val="28"/>
          <w:szCs w:val="28"/>
          <w:lang w:bidi="ar-EG"/>
        </w:rPr>
        <w:t>.</w:t>
      </w:r>
    </w:p>
    <w:p w14:paraId="698D89A1" w14:textId="77777777" w:rsidR="00E820E4" w:rsidRPr="000868E1" w:rsidRDefault="00E820E4" w:rsidP="00E820E4">
      <w:pPr>
        <w:spacing w:before="240" w:line="360" w:lineRule="auto"/>
        <w:jc w:val="both"/>
        <w:rPr>
          <w:rFonts w:ascii="Simplified Arabic" w:hAnsi="Simplified Arabic" w:cs="Simplified Arabic"/>
          <w:b/>
          <w:bCs/>
          <w:sz w:val="28"/>
          <w:szCs w:val="28"/>
          <w:rtl/>
          <w:lang w:bidi="ar-EG"/>
        </w:rPr>
      </w:pPr>
      <w:r w:rsidRPr="000868E1">
        <w:rPr>
          <w:rFonts w:ascii="Simplified Arabic" w:hAnsi="Simplified Arabic" w:cs="Simplified Arabic"/>
          <w:sz w:val="28"/>
          <w:szCs w:val="28"/>
          <w:rtl/>
          <w:lang w:bidi="ar-EG"/>
        </w:rPr>
        <w:t>البصمة الكربونية: تقليل انبعاثات غازات الاحتباس الحراري لمواجهة تغير المناخ</w:t>
      </w:r>
      <w:r w:rsidRPr="000868E1">
        <w:rPr>
          <w:rFonts w:ascii="Simplified Arabic" w:hAnsi="Simplified Arabic" w:cs="Simplified Arabic"/>
          <w:b/>
          <w:bCs/>
          <w:sz w:val="28"/>
          <w:szCs w:val="28"/>
          <w:lang w:bidi="ar-EG"/>
        </w:rPr>
        <w:t>.</w:t>
      </w:r>
      <w:r w:rsidRPr="000868E1">
        <w:rPr>
          <w:rFonts w:ascii="Simplified Arabic" w:hAnsi="Simplified Arabic" w:cs="Simplified Arabic"/>
          <w:b/>
          <w:bCs/>
          <w:sz w:val="28"/>
          <w:szCs w:val="28"/>
          <w:rtl/>
          <w:lang w:bidi="ar-EG"/>
        </w:rPr>
        <w:t>(القيسي، 2023، 74)</w:t>
      </w:r>
    </w:p>
    <w:p w14:paraId="75E5C3AC" w14:textId="77777777" w:rsidR="00E820E4" w:rsidRPr="007C0442" w:rsidRDefault="00E820E4" w:rsidP="00E820E4">
      <w:pPr>
        <w:spacing w:line="360" w:lineRule="auto"/>
        <w:ind w:left="360"/>
        <w:jc w:val="both"/>
        <w:rPr>
          <w:rFonts w:ascii="Simplified Arabic" w:hAnsi="Simplified Arabic" w:cs="Simplified Arabic"/>
          <w:b/>
          <w:bCs/>
          <w:sz w:val="28"/>
          <w:szCs w:val="28"/>
          <w:rtl/>
          <w:lang w:bidi="ar-EG"/>
        </w:rPr>
      </w:pPr>
      <w:r w:rsidRPr="007C0442">
        <w:rPr>
          <w:rFonts w:ascii="Simplified Arabic" w:hAnsi="Simplified Arabic" w:cs="Simplified Arabic" w:hint="cs"/>
          <w:b/>
          <w:bCs/>
          <w:sz w:val="28"/>
          <w:szCs w:val="28"/>
          <w:rtl/>
          <w:lang w:bidi="ar-EG"/>
        </w:rPr>
        <w:t>أبعاد التصميم المستدام:</w:t>
      </w:r>
    </w:p>
    <w:p w14:paraId="0A9083B1"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هذه الدراسة، يتم تناول التوجه نحو التصميم المستدام من خلال ثلاثة أبعاد رئيسية، هي:</w:t>
      </w:r>
    </w:p>
    <w:p w14:paraId="6518C77C" w14:textId="77777777" w:rsidR="00E820E4" w:rsidRPr="00912CCE" w:rsidRDefault="00E820E4" w:rsidP="00E820E4">
      <w:pPr>
        <w:pStyle w:val="ListParagraph"/>
        <w:numPr>
          <w:ilvl w:val="0"/>
          <w:numId w:val="27"/>
        </w:num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الوعي البيئي:</w:t>
      </w:r>
    </w:p>
    <w:p w14:paraId="02A9C401"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يمثل البعد المعرفي والقيمي للتوجه نحو الاستدامة، ويعكس مدى إدراك أفراد الفريق لأهمية القضايا البيئية وآثار القرارات التصميمية على البيئة والمجتمع، ويُعد نقطة الانطلاق لأي تحول نحو الممارسات المستدامة.</w:t>
      </w:r>
    </w:p>
    <w:p w14:paraId="45D119AD" w14:textId="77777777" w:rsidR="00E820E4" w:rsidRPr="00912CCE" w:rsidRDefault="00E820E4" w:rsidP="00E820E4">
      <w:pPr>
        <w:pStyle w:val="ListParagraph"/>
        <w:numPr>
          <w:ilvl w:val="0"/>
          <w:numId w:val="27"/>
        </w:num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ممارسات التصميم المستدام:</w:t>
      </w:r>
    </w:p>
    <w:p w14:paraId="01D2EE5A"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يشير إلى مستوى ترجمة المعرفة والاتجاهات المتعلقة بالاستدامة إلى سلوكيات وقرارات فعلية داخل العملية التصميمية، مثل مراعاة كفاءة الطاقة واستخدام المواد المناسبة بيئيًا، وهو ما يعكس الانتقال من مستوى الإدراك إلى مستوى التطبيق.</w:t>
      </w:r>
    </w:p>
    <w:p w14:paraId="140E976A" w14:textId="77777777" w:rsidR="00E820E4" w:rsidRPr="00912CCE" w:rsidRDefault="00E820E4" w:rsidP="00E820E4">
      <w:pPr>
        <w:spacing w:line="360" w:lineRule="auto"/>
        <w:ind w:left="360"/>
        <w:jc w:val="both"/>
        <w:rPr>
          <w:rFonts w:ascii="Simplified Arabic" w:hAnsi="Simplified Arabic" w:cs="Simplified Arabic"/>
          <w:sz w:val="28"/>
          <w:szCs w:val="28"/>
          <w:rtl/>
        </w:rPr>
      </w:pPr>
    </w:p>
    <w:p w14:paraId="0ED37124" w14:textId="77777777" w:rsidR="00E820E4" w:rsidRPr="00912CCE" w:rsidRDefault="00E820E4" w:rsidP="00E820E4">
      <w:pPr>
        <w:spacing w:line="360" w:lineRule="auto"/>
        <w:ind w:left="360"/>
        <w:jc w:val="both"/>
        <w:rPr>
          <w:rFonts w:ascii="Simplified Arabic" w:hAnsi="Simplified Arabic" w:cs="Simplified Arabic"/>
          <w:sz w:val="28"/>
          <w:szCs w:val="28"/>
          <w:rtl/>
        </w:rPr>
      </w:pPr>
    </w:p>
    <w:p w14:paraId="60A81BF6" w14:textId="77777777" w:rsidR="00E820E4" w:rsidRPr="00912CCE" w:rsidRDefault="00E820E4" w:rsidP="00E820E4">
      <w:pPr>
        <w:pStyle w:val="ListParagraph"/>
        <w:numPr>
          <w:ilvl w:val="0"/>
          <w:numId w:val="27"/>
        </w:num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الابتكار في التصميم المستدام:</w:t>
      </w:r>
    </w:p>
    <w:p w14:paraId="2C459AD0"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يمثل المستوى المتقدم من التوجه نحو الاستدامة، حيث يتجاوز الالتزام بالممارسات التقليدية إلى تطوير حلول تصميمية مبتكرة تراعي الأبعاد البيئية بكفاءة ومرونة.</w:t>
      </w:r>
    </w:p>
    <w:p w14:paraId="0550ED5D"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ويُفهم من ذلك أن التوجه نحو التصميم المستدام يمثل عملية متدرجة تبدأ بالإدراك، ثم التطبيق، وتنتهي بالابتكار، وهو ما يجعله متغيرًا يتأثر ليس فقط بالمعرفة الفنية، بل أيضًا بالعوامل التنظيمية والقيادية التي تحدد مناخ العمل واتجاهاته.</w:t>
      </w:r>
    </w:p>
    <w:p w14:paraId="0CAECD6C"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هذا السياق، لا يتشكل هذا التوجه بمعزل عن البيئة التنظيمية، بل يتأثر بدرجة كبيرة بنمط القيادة الذي يسهم في توجيه سلوك الأفراد وتعزيز تبني الممارسات المستدامة داخل فرق التصميم المعماري.</w:t>
      </w:r>
    </w:p>
    <w:p w14:paraId="290B6A66"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p>
    <w:p w14:paraId="35FD8D71" w14:textId="77777777" w:rsidR="00E820E4" w:rsidRPr="00912CCE" w:rsidRDefault="00E820E4" w:rsidP="00E820E4">
      <w:pPr>
        <w:spacing w:line="360" w:lineRule="auto"/>
        <w:jc w:val="both"/>
        <w:rPr>
          <w:rFonts w:ascii="Simplified Arabic" w:hAnsi="Simplified Arabic" w:cs="Simplified Arabic"/>
          <w:b/>
          <w:bCs/>
          <w:sz w:val="28"/>
          <w:szCs w:val="28"/>
          <w:rtl/>
        </w:rPr>
      </w:pPr>
      <w:r w:rsidRPr="00912CCE">
        <w:rPr>
          <w:rFonts w:ascii="Simplified Arabic" w:hAnsi="Simplified Arabic" w:cs="Simplified Arabic"/>
          <w:b/>
          <w:bCs/>
          <w:sz w:val="28"/>
          <w:szCs w:val="28"/>
          <w:rtl/>
        </w:rPr>
        <w:t>ثالثًا: العلاقة بين القيادة التحويلية والتوجه نحو التصميم المستدام:</w:t>
      </w:r>
    </w:p>
    <w:p w14:paraId="5B27FF57"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يمكن تفسير العلاقة بين القيادة التحويلية والتوجه نحو التصميم المستدام من خلال الدور الذي تؤديه القيادة في تشكيل القيم المهنية، وتعزيز الإبداع، وتوجيه سلوك الأفراد نحو الأهداف طويلة المدى. فالتصميم المستدام لا يعتمد فقط على المعرفة التقنية، بل يتطلب بيئة عمل تشجع على التفكير الابتكاري وتدعم تبني حلول غير تقليدية.</w:t>
      </w:r>
    </w:p>
    <w:p w14:paraId="287B9DE6"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هذا السياق، تمثل القيادة التحويلية إطارًا مناسبًا لتفسير هذا التأثير، حيث يسهم التأثير المثالي في تعزيز الالتزام بالقيم البيئية، بينما يدعم التحفيز الإلهامي تبني رؤية تصميمية ترتبط بالاستدامة، وتعمل الاستثارة الفكرية على تحفيز تطوير حلول مبتكرة، في حين يعزز الاعتبار الفردي من انخراط الأفراد في تبني هذه الممارسات.</w:t>
      </w:r>
    </w:p>
    <w:p w14:paraId="29654C9C"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ومن منظور تحليلي، يمكن فهم تأثير القيادة التحويلية على التوجه نحو التصميم المستدام باعتباره تأثيرًا غير مباشر يمر عبر عدة آليات، من أبرزها تعزيز الوعي البيئي، وتحفيز الابتكار، وتوجيه السلوك المهني نحو تبني ممارسات تصميمية أكثر استدامة. ومن ثم، فإن القيادة لا تؤثر فقط على مستوى التطبيق، بل تسهم في إعادة تشكيل طريقة تفكير أفراد الفريق تجاه الاستدامة باعتبارها جزءًا من جودة التصميم.</w:t>
      </w:r>
    </w:p>
    <w:p w14:paraId="2E38BE29"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وتشير الأدبيات إلى أن القيادة التحويلية ترتبط بالإبداع التنظيمي والسلوكيات البيئية، وهي عناصر تسهم بشكل مباشر في دعم التوجه نحو التصميم المستدام (</w:t>
      </w:r>
      <w:proofErr w:type="spellStart"/>
      <w:r w:rsidRPr="00912CCE">
        <w:rPr>
          <w:rFonts w:ascii="Simplified Arabic" w:hAnsi="Simplified Arabic" w:cs="Simplified Arabic"/>
          <w:sz w:val="28"/>
          <w:szCs w:val="28"/>
        </w:rPr>
        <w:t>Gumusluoglu</w:t>
      </w:r>
      <w:proofErr w:type="spellEnd"/>
      <w:r w:rsidRPr="00912CCE">
        <w:rPr>
          <w:rFonts w:ascii="Simplified Arabic" w:hAnsi="Simplified Arabic" w:cs="Simplified Arabic"/>
          <w:sz w:val="28"/>
          <w:szCs w:val="28"/>
        </w:rPr>
        <w:t xml:space="preserve"> &amp; </w:t>
      </w:r>
      <w:proofErr w:type="spellStart"/>
      <w:r w:rsidRPr="00912CCE">
        <w:rPr>
          <w:rFonts w:ascii="Simplified Arabic" w:hAnsi="Simplified Arabic" w:cs="Simplified Arabic"/>
          <w:sz w:val="28"/>
          <w:szCs w:val="28"/>
        </w:rPr>
        <w:t>Ilsev</w:t>
      </w:r>
      <w:proofErr w:type="spellEnd"/>
      <w:r w:rsidRPr="00912CCE">
        <w:rPr>
          <w:rFonts w:ascii="Simplified Arabic" w:hAnsi="Simplified Arabic" w:cs="Simplified Arabic"/>
          <w:sz w:val="28"/>
          <w:szCs w:val="28"/>
        </w:rPr>
        <w:t>, 2009; Chen &amp; Chang, 2013; Robertson &amp; Barling, 2017</w:t>
      </w:r>
      <w:r w:rsidRPr="00912CCE">
        <w:rPr>
          <w:rFonts w:ascii="Simplified Arabic" w:hAnsi="Simplified Arabic" w:cs="Simplified Arabic"/>
          <w:sz w:val="28"/>
          <w:szCs w:val="28"/>
          <w:rtl/>
        </w:rPr>
        <w:t>).</w:t>
      </w:r>
    </w:p>
    <w:p w14:paraId="51E3FB4B"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وفي سياق المملكة العربية السعودية، تكتسب هذه العلاقة أهمية متزايدة في ظل التوجهات المرتبطة برؤية المملكة 2030، التي تركز على تعزيز الاستدامة في القطاع العمراني، مما يستدعي فهمًا أعمق لدور القيادة في دعم هذا التحول داخل بيئة العمل المعماري.</w:t>
      </w:r>
    </w:p>
    <w:p w14:paraId="322C4244"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وبناءً على ذلك، تنطلق الدراسة الحالية من افتراض نظري مفاده أن القيادة التحويلية تمثل إطارًا تفسيريًا مهمًا لفهم التفاوت في مستوى تبني ممارسات التصميم المستدام، من خلال تأثيرها في الوعي البيئي، ودعمها للممارسات المستدامة، وتحفيزها للابتكار داخل فرق التصميم المعماري.</w:t>
      </w:r>
    </w:p>
    <w:p w14:paraId="66F6F242"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p>
    <w:p w14:paraId="2AB8B9BA"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p>
    <w:p w14:paraId="0BB9CFB1"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r w:rsidRPr="00912CCE">
        <w:rPr>
          <w:rFonts w:ascii="Simplified Arabic" w:hAnsi="Simplified Arabic" w:cs="Simplified Arabic"/>
          <w:b/>
          <w:bCs/>
          <w:sz w:val="28"/>
          <w:szCs w:val="28"/>
          <w:u w:val="single"/>
          <w:rtl/>
        </w:rPr>
        <w:t>الفصل الثاني</w:t>
      </w:r>
    </w:p>
    <w:p w14:paraId="726178D6"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p>
    <w:p w14:paraId="2065AB25"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r w:rsidRPr="00912CCE">
        <w:rPr>
          <w:rFonts w:ascii="Simplified Arabic" w:hAnsi="Simplified Arabic" w:cs="Simplified Arabic"/>
          <w:b/>
          <w:bCs/>
          <w:sz w:val="28"/>
          <w:szCs w:val="28"/>
          <w:u w:val="single"/>
          <w:rtl/>
        </w:rPr>
        <w:lastRenderedPageBreak/>
        <w:t>الدراسات السابقة</w:t>
      </w:r>
    </w:p>
    <w:p w14:paraId="77637897"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3E162401" w14:textId="77777777" w:rsidR="00E820E4" w:rsidRPr="00912CCE" w:rsidRDefault="00E820E4" w:rsidP="00E820E4">
      <w:pPr>
        <w:spacing w:line="360" w:lineRule="auto"/>
        <w:jc w:val="both"/>
        <w:rPr>
          <w:rFonts w:ascii="Simplified Arabic" w:hAnsi="Simplified Arabic" w:cs="Simplified Arabic"/>
          <w:sz w:val="28"/>
          <w:szCs w:val="28"/>
          <w:u w:val="single"/>
          <w:rtl/>
        </w:rPr>
      </w:pPr>
      <w:r w:rsidRPr="00912CCE">
        <w:rPr>
          <w:rFonts w:ascii="Simplified Arabic" w:hAnsi="Simplified Arabic" w:cs="Simplified Arabic"/>
          <w:sz w:val="28"/>
          <w:szCs w:val="28"/>
          <w:u w:val="single"/>
          <w:rtl/>
        </w:rPr>
        <w:t>.</w:t>
      </w:r>
    </w:p>
    <w:p w14:paraId="72700A9C"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4F53F11E"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6255DBD8"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12DFE668"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3296DDB4"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60C40586"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5B14DC4A"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4A53F154"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115DF351"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5C4C2F0F" w14:textId="77777777" w:rsidR="00E820E4" w:rsidRPr="00912CCE" w:rsidRDefault="00E820E4" w:rsidP="00E820E4">
      <w:pPr>
        <w:pStyle w:val="Title"/>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مقدمة:</w:t>
      </w:r>
    </w:p>
    <w:p w14:paraId="71B63AF9"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يتناول هذا الفصل عرضًا وتحليلًا نقديًا للدراسات السابقة المرتبطة بمتغيرات الدراسة، والمتمثلة في القيادة التحويلية والتوجه نحو التصميم المستدام، مع التركيز على ارتباطهما بسياق فرق التصميم المعماري. ويهدف هذا الفصل إلى بناء أساس نظري وتطبيقي متكامل يدعم الإطار المفاهيمي للدراسة، ويسهم في تفسير العلاقات بين متغيراتها.</w:t>
      </w:r>
    </w:p>
    <w:p w14:paraId="77014B34"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lastRenderedPageBreak/>
        <w:t>ويبدأ الفصل باستعراض الدراسات التي تناولت القيادة التحويلية وأثرها في مخرجات العمل التنظيمي، مثل الإبداع والابتكار وأداء فرق العمل، ثم ينتقل إلى عرض الدراسات المرتبطة بالاستدامة في قطاعي العمارة والبناء، مع التركيز على ممارسات التصميم المستدام والعوامل المؤثرة في تبنيها. كما يتناول الفصل الدراسات التي بحثت دور القيادة في تعزيز السلوكيات البيئية والممارسات المرتبطة بالاستدامة داخل المؤسسات.</w:t>
      </w:r>
    </w:p>
    <w:p w14:paraId="07AF07B3" w14:textId="77777777" w:rsidR="00E820E4" w:rsidRPr="00912CCE" w:rsidRDefault="00E820E4" w:rsidP="00E820E4">
      <w:pPr>
        <w:spacing w:line="360" w:lineRule="auto"/>
        <w:jc w:val="both"/>
        <w:rPr>
          <w:rFonts w:ascii="Simplified Arabic" w:hAnsi="Simplified Arabic" w:cs="Simplified Arabic"/>
          <w:sz w:val="28"/>
          <w:szCs w:val="28"/>
          <w:rtl/>
        </w:rPr>
      </w:pPr>
      <w:r w:rsidRPr="00912CCE">
        <w:rPr>
          <w:rFonts w:ascii="Simplified Arabic" w:hAnsi="Simplified Arabic" w:cs="Simplified Arabic"/>
          <w:sz w:val="28"/>
          <w:szCs w:val="28"/>
          <w:rtl/>
        </w:rPr>
        <w:t>ولا يقتصر هذا الفصل على العرض الوصفي للدراسات السابقة، بل يتضمن تحليلًا نقديًا يهدف إلى استخلاص أبرز النتائج، وتحديد أوجه الاتفاق والاختلاف بينها، والكشف عن الفجوات البحثية القائمة. ويُعطى اهتمام خاص لمحدودية الدراسات التي تناولت العلاقة المباشرة بين القيادة التحويلية والتوجه نحو التصميم المستدام في سياق فرق التصميم المعماري، ولا سيما في البيئة العربية والمملكة العربية السعودية.</w:t>
      </w:r>
    </w:p>
    <w:p w14:paraId="60C7109A" w14:textId="77777777" w:rsidR="00E820E4" w:rsidRPr="00912CCE" w:rsidRDefault="00E820E4" w:rsidP="00E820E4">
      <w:pPr>
        <w:spacing w:line="360" w:lineRule="auto"/>
        <w:jc w:val="both"/>
        <w:rPr>
          <w:rFonts w:ascii="Simplified Arabic" w:hAnsi="Simplified Arabic" w:cs="Simplified Arabic"/>
          <w:sz w:val="28"/>
          <w:szCs w:val="28"/>
          <w:u w:val="single"/>
          <w:rtl/>
        </w:rPr>
      </w:pPr>
      <w:r w:rsidRPr="00912CCE">
        <w:rPr>
          <w:rFonts w:ascii="Simplified Arabic" w:hAnsi="Simplified Arabic" w:cs="Simplified Arabic"/>
          <w:sz w:val="28"/>
          <w:szCs w:val="28"/>
          <w:rtl/>
        </w:rPr>
        <w:t>ويختتم الفصل بربط نتائج الدراسات السابقة بالإطار المفاهيمي للدراسة الحالية، بما يسهم في دعم فرضياتها وتوفير أساس علمي للتحليل التطبيقي في الفصول اللاحقة.</w:t>
      </w:r>
    </w:p>
    <w:p w14:paraId="4FD4D516" w14:textId="77777777" w:rsidR="00E820E4" w:rsidRPr="00912CCE" w:rsidRDefault="00E820E4" w:rsidP="00E820E4">
      <w:pPr>
        <w:spacing w:line="360" w:lineRule="auto"/>
        <w:jc w:val="both"/>
        <w:rPr>
          <w:rFonts w:ascii="Simplified Arabic" w:hAnsi="Simplified Arabic" w:cs="Simplified Arabic"/>
          <w:sz w:val="28"/>
          <w:szCs w:val="28"/>
          <w:u w:val="single"/>
          <w:rtl/>
        </w:rPr>
      </w:pPr>
    </w:p>
    <w:p w14:paraId="32FF9179" w14:textId="77777777" w:rsidR="00E820E4" w:rsidRPr="00912CCE" w:rsidRDefault="00E820E4" w:rsidP="00E820E4">
      <w:pPr>
        <w:spacing w:line="360" w:lineRule="auto"/>
        <w:rPr>
          <w:rFonts w:ascii="Simplified Arabic" w:hAnsi="Simplified Arabic" w:cs="Simplified Arabic"/>
          <w:b/>
          <w:bCs/>
          <w:sz w:val="28"/>
          <w:szCs w:val="28"/>
          <w:u w:val="single"/>
          <w:rtl/>
        </w:rPr>
      </w:pPr>
      <w:r w:rsidRPr="00912CCE">
        <w:rPr>
          <w:rFonts w:ascii="Simplified Arabic" w:hAnsi="Simplified Arabic" w:cs="Simplified Arabic"/>
          <w:b/>
          <w:bCs/>
          <w:sz w:val="28"/>
          <w:szCs w:val="28"/>
          <w:u w:val="single"/>
          <w:rtl/>
        </w:rPr>
        <w:t>الدراسات السابقة:</w:t>
      </w:r>
      <w:r w:rsidRPr="00912CCE">
        <w:rPr>
          <w:rFonts w:ascii="Simplified Arabic" w:hAnsi="Simplified Arabic" w:cs="Simplified Arabic"/>
          <w:b/>
          <w:bCs/>
          <w:sz w:val="28"/>
          <w:szCs w:val="28"/>
          <w:u w:val="single"/>
          <w:rtl/>
        </w:rPr>
        <w:br/>
      </w:r>
      <w:r w:rsidRPr="00912CCE">
        <w:rPr>
          <w:rFonts w:ascii="Simplified Arabic" w:hAnsi="Simplified Arabic" w:cs="Simplified Arabic"/>
          <w:b/>
          <w:bCs/>
          <w:sz w:val="28"/>
          <w:szCs w:val="28"/>
          <w:rtl/>
        </w:rPr>
        <w:t>الدراسات العربية:</w:t>
      </w:r>
    </w:p>
    <w:p w14:paraId="117C98B1" w14:textId="77777777" w:rsidR="00E820E4" w:rsidRPr="00A54088" w:rsidRDefault="00E820E4" w:rsidP="00E820E4">
      <w:pPr>
        <w:pStyle w:val="ListParagraph"/>
        <w:numPr>
          <w:ilvl w:val="0"/>
          <w:numId w:val="5"/>
        </w:numPr>
        <w:spacing w:line="360" w:lineRule="auto"/>
        <w:jc w:val="both"/>
        <w:rPr>
          <w:rFonts w:ascii="Simplified Arabic" w:hAnsi="Simplified Arabic" w:cs="Simplified Arabic"/>
          <w:b/>
          <w:bCs/>
          <w:sz w:val="28"/>
          <w:szCs w:val="28"/>
        </w:rPr>
      </w:pPr>
      <w:r w:rsidRPr="00A54088">
        <w:rPr>
          <w:rFonts w:ascii="Simplified Arabic" w:hAnsi="Simplified Arabic" w:cs="Simplified Arabic"/>
          <w:b/>
          <w:bCs/>
          <w:sz w:val="28"/>
          <w:szCs w:val="28"/>
          <w:rtl/>
        </w:rPr>
        <w:t>دراسة العطوي (2019)</w:t>
      </w:r>
    </w:p>
    <w:p w14:paraId="73FA6795" w14:textId="77777777" w:rsidR="00E820E4" w:rsidRPr="00A54088" w:rsidRDefault="00E820E4" w:rsidP="00E820E4">
      <w:pPr>
        <w:spacing w:line="360" w:lineRule="auto"/>
        <w:rPr>
          <w:rFonts w:ascii="Simplified Arabic" w:hAnsi="Simplified Arabic" w:cs="Simplified Arabic"/>
          <w:sz w:val="28"/>
          <w:szCs w:val="28"/>
        </w:rPr>
      </w:pPr>
      <w:r w:rsidRPr="00A54088">
        <w:rPr>
          <w:rFonts w:ascii="Simplified Arabic" w:hAnsi="Simplified Arabic" w:cs="Simplified Arabic"/>
          <w:sz w:val="28"/>
          <w:szCs w:val="28"/>
          <w:rtl/>
        </w:rPr>
        <w:t>هدفت دراسة العطوي (2019) إلى التعرف على أثر القيادة التحويلية في تنمية الإبداع التنظيمي لدى العاملين في المؤسسات الحكومية، وذلك باستخدام المنهج الوصفي التحليلي من خلال الاستبانة كأداة رئيسية لجمع البيانات</w:t>
      </w:r>
      <w:r w:rsidRPr="00A54088">
        <w:rPr>
          <w:rFonts w:ascii="Simplified Arabic" w:hAnsi="Simplified Arabic" w:cs="Simplified Arabic"/>
          <w:sz w:val="28"/>
          <w:szCs w:val="28"/>
        </w:rPr>
        <w:t>.</w:t>
      </w:r>
    </w:p>
    <w:p w14:paraId="6864C28D" w14:textId="77777777" w:rsidR="00E820E4" w:rsidRPr="00A54088" w:rsidRDefault="00E820E4" w:rsidP="00E820E4">
      <w:pPr>
        <w:spacing w:line="360" w:lineRule="auto"/>
        <w:rPr>
          <w:rFonts w:ascii="Simplified Arabic" w:hAnsi="Simplified Arabic" w:cs="Simplified Arabic"/>
          <w:sz w:val="28"/>
          <w:szCs w:val="28"/>
          <w:rtl/>
        </w:rPr>
      </w:pPr>
      <w:r w:rsidRPr="00A54088">
        <w:rPr>
          <w:rFonts w:ascii="Simplified Arabic" w:hAnsi="Simplified Arabic" w:cs="Simplified Arabic"/>
          <w:sz w:val="28"/>
          <w:szCs w:val="28"/>
          <w:rtl/>
        </w:rPr>
        <w:lastRenderedPageBreak/>
        <w:t>وأظهرت نتائج الدراسة وجود علاقة إيجابية ذات دلالة إحصائية بين القيادة التحويلية والإبداع التنظيمي، حيث تسهم سلوكيات القائد التحويلي في تعزيز التفكير الابتكاري لدى الأفراد، وتنمية قدرتهم على تقديم أفكار جديدة داخل بيئة العمل</w:t>
      </w:r>
      <w:r w:rsidRPr="00A54088">
        <w:rPr>
          <w:rFonts w:ascii="Simplified Arabic" w:hAnsi="Simplified Arabic" w:cs="Simplified Arabic"/>
          <w:sz w:val="28"/>
          <w:szCs w:val="28"/>
        </w:rPr>
        <w:t>.</w:t>
      </w:r>
    </w:p>
    <w:p w14:paraId="7C888C23" w14:textId="77777777" w:rsidR="00E820E4" w:rsidRPr="00A54088" w:rsidRDefault="00E820E4" w:rsidP="00E820E4">
      <w:pPr>
        <w:pStyle w:val="ListParagraph"/>
        <w:numPr>
          <w:ilvl w:val="0"/>
          <w:numId w:val="5"/>
        </w:numPr>
        <w:spacing w:line="360" w:lineRule="auto"/>
        <w:rPr>
          <w:rFonts w:ascii="Simplified Arabic" w:hAnsi="Simplified Arabic" w:cs="Simplified Arabic"/>
          <w:b/>
          <w:bCs/>
          <w:sz w:val="28"/>
          <w:szCs w:val="28"/>
        </w:rPr>
      </w:pPr>
      <w:r w:rsidRPr="00A54088">
        <w:rPr>
          <w:rFonts w:ascii="Simplified Arabic" w:hAnsi="Simplified Arabic" w:cs="Simplified Arabic"/>
          <w:b/>
          <w:bCs/>
          <w:sz w:val="28"/>
          <w:szCs w:val="28"/>
          <w:rtl/>
        </w:rPr>
        <w:t>دراسة الحريري (2020)</w:t>
      </w:r>
    </w:p>
    <w:p w14:paraId="1D7510A8" w14:textId="77777777" w:rsidR="00E820E4" w:rsidRPr="00A54088" w:rsidRDefault="00E820E4" w:rsidP="00E820E4">
      <w:pPr>
        <w:spacing w:line="360" w:lineRule="auto"/>
        <w:rPr>
          <w:rFonts w:ascii="Simplified Arabic" w:hAnsi="Simplified Arabic" w:cs="Simplified Arabic"/>
          <w:sz w:val="28"/>
          <w:szCs w:val="28"/>
          <w:rtl/>
        </w:rPr>
      </w:pPr>
      <w:r w:rsidRPr="00A54088">
        <w:rPr>
          <w:rFonts w:ascii="Simplified Arabic" w:hAnsi="Simplified Arabic" w:cs="Simplified Arabic"/>
          <w:sz w:val="28"/>
          <w:szCs w:val="28"/>
          <w:rtl/>
        </w:rPr>
        <w:t>هدفت دراسة الحريري (2020) إلى تحليل أثر القيادة التحويلية في تعزيز الإبداع لدى العاملين في المؤسسات التعليمية، وذلك باستخدام المنهج الكمي من خلال الاستبانة كأداة رئيسية لجمع البيانات.</w:t>
      </w:r>
    </w:p>
    <w:p w14:paraId="2F0CACE9" w14:textId="77777777" w:rsidR="00E820E4" w:rsidRPr="00A54088" w:rsidRDefault="00E820E4" w:rsidP="00E820E4">
      <w:pPr>
        <w:spacing w:line="360" w:lineRule="auto"/>
        <w:rPr>
          <w:rFonts w:ascii="Simplified Arabic" w:hAnsi="Simplified Arabic" w:cs="Simplified Arabic"/>
          <w:sz w:val="28"/>
          <w:szCs w:val="28"/>
          <w:rtl/>
        </w:rPr>
      </w:pPr>
      <w:r w:rsidRPr="00A54088">
        <w:rPr>
          <w:rFonts w:ascii="Simplified Arabic" w:hAnsi="Simplified Arabic" w:cs="Simplified Arabic"/>
          <w:sz w:val="28"/>
          <w:szCs w:val="28"/>
          <w:rtl/>
        </w:rPr>
        <w:t>وأظهرت نتائج الدراسة أن القيادة التحويلية تسهم بشكل ملحوظ في رفع مستوى الإبداع، من خلال تحفيز الأفراد وتشجيعهم على التفكير غير التقليدي، مما ينعكس إيجابًا على الأداء المؤسسي.</w:t>
      </w:r>
    </w:p>
    <w:p w14:paraId="1452431C" w14:textId="77777777" w:rsidR="00E820E4" w:rsidRPr="00A54088" w:rsidRDefault="00E820E4" w:rsidP="00E820E4">
      <w:pPr>
        <w:pStyle w:val="ListParagraph"/>
        <w:numPr>
          <w:ilvl w:val="0"/>
          <w:numId w:val="5"/>
        </w:numPr>
        <w:spacing w:line="360" w:lineRule="auto"/>
        <w:jc w:val="both"/>
        <w:rPr>
          <w:rFonts w:ascii="Simplified Arabic" w:hAnsi="Simplified Arabic" w:cs="Simplified Arabic"/>
          <w:b/>
          <w:bCs/>
          <w:sz w:val="28"/>
          <w:szCs w:val="28"/>
        </w:rPr>
      </w:pPr>
      <w:r w:rsidRPr="00A54088">
        <w:rPr>
          <w:rFonts w:ascii="Simplified Arabic" w:hAnsi="Simplified Arabic" w:cs="Simplified Arabic"/>
          <w:b/>
          <w:bCs/>
          <w:sz w:val="28"/>
          <w:szCs w:val="28"/>
          <w:rtl/>
        </w:rPr>
        <w:t>دراسة الطائي والعبادي (2018)</w:t>
      </w:r>
    </w:p>
    <w:p w14:paraId="32E54232"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هدفت دراسة الطائي والعبادي (2018) إلى تحليل دور القيادة في تحسين الأداء التنظيمي وتعزيز الابتكار داخل بيئة العمل، وذلك باستخدام المنهج الوصفي التحليلي.</w:t>
      </w:r>
    </w:p>
    <w:p w14:paraId="20293469"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وأظهرت نتائج الدراسة أن القيادة التحويلية تُعد من أكثر الأنماط القيادية تأثيرًا في تحفيز العاملين وتعزيز التغيير التنظيمي، مما يسهم في تحسين الأداء العام للمؤسسات.</w:t>
      </w:r>
    </w:p>
    <w:p w14:paraId="67CC551E"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تحليل نقدي وربط بالدراسة الحالية:</w:t>
      </w:r>
    </w:p>
    <w:p w14:paraId="24EA49D9"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تؤكد هذه الدراسة أهمية القيادة التحويلية في إحداث التغيير التنظيمي وتعزيز الابتكار، وهو ما يمثل عنصرًا جوهريًا في تبني ممارسات التصميم المستدام، نظرًا لأن هذا التوجه يتطلب تجاوز الأساليب التقليدية والانتقال إلى حلول تصميمية أكثر كفاءة واستدامة.</w:t>
      </w:r>
    </w:p>
    <w:p w14:paraId="4B1FDD87"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lastRenderedPageBreak/>
        <w:t>ومع ذلك، فإن الدراسة تناولت القيادة من منظور عام مرتبط بالأداء التنظيمي، دون التعمق في سياقات تطبيقية محددة مثل بيئة التصميم المعماري، كما لم تركز على الأبعاد البيئية أو الاستدامة بشكل مباشر.</w:t>
      </w:r>
    </w:p>
    <w:p w14:paraId="208259C3"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وبناءً على ذلك، تبرز الحاجة إلى دراسات أكثر تخصصًا تربط بين القيادة التحويلية ومجالات تطبيقية تتطلب الابتكار المستمر، مثل التصميم المعماري، مع التركيز على دور القيادة في دعم التوجه نحو الاستدامة، وهو ما تسعى الدراسة الحالية إلى معالجته.</w:t>
      </w:r>
    </w:p>
    <w:p w14:paraId="43BA5FE3" w14:textId="77777777" w:rsidR="00E820E4" w:rsidRPr="00A54088" w:rsidRDefault="00E820E4" w:rsidP="00E820E4">
      <w:pPr>
        <w:pStyle w:val="ListParagraph"/>
        <w:numPr>
          <w:ilvl w:val="0"/>
          <w:numId w:val="5"/>
        </w:numPr>
        <w:spacing w:line="360" w:lineRule="auto"/>
        <w:jc w:val="both"/>
        <w:rPr>
          <w:rFonts w:ascii="Simplified Arabic" w:hAnsi="Simplified Arabic" w:cs="Simplified Arabic"/>
          <w:b/>
          <w:bCs/>
          <w:sz w:val="28"/>
          <w:szCs w:val="28"/>
          <w:rtl/>
        </w:rPr>
      </w:pPr>
      <w:r w:rsidRPr="00A54088">
        <w:rPr>
          <w:rFonts w:ascii="Simplified Arabic" w:hAnsi="Simplified Arabic" w:cs="Simplified Arabic"/>
          <w:b/>
          <w:bCs/>
          <w:sz w:val="28"/>
          <w:szCs w:val="28"/>
          <w:rtl/>
        </w:rPr>
        <w:t xml:space="preserve">دراسة الجرايدة والعون (2021) </w:t>
      </w:r>
    </w:p>
    <w:p w14:paraId="5FFD5D55"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هدفت الدراسة إلى التعرف على أثر الابتكار الاستراتيجي بأبعاده (المحاذاة الاستراتيجية، استبصار الصناعة، الاستعداد التنظيمي) في تعزيز الأداء التنظيمي للشركات الريادية الأردنية، مع النظر في دور القيادة التحويلية كمتغير وسيط بأبعادها (التأثير المثالي، التحفيز الإلهامي، الاستشارة الفهمية). واعتمدت الدراسة لتحقيق ذلك على المنهج الوصفي التحليلي. وتمثلت أدوات الدراسة في استبانة موجهة لقياس متغيرات الابتكار الاستراتيجي والأداء التنظيمي والقيادة التحويلية. وتم تطبيقها على عينة مكونة من (120) موظفًا، وخلصت النتائج إلى وجود أثر ذو دلالة إحصائية للابتكار الاستراتيجي في الأداء التنظيمي، وأن القيادة التحويلية تتوسط جزئيًا العلاقة بين الابتكار الاستراتيجي والأداء التنظيمي. وأوصت الدراسة بضرورة مواصلة استخدام وتطوير الابتكار الاستراتيجي لمواكبة التغييرات البيئية والتحديات في الشركات الريادية، وتعزيز ممارسات القيادة التحويلية لدعم الأداء التنظيمي.</w:t>
      </w:r>
    </w:p>
    <w:p w14:paraId="15F265DD" w14:textId="77777777" w:rsidR="00E820E4" w:rsidRPr="00A54088" w:rsidRDefault="00E820E4" w:rsidP="00E820E4">
      <w:pPr>
        <w:spacing w:line="360" w:lineRule="auto"/>
        <w:jc w:val="both"/>
        <w:rPr>
          <w:rFonts w:ascii="Simplified Arabic" w:hAnsi="Simplified Arabic" w:cs="Simplified Arabic"/>
          <w:b/>
          <w:bCs/>
          <w:sz w:val="28"/>
          <w:szCs w:val="28"/>
          <w:rtl/>
        </w:rPr>
      </w:pPr>
      <w:r w:rsidRPr="00A54088">
        <w:rPr>
          <w:rFonts w:ascii="Simplified Arabic" w:hAnsi="Simplified Arabic" w:cs="Simplified Arabic"/>
          <w:b/>
          <w:bCs/>
          <w:sz w:val="28"/>
          <w:szCs w:val="28"/>
          <w:rtl/>
        </w:rPr>
        <w:t>5- دراسة ديريه وأبو بكر (2020)</w:t>
      </w:r>
    </w:p>
    <w:p w14:paraId="0F3A9CEA"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rPr>
        <w:t xml:space="preserve"> هدفت الدراسة إلى قياس أثر إدارة المعرفة (اكتساب المعرفة، تخزين المعرفة، تبادل المعرفة، تطبيق المعرفة) في ابتكار الخدمات (تقديم خدمات جديدة، تحسين الخدمات الحالية، تحسين عمليات تقديم الخدمات) من خلال القيادة التحويلية في بنك الأردن. واعتمدت الدراسة لتحقيق ذلك على المنهج الوصفي </w:t>
      </w:r>
      <w:r w:rsidRPr="00A54088">
        <w:rPr>
          <w:rFonts w:ascii="Simplified Arabic" w:hAnsi="Simplified Arabic" w:cs="Simplified Arabic"/>
          <w:sz w:val="28"/>
          <w:szCs w:val="28"/>
          <w:rtl/>
        </w:rPr>
        <w:lastRenderedPageBreak/>
        <w:t>التحليلي. وتمثلت أدوات الدراسة في استبانة لجمع البيانات. وتم تطبيقها على عينة مكونة من (223) مديرًا من فروع بنك الأردن على المستويين الإداريين: الإدارة الوسطى والخط الأول. وخلصت النتائج إلى وجود أثر ذو دلالة إحصائية لبعدي (تبادل المعرفة، تطبيق المعرفة) في ابتكار الخدمات في بنك الأردن، بالإضافة إلى أثر جزئي ذو دلالة إحصائية لإدارة المعرفة كاملة في ابتكار الخدمات من خلال القيادة التحويلية. وأوصت الدراسة بضرورة التركيز على اكتساب المعرفة وتخزينها بشكل منظم وتشجيع تبادل المعرفة بين كافة المستويات الإدارية باستخدام القيادة التحويلية.</w:t>
      </w:r>
    </w:p>
    <w:p w14:paraId="56A27760" w14:textId="77777777" w:rsidR="00E820E4" w:rsidRPr="00A54088" w:rsidRDefault="00E820E4" w:rsidP="00E820E4">
      <w:pPr>
        <w:spacing w:line="360" w:lineRule="auto"/>
        <w:jc w:val="both"/>
        <w:rPr>
          <w:rFonts w:ascii="Simplified Arabic" w:hAnsi="Simplified Arabic" w:cs="Simplified Arabic"/>
          <w:b/>
          <w:bCs/>
          <w:sz w:val="28"/>
          <w:szCs w:val="28"/>
          <w:rtl/>
        </w:rPr>
      </w:pPr>
      <w:r w:rsidRPr="00A54088">
        <w:rPr>
          <w:rFonts w:ascii="Simplified Arabic" w:hAnsi="Simplified Arabic" w:cs="Simplified Arabic"/>
          <w:sz w:val="28"/>
          <w:szCs w:val="28"/>
          <w:rtl/>
        </w:rPr>
        <w:t>6-</w:t>
      </w:r>
      <w:r w:rsidRPr="00A54088">
        <w:rPr>
          <w:rFonts w:ascii="Simplified Arabic" w:hAnsi="Simplified Arabic" w:cs="Simplified Arabic"/>
          <w:b/>
          <w:bCs/>
          <w:sz w:val="28"/>
          <w:szCs w:val="28"/>
          <w:rtl/>
        </w:rPr>
        <w:t xml:space="preserve"> دراسة نعمان (2022)</w:t>
      </w:r>
    </w:p>
    <w:p w14:paraId="31CA8AD2" w14:textId="77777777" w:rsidR="00E820E4" w:rsidRPr="00A54088" w:rsidRDefault="00E820E4" w:rsidP="00E820E4">
      <w:pPr>
        <w:spacing w:line="360" w:lineRule="auto"/>
        <w:jc w:val="both"/>
        <w:rPr>
          <w:rFonts w:ascii="Simplified Arabic" w:hAnsi="Simplified Arabic" w:cs="Simplified Arabic"/>
          <w:sz w:val="28"/>
          <w:szCs w:val="28"/>
        </w:rPr>
      </w:pPr>
      <w:r w:rsidRPr="00A54088">
        <w:rPr>
          <w:rFonts w:ascii="Simplified Arabic" w:hAnsi="Simplified Arabic" w:cs="Simplified Arabic"/>
          <w:sz w:val="28"/>
          <w:szCs w:val="28"/>
          <w:rtl/>
        </w:rPr>
        <w:t>هدفت الدراسة إلى استكشاف التأثير المباشر للقيادة التحويلية الخضراء على الابتكار الأخضر، كما سعت إلى استكشاف التأثير غير المباشر بينهما من خلال الثقافة التنظيمية الخضراء بوصفها متغيرًا وسيطًا. واعتمدت الدراسة لتحقيق ذلك على المنهج الوصفي التحليلي باستخدام أسلوب الدراسة المسحية. وتمثلت أدوات الدراسة في قائمة استقصاء. وتم تطبيقها على عينة مكونة من (282) مفردة من العاملين في عشرة فنادق بمدينة شرم الشيخ المصرية. وخلصت النتائج إلى وجود تأثير إيجابي ومعنوي للقيادة التحويلية الخضراء على الابتكار الأخضر، كما توصلت إلى أن الثقافة التنظيمية الخضراء تتوسط معنوياً وكلياً العلاقة بين القيادة التحويلية الخضراء والابتكار الأخضر. وأوصت الدراسة بضرورة تعزيز ممارسات القيادة التحويلية الخضراء داخل القطاع الفندقي، والعمل على ترسيخ ثقافة تنظيمية خضراء تدعم الابتكار الأخضر، خاصة في ظل محدودية الدراسات التي تناولت هذا الموضوع في القطاع الفندقي.</w:t>
      </w:r>
    </w:p>
    <w:p w14:paraId="423C782D" w14:textId="77777777" w:rsidR="00E820E4" w:rsidRPr="00A54088" w:rsidRDefault="00E820E4" w:rsidP="00E820E4">
      <w:pPr>
        <w:spacing w:line="360" w:lineRule="auto"/>
        <w:jc w:val="both"/>
        <w:rPr>
          <w:rFonts w:ascii="Simplified Arabic" w:hAnsi="Simplified Arabic" w:cs="Simplified Arabic"/>
          <w:sz w:val="28"/>
          <w:szCs w:val="28"/>
          <w:u w:val="single"/>
          <w:rtl/>
        </w:rPr>
      </w:pPr>
      <w:r w:rsidRPr="00A54088">
        <w:rPr>
          <w:rFonts w:ascii="Simplified Arabic" w:hAnsi="Simplified Arabic" w:cs="Simplified Arabic"/>
          <w:b/>
          <w:bCs/>
          <w:sz w:val="28"/>
          <w:szCs w:val="28"/>
          <w:rtl/>
        </w:rPr>
        <w:t>الدراسات الأجنبية:</w:t>
      </w:r>
    </w:p>
    <w:p w14:paraId="24DB20AE" w14:textId="77777777" w:rsidR="00E820E4" w:rsidRPr="00A54088" w:rsidRDefault="00E820E4" w:rsidP="00E820E4">
      <w:pPr>
        <w:pStyle w:val="ListParagraph"/>
        <w:numPr>
          <w:ilvl w:val="0"/>
          <w:numId w:val="6"/>
        </w:numPr>
        <w:spacing w:line="360" w:lineRule="auto"/>
        <w:rPr>
          <w:rFonts w:ascii="Simplified Arabic" w:hAnsi="Simplified Arabic" w:cs="Simplified Arabic"/>
          <w:sz w:val="28"/>
          <w:szCs w:val="28"/>
        </w:rPr>
      </w:pPr>
      <w:r w:rsidRPr="00A54088">
        <w:rPr>
          <w:rFonts w:ascii="Simplified Arabic" w:hAnsi="Simplified Arabic" w:cs="Simplified Arabic"/>
          <w:b/>
          <w:bCs/>
          <w:sz w:val="28"/>
          <w:szCs w:val="28"/>
        </w:rPr>
        <w:t xml:space="preserve"> </w:t>
      </w:r>
      <w:r w:rsidRPr="00A54088">
        <w:rPr>
          <w:rFonts w:ascii="Simplified Arabic" w:hAnsi="Simplified Arabic" w:cs="Simplified Arabic"/>
          <w:b/>
          <w:bCs/>
          <w:sz w:val="28"/>
          <w:szCs w:val="28"/>
          <w:rtl/>
        </w:rPr>
        <w:t>دراسة</w:t>
      </w:r>
      <w:r w:rsidRPr="00A54088">
        <w:rPr>
          <w:rFonts w:ascii="Simplified Arabic" w:hAnsi="Simplified Arabic" w:cs="Simplified Arabic"/>
          <w:b/>
          <w:bCs/>
          <w:sz w:val="28"/>
          <w:szCs w:val="28"/>
        </w:rPr>
        <w:t xml:space="preserve"> Bass (1985)</w:t>
      </w:r>
      <w:r w:rsidRPr="00A54088">
        <w:rPr>
          <w:rFonts w:ascii="Simplified Arabic" w:hAnsi="Simplified Arabic" w:cs="Simplified Arabic"/>
          <w:sz w:val="28"/>
          <w:szCs w:val="28"/>
        </w:rPr>
        <w:br/>
      </w:r>
      <w:r w:rsidRPr="00A54088">
        <w:rPr>
          <w:rFonts w:ascii="Simplified Arabic" w:hAnsi="Simplified Arabic" w:cs="Simplified Arabic"/>
          <w:sz w:val="28"/>
          <w:szCs w:val="28"/>
          <w:rtl/>
        </w:rPr>
        <w:t>هدفت دراسة</w:t>
      </w:r>
      <w:r w:rsidRPr="00A54088">
        <w:rPr>
          <w:rFonts w:ascii="Simplified Arabic" w:hAnsi="Simplified Arabic" w:cs="Simplified Arabic"/>
          <w:sz w:val="28"/>
          <w:szCs w:val="28"/>
        </w:rPr>
        <w:t xml:space="preserve"> Bass (1985) </w:t>
      </w:r>
      <w:r w:rsidRPr="00A54088">
        <w:rPr>
          <w:rFonts w:ascii="Simplified Arabic" w:hAnsi="Simplified Arabic" w:cs="Simplified Arabic"/>
          <w:sz w:val="28"/>
          <w:szCs w:val="28"/>
          <w:rtl/>
        </w:rPr>
        <w:t xml:space="preserve">إلى تطوير مفهوم القيادة التحويلية وبيان أثرها على أداء الأفراد </w:t>
      </w:r>
      <w:r w:rsidRPr="00A54088">
        <w:rPr>
          <w:rFonts w:ascii="Simplified Arabic" w:hAnsi="Simplified Arabic" w:cs="Simplified Arabic"/>
          <w:sz w:val="28"/>
          <w:szCs w:val="28"/>
          <w:rtl/>
        </w:rPr>
        <w:lastRenderedPageBreak/>
        <w:t>والمنظمات، حيث قدمت إطاراً نظرياً يوضح كيفية تأثير القائد في تحفيز الأفراد لتحقيق مستويات أداء تفوق التوقعات</w:t>
      </w:r>
      <w:r w:rsidRPr="00A54088">
        <w:rPr>
          <w:rFonts w:ascii="Simplified Arabic" w:hAnsi="Simplified Arabic" w:cs="Simplified Arabic"/>
          <w:sz w:val="28"/>
          <w:szCs w:val="28"/>
        </w:rPr>
        <w:t>.</w:t>
      </w:r>
    </w:p>
    <w:p w14:paraId="05816DE2" w14:textId="77777777" w:rsidR="00E820E4" w:rsidRPr="00A54088" w:rsidRDefault="00E820E4" w:rsidP="00E820E4">
      <w:pPr>
        <w:spacing w:line="360" w:lineRule="auto"/>
        <w:jc w:val="both"/>
        <w:rPr>
          <w:rFonts w:ascii="Simplified Arabic" w:hAnsi="Simplified Arabic" w:cs="Simplified Arabic"/>
          <w:sz w:val="28"/>
          <w:szCs w:val="28"/>
        </w:rPr>
      </w:pPr>
      <w:r w:rsidRPr="00A54088">
        <w:rPr>
          <w:rFonts w:ascii="Simplified Arabic" w:hAnsi="Simplified Arabic" w:cs="Simplified Arabic"/>
          <w:sz w:val="28"/>
          <w:szCs w:val="28"/>
          <w:rtl/>
        </w:rPr>
        <w:t>وأظهرت نتائج الدراسة أن القيادة التحويلية تسهم في رفع مستوى الأداء التنظيمي وتعزيز دافعية الأفراد، كما تشجعهم على تحقيق أهداف جماعية تتجاوز المصالح الفردية</w:t>
      </w:r>
      <w:r w:rsidRPr="00A54088">
        <w:rPr>
          <w:rFonts w:ascii="Simplified Arabic" w:hAnsi="Simplified Arabic" w:cs="Simplified Arabic"/>
          <w:sz w:val="28"/>
          <w:szCs w:val="28"/>
        </w:rPr>
        <w:t>.</w:t>
      </w:r>
    </w:p>
    <w:p w14:paraId="51613331"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Pr>
        <w:t>.</w:t>
      </w:r>
    </w:p>
    <w:p w14:paraId="18F5D291" w14:textId="77777777" w:rsidR="00E820E4" w:rsidRPr="00A54088" w:rsidRDefault="00E820E4" w:rsidP="00E820E4">
      <w:pPr>
        <w:pStyle w:val="ListParagraph"/>
        <w:numPr>
          <w:ilvl w:val="0"/>
          <w:numId w:val="6"/>
        </w:numPr>
        <w:spacing w:line="360" w:lineRule="auto"/>
        <w:jc w:val="both"/>
        <w:rPr>
          <w:rFonts w:ascii="Simplified Arabic" w:hAnsi="Simplified Arabic" w:cs="Simplified Arabic"/>
          <w:sz w:val="28"/>
          <w:szCs w:val="28"/>
        </w:rPr>
      </w:pPr>
      <w:r w:rsidRPr="00A54088">
        <w:rPr>
          <w:rFonts w:ascii="Simplified Arabic" w:hAnsi="Simplified Arabic" w:cs="Simplified Arabic"/>
          <w:b/>
          <w:bCs/>
          <w:sz w:val="28"/>
          <w:szCs w:val="28"/>
          <w:rtl/>
        </w:rPr>
        <w:t>دراسة</w:t>
      </w:r>
      <w:r w:rsidRPr="00A54088">
        <w:rPr>
          <w:rFonts w:ascii="Simplified Arabic" w:hAnsi="Simplified Arabic" w:cs="Simplified Arabic"/>
          <w:b/>
          <w:bCs/>
          <w:sz w:val="28"/>
          <w:szCs w:val="28"/>
        </w:rPr>
        <w:t xml:space="preserve"> </w:t>
      </w:r>
      <w:proofErr w:type="spellStart"/>
      <w:r w:rsidRPr="00A54088">
        <w:rPr>
          <w:rFonts w:ascii="Simplified Arabic" w:hAnsi="Simplified Arabic" w:cs="Simplified Arabic"/>
          <w:b/>
          <w:bCs/>
          <w:sz w:val="28"/>
          <w:szCs w:val="28"/>
        </w:rPr>
        <w:t>Gumusluoglu</w:t>
      </w:r>
      <w:proofErr w:type="spellEnd"/>
      <w:r w:rsidRPr="00A54088">
        <w:rPr>
          <w:rFonts w:ascii="Simplified Arabic" w:hAnsi="Simplified Arabic" w:cs="Simplified Arabic"/>
          <w:b/>
          <w:bCs/>
          <w:sz w:val="28"/>
          <w:szCs w:val="28"/>
        </w:rPr>
        <w:t xml:space="preserve"> &amp; </w:t>
      </w:r>
      <w:proofErr w:type="spellStart"/>
      <w:r w:rsidRPr="00A54088">
        <w:rPr>
          <w:rFonts w:ascii="Simplified Arabic" w:hAnsi="Simplified Arabic" w:cs="Simplified Arabic"/>
          <w:b/>
          <w:bCs/>
          <w:sz w:val="28"/>
          <w:szCs w:val="28"/>
        </w:rPr>
        <w:t>Ilsev</w:t>
      </w:r>
      <w:proofErr w:type="spellEnd"/>
      <w:r w:rsidRPr="00A54088">
        <w:rPr>
          <w:rFonts w:ascii="Simplified Arabic" w:hAnsi="Simplified Arabic" w:cs="Simplified Arabic"/>
          <w:b/>
          <w:bCs/>
          <w:sz w:val="28"/>
          <w:szCs w:val="28"/>
        </w:rPr>
        <w:t xml:space="preserve"> (2009)</w:t>
      </w:r>
      <w:r w:rsidRPr="00A54088">
        <w:rPr>
          <w:rFonts w:ascii="Simplified Arabic" w:hAnsi="Simplified Arabic" w:cs="Simplified Arabic"/>
          <w:sz w:val="28"/>
          <w:szCs w:val="28"/>
        </w:rPr>
        <w:br/>
      </w:r>
      <w:r w:rsidRPr="00A54088">
        <w:rPr>
          <w:rFonts w:ascii="Simplified Arabic" w:hAnsi="Simplified Arabic" w:cs="Simplified Arabic"/>
          <w:sz w:val="28"/>
          <w:szCs w:val="28"/>
          <w:rtl/>
        </w:rPr>
        <w:t>هدفت الدراسة إلى فحص العلاقة بين القيادة التحويلية والابتكار التنظيمي، واعتمدت على المنهج الكمي باستخدام الاستبانة</w:t>
      </w:r>
      <w:r w:rsidRPr="00A54088">
        <w:rPr>
          <w:rFonts w:ascii="Simplified Arabic" w:hAnsi="Simplified Arabic" w:cs="Simplified Arabic"/>
          <w:sz w:val="28"/>
          <w:szCs w:val="28"/>
        </w:rPr>
        <w:t>.</w:t>
      </w:r>
    </w:p>
    <w:p w14:paraId="299BD081" w14:textId="77777777" w:rsidR="00E820E4" w:rsidRPr="00A54088" w:rsidRDefault="00E820E4" w:rsidP="00E820E4">
      <w:pPr>
        <w:spacing w:line="360" w:lineRule="auto"/>
        <w:jc w:val="both"/>
        <w:rPr>
          <w:rFonts w:ascii="Simplified Arabic" w:hAnsi="Simplified Arabic" w:cs="Simplified Arabic"/>
          <w:sz w:val="28"/>
          <w:szCs w:val="28"/>
        </w:rPr>
      </w:pPr>
      <w:r w:rsidRPr="00A54088">
        <w:rPr>
          <w:rFonts w:ascii="Simplified Arabic" w:hAnsi="Simplified Arabic" w:cs="Simplified Arabic"/>
          <w:sz w:val="28"/>
          <w:szCs w:val="28"/>
          <w:rtl/>
        </w:rPr>
        <w:t>وأظهرت النتائج وجود تأثير إيجابي مباشر للقيادة التحويلية على الابتكار، حيث تسهم في خلق بيئة عمل تشجع على التفكير الإبداعي وتبني الأفكار الجديدة</w:t>
      </w:r>
      <w:r w:rsidRPr="00A54088">
        <w:rPr>
          <w:rFonts w:ascii="Simplified Arabic" w:hAnsi="Simplified Arabic" w:cs="Simplified Arabic"/>
          <w:sz w:val="28"/>
          <w:szCs w:val="28"/>
        </w:rPr>
        <w:t>.</w:t>
      </w:r>
    </w:p>
    <w:p w14:paraId="599AB7CF" w14:textId="77777777" w:rsidR="00E820E4" w:rsidRPr="00A54088" w:rsidRDefault="00E820E4" w:rsidP="00E820E4">
      <w:pPr>
        <w:pStyle w:val="ListParagraph"/>
        <w:numPr>
          <w:ilvl w:val="0"/>
          <w:numId w:val="6"/>
        </w:numPr>
        <w:spacing w:line="360" w:lineRule="auto"/>
        <w:jc w:val="both"/>
        <w:rPr>
          <w:rFonts w:ascii="Simplified Arabic" w:hAnsi="Simplified Arabic" w:cs="Simplified Arabic"/>
          <w:sz w:val="28"/>
          <w:szCs w:val="28"/>
        </w:rPr>
      </w:pPr>
      <w:r w:rsidRPr="00A54088">
        <w:rPr>
          <w:rFonts w:ascii="Simplified Arabic" w:hAnsi="Simplified Arabic" w:cs="Simplified Arabic"/>
          <w:b/>
          <w:bCs/>
          <w:sz w:val="28"/>
          <w:szCs w:val="28"/>
          <w:rtl/>
        </w:rPr>
        <w:t>دراسة</w:t>
      </w:r>
      <w:r w:rsidRPr="00A54088">
        <w:rPr>
          <w:rFonts w:ascii="Simplified Arabic" w:hAnsi="Simplified Arabic" w:cs="Simplified Arabic"/>
          <w:b/>
          <w:bCs/>
          <w:sz w:val="28"/>
          <w:szCs w:val="28"/>
        </w:rPr>
        <w:t xml:space="preserve"> Chen &amp; Chang (2013)</w:t>
      </w:r>
      <w:r w:rsidRPr="00A54088">
        <w:rPr>
          <w:rFonts w:ascii="Simplified Arabic" w:hAnsi="Simplified Arabic" w:cs="Simplified Arabic"/>
          <w:sz w:val="28"/>
          <w:szCs w:val="28"/>
        </w:rPr>
        <w:br/>
      </w:r>
      <w:r w:rsidRPr="00A54088">
        <w:rPr>
          <w:rFonts w:ascii="Simplified Arabic" w:hAnsi="Simplified Arabic" w:cs="Simplified Arabic"/>
          <w:sz w:val="28"/>
          <w:szCs w:val="28"/>
          <w:rtl/>
        </w:rPr>
        <w:t>هدفت الدراسة إلى تحليل أثر القيادة التحويلية الخضراء على الإبداع البيئي داخل المؤسسات</w:t>
      </w:r>
      <w:r w:rsidRPr="00A54088">
        <w:rPr>
          <w:rFonts w:ascii="Simplified Arabic" w:hAnsi="Simplified Arabic" w:cs="Simplified Arabic"/>
          <w:sz w:val="28"/>
          <w:szCs w:val="28"/>
        </w:rPr>
        <w:t>.</w:t>
      </w:r>
    </w:p>
    <w:p w14:paraId="1F8A5CF6" w14:textId="77777777" w:rsidR="00E820E4" w:rsidRPr="00A54088" w:rsidRDefault="00E820E4" w:rsidP="00E820E4">
      <w:pPr>
        <w:spacing w:line="360" w:lineRule="auto"/>
        <w:jc w:val="both"/>
        <w:rPr>
          <w:rFonts w:ascii="Simplified Arabic" w:hAnsi="Simplified Arabic" w:cs="Simplified Arabic"/>
          <w:sz w:val="28"/>
          <w:szCs w:val="28"/>
        </w:rPr>
      </w:pPr>
      <w:r w:rsidRPr="00A54088">
        <w:rPr>
          <w:rFonts w:ascii="Simplified Arabic" w:hAnsi="Simplified Arabic" w:cs="Simplified Arabic"/>
          <w:sz w:val="28"/>
          <w:szCs w:val="28"/>
          <w:rtl/>
        </w:rPr>
        <w:t>وأظهرت النتائج أن القيادة التحويلية تسهم بشكل كبير في تعزيز الإبداع المرتبط بالاستدامة، من خلال دعم السلوكيات البيئية وتشجيع الابتكار الأخضر</w:t>
      </w:r>
      <w:r w:rsidRPr="00A54088">
        <w:rPr>
          <w:rFonts w:ascii="Simplified Arabic" w:hAnsi="Simplified Arabic" w:cs="Simplified Arabic"/>
          <w:sz w:val="28"/>
          <w:szCs w:val="28"/>
        </w:rPr>
        <w:t>.</w:t>
      </w:r>
    </w:p>
    <w:p w14:paraId="1A1D1E43" w14:textId="77777777" w:rsidR="00E820E4" w:rsidRPr="00A54088" w:rsidRDefault="00E820E4" w:rsidP="00E820E4">
      <w:pPr>
        <w:pStyle w:val="ListParagraph"/>
        <w:numPr>
          <w:ilvl w:val="0"/>
          <w:numId w:val="6"/>
        </w:numPr>
        <w:spacing w:before="240" w:line="360" w:lineRule="auto"/>
        <w:jc w:val="both"/>
        <w:rPr>
          <w:rFonts w:ascii="Simplified Arabic" w:hAnsi="Simplified Arabic" w:cs="Simplified Arabic"/>
          <w:sz w:val="28"/>
          <w:szCs w:val="28"/>
          <w:rtl/>
          <w:lang w:bidi="ar-EG"/>
        </w:rPr>
      </w:pPr>
      <w:r w:rsidRPr="00A54088">
        <w:rPr>
          <w:rFonts w:ascii="Simplified Arabic" w:hAnsi="Simplified Arabic" w:cs="Simplified Arabic"/>
          <w:sz w:val="28"/>
          <w:szCs w:val="28"/>
          <w:rtl/>
          <w:lang w:bidi="ar-EG"/>
        </w:rPr>
        <w:t>دراسة</w:t>
      </w:r>
      <w:r w:rsidRPr="00A54088">
        <w:rPr>
          <w:rFonts w:ascii="Simplified Arabic" w:hAnsi="Simplified Arabic" w:cs="Simplified Arabic"/>
          <w:sz w:val="28"/>
          <w:szCs w:val="28"/>
          <w:lang w:bidi="ar-EG"/>
        </w:rPr>
        <w:t xml:space="preserve"> Sinha &amp; Mukherjee (2024)</w:t>
      </w:r>
    </w:p>
    <w:p w14:paraId="6A1EC276" w14:textId="77777777" w:rsidR="00E820E4" w:rsidRPr="00A54088" w:rsidRDefault="00E820E4" w:rsidP="00E820E4">
      <w:pPr>
        <w:spacing w:before="240" w:line="360" w:lineRule="auto"/>
        <w:jc w:val="both"/>
        <w:rPr>
          <w:rFonts w:ascii="Simplified Arabic" w:hAnsi="Simplified Arabic" w:cs="Simplified Arabic"/>
          <w:sz w:val="28"/>
          <w:szCs w:val="28"/>
          <w:rtl/>
          <w:lang w:bidi="ar-EG"/>
        </w:rPr>
      </w:pPr>
      <w:r w:rsidRPr="00A54088">
        <w:rPr>
          <w:rFonts w:ascii="Simplified Arabic" w:hAnsi="Simplified Arabic" w:cs="Simplified Arabic"/>
          <w:sz w:val="28"/>
          <w:szCs w:val="28"/>
          <w:rtl/>
          <w:lang w:bidi="ar-EG"/>
        </w:rPr>
        <w:t xml:space="preserve">هدفت هذه الدراسة إلى التعرف على مدى تأثير القيادة التحويلية على المقاييس الرئيسية مثل الرضا الوظيفي ومستويات المشاركة وفعالية التعاون. استخدمت الدراسة أساليب نوعية وكمية لدراسة بيانات ما قبل التنفيذ وما بعده، لتسليط الضوء على التحسينات القابلة للقياس في الاحتفاظ بالمواهب والمشاركة. </w:t>
      </w:r>
      <w:r w:rsidRPr="00A54088">
        <w:rPr>
          <w:rFonts w:ascii="Simplified Arabic" w:hAnsi="Simplified Arabic" w:cs="Simplified Arabic"/>
          <w:sz w:val="28"/>
          <w:szCs w:val="28"/>
          <w:rtl/>
          <w:lang w:bidi="ar-EG"/>
        </w:rPr>
        <w:lastRenderedPageBreak/>
        <w:t>هدفت الدراسة إلى تقديم رؤى قابلة للتنفيذ للقادة ومحترفي الموارد البشرية، لتطوير استراتيجيات تستفيد من القيادة التحويلية في بناء فرق عمل مرنة ومنخرطة وعالية الأداء، وتعزيز فعالية التعاون والرضا الوظيفي</w:t>
      </w:r>
      <w:r w:rsidRPr="00A54088">
        <w:rPr>
          <w:rFonts w:ascii="Simplified Arabic" w:hAnsi="Simplified Arabic" w:cs="Simplified Arabic"/>
          <w:sz w:val="28"/>
          <w:szCs w:val="28"/>
          <w:lang w:bidi="ar-EG"/>
        </w:rPr>
        <w:t>.</w:t>
      </w:r>
    </w:p>
    <w:p w14:paraId="391705B4" w14:textId="77777777" w:rsidR="00E820E4" w:rsidRPr="00A54088" w:rsidRDefault="00E820E4" w:rsidP="00E820E4">
      <w:pPr>
        <w:pStyle w:val="ListParagraph"/>
        <w:numPr>
          <w:ilvl w:val="0"/>
          <w:numId w:val="6"/>
        </w:numPr>
        <w:spacing w:before="240" w:line="360" w:lineRule="auto"/>
        <w:jc w:val="both"/>
        <w:rPr>
          <w:rFonts w:ascii="Simplified Arabic" w:hAnsi="Simplified Arabic" w:cs="Simplified Arabic"/>
          <w:sz w:val="28"/>
          <w:szCs w:val="28"/>
          <w:rtl/>
          <w:lang w:bidi="ar-EG"/>
        </w:rPr>
      </w:pPr>
      <w:r w:rsidRPr="00A54088">
        <w:rPr>
          <w:rFonts w:ascii="Simplified Arabic" w:hAnsi="Simplified Arabic" w:cs="Simplified Arabic"/>
          <w:sz w:val="28"/>
          <w:szCs w:val="28"/>
          <w:rtl/>
          <w:lang w:bidi="ar-EG"/>
        </w:rPr>
        <w:t xml:space="preserve">دراسة </w:t>
      </w:r>
      <w:r w:rsidRPr="00A54088">
        <w:rPr>
          <w:rFonts w:ascii="Simplified Arabic" w:hAnsi="Simplified Arabic" w:cs="Simplified Arabic"/>
          <w:sz w:val="28"/>
          <w:szCs w:val="28"/>
          <w:lang w:bidi="ar-EG"/>
        </w:rPr>
        <w:t>Zhang Xiaoqing</w:t>
      </w:r>
      <w:r w:rsidRPr="00A54088">
        <w:rPr>
          <w:rFonts w:ascii="Simplified Arabic" w:hAnsi="Simplified Arabic" w:cs="Simplified Arabic"/>
          <w:sz w:val="28"/>
          <w:szCs w:val="28"/>
          <w:rtl/>
          <w:lang w:bidi="ar-EG"/>
        </w:rPr>
        <w:t xml:space="preserve"> (2024) هدفت الدراسة إلى بحث تأثير القيادة التحويلية على الأداء الابتكاري للموظفين التعليميين في الجامعات البوليتكنيكية في مدينة بكين، مع التركيز على الدور الوسيط لكل من ثقافة الابتكار وتحفيز الموظفين. واعتمدت الدراسة لتحقيق ذلك على المنهج الكمي. وتمثلت أدوات الدراسة في استبانة لجمع البيانات، وتم تحليلها باستخدام تحليل العوامل التأكيدية (</w:t>
      </w:r>
      <w:r w:rsidRPr="00A54088">
        <w:rPr>
          <w:rFonts w:ascii="Simplified Arabic" w:hAnsi="Simplified Arabic" w:cs="Simplified Arabic"/>
          <w:sz w:val="28"/>
          <w:szCs w:val="28"/>
          <w:lang w:bidi="ar-EG"/>
        </w:rPr>
        <w:t>CFA</w:t>
      </w:r>
      <w:r w:rsidRPr="00A54088">
        <w:rPr>
          <w:rFonts w:ascii="Simplified Arabic" w:hAnsi="Simplified Arabic" w:cs="Simplified Arabic"/>
          <w:sz w:val="28"/>
          <w:szCs w:val="28"/>
          <w:rtl/>
          <w:lang w:bidi="ar-EG"/>
        </w:rPr>
        <w:t>) ونمذجة المعادلات الهيكلية (</w:t>
      </w:r>
      <w:r w:rsidRPr="00A54088">
        <w:rPr>
          <w:rFonts w:ascii="Simplified Arabic" w:hAnsi="Simplified Arabic" w:cs="Simplified Arabic"/>
          <w:sz w:val="28"/>
          <w:szCs w:val="28"/>
          <w:lang w:bidi="ar-EG"/>
        </w:rPr>
        <w:t>SEM</w:t>
      </w:r>
      <w:r w:rsidRPr="00A54088">
        <w:rPr>
          <w:rFonts w:ascii="Simplified Arabic" w:hAnsi="Simplified Arabic" w:cs="Simplified Arabic"/>
          <w:sz w:val="28"/>
          <w:szCs w:val="28"/>
          <w:rtl/>
          <w:lang w:bidi="ar-EG"/>
        </w:rPr>
        <w:t>).. وتم تطبيقها على عينة مكونة من (400) عضو هيئة تدريس في (14) جامعة بوليتكنيكية في بكين. وخلصت النتائج إلى أن القيادة التحويلية تعزز بشكل معنوي أداء الابتكار، كما تبين أن ثقافة الابتكار وتحفيز الموظفين يعملان كوسطاء حاسمين في العلاقة بين القيادة التحويلية والأداء الابتكاري، وأظهرت النتائج أن الممارسات القيادية التحويلية تسهم في تعزيز بيئة أكاديمية مبتكرة. وأوصت الدراسة بضرورة تعزيز الممارسات القيادية التي تدعم ثقافة الابتكار وتحفيز العاملين داخل مؤسسات التعليم العالي من أجل رفع مستوى الأداء الابتكاري.</w:t>
      </w:r>
    </w:p>
    <w:p w14:paraId="4342A641" w14:textId="77777777" w:rsidR="00E820E4" w:rsidRPr="00A54088" w:rsidRDefault="00E820E4" w:rsidP="00E820E4">
      <w:pPr>
        <w:pStyle w:val="ListParagraph"/>
        <w:numPr>
          <w:ilvl w:val="0"/>
          <w:numId w:val="6"/>
        </w:numPr>
        <w:spacing w:before="240" w:line="360" w:lineRule="auto"/>
        <w:jc w:val="both"/>
        <w:rPr>
          <w:rFonts w:ascii="Simplified Arabic" w:hAnsi="Simplified Arabic" w:cs="Simplified Arabic"/>
          <w:sz w:val="28"/>
          <w:szCs w:val="28"/>
          <w:rtl/>
          <w:lang w:bidi="ar-EG"/>
        </w:rPr>
      </w:pPr>
      <w:r w:rsidRPr="00A54088">
        <w:rPr>
          <w:rFonts w:ascii="Simplified Arabic" w:hAnsi="Simplified Arabic" w:cs="Simplified Arabic"/>
          <w:sz w:val="28"/>
          <w:szCs w:val="28"/>
          <w:rtl/>
          <w:lang w:bidi="ar-EG"/>
        </w:rPr>
        <w:t>دراسة</w:t>
      </w:r>
      <w:r w:rsidRPr="00A54088">
        <w:rPr>
          <w:rFonts w:ascii="Simplified Arabic" w:hAnsi="Simplified Arabic" w:cs="Simplified Arabic"/>
          <w:sz w:val="28"/>
          <w:szCs w:val="28"/>
          <w:lang w:bidi="ar-EG"/>
        </w:rPr>
        <w:t xml:space="preserve"> Salem (2023)</w:t>
      </w:r>
    </w:p>
    <w:p w14:paraId="6EF0D99C" w14:textId="77777777" w:rsidR="00E820E4" w:rsidRPr="00A54088" w:rsidRDefault="00E820E4" w:rsidP="00E820E4">
      <w:pPr>
        <w:spacing w:before="240" w:line="360" w:lineRule="auto"/>
        <w:jc w:val="both"/>
        <w:rPr>
          <w:rFonts w:ascii="Simplified Arabic" w:hAnsi="Simplified Arabic" w:cs="Simplified Arabic"/>
          <w:sz w:val="28"/>
          <w:szCs w:val="28"/>
          <w:rtl/>
          <w:lang w:bidi="ar-EG"/>
        </w:rPr>
      </w:pPr>
      <w:r w:rsidRPr="00A54088">
        <w:rPr>
          <w:rFonts w:ascii="Simplified Arabic" w:hAnsi="Simplified Arabic" w:cs="Simplified Arabic"/>
          <w:sz w:val="28"/>
          <w:szCs w:val="28"/>
          <w:rtl/>
          <w:lang w:bidi="ar-EG"/>
        </w:rPr>
        <w:t xml:space="preserve">هدفت الدراسة إلى التعرف على دور أنماط القيادة التحويلية والتبادلية في إدارة المواهب في البنوك التجارية المصرية، وذلك من خلال دراسة دور سلوك العمل الابتكاري كوسيط. تمثل مجتمع الدراسة في العاملين في 22 بنكًا تجاريًا، واعتمدت الدراسة على المنهج الوصفي التحليلي، واستهدفت عينة حجمها 400 مفردة من العاملين بالبنوك محل الدراسة. تم تصميم قائمة استبيان لقياس متغيرات الدراسة. توصلت </w:t>
      </w:r>
      <w:r w:rsidRPr="00A54088">
        <w:rPr>
          <w:rFonts w:ascii="Simplified Arabic" w:hAnsi="Simplified Arabic" w:cs="Simplified Arabic"/>
          <w:sz w:val="28"/>
          <w:szCs w:val="28"/>
          <w:rtl/>
          <w:lang w:bidi="ar-EG"/>
        </w:rPr>
        <w:lastRenderedPageBreak/>
        <w:t>الدراسة إلى أن هناك تأثيرًا إيجابيًا ومعنويًا للقيادة التحويلية بأبعاده (التأثير المثالي- التحفيز الإلهامي - الاستثارة الفكرية ) على إدارة المواهب، وتأثيرًا إيجابيًا ومعنويًا للقيادة التبادلية على إدارة المواهب، كما وجد تأثيرًا إيجابيًا ومعنويًا للقيادة التحويلية على سلوك العمل الابتكاري، وتأثيرًا إيجابيًا ومعنويًا للقيادة التبادلية على سلوك العمل الابتكاري. كما توصلت الدراسة إلى أن سلوك العمل الابتكاري يتوسط جزئيًا العلاقة بين القيادة التحويلية وإدارة المواهب، وكذلك يتوسط جزئيًا العلاقة بين القيادة التبادلية وإدارة المواهب. وقدمت الدراسة توصيات تساعد البنوك التجارية المصرية على تطوير أنماط القيادة لتحقيق أقصى استفادة من المواهب عالية الأداء وتشجيع الابتكار في بيئة العمل.</w:t>
      </w:r>
    </w:p>
    <w:p w14:paraId="28D9393F" w14:textId="77777777" w:rsidR="00E820E4" w:rsidRPr="00A54088" w:rsidRDefault="00E820E4" w:rsidP="00E820E4">
      <w:pPr>
        <w:spacing w:before="240" w:line="360" w:lineRule="auto"/>
        <w:jc w:val="both"/>
        <w:rPr>
          <w:rFonts w:ascii="Simplified Arabic" w:hAnsi="Simplified Arabic" w:cs="Simplified Arabic"/>
          <w:sz w:val="28"/>
          <w:szCs w:val="28"/>
          <w:rtl/>
          <w:lang w:bidi="ar-EG"/>
        </w:rPr>
      </w:pPr>
      <w:r w:rsidRPr="00A54088">
        <w:rPr>
          <w:rFonts w:ascii="Simplified Arabic" w:hAnsi="Simplified Arabic" w:cs="Simplified Arabic"/>
          <w:sz w:val="28"/>
          <w:szCs w:val="28"/>
          <w:rtl/>
        </w:rPr>
        <w:t>7-</w:t>
      </w:r>
      <w:r w:rsidRPr="00A54088">
        <w:rPr>
          <w:rFonts w:ascii="Simplified Arabic" w:hAnsi="Simplified Arabic" w:cs="Simplified Arabic"/>
          <w:sz w:val="28"/>
          <w:szCs w:val="28"/>
          <w:rtl/>
          <w:lang w:bidi="ar-EG"/>
        </w:rPr>
        <w:t xml:space="preserve"> دراسة</w:t>
      </w:r>
      <w:r w:rsidRPr="00A54088">
        <w:rPr>
          <w:rFonts w:ascii="Simplified Arabic" w:hAnsi="Simplified Arabic" w:cs="Simplified Arabic"/>
          <w:sz w:val="28"/>
          <w:szCs w:val="28"/>
          <w:lang w:bidi="ar-EG"/>
        </w:rPr>
        <w:t xml:space="preserve"> Smit et al. (2021)</w:t>
      </w:r>
    </w:p>
    <w:p w14:paraId="3075FE3A" w14:textId="77777777" w:rsidR="00E820E4" w:rsidRPr="00A54088" w:rsidRDefault="00E820E4" w:rsidP="00E820E4">
      <w:pPr>
        <w:spacing w:line="360" w:lineRule="auto"/>
        <w:jc w:val="both"/>
        <w:rPr>
          <w:rFonts w:ascii="Simplified Arabic" w:hAnsi="Simplified Arabic" w:cs="Simplified Arabic"/>
          <w:sz w:val="28"/>
          <w:szCs w:val="28"/>
          <w:rtl/>
        </w:rPr>
      </w:pPr>
      <w:r w:rsidRPr="00A54088">
        <w:rPr>
          <w:rFonts w:ascii="Simplified Arabic" w:hAnsi="Simplified Arabic" w:cs="Simplified Arabic"/>
          <w:sz w:val="28"/>
          <w:szCs w:val="28"/>
          <w:rtl/>
          <w:lang w:bidi="ar-EG"/>
        </w:rPr>
        <w:t>هدفت الدراسة إلى تحديد العلاقة بين إدارة المواهب والقيادة التحويلية</w:t>
      </w:r>
      <w:r w:rsidRPr="00A54088">
        <w:rPr>
          <w:rFonts w:ascii="Simplified Arabic" w:hAnsi="Simplified Arabic" w:cs="Simplified Arabic"/>
          <w:sz w:val="28"/>
          <w:szCs w:val="28"/>
          <w:rtl/>
        </w:rPr>
        <w:t>(التأثير المثالي- التحفيز الإلهامي</w:t>
      </w:r>
      <w:r w:rsidRPr="00A54088">
        <w:rPr>
          <w:rFonts w:ascii="Simplified Arabic" w:hAnsi="Simplified Arabic" w:cs="Simplified Arabic"/>
          <w:sz w:val="28"/>
          <w:szCs w:val="28"/>
        </w:rPr>
        <w:t xml:space="preserve"> </w:t>
      </w:r>
      <w:r w:rsidRPr="00A54088">
        <w:rPr>
          <w:rFonts w:ascii="Simplified Arabic" w:hAnsi="Simplified Arabic" w:cs="Simplified Arabic"/>
          <w:sz w:val="28"/>
          <w:szCs w:val="28"/>
          <w:rtl/>
        </w:rPr>
        <w:t>- الاستثارة الفكرية</w:t>
      </w:r>
      <w:r w:rsidRPr="00A54088">
        <w:rPr>
          <w:rFonts w:ascii="Simplified Arabic" w:hAnsi="Simplified Arabic" w:cs="Simplified Arabic"/>
          <w:sz w:val="28"/>
          <w:szCs w:val="28"/>
        </w:rPr>
        <w:t xml:space="preserve"> </w:t>
      </w:r>
      <w:r w:rsidRPr="00A54088">
        <w:rPr>
          <w:rFonts w:ascii="Simplified Arabic" w:hAnsi="Simplified Arabic" w:cs="Simplified Arabic"/>
          <w:sz w:val="28"/>
          <w:szCs w:val="28"/>
          <w:rtl/>
        </w:rPr>
        <w:t>)</w:t>
      </w:r>
      <w:r w:rsidRPr="00A54088">
        <w:rPr>
          <w:rFonts w:ascii="Simplified Arabic" w:hAnsi="Simplified Arabic" w:cs="Simplified Arabic"/>
          <w:sz w:val="28"/>
          <w:szCs w:val="28"/>
          <w:rtl/>
          <w:lang w:bidi="ar-EG"/>
        </w:rPr>
        <w:t xml:space="preserve">  والمشاركة في العمل من منظور حرفيي السيارات داخل جنوب أفريقيا. تم إجراء مسح على عينة غير احتمالية مكونة من 609 حرفيين من إجمالي 1045 حرفيًا. استخدم البحث المنهج الكمي، وأظهرت النتائج أن إدارة المواهب عملت كوسيط بين القيادة التحويلية والمشاركة في العمل للحرفيين، كما وجدت علاقات إيجابية بين إدارة المواهب والمشاركة في العمل، وبين إدارة المواهب والقيادة التحويلية، بينما لم تظهر علاقة إيجابية مباشرة بين القيادة التحويلية والمشاركة في العمل. أوصت الدراسة بضرورة تنفيذ نهج استراتيجي لإدارة المواهب يشمل مكافآت واضحة وتقدير لجميع أصحاب المصلحة، ويكون جزءًا من ثقافة العمل والعمليات التنظيمية</w:t>
      </w:r>
      <w:r w:rsidRPr="00A54088">
        <w:rPr>
          <w:rFonts w:ascii="Simplified Arabic" w:hAnsi="Simplified Arabic" w:cs="Simplified Arabic"/>
          <w:sz w:val="28"/>
          <w:szCs w:val="28"/>
          <w:lang w:bidi="ar-EG"/>
        </w:rPr>
        <w:t>.</w:t>
      </w:r>
    </w:p>
    <w:p w14:paraId="39A6D6D4" w14:textId="77777777" w:rsidR="00E820E4" w:rsidRPr="00912CCE" w:rsidRDefault="00E820E4" w:rsidP="00E820E4">
      <w:pPr>
        <w:spacing w:line="360" w:lineRule="auto"/>
        <w:jc w:val="both"/>
        <w:rPr>
          <w:rFonts w:ascii="Simplified Arabic" w:hAnsi="Simplified Arabic" w:cs="Simplified Arabic"/>
          <w:b/>
          <w:bCs/>
          <w:sz w:val="28"/>
          <w:szCs w:val="28"/>
          <w:u w:val="single"/>
          <w:rtl/>
        </w:rPr>
      </w:pPr>
      <w:r w:rsidRPr="00912CCE">
        <w:rPr>
          <w:rFonts w:ascii="Simplified Arabic" w:hAnsi="Simplified Arabic" w:cs="Simplified Arabic"/>
          <w:b/>
          <w:bCs/>
          <w:sz w:val="28"/>
          <w:szCs w:val="28"/>
          <w:u w:val="single"/>
          <w:rtl/>
        </w:rPr>
        <w:t>التحليل العام والفجوة البحثية:</w:t>
      </w:r>
    </w:p>
    <w:p w14:paraId="508C6219"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 xml:space="preserve">من خلال استعراض الدراسات السابقة، يتضح أن القيادة التحويلية حظيت باهتمام واسع في الأدبيات التنظيمية، حيث ركزت العديد من الدراسات على دورها في تعزيز الإبداع وتحسين الأداء التنظيمي. </w:t>
      </w:r>
      <w:r w:rsidRPr="00912CCE">
        <w:rPr>
          <w:rFonts w:ascii="Simplified Arabic" w:hAnsi="Simplified Arabic" w:cs="Simplified Arabic"/>
          <w:sz w:val="28"/>
          <w:szCs w:val="28"/>
          <w:rtl/>
        </w:rPr>
        <w:lastRenderedPageBreak/>
        <w:t>كما تناولت بعض الدراسات العلاقة بين القيادة والسلوكيات البيئية، مما يعكس تزايد الاهتمام بدمج البعد البيئي في الدراسات الإدارية.</w:t>
      </w:r>
    </w:p>
    <w:p w14:paraId="349C462E"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ومع ذلك، يُلاحظ أن معظم هذه الدراسات تناولت المتغيرات في سياقات عامة، دون التركيز على بيئات مهنية متخصصة مثل فرق التصميم المعماري، التي تتطلب مستوى عاليًا من الابتكار واتخاذ قرارات تصميمية معقدة.</w:t>
      </w:r>
    </w:p>
    <w:p w14:paraId="6A3D182B"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كما أن الدراسات المتعلقة بالاستدامة ركزت غالبًا على الجوانب التقنية، في حين لم يتم التعمق بشكل كافٍ في دور القيادة التحويلية كعامل مؤثر في تبني ممارسات التصميم المستدام داخل فرق العمل.</w:t>
      </w:r>
    </w:p>
    <w:p w14:paraId="44D51212" w14:textId="77777777" w:rsidR="00E820E4" w:rsidRPr="00912CCE" w:rsidRDefault="00E820E4" w:rsidP="00E820E4">
      <w:pPr>
        <w:spacing w:line="360" w:lineRule="auto"/>
        <w:ind w:left="360"/>
        <w:jc w:val="both"/>
        <w:rPr>
          <w:rFonts w:ascii="Simplified Arabic" w:hAnsi="Simplified Arabic" w:cs="Simplified Arabic"/>
          <w:sz w:val="28"/>
          <w:szCs w:val="28"/>
          <w:rtl/>
        </w:rPr>
      </w:pPr>
      <w:r w:rsidRPr="00912CCE">
        <w:rPr>
          <w:rFonts w:ascii="Simplified Arabic" w:hAnsi="Simplified Arabic" w:cs="Simplified Arabic"/>
          <w:sz w:val="28"/>
          <w:szCs w:val="28"/>
          <w:rtl/>
        </w:rPr>
        <w:t>وتكمن الفجوة البحثية ليس فقط في ندرة الدراسات التي تناولت هذه العلاقة في السياق المعماري، بل في غياب نماذج تفسيرية تربط بشكل مباشر بين أنماط القيادة وسلوكيات تبني التصميم المستدام داخل فرق العمل.</w:t>
      </w:r>
    </w:p>
    <w:p w14:paraId="3D231E52" w14:textId="77777777" w:rsidR="00E820E4" w:rsidRPr="00912CCE" w:rsidRDefault="00E820E4" w:rsidP="00E820E4">
      <w:pPr>
        <w:spacing w:line="360" w:lineRule="auto"/>
        <w:jc w:val="both"/>
        <w:rPr>
          <w:rFonts w:ascii="Simplified Arabic" w:hAnsi="Simplified Arabic" w:cs="Simplified Arabic"/>
          <w:sz w:val="28"/>
          <w:szCs w:val="28"/>
        </w:rPr>
      </w:pPr>
      <w:r w:rsidRPr="00912CCE">
        <w:rPr>
          <w:rFonts w:ascii="Simplified Arabic" w:hAnsi="Simplified Arabic" w:cs="Simplified Arabic"/>
          <w:sz w:val="28"/>
          <w:szCs w:val="28"/>
          <w:rtl/>
        </w:rPr>
        <w:t>ومن هنا، تسعى الدراسة الحالية إلى سد هذه الفجوة من خلال تقديم تحليل كمي تطبيقي يربط بين القيادة التحويلية والتو</w:t>
      </w:r>
    </w:p>
    <w:p w14:paraId="074F0B35" w14:textId="77777777" w:rsidR="00E820E4" w:rsidRPr="00912CCE" w:rsidRDefault="00E820E4" w:rsidP="00E820E4">
      <w:pPr>
        <w:spacing w:line="360" w:lineRule="auto"/>
        <w:jc w:val="both"/>
        <w:rPr>
          <w:rFonts w:ascii="Simplified Arabic" w:hAnsi="Simplified Arabic" w:cs="Simplified Arabic"/>
          <w:sz w:val="28"/>
          <w:szCs w:val="28"/>
        </w:rPr>
      </w:pPr>
    </w:p>
    <w:p w14:paraId="7E6D9471" w14:textId="77777777" w:rsidR="00E820E4" w:rsidRPr="00912CCE" w:rsidRDefault="00E820E4" w:rsidP="00E820E4">
      <w:pPr>
        <w:spacing w:line="360" w:lineRule="auto"/>
        <w:jc w:val="both"/>
        <w:rPr>
          <w:rFonts w:ascii="Simplified Arabic" w:hAnsi="Simplified Arabic" w:cs="Simplified Arabic"/>
          <w:sz w:val="28"/>
          <w:szCs w:val="28"/>
        </w:rPr>
      </w:pPr>
    </w:p>
    <w:p w14:paraId="4CE4A8FD" w14:textId="77777777" w:rsidR="00E820E4" w:rsidRPr="00912CCE" w:rsidRDefault="00E820E4" w:rsidP="00E820E4">
      <w:pPr>
        <w:spacing w:line="360" w:lineRule="auto"/>
        <w:jc w:val="both"/>
        <w:rPr>
          <w:rFonts w:ascii="Simplified Arabic" w:hAnsi="Simplified Arabic" w:cs="Simplified Arabic"/>
          <w:sz w:val="28"/>
          <w:szCs w:val="28"/>
        </w:rPr>
      </w:pPr>
    </w:p>
    <w:p w14:paraId="7B33C826" w14:textId="77777777" w:rsidR="00E820E4" w:rsidRPr="00912CCE" w:rsidRDefault="00E820E4" w:rsidP="00E820E4">
      <w:pPr>
        <w:spacing w:line="360" w:lineRule="auto"/>
        <w:jc w:val="both"/>
        <w:rPr>
          <w:rFonts w:ascii="Simplified Arabic" w:hAnsi="Simplified Arabic" w:cs="Simplified Arabic"/>
          <w:sz w:val="28"/>
          <w:szCs w:val="28"/>
        </w:rPr>
      </w:pPr>
    </w:p>
    <w:p w14:paraId="0C925CA2" w14:textId="77777777" w:rsidR="00E820E4" w:rsidRPr="00912CCE" w:rsidRDefault="00E820E4" w:rsidP="00E820E4">
      <w:pPr>
        <w:spacing w:line="360" w:lineRule="auto"/>
        <w:jc w:val="both"/>
        <w:rPr>
          <w:rFonts w:ascii="Simplified Arabic" w:hAnsi="Simplified Arabic" w:cs="Simplified Arabic"/>
          <w:sz w:val="28"/>
          <w:szCs w:val="28"/>
        </w:rPr>
      </w:pPr>
    </w:p>
    <w:p w14:paraId="65F86C05" w14:textId="77777777" w:rsidR="00E820E4" w:rsidRPr="00912CCE" w:rsidRDefault="00E820E4" w:rsidP="00E820E4">
      <w:pPr>
        <w:spacing w:line="360" w:lineRule="auto"/>
        <w:jc w:val="both"/>
        <w:rPr>
          <w:rFonts w:ascii="Simplified Arabic" w:hAnsi="Simplified Arabic" w:cs="Simplified Arabic"/>
          <w:sz w:val="28"/>
          <w:szCs w:val="28"/>
        </w:rPr>
      </w:pPr>
    </w:p>
    <w:p w14:paraId="0654EC5D" w14:textId="77777777" w:rsidR="00E820E4" w:rsidRPr="00912CCE" w:rsidRDefault="00E820E4" w:rsidP="00E820E4">
      <w:pPr>
        <w:spacing w:line="360" w:lineRule="auto"/>
        <w:jc w:val="both"/>
        <w:rPr>
          <w:rFonts w:ascii="Simplified Arabic" w:hAnsi="Simplified Arabic" w:cs="Simplified Arabic"/>
          <w:sz w:val="28"/>
          <w:szCs w:val="28"/>
        </w:rPr>
      </w:pPr>
    </w:p>
    <w:p w14:paraId="02FC5885" w14:textId="77777777" w:rsidR="00E820E4" w:rsidRPr="00912CCE" w:rsidRDefault="00E820E4" w:rsidP="00E820E4">
      <w:pPr>
        <w:spacing w:line="360" w:lineRule="auto"/>
        <w:jc w:val="both"/>
        <w:rPr>
          <w:rFonts w:ascii="Simplified Arabic" w:hAnsi="Simplified Arabic" w:cs="Simplified Arabic"/>
          <w:sz w:val="28"/>
          <w:szCs w:val="28"/>
        </w:rPr>
      </w:pPr>
    </w:p>
    <w:p w14:paraId="25DCAAA7" w14:textId="77777777" w:rsidR="00E820E4" w:rsidRPr="00912CCE" w:rsidRDefault="00E820E4" w:rsidP="00E820E4">
      <w:pPr>
        <w:spacing w:line="360" w:lineRule="auto"/>
        <w:jc w:val="both"/>
        <w:rPr>
          <w:rFonts w:ascii="Simplified Arabic" w:hAnsi="Simplified Arabic" w:cs="Simplified Arabic"/>
          <w:sz w:val="28"/>
          <w:szCs w:val="28"/>
        </w:rPr>
      </w:pPr>
    </w:p>
    <w:p w14:paraId="1D8B9553" w14:textId="77777777" w:rsidR="00E820E4" w:rsidRPr="00912CCE" w:rsidRDefault="00E820E4" w:rsidP="00E820E4">
      <w:pPr>
        <w:spacing w:line="360" w:lineRule="auto"/>
        <w:jc w:val="both"/>
        <w:rPr>
          <w:rFonts w:ascii="Simplified Arabic" w:hAnsi="Simplified Arabic" w:cs="Simplified Arabic"/>
          <w:sz w:val="28"/>
          <w:szCs w:val="28"/>
        </w:rPr>
      </w:pPr>
    </w:p>
    <w:p w14:paraId="0EEC54AB" w14:textId="77777777" w:rsidR="00E820E4" w:rsidRPr="00912CCE" w:rsidRDefault="00E820E4" w:rsidP="00E820E4">
      <w:pPr>
        <w:spacing w:line="360" w:lineRule="auto"/>
        <w:jc w:val="both"/>
        <w:rPr>
          <w:rFonts w:ascii="Simplified Arabic" w:hAnsi="Simplified Arabic" w:cs="Simplified Arabic"/>
          <w:sz w:val="28"/>
          <w:szCs w:val="28"/>
          <w:rtl/>
        </w:rPr>
      </w:pPr>
    </w:p>
    <w:p w14:paraId="1B78CA7D" w14:textId="77777777" w:rsidR="00E820E4" w:rsidRPr="00912CCE" w:rsidRDefault="00E820E4" w:rsidP="00E820E4">
      <w:pPr>
        <w:spacing w:line="360" w:lineRule="auto"/>
        <w:jc w:val="both"/>
        <w:rPr>
          <w:rFonts w:ascii="Simplified Arabic" w:hAnsi="Simplified Arabic" w:cs="Simplified Arabic"/>
          <w:sz w:val="28"/>
          <w:szCs w:val="28"/>
          <w:rtl/>
        </w:rPr>
      </w:pPr>
    </w:p>
    <w:p w14:paraId="03FCD0E4" w14:textId="77777777" w:rsidR="00E820E4" w:rsidRPr="00912CCE" w:rsidRDefault="00E820E4" w:rsidP="00E820E4">
      <w:pPr>
        <w:spacing w:line="360" w:lineRule="auto"/>
        <w:jc w:val="both"/>
        <w:rPr>
          <w:rFonts w:ascii="Simplified Arabic" w:hAnsi="Simplified Arabic" w:cs="Simplified Arabic"/>
          <w:sz w:val="28"/>
          <w:szCs w:val="28"/>
          <w:rtl/>
        </w:rPr>
      </w:pPr>
    </w:p>
    <w:p w14:paraId="14E66624" w14:textId="77777777" w:rsidR="00E820E4" w:rsidRPr="00912CCE" w:rsidRDefault="00E820E4" w:rsidP="00E820E4">
      <w:pPr>
        <w:spacing w:line="360" w:lineRule="auto"/>
        <w:jc w:val="both"/>
        <w:rPr>
          <w:rFonts w:ascii="Simplified Arabic" w:hAnsi="Simplified Arabic" w:cs="Simplified Arabic"/>
          <w:sz w:val="28"/>
          <w:szCs w:val="28"/>
          <w:rtl/>
        </w:rPr>
      </w:pPr>
    </w:p>
    <w:p w14:paraId="65E9261A" w14:textId="77777777" w:rsidR="00E820E4" w:rsidRPr="00912CCE" w:rsidRDefault="00E820E4" w:rsidP="00E820E4">
      <w:pPr>
        <w:spacing w:line="360" w:lineRule="auto"/>
        <w:jc w:val="both"/>
        <w:rPr>
          <w:rFonts w:ascii="Simplified Arabic" w:hAnsi="Simplified Arabic" w:cs="Simplified Arabic"/>
          <w:sz w:val="28"/>
          <w:szCs w:val="28"/>
          <w:rtl/>
        </w:rPr>
      </w:pPr>
    </w:p>
    <w:p w14:paraId="3C67A809" w14:textId="77777777" w:rsidR="00E820E4" w:rsidRPr="00912CCE" w:rsidRDefault="00E820E4" w:rsidP="00E820E4">
      <w:pPr>
        <w:spacing w:line="360" w:lineRule="auto"/>
        <w:jc w:val="both"/>
        <w:rPr>
          <w:rFonts w:ascii="Simplified Arabic" w:hAnsi="Simplified Arabic" w:cs="Simplified Arabic"/>
          <w:sz w:val="28"/>
          <w:szCs w:val="28"/>
          <w:rtl/>
        </w:rPr>
      </w:pPr>
    </w:p>
    <w:p w14:paraId="6FA62D05" w14:textId="77777777" w:rsidR="00E820E4" w:rsidRPr="00912CCE" w:rsidRDefault="00E820E4" w:rsidP="00E820E4">
      <w:pPr>
        <w:spacing w:line="360" w:lineRule="auto"/>
        <w:jc w:val="both"/>
        <w:rPr>
          <w:rFonts w:ascii="Simplified Arabic" w:hAnsi="Simplified Arabic" w:cs="Simplified Arabic"/>
          <w:sz w:val="28"/>
          <w:szCs w:val="28"/>
          <w:rtl/>
        </w:rPr>
      </w:pPr>
    </w:p>
    <w:p w14:paraId="551A0B28" w14:textId="77777777" w:rsidR="00E820E4" w:rsidRPr="00912CCE" w:rsidRDefault="00E820E4" w:rsidP="00E820E4">
      <w:pPr>
        <w:spacing w:line="360" w:lineRule="auto"/>
        <w:jc w:val="both"/>
        <w:rPr>
          <w:rFonts w:ascii="Simplified Arabic" w:hAnsi="Simplified Arabic" w:cs="Simplified Arabic"/>
          <w:sz w:val="28"/>
          <w:szCs w:val="28"/>
          <w:rtl/>
        </w:rPr>
      </w:pPr>
    </w:p>
    <w:p w14:paraId="632ADE90" w14:textId="77777777" w:rsidR="00E820E4" w:rsidRPr="00912CCE" w:rsidRDefault="00E820E4" w:rsidP="00E820E4">
      <w:pPr>
        <w:spacing w:line="360" w:lineRule="auto"/>
        <w:ind w:left="360"/>
        <w:jc w:val="both"/>
        <w:rPr>
          <w:rFonts w:ascii="Simplified Arabic" w:hAnsi="Simplified Arabic" w:cs="Simplified Arabic"/>
          <w:sz w:val="28"/>
          <w:szCs w:val="28"/>
        </w:rPr>
        <w:sectPr w:rsidR="00E820E4" w:rsidRPr="00912CCE" w:rsidSect="00E820E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r w:rsidRPr="00912CCE">
        <w:rPr>
          <w:rFonts w:ascii="Simplified Arabic" w:hAnsi="Simplified Arabic" w:cs="Simplified Arabic"/>
          <w:sz w:val="28"/>
          <w:szCs w:val="28"/>
          <w:rtl/>
        </w:rPr>
        <w:t>جه نحو التصميم المستدام في سياق فرق التصميم المعماري في المملكة العربية السعودية.</w:t>
      </w:r>
      <w:r w:rsidRPr="00912CCE">
        <w:rPr>
          <w:rFonts w:ascii="Simplified Arabic" w:hAnsi="Simplified Arabic" w:cs="Simplified Arabic"/>
          <w:sz w:val="28"/>
          <w:szCs w:val="28"/>
        </w:rPr>
        <w:t>.</w:t>
      </w:r>
    </w:p>
    <w:p w14:paraId="7EA91CC4" w14:textId="77777777" w:rsidR="00E820E4" w:rsidRPr="00912CCE" w:rsidRDefault="00E820E4" w:rsidP="00E820E4">
      <w:pPr>
        <w:spacing w:line="360" w:lineRule="auto"/>
        <w:jc w:val="both"/>
        <w:rPr>
          <w:rFonts w:ascii="Simplified Arabic" w:hAnsi="Simplified Arabic" w:cs="Simplified Arabic"/>
          <w:sz w:val="28"/>
          <w:szCs w:val="28"/>
        </w:rPr>
      </w:pPr>
    </w:p>
    <w:p w14:paraId="38C17EF8" w14:textId="77777777" w:rsidR="00E820E4" w:rsidRPr="00912CCE" w:rsidRDefault="00E820E4" w:rsidP="00E820E4">
      <w:pPr>
        <w:spacing w:line="360" w:lineRule="auto"/>
        <w:jc w:val="both"/>
        <w:rPr>
          <w:rFonts w:ascii="Simplified Arabic" w:hAnsi="Simplified Arabic" w:cs="Simplified Arabic"/>
          <w:sz w:val="28"/>
          <w:szCs w:val="28"/>
          <w:rtl/>
        </w:rPr>
      </w:pPr>
    </w:p>
    <w:p w14:paraId="7230BBFE" w14:textId="77777777" w:rsidR="00E820E4" w:rsidRPr="00912CCE" w:rsidRDefault="00E820E4" w:rsidP="00E820E4">
      <w:pPr>
        <w:spacing w:line="360" w:lineRule="auto"/>
        <w:jc w:val="both"/>
        <w:rPr>
          <w:rFonts w:ascii="Simplified Arabic" w:hAnsi="Simplified Arabic" w:cs="Simplified Arabic"/>
          <w:sz w:val="28"/>
          <w:szCs w:val="28"/>
          <w:rtl/>
        </w:rPr>
      </w:pPr>
    </w:p>
    <w:p w14:paraId="52A8FF8D" w14:textId="77777777" w:rsidR="00E820E4" w:rsidRPr="00912CCE" w:rsidRDefault="00E820E4" w:rsidP="00E820E4">
      <w:pPr>
        <w:spacing w:line="360" w:lineRule="auto"/>
        <w:jc w:val="both"/>
        <w:rPr>
          <w:rFonts w:ascii="Simplified Arabic" w:hAnsi="Simplified Arabic" w:cs="Simplified Arabic"/>
          <w:sz w:val="28"/>
          <w:szCs w:val="28"/>
          <w:rtl/>
        </w:rPr>
      </w:pPr>
    </w:p>
    <w:p w14:paraId="38609CDD" w14:textId="77777777" w:rsidR="00E820E4" w:rsidRPr="00912CCE" w:rsidRDefault="00E820E4" w:rsidP="00E820E4">
      <w:pPr>
        <w:spacing w:line="360" w:lineRule="auto"/>
        <w:jc w:val="both"/>
        <w:rPr>
          <w:rFonts w:ascii="Simplified Arabic" w:hAnsi="Simplified Arabic" w:cs="Simplified Arabic"/>
          <w:sz w:val="28"/>
          <w:szCs w:val="28"/>
          <w:rtl/>
        </w:rPr>
      </w:pPr>
    </w:p>
    <w:p w14:paraId="6D6E9F8D" w14:textId="77777777" w:rsidR="00E820E4" w:rsidRPr="00912CCE" w:rsidRDefault="00E820E4" w:rsidP="00E820E4">
      <w:pPr>
        <w:spacing w:line="360" w:lineRule="auto"/>
        <w:jc w:val="both"/>
        <w:rPr>
          <w:rFonts w:ascii="Simplified Arabic" w:hAnsi="Simplified Arabic" w:cs="Simplified Arabic"/>
          <w:sz w:val="28"/>
          <w:szCs w:val="28"/>
          <w:rtl/>
        </w:rPr>
      </w:pPr>
    </w:p>
    <w:p w14:paraId="47EBD930" w14:textId="77777777" w:rsidR="00E820E4" w:rsidRPr="00912CCE" w:rsidRDefault="00E820E4" w:rsidP="00E820E4">
      <w:pPr>
        <w:spacing w:line="360" w:lineRule="auto"/>
        <w:jc w:val="both"/>
        <w:rPr>
          <w:rFonts w:ascii="Simplified Arabic" w:hAnsi="Simplified Arabic" w:cs="Simplified Arabic"/>
          <w:sz w:val="28"/>
          <w:szCs w:val="28"/>
          <w:rtl/>
        </w:rPr>
      </w:pPr>
    </w:p>
    <w:p w14:paraId="4658E069" w14:textId="77777777" w:rsidR="00DC0AFC" w:rsidRDefault="00DC0AFC"/>
    <w:sectPr w:rsidR="00DC0A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6955382"/>
      <w:docPartObj>
        <w:docPartGallery w:val="Page Numbers (Bottom of Page)"/>
        <w:docPartUnique/>
      </w:docPartObj>
    </w:sdtPr>
    <w:sdtContent>
      <w:p w14:paraId="69A44534" w14:textId="77777777" w:rsidR="00E820E4" w:rsidRDefault="00E820E4">
        <w:pPr>
          <w:pStyle w:val="Footer"/>
        </w:pPr>
        <w:r>
          <w:fldChar w:fldCharType="begin"/>
        </w:r>
        <w:r>
          <w:instrText>PAGE   \* MERGEFORMAT</w:instrText>
        </w:r>
        <w:r>
          <w:fldChar w:fldCharType="separate"/>
        </w:r>
        <w:r>
          <w:rPr>
            <w:rtl/>
            <w:lang w:val="ar-SA"/>
          </w:rPr>
          <w:t>2</w:t>
        </w:r>
        <w:r>
          <w:fldChar w:fldCharType="end"/>
        </w:r>
      </w:p>
    </w:sdtContent>
  </w:sdt>
  <w:p w14:paraId="5DFFC58A" w14:textId="77777777" w:rsidR="00E820E4" w:rsidRDefault="00E820E4">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15C01"/>
    <w:multiLevelType w:val="hybridMultilevel"/>
    <w:tmpl w:val="CABE9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7C029D"/>
    <w:multiLevelType w:val="hybridMultilevel"/>
    <w:tmpl w:val="F6DCEA7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45E51"/>
    <w:multiLevelType w:val="hybridMultilevel"/>
    <w:tmpl w:val="4EE05D32"/>
    <w:lvl w:ilvl="0" w:tplc="138EA206">
      <w:start w:val="3"/>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CE04D7"/>
    <w:multiLevelType w:val="hybridMultilevel"/>
    <w:tmpl w:val="C38AFCAE"/>
    <w:lvl w:ilvl="0" w:tplc="5128F6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D65DD0"/>
    <w:multiLevelType w:val="hybridMultilevel"/>
    <w:tmpl w:val="6938E18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89A3434"/>
    <w:multiLevelType w:val="hybridMultilevel"/>
    <w:tmpl w:val="D1507D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48253B"/>
    <w:multiLevelType w:val="hybridMultilevel"/>
    <w:tmpl w:val="13B09A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AB20CE2"/>
    <w:multiLevelType w:val="hybridMultilevel"/>
    <w:tmpl w:val="FC48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E1787A"/>
    <w:multiLevelType w:val="hybridMultilevel"/>
    <w:tmpl w:val="5DC49122"/>
    <w:lvl w:ilvl="0" w:tplc="F56CE542">
      <w:start w:val="1"/>
      <w:numFmt w:val="bullet"/>
      <w:lvlText w:val="-"/>
      <w:lvlJc w:val="left"/>
      <w:pPr>
        <w:ind w:left="720" w:hanging="360"/>
      </w:pPr>
      <w:rPr>
        <w:rFonts w:asciiTheme="minorHAnsi" w:eastAsiaTheme="minorHAnsi" w:hAnsiTheme="minorHAnsi"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F02CA4"/>
    <w:multiLevelType w:val="multilevel"/>
    <w:tmpl w:val="A81CC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EE27CD"/>
    <w:multiLevelType w:val="hybridMultilevel"/>
    <w:tmpl w:val="19FC55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821AB1"/>
    <w:multiLevelType w:val="hybridMultilevel"/>
    <w:tmpl w:val="646AB8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1A6ED3"/>
    <w:multiLevelType w:val="hybridMultilevel"/>
    <w:tmpl w:val="A66611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0CA3986"/>
    <w:multiLevelType w:val="hybridMultilevel"/>
    <w:tmpl w:val="EE6C5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6F5E8E"/>
    <w:multiLevelType w:val="hybridMultilevel"/>
    <w:tmpl w:val="F61AFE42"/>
    <w:lvl w:ilvl="0" w:tplc="085E7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434372D"/>
    <w:multiLevelType w:val="hybridMultilevel"/>
    <w:tmpl w:val="84589318"/>
    <w:lvl w:ilvl="0" w:tplc="0E30B1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46C3444"/>
    <w:multiLevelType w:val="hybridMultilevel"/>
    <w:tmpl w:val="0C88F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4A2393C"/>
    <w:multiLevelType w:val="hybridMultilevel"/>
    <w:tmpl w:val="C064628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66873"/>
    <w:multiLevelType w:val="hybridMultilevel"/>
    <w:tmpl w:val="BB5EA7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6F3235"/>
    <w:multiLevelType w:val="hybridMultilevel"/>
    <w:tmpl w:val="92347E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7960117"/>
    <w:multiLevelType w:val="hybridMultilevel"/>
    <w:tmpl w:val="A1189B5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954894"/>
    <w:multiLevelType w:val="hybridMultilevel"/>
    <w:tmpl w:val="3D8A2CB8"/>
    <w:lvl w:ilvl="0" w:tplc="28E2EE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F46DCD"/>
    <w:multiLevelType w:val="multilevel"/>
    <w:tmpl w:val="46F6D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BEA1ABC"/>
    <w:multiLevelType w:val="hybridMultilevel"/>
    <w:tmpl w:val="C556F49E"/>
    <w:lvl w:ilvl="0" w:tplc="F56CE542">
      <w:start w:val="1"/>
      <w:numFmt w:val="bullet"/>
      <w:lvlText w:val="-"/>
      <w:lvlJc w:val="left"/>
      <w:pPr>
        <w:ind w:left="1080" w:hanging="360"/>
      </w:pPr>
      <w:rPr>
        <w:rFonts w:asciiTheme="minorHAnsi" w:eastAsiaTheme="minorHAnsi" w:hAnsiTheme="minorHAnsi"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240D4FFA"/>
    <w:multiLevelType w:val="hybridMultilevel"/>
    <w:tmpl w:val="FA82D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F74C4A"/>
    <w:multiLevelType w:val="hybridMultilevel"/>
    <w:tmpl w:val="EFECC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0A1D70"/>
    <w:multiLevelType w:val="hybridMultilevel"/>
    <w:tmpl w:val="17A8F31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A8E3E80"/>
    <w:multiLevelType w:val="hybridMultilevel"/>
    <w:tmpl w:val="E16C99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ADF5984"/>
    <w:multiLevelType w:val="hybridMultilevel"/>
    <w:tmpl w:val="E63E618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D9C7924"/>
    <w:multiLevelType w:val="hybridMultilevel"/>
    <w:tmpl w:val="867E0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E2166E6"/>
    <w:multiLevelType w:val="hybridMultilevel"/>
    <w:tmpl w:val="A54E2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F8A7180"/>
    <w:multiLevelType w:val="hybridMultilevel"/>
    <w:tmpl w:val="083E80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2F3BF8"/>
    <w:multiLevelType w:val="hybridMultilevel"/>
    <w:tmpl w:val="AAA272F2"/>
    <w:lvl w:ilvl="0" w:tplc="28E2EED6">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296DE3"/>
    <w:multiLevelType w:val="hybridMultilevel"/>
    <w:tmpl w:val="0C8EE1FE"/>
    <w:lvl w:ilvl="0" w:tplc="FFFFFFFF">
      <w:start w:val="1"/>
      <w:numFmt w:val="decimal"/>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4" w15:restartNumberingAfterBreak="0">
    <w:nsid w:val="33893C9B"/>
    <w:multiLevelType w:val="hybridMultilevel"/>
    <w:tmpl w:val="7ADE12D0"/>
    <w:lvl w:ilvl="0" w:tplc="28E2EED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F729CA"/>
    <w:multiLevelType w:val="hybridMultilevel"/>
    <w:tmpl w:val="D6C612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6727B1D"/>
    <w:multiLevelType w:val="hybridMultilevel"/>
    <w:tmpl w:val="9AAAF9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6B866DE"/>
    <w:multiLevelType w:val="hybridMultilevel"/>
    <w:tmpl w:val="A4A869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B614A1C"/>
    <w:multiLevelType w:val="hybridMultilevel"/>
    <w:tmpl w:val="9BD82F6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BAA2FAD"/>
    <w:multiLevelType w:val="hybridMultilevel"/>
    <w:tmpl w:val="8B6C59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BDE054C"/>
    <w:multiLevelType w:val="hybridMultilevel"/>
    <w:tmpl w:val="1850FEF6"/>
    <w:lvl w:ilvl="0" w:tplc="0DEEE8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C2520C4"/>
    <w:multiLevelType w:val="hybridMultilevel"/>
    <w:tmpl w:val="910027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3CD159D3"/>
    <w:multiLevelType w:val="hybridMultilevel"/>
    <w:tmpl w:val="80420C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D261C0F"/>
    <w:multiLevelType w:val="multilevel"/>
    <w:tmpl w:val="41B4280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44" w15:restartNumberingAfterBreak="0">
    <w:nsid w:val="3FB720D2"/>
    <w:multiLevelType w:val="multilevel"/>
    <w:tmpl w:val="9DFC4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1E65BD4"/>
    <w:multiLevelType w:val="hybridMultilevel"/>
    <w:tmpl w:val="3920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9144C2"/>
    <w:multiLevelType w:val="hybridMultilevel"/>
    <w:tmpl w:val="28B2AE2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7" w15:restartNumberingAfterBreak="0">
    <w:nsid w:val="4655782B"/>
    <w:multiLevelType w:val="hybridMultilevel"/>
    <w:tmpl w:val="D556F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DC7B8D"/>
    <w:multiLevelType w:val="hybridMultilevel"/>
    <w:tmpl w:val="6204B56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9980F80"/>
    <w:multiLevelType w:val="hybridMultilevel"/>
    <w:tmpl w:val="9E1895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F954046"/>
    <w:multiLevelType w:val="hybridMultilevel"/>
    <w:tmpl w:val="DD128BFA"/>
    <w:lvl w:ilvl="0" w:tplc="F56CE542">
      <w:start w:val="1"/>
      <w:numFmt w:val="bullet"/>
      <w:lvlText w:val="-"/>
      <w:lvlJc w:val="left"/>
      <w:pPr>
        <w:ind w:left="720" w:hanging="360"/>
      </w:pPr>
      <w:rPr>
        <w:rFonts w:asciiTheme="minorHAnsi" w:eastAsiaTheme="minorHAnsi" w:hAnsiTheme="minorHAnsi"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0842847"/>
    <w:multiLevelType w:val="hybridMultilevel"/>
    <w:tmpl w:val="1F0EC140"/>
    <w:lvl w:ilvl="0" w:tplc="B3AC4C0E">
      <w:start w:val="3"/>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16733CC"/>
    <w:multiLevelType w:val="hybridMultilevel"/>
    <w:tmpl w:val="CA5CE7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3C3169B"/>
    <w:multiLevelType w:val="hybridMultilevel"/>
    <w:tmpl w:val="FBF0BC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54F32B8D"/>
    <w:multiLevelType w:val="hybridMultilevel"/>
    <w:tmpl w:val="ECAE62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8A5DE6"/>
    <w:multiLevelType w:val="hybridMultilevel"/>
    <w:tmpl w:val="1AE2CC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7052362"/>
    <w:multiLevelType w:val="hybridMultilevel"/>
    <w:tmpl w:val="741CD2C8"/>
    <w:lvl w:ilvl="0" w:tplc="04090001">
      <w:start w:val="1"/>
      <w:numFmt w:val="bullet"/>
      <w:lvlText w:val=""/>
      <w:lvlJc w:val="left"/>
      <w:pPr>
        <w:ind w:left="720" w:hanging="360"/>
      </w:pPr>
      <w:rPr>
        <w:rFonts w:ascii="Symbol" w:hAnsi="Symbol" w:hint="default"/>
      </w:rPr>
    </w:lvl>
    <w:lvl w:ilvl="1" w:tplc="F3C8C18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70C272A"/>
    <w:multiLevelType w:val="hybridMultilevel"/>
    <w:tmpl w:val="7E9808A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8935A57"/>
    <w:multiLevelType w:val="hybridMultilevel"/>
    <w:tmpl w:val="FCF4D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5673B"/>
    <w:multiLevelType w:val="hybridMultilevel"/>
    <w:tmpl w:val="403A78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B78605D"/>
    <w:multiLevelType w:val="multilevel"/>
    <w:tmpl w:val="54EAF846"/>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61" w15:restartNumberingAfterBreak="0">
    <w:nsid w:val="5C085F72"/>
    <w:multiLevelType w:val="hybridMultilevel"/>
    <w:tmpl w:val="B2E69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E261367"/>
    <w:multiLevelType w:val="hybridMultilevel"/>
    <w:tmpl w:val="28BE614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E5B04BE"/>
    <w:multiLevelType w:val="hybridMultilevel"/>
    <w:tmpl w:val="2E389AF8"/>
    <w:lvl w:ilvl="0" w:tplc="F56CE542">
      <w:start w:val="1"/>
      <w:numFmt w:val="bullet"/>
      <w:lvlText w:val="-"/>
      <w:lvlJc w:val="left"/>
      <w:pPr>
        <w:ind w:left="720" w:hanging="360"/>
      </w:pPr>
      <w:rPr>
        <w:rFonts w:asciiTheme="minorHAnsi" w:eastAsiaTheme="minorHAnsi" w:hAnsiTheme="minorHAnsi"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E8D0B25"/>
    <w:multiLevelType w:val="hybridMultilevel"/>
    <w:tmpl w:val="52D08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E983F37"/>
    <w:multiLevelType w:val="hybridMultilevel"/>
    <w:tmpl w:val="C04227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F173D62"/>
    <w:multiLevelType w:val="hybridMultilevel"/>
    <w:tmpl w:val="4A1A3F4C"/>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FAC271D"/>
    <w:multiLevelType w:val="hybridMultilevel"/>
    <w:tmpl w:val="4C20C62C"/>
    <w:lvl w:ilvl="0" w:tplc="085E7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34B07E4"/>
    <w:multiLevelType w:val="multilevel"/>
    <w:tmpl w:val="B0D69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5925BD1"/>
    <w:multiLevelType w:val="hybridMultilevel"/>
    <w:tmpl w:val="60E0CF7C"/>
    <w:lvl w:ilvl="0" w:tplc="F56CE542">
      <w:start w:val="1"/>
      <w:numFmt w:val="bullet"/>
      <w:lvlText w:val="-"/>
      <w:lvlJc w:val="left"/>
      <w:pPr>
        <w:ind w:left="720" w:hanging="360"/>
      </w:pPr>
      <w:rPr>
        <w:rFonts w:asciiTheme="minorHAnsi" w:eastAsiaTheme="minorHAnsi" w:hAnsiTheme="minorHAnsi"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6B57FE1"/>
    <w:multiLevelType w:val="hybridMultilevel"/>
    <w:tmpl w:val="7C680B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6EB07DF"/>
    <w:multiLevelType w:val="hybridMultilevel"/>
    <w:tmpl w:val="4782D692"/>
    <w:lvl w:ilvl="0" w:tplc="42422BF6">
      <w:start w:val="1"/>
      <w:numFmt w:val="decimal"/>
      <w:lvlText w:val="%1."/>
      <w:lvlJc w:val="left"/>
      <w:pPr>
        <w:ind w:left="720" w:hanging="360"/>
      </w:pPr>
      <w:rPr>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79A5BDE"/>
    <w:multiLevelType w:val="hybridMultilevel"/>
    <w:tmpl w:val="42D42B7A"/>
    <w:lvl w:ilvl="0" w:tplc="085E7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8D04386"/>
    <w:multiLevelType w:val="hybridMultilevel"/>
    <w:tmpl w:val="BA18D674"/>
    <w:lvl w:ilvl="0" w:tplc="AD02B64A">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6F25C7"/>
    <w:multiLevelType w:val="hybridMultilevel"/>
    <w:tmpl w:val="00B8050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9E657C1"/>
    <w:multiLevelType w:val="hybridMultilevel"/>
    <w:tmpl w:val="B574A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E38372B"/>
    <w:multiLevelType w:val="hybridMultilevel"/>
    <w:tmpl w:val="7D221DD2"/>
    <w:lvl w:ilvl="0" w:tplc="417810C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E8B18E6"/>
    <w:multiLevelType w:val="hybridMultilevel"/>
    <w:tmpl w:val="E27C5D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F085FE7"/>
    <w:multiLevelType w:val="multilevel"/>
    <w:tmpl w:val="DBCA8FE4"/>
    <w:lvl w:ilvl="0">
      <w:start w:val="1"/>
      <w:numFmt w:val="decimal"/>
      <w:lvlText w:val="%1)"/>
      <w:lvlJc w:val="left"/>
      <w:pPr>
        <w:ind w:left="585" w:hanging="585"/>
      </w:pPr>
      <w:rPr>
        <w:rFonts w:hint="default"/>
      </w:rPr>
    </w:lvl>
    <w:lvl w:ilvl="1">
      <w:start w:val="1"/>
      <w:numFmt w:val="decimal"/>
      <w:lvlText w:val="%1.%2"/>
      <w:lvlJc w:val="left"/>
      <w:pPr>
        <w:ind w:left="718" w:hanging="720"/>
      </w:pPr>
      <w:rPr>
        <w:rFonts w:hint="default"/>
      </w:rPr>
    </w:lvl>
    <w:lvl w:ilvl="2">
      <w:start w:val="1"/>
      <w:numFmt w:val="decimal"/>
      <w:lvlText w:val="%1.%2.%3"/>
      <w:lvlJc w:val="left"/>
      <w:pPr>
        <w:ind w:left="1076" w:hanging="1080"/>
      </w:pPr>
      <w:rPr>
        <w:rFonts w:hint="default"/>
      </w:rPr>
    </w:lvl>
    <w:lvl w:ilvl="3">
      <w:start w:val="1"/>
      <w:numFmt w:val="decimal"/>
      <w:lvlText w:val="%1.%2.%3.%4"/>
      <w:lvlJc w:val="left"/>
      <w:pPr>
        <w:ind w:left="1434" w:hanging="1440"/>
      </w:pPr>
      <w:rPr>
        <w:rFonts w:hint="default"/>
      </w:rPr>
    </w:lvl>
    <w:lvl w:ilvl="4">
      <w:start w:val="1"/>
      <w:numFmt w:val="decimal"/>
      <w:lvlText w:val="%1.%2.%3.%4.%5"/>
      <w:lvlJc w:val="left"/>
      <w:pPr>
        <w:ind w:left="1792" w:hanging="1800"/>
      </w:pPr>
      <w:rPr>
        <w:rFonts w:hint="default"/>
      </w:rPr>
    </w:lvl>
    <w:lvl w:ilvl="5">
      <w:start w:val="1"/>
      <w:numFmt w:val="decimal"/>
      <w:lvlText w:val="%1.%2.%3.%4.%5.%6"/>
      <w:lvlJc w:val="left"/>
      <w:pPr>
        <w:ind w:left="2150" w:hanging="2160"/>
      </w:pPr>
      <w:rPr>
        <w:rFonts w:hint="default"/>
      </w:rPr>
    </w:lvl>
    <w:lvl w:ilvl="6">
      <w:start w:val="1"/>
      <w:numFmt w:val="decimal"/>
      <w:lvlText w:val="%1.%2.%3.%4.%5.%6.%7"/>
      <w:lvlJc w:val="left"/>
      <w:pPr>
        <w:ind w:left="2508" w:hanging="2520"/>
      </w:pPr>
      <w:rPr>
        <w:rFonts w:hint="default"/>
      </w:rPr>
    </w:lvl>
    <w:lvl w:ilvl="7">
      <w:start w:val="1"/>
      <w:numFmt w:val="decimal"/>
      <w:lvlText w:val="%1.%2.%3.%4.%5.%6.%7.%8"/>
      <w:lvlJc w:val="left"/>
      <w:pPr>
        <w:ind w:left="2506" w:hanging="2520"/>
      </w:pPr>
      <w:rPr>
        <w:rFonts w:hint="default"/>
      </w:rPr>
    </w:lvl>
    <w:lvl w:ilvl="8">
      <w:start w:val="1"/>
      <w:numFmt w:val="decimal"/>
      <w:lvlText w:val="%1.%2.%3.%4.%5.%6.%7.%8.%9"/>
      <w:lvlJc w:val="left"/>
      <w:pPr>
        <w:ind w:left="2864" w:hanging="2880"/>
      </w:pPr>
      <w:rPr>
        <w:rFonts w:hint="default"/>
      </w:rPr>
    </w:lvl>
  </w:abstractNum>
  <w:abstractNum w:abstractNumId="79" w15:restartNumberingAfterBreak="0">
    <w:nsid w:val="71174C93"/>
    <w:multiLevelType w:val="hybridMultilevel"/>
    <w:tmpl w:val="004A50AA"/>
    <w:lvl w:ilvl="0" w:tplc="92EE2E92">
      <w:numFmt w:val="bullet"/>
      <w:lvlText w:val=""/>
      <w:lvlJc w:val="left"/>
      <w:pPr>
        <w:ind w:left="720" w:hanging="360"/>
      </w:pPr>
      <w:rPr>
        <w:rFonts w:ascii="Symbol" w:eastAsia="Calibr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712278CE"/>
    <w:multiLevelType w:val="hybridMultilevel"/>
    <w:tmpl w:val="45B46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2353949"/>
    <w:multiLevelType w:val="hybridMultilevel"/>
    <w:tmpl w:val="C7409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5546E5D"/>
    <w:multiLevelType w:val="hybridMultilevel"/>
    <w:tmpl w:val="A0A2D2C6"/>
    <w:lvl w:ilvl="0" w:tplc="085E7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82C0D38"/>
    <w:multiLevelType w:val="hybridMultilevel"/>
    <w:tmpl w:val="8DE88D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8750035"/>
    <w:multiLevelType w:val="hybridMultilevel"/>
    <w:tmpl w:val="5756078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5" w15:restartNumberingAfterBreak="0">
    <w:nsid w:val="78B871AD"/>
    <w:multiLevelType w:val="multilevel"/>
    <w:tmpl w:val="7C182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9DA7F65"/>
    <w:multiLevelType w:val="hybridMultilevel"/>
    <w:tmpl w:val="33ACC3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A9E5603"/>
    <w:multiLevelType w:val="hybridMultilevel"/>
    <w:tmpl w:val="0B6EBE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BEC50CB"/>
    <w:multiLevelType w:val="multilevel"/>
    <w:tmpl w:val="8A12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D697E02"/>
    <w:multiLevelType w:val="hybridMultilevel"/>
    <w:tmpl w:val="AE14BB7E"/>
    <w:lvl w:ilvl="0" w:tplc="F86267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F35759D"/>
    <w:multiLevelType w:val="hybridMultilevel"/>
    <w:tmpl w:val="7F4E73C2"/>
    <w:lvl w:ilvl="0" w:tplc="085E76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61850593">
    <w:abstractNumId w:val="44"/>
  </w:num>
  <w:num w:numId="2" w16cid:durableId="1914126320">
    <w:abstractNumId w:val="9"/>
  </w:num>
  <w:num w:numId="3" w16cid:durableId="1619723789">
    <w:abstractNumId w:val="85"/>
  </w:num>
  <w:num w:numId="4" w16cid:durableId="1535658629">
    <w:abstractNumId w:val="89"/>
  </w:num>
  <w:num w:numId="5" w16cid:durableId="1340503136">
    <w:abstractNumId w:val="15"/>
  </w:num>
  <w:num w:numId="6" w16cid:durableId="1527333107">
    <w:abstractNumId w:val="76"/>
  </w:num>
  <w:num w:numId="7" w16cid:durableId="89665275">
    <w:abstractNumId w:val="88"/>
  </w:num>
  <w:num w:numId="8" w16cid:durableId="1102872380">
    <w:abstractNumId w:val="90"/>
  </w:num>
  <w:num w:numId="9" w16cid:durableId="2115129134">
    <w:abstractNumId w:val="3"/>
  </w:num>
  <w:num w:numId="10" w16cid:durableId="1766877766">
    <w:abstractNumId w:val="47"/>
  </w:num>
  <w:num w:numId="11" w16cid:durableId="400979775">
    <w:abstractNumId w:val="87"/>
  </w:num>
  <w:num w:numId="12" w16cid:durableId="1391615988">
    <w:abstractNumId w:val="77"/>
  </w:num>
  <w:num w:numId="13" w16cid:durableId="2085294807">
    <w:abstractNumId w:val="75"/>
  </w:num>
  <w:num w:numId="14" w16cid:durableId="1012072591">
    <w:abstractNumId w:val="20"/>
  </w:num>
  <w:num w:numId="15" w16cid:durableId="1501771923">
    <w:abstractNumId w:val="82"/>
  </w:num>
  <w:num w:numId="16" w16cid:durableId="1606770053">
    <w:abstractNumId w:val="56"/>
  </w:num>
  <w:num w:numId="17" w16cid:durableId="491144208">
    <w:abstractNumId w:val="67"/>
  </w:num>
  <w:num w:numId="18" w16cid:durableId="84688054">
    <w:abstractNumId w:val="73"/>
  </w:num>
  <w:num w:numId="19" w16cid:durableId="1846358152">
    <w:abstractNumId w:val="2"/>
  </w:num>
  <w:num w:numId="20" w16cid:durableId="484784330">
    <w:abstractNumId w:val="51"/>
  </w:num>
  <w:num w:numId="21" w16cid:durableId="370807000">
    <w:abstractNumId w:val="14"/>
  </w:num>
  <w:num w:numId="22" w16cid:durableId="398794740">
    <w:abstractNumId w:val="72"/>
  </w:num>
  <w:num w:numId="23" w16cid:durableId="1290282738">
    <w:abstractNumId w:val="25"/>
  </w:num>
  <w:num w:numId="24" w16cid:durableId="1800025181">
    <w:abstractNumId w:val="81"/>
  </w:num>
  <w:num w:numId="25" w16cid:durableId="806316823">
    <w:abstractNumId w:val="18"/>
  </w:num>
  <w:num w:numId="26" w16cid:durableId="1486818624">
    <w:abstractNumId w:val="27"/>
  </w:num>
  <w:num w:numId="27" w16cid:durableId="1854803151">
    <w:abstractNumId w:val="24"/>
  </w:num>
  <w:num w:numId="28" w16cid:durableId="584151896">
    <w:abstractNumId w:val="12"/>
  </w:num>
  <w:num w:numId="29" w16cid:durableId="1312367904">
    <w:abstractNumId w:val="22"/>
  </w:num>
  <w:num w:numId="30" w16cid:durableId="1017848380">
    <w:abstractNumId w:val="65"/>
  </w:num>
  <w:num w:numId="31" w16cid:durableId="1847749134">
    <w:abstractNumId w:val="0"/>
  </w:num>
  <w:num w:numId="32" w16cid:durableId="1626157119">
    <w:abstractNumId w:val="40"/>
  </w:num>
  <w:num w:numId="33" w16cid:durableId="148786666">
    <w:abstractNumId w:val="68"/>
  </w:num>
  <w:num w:numId="34" w16cid:durableId="747312024">
    <w:abstractNumId w:val="84"/>
  </w:num>
  <w:num w:numId="35" w16cid:durableId="868298321">
    <w:abstractNumId w:val="7"/>
  </w:num>
  <w:num w:numId="36" w16cid:durableId="295335719">
    <w:abstractNumId w:val="45"/>
  </w:num>
  <w:num w:numId="37" w16cid:durableId="1208833933">
    <w:abstractNumId w:val="58"/>
  </w:num>
  <w:num w:numId="38" w16cid:durableId="1783114661">
    <w:abstractNumId w:val="64"/>
  </w:num>
  <w:num w:numId="39" w16cid:durableId="1575121981">
    <w:abstractNumId w:val="16"/>
  </w:num>
  <w:num w:numId="40" w16cid:durableId="1567715580">
    <w:abstractNumId w:val="10"/>
  </w:num>
  <w:num w:numId="41" w16cid:durableId="571040268">
    <w:abstractNumId w:val="80"/>
  </w:num>
  <w:num w:numId="42" w16cid:durableId="1915584393">
    <w:abstractNumId w:val="13"/>
  </w:num>
  <w:num w:numId="43" w16cid:durableId="1765683048">
    <w:abstractNumId w:val="66"/>
  </w:num>
  <w:num w:numId="44" w16cid:durableId="139201623">
    <w:abstractNumId w:val="37"/>
  </w:num>
  <w:num w:numId="45" w16cid:durableId="629363812">
    <w:abstractNumId w:val="23"/>
  </w:num>
  <w:num w:numId="46" w16cid:durableId="1089158420">
    <w:abstractNumId w:val="43"/>
  </w:num>
  <w:num w:numId="47" w16cid:durableId="1447118183">
    <w:abstractNumId w:val="60"/>
  </w:num>
  <w:num w:numId="48" w16cid:durableId="300353545">
    <w:abstractNumId w:val="31"/>
  </w:num>
  <w:num w:numId="49" w16cid:durableId="2001033921">
    <w:abstractNumId w:val="71"/>
  </w:num>
  <w:num w:numId="50" w16cid:durableId="1192647254">
    <w:abstractNumId w:val="6"/>
  </w:num>
  <w:num w:numId="51" w16cid:durableId="461197059">
    <w:abstractNumId w:val="78"/>
  </w:num>
  <w:num w:numId="52" w16cid:durableId="1719285286">
    <w:abstractNumId w:val="17"/>
  </w:num>
  <w:num w:numId="53" w16cid:durableId="121533255">
    <w:abstractNumId w:val="79"/>
  </w:num>
  <w:num w:numId="54" w16cid:durableId="295450431">
    <w:abstractNumId w:val="38"/>
  </w:num>
  <w:num w:numId="55" w16cid:durableId="590043676">
    <w:abstractNumId w:val="39"/>
  </w:num>
  <w:num w:numId="56" w16cid:durableId="1177429355">
    <w:abstractNumId w:val="29"/>
  </w:num>
  <w:num w:numId="57" w16cid:durableId="1648701521">
    <w:abstractNumId w:val="5"/>
  </w:num>
  <w:num w:numId="58" w16cid:durableId="323509250">
    <w:abstractNumId w:val="46"/>
  </w:num>
  <w:num w:numId="59" w16cid:durableId="30571297">
    <w:abstractNumId w:val="4"/>
  </w:num>
  <w:num w:numId="60" w16cid:durableId="508254681">
    <w:abstractNumId w:val="33"/>
  </w:num>
  <w:num w:numId="61" w16cid:durableId="1603030204">
    <w:abstractNumId w:val="53"/>
  </w:num>
  <w:num w:numId="62" w16cid:durableId="1446122525">
    <w:abstractNumId w:val="41"/>
  </w:num>
  <w:num w:numId="63" w16cid:durableId="2077585882">
    <w:abstractNumId w:val="62"/>
  </w:num>
  <w:num w:numId="64" w16cid:durableId="2068798463">
    <w:abstractNumId w:val="86"/>
  </w:num>
  <w:num w:numId="65" w16cid:durableId="902258757">
    <w:abstractNumId w:val="50"/>
  </w:num>
  <w:num w:numId="66" w16cid:durableId="1235046654">
    <w:abstractNumId w:val="69"/>
  </w:num>
  <w:num w:numId="67" w16cid:durableId="1259869397">
    <w:abstractNumId w:val="63"/>
  </w:num>
  <w:num w:numId="68" w16cid:durableId="1731419901">
    <w:abstractNumId w:val="8"/>
  </w:num>
  <w:num w:numId="69" w16cid:durableId="344480653">
    <w:abstractNumId w:val="11"/>
  </w:num>
  <w:num w:numId="70" w16cid:durableId="1900676853">
    <w:abstractNumId w:val="34"/>
  </w:num>
  <w:num w:numId="71" w16cid:durableId="176190884">
    <w:abstractNumId w:val="21"/>
  </w:num>
  <w:num w:numId="72" w16cid:durableId="1593270854">
    <w:abstractNumId w:val="70"/>
  </w:num>
  <w:num w:numId="73" w16cid:durableId="1462921305">
    <w:abstractNumId w:val="49"/>
  </w:num>
  <w:num w:numId="74" w16cid:durableId="1463425387">
    <w:abstractNumId w:val="32"/>
  </w:num>
  <w:num w:numId="75" w16cid:durableId="190652364">
    <w:abstractNumId w:val="55"/>
  </w:num>
  <w:num w:numId="76" w16cid:durableId="1298684107">
    <w:abstractNumId w:val="83"/>
  </w:num>
  <w:num w:numId="77" w16cid:durableId="621038786">
    <w:abstractNumId w:val="35"/>
  </w:num>
  <w:num w:numId="78" w16cid:durableId="26420123">
    <w:abstractNumId w:val="57"/>
  </w:num>
  <w:num w:numId="79" w16cid:durableId="856194545">
    <w:abstractNumId w:val="1"/>
  </w:num>
  <w:num w:numId="80" w16cid:durableId="29962207">
    <w:abstractNumId w:val="26"/>
  </w:num>
  <w:num w:numId="81" w16cid:durableId="1657340081">
    <w:abstractNumId w:val="19"/>
  </w:num>
  <w:num w:numId="82" w16cid:durableId="1499157506">
    <w:abstractNumId w:val="74"/>
  </w:num>
  <w:num w:numId="83" w16cid:durableId="1373650614">
    <w:abstractNumId w:val="28"/>
  </w:num>
  <w:num w:numId="84" w16cid:durableId="581767556">
    <w:abstractNumId w:val="48"/>
  </w:num>
  <w:num w:numId="85" w16cid:durableId="178084533">
    <w:abstractNumId w:val="30"/>
  </w:num>
  <w:num w:numId="86" w16cid:durableId="2072539978">
    <w:abstractNumId w:val="42"/>
  </w:num>
  <w:num w:numId="87" w16cid:durableId="342439751">
    <w:abstractNumId w:val="59"/>
  </w:num>
  <w:num w:numId="88" w16cid:durableId="1354260971">
    <w:abstractNumId w:val="54"/>
  </w:num>
  <w:num w:numId="89" w16cid:durableId="279924357">
    <w:abstractNumId w:val="36"/>
  </w:num>
  <w:num w:numId="90" w16cid:durableId="1578248978">
    <w:abstractNumId w:val="52"/>
  </w:num>
  <w:num w:numId="91" w16cid:durableId="1522478014">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20E4"/>
    <w:rsid w:val="003D47C5"/>
    <w:rsid w:val="005B3A1B"/>
    <w:rsid w:val="00BA09BA"/>
    <w:rsid w:val="00DC0AFC"/>
    <w:rsid w:val="00E820E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B41CC"/>
  <w15:chartTrackingRefBased/>
  <w15:docId w15:val="{3DD3E8B1-CC5B-4A3E-869F-2BD887624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0E4"/>
    <w:pPr>
      <w:bidi/>
      <w:spacing w:line="259" w:lineRule="auto"/>
    </w:pPr>
    <w:rPr>
      <w:sz w:val="22"/>
      <w:szCs w:val="22"/>
    </w:rPr>
  </w:style>
  <w:style w:type="paragraph" w:styleId="Heading1">
    <w:name w:val="heading 1"/>
    <w:basedOn w:val="Normal"/>
    <w:next w:val="Normal"/>
    <w:link w:val="Heading1Char"/>
    <w:uiPriority w:val="9"/>
    <w:qFormat/>
    <w:rsid w:val="00E820E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820E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820E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820E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820E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820E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820E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820E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820E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820E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820E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820E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820E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820E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820E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820E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820E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820E4"/>
    <w:rPr>
      <w:rFonts w:eastAsiaTheme="majorEastAsia" w:cstheme="majorBidi"/>
      <w:color w:val="272727" w:themeColor="text1" w:themeTint="D8"/>
    </w:rPr>
  </w:style>
  <w:style w:type="paragraph" w:styleId="Title">
    <w:name w:val="Title"/>
    <w:basedOn w:val="Normal"/>
    <w:next w:val="Normal"/>
    <w:link w:val="TitleChar"/>
    <w:uiPriority w:val="99"/>
    <w:qFormat/>
    <w:rsid w:val="00E820E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99"/>
    <w:rsid w:val="00E820E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820E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820E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820E4"/>
    <w:pPr>
      <w:spacing w:before="160"/>
      <w:jc w:val="center"/>
    </w:pPr>
    <w:rPr>
      <w:i/>
      <w:iCs/>
      <w:color w:val="404040" w:themeColor="text1" w:themeTint="BF"/>
    </w:rPr>
  </w:style>
  <w:style w:type="character" w:customStyle="1" w:styleId="QuoteChar">
    <w:name w:val="Quote Char"/>
    <w:basedOn w:val="DefaultParagraphFont"/>
    <w:link w:val="Quote"/>
    <w:uiPriority w:val="29"/>
    <w:rsid w:val="00E820E4"/>
    <w:rPr>
      <w:i/>
      <w:iCs/>
      <w:color w:val="404040" w:themeColor="text1" w:themeTint="BF"/>
    </w:rPr>
  </w:style>
  <w:style w:type="paragraph" w:styleId="ListParagraph">
    <w:name w:val="List Paragraph"/>
    <w:aliases w:val="عنوان رئيسي,سرد الفقراتCxSpLast, سرد الفقرات1, سرد الفقرات11,NumberedList,سرد الفقرات,سرد الفقرات1,سرد الفقرات11,List Paragraph (numbered (a)),123 List Paragraph,Bullets,Numbered List Paragraph,References,Liste 1,ReferencesCxSpLast"/>
    <w:basedOn w:val="Normal"/>
    <w:link w:val="ListParagraphChar"/>
    <w:uiPriority w:val="34"/>
    <w:qFormat/>
    <w:rsid w:val="00E820E4"/>
    <w:pPr>
      <w:ind w:left="720"/>
      <w:contextualSpacing/>
    </w:pPr>
  </w:style>
  <w:style w:type="character" w:styleId="IntenseEmphasis">
    <w:name w:val="Intense Emphasis"/>
    <w:basedOn w:val="DefaultParagraphFont"/>
    <w:uiPriority w:val="21"/>
    <w:qFormat/>
    <w:rsid w:val="00E820E4"/>
    <w:rPr>
      <w:i/>
      <w:iCs/>
      <w:color w:val="0F4761" w:themeColor="accent1" w:themeShade="BF"/>
    </w:rPr>
  </w:style>
  <w:style w:type="paragraph" w:styleId="IntenseQuote">
    <w:name w:val="Intense Quote"/>
    <w:basedOn w:val="Normal"/>
    <w:next w:val="Normal"/>
    <w:link w:val="IntenseQuoteChar"/>
    <w:uiPriority w:val="30"/>
    <w:qFormat/>
    <w:rsid w:val="00E820E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820E4"/>
    <w:rPr>
      <w:i/>
      <w:iCs/>
      <w:color w:val="0F4761" w:themeColor="accent1" w:themeShade="BF"/>
    </w:rPr>
  </w:style>
  <w:style w:type="character" w:styleId="IntenseReference">
    <w:name w:val="Intense Reference"/>
    <w:basedOn w:val="DefaultParagraphFont"/>
    <w:uiPriority w:val="32"/>
    <w:qFormat/>
    <w:rsid w:val="00E820E4"/>
    <w:rPr>
      <w:b/>
      <w:bCs/>
      <w:smallCaps/>
      <w:color w:val="0F4761" w:themeColor="accent1" w:themeShade="BF"/>
      <w:spacing w:val="5"/>
    </w:rPr>
  </w:style>
  <w:style w:type="paragraph" w:styleId="Header">
    <w:name w:val="header"/>
    <w:basedOn w:val="Normal"/>
    <w:link w:val="HeaderChar"/>
    <w:uiPriority w:val="99"/>
    <w:unhideWhenUsed/>
    <w:rsid w:val="00E820E4"/>
    <w:pPr>
      <w:tabs>
        <w:tab w:val="center" w:pos="4153"/>
        <w:tab w:val="right" w:pos="8306"/>
      </w:tabs>
      <w:spacing w:after="0" w:line="240" w:lineRule="auto"/>
    </w:pPr>
  </w:style>
  <w:style w:type="character" w:customStyle="1" w:styleId="HeaderChar">
    <w:name w:val="Header Char"/>
    <w:basedOn w:val="DefaultParagraphFont"/>
    <w:link w:val="Header"/>
    <w:uiPriority w:val="99"/>
    <w:rsid w:val="00E820E4"/>
    <w:rPr>
      <w:sz w:val="22"/>
      <w:szCs w:val="22"/>
    </w:rPr>
  </w:style>
  <w:style w:type="paragraph" w:styleId="Footer">
    <w:name w:val="footer"/>
    <w:basedOn w:val="Normal"/>
    <w:link w:val="FooterChar"/>
    <w:uiPriority w:val="99"/>
    <w:unhideWhenUsed/>
    <w:rsid w:val="00E820E4"/>
    <w:pPr>
      <w:tabs>
        <w:tab w:val="center" w:pos="4153"/>
        <w:tab w:val="right" w:pos="8306"/>
      </w:tabs>
      <w:spacing w:after="0" w:line="240" w:lineRule="auto"/>
    </w:pPr>
  </w:style>
  <w:style w:type="character" w:customStyle="1" w:styleId="FooterChar">
    <w:name w:val="Footer Char"/>
    <w:basedOn w:val="DefaultParagraphFont"/>
    <w:link w:val="Footer"/>
    <w:uiPriority w:val="99"/>
    <w:rsid w:val="00E820E4"/>
    <w:rPr>
      <w:sz w:val="22"/>
      <w:szCs w:val="22"/>
    </w:rPr>
  </w:style>
  <w:style w:type="table" w:styleId="TableGrid">
    <w:name w:val="Table Grid"/>
    <w:basedOn w:val="TableNormal"/>
    <w:uiPriority w:val="59"/>
    <w:rsid w:val="00E820E4"/>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820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820E4"/>
    <w:rPr>
      <w:b/>
      <w:bCs/>
    </w:rPr>
  </w:style>
  <w:style w:type="table" w:styleId="GridTable1Light-Accent3">
    <w:name w:val="Grid Table 1 Light Accent 3"/>
    <w:basedOn w:val="TableNormal"/>
    <w:uiPriority w:val="46"/>
    <w:rsid w:val="00E820E4"/>
    <w:pPr>
      <w:spacing w:after="0" w:line="240" w:lineRule="auto"/>
    </w:pPr>
    <w:rPr>
      <w:sz w:val="22"/>
      <w:szCs w:val="22"/>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paragraph" w:styleId="Caption">
    <w:name w:val="caption"/>
    <w:basedOn w:val="Normal"/>
    <w:next w:val="Normal"/>
    <w:uiPriority w:val="35"/>
    <w:unhideWhenUsed/>
    <w:qFormat/>
    <w:rsid w:val="00E820E4"/>
    <w:pPr>
      <w:keepNext/>
      <w:spacing w:after="200" w:line="240" w:lineRule="auto"/>
      <w:jc w:val="center"/>
    </w:pPr>
    <w:rPr>
      <w:color w:val="000000" w:themeColor="text1"/>
      <w:sz w:val="18"/>
      <w:szCs w:val="18"/>
    </w:rPr>
  </w:style>
  <w:style w:type="character" w:styleId="Emphasis">
    <w:name w:val="Emphasis"/>
    <w:basedOn w:val="DefaultParagraphFont"/>
    <w:uiPriority w:val="20"/>
    <w:qFormat/>
    <w:rsid w:val="00E820E4"/>
    <w:rPr>
      <w:i/>
      <w:iCs/>
    </w:rPr>
  </w:style>
  <w:style w:type="paragraph" w:customStyle="1" w:styleId="isselectedend">
    <w:name w:val="isselectedend"/>
    <w:basedOn w:val="Normal"/>
    <w:rsid w:val="00E820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Spacing">
    <w:name w:val="No Spacing"/>
    <w:link w:val="NoSpacingChar"/>
    <w:uiPriority w:val="1"/>
    <w:qFormat/>
    <w:rsid w:val="00E820E4"/>
    <w:pPr>
      <w:spacing w:after="0" w:line="240" w:lineRule="auto"/>
    </w:pPr>
    <w:rPr>
      <w:kern w:val="0"/>
      <w:sz w:val="22"/>
      <w:szCs w:val="22"/>
      <w14:ligatures w14:val="none"/>
    </w:rPr>
  </w:style>
  <w:style w:type="character" w:customStyle="1" w:styleId="NoSpacingChar">
    <w:name w:val="No Spacing Char"/>
    <w:basedOn w:val="DefaultParagraphFont"/>
    <w:link w:val="NoSpacing"/>
    <w:uiPriority w:val="1"/>
    <w:rsid w:val="00E820E4"/>
    <w:rPr>
      <w:kern w:val="0"/>
      <w:sz w:val="22"/>
      <w:szCs w:val="22"/>
      <w14:ligatures w14:val="none"/>
    </w:rPr>
  </w:style>
  <w:style w:type="character" w:customStyle="1" w:styleId="ListParagraphChar">
    <w:name w:val="List Paragraph Char"/>
    <w:aliases w:val="عنوان رئيسي Char,سرد الفقراتCxSpLast Char, سرد الفقرات1 Char, سرد الفقرات11 Char,NumberedList Char,سرد الفقرات Char,سرد الفقرات1 Char,سرد الفقرات11 Char,List Paragraph (numbered (a)) Char,123 List Paragraph Char,Bullets Char"/>
    <w:link w:val="ListParagraph"/>
    <w:uiPriority w:val="34"/>
    <w:qFormat/>
    <w:rsid w:val="00E820E4"/>
  </w:style>
  <w:style w:type="paragraph" w:customStyle="1" w:styleId="msonormal0">
    <w:name w:val="msonormal"/>
    <w:basedOn w:val="Normal"/>
    <w:uiPriority w:val="99"/>
    <w:rsid w:val="00E820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alloonText">
    <w:name w:val="Balloon Text"/>
    <w:basedOn w:val="Normal"/>
    <w:link w:val="BalloonTextChar"/>
    <w:uiPriority w:val="99"/>
    <w:semiHidden/>
    <w:unhideWhenUsed/>
    <w:rsid w:val="00E820E4"/>
    <w:pPr>
      <w:tabs>
        <w:tab w:val="left" w:pos="1427"/>
      </w:tabs>
      <w:spacing w:after="0" w:line="240" w:lineRule="auto"/>
      <w:jc w:val="both"/>
    </w:pPr>
    <w:rPr>
      <w:rFonts w:ascii="Tahoma"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E820E4"/>
    <w:rPr>
      <w:rFonts w:ascii="Tahoma" w:hAnsi="Tahoma" w:cs="Tahoma"/>
      <w:kern w:val="0"/>
      <w:sz w:val="16"/>
      <w:szCs w:val="16"/>
      <w14:ligatures w14:val="none"/>
    </w:rPr>
  </w:style>
  <w:style w:type="paragraph" w:styleId="TOCHeading">
    <w:name w:val="TOC Heading"/>
    <w:basedOn w:val="Heading1"/>
    <w:next w:val="Normal"/>
    <w:uiPriority w:val="39"/>
    <w:semiHidden/>
    <w:unhideWhenUsed/>
    <w:qFormat/>
    <w:rsid w:val="00E820E4"/>
    <w:pPr>
      <w:spacing w:before="480" w:after="0" w:line="276" w:lineRule="auto"/>
      <w:outlineLvl w:val="9"/>
    </w:pPr>
    <w:rPr>
      <w:b/>
      <w:bCs/>
      <w:kern w:val="0"/>
      <w:sz w:val="28"/>
      <w:szCs w:val="28"/>
      <w:lang w:eastAsia="ja-JP"/>
      <w14:ligatures w14:val="none"/>
    </w:rPr>
  </w:style>
  <w:style w:type="paragraph" w:styleId="TOC1">
    <w:name w:val="toc 1"/>
    <w:basedOn w:val="Normal"/>
    <w:next w:val="Normal"/>
    <w:autoRedefine/>
    <w:uiPriority w:val="39"/>
    <w:unhideWhenUsed/>
    <w:rsid w:val="00E820E4"/>
    <w:pPr>
      <w:spacing w:after="100"/>
    </w:pPr>
    <w:rPr>
      <w:kern w:val="0"/>
      <w14:ligatures w14:val="none"/>
    </w:rPr>
  </w:style>
  <w:style w:type="character" w:styleId="Hyperlink">
    <w:name w:val="Hyperlink"/>
    <w:basedOn w:val="DefaultParagraphFont"/>
    <w:uiPriority w:val="99"/>
    <w:unhideWhenUsed/>
    <w:rsid w:val="00E820E4"/>
    <w:rPr>
      <w:color w:val="467886" w:themeColor="hyperlink"/>
      <w:u w:val="single"/>
    </w:rPr>
  </w:style>
  <w:style w:type="paragraph" w:customStyle="1" w:styleId="a">
    <w:name w:val="فهرس الجداول"/>
    <w:basedOn w:val="Normal"/>
    <w:link w:val="Char"/>
    <w:qFormat/>
    <w:rsid w:val="00E820E4"/>
    <w:pPr>
      <w:spacing w:after="0" w:line="360" w:lineRule="auto"/>
      <w:jc w:val="center"/>
    </w:pPr>
    <w:rPr>
      <w:rFonts w:ascii="Times New Roman" w:hAnsi="Times New Roman" w:cs="Simplified Arabic"/>
      <w:b/>
      <w:bCs/>
      <w:color w:val="000000" w:themeColor="text1"/>
      <w:kern w:val="0"/>
      <w:sz w:val="28"/>
      <w:szCs w:val="26"/>
      <w14:ligatures w14:val="none"/>
    </w:rPr>
  </w:style>
  <w:style w:type="character" w:customStyle="1" w:styleId="Char">
    <w:name w:val="فهرس الجداول Char"/>
    <w:basedOn w:val="DefaultParagraphFont"/>
    <w:link w:val="a"/>
    <w:rsid w:val="00E820E4"/>
    <w:rPr>
      <w:rFonts w:ascii="Times New Roman" w:hAnsi="Times New Roman" w:cs="Simplified Arabic"/>
      <w:b/>
      <w:bCs/>
      <w:color w:val="000000" w:themeColor="text1"/>
      <w:kern w:val="0"/>
      <w:sz w:val="28"/>
      <w:szCs w:val="26"/>
      <w14:ligatures w14:val="none"/>
    </w:rPr>
  </w:style>
  <w:style w:type="paragraph" w:customStyle="1" w:styleId="a0">
    <w:name w:val="فهرس الأشكال"/>
    <w:basedOn w:val="a"/>
    <w:link w:val="Char0"/>
    <w:qFormat/>
    <w:rsid w:val="00E820E4"/>
  </w:style>
  <w:style w:type="character" w:customStyle="1" w:styleId="Char0">
    <w:name w:val="فهرس الأشكال Char"/>
    <w:basedOn w:val="Char"/>
    <w:link w:val="a0"/>
    <w:rsid w:val="00E820E4"/>
    <w:rPr>
      <w:rFonts w:ascii="Times New Roman" w:hAnsi="Times New Roman" w:cs="Simplified Arabic"/>
      <w:b/>
      <w:bCs/>
      <w:color w:val="000000" w:themeColor="text1"/>
      <w:kern w:val="0"/>
      <w:sz w:val="28"/>
      <w:szCs w:val="26"/>
      <w14:ligatures w14:val="none"/>
    </w:rPr>
  </w:style>
  <w:style w:type="character" w:styleId="UnresolvedMention">
    <w:name w:val="Unresolved Mention"/>
    <w:basedOn w:val="DefaultParagraphFont"/>
    <w:uiPriority w:val="99"/>
    <w:semiHidden/>
    <w:unhideWhenUsed/>
    <w:rsid w:val="00E820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5069</Words>
  <Characters>28134</Characters>
  <Application>Microsoft Office Word</Application>
  <DocSecurity>0</DocSecurity>
  <Lines>639</Lines>
  <Paragraphs>313</Paragraphs>
  <ScaleCrop>false</ScaleCrop>
  <Company/>
  <LinksUpToDate>false</LinksUpToDate>
  <CharactersWithSpaces>32890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ريهام  رضوان</dc:creator>
  <cp:keywords/>
  <dc:description/>
  <cp:lastModifiedBy>ريهام  رضوان</cp:lastModifiedBy>
  <cp:revision>1</cp:revision>
  <dcterms:created xsi:type="dcterms:W3CDTF">2026-04-04T21:16:00Z</dcterms:created>
  <dcterms:modified xsi:type="dcterms:W3CDTF">2026-04-04T21:17:00Z</dcterms:modified>
</cp:coreProperties>
</file>