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63339" w14:textId="77777777" w:rsidR="00820599" w:rsidRDefault="00000000">
      <w:pPr>
        <w:tabs>
          <w:tab w:val="right" w:pos="8730"/>
        </w:tabs>
        <w:spacing w:after="86"/>
        <w:ind w:left="0" w:firstLine="0"/>
      </w:pPr>
      <w:r>
        <w:rPr>
          <w:noProof/>
        </w:rPr>
        <w:drawing>
          <wp:inline distT="0" distB="0" distL="0" distR="0" wp14:anchorId="20BCE0F3" wp14:editId="090E7B36">
            <wp:extent cx="1516380" cy="666115"/>
            <wp:effectExtent l="0" t="0" r="0" b="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7"/>
                    <a:stretch>
                      <a:fillRect/>
                    </a:stretch>
                  </pic:blipFill>
                  <pic:spPr>
                    <a:xfrm>
                      <a:off x="0" y="0"/>
                      <a:ext cx="1516380" cy="666115"/>
                    </a:xfrm>
                    <a:prstGeom prst="rect">
                      <a:avLst/>
                    </a:prstGeom>
                  </pic:spPr>
                </pic:pic>
              </a:graphicData>
            </a:graphic>
          </wp:inline>
        </w:drawing>
      </w:r>
      <w:r>
        <w:rPr>
          <w:rFonts w:ascii="Times New Roman" w:eastAsia="Times New Roman" w:hAnsi="Times New Roman" w:cs="Times New Roman"/>
          <w:color w:val="548DD4"/>
          <w:sz w:val="40"/>
          <w:u w:val="none"/>
        </w:rPr>
        <w:tab/>
        <w:t xml:space="preserve"> </w:t>
      </w:r>
    </w:p>
    <w:p w14:paraId="47E7FC1B" w14:textId="77777777" w:rsidR="00820599" w:rsidRDefault="00000000">
      <w:pPr>
        <w:spacing w:after="36"/>
        <w:ind w:left="0" w:right="317" w:firstLine="0"/>
        <w:jc w:val="right"/>
      </w:pPr>
      <w:r>
        <w:rPr>
          <w:rFonts w:ascii="Calibri" w:eastAsia="Calibri" w:hAnsi="Calibri" w:cs="Calibri"/>
          <w:color w:val="548DD4"/>
          <w:sz w:val="40"/>
          <w:u w:val="none"/>
        </w:rPr>
        <w:t xml:space="preserve"> </w:t>
      </w:r>
    </w:p>
    <w:p w14:paraId="29BF6EF4" w14:textId="77777777" w:rsidR="00820599" w:rsidRDefault="00000000">
      <w:pPr>
        <w:spacing w:after="141"/>
        <w:ind w:left="0" w:right="256" w:firstLine="0"/>
        <w:jc w:val="right"/>
      </w:pPr>
      <w:r>
        <w:rPr>
          <w:rFonts w:ascii="Arial" w:eastAsia="Arial" w:hAnsi="Arial" w:cs="Arial"/>
          <w:color w:val="0000FF"/>
          <w:u w:val="none"/>
        </w:rPr>
        <w:t xml:space="preserve"> </w:t>
      </w:r>
    </w:p>
    <w:p w14:paraId="301043A2" w14:textId="77777777" w:rsidR="00820599" w:rsidRDefault="00000000">
      <w:pPr>
        <w:bidi/>
        <w:spacing w:after="321"/>
        <w:ind w:left="0" w:right="90" w:firstLine="0"/>
        <w:jc w:val="center"/>
      </w:pPr>
      <w:r>
        <w:rPr>
          <w:rFonts w:ascii="Akhbar MT" w:eastAsia="Akhbar MT" w:hAnsi="Akhbar MT" w:cs="Akhbar MT"/>
          <w:bCs/>
          <w:sz w:val="44"/>
          <w:szCs w:val="44"/>
          <w:u w:val="none"/>
          <w:rtl/>
        </w:rPr>
        <w:t xml:space="preserve">نموذج  </w:t>
      </w:r>
    </w:p>
    <w:p w14:paraId="7AFF7225" w14:textId="77777777" w:rsidR="00820599" w:rsidRDefault="00000000">
      <w:pPr>
        <w:bidi/>
        <w:spacing w:after="42"/>
        <w:ind w:left="0" w:right="89" w:firstLine="0"/>
        <w:jc w:val="center"/>
      </w:pPr>
      <w:r>
        <w:rPr>
          <w:rFonts w:ascii="Monotype Koufi" w:eastAsia="Monotype Koufi" w:hAnsi="Monotype Koufi" w:cs="Monotype Koufi"/>
          <w:bCs/>
          <w:sz w:val="44"/>
          <w:szCs w:val="44"/>
          <w:u w:val="none"/>
          <w:rtl/>
        </w:rPr>
        <w:t xml:space="preserve">مشروع خطة أطروحة </w:t>
      </w:r>
      <w:r w:rsidRPr="00BF761E">
        <w:rPr>
          <w:rFonts w:ascii="Monotype Koufi" w:eastAsia="Monotype Koufi" w:hAnsi="Monotype Koufi" w:cs="Monotype Koufi"/>
          <w:bCs/>
          <w:sz w:val="44"/>
          <w:szCs w:val="44"/>
          <w:u w:val="none"/>
          <w:rtl/>
        </w:rPr>
        <w:t>للتسجيل لدرجة الدكتوراه</w:t>
      </w:r>
      <w:r>
        <w:rPr>
          <w:rFonts w:ascii="Monotype Koufi" w:eastAsia="Monotype Koufi" w:hAnsi="Monotype Koufi" w:cs="Monotype Koufi"/>
          <w:bCs/>
          <w:sz w:val="44"/>
          <w:szCs w:val="44"/>
          <w:u w:val="none"/>
          <w:rtl/>
        </w:rPr>
        <w:t xml:space="preserve"> </w:t>
      </w:r>
    </w:p>
    <w:p w14:paraId="34CADC8B" w14:textId="77777777" w:rsidR="00820599" w:rsidRDefault="00000000">
      <w:pPr>
        <w:spacing w:after="0"/>
        <w:ind w:left="0" w:right="256" w:firstLine="0"/>
        <w:jc w:val="right"/>
      </w:pPr>
      <w:r>
        <w:rPr>
          <w:rFonts w:ascii="Arial" w:eastAsia="Arial" w:hAnsi="Arial" w:cs="Arial"/>
          <w:color w:val="0000FF"/>
          <w:u w:val="none"/>
        </w:rPr>
        <w:t xml:space="preserve"> </w:t>
      </w:r>
    </w:p>
    <w:p w14:paraId="657B97EF" w14:textId="77777777" w:rsidR="00820599" w:rsidRDefault="00000000">
      <w:pPr>
        <w:bidi/>
        <w:spacing w:after="296"/>
        <w:ind w:left="107"/>
      </w:pPr>
      <w:r>
        <w:rPr>
          <w:rFonts w:ascii="Arial" w:eastAsia="Arial" w:hAnsi="Arial" w:cs="Arial"/>
          <w:bCs/>
          <w:sz w:val="28"/>
          <w:szCs w:val="28"/>
          <w:u w:val="none"/>
          <w:rtl/>
        </w:rPr>
        <w:t xml:space="preserve"> العنوان باللغة العربية: </w:t>
      </w:r>
    </w:p>
    <w:p w14:paraId="26842CAF" w14:textId="3EBAEE47" w:rsidR="00F67713" w:rsidRPr="00F67713" w:rsidRDefault="00F67713" w:rsidP="00F67713">
      <w:pPr>
        <w:bidi/>
        <w:rPr>
          <w:rFonts w:cs="Arial"/>
          <w:b w:val="0"/>
          <w:bCs/>
          <w:szCs w:val="32"/>
          <w:u w:val="none"/>
          <w:rtl/>
        </w:rPr>
      </w:pPr>
      <w:r w:rsidRPr="00F67713">
        <w:rPr>
          <w:rFonts w:cs="Arial" w:hint="cs"/>
          <w:bCs/>
          <w:szCs w:val="32"/>
          <w:u w:val="none"/>
          <w:rtl/>
        </w:rPr>
        <w:t>أثر</w:t>
      </w:r>
      <w:r w:rsidRPr="00F67713">
        <w:rPr>
          <w:rFonts w:cs="Arial"/>
          <w:bCs/>
          <w:szCs w:val="32"/>
          <w:u w:val="none"/>
          <w:rtl/>
        </w:rPr>
        <w:t xml:space="preserve"> </w:t>
      </w:r>
      <w:r w:rsidRPr="00F67713">
        <w:rPr>
          <w:rFonts w:cs="Arial" w:hint="cs"/>
          <w:bCs/>
          <w:szCs w:val="32"/>
          <w:u w:val="none"/>
          <w:rtl/>
        </w:rPr>
        <w:t>حوكمة</w:t>
      </w:r>
      <w:r w:rsidRPr="00F67713">
        <w:rPr>
          <w:rFonts w:cs="Arial"/>
          <w:bCs/>
          <w:szCs w:val="32"/>
          <w:u w:val="none"/>
          <w:rtl/>
        </w:rPr>
        <w:t xml:space="preserve"> </w:t>
      </w:r>
      <w:r w:rsidRPr="00F67713">
        <w:rPr>
          <w:rFonts w:cs="Arial" w:hint="cs"/>
          <w:bCs/>
          <w:szCs w:val="32"/>
          <w:u w:val="none"/>
          <w:rtl/>
        </w:rPr>
        <w:t>الذكاء</w:t>
      </w:r>
      <w:r w:rsidRPr="00F67713">
        <w:rPr>
          <w:rFonts w:cs="Arial"/>
          <w:bCs/>
          <w:szCs w:val="32"/>
          <w:u w:val="none"/>
          <w:rtl/>
        </w:rPr>
        <w:t xml:space="preserve"> </w:t>
      </w:r>
      <w:r w:rsidRPr="00F67713">
        <w:rPr>
          <w:rFonts w:cs="Arial" w:hint="cs"/>
          <w:bCs/>
          <w:szCs w:val="32"/>
          <w:u w:val="none"/>
          <w:rtl/>
        </w:rPr>
        <w:t>الاصطناعي</w:t>
      </w:r>
      <w:r w:rsidRPr="00F67713">
        <w:rPr>
          <w:rFonts w:cs="Arial"/>
          <w:bCs/>
          <w:szCs w:val="32"/>
          <w:u w:val="none"/>
          <w:rtl/>
        </w:rPr>
        <w:t xml:space="preserve"> </w:t>
      </w:r>
      <w:r w:rsidRPr="00F67713">
        <w:rPr>
          <w:rFonts w:cs="Arial" w:hint="cs"/>
          <w:bCs/>
          <w:szCs w:val="32"/>
          <w:u w:val="none"/>
          <w:rtl/>
        </w:rPr>
        <w:t>في</w:t>
      </w:r>
      <w:r w:rsidRPr="00F67713">
        <w:rPr>
          <w:rFonts w:cs="Arial"/>
          <w:bCs/>
          <w:szCs w:val="32"/>
          <w:u w:val="none"/>
          <w:rtl/>
        </w:rPr>
        <w:t xml:space="preserve"> </w:t>
      </w:r>
      <w:r w:rsidRPr="00F67713">
        <w:rPr>
          <w:rFonts w:cs="Arial" w:hint="cs"/>
          <w:bCs/>
          <w:szCs w:val="32"/>
          <w:u w:val="none"/>
          <w:rtl/>
        </w:rPr>
        <w:t>تعزيز</w:t>
      </w:r>
      <w:r w:rsidRPr="00F67713">
        <w:rPr>
          <w:rFonts w:cs="Arial"/>
          <w:bCs/>
          <w:szCs w:val="32"/>
          <w:u w:val="none"/>
          <w:rtl/>
        </w:rPr>
        <w:t xml:space="preserve"> </w:t>
      </w:r>
      <w:r w:rsidRPr="00F67713">
        <w:rPr>
          <w:rFonts w:cs="Arial" w:hint="cs"/>
          <w:bCs/>
          <w:szCs w:val="32"/>
          <w:u w:val="none"/>
          <w:rtl/>
        </w:rPr>
        <w:t>إدارة</w:t>
      </w:r>
      <w:r w:rsidRPr="00F67713">
        <w:rPr>
          <w:rFonts w:cs="Arial"/>
          <w:bCs/>
          <w:szCs w:val="32"/>
          <w:u w:val="none"/>
          <w:rtl/>
        </w:rPr>
        <w:t xml:space="preserve"> </w:t>
      </w:r>
      <w:r w:rsidRPr="00F67713">
        <w:rPr>
          <w:rFonts w:cs="Arial" w:hint="cs"/>
          <w:bCs/>
          <w:szCs w:val="32"/>
          <w:u w:val="none"/>
          <w:rtl/>
        </w:rPr>
        <w:t>المخاطر</w:t>
      </w:r>
      <w:r w:rsidRPr="00F67713">
        <w:rPr>
          <w:rFonts w:cs="Arial"/>
          <w:bCs/>
          <w:szCs w:val="32"/>
          <w:u w:val="none"/>
          <w:rtl/>
        </w:rPr>
        <w:t xml:space="preserve"> </w:t>
      </w:r>
      <w:r w:rsidRPr="00F67713">
        <w:rPr>
          <w:rFonts w:cs="Arial" w:hint="cs"/>
          <w:bCs/>
          <w:szCs w:val="32"/>
          <w:u w:val="none"/>
          <w:rtl/>
        </w:rPr>
        <w:t>التقنية</w:t>
      </w:r>
      <w:r w:rsidR="00E63DAD">
        <w:rPr>
          <w:rFonts w:cs="Arial" w:hint="cs"/>
          <w:bCs/>
          <w:szCs w:val="32"/>
          <w:u w:val="none"/>
          <w:rtl/>
        </w:rPr>
        <w:t>:</w:t>
      </w:r>
      <w:r w:rsidRPr="00F67713">
        <w:rPr>
          <w:rFonts w:cs="Arial"/>
          <w:bCs/>
          <w:szCs w:val="32"/>
          <w:u w:val="none"/>
          <w:rtl/>
        </w:rPr>
        <w:t xml:space="preserve"> </w:t>
      </w:r>
      <w:r w:rsidRPr="00F67713">
        <w:rPr>
          <w:rFonts w:cs="Arial" w:hint="cs"/>
          <w:bCs/>
          <w:szCs w:val="32"/>
          <w:u w:val="none"/>
          <w:rtl/>
        </w:rPr>
        <w:t>دراسة</w:t>
      </w:r>
      <w:r w:rsidRPr="00F67713">
        <w:rPr>
          <w:rFonts w:cs="Arial"/>
          <w:bCs/>
          <w:szCs w:val="32"/>
          <w:u w:val="none"/>
          <w:rtl/>
        </w:rPr>
        <w:t xml:space="preserve"> </w:t>
      </w:r>
      <w:r w:rsidRPr="00F67713">
        <w:rPr>
          <w:rFonts w:cs="Arial" w:hint="cs"/>
          <w:bCs/>
          <w:szCs w:val="32"/>
          <w:u w:val="none"/>
          <w:rtl/>
        </w:rPr>
        <w:t>مقارنة</w:t>
      </w:r>
      <w:r w:rsidRPr="00F67713">
        <w:rPr>
          <w:rFonts w:cs="Arial"/>
          <w:bCs/>
          <w:szCs w:val="32"/>
          <w:u w:val="none"/>
          <w:rtl/>
        </w:rPr>
        <w:t xml:space="preserve"> </w:t>
      </w:r>
      <w:r w:rsidRPr="00F67713">
        <w:rPr>
          <w:rFonts w:cs="Arial" w:hint="cs"/>
          <w:bCs/>
          <w:szCs w:val="32"/>
          <w:u w:val="none"/>
          <w:rtl/>
        </w:rPr>
        <w:t>بين</w:t>
      </w:r>
      <w:r w:rsidRPr="00F67713">
        <w:rPr>
          <w:rFonts w:cs="Arial"/>
          <w:bCs/>
          <w:szCs w:val="32"/>
          <w:u w:val="none"/>
          <w:rtl/>
        </w:rPr>
        <w:t xml:space="preserve"> </w:t>
      </w:r>
      <w:r w:rsidRPr="00F67713">
        <w:rPr>
          <w:rFonts w:cs="Arial" w:hint="cs"/>
          <w:bCs/>
          <w:szCs w:val="32"/>
          <w:u w:val="none"/>
          <w:rtl/>
        </w:rPr>
        <w:t>المملكة</w:t>
      </w:r>
      <w:r w:rsidRPr="00F67713">
        <w:rPr>
          <w:rFonts w:cs="Arial"/>
          <w:bCs/>
          <w:szCs w:val="32"/>
          <w:u w:val="none"/>
          <w:rtl/>
        </w:rPr>
        <w:t xml:space="preserve"> </w:t>
      </w:r>
      <w:r w:rsidRPr="00F67713">
        <w:rPr>
          <w:rFonts w:cs="Arial" w:hint="cs"/>
          <w:bCs/>
          <w:szCs w:val="32"/>
          <w:u w:val="none"/>
          <w:rtl/>
        </w:rPr>
        <w:t>العربية</w:t>
      </w:r>
      <w:r w:rsidRPr="00F67713">
        <w:rPr>
          <w:rFonts w:cs="Arial"/>
          <w:bCs/>
          <w:szCs w:val="32"/>
          <w:u w:val="none"/>
          <w:rtl/>
        </w:rPr>
        <w:t xml:space="preserve"> </w:t>
      </w:r>
      <w:r w:rsidRPr="00F67713">
        <w:rPr>
          <w:rFonts w:cs="Arial" w:hint="cs"/>
          <w:bCs/>
          <w:szCs w:val="32"/>
          <w:u w:val="none"/>
          <w:rtl/>
        </w:rPr>
        <w:t>السعودية</w:t>
      </w:r>
      <w:r w:rsidRPr="00F67713">
        <w:rPr>
          <w:rFonts w:cs="Arial"/>
          <w:bCs/>
          <w:szCs w:val="32"/>
          <w:u w:val="none"/>
          <w:rtl/>
        </w:rPr>
        <w:t xml:space="preserve"> </w:t>
      </w:r>
      <w:r w:rsidRPr="00F67713">
        <w:rPr>
          <w:rFonts w:cs="Arial" w:hint="cs"/>
          <w:bCs/>
          <w:szCs w:val="32"/>
          <w:u w:val="none"/>
          <w:rtl/>
        </w:rPr>
        <w:t>والاتحاد</w:t>
      </w:r>
      <w:r w:rsidRPr="00F67713">
        <w:rPr>
          <w:rFonts w:cs="Arial"/>
          <w:bCs/>
          <w:szCs w:val="32"/>
          <w:u w:val="none"/>
          <w:rtl/>
        </w:rPr>
        <w:t xml:space="preserve"> </w:t>
      </w:r>
      <w:r w:rsidRPr="00F67713">
        <w:rPr>
          <w:rFonts w:cs="Arial" w:hint="cs"/>
          <w:bCs/>
          <w:szCs w:val="32"/>
          <w:u w:val="none"/>
          <w:rtl/>
        </w:rPr>
        <w:t>الأوروبي</w:t>
      </w:r>
    </w:p>
    <w:p w14:paraId="502EFBE5" w14:textId="7DDD1BE5" w:rsidR="00820599" w:rsidRDefault="00820599">
      <w:pPr>
        <w:spacing w:after="0"/>
        <w:ind w:left="0" w:right="245" w:firstLine="0"/>
        <w:jc w:val="right"/>
        <w:rPr>
          <w:rtl/>
        </w:rPr>
      </w:pPr>
    </w:p>
    <w:p w14:paraId="358268CB" w14:textId="77777777" w:rsidR="00820599" w:rsidRDefault="00000000">
      <w:pPr>
        <w:spacing w:after="371"/>
        <w:ind w:left="0" w:right="106" w:firstLine="0"/>
        <w:jc w:val="right"/>
      </w:pPr>
      <w:r>
        <w:rPr>
          <w:rFonts w:ascii="Arial" w:eastAsia="Arial" w:hAnsi="Arial" w:cs="Arial"/>
          <w:b w:val="0"/>
          <w:sz w:val="22"/>
          <w:u w:val="none"/>
        </w:rPr>
        <w:t xml:space="preserve"> </w:t>
      </w:r>
    </w:p>
    <w:p w14:paraId="66FAFD19" w14:textId="77777777" w:rsidR="00820599" w:rsidRDefault="00000000">
      <w:pPr>
        <w:spacing w:after="333"/>
        <w:ind w:left="0" w:right="112" w:firstLine="0"/>
        <w:jc w:val="right"/>
      </w:pPr>
      <w:r>
        <w:rPr>
          <w:rFonts w:ascii="Arial" w:eastAsia="Arial" w:hAnsi="Arial" w:cs="Arial"/>
          <w:b w:val="0"/>
          <w:sz w:val="20"/>
          <w:u w:val="none"/>
        </w:rPr>
        <w:t xml:space="preserve"> </w:t>
      </w:r>
    </w:p>
    <w:p w14:paraId="45CCA19E" w14:textId="77777777" w:rsidR="00820599" w:rsidRDefault="00000000">
      <w:pPr>
        <w:bidi/>
        <w:spacing w:after="296"/>
        <w:ind w:left="107"/>
      </w:pPr>
      <w:r>
        <w:rPr>
          <w:rFonts w:ascii="Arial" w:eastAsia="Arial" w:hAnsi="Arial" w:cs="Arial"/>
          <w:bCs/>
          <w:sz w:val="20"/>
          <w:szCs w:val="20"/>
          <w:u w:val="none"/>
          <w:rtl/>
        </w:rPr>
        <w:t xml:space="preserve"> </w:t>
      </w:r>
      <w:r>
        <w:rPr>
          <w:rFonts w:ascii="Arial" w:eastAsia="Arial" w:hAnsi="Arial" w:cs="Arial"/>
          <w:bCs/>
          <w:sz w:val="28"/>
          <w:szCs w:val="28"/>
          <w:u w:val="none"/>
          <w:rtl/>
        </w:rPr>
        <w:t xml:space="preserve">  ب .العنوان باللغة الإنجليزية:</w:t>
      </w:r>
      <w:r>
        <w:rPr>
          <w:rFonts w:ascii="Arial" w:eastAsia="Arial" w:hAnsi="Arial" w:cs="Arial"/>
          <w:bCs/>
          <w:sz w:val="20"/>
          <w:szCs w:val="20"/>
          <w:u w:val="none"/>
          <w:rtl/>
        </w:rPr>
        <w:t xml:space="preserve"> </w:t>
      </w:r>
    </w:p>
    <w:p w14:paraId="3E736264" w14:textId="51FF9DF6" w:rsidR="00F67713" w:rsidRPr="00F67713" w:rsidRDefault="00F67713" w:rsidP="00F67713">
      <w:pPr>
        <w:spacing w:after="52"/>
        <w:ind w:left="0" w:right="245" w:firstLine="0"/>
        <w:rPr>
          <w:rFonts w:ascii="Arial" w:eastAsia="Arial" w:hAnsi="Arial" w:cs="Arial"/>
          <w:color w:val="000000" w:themeColor="text1"/>
          <w:sz w:val="28"/>
          <w:u w:val="none"/>
        </w:rPr>
      </w:pPr>
      <w:r w:rsidRPr="00F67713">
        <w:rPr>
          <w:rFonts w:ascii="Arial" w:eastAsia="Arial" w:hAnsi="Arial" w:cs="Arial"/>
          <w:bCs/>
          <w:color w:val="000000" w:themeColor="text1"/>
          <w:sz w:val="28"/>
          <w:u w:val="none"/>
        </w:rPr>
        <w:t xml:space="preserve">The Impact of </w:t>
      </w:r>
      <w:r>
        <w:rPr>
          <w:rFonts w:ascii="Arial" w:eastAsia="Arial" w:hAnsi="Arial" w:cs="Arial"/>
          <w:bCs/>
          <w:color w:val="000000" w:themeColor="text1"/>
          <w:sz w:val="28"/>
          <w:u w:val="none"/>
        </w:rPr>
        <w:t>AI</w:t>
      </w:r>
      <w:r w:rsidRPr="00F67713">
        <w:rPr>
          <w:rFonts w:ascii="Arial" w:eastAsia="Arial" w:hAnsi="Arial" w:cs="Arial"/>
          <w:bCs/>
          <w:color w:val="000000" w:themeColor="text1"/>
          <w:sz w:val="28"/>
          <w:u w:val="none"/>
        </w:rPr>
        <w:t xml:space="preserve"> Governance on </w:t>
      </w:r>
      <w:r>
        <w:rPr>
          <w:rFonts w:ascii="Arial" w:eastAsia="Arial" w:hAnsi="Arial" w:cs="Arial"/>
          <w:bCs/>
          <w:color w:val="000000" w:themeColor="text1"/>
          <w:sz w:val="28"/>
          <w:u w:val="none"/>
        </w:rPr>
        <w:t>E</w:t>
      </w:r>
      <w:r w:rsidRPr="00F67713">
        <w:rPr>
          <w:rFonts w:ascii="Arial" w:eastAsia="Arial" w:hAnsi="Arial" w:cs="Arial"/>
          <w:bCs/>
          <w:color w:val="000000" w:themeColor="text1"/>
          <w:sz w:val="28"/>
          <w:u w:val="none"/>
        </w:rPr>
        <w:t>nhancing Technology Risk Management: A Comparative Study between the Kingdom of Saudi Arabia and the European Union</w:t>
      </w:r>
    </w:p>
    <w:p w14:paraId="60BEC2EB" w14:textId="77777777" w:rsidR="00820599" w:rsidRDefault="00000000">
      <w:pPr>
        <w:spacing w:after="52"/>
        <w:ind w:left="0" w:right="245" w:firstLine="0"/>
        <w:jc w:val="right"/>
      </w:pPr>
      <w:r>
        <w:rPr>
          <w:rFonts w:ascii="Arial" w:eastAsia="Arial" w:hAnsi="Arial" w:cs="Arial"/>
          <w:color w:val="0070C0"/>
          <w:sz w:val="28"/>
          <w:u w:val="none"/>
        </w:rPr>
        <w:t xml:space="preserve"> </w:t>
      </w:r>
    </w:p>
    <w:p w14:paraId="1148AAFC" w14:textId="77777777" w:rsidR="00820599" w:rsidRDefault="00000000">
      <w:pPr>
        <w:spacing w:after="0"/>
        <w:ind w:left="0" w:right="385" w:firstLine="0"/>
        <w:jc w:val="center"/>
      </w:pPr>
      <w:r>
        <w:rPr>
          <w:color w:val="0070C0"/>
          <w:sz w:val="36"/>
          <w:u w:val="none"/>
        </w:rPr>
        <w:t xml:space="preserve"> </w:t>
      </w:r>
    </w:p>
    <w:p w14:paraId="2BD43175" w14:textId="77777777" w:rsidR="00820599" w:rsidRDefault="00000000">
      <w:pPr>
        <w:spacing w:after="7"/>
        <w:ind w:left="0" w:right="385" w:firstLine="0"/>
        <w:jc w:val="center"/>
      </w:pPr>
      <w:r>
        <w:rPr>
          <w:color w:val="0070C0"/>
          <w:sz w:val="36"/>
          <w:u w:val="none"/>
        </w:rPr>
        <w:t xml:space="preserve"> </w:t>
      </w:r>
    </w:p>
    <w:p w14:paraId="067A19EB" w14:textId="5949C182" w:rsidR="00820599" w:rsidRDefault="00000000">
      <w:pPr>
        <w:tabs>
          <w:tab w:val="center" w:pos="1182"/>
          <w:tab w:val="center" w:pos="2143"/>
          <w:tab w:val="center" w:pos="5386"/>
        </w:tabs>
        <w:bidi/>
        <w:spacing w:after="8"/>
        <w:ind w:left="0" w:firstLine="0"/>
      </w:pPr>
      <w:r>
        <w:rPr>
          <w:rFonts w:ascii="Calibri" w:eastAsia="Calibri" w:hAnsi="Calibri" w:cs="Calibri"/>
          <w:b w:val="0"/>
          <w:sz w:val="22"/>
          <w:szCs w:val="22"/>
          <w:u w:val="none"/>
          <w:rtl/>
        </w:rPr>
        <w:tab/>
      </w:r>
      <w:r>
        <w:rPr>
          <w:bCs/>
          <w:sz w:val="36"/>
          <w:szCs w:val="36"/>
          <w:u w:val="none"/>
          <w:rtl/>
        </w:rPr>
        <w:t xml:space="preserve">اسم الباحث </w:t>
      </w:r>
      <w:r>
        <w:rPr>
          <w:bCs/>
          <w:sz w:val="36"/>
          <w:szCs w:val="36"/>
          <w:u w:val="none"/>
          <w:rtl/>
        </w:rPr>
        <w:tab/>
        <w:t>:</w:t>
      </w:r>
      <w:r w:rsidR="00F67713">
        <w:rPr>
          <w:rFonts w:hint="cs"/>
          <w:bCs/>
          <w:sz w:val="36"/>
          <w:szCs w:val="36"/>
          <w:u w:val="none"/>
          <w:rtl/>
        </w:rPr>
        <w:t xml:space="preserve"> منيف  بن فايز  السبيعي</w:t>
      </w:r>
      <w:r>
        <w:rPr>
          <w:bCs/>
          <w:color w:val="0000FF"/>
          <w:sz w:val="36"/>
          <w:szCs w:val="36"/>
          <w:u w:val="none"/>
          <w:rtl/>
        </w:rPr>
        <w:tab/>
        <w:t xml:space="preserve"> </w:t>
      </w:r>
    </w:p>
    <w:p w14:paraId="1540F9A1" w14:textId="6CEACF0F" w:rsidR="00820599" w:rsidRDefault="00F67713">
      <w:pPr>
        <w:tabs>
          <w:tab w:val="center" w:pos="1182"/>
          <w:tab w:val="center" w:pos="2143"/>
          <w:tab w:val="center" w:pos="5386"/>
        </w:tabs>
        <w:bidi/>
        <w:spacing w:after="8"/>
        <w:ind w:left="0" w:firstLine="0"/>
      </w:pPr>
      <w:r>
        <w:rPr>
          <w:rFonts w:ascii="Calibri" w:eastAsia="Calibri" w:hAnsi="Calibri" w:cs="Calibri" w:hint="cs"/>
          <w:b w:val="0"/>
          <w:sz w:val="22"/>
          <w:szCs w:val="22"/>
          <w:u w:val="none"/>
          <w:rtl/>
        </w:rPr>
        <w:t xml:space="preserve">         </w:t>
      </w:r>
      <w:r>
        <w:rPr>
          <w:rFonts w:ascii="Calibri" w:eastAsia="Calibri" w:hAnsi="Calibri" w:cs="Calibri"/>
          <w:b w:val="0"/>
          <w:sz w:val="22"/>
          <w:szCs w:val="22"/>
          <w:u w:val="none"/>
          <w:rtl/>
        </w:rPr>
        <w:tab/>
      </w:r>
      <w:r>
        <w:rPr>
          <w:bCs/>
          <w:sz w:val="36"/>
          <w:szCs w:val="36"/>
          <w:u w:val="none"/>
          <w:rtl/>
        </w:rPr>
        <w:t>الرقم الاكاديمي</w:t>
      </w:r>
      <w:r>
        <w:rPr>
          <w:bCs/>
          <w:sz w:val="36"/>
          <w:szCs w:val="36"/>
          <w:u w:val="none"/>
          <w:rtl/>
        </w:rPr>
        <w:tab/>
        <w:t>:</w:t>
      </w:r>
      <w:r>
        <w:rPr>
          <w:rFonts w:hint="cs"/>
          <w:bCs/>
          <w:sz w:val="36"/>
          <w:szCs w:val="36"/>
          <w:u w:val="none"/>
          <w:rtl/>
        </w:rPr>
        <w:t xml:space="preserve"> 241002459</w:t>
      </w:r>
      <w:r>
        <w:rPr>
          <w:bCs/>
          <w:color w:val="0000FF"/>
          <w:sz w:val="36"/>
          <w:szCs w:val="36"/>
          <w:u w:val="none"/>
          <w:rtl/>
        </w:rPr>
        <w:tab/>
        <w:t xml:space="preserve"> </w:t>
      </w:r>
    </w:p>
    <w:p w14:paraId="78B5643C" w14:textId="6273EB47" w:rsidR="00820599" w:rsidRDefault="00000000">
      <w:pPr>
        <w:tabs>
          <w:tab w:val="center" w:pos="586"/>
          <w:tab w:val="center" w:pos="2143"/>
          <w:tab w:val="center" w:pos="5386"/>
        </w:tabs>
        <w:bidi/>
        <w:spacing w:after="8"/>
        <w:ind w:left="0" w:firstLine="0"/>
      </w:pPr>
      <w:r>
        <w:rPr>
          <w:rFonts w:ascii="Calibri" w:eastAsia="Calibri" w:hAnsi="Calibri" w:cs="Calibri"/>
          <w:b w:val="0"/>
          <w:sz w:val="22"/>
          <w:szCs w:val="22"/>
          <w:u w:val="none"/>
          <w:rtl/>
        </w:rPr>
        <w:tab/>
      </w:r>
      <w:r w:rsidR="00F67713">
        <w:rPr>
          <w:rFonts w:ascii="Calibri" w:eastAsia="Calibri" w:hAnsi="Calibri" w:cs="Calibri" w:hint="cs"/>
          <w:b w:val="0"/>
          <w:sz w:val="22"/>
          <w:szCs w:val="22"/>
          <w:u w:val="none"/>
          <w:rtl/>
        </w:rPr>
        <w:t xml:space="preserve">         </w:t>
      </w:r>
      <w:r>
        <w:rPr>
          <w:bCs/>
          <w:sz w:val="36"/>
          <w:szCs w:val="36"/>
          <w:u w:val="none"/>
          <w:rtl/>
        </w:rPr>
        <w:t>الكلية:</w:t>
      </w:r>
      <w:r w:rsidR="00F67713">
        <w:rPr>
          <w:rFonts w:hint="cs"/>
          <w:bCs/>
          <w:color w:val="0000FF"/>
          <w:sz w:val="36"/>
          <w:szCs w:val="36"/>
          <w:u w:val="none"/>
          <w:rtl/>
        </w:rPr>
        <w:t xml:space="preserve"> </w:t>
      </w:r>
      <w:r w:rsidR="00F67713" w:rsidRPr="00F67713">
        <w:rPr>
          <w:rFonts w:hint="cs"/>
          <w:bCs/>
          <w:sz w:val="36"/>
          <w:szCs w:val="36"/>
          <w:u w:val="none"/>
          <w:rtl/>
        </w:rPr>
        <w:t>كلية المعلوماتية</w:t>
      </w:r>
      <w:r>
        <w:rPr>
          <w:bCs/>
          <w:color w:val="0000FF"/>
          <w:sz w:val="36"/>
          <w:szCs w:val="36"/>
          <w:u w:val="none"/>
          <w:rtl/>
        </w:rPr>
        <w:t xml:space="preserve"> </w:t>
      </w:r>
    </w:p>
    <w:p w14:paraId="61D34E53" w14:textId="77777777" w:rsidR="00820599" w:rsidRDefault="00000000">
      <w:pPr>
        <w:spacing w:after="0"/>
        <w:ind w:left="0" w:right="365" w:firstLine="0"/>
        <w:jc w:val="right"/>
      </w:pPr>
      <w:r>
        <w:rPr>
          <w:color w:val="0000FF"/>
          <w:sz w:val="36"/>
          <w:u w:val="none"/>
        </w:rPr>
        <w:t xml:space="preserve"> </w:t>
      </w:r>
      <w:r>
        <w:rPr>
          <w:color w:val="0000FF"/>
          <w:sz w:val="36"/>
          <w:u w:val="none"/>
        </w:rPr>
        <w:tab/>
      </w:r>
      <w:r>
        <w:rPr>
          <w:sz w:val="36"/>
          <w:u w:val="none"/>
        </w:rPr>
        <w:t xml:space="preserve"> </w:t>
      </w:r>
      <w:r>
        <w:rPr>
          <w:sz w:val="36"/>
          <w:u w:val="none"/>
        </w:rPr>
        <w:tab/>
        <w:t xml:space="preserve"> </w:t>
      </w:r>
    </w:p>
    <w:p w14:paraId="0270C22A" w14:textId="77777777" w:rsidR="00820599" w:rsidRDefault="00000000">
      <w:pPr>
        <w:spacing w:after="0"/>
        <w:ind w:left="0" w:right="243" w:firstLine="0"/>
        <w:jc w:val="right"/>
      </w:pPr>
      <w:r>
        <w:rPr>
          <w:color w:val="0000FF"/>
          <w:sz w:val="36"/>
          <w:u w:val="none"/>
        </w:rPr>
        <w:t xml:space="preserve"> </w:t>
      </w:r>
    </w:p>
    <w:p w14:paraId="3AD569F9" w14:textId="77777777" w:rsidR="00820599" w:rsidRDefault="00000000">
      <w:pPr>
        <w:spacing w:after="203"/>
        <w:ind w:left="254" w:firstLine="0"/>
      </w:pPr>
      <w:r>
        <w:rPr>
          <w:rFonts w:ascii="Arial" w:eastAsia="Arial" w:hAnsi="Arial" w:cs="Arial"/>
          <w:b w:val="0"/>
          <w:sz w:val="22"/>
          <w:u w:val="none"/>
        </w:rPr>
        <w:lastRenderedPageBreak/>
        <w:t xml:space="preserve"> </w:t>
      </w:r>
    </w:p>
    <w:p w14:paraId="284F4F73" w14:textId="580F59BB" w:rsidR="00820599" w:rsidRDefault="00000000">
      <w:pPr>
        <w:bidi/>
        <w:spacing w:after="0"/>
        <w:ind w:left="0" w:right="148" w:firstLine="0"/>
        <w:jc w:val="center"/>
      </w:pPr>
      <w:r>
        <w:rPr>
          <w:rFonts w:ascii="Calibri" w:eastAsia="Calibri" w:hAnsi="Calibri" w:cs="Calibri"/>
          <w:bCs/>
          <w:color w:val="FF0000"/>
          <w:sz w:val="28"/>
          <w:szCs w:val="28"/>
          <w:u w:val="none"/>
          <w:rtl/>
        </w:rPr>
        <w:t xml:space="preserve"> </w:t>
      </w:r>
      <w:r>
        <w:rPr>
          <w:rFonts w:ascii="Calibri" w:eastAsia="Calibri" w:hAnsi="Calibri" w:cs="Calibri"/>
          <w:bCs/>
          <w:color w:val="548DD4"/>
          <w:sz w:val="28"/>
          <w:szCs w:val="28"/>
          <w:u w:val="none"/>
          <w:rtl/>
        </w:rPr>
        <w:t xml:space="preserve">       </w:t>
      </w:r>
      <w:r>
        <w:rPr>
          <w:rFonts w:ascii="Calibri" w:eastAsia="Calibri" w:hAnsi="Calibri" w:cs="Calibri"/>
          <w:bCs/>
          <w:color w:val="FF0000"/>
          <w:sz w:val="28"/>
          <w:szCs w:val="28"/>
          <w:u w:val="none"/>
          <w:rtl/>
        </w:rPr>
        <w:t xml:space="preserve"> </w:t>
      </w:r>
      <w:r>
        <w:rPr>
          <w:rFonts w:ascii="Calibri" w:eastAsia="Calibri" w:hAnsi="Calibri" w:cs="Calibri"/>
          <w:bCs/>
          <w:color w:val="FF0000"/>
          <w:sz w:val="28"/>
          <w:szCs w:val="28"/>
          <w:u w:val="none"/>
        </w:rPr>
        <w:t>14</w:t>
      </w:r>
      <w:r w:rsidR="00E63DAD">
        <w:rPr>
          <w:rFonts w:ascii="Calibri" w:eastAsia="Calibri" w:hAnsi="Calibri" w:cs="Calibri"/>
          <w:bCs/>
          <w:color w:val="FF0000"/>
          <w:sz w:val="28"/>
          <w:szCs w:val="28"/>
          <w:u w:val="none"/>
        </w:rPr>
        <w:t>47</w:t>
      </w:r>
      <w:r>
        <w:rPr>
          <w:rFonts w:ascii="Calibri" w:eastAsia="Calibri" w:hAnsi="Calibri" w:cs="Calibri"/>
          <w:bCs/>
          <w:color w:val="FF0000"/>
          <w:sz w:val="28"/>
          <w:szCs w:val="28"/>
          <w:u w:val="none"/>
          <w:rtl/>
        </w:rPr>
        <w:t xml:space="preserve">ه   -  </w:t>
      </w:r>
      <w:r>
        <w:rPr>
          <w:rFonts w:ascii="Calibri" w:eastAsia="Calibri" w:hAnsi="Calibri" w:cs="Calibri"/>
          <w:bCs/>
          <w:color w:val="FF0000"/>
          <w:sz w:val="28"/>
          <w:szCs w:val="28"/>
          <w:u w:val="none"/>
        </w:rPr>
        <w:t>20</w:t>
      </w:r>
      <w:r w:rsidR="00E63DAD">
        <w:rPr>
          <w:rFonts w:ascii="Calibri" w:eastAsia="Calibri" w:hAnsi="Calibri" w:cs="Calibri"/>
          <w:bCs/>
          <w:color w:val="FF0000"/>
          <w:sz w:val="28"/>
          <w:szCs w:val="28"/>
          <w:u w:val="none"/>
        </w:rPr>
        <w:t>26</w:t>
      </w:r>
      <w:r>
        <w:rPr>
          <w:rFonts w:ascii="Calibri" w:eastAsia="Calibri" w:hAnsi="Calibri" w:cs="Calibri"/>
          <w:bCs/>
          <w:color w:val="FF0000"/>
          <w:sz w:val="28"/>
          <w:szCs w:val="28"/>
          <w:u w:val="none"/>
          <w:rtl/>
        </w:rPr>
        <w:t xml:space="preserve"> م</w:t>
      </w:r>
    </w:p>
    <w:p w14:paraId="05A7BF08" w14:textId="77777777" w:rsidR="00820599" w:rsidRDefault="00000000">
      <w:pPr>
        <w:spacing w:after="160"/>
        <w:ind w:left="148" w:firstLine="0"/>
        <w:jc w:val="center"/>
      </w:pPr>
      <w:r>
        <w:rPr>
          <w:rFonts w:ascii="Calibri" w:eastAsia="Calibri" w:hAnsi="Calibri" w:cs="Calibri"/>
          <w:color w:val="FF0000"/>
          <w:sz w:val="28"/>
          <w:u w:val="none"/>
        </w:rPr>
        <w:t xml:space="preserve"> </w:t>
      </w:r>
    </w:p>
    <w:p w14:paraId="0F5837A1" w14:textId="2B4E7747" w:rsidR="00820599" w:rsidRDefault="00E63DAD">
      <w:pPr>
        <w:spacing w:after="563"/>
        <w:ind w:left="148" w:firstLine="0"/>
        <w:jc w:val="center"/>
      </w:pPr>
      <w:r>
        <w:rPr>
          <w:noProof/>
        </w:rPr>
        <w:drawing>
          <wp:inline distT="0" distB="0" distL="0" distR="0" wp14:anchorId="7C42B123" wp14:editId="25927D75">
            <wp:extent cx="952500" cy="418465"/>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7"/>
                    <a:stretch>
                      <a:fillRect/>
                    </a:stretch>
                  </pic:blipFill>
                  <pic:spPr>
                    <a:xfrm>
                      <a:off x="0" y="0"/>
                      <a:ext cx="952500" cy="418465"/>
                    </a:xfrm>
                    <a:prstGeom prst="rect">
                      <a:avLst/>
                    </a:prstGeom>
                  </pic:spPr>
                </pic:pic>
              </a:graphicData>
            </a:graphic>
          </wp:inline>
        </w:drawing>
      </w:r>
      <w:r>
        <w:rPr>
          <w:rFonts w:ascii="Calibri" w:eastAsia="Calibri" w:hAnsi="Calibri" w:cs="Calibri"/>
          <w:color w:val="FF0000"/>
          <w:sz w:val="28"/>
          <w:u w:val="none"/>
        </w:rPr>
        <w:t xml:space="preserve"> </w:t>
      </w:r>
    </w:p>
    <w:p w14:paraId="465AC4EC" w14:textId="689F23A5" w:rsidR="00820599" w:rsidRDefault="00000000">
      <w:pPr>
        <w:tabs>
          <w:tab w:val="right" w:pos="8730"/>
        </w:tabs>
        <w:bidi/>
        <w:spacing w:after="0"/>
        <w:ind w:left="0" w:right="-118" w:firstLine="0"/>
      </w:pPr>
      <w:r>
        <w:rPr>
          <w:rFonts w:ascii="Arial" w:eastAsia="Arial" w:hAnsi="Arial" w:cs="Arial"/>
          <w:bCs/>
          <w:color w:val="943634"/>
          <w:sz w:val="24"/>
          <w:u w:val="none"/>
          <w:rtl/>
        </w:rPr>
        <w:t>مشروع خطة بحث علمى لتسجيل درجة الدكتوراه</w:t>
      </w:r>
      <w:r>
        <w:rPr>
          <w:rFonts w:ascii="Calibri" w:eastAsia="Calibri" w:hAnsi="Calibri" w:cs="Calibri"/>
          <w:b w:val="0"/>
          <w:color w:val="943634"/>
          <w:sz w:val="24"/>
          <w:u w:val="none"/>
          <w:rtl/>
        </w:rPr>
        <w:t xml:space="preserve"> </w:t>
      </w:r>
      <w:r>
        <w:rPr>
          <w:rFonts w:ascii="Calibri" w:eastAsia="Calibri" w:hAnsi="Calibri" w:cs="Calibri"/>
          <w:b w:val="0"/>
          <w:sz w:val="24"/>
          <w:u w:val="none"/>
          <w:rtl/>
        </w:rPr>
        <w:t xml:space="preserve"> </w:t>
      </w:r>
      <w:r>
        <w:rPr>
          <w:rFonts w:ascii="Calibri" w:eastAsia="Calibri" w:hAnsi="Calibri" w:cs="Calibri"/>
          <w:b w:val="0"/>
          <w:sz w:val="24"/>
          <w:u w:val="none"/>
          <w:rtl/>
        </w:rPr>
        <w:tab/>
      </w:r>
    </w:p>
    <w:p w14:paraId="23417CBC" w14:textId="77777777" w:rsidR="00820599" w:rsidRDefault="00000000">
      <w:pPr>
        <w:spacing w:after="235"/>
        <w:ind w:left="148" w:firstLine="0"/>
        <w:jc w:val="center"/>
      </w:pPr>
      <w:r>
        <w:rPr>
          <w:rFonts w:ascii="Calibri" w:eastAsia="Calibri" w:hAnsi="Calibri" w:cs="Calibri"/>
          <w:color w:val="FF0000"/>
          <w:sz w:val="28"/>
          <w:u w:val="none"/>
        </w:rPr>
        <w:t xml:space="preserve"> </w:t>
      </w:r>
    </w:p>
    <w:p w14:paraId="225AFA76" w14:textId="77777777" w:rsidR="00820599" w:rsidRDefault="00000000">
      <w:pPr>
        <w:bidi/>
        <w:spacing w:after="196"/>
        <w:ind w:left="161"/>
      </w:pPr>
      <w:r>
        <w:rPr>
          <w:bCs/>
          <w:color w:val="00B0F0"/>
          <w:sz w:val="36"/>
          <w:szCs w:val="36"/>
          <w:u w:color="00B0F0"/>
          <w:rtl/>
        </w:rPr>
        <w:t>مقدمة الدراسة</w:t>
      </w:r>
      <w:r>
        <w:rPr>
          <w:bCs/>
          <w:color w:val="00B0F0"/>
          <w:sz w:val="36"/>
          <w:szCs w:val="36"/>
          <w:u w:val="none"/>
          <w:rtl/>
        </w:rPr>
        <w:t xml:space="preserve"> </w:t>
      </w:r>
    </w:p>
    <w:p w14:paraId="41C88CAA" w14:textId="77777777" w:rsidR="00E822E5" w:rsidRPr="00E822E5" w:rsidRDefault="00000000" w:rsidP="00FB5FAE">
      <w:pPr>
        <w:bidi/>
        <w:ind w:left="302" w:firstLine="0"/>
        <w:rPr>
          <w:u w:val="none"/>
          <w:rtl/>
        </w:rPr>
      </w:pPr>
      <w:r>
        <w:rPr>
          <w:color w:val="002060"/>
          <w:sz w:val="20"/>
          <w:u w:val="none"/>
        </w:rPr>
        <w:t xml:space="preserve"> </w:t>
      </w:r>
      <w:r w:rsidR="00E822E5" w:rsidRPr="00E822E5">
        <w:rPr>
          <w:u w:val="none"/>
          <w:rtl/>
        </w:rPr>
        <w:t>يشهد العالم تحولًا رقميًا متسارعًا مدفوعًا بالتطور المتقدم في تقنيات الذكاء الاصطناعي، حيث أصبحت هذه التقنيات عنصرًا أساسيًا في بيئات تقنية المعلومات داخل المؤسسات، سواء في تحسين كفاءة العمليات، دعم اتخاذ القرار، أو تقديم خدمات ذكية متقدمة. ومع هذا التوسع المتزايد في استخدام الذكاء الاصطناعي، ظهرت تحديات تقنية وتنظيمية معقدة، أبرزها المخاطر المرتبطة بالموثوقية، التحيز الخوارزمي، حماية البيانات، الأمن السيبراني، والشفافية في اتخاذ القرارات الآلية</w:t>
      </w:r>
      <w:r w:rsidR="00E822E5" w:rsidRPr="00E822E5">
        <w:rPr>
          <w:u w:val="none"/>
        </w:rPr>
        <w:t>.</w:t>
      </w:r>
    </w:p>
    <w:p w14:paraId="45C91EAA" w14:textId="77777777" w:rsidR="00E822E5" w:rsidRPr="00E822E5" w:rsidRDefault="00E822E5" w:rsidP="00FB5FAE">
      <w:pPr>
        <w:bidi/>
        <w:rPr>
          <w:u w:val="none"/>
          <w:rtl/>
        </w:rPr>
      </w:pPr>
      <w:r w:rsidRPr="00E822E5">
        <w:rPr>
          <w:u w:val="none"/>
          <w:rtl/>
        </w:rPr>
        <w:t>وقد أدى ذلك إلى تنامي الاهتمام العالمي بوضع أطر تنظيمية وحوكمية تهدف إلى تنظيم استخدام الذكاء الاصطناعي وضمان توظيفه بشكل آمن ومسؤول داخل المؤسسات. وتعد حوكمة الذكاء الاصطناعي مفهومًا حديثًا نسبيًا في مجال تقنية المعلومات، يسعى إلى تحقيق التوازن بين الابتكار التقني من جهة، وإدارة المخاطر التقنية والالتزام بالمعايير التنظيمية من جهة أخرى</w:t>
      </w:r>
      <w:r w:rsidRPr="00E822E5">
        <w:rPr>
          <w:u w:val="none"/>
        </w:rPr>
        <w:t>.</w:t>
      </w:r>
    </w:p>
    <w:p w14:paraId="4FAA2F7B" w14:textId="5945501A" w:rsidR="00E822E5" w:rsidRPr="007713CE" w:rsidRDefault="00E822E5" w:rsidP="00FB5FAE">
      <w:pPr>
        <w:bidi/>
        <w:spacing w:after="160"/>
        <w:jc w:val="both"/>
        <w:rPr>
          <w:u w:val="none"/>
        </w:rPr>
      </w:pPr>
      <w:r w:rsidRPr="007713CE">
        <w:rPr>
          <w:u w:val="none"/>
          <w:rtl/>
        </w:rPr>
        <w:t>وفي هذا السياق، يلاحظ أن الدول الرائدة في مجال الذكاء الاصطناعي، وعلى رأسها دول الاتحاد الأوروبي، قد قطعت شوطًا متقدمًا في تطوير</w:t>
      </w:r>
      <w:r w:rsidRPr="00E822E5">
        <w:rPr>
          <w:rFonts w:hint="cs"/>
          <w:u w:val="none"/>
          <w:rtl/>
        </w:rPr>
        <w:t xml:space="preserve"> </w:t>
      </w:r>
      <w:r w:rsidRPr="007713CE">
        <w:rPr>
          <w:u w:val="none"/>
          <w:rtl/>
        </w:rPr>
        <w:t xml:space="preserve">أطر تنظيمية متكاملة، مثل قانون الذكاء الاصطناعي </w:t>
      </w:r>
      <w:r w:rsidRPr="007713CE">
        <w:rPr>
          <w:sz w:val="24"/>
          <w:u w:val="none"/>
          <w:rtl/>
        </w:rPr>
        <w:t>الأوروبي</w:t>
      </w:r>
      <w:r w:rsidRPr="00E822E5">
        <w:rPr>
          <w:rFonts w:hint="cs"/>
          <w:sz w:val="24"/>
          <w:u w:val="none"/>
          <w:rtl/>
        </w:rPr>
        <w:t xml:space="preserve"> </w:t>
      </w:r>
      <w:r w:rsidRPr="007713CE">
        <w:rPr>
          <w:b w:val="0"/>
          <w:bCs/>
          <w:sz w:val="24"/>
          <w:u w:val="none"/>
        </w:rPr>
        <w:t>(EU AI Act)</w:t>
      </w:r>
      <w:r w:rsidRPr="007713CE">
        <w:rPr>
          <w:sz w:val="24"/>
          <w:u w:val="none"/>
          <w:rtl/>
        </w:rPr>
        <w:t>، الذي يعد من</w:t>
      </w:r>
      <w:r w:rsidRPr="007713CE">
        <w:rPr>
          <w:u w:val="none"/>
          <w:rtl/>
        </w:rPr>
        <w:t xml:space="preserve"> أكثر الأطر شمولية على المستوى العالمي. بالمقابل، تعمل المملكة العربية السعودية، في إطار رؤية 2030 للتحول الرقمي، على تطوير سياسات وأطر وطنية للبيانات والذكاء الاصطناعي، إلا أن هذه الأطر لا تزال في مرحلة البناء والتطوير مقارنة بالتجارب الأوروبية المتقدمة</w:t>
      </w:r>
      <w:r w:rsidRPr="007713CE">
        <w:rPr>
          <w:u w:val="none"/>
        </w:rPr>
        <w:t>.</w:t>
      </w:r>
    </w:p>
    <w:p w14:paraId="74B17B39" w14:textId="1EABF9A5" w:rsidR="00820599" w:rsidRDefault="00E822E5" w:rsidP="00FB5FAE">
      <w:pPr>
        <w:bidi/>
        <w:spacing w:after="160"/>
        <w:jc w:val="both"/>
        <w:rPr>
          <w:u w:val="none"/>
          <w:rtl/>
        </w:rPr>
      </w:pPr>
      <w:r w:rsidRPr="007713CE">
        <w:rPr>
          <w:u w:val="none"/>
          <w:rtl/>
        </w:rPr>
        <w:t>ومن هنا تنبع أهمية هذه الدراسة، التي تهدف إلى تحليل ومقارنة أطر تنظيم وحوكمة الذكاء الاصطناعي في المملكة العربية السعودية والاتحاد الأوروبي، وبيان أثرها على إدارة المخاطر التقنية في بيئات تقنية المعلومات، وصولًا إلى تقديم نموذج مقترح يعزز من فعالية حوكمة الذكاء الاصطناعي في المؤسسات السعودية</w:t>
      </w:r>
      <w:r w:rsidRPr="007713CE">
        <w:rPr>
          <w:u w:val="none"/>
        </w:rPr>
        <w:t>.</w:t>
      </w:r>
    </w:p>
    <w:p w14:paraId="5BCCD15D" w14:textId="77777777" w:rsidR="00FB5FAE" w:rsidRPr="00FB5FAE" w:rsidRDefault="00FB5FAE" w:rsidP="00FB5FAE">
      <w:pPr>
        <w:bidi/>
        <w:spacing w:after="160"/>
        <w:jc w:val="both"/>
        <w:rPr>
          <w:u w:val="none"/>
          <w:rtl/>
        </w:rPr>
      </w:pPr>
    </w:p>
    <w:p w14:paraId="29810A63" w14:textId="334C7879" w:rsidR="00820599" w:rsidRDefault="00000000" w:rsidP="00A43156">
      <w:pPr>
        <w:bidi/>
        <w:spacing w:after="196"/>
        <w:ind w:left="161"/>
      </w:pPr>
      <w:r>
        <w:rPr>
          <w:bCs/>
          <w:color w:val="00B0F0"/>
          <w:sz w:val="36"/>
          <w:szCs w:val="36"/>
          <w:u w:color="00B0F0"/>
          <w:rtl/>
        </w:rPr>
        <w:t>مشكلة الدراسة وأسئلتها:</w:t>
      </w:r>
    </w:p>
    <w:p w14:paraId="7B482BCD" w14:textId="4C9F25E6" w:rsidR="00E822E5" w:rsidRPr="00E822E5" w:rsidRDefault="00121848" w:rsidP="00EF5E9F">
      <w:pPr>
        <w:bidi/>
        <w:jc w:val="both"/>
        <w:rPr>
          <w:u w:val="none"/>
          <w:rtl/>
        </w:rPr>
      </w:pPr>
      <w:r w:rsidRPr="00121848">
        <w:rPr>
          <w:u w:val="none"/>
          <w:rtl/>
        </w:rPr>
        <w:t>على الرغم من التوسع الكبير في اعتماد تقنيات الذكاء الاصطناعي، لا تزال فعالية أطر الحوكمة في إدارة المخاطر التقنية غير واضحة في المملكة، مقارنة بالتجربة الأوروبية المتقدمة</w:t>
      </w:r>
      <w:r w:rsidRPr="00121848">
        <w:rPr>
          <w:u w:val="none"/>
        </w:rPr>
        <w:t>.</w:t>
      </w:r>
      <w:r w:rsidR="00FB5FAE">
        <w:rPr>
          <w:rFonts w:hint="cs"/>
          <w:u w:val="none"/>
          <w:rtl/>
        </w:rPr>
        <w:t xml:space="preserve"> و </w:t>
      </w:r>
      <w:r w:rsidRPr="00121848">
        <w:rPr>
          <w:u w:val="none"/>
          <w:rtl/>
        </w:rPr>
        <w:t>تتمثل المشكلة الرئيسية في غياب دراسة مقارنة تبين أوجه القوة والقصور في الأطر التنظيمية وكيفية انعكاسها على الحد من المخاطر التقنية المرتبطة باستخدام الأنظمة الذكية</w:t>
      </w:r>
      <w:r w:rsidRPr="00121848">
        <w:rPr>
          <w:u w:val="none"/>
        </w:rPr>
        <w:t>.</w:t>
      </w:r>
      <w:r w:rsidR="00EF5E9F">
        <w:rPr>
          <w:rFonts w:hint="cs"/>
          <w:u w:val="none"/>
          <w:rtl/>
        </w:rPr>
        <w:t xml:space="preserve"> </w:t>
      </w:r>
      <w:r w:rsidR="00E822E5" w:rsidRPr="00E822E5">
        <w:rPr>
          <w:u w:val="none"/>
          <w:rtl/>
        </w:rPr>
        <w:t>انطلاقًا من مشكلة الدراسة وأهدافها، تسعى هذه الدراسة إلى الإجابة عن الأسئلة البحثية التالية</w:t>
      </w:r>
      <w:r w:rsidR="00E822E5" w:rsidRPr="00E822E5">
        <w:rPr>
          <w:u w:val="none"/>
        </w:rPr>
        <w:t>:</w:t>
      </w:r>
    </w:p>
    <w:p w14:paraId="76D90495" w14:textId="77777777" w:rsidR="00E822E5" w:rsidRPr="00E822E5" w:rsidRDefault="00E822E5" w:rsidP="00E822E5">
      <w:pPr>
        <w:pStyle w:val="ListParagraph"/>
        <w:numPr>
          <w:ilvl w:val="1"/>
          <w:numId w:val="3"/>
        </w:numPr>
        <w:bidi/>
        <w:jc w:val="both"/>
        <w:rPr>
          <w:rFonts w:ascii="Sakkal Majalla" w:eastAsia="Sakkal Majalla" w:hAnsi="Sakkal Majalla" w:cs="Sakkal Majalla"/>
          <w:b/>
          <w:color w:val="000000"/>
          <w:sz w:val="32"/>
          <w:szCs w:val="24"/>
        </w:rPr>
      </w:pPr>
      <w:r w:rsidRPr="00E822E5">
        <w:rPr>
          <w:rFonts w:ascii="Sakkal Majalla" w:eastAsia="Sakkal Majalla" w:hAnsi="Sakkal Majalla" w:cs="Sakkal Majalla"/>
          <w:b/>
          <w:color w:val="000000"/>
          <w:sz w:val="32"/>
          <w:szCs w:val="24"/>
          <w:rtl/>
        </w:rPr>
        <w:lastRenderedPageBreak/>
        <w:t>ما واقع حوكمة الذكاء الاصطناعي في المملكة العربية السعودية من حيث القوانين، والأخلاقيات، والرقابة، والسياسات التنظيمية؟</w:t>
      </w:r>
    </w:p>
    <w:p w14:paraId="7E91BC30" w14:textId="77777777" w:rsidR="00E822E5" w:rsidRPr="00E822E5" w:rsidRDefault="00E822E5" w:rsidP="00E822E5">
      <w:pPr>
        <w:pStyle w:val="ListParagraph"/>
        <w:numPr>
          <w:ilvl w:val="1"/>
          <w:numId w:val="3"/>
        </w:numPr>
        <w:bidi/>
        <w:jc w:val="both"/>
        <w:rPr>
          <w:rFonts w:ascii="Sakkal Majalla" w:eastAsia="Sakkal Majalla" w:hAnsi="Sakkal Majalla" w:cs="Sakkal Majalla"/>
          <w:b/>
          <w:color w:val="000000"/>
          <w:sz w:val="32"/>
          <w:szCs w:val="24"/>
        </w:rPr>
      </w:pPr>
      <w:r w:rsidRPr="00E822E5">
        <w:rPr>
          <w:rFonts w:ascii="Sakkal Majalla" w:eastAsia="Sakkal Majalla" w:hAnsi="Sakkal Majalla" w:cs="Sakkal Majalla"/>
          <w:b/>
          <w:color w:val="000000"/>
          <w:sz w:val="32"/>
          <w:szCs w:val="24"/>
          <w:rtl/>
        </w:rPr>
        <w:t>ما أبرز ملامح أطر حوكمة الذكاء الاصطناعي في الاتحاد الأوروبي، وأهم آلياتها التنظيمية؟</w:t>
      </w:r>
    </w:p>
    <w:p w14:paraId="37ED8B94" w14:textId="77777777" w:rsidR="00E822E5" w:rsidRPr="00E822E5" w:rsidRDefault="00E822E5" w:rsidP="00E822E5">
      <w:pPr>
        <w:pStyle w:val="ListParagraph"/>
        <w:numPr>
          <w:ilvl w:val="1"/>
          <w:numId w:val="3"/>
        </w:numPr>
        <w:bidi/>
        <w:jc w:val="both"/>
        <w:rPr>
          <w:rFonts w:ascii="Sakkal Majalla" w:eastAsia="Sakkal Majalla" w:hAnsi="Sakkal Majalla" w:cs="Sakkal Majalla"/>
          <w:b/>
          <w:color w:val="000000"/>
          <w:sz w:val="32"/>
          <w:szCs w:val="24"/>
        </w:rPr>
      </w:pPr>
      <w:r w:rsidRPr="00E822E5">
        <w:rPr>
          <w:rFonts w:ascii="Sakkal Majalla" w:eastAsia="Sakkal Majalla" w:hAnsi="Sakkal Majalla" w:cs="Sakkal Majalla"/>
          <w:b/>
          <w:color w:val="000000"/>
          <w:sz w:val="32"/>
          <w:szCs w:val="24"/>
          <w:rtl/>
        </w:rPr>
        <w:t>ما أوجه التشابه والاختلاف بين أطر حوكمة الذكاء الاصطناعي في المملكة العربية السعودية والاتحاد الأوروبي؟</w:t>
      </w:r>
    </w:p>
    <w:p w14:paraId="2F107646" w14:textId="77777777" w:rsidR="00E822E5" w:rsidRPr="00E822E5" w:rsidRDefault="00E822E5" w:rsidP="00E822E5">
      <w:pPr>
        <w:pStyle w:val="ListParagraph"/>
        <w:numPr>
          <w:ilvl w:val="1"/>
          <w:numId w:val="3"/>
        </w:numPr>
        <w:bidi/>
        <w:jc w:val="both"/>
        <w:rPr>
          <w:rFonts w:ascii="Sakkal Majalla" w:eastAsia="Sakkal Majalla" w:hAnsi="Sakkal Majalla" w:cs="Sakkal Majalla"/>
          <w:b/>
          <w:color w:val="000000"/>
          <w:sz w:val="32"/>
          <w:szCs w:val="24"/>
        </w:rPr>
      </w:pPr>
      <w:r w:rsidRPr="00E822E5">
        <w:rPr>
          <w:rFonts w:ascii="Sakkal Majalla" w:eastAsia="Sakkal Majalla" w:hAnsi="Sakkal Majalla" w:cs="Sakkal Majalla"/>
          <w:b/>
          <w:color w:val="000000"/>
          <w:sz w:val="32"/>
          <w:szCs w:val="24"/>
          <w:rtl/>
        </w:rPr>
        <w:t>ما أثر أبعاد حوكمة الذكاء الاصطناعي على تعزيز إدارة المخاطر التقنية في المؤسسات؟</w:t>
      </w:r>
    </w:p>
    <w:p w14:paraId="2596162D" w14:textId="6207D1B0" w:rsidR="00E822E5" w:rsidRPr="003929D0" w:rsidRDefault="003929D0" w:rsidP="003929D0">
      <w:pPr>
        <w:pStyle w:val="ListParagraph"/>
        <w:numPr>
          <w:ilvl w:val="1"/>
          <w:numId w:val="3"/>
        </w:numPr>
        <w:bidi/>
        <w:jc w:val="both"/>
        <w:rPr>
          <w:rFonts w:ascii="Sakkal Majalla" w:eastAsia="Sakkal Majalla" w:hAnsi="Sakkal Majalla" w:cs="Sakkal Majalla"/>
          <w:b/>
          <w:color w:val="000000"/>
          <w:sz w:val="32"/>
          <w:szCs w:val="24"/>
        </w:rPr>
      </w:pPr>
      <w:r w:rsidRPr="003929D0">
        <w:rPr>
          <w:rFonts w:ascii="Sakkal Majalla" w:eastAsia="Sakkal Majalla" w:hAnsi="Sakkal Majalla" w:cs="Sakkal Majalla"/>
          <w:b/>
          <w:color w:val="000000"/>
          <w:sz w:val="32"/>
          <w:szCs w:val="24"/>
          <w:rtl/>
        </w:rPr>
        <w:t>كيف تعالج أطر حوكمة الذكاء الاصطناعي المخاطر التقنية المرتبطة بـ</w:t>
      </w:r>
      <w:r>
        <w:rPr>
          <w:rFonts w:ascii="Sakkal Majalla" w:eastAsia="Sakkal Majalla" w:hAnsi="Sakkal Majalla" w:cs="Sakkal Majalla" w:hint="cs"/>
          <w:b/>
          <w:color w:val="000000"/>
          <w:sz w:val="32"/>
          <w:szCs w:val="24"/>
          <w:rtl/>
        </w:rPr>
        <w:t>ـ :</w:t>
      </w:r>
    </w:p>
    <w:p w14:paraId="09DD7F6A" w14:textId="77777777" w:rsidR="00E822E5" w:rsidRPr="00E822E5" w:rsidRDefault="00E822E5" w:rsidP="00E822E5">
      <w:pPr>
        <w:pStyle w:val="ListParagraph"/>
        <w:numPr>
          <w:ilvl w:val="2"/>
          <w:numId w:val="3"/>
        </w:numPr>
        <w:bidi/>
        <w:jc w:val="both"/>
        <w:rPr>
          <w:rFonts w:ascii="Sakkal Majalla" w:eastAsia="Sakkal Majalla" w:hAnsi="Sakkal Majalla" w:cs="Sakkal Majalla"/>
          <w:b/>
          <w:color w:val="000000"/>
          <w:sz w:val="32"/>
          <w:szCs w:val="24"/>
        </w:rPr>
      </w:pPr>
      <w:r w:rsidRPr="00E822E5">
        <w:rPr>
          <w:rFonts w:ascii="Sakkal Majalla" w:eastAsia="Sakkal Majalla" w:hAnsi="Sakkal Majalla" w:cs="Sakkal Majalla"/>
          <w:b/>
          <w:color w:val="000000"/>
          <w:sz w:val="32"/>
          <w:szCs w:val="24"/>
          <w:rtl/>
        </w:rPr>
        <w:t>الانتهاكات التقنية؟</w:t>
      </w:r>
    </w:p>
    <w:p w14:paraId="116DA86D" w14:textId="77777777" w:rsidR="00E822E5" w:rsidRPr="00E822E5" w:rsidRDefault="00E822E5" w:rsidP="00E822E5">
      <w:pPr>
        <w:pStyle w:val="ListParagraph"/>
        <w:numPr>
          <w:ilvl w:val="2"/>
          <w:numId w:val="3"/>
        </w:numPr>
        <w:bidi/>
        <w:jc w:val="both"/>
        <w:rPr>
          <w:rFonts w:ascii="Sakkal Majalla" w:eastAsia="Sakkal Majalla" w:hAnsi="Sakkal Majalla" w:cs="Sakkal Majalla"/>
          <w:b/>
          <w:color w:val="000000"/>
          <w:sz w:val="32"/>
          <w:szCs w:val="24"/>
        </w:rPr>
      </w:pPr>
      <w:r w:rsidRPr="00E822E5">
        <w:rPr>
          <w:rFonts w:ascii="Sakkal Majalla" w:eastAsia="Sakkal Majalla" w:hAnsi="Sakkal Majalla" w:cs="Sakkal Majalla"/>
          <w:b/>
          <w:color w:val="000000"/>
          <w:sz w:val="32"/>
          <w:szCs w:val="24"/>
          <w:rtl/>
        </w:rPr>
        <w:t>مخاطر أمن البيانات؟</w:t>
      </w:r>
    </w:p>
    <w:p w14:paraId="36E329CD" w14:textId="77777777" w:rsidR="00E822E5" w:rsidRPr="00E822E5" w:rsidRDefault="00E822E5" w:rsidP="00E822E5">
      <w:pPr>
        <w:pStyle w:val="ListParagraph"/>
        <w:numPr>
          <w:ilvl w:val="2"/>
          <w:numId w:val="3"/>
        </w:numPr>
        <w:bidi/>
        <w:jc w:val="both"/>
        <w:rPr>
          <w:rFonts w:ascii="Sakkal Majalla" w:eastAsia="Sakkal Majalla" w:hAnsi="Sakkal Majalla" w:cs="Sakkal Majalla"/>
          <w:b/>
          <w:color w:val="000000"/>
          <w:sz w:val="32"/>
          <w:szCs w:val="24"/>
        </w:rPr>
      </w:pPr>
      <w:r w:rsidRPr="00E822E5">
        <w:rPr>
          <w:rFonts w:ascii="Sakkal Majalla" w:eastAsia="Sakkal Majalla" w:hAnsi="Sakkal Majalla" w:cs="Sakkal Majalla"/>
          <w:b/>
          <w:color w:val="000000"/>
          <w:sz w:val="32"/>
          <w:szCs w:val="24"/>
          <w:rtl/>
        </w:rPr>
        <w:t>ضعف موثوقية أنظمة الذكاء الاصطناعي؟</w:t>
      </w:r>
    </w:p>
    <w:p w14:paraId="43C76CE6" w14:textId="77777777" w:rsidR="00E822E5" w:rsidRPr="00E822E5" w:rsidRDefault="00E822E5" w:rsidP="00E822E5">
      <w:pPr>
        <w:pStyle w:val="ListParagraph"/>
        <w:numPr>
          <w:ilvl w:val="2"/>
          <w:numId w:val="3"/>
        </w:numPr>
        <w:bidi/>
        <w:jc w:val="both"/>
        <w:rPr>
          <w:rFonts w:ascii="Sakkal Majalla" w:eastAsia="Sakkal Majalla" w:hAnsi="Sakkal Majalla" w:cs="Sakkal Majalla"/>
          <w:b/>
          <w:color w:val="000000"/>
          <w:sz w:val="32"/>
          <w:szCs w:val="24"/>
        </w:rPr>
      </w:pPr>
      <w:r w:rsidRPr="00E822E5">
        <w:rPr>
          <w:rFonts w:ascii="Sakkal Majalla" w:eastAsia="Sakkal Majalla" w:hAnsi="Sakkal Majalla" w:cs="Sakkal Majalla"/>
          <w:b/>
          <w:color w:val="000000"/>
          <w:sz w:val="32"/>
          <w:szCs w:val="24"/>
          <w:rtl/>
        </w:rPr>
        <w:t>التحيز الخوارزمي؟</w:t>
      </w:r>
    </w:p>
    <w:p w14:paraId="731935CA" w14:textId="47D93B98" w:rsidR="00820599" w:rsidRPr="00A43156" w:rsidRDefault="00E822E5" w:rsidP="00A43156">
      <w:pPr>
        <w:pStyle w:val="ListParagraph"/>
        <w:numPr>
          <w:ilvl w:val="1"/>
          <w:numId w:val="3"/>
        </w:numPr>
        <w:bidi/>
        <w:jc w:val="both"/>
        <w:rPr>
          <w:rFonts w:ascii="Sakkal Majalla" w:eastAsia="Sakkal Majalla" w:hAnsi="Sakkal Majalla" w:cs="Sakkal Majalla"/>
          <w:b/>
          <w:color w:val="000000"/>
          <w:sz w:val="32"/>
          <w:szCs w:val="24"/>
        </w:rPr>
      </w:pPr>
      <w:r w:rsidRPr="00E822E5">
        <w:rPr>
          <w:rFonts w:ascii="Sakkal Majalla" w:eastAsia="Sakkal Majalla" w:hAnsi="Sakkal Majalla" w:cs="Sakkal Majalla"/>
          <w:b/>
          <w:color w:val="000000"/>
          <w:sz w:val="32"/>
          <w:szCs w:val="24"/>
          <w:rtl/>
        </w:rPr>
        <w:t>كيف يمكن الاستفادة من التجربة الأوروبية لتعزيز حوكمة الذكاء الاصطناعي في المملكة بما يدعم مستهدفات رؤية 2030؟</w:t>
      </w:r>
    </w:p>
    <w:p w14:paraId="67958D3F" w14:textId="1675AFA7" w:rsidR="00820599" w:rsidRDefault="00000000" w:rsidP="00A43156">
      <w:pPr>
        <w:spacing w:after="0"/>
        <w:ind w:left="0" w:right="234" w:firstLine="0"/>
        <w:jc w:val="right"/>
      </w:pPr>
      <w:r>
        <w:rPr>
          <w:color w:val="1F497D"/>
          <w:u w:val="none"/>
        </w:rPr>
        <w:t xml:space="preserve">  </w:t>
      </w:r>
    </w:p>
    <w:p w14:paraId="6F5893D5" w14:textId="0EFD88CD" w:rsidR="00820599" w:rsidRDefault="00000000">
      <w:pPr>
        <w:bidi/>
        <w:spacing w:after="196"/>
        <w:ind w:left="161"/>
      </w:pPr>
      <w:r>
        <w:rPr>
          <w:bCs/>
          <w:color w:val="00B0F0"/>
          <w:sz w:val="36"/>
          <w:szCs w:val="36"/>
          <w:u w:color="00B0F0"/>
          <w:rtl/>
        </w:rPr>
        <w:t xml:space="preserve">أهمية الدراسة </w:t>
      </w:r>
      <w:r w:rsidR="00563D88">
        <w:rPr>
          <w:rFonts w:hint="cs"/>
          <w:bCs/>
          <w:color w:val="00B0F0"/>
          <w:sz w:val="36"/>
          <w:szCs w:val="36"/>
          <w:u w:color="00B0F0"/>
          <w:rtl/>
        </w:rPr>
        <w:t>(</w:t>
      </w:r>
      <w:r>
        <w:rPr>
          <w:bCs/>
          <w:color w:val="00B0F0"/>
          <w:sz w:val="36"/>
          <w:szCs w:val="36"/>
          <w:u w:color="00B0F0"/>
          <w:rtl/>
        </w:rPr>
        <w:t>النظرية والتطبيقية</w:t>
      </w:r>
      <w:r w:rsidR="00563D88">
        <w:rPr>
          <w:rFonts w:hint="cs"/>
          <w:bCs/>
          <w:color w:val="00B0F0"/>
          <w:sz w:val="36"/>
          <w:szCs w:val="36"/>
          <w:u w:color="00B0F0"/>
          <w:rtl/>
        </w:rPr>
        <w:t>)</w:t>
      </w:r>
      <w:r>
        <w:rPr>
          <w:bCs/>
          <w:color w:val="00B0F0"/>
          <w:sz w:val="36"/>
          <w:szCs w:val="36"/>
          <w:u w:color="00B0F0"/>
          <w:rtl/>
        </w:rPr>
        <w:t>:</w:t>
      </w:r>
      <w:r>
        <w:rPr>
          <w:bCs/>
          <w:color w:val="00B0F0"/>
          <w:sz w:val="36"/>
          <w:szCs w:val="36"/>
          <w:u w:val="none"/>
          <w:rtl/>
        </w:rPr>
        <w:t xml:space="preserve"> </w:t>
      </w:r>
    </w:p>
    <w:p w14:paraId="125930AF" w14:textId="02A2AC3D" w:rsidR="00563D88" w:rsidRPr="00563D88" w:rsidRDefault="00563D88" w:rsidP="00563D88">
      <w:pPr>
        <w:bidi/>
        <w:jc w:val="both"/>
        <w:rPr>
          <w:b w:val="0"/>
          <w:bCs/>
          <w:u w:val="none"/>
        </w:rPr>
      </w:pPr>
      <w:r w:rsidRPr="00563D88">
        <w:rPr>
          <w:bCs/>
          <w:u w:val="none"/>
          <w:rtl/>
        </w:rPr>
        <w:t xml:space="preserve">الأهمية </w:t>
      </w:r>
      <w:r w:rsidR="00FB5FAE">
        <w:rPr>
          <w:rFonts w:hint="cs"/>
          <w:bCs/>
          <w:u w:val="none"/>
          <w:rtl/>
        </w:rPr>
        <w:t>النظرية</w:t>
      </w:r>
      <w:r w:rsidRPr="00563D88">
        <w:rPr>
          <w:bCs/>
          <w:u w:val="none"/>
        </w:rPr>
        <w:t>:</w:t>
      </w:r>
    </w:p>
    <w:p w14:paraId="537AE37E" w14:textId="203AE743" w:rsidR="00563D88" w:rsidRPr="00563D88" w:rsidRDefault="00563D88" w:rsidP="00563D88">
      <w:pPr>
        <w:bidi/>
        <w:jc w:val="both"/>
        <w:rPr>
          <w:u w:val="none"/>
          <w:rtl/>
        </w:rPr>
      </w:pPr>
      <w:r w:rsidRPr="00563D88">
        <w:rPr>
          <w:u w:val="none"/>
          <w:rtl/>
        </w:rPr>
        <w:t xml:space="preserve">تسهم هذه الدراسة في إثراء الأدبيات </w:t>
      </w:r>
      <w:r w:rsidRPr="00FB5FAE">
        <w:rPr>
          <w:u w:val="none"/>
          <w:rtl/>
        </w:rPr>
        <w:t>العلمية في مجال تقنية المعلومات من خلال تقديم تحليل مقارن لأطر حوكمة الذكاء الاصطناعي وربطها بشكل مباشر بإدارة المخاطر التقنية. ويعد هذا المجال البحثي لا يزال في</w:t>
      </w:r>
      <w:r w:rsidRPr="00563D88">
        <w:rPr>
          <w:u w:val="none"/>
          <w:rtl/>
        </w:rPr>
        <w:t xml:space="preserve"> طور التبلور، لا سيما في السياق</w:t>
      </w:r>
      <w:r w:rsidR="00EF5E9F">
        <w:rPr>
          <w:rFonts w:hint="cs"/>
          <w:u w:val="none"/>
          <w:rtl/>
        </w:rPr>
        <w:t xml:space="preserve"> </w:t>
      </w:r>
      <w:r w:rsidRPr="00563D88">
        <w:rPr>
          <w:u w:val="none"/>
          <w:rtl/>
        </w:rPr>
        <w:t>السعودي، حيث تندر الدراسات التي تقدم تحليلًا مقارنًا لتجارب وطنية ودولية في الحوكمة وإدارة المخاطر التقنية</w:t>
      </w:r>
      <w:r w:rsidRPr="00563D88">
        <w:rPr>
          <w:u w:val="none"/>
        </w:rPr>
        <w:t>.</w:t>
      </w:r>
    </w:p>
    <w:p w14:paraId="2C7639A9" w14:textId="2A23EF30" w:rsidR="00563D88" w:rsidRPr="00563D88" w:rsidRDefault="00563D88" w:rsidP="00563D88">
      <w:pPr>
        <w:bidi/>
        <w:jc w:val="both"/>
        <w:rPr>
          <w:b w:val="0"/>
          <w:bCs/>
          <w:u w:val="none"/>
        </w:rPr>
      </w:pPr>
      <w:r w:rsidRPr="00563D88">
        <w:rPr>
          <w:bCs/>
          <w:u w:val="none"/>
          <w:rtl/>
        </w:rPr>
        <w:t xml:space="preserve">الأهمية </w:t>
      </w:r>
      <w:r w:rsidR="00FB5FAE">
        <w:rPr>
          <w:rFonts w:hint="cs"/>
          <w:bCs/>
          <w:u w:val="none"/>
          <w:rtl/>
        </w:rPr>
        <w:t>التطبيقية</w:t>
      </w:r>
      <w:r w:rsidRPr="00563D88">
        <w:rPr>
          <w:bCs/>
          <w:u w:val="none"/>
        </w:rPr>
        <w:t>:</w:t>
      </w:r>
    </w:p>
    <w:p w14:paraId="2564294A" w14:textId="6A6D67B4" w:rsidR="00563D88" w:rsidRPr="00563D88" w:rsidRDefault="00563D88" w:rsidP="00563D88">
      <w:pPr>
        <w:bidi/>
        <w:spacing w:after="58" w:line="329" w:lineRule="auto"/>
        <w:ind w:left="5" w:right="287" w:hanging="5"/>
        <w:rPr>
          <w:u w:val="none"/>
          <w:rtl/>
        </w:rPr>
      </w:pPr>
      <w:r w:rsidRPr="00563D88">
        <w:rPr>
          <w:u w:val="none"/>
          <w:rtl/>
        </w:rPr>
        <w:t>تتمثل الأهمية العملية لهذه الدراسة في دعم صناع القرار ومديري تقنية المعلومات وإدارة المخاطر داخل المؤسسات السعودية، من خلال توفير إطار مقارن يساعد على تحسين مستوى حوكمة الذكاء الاصطناعي وتعزيز الجاهزية المؤسسية لاستخدام التقنيات الذكية. كما تسهم الدراسة في دعم مستهدفات رؤية المملكة 2030 في مجالات التحول الرقمي والابتكار، من خلال تقديم توصيات قابلة للتطبيق لتطوير سياسات وحوكمة أكثر فعالية</w:t>
      </w:r>
      <w:r w:rsidRPr="00563D88">
        <w:rPr>
          <w:u w:val="none"/>
        </w:rPr>
        <w:t>.</w:t>
      </w:r>
    </w:p>
    <w:p w14:paraId="168D3EB8" w14:textId="77777777" w:rsidR="00563D88" w:rsidRDefault="00563D88" w:rsidP="00563D88">
      <w:pPr>
        <w:bidi/>
        <w:spacing w:after="58" w:line="329" w:lineRule="auto"/>
        <w:ind w:left="5" w:right="287" w:hanging="5"/>
        <w:rPr>
          <w:bCs/>
          <w:color w:val="00B0F0"/>
          <w:sz w:val="36"/>
          <w:szCs w:val="36"/>
          <w:u w:color="00B0F0"/>
          <w:rtl/>
        </w:rPr>
      </w:pPr>
    </w:p>
    <w:p w14:paraId="06A5014B" w14:textId="2758D918" w:rsidR="00820599" w:rsidRDefault="00000000" w:rsidP="00563D88">
      <w:pPr>
        <w:bidi/>
        <w:spacing w:after="58" w:line="329" w:lineRule="auto"/>
        <w:ind w:left="5" w:right="287" w:hanging="5"/>
      </w:pPr>
      <w:r>
        <w:rPr>
          <w:bCs/>
          <w:color w:val="00B0F0"/>
          <w:sz w:val="36"/>
          <w:szCs w:val="36"/>
          <w:u w:color="00B0F0"/>
          <w:rtl/>
        </w:rPr>
        <w:t>أهداف الدراسة:</w:t>
      </w:r>
      <w:r>
        <w:rPr>
          <w:bCs/>
          <w:color w:val="00B0F0"/>
          <w:sz w:val="36"/>
          <w:szCs w:val="36"/>
          <w:u w:val="none"/>
          <w:rtl/>
        </w:rPr>
        <w:t xml:space="preserve"> </w:t>
      </w:r>
    </w:p>
    <w:p w14:paraId="7EEEB5A7" w14:textId="77777777" w:rsidR="00563D88" w:rsidRPr="00563D88" w:rsidRDefault="00563D88" w:rsidP="00563D88">
      <w:pPr>
        <w:bidi/>
        <w:jc w:val="both"/>
        <w:rPr>
          <w:b w:val="0"/>
          <w:bCs/>
          <w:u w:val="none"/>
        </w:rPr>
      </w:pPr>
      <w:r w:rsidRPr="00563D88">
        <w:rPr>
          <w:bCs/>
          <w:u w:val="none"/>
          <w:rtl/>
        </w:rPr>
        <w:t xml:space="preserve">الهدف </w:t>
      </w:r>
      <w:r w:rsidRPr="00563D88">
        <w:rPr>
          <w:rFonts w:hint="cs"/>
          <w:bCs/>
          <w:u w:val="none"/>
          <w:rtl/>
        </w:rPr>
        <w:t>الرئيسي</w:t>
      </w:r>
      <w:r w:rsidRPr="00563D88">
        <w:rPr>
          <w:bCs/>
          <w:u w:val="none"/>
        </w:rPr>
        <w:t>:</w:t>
      </w:r>
    </w:p>
    <w:p w14:paraId="0D0686BA" w14:textId="0DDD2128" w:rsidR="00563D88" w:rsidRPr="00563D88" w:rsidRDefault="00563D88" w:rsidP="00FB5FAE">
      <w:pPr>
        <w:bidi/>
        <w:jc w:val="both"/>
        <w:rPr>
          <w:u w:val="none"/>
          <w:rtl/>
        </w:rPr>
      </w:pPr>
      <w:r w:rsidRPr="00563D88">
        <w:rPr>
          <w:u w:val="none"/>
          <w:rtl/>
        </w:rPr>
        <w:t>تهدف هذه الدراسة إلى تحليل ومقارنة أطر تنظيم وحوكمة الذكاء الاصطناعي في المملكة العربية السعودية والاتحاد الأوروبي، وبيان أثرها على إدارة المخاطر التقنية في بيئات تقنية المعلومات داخل المؤسسات. كما تسعى الدراسة إلى اقتراح نموذج حوكمة يساهم في تعزيز الاستخدام الآمن والمسؤول لتقنيات الذكاء الاصطناعي في المملكة، بما يتماشى مع مستهدفات رؤية المملكة 2030</w:t>
      </w:r>
      <w:r w:rsidRPr="00563D88">
        <w:rPr>
          <w:u w:val="none"/>
        </w:rPr>
        <w:t>.</w:t>
      </w:r>
    </w:p>
    <w:p w14:paraId="441AEC0C" w14:textId="77777777" w:rsidR="004870A2" w:rsidRDefault="004870A2" w:rsidP="00563D88">
      <w:pPr>
        <w:bidi/>
        <w:jc w:val="both"/>
        <w:rPr>
          <w:bCs/>
          <w:u w:val="none"/>
          <w:rtl/>
        </w:rPr>
      </w:pPr>
    </w:p>
    <w:p w14:paraId="06EECCC9" w14:textId="77777777" w:rsidR="004870A2" w:rsidRDefault="004870A2" w:rsidP="004870A2">
      <w:pPr>
        <w:bidi/>
        <w:jc w:val="both"/>
        <w:rPr>
          <w:bCs/>
          <w:u w:val="none"/>
          <w:rtl/>
        </w:rPr>
      </w:pPr>
    </w:p>
    <w:p w14:paraId="0E25A3C6" w14:textId="57DE51A3" w:rsidR="00563D88" w:rsidRPr="00563D88" w:rsidRDefault="00563D88" w:rsidP="004870A2">
      <w:pPr>
        <w:bidi/>
        <w:jc w:val="both"/>
        <w:rPr>
          <w:bCs/>
          <w:u w:val="none"/>
        </w:rPr>
      </w:pPr>
      <w:r w:rsidRPr="00563D88">
        <w:rPr>
          <w:bCs/>
          <w:u w:val="none"/>
          <w:rtl/>
        </w:rPr>
        <w:lastRenderedPageBreak/>
        <w:t>الأهداف الفرعية</w:t>
      </w:r>
      <w:r>
        <w:rPr>
          <w:rFonts w:hint="cs"/>
          <w:bCs/>
          <w:u w:val="none"/>
          <w:rtl/>
        </w:rPr>
        <w:t>:</w:t>
      </w:r>
    </w:p>
    <w:p w14:paraId="13642CC7" w14:textId="77777777" w:rsidR="00563D88" w:rsidRP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استعراض وتحليل أطر تنظيم وحوكمة الذكاء الاصطناعي المعتمدة في المملكة العربية السعودية</w:t>
      </w:r>
      <w:r w:rsidRPr="00563D88">
        <w:rPr>
          <w:rFonts w:ascii="Sakkal Majalla" w:hAnsi="Sakkal Majalla" w:cs="Sakkal Majalla"/>
          <w:sz w:val="24"/>
          <w:szCs w:val="24"/>
        </w:rPr>
        <w:t>.</w:t>
      </w:r>
    </w:p>
    <w:p w14:paraId="63097583" w14:textId="77777777" w:rsidR="00563D88" w:rsidRP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تحليل الإطار التنظيمي لحوكمة الذكاء الاصطناعي في الاتحاد الأوروبي، مع التركيز على النهج القائم على إدارة المخاطر</w:t>
      </w:r>
      <w:r w:rsidRPr="00563D88">
        <w:rPr>
          <w:rFonts w:ascii="Sakkal Majalla" w:hAnsi="Sakkal Majalla" w:cs="Sakkal Majalla"/>
          <w:sz w:val="24"/>
          <w:szCs w:val="24"/>
        </w:rPr>
        <w:t>.</w:t>
      </w:r>
    </w:p>
    <w:p w14:paraId="29E8819C" w14:textId="77777777" w:rsidR="00563D88" w:rsidRP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تحديد أوجه التشابه والاختلاف بين الأطر التنظيمية في المملكة العربية السعودية والاتحاد الأوروبي</w:t>
      </w:r>
      <w:r w:rsidRPr="00563D88">
        <w:rPr>
          <w:rFonts w:ascii="Sakkal Majalla" w:hAnsi="Sakkal Majalla" w:cs="Sakkal Majalla"/>
          <w:sz w:val="24"/>
          <w:szCs w:val="24"/>
        </w:rPr>
        <w:t>.</w:t>
      </w:r>
    </w:p>
    <w:p w14:paraId="2D5C6E7F" w14:textId="77777777" w:rsidR="00563D88" w:rsidRP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تقييم أثر أطر الحوكمة المختلفة على إدارة المخاطر التقنية المرتبطة بأنظمة الذكاء الاصطناعي داخل المؤسسات</w:t>
      </w:r>
      <w:r w:rsidRPr="00563D88">
        <w:rPr>
          <w:rFonts w:ascii="Sakkal Majalla" w:hAnsi="Sakkal Majalla" w:cs="Sakkal Majalla"/>
          <w:sz w:val="24"/>
          <w:szCs w:val="24"/>
        </w:rPr>
        <w:t>.</w:t>
      </w:r>
    </w:p>
    <w:p w14:paraId="492BFA99" w14:textId="77777777" w:rsidR="00563D88" w:rsidRP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الكشف عن الفجوات التنظيمية والتقنية التي تواجه حوكمة الذكاء الاصطناعي في المملكة العربية السعودية</w:t>
      </w:r>
      <w:r w:rsidRPr="00563D88">
        <w:rPr>
          <w:rFonts w:ascii="Sakkal Majalla" w:hAnsi="Sakkal Majalla" w:cs="Sakkal Majalla"/>
          <w:sz w:val="24"/>
          <w:szCs w:val="24"/>
        </w:rPr>
        <w:t>.</w:t>
      </w:r>
    </w:p>
    <w:p w14:paraId="1F1867DE" w14:textId="7E276A75" w:rsidR="00563D88" w:rsidRPr="00563D88" w:rsidRDefault="00563D88" w:rsidP="00563D88">
      <w:pPr>
        <w:pStyle w:val="ListParagraph"/>
        <w:numPr>
          <w:ilvl w:val="0"/>
          <w:numId w:val="8"/>
        </w:numPr>
        <w:bidi/>
        <w:jc w:val="both"/>
        <w:rPr>
          <w:rFonts w:ascii="Sakkal Majalla" w:hAnsi="Sakkal Majalla" w:cs="Sakkal Majalla"/>
          <w:sz w:val="24"/>
          <w:szCs w:val="24"/>
        </w:rPr>
      </w:pPr>
      <w:r w:rsidRPr="00563D88">
        <w:rPr>
          <w:rFonts w:ascii="Sakkal Majalla" w:hAnsi="Sakkal Majalla" w:cs="Sakkal Majalla"/>
          <w:sz w:val="24"/>
          <w:szCs w:val="24"/>
          <w:rtl/>
        </w:rPr>
        <w:t>اقتراح نموذج حوكمة للذكاء الاصطناعي يدعم تحقيق مستهدفات التحول الرقمي ويتوافق مع رؤية المملكة 2030</w:t>
      </w:r>
      <w:r w:rsidRPr="00563D88">
        <w:rPr>
          <w:rFonts w:ascii="Sakkal Majalla" w:hAnsi="Sakkal Majalla" w:cs="Sakkal Majalla"/>
          <w:sz w:val="24"/>
          <w:szCs w:val="24"/>
        </w:rPr>
        <w:t>.</w:t>
      </w:r>
    </w:p>
    <w:p w14:paraId="049C13F9" w14:textId="77777777" w:rsidR="000971C7" w:rsidRDefault="000971C7" w:rsidP="00563D88">
      <w:pPr>
        <w:bidi/>
        <w:spacing w:after="58" w:line="329" w:lineRule="auto"/>
        <w:ind w:left="5" w:right="287" w:hanging="5"/>
        <w:rPr>
          <w:bCs/>
          <w:color w:val="00B0F0"/>
          <w:sz w:val="36"/>
          <w:szCs w:val="36"/>
          <w:u w:color="00B0F0"/>
          <w:rtl/>
        </w:rPr>
      </w:pPr>
    </w:p>
    <w:p w14:paraId="13541104" w14:textId="359DDFB6" w:rsidR="00820599" w:rsidRDefault="00000000" w:rsidP="000971C7">
      <w:pPr>
        <w:bidi/>
        <w:spacing w:after="58" w:line="329" w:lineRule="auto"/>
        <w:ind w:left="5" w:right="287" w:hanging="5"/>
      </w:pPr>
      <w:r>
        <w:rPr>
          <w:bCs/>
          <w:color w:val="00B0F0"/>
          <w:sz w:val="36"/>
          <w:szCs w:val="36"/>
          <w:u w:color="00B0F0"/>
          <w:rtl/>
        </w:rPr>
        <w:t>فرضيات الدراسة:</w:t>
      </w:r>
      <w:r>
        <w:rPr>
          <w:bCs/>
          <w:color w:val="00B0F0"/>
          <w:sz w:val="36"/>
          <w:szCs w:val="36"/>
          <w:u w:val="none"/>
          <w:rtl/>
        </w:rPr>
        <w:t xml:space="preserve"> </w:t>
      </w:r>
    </w:p>
    <w:p w14:paraId="3F534F32" w14:textId="72B6FC8A" w:rsidR="00371E96" w:rsidRPr="00371E96" w:rsidRDefault="00371E96" w:rsidP="00371E96">
      <w:pPr>
        <w:bidi/>
        <w:spacing w:after="58" w:line="329" w:lineRule="auto"/>
        <w:ind w:left="5" w:right="287" w:hanging="5"/>
        <w:rPr>
          <w:bCs/>
          <w:u w:val="none"/>
        </w:rPr>
      </w:pPr>
      <w:r w:rsidRPr="00371E96">
        <w:rPr>
          <w:bCs/>
          <w:u w:val="none"/>
          <w:rtl/>
        </w:rPr>
        <w:t>الفرضية الرئيسة</w:t>
      </w:r>
      <w:r w:rsidR="000971C7">
        <w:rPr>
          <w:rFonts w:hint="cs"/>
          <w:bCs/>
          <w:u w:val="none"/>
          <w:rtl/>
        </w:rPr>
        <w:t>:</w:t>
      </w:r>
    </w:p>
    <w:p w14:paraId="17553385" w14:textId="77777777" w:rsidR="00D77A07" w:rsidRPr="00FA46AB" w:rsidRDefault="00D77A07" w:rsidP="00D77A07">
      <w:pPr>
        <w:bidi/>
        <w:spacing w:after="160"/>
        <w:jc w:val="both"/>
        <w:rPr>
          <w:u w:val="none"/>
        </w:rPr>
      </w:pPr>
      <w:r w:rsidRPr="00FA46AB">
        <w:rPr>
          <w:u w:val="none"/>
          <w:rtl/>
        </w:rPr>
        <w:t>توجد علاقة ارتباط تنظيمي بين حوكمة الذكاء الاصطناعي وتعزيز إدارة المخاطر التقنية في المؤسسات</w:t>
      </w:r>
      <w:r w:rsidRPr="00FA46AB">
        <w:rPr>
          <w:u w:val="none"/>
        </w:rPr>
        <w:t>.</w:t>
      </w:r>
    </w:p>
    <w:p w14:paraId="21BB7159" w14:textId="77777777" w:rsidR="00371E96" w:rsidRPr="00371E96" w:rsidRDefault="00371E96" w:rsidP="00371E96">
      <w:pPr>
        <w:bidi/>
        <w:spacing w:after="58" w:line="329" w:lineRule="auto"/>
        <w:ind w:left="5" w:right="287" w:hanging="5"/>
        <w:rPr>
          <w:bCs/>
          <w:u w:val="none"/>
        </w:rPr>
      </w:pPr>
      <w:r w:rsidRPr="00371E96">
        <w:rPr>
          <w:bCs/>
          <w:u w:val="none"/>
          <w:rtl/>
        </w:rPr>
        <w:t>الفرضيات الفرعية</w:t>
      </w:r>
    </w:p>
    <w:p w14:paraId="7D443350" w14:textId="77777777" w:rsidR="00D77A07" w:rsidRPr="00D77A07" w:rsidRDefault="00D77A07" w:rsidP="00D77A07">
      <w:pPr>
        <w:pStyle w:val="ListParagraph"/>
        <w:numPr>
          <w:ilvl w:val="0"/>
          <w:numId w:val="17"/>
        </w:numPr>
        <w:bidi/>
        <w:jc w:val="both"/>
        <w:rPr>
          <w:rFonts w:ascii="Sakkal Majalla" w:eastAsia="Sakkal Majalla" w:hAnsi="Sakkal Majalla" w:cs="Sakkal Majalla"/>
          <w:b/>
          <w:color w:val="000000"/>
          <w:sz w:val="32"/>
          <w:szCs w:val="24"/>
        </w:rPr>
      </w:pPr>
      <w:r w:rsidRPr="00D77A07">
        <w:rPr>
          <w:rFonts w:ascii="Sakkal Majalla" w:eastAsia="Sakkal Majalla" w:hAnsi="Sakkal Majalla" w:cs="Sakkal Majalla"/>
          <w:b/>
          <w:color w:val="000000"/>
          <w:sz w:val="32"/>
          <w:szCs w:val="24"/>
          <w:rtl/>
        </w:rPr>
        <w:t>ترتبط القوانين والسياسات التنظيمية للذكاء الاصطناعي بالحد من المخاطر والانتهاكات التقنية</w:t>
      </w:r>
      <w:r w:rsidRPr="00D77A07">
        <w:rPr>
          <w:rFonts w:ascii="Sakkal Majalla" w:eastAsia="Sakkal Majalla" w:hAnsi="Sakkal Majalla" w:cs="Sakkal Majalla"/>
          <w:b/>
          <w:color w:val="000000"/>
          <w:sz w:val="32"/>
          <w:szCs w:val="24"/>
        </w:rPr>
        <w:t>.</w:t>
      </w:r>
    </w:p>
    <w:p w14:paraId="3C717787" w14:textId="77777777" w:rsidR="00D77A07" w:rsidRPr="00D77A07" w:rsidRDefault="00D77A07" w:rsidP="00D77A07">
      <w:pPr>
        <w:pStyle w:val="ListParagraph"/>
        <w:numPr>
          <w:ilvl w:val="0"/>
          <w:numId w:val="17"/>
        </w:numPr>
        <w:bidi/>
        <w:jc w:val="both"/>
        <w:rPr>
          <w:rFonts w:ascii="Sakkal Majalla" w:eastAsia="Sakkal Majalla" w:hAnsi="Sakkal Majalla" w:cs="Sakkal Majalla"/>
          <w:b/>
          <w:color w:val="000000"/>
          <w:sz w:val="32"/>
          <w:szCs w:val="24"/>
        </w:rPr>
      </w:pPr>
      <w:r w:rsidRPr="00D77A07">
        <w:rPr>
          <w:rFonts w:ascii="Sakkal Majalla" w:eastAsia="Sakkal Majalla" w:hAnsi="Sakkal Majalla" w:cs="Sakkal Majalla"/>
          <w:b/>
          <w:color w:val="000000"/>
          <w:sz w:val="32"/>
          <w:szCs w:val="24"/>
          <w:rtl/>
        </w:rPr>
        <w:t>تسهم الأطر الأخلاقية لحوكمة الذكاء الاصطناعي في تعزيز موثوقية الأنظمة الذكية والحد من المخاطر المرتبطة بها</w:t>
      </w:r>
      <w:r w:rsidRPr="00D77A07">
        <w:rPr>
          <w:rFonts w:ascii="Sakkal Majalla" w:eastAsia="Sakkal Majalla" w:hAnsi="Sakkal Majalla" w:cs="Sakkal Majalla"/>
          <w:b/>
          <w:color w:val="000000"/>
          <w:sz w:val="32"/>
          <w:szCs w:val="24"/>
        </w:rPr>
        <w:t>.</w:t>
      </w:r>
    </w:p>
    <w:p w14:paraId="68034C6F" w14:textId="77777777" w:rsidR="00D77A07" w:rsidRPr="00D77A07" w:rsidRDefault="00D77A07" w:rsidP="00D77A07">
      <w:pPr>
        <w:pStyle w:val="ListParagraph"/>
        <w:numPr>
          <w:ilvl w:val="0"/>
          <w:numId w:val="17"/>
        </w:numPr>
        <w:bidi/>
        <w:jc w:val="both"/>
        <w:rPr>
          <w:rFonts w:ascii="Sakkal Majalla" w:eastAsia="Sakkal Majalla" w:hAnsi="Sakkal Majalla" w:cs="Sakkal Majalla"/>
          <w:b/>
          <w:color w:val="000000"/>
          <w:sz w:val="32"/>
          <w:szCs w:val="24"/>
        </w:rPr>
      </w:pPr>
      <w:r w:rsidRPr="00D77A07">
        <w:rPr>
          <w:rFonts w:ascii="Sakkal Majalla" w:eastAsia="Sakkal Majalla" w:hAnsi="Sakkal Majalla" w:cs="Sakkal Majalla"/>
          <w:b/>
          <w:color w:val="000000"/>
          <w:sz w:val="32"/>
          <w:szCs w:val="24"/>
          <w:rtl/>
        </w:rPr>
        <w:t>تؤدي آليات الرقابة والتنظيم على أنظمة الذكاء الاصطناعي إلى تعزيز أمن البيانات وحماية الخصوصية</w:t>
      </w:r>
      <w:r w:rsidRPr="00D77A07">
        <w:rPr>
          <w:rFonts w:ascii="Sakkal Majalla" w:eastAsia="Sakkal Majalla" w:hAnsi="Sakkal Majalla" w:cs="Sakkal Majalla"/>
          <w:b/>
          <w:color w:val="000000"/>
          <w:sz w:val="32"/>
          <w:szCs w:val="24"/>
        </w:rPr>
        <w:t>.</w:t>
      </w:r>
    </w:p>
    <w:p w14:paraId="619828B8" w14:textId="77777777" w:rsidR="00D77A07" w:rsidRPr="00D77A07" w:rsidRDefault="00D77A07" w:rsidP="00D77A07">
      <w:pPr>
        <w:pStyle w:val="ListParagraph"/>
        <w:numPr>
          <w:ilvl w:val="0"/>
          <w:numId w:val="17"/>
        </w:numPr>
        <w:bidi/>
        <w:jc w:val="both"/>
        <w:rPr>
          <w:rFonts w:ascii="Sakkal Majalla" w:eastAsia="Sakkal Majalla" w:hAnsi="Sakkal Majalla" w:cs="Sakkal Majalla"/>
          <w:b/>
          <w:color w:val="000000"/>
          <w:sz w:val="32"/>
          <w:szCs w:val="24"/>
        </w:rPr>
      </w:pPr>
      <w:r w:rsidRPr="00D77A07">
        <w:rPr>
          <w:rFonts w:ascii="Sakkal Majalla" w:eastAsia="Sakkal Majalla" w:hAnsi="Sakkal Majalla" w:cs="Sakkal Majalla"/>
          <w:b/>
          <w:color w:val="000000"/>
          <w:sz w:val="32"/>
          <w:szCs w:val="24"/>
          <w:rtl/>
        </w:rPr>
        <w:t>تسهم السياسات الحوكمية في تقليل مخاطر التحيز الخوارزمي</w:t>
      </w:r>
      <w:r w:rsidRPr="00D77A07">
        <w:rPr>
          <w:rFonts w:ascii="Sakkal Majalla" w:eastAsia="Sakkal Majalla" w:hAnsi="Sakkal Majalla" w:cs="Sakkal Majalla"/>
          <w:b/>
          <w:color w:val="000000"/>
          <w:sz w:val="32"/>
          <w:szCs w:val="24"/>
        </w:rPr>
        <w:t>.</w:t>
      </w:r>
    </w:p>
    <w:p w14:paraId="255F185A" w14:textId="77777777" w:rsidR="00D77A07" w:rsidRPr="00D77A07" w:rsidRDefault="00D77A07" w:rsidP="00D77A07">
      <w:pPr>
        <w:pStyle w:val="ListParagraph"/>
        <w:numPr>
          <w:ilvl w:val="0"/>
          <w:numId w:val="17"/>
        </w:numPr>
        <w:bidi/>
        <w:jc w:val="both"/>
        <w:rPr>
          <w:rFonts w:ascii="Sakkal Majalla" w:eastAsia="Sakkal Majalla" w:hAnsi="Sakkal Majalla" w:cs="Sakkal Majalla"/>
          <w:b/>
          <w:color w:val="000000"/>
          <w:sz w:val="32"/>
          <w:szCs w:val="24"/>
        </w:rPr>
      </w:pPr>
      <w:r w:rsidRPr="00D77A07">
        <w:rPr>
          <w:rFonts w:ascii="Sakkal Majalla" w:eastAsia="Sakkal Majalla" w:hAnsi="Sakkal Majalla" w:cs="Sakkal Majalla"/>
          <w:b/>
          <w:color w:val="000000"/>
          <w:sz w:val="32"/>
          <w:szCs w:val="24"/>
          <w:rtl/>
        </w:rPr>
        <w:t>تختلف طبيعة تأثير حوكمة الذكاء الاصطناعي على إدارة المخاطر التقنية بين المملكة العربية السعودية والاتحاد الأوروبي وفقًا لاختلاف البيئة التنظيمية والمؤسسية</w:t>
      </w:r>
      <w:r w:rsidRPr="00D77A07">
        <w:rPr>
          <w:rFonts w:ascii="Sakkal Majalla" w:eastAsia="Sakkal Majalla" w:hAnsi="Sakkal Majalla" w:cs="Sakkal Majalla"/>
          <w:b/>
          <w:color w:val="000000"/>
          <w:sz w:val="32"/>
          <w:szCs w:val="24"/>
        </w:rPr>
        <w:t>.</w:t>
      </w:r>
    </w:p>
    <w:p w14:paraId="075FA12E" w14:textId="77777777" w:rsidR="005F49FD" w:rsidRPr="00D77A07" w:rsidRDefault="005F49FD">
      <w:pPr>
        <w:bidi/>
        <w:spacing w:after="58" w:line="329" w:lineRule="auto"/>
        <w:ind w:left="5" w:right="287" w:hanging="5"/>
        <w:jc w:val="right"/>
        <w:rPr>
          <w:bCs/>
          <w:color w:val="00B0F0"/>
          <w:sz w:val="36"/>
          <w:szCs w:val="36"/>
          <w:u w:color="00B0F0"/>
          <w:rtl/>
        </w:rPr>
      </w:pPr>
    </w:p>
    <w:p w14:paraId="4D829965" w14:textId="373F02EA" w:rsidR="00820599" w:rsidRDefault="00000000" w:rsidP="005F49FD">
      <w:pPr>
        <w:bidi/>
        <w:spacing w:after="58" w:line="329" w:lineRule="auto"/>
        <w:ind w:left="5" w:right="287" w:hanging="5"/>
      </w:pPr>
      <w:r>
        <w:rPr>
          <w:bCs/>
          <w:color w:val="00B0F0"/>
          <w:sz w:val="36"/>
          <w:szCs w:val="36"/>
          <w:u w:color="00B0F0"/>
          <w:rtl/>
        </w:rPr>
        <w:t>نموذج الدراسة</w:t>
      </w:r>
      <w:r>
        <w:rPr>
          <w:bCs/>
          <w:color w:val="00B0F0"/>
          <w:sz w:val="36"/>
          <w:szCs w:val="36"/>
          <w:u w:val="none"/>
          <w:rtl/>
        </w:rPr>
        <w:t xml:space="preserve"> </w:t>
      </w:r>
    </w:p>
    <w:p w14:paraId="3DB38757" w14:textId="77777777" w:rsidR="005F49FD" w:rsidRPr="005F49FD" w:rsidRDefault="005F49FD" w:rsidP="005F49FD">
      <w:pPr>
        <w:bidi/>
        <w:jc w:val="both"/>
        <w:rPr>
          <w:rFonts w:eastAsiaTheme="minorHAnsi"/>
          <w:b w:val="0"/>
          <w:color w:val="auto"/>
          <w:sz w:val="24"/>
          <w:u w:val="none"/>
          <w:rtl/>
        </w:rPr>
      </w:pPr>
      <w:r w:rsidRPr="005F49FD">
        <w:rPr>
          <w:rFonts w:eastAsiaTheme="minorHAnsi"/>
          <w:b w:val="0"/>
          <w:color w:val="auto"/>
          <w:sz w:val="24"/>
          <w:u w:val="none"/>
          <w:rtl/>
        </w:rPr>
        <w:t>النموذج المفاهيمي للدراسة</w:t>
      </w:r>
      <w:r w:rsidRPr="005F49FD">
        <w:rPr>
          <w:rFonts w:eastAsiaTheme="minorHAnsi"/>
          <w:b w:val="0"/>
          <w:color w:val="auto"/>
          <w:sz w:val="24"/>
          <w:u w:val="none"/>
        </w:rPr>
        <w:t xml:space="preserve"> </w:t>
      </w:r>
      <w:r w:rsidRPr="005F49FD">
        <w:rPr>
          <w:rFonts w:eastAsiaTheme="minorHAnsi" w:hint="cs"/>
          <w:b w:val="0"/>
          <w:color w:val="auto"/>
          <w:sz w:val="24"/>
          <w:u w:val="none"/>
          <w:rtl/>
        </w:rPr>
        <w:t>:</w:t>
      </w:r>
    </w:p>
    <w:p w14:paraId="526442AA" w14:textId="3227E4A1" w:rsidR="005F49FD" w:rsidRPr="005F49FD" w:rsidRDefault="005F49FD" w:rsidP="005F49FD">
      <w:pPr>
        <w:bidi/>
        <w:spacing w:after="234"/>
        <w:ind w:left="5" w:hanging="5"/>
        <w:jc w:val="both"/>
        <w:rPr>
          <w:rFonts w:eastAsiaTheme="minorHAnsi"/>
          <w:b w:val="0"/>
          <w:color w:val="auto"/>
          <w:sz w:val="24"/>
          <w:u w:val="none"/>
          <w:rtl/>
        </w:rPr>
      </w:pPr>
      <w:r w:rsidRPr="005F49FD">
        <w:rPr>
          <w:rFonts w:eastAsiaTheme="minorHAnsi"/>
          <w:b w:val="0"/>
          <w:color w:val="auto"/>
          <w:sz w:val="24"/>
          <w:u w:val="none"/>
          <w:rtl/>
        </w:rPr>
        <w:t>تعتمد هذه الدراسة على نموذج مفاهيمي يوضح العلاقة بين حوكمة الذكاء الاصطناعي كمتغير مستقل، بأبعاده</w:t>
      </w:r>
      <w:r w:rsidR="00300F09">
        <w:rPr>
          <w:rFonts w:eastAsiaTheme="minorHAnsi" w:hint="cs"/>
          <w:b w:val="0"/>
          <w:color w:val="auto"/>
          <w:sz w:val="24"/>
          <w:u w:val="none"/>
          <w:rtl/>
        </w:rPr>
        <w:t xml:space="preserve"> ك</w:t>
      </w:r>
      <w:r w:rsidRPr="005F49FD">
        <w:rPr>
          <w:rFonts w:eastAsiaTheme="minorHAnsi"/>
          <w:b w:val="0"/>
          <w:color w:val="auto"/>
          <w:sz w:val="24"/>
          <w:u w:val="none"/>
          <w:rtl/>
        </w:rPr>
        <w:t>القوانين، الأخلاقيات، الرقابة، السياسات التنظيمية</w:t>
      </w:r>
      <w:r w:rsidR="00300F09">
        <w:rPr>
          <w:rFonts w:eastAsiaTheme="minorHAnsi" w:hint="cs"/>
          <w:b w:val="0"/>
          <w:color w:val="auto"/>
          <w:sz w:val="24"/>
          <w:u w:val="none"/>
          <w:rtl/>
        </w:rPr>
        <w:t>.</w:t>
      </w:r>
      <w:r w:rsidRPr="005F49FD">
        <w:rPr>
          <w:rFonts w:eastAsiaTheme="minorHAnsi"/>
          <w:b w:val="0"/>
          <w:color w:val="auto"/>
          <w:sz w:val="24"/>
          <w:u w:val="none"/>
          <w:rtl/>
        </w:rPr>
        <w:t xml:space="preserve"> وإدارة المخاطر التقنية كمتغير تابع، بأبعادها </w:t>
      </w:r>
      <w:r w:rsidR="00300F09">
        <w:rPr>
          <w:rFonts w:eastAsiaTheme="minorHAnsi" w:hint="cs"/>
          <w:b w:val="0"/>
          <w:color w:val="auto"/>
          <w:sz w:val="24"/>
          <w:u w:val="none"/>
          <w:rtl/>
        </w:rPr>
        <w:t>ك</w:t>
      </w:r>
      <w:r w:rsidRPr="005F49FD">
        <w:rPr>
          <w:rFonts w:eastAsiaTheme="minorHAnsi"/>
          <w:b w:val="0"/>
          <w:color w:val="auto"/>
          <w:sz w:val="24"/>
          <w:u w:val="none"/>
          <w:rtl/>
        </w:rPr>
        <w:t>الانتهاكات التقنية، أمن البيانات، موثوقية الأنظمة، الحد من التحيز الخوارزمي</w:t>
      </w:r>
      <w:r w:rsidRPr="005F49FD">
        <w:rPr>
          <w:rFonts w:eastAsiaTheme="minorHAnsi"/>
          <w:b w:val="0"/>
          <w:color w:val="auto"/>
          <w:sz w:val="24"/>
          <w:u w:val="none"/>
        </w:rPr>
        <w:t>.</w:t>
      </w:r>
    </w:p>
    <w:p w14:paraId="49AA7F49" w14:textId="77777777" w:rsidR="005F49FD" w:rsidRDefault="005F49FD" w:rsidP="005F49FD">
      <w:pPr>
        <w:bidi/>
        <w:spacing w:after="234"/>
        <w:ind w:left="5" w:hanging="5"/>
        <w:jc w:val="both"/>
        <w:rPr>
          <w:rFonts w:eastAsiaTheme="minorHAnsi"/>
          <w:b w:val="0"/>
          <w:color w:val="auto"/>
          <w:sz w:val="24"/>
          <w:u w:val="none"/>
          <w:rtl/>
        </w:rPr>
      </w:pPr>
      <w:r w:rsidRPr="005F49FD">
        <w:rPr>
          <w:rFonts w:eastAsiaTheme="minorHAnsi"/>
          <w:b w:val="0"/>
          <w:color w:val="auto"/>
          <w:sz w:val="24"/>
          <w:u w:val="none"/>
          <w:rtl/>
        </w:rPr>
        <w:t>ويتم تطبيق هذا النموذج من خلال مقارنة تحليلية بين المملكة العربية السعودية والاتحاد الأوروبي، بهدف استكشاف أثر أطر الحوكمة المختلفة على إدارة المخاطر التقنية، وتحديد أوجه التشابه والاختلاف والفجوات التنظيمية والتقنية بين التجربتين.</w:t>
      </w:r>
    </w:p>
    <w:p w14:paraId="7286D227" w14:textId="77777777" w:rsidR="005F49FD" w:rsidRDefault="005F49FD" w:rsidP="005F49FD">
      <w:pPr>
        <w:bidi/>
        <w:spacing w:after="234"/>
        <w:ind w:left="5" w:hanging="5"/>
        <w:rPr>
          <w:rFonts w:eastAsiaTheme="minorHAnsi"/>
          <w:b w:val="0"/>
          <w:color w:val="auto"/>
          <w:sz w:val="24"/>
          <w:u w:val="none"/>
          <w:rtl/>
        </w:rPr>
      </w:pPr>
    </w:p>
    <w:p w14:paraId="20D9A9E9" w14:textId="77777777" w:rsidR="000971C7" w:rsidRDefault="000971C7" w:rsidP="000971C7">
      <w:pPr>
        <w:bidi/>
        <w:spacing w:after="234"/>
        <w:ind w:left="5" w:hanging="5"/>
        <w:rPr>
          <w:rFonts w:eastAsiaTheme="minorHAnsi"/>
          <w:b w:val="0"/>
          <w:color w:val="auto"/>
          <w:sz w:val="24"/>
          <w:u w:val="none"/>
          <w:rtl/>
        </w:rPr>
      </w:pPr>
    </w:p>
    <w:p w14:paraId="217F424C" w14:textId="77777777" w:rsidR="000971C7" w:rsidRDefault="000971C7" w:rsidP="000971C7">
      <w:pPr>
        <w:bidi/>
        <w:spacing w:after="234"/>
        <w:ind w:left="5" w:hanging="5"/>
        <w:rPr>
          <w:rFonts w:eastAsiaTheme="minorHAnsi"/>
          <w:b w:val="0"/>
          <w:color w:val="auto"/>
          <w:sz w:val="24"/>
          <w:u w:val="none"/>
          <w:rtl/>
        </w:rPr>
      </w:pPr>
    </w:p>
    <w:p w14:paraId="0B5DA71F" w14:textId="2CE1EE7C" w:rsidR="00820599" w:rsidRDefault="00000000" w:rsidP="005F49FD">
      <w:pPr>
        <w:bidi/>
        <w:spacing w:after="234"/>
        <w:ind w:left="5" w:hanging="5"/>
      </w:pPr>
      <w:r>
        <w:rPr>
          <w:bCs/>
          <w:color w:val="00B0F0"/>
          <w:szCs w:val="32"/>
          <w:u w:color="00B0F0"/>
          <w:rtl/>
        </w:rPr>
        <w:t>الدراسات المرجعية:</w:t>
      </w:r>
      <w:r>
        <w:rPr>
          <w:bCs/>
          <w:color w:val="00B0F0"/>
          <w:szCs w:val="32"/>
          <w:u w:val="none"/>
          <w:rtl/>
        </w:rPr>
        <w:t xml:space="preserve"> </w:t>
      </w:r>
    </w:p>
    <w:p w14:paraId="29056EE9" w14:textId="5404676B" w:rsidR="00290932" w:rsidRPr="00947368" w:rsidRDefault="00290932" w:rsidP="00947368">
      <w:pPr>
        <w:pStyle w:val="ListParagraph"/>
        <w:numPr>
          <w:ilvl w:val="0"/>
          <w:numId w:val="13"/>
        </w:numPr>
        <w:spacing w:after="232"/>
        <w:ind w:right="234"/>
        <w:rPr>
          <w:rFonts w:ascii="Sakkal Majalla" w:eastAsia="Sakkal Majalla" w:hAnsi="Sakkal Majalla" w:cs="Sakkal Majalla"/>
          <w:bCs/>
          <w:i/>
          <w:iCs/>
          <w:color w:val="000000"/>
          <w:sz w:val="28"/>
          <w:szCs w:val="28"/>
        </w:rPr>
      </w:pPr>
      <w:r w:rsidRPr="00947368">
        <w:rPr>
          <w:rFonts w:ascii="Sakkal Majalla" w:eastAsia="Sakkal Majalla" w:hAnsi="Sakkal Majalla" w:cs="Sakkal Majalla"/>
          <w:bCs/>
          <w:i/>
          <w:iCs/>
          <w:color w:val="000000"/>
          <w:sz w:val="28"/>
          <w:szCs w:val="28"/>
        </w:rPr>
        <w:t xml:space="preserve">Wirtz, B. W., </w:t>
      </w:r>
      <w:proofErr w:type="spellStart"/>
      <w:r w:rsidRPr="00947368">
        <w:rPr>
          <w:rFonts w:ascii="Sakkal Majalla" w:eastAsia="Sakkal Majalla" w:hAnsi="Sakkal Majalla" w:cs="Sakkal Majalla"/>
          <w:bCs/>
          <w:i/>
          <w:iCs/>
          <w:color w:val="000000"/>
          <w:sz w:val="28"/>
          <w:szCs w:val="28"/>
        </w:rPr>
        <w:t>Weyerer</w:t>
      </w:r>
      <w:proofErr w:type="spellEnd"/>
      <w:r w:rsidRPr="00947368">
        <w:rPr>
          <w:rFonts w:ascii="Sakkal Majalla" w:eastAsia="Sakkal Majalla" w:hAnsi="Sakkal Majalla" w:cs="Sakkal Majalla"/>
          <w:bCs/>
          <w:i/>
          <w:iCs/>
          <w:color w:val="000000"/>
          <w:sz w:val="28"/>
          <w:szCs w:val="28"/>
        </w:rPr>
        <w:t>, J. C., &amp; Kehl, I. (2022). Governance of artificial intelligence: A risk and guideline</w:t>
      </w:r>
      <w:r w:rsidRPr="00947368">
        <w:rPr>
          <w:rFonts w:ascii="Sakkal Majalla" w:eastAsia="Sakkal Majalla" w:hAnsi="Sakkal Majalla" w:cs="Sakkal Majalla"/>
          <w:bCs/>
          <w:i/>
          <w:iCs/>
          <w:color w:val="000000"/>
          <w:sz w:val="28"/>
          <w:szCs w:val="28"/>
        </w:rPr>
        <w:noBreakHyphen/>
        <w:t xml:space="preserve">based integrative framework. Government Information Quarterly, 39(4), Article 101685.  </w:t>
      </w:r>
    </w:p>
    <w:p w14:paraId="4B666C68" w14:textId="0AC0ED86" w:rsidR="00290932" w:rsidRPr="00290932" w:rsidRDefault="00290932" w:rsidP="00290932">
      <w:pPr>
        <w:bidi/>
        <w:spacing w:after="232"/>
        <w:ind w:left="0" w:right="234" w:firstLine="0"/>
        <w:rPr>
          <w:b w:val="0"/>
          <w:bCs/>
          <w:color w:val="1F497D"/>
          <w:rtl/>
        </w:rPr>
      </w:pPr>
      <w:r w:rsidRPr="00290932">
        <w:rPr>
          <w:rFonts w:hint="cs"/>
          <w:b w:val="0"/>
          <w:bCs/>
          <w:color w:val="1F497D"/>
          <w:rtl/>
        </w:rPr>
        <w:t>الهدف:</w:t>
      </w:r>
    </w:p>
    <w:p w14:paraId="1FE54BD7" w14:textId="77777777" w:rsidR="00290932" w:rsidRPr="00290932" w:rsidRDefault="00290932" w:rsidP="00290932">
      <w:pPr>
        <w:bidi/>
        <w:rPr>
          <w:u w:val="none"/>
        </w:rPr>
      </w:pPr>
      <w:r w:rsidRPr="00DB1371">
        <w:rPr>
          <w:u w:val="none"/>
          <w:rtl/>
        </w:rPr>
        <w:t>استعراض المخاطر المرتبطة بالذكاء الاصطناعي وتصنيفها وربطها بإرشادات الحوكمة</w:t>
      </w:r>
      <w:r w:rsidRPr="00DB1371">
        <w:rPr>
          <w:u w:val="none"/>
        </w:rPr>
        <w:t>.</w:t>
      </w:r>
    </w:p>
    <w:p w14:paraId="0899FC23" w14:textId="33B8B19A" w:rsidR="00290932" w:rsidRPr="00290932" w:rsidRDefault="00290932" w:rsidP="00290932">
      <w:pPr>
        <w:bidi/>
        <w:spacing w:after="232"/>
        <w:ind w:left="0" w:right="234" w:firstLine="0"/>
        <w:rPr>
          <w:b w:val="0"/>
          <w:bCs/>
          <w:color w:val="1F497D"/>
          <w:rtl/>
        </w:rPr>
      </w:pPr>
      <w:r w:rsidRPr="00290932">
        <w:rPr>
          <w:rFonts w:hint="cs"/>
          <w:b w:val="0"/>
          <w:bCs/>
          <w:color w:val="1F497D"/>
          <w:rtl/>
        </w:rPr>
        <w:t>النتائج:</w:t>
      </w:r>
    </w:p>
    <w:p w14:paraId="175163CC" w14:textId="77777777" w:rsidR="00290932" w:rsidRPr="00290932" w:rsidRDefault="00290932" w:rsidP="00290932">
      <w:pPr>
        <w:bidi/>
        <w:rPr>
          <w:u w:val="none"/>
          <w:rtl/>
        </w:rPr>
      </w:pPr>
      <w:r w:rsidRPr="00DB1371">
        <w:rPr>
          <w:u w:val="none"/>
          <w:rtl/>
        </w:rPr>
        <w:t>يقترح إطارًا شاملاً يطابق المخاطر مع الإرشادات الحوكمية، ويؤكد أهمية نهج متعدد أصحاب المصلحة</w:t>
      </w:r>
      <w:r w:rsidRPr="00DB1371">
        <w:rPr>
          <w:u w:val="none"/>
        </w:rPr>
        <w:t xml:space="preserve">. </w:t>
      </w:r>
    </w:p>
    <w:p w14:paraId="4F1C44F6" w14:textId="49BD9F05" w:rsidR="00290932" w:rsidRPr="00290932" w:rsidRDefault="00290932" w:rsidP="00290932">
      <w:pPr>
        <w:bidi/>
        <w:spacing w:after="232"/>
        <w:ind w:left="0" w:right="234" w:firstLine="0"/>
        <w:rPr>
          <w:b w:val="0"/>
          <w:bCs/>
          <w:color w:val="1F497D"/>
          <w:rtl/>
        </w:rPr>
      </w:pPr>
      <w:r w:rsidRPr="00290932">
        <w:rPr>
          <w:rFonts w:hint="cs"/>
          <w:b w:val="0"/>
          <w:bCs/>
          <w:color w:val="1F497D"/>
          <w:rtl/>
        </w:rPr>
        <w:t>ما يميز الدراسة الحالية:</w:t>
      </w:r>
    </w:p>
    <w:p w14:paraId="609D6114" w14:textId="77777777" w:rsidR="00290932" w:rsidRPr="00290932" w:rsidRDefault="00290932" w:rsidP="00290932">
      <w:pPr>
        <w:bidi/>
        <w:spacing w:after="160"/>
        <w:rPr>
          <w:u w:val="none"/>
        </w:rPr>
      </w:pPr>
      <w:r w:rsidRPr="00DB1371">
        <w:rPr>
          <w:u w:val="none"/>
          <w:rtl/>
        </w:rPr>
        <w:t>يوفر أسس تصنيفية مفيدة لتحديد أبعاد الحوكمة المطلوبة في تحليل الدراسة</w:t>
      </w:r>
      <w:r w:rsidRPr="00DB1371">
        <w:rPr>
          <w:u w:val="none"/>
        </w:rPr>
        <w:t>.</w:t>
      </w:r>
    </w:p>
    <w:p w14:paraId="79EEC0BE" w14:textId="77777777" w:rsidR="00290932" w:rsidRDefault="00290932" w:rsidP="00290932">
      <w:pPr>
        <w:spacing w:after="232"/>
        <w:ind w:left="0" w:right="234" w:firstLine="0"/>
        <w:jc w:val="right"/>
        <w:rPr>
          <w:b w:val="0"/>
          <w:bCs/>
          <w:color w:val="1F497D"/>
          <w:u w:val="none"/>
        </w:rPr>
      </w:pPr>
    </w:p>
    <w:p w14:paraId="7606AA51" w14:textId="0D5CD568" w:rsidR="00947368" w:rsidRPr="00947368" w:rsidRDefault="00947368" w:rsidP="00947368">
      <w:pPr>
        <w:pStyle w:val="ListParagraph"/>
        <w:numPr>
          <w:ilvl w:val="0"/>
          <w:numId w:val="13"/>
        </w:numPr>
        <w:spacing w:after="232"/>
        <w:ind w:right="234"/>
        <w:rPr>
          <w:rFonts w:ascii="Sakkal Majalla" w:eastAsia="Sakkal Majalla" w:hAnsi="Sakkal Majalla" w:cs="Sakkal Majalla"/>
          <w:bCs/>
          <w:i/>
          <w:iCs/>
          <w:color w:val="000000"/>
          <w:sz w:val="28"/>
          <w:szCs w:val="28"/>
          <w:rtl/>
        </w:rPr>
      </w:pPr>
      <w:r w:rsidRPr="00947368">
        <w:rPr>
          <w:rFonts w:ascii="Sakkal Majalla" w:eastAsia="Sakkal Majalla" w:hAnsi="Sakkal Majalla" w:cs="Sakkal Majalla"/>
          <w:bCs/>
          <w:i/>
          <w:iCs/>
          <w:color w:val="000000"/>
          <w:sz w:val="28"/>
          <w:szCs w:val="28"/>
        </w:rPr>
        <w:t>Ismail, O., &amp; Ahmad, N. (2025). Ethical and governance frameworks for AI: A systematic literature review. International Journal of Interactive Mobile Technologies.</w:t>
      </w:r>
    </w:p>
    <w:p w14:paraId="03A4B058" w14:textId="77777777" w:rsidR="00947368" w:rsidRPr="00290932" w:rsidRDefault="00947368" w:rsidP="00947368">
      <w:pPr>
        <w:bidi/>
        <w:spacing w:after="232"/>
        <w:ind w:left="0" w:right="234" w:firstLine="0"/>
        <w:rPr>
          <w:b w:val="0"/>
          <w:bCs/>
          <w:color w:val="1F497D"/>
          <w:rtl/>
        </w:rPr>
      </w:pPr>
      <w:r w:rsidRPr="00290932">
        <w:rPr>
          <w:rFonts w:hint="cs"/>
          <w:b w:val="0"/>
          <w:bCs/>
          <w:color w:val="1F497D"/>
          <w:rtl/>
        </w:rPr>
        <w:t>الهدف:</w:t>
      </w:r>
    </w:p>
    <w:p w14:paraId="3904FE46" w14:textId="77777777" w:rsidR="00947368" w:rsidRPr="00947368" w:rsidRDefault="00947368" w:rsidP="00947368">
      <w:pPr>
        <w:bidi/>
        <w:rPr>
          <w:i/>
          <w:iCs/>
          <w:u w:val="none"/>
        </w:rPr>
      </w:pPr>
      <w:r w:rsidRPr="00DB1371">
        <w:rPr>
          <w:u w:val="none"/>
          <w:rtl/>
        </w:rPr>
        <w:t>مراجعة منهجية لأطر الحوكمة الأخلاقية والتنظيمية للذكاء الاصطناعي</w:t>
      </w:r>
      <w:r w:rsidRPr="00DB1371">
        <w:rPr>
          <w:u w:val="none"/>
        </w:rPr>
        <w:t>.</w:t>
      </w:r>
    </w:p>
    <w:p w14:paraId="0E8F416A" w14:textId="77777777" w:rsidR="00947368" w:rsidRPr="00290932" w:rsidRDefault="00947368" w:rsidP="00947368">
      <w:pPr>
        <w:bidi/>
        <w:spacing w:after="232"/>
        <w:ind w:left="0" w:right="234" w:firstLine="0"/>
        <w:rPr>
          <w:b w:val="0"/>
          <w:bCs/>
          <w:color w:val="1F497D"/>
          <w:rtl/>
        </w:rPr>
      </w:pPr>
      <w:r w:rsidRPr="00290932">
        <w:rPr>
          <w:rFonts w:hint="cs"/>
          <w:b w:val="0"/>
          <w:bCs/>
          <w:color w:val="1F497D"/>
          <w:rtl/>
        </w:rPr>
        <w:t>النتائج:</w:t>
      </w:r>
    </w:p>
    <w:p w14:paraId="25C9249E" w14:textId="692B6D3C" w:rsidR="00947368" w:rsidRPr="00947368" w:rsidRDefault="00947368" w:rsidP="00947368">
      <w:pPr>
        <w:bidi/>
        <w:spacing w:after="232"/>
        <w:ind w:left="0" w:right="234" w:firstLine="0"/>
        <w:rPr>
          <w:b w:val="0"/>
          <w:bCs/>
          <w:color w:val="1F497D"/>
          <w:u w:val="none"/>
          <w:rtl/>
        </w:rPr>
      </w:pPr>
      <w:r w:rsidRPr="00DB1371">
        <w:rPr>
          <w:u w:val="none"/>
          <w:rtl/>
        </w:rPr>
        <w:t>يجمع الأدلة من 22 مصدرًا ويحلل التحديات في تطبيق الحوكمة الأخلاقية عالميًا</w:t>
      </w:r>
      <w:r>
        <w:rPr>
          <w:rFonts w:hint="cs"/>
          <w:b w:val="0"/>
          <w:bCs/>
          <w:color w:val="1F497D"/>
          <w:u w:val="none"/>
          <w:rtl/>
        </w:rPr>
        <w:t>.</w:t>
      </w:r>
    </w:p>
    <w:p w14:paraId="65D020B2" w14:textId="1BDDC487" w:rsidR="00947368" w:rsidRPr="00290932" w:rsidRDefault="00947368" w:rsidP="00947368">
      <w:pPr>
        <w:bidi/>
        <w:spacing w:after="232"/>
        <w:ind w:left="0" w:right="234" w:firstLine="0"/>
        <w:rPr>
          <w:b w:val="0"/>
          <w:bCs/>
          <w:color w:val="1F497D"/>
          <w:rtl/>
        </w:rPr>
      </w:pPr>
      <w:r w:rsidRPr="00290932">
        <w:rPr>
          <w:rFonts w:hint="cs"/>
          <w:b w:val="0"/>
          <w:bCs/>
          <w:color w:val="1F497D"/>
          <w:rtl/>
        </w:rPr>
        <w:t>ما يميز الدراسة الحالية:</w:t>
      </w:r>
    </w:p>
    <w:p w14:paraId="2517101F" w14:textId="77777777" w:rsidR="00947368" w:rsidRPr="00947368" w:rsidRDefault="00947368" w:rsidP="00947368">
      <w:pPr>
        <w:bidi/>
        <w:spacing w:after="160"/>
        <w:rPr>
          <w:u w:val="none"/>
        </w:rPr>
      </w:pPr>
      <w:r w:rsidRPr="00DB1371">
        <w:rPr>
          <w:u w:val="none"/>
          <w:rtl/>
        </w:rPr>
        <w:t>يبرز العوامل الأخلاقية والتنظيمية المرتبطة بالذكاء الاصطناعي، ما يدعم تحليل الأبعاد الخاصة بحوكمة الدراسة</w:t>
      </w:r>
      <w:r w:rsidRPr="00DB1371">
        <w:rPr>
          <w:u w:val="none"/>
        </w:rPr>
        <w:t>.</w:t>
      </w:r>
    </w:p>
    <w:p w14:paraId="06B6B575" w14:textId="77777777" w:rsidR="000971C7" w:rsidRDefault="000971C7" w:rsidP="00290932">
      <w:pPr>
        <w:spacing w:after="232"/>
        <w:ind w:left="0" w:right="234" w:firstLine="0"/>
        <w:rPr>
          <w:b w:val="0"/>
          <w:bCs/>
          <w:rtl/>
        </w:rPr>
      </w:pPr>
    </w:p>
    <w:p w14:paraId="62C09B6A" w14:textId="77777777" w:rsidR="00300F09" w:rsidRDefault="00300F09" w:rsidP="00290932">
      <w:pPr>
        <w:spacing w:after="232"/>
        <w:ind w:left="0" w:right="234" w:firstLine="0"/>
        <w:rPr>
          <w:b w:val="0"/>
          <w:bCs/>
          <w:rtl/>
        </w:rPr>
      </w:pPr>
    </w:p>
    <w:p w14:paraId="1AA2156B" w14:textId="77777777" w:rsidR="00300F09" w:rsidRDefault="00300F09" w:rsidP="00290932">
      <w:pPr>
        <w:spacing w:after="232"/>
        <w:ind w:left="0" w:right="234" w:firstLine="0"/>
        <w:rPr>
          <w:b w:val="0"/>
          <w:bCs/>
          <w:rtl/>
        </w:rPr>
      </w:pPr>
    </w:p>
    <w:p w14:paraId="786397E9" w14:textId="77777777" w:rsidR="00300F09" w:rsidRPr="00290932" w:rsidRDefault="00300F09" w:rsidP="00290932">
      <w:pPr>
        <w:spacing w:after="232"/>
        <w:ind w:left="0" w:right="234" w:firstLine="0"/>
        <w:rPr>
          <w:b w:val="0"/>
          <w:bCs/>
        </w:rPr>
      </w:pPr>
    </w:p>
    <w:p w14:paraId="66928E06" w14:textId="77777777" w:rsidR="00820599" w:rsidRDefault="00000000">
      <w:pPr>
        <w:bidi/>
        <w:spacing w:after="243"/>
        <w:ind w:left="160"/>
      </w:pPr>
      <w:r>
        <w:rPr>
          <w:bCs/>
          <w:color w:val="00B0F0"/>
          <w:szCs w:val="32"/>
          <w:u w:color="00B0F0"/>
          <w:rtl/>
        </w:rPr>
        <w:lastRenderedPageBreak/>
        <w:t>مصطلحات الدراسة وتعريفاتها الإجرائية</w:t>
      </w:r>
      <w:r>
        <w:rPr>
          <w:b w:val="0"/>
          <w:color w:val="00B0F0"/>
          <w:sz w:val="28"/>
          <w:szCs w:val="28"/>
          <w:u w:val="none"/>
          <w:rtl/>
        </w:rPr>
        <w:t xml:space="preserve"> </w:t>
      </w:r>
    </w:p>
    <w:p w14:paraId="5AF4A502" w14:textId="65EE152C"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hint="cs"/>
          <w:bCs/>
          <w:color w:val="000000"/>
          <w:sz w:val="32"/>
          <w:szCs w:val="24"/>
          <w:rtl/>
        </w:rPr>
        <w:t>حوكمة</w:t>
      </w:r>
      <w:r w:rsidRPr="00390D38">
        <w:rPr>
          <w:rFonts w:ascii="Sakkal Majalla" w:eastAsia="Sakkal Majalla" w:hAnsi="Sakkal Majalla" w:cs="Sakkal Majalla"/>
          <w:bCs/>
          <w:color w:val="000000"/>
          <w:sz w:val="32"/>
          <w:szCs w:val="24"/>
          <w:rtl/>
        </w:rPr>
        <w:t xml:space="preserve"> </w:t>
      </w:r>
      <w:r w:rsidRPr="00390D38">
        <w:rPr>
          <w:rFonts w:ascii="Sakkal Majalla" w:eastAsia="Sakkal Majalla" w:hAnsi="Sakkal Majalla" w:cs="Sakkal Majalla" w:hint="cs"/>
          <w:bCs/>
          <w:color w:val="000000"/>
          <w:sz w:val="32"/>
          <w:szCs w:val="24"/>
          <w:rtl/>
        </w:rPr>
        <w:t>الذكاء</w:t>
      </w:r>
      <w:r w:rsidRPr="00390D38">
        <w:rPr>
          <w:rFonts w:ascii="Sakkal Majalla" w:eastAsia="Sakkal Majalla" w:hAnsi="Sakkal Majalla" w:cs="Sakkal Majalla"/>
          <w:bCs/>
          <w:color w:val="000000"/>
          <w:sz w:val="32"/>
          <w:szCs w:val="24"/>
          <w:rtl/>
        </w:rPr>
        <w:t xml:space="preserve"> </w:t>
      </w:r>
      <w:r w:rsidRPr="00390D38">
        <w:rPr>
          <w:rFonts w:ascii="Sakkal Majalla" w:eastAsia="Sakkal Majalla" w:hAnsi="Sakkal Majalla" w:cs="Sakkal Majalla" w:hint="cs"/>
          <w:bCs/>
          <w:color w:val="000000"/>
          <w:sz w:val="32"/>
          <w:szCs w:val="24"/>
          <w:rtl/>
        </w:rPr>
        <w:t>الاصطناعي</w:t>
      </w:r>
    </w:p>
    <w:p w14:paraId="08EEFF43" w14:textId="77777777" w:rsidR="00390D38" w:rsidRPr="00CC47F2" w:rsidRDefault="00390D38" w:rsidP="00390D38">
      <w:pPr>
        <w:bidi/>
        <w:spacing w:after="160"/>
        <w:rPr>
          <w:u w:val="none"/>
        </w:rPr>
      </w:pPr>
      <w:r w:rsidRPr="00300F09">
        <w:rPr>
          <w:b w:val="0"/>
          <w:bCs/>
          <w:u w:val="none"/>
          <w:rtl/>
        </w:rPr>
        <w:t>التعريف الإجرائي</w:t>
      </w:r>
      <w:r w:rsidRPr="00300F09">
        <w:rPr>
          <w:b w:val="0"/>
          <w:bCs/>
          <w:u w:val="none"/>
        </w:rPr>
        <w:t>:</w:t>
      </w:r>
      <w:r w:rsidRPr="00300F09">
        <w:rPr>
          <w:b w:val="0"/>
          <w:bCs/>
          <w:u w:val="none"/>
        </w:rPr>
        <w:br/>
      </w:r>
      <w:r w:rsidRPr="00300F09">
        <w:rPr>
          <w:u w:val="none"/>
          <w:rtl/>
        </w:rPr>
        <w:t>تع</w:t>
      </w:r>
      <w:r w:rsidRPr="00300F09">
        <w:rPr>
          <w:rFonts w:hint="cs"/>
          <w:u w:val="none"/>
          <w:rtl/>
        </w:rPr>
        <w:t>ر</w:t>
      </w:r>
      <w:r w:rsidRPr="00300F09">
        <w:rPr>
          <w:u w:val="none"/>
          <w:rtl/>
        </w:rPr>
        <w:t>ف حوكمة الذكاء الاصطناعي في هذه</w:t>
      </w:r>
      <w:r w:rsidRPr="00CC47F2">
        <w:rPr>
          <w:u w:val="none"/>
          <w:rtl/>
        </w:rPr>
        <w:t xml:space="preserve"> الدراسة بوصفها إطارًا تحليليًا يستخلص من تحليل القوانين والتشريعات والسياسات الرسمية والتقارير التنظيمية ذات الصلة بالذكاء الاصطناعي في المملكة العربية السعودية والاتحاد الأوروبي</w:t>
      </w:r>
      <w:r w:rsidRPr="00CC47F2">
        <w:rPr>
          <w:u w:val="none"/>
        </w:rPr>
        <w:t>.</w:t>
      </w:r>
    </w:p>
    <w:p w14:paraId="53C354D4" w14:textId="77777777" w:rsidR="00390D38" w:rsidRDefault="00390D38" w:rsidP="00390D38">
      <w:pPr>
        <w:bidi/>
        <w:jc w:val="both"/>
        <w:rPr>
          <w:rtl/>
        </w:rPr>
      </w:pPr>
    </w:p>
    <w:p w14:paraId="079A184B" w14:textId="6B1D778B"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hint="cs"/>
          <w:bCs/>
          <w:color w:val="000000"/>
          <w:sz w:val="32"/>
          <w:szCs w:val="24"/>
          <w:rtl/>
        </w:rPr>
        <w:t>إدارة</w:t>
      </w:r>
      <w:r w:rsidRPr="00390D38">
        <w:rPr>
          <w:rFonts w:ascii="Sakkal Majalla" w:eastAsia="Sakkal Majalla" w:hAnsi="Sakkal Majalla" w:cs="Sakkal Majalla"/>
          <w:bCs/>
          <w:color w:val="000000"/>
          <w:sz w:val="32"/>
          <w:szCs w:val="24"/>
          <w:rtl/>
        </w:rPr>
        <w:t xml:space="preserve"> </w:t>
      </w:r>
      <w:r w:rsidRPr="00390D38">
        <w:rPr>
          <w:rFonts w:ascii="Sakkal Majalla" w:eastAsia="Sakkal Majalla" w:hAnsi="Sakkal Majalla" w:cs="Sakkal Majalla" w:hint="cs"/>
          <w:bCs/>
          <w:color w:val="000000"/>
          <w:sz w:val="32"/>
          <w:szCs w:val="24"/>
          <w:rtl/>
        </w:rPr>
        <w:t>المخاطر</w:t>
      </w:r>
      <w:r w:rsidRPr="00390D38">
        <w:rPr>
          <w:rFonts w:ascii="Sakkal Majalla" w:eastAsia="Sakkal Majalla" w:hAnsi="Sakkal Majalla" w:cs="Sakkal Majalla"/>
          <w:bCs/>
          <w:color w:val="000000"/>
          <w:sz w:val="32"/>
          <w:szCs w:val="24"/>
          <w:rtl/>
        </w:rPr>
        <w:t xml:space="preserve"> </w:t>
      </w:r>
      <w:r w:rsidRPr="00390D38">
        <w:rPr>
          <w:rFonts w:ascii="Sakkal Majalla" w:eastAsia="Sakkal Majalla" w:hAnsi="Sakkal Majalla" w:cs="Sakkal Majalla" w:hint="cs"/>
          <w:bCs/>
          <w:color w:val="000000"/>
          <w:sz w:val="32"/>
          <w:szCs w:val="24"/>
          <w:rtl/>
        </w:rPr>
        <w:t>التقنية</w:t>
      </w:r>
    </w:p>
    <w:p w14:paraId="037A4177" w14:textId="77777777" w:rsidR="00390D38" w:rsidRPr="00CC47F2" w:rsidRDefault="00390D38" w:rsidP="00390D38">
      <w:pPr>
        <w:bidi/>
        <w:jc w:val="both"/>
        <w:rPr>
          <w:b w:val="0"/>
          <w:bCs/>
          <w:u w:val="none"/>
        </w:rPr>
      </w:pPr>
      <w:r w:rsidRPr="00CC47F2">
        <w:rPr>
          <w:rFonts w:hint="cs"/>
          <w:b w:val="0"/>
          <w:bCs/>
          <w:u w:val="none"/>
          <w:rtl/>
        </w:rPr>
        <w:t>التعريف</w:t>
      </w:r>
      <w:r w:rsidRPr="00CC47F2">
        <w:rPr>
          <w:b w:val="0"/>
          <w:bCs/>
          <w:u w:val="none"/>
          <w:rtl/>
        </w:rPr>
        <w:t xml:space="preserve"> </w:t>
      </w:r>
      <w:r w:rsidRPr="00CC47F2">
        <w:rPr>
          <w:rFonts w:hint="cs"/>
          <w:b w:val="0"/>
          <w:bCs/>
          <w:u w:val="none"/>
          <w:rtl/>
        </w:rPr>
        <w:t>الإجرائي</w:t>
      </w:r>
      <w:r w:rsidRPr="00CC47F2">
        <w:rPr>
          <w:b w:val="0"/>
          <w:bCs/>
          <w:u w:val="none"/>
          <w:rtl/>
        </w:rPr>
        <w:t>:</w:t>
      </w:r>
    </w:p>
    <w:p w14:paraId="042E33F2" w14:textId="533B7E0B" w:rsidR="00390D38" w:rsidRPr="00390D38" w:rsidRDefault="00262216" w:rsidP="00390D38">
      <w:pPr>
        <w:bidi/>
        <w:jc w:val="both"/>
        <w:rPr>
          <w:u w:val="none"/>
          <w:rtl/>
        </w:rPr>
      </w:pPr>
      <w:r>
        <w:rPr>
          <w:rFonts w:hint="cs"/>
          <w:u w:val="none"/>
          <w:rtl/>
        </w:rPr>
        <w:t xml:space="preserve">إدارة و </w:t>
      </w:r>
      <w:r w:rsidR="00390D38" w:rsidRPr="00390D38">
        <w:rPr>
          <w:rFonts w:hint="cs"/>
          <w:u w:val="none"/>
          <w:rtl/>
        </w:rPr>
        <w:t>تحليل</w:t>
      </w:r>
      <w:r w:rsidR="00390D38" w:rsidRPr="00390D38">
        <w:rPr>
          <w:u w:val="none"/>
          <w:rtl/>
        </w:rPr>
        <w:t xml:space="preserve"> </w:t>
      </w:r>
      <w:r w:rsidR="00390D38" w:rsidRPr="00390D38">
        <w:rPr>
          <w:rFonts w:hint="cs"/>
          <w:u w:val="none"/>
          <w:rtl/>
        </w:rPr>
        <w:t>آليات</w:t>
      </w:r>
      <w:r w:rsidR="00390D38" w:rsidRPr="00390D38">
        <w:rPr>
          <w:u w:val="none"/>
          <w:rtl/>
        </w:rPr>
        <w:t xml:space="preserve"> </w:t>
      </w:r>
      <w:r w:rsidR="00390D38" w:rsidRPr="00390D38">
        <w:rPr>
          <w:rFonts w:hint="cs"/>
          <w:u w:val="none"/>
          <w:rtl/>
        </w:rPr>
        <w:t>التعامل</w:t>
      </w:r>
      <w:r w:rsidR="00390D38" w:rsidRPr="00390D38">
        <w:rPr>
          <w:u w:val="none"/>
          <w:rtl/>
        </w:rPr>
        <w:t xml:space="preserve"> </w:t>
      </w:r>
      <w:r w:rsidR="00390D38" w:rsidRPr="00390D38">
        <w:rPr>
          <w:rFonts w:hint="cs"/>
          <w:u w:val="none"/>
          <w:rtl/>
        </w:rPr>
        <w:t>مع</w:t>
      </w:r>
      <w:r w:rsidR="00390D38" w:rsidRPr="00390D38">
        <w:rPr>
          <w:u w:val="none"/>
          <w:rtl/>
        </w:rPr>
        <w:t xml:space="preserve"> </w:t>
      </w:r>
      <w:r w:rsidR="00390D38" w:rsidRPr="00390D38">
        <w:rPr>
          <w:rFonts w:hint="cs"/>
          <w:u w:val="none"/>
          <w:rtl/>
        </w:rPr>
        <w:t>المخاطر</w:t>
      </w:r>
      <w:r w:rsidR="00390D38" w:rsidRPr="00390D38">
        <w:rPr>
          <w:u w:val="none"/>
          <w:rtl/>
        </w:rPr>
        <w:t xml:space="preserve"> </w:t>
      </w:r>
      <w:r w:rsidR="00390D38" w:rsidRPr="00390D38">
        <w:rPr>
          <w:rFonts w:hint="cs"/>
          <w:u w:val="none"/>
          <w:rtl/>
        </w:rPr>
        <w:t>التقنية</w:t>
      </w:r>
      <w:r w:rsidR="00390D38" w:rsidRPr="00390D38">
        <w:rPr>
          <w:u w:val="none"/>
          <w:rtl/>
        </w:rPr>
        <w:t xml:space="preserve"> </w:t>
      </w:r>
      <w:r w:rsidR="00390D38" w:rsidRPr="00390D38">
        <w:rPr>
          <w:rFonts w:hint="cs"/>
          <w:u w:val="none"/>
          <w:rtl/>
        </w:rPr>
        <w:t>الواردة</w:t>
      </w:r>
      <w:r w:rsidR="00390D38" w:rsidRPr="00390D38">
        <w:rPr>
          <w:u w:val="none"/>
          <w:rtl/>
        </w:rPr>
        <w:t xml:space="preserve"> </w:t>
      </w:r>
      <w:r w:rsidR="00390D38" w:rsidRPr="00390D38">
        <w:rPr>
          <w:rFonts w:hint="cs"/>
          <w:u w:val="none"/>
          <w:rtl/>
        </w:rPr>
        <w:t>في</w:t>
      </w:r>
      <w:r w:rsidR="00390D38" w:rsidRPr="00390D38">
        <w:rPr>
          <w:u w:val="none"/>
          <w:rtl/>
        </w:rPr>
        <w:t xml:space="preserve"> </w:t>
      </w:r>
      <w:r w:rsidR="00390D38" w:rsidRPr="00390D38">
        <w:rPr>
          <w:rFonts w:hint="cs"/>
          <w:u w:val="none"/>
          <w:rtl/>
        </w:rPr>
        <w:t>الأطر</w:t>
      </w:r>
      <w:r w:rsidR="00390D38" w:rsidRPr="00390D38">
        <w:rPr>
          <w:u w:val="none"/>
          <w:rtl/>
        </w:rPr>
        <w:t xml:space="preserve"> </w:t>
      </w:r>
      <w:r w:rsidR="00390D38" w:rsidRPr="00390D38">
        <w:rPr>
          <w:rFonts w:hint="cs"/>
          <w:u w:val="none"/>
          <w:rtl/>
        </w:rPr>
        <w:t>التنظيمية</w:t>
      </w:r>
      <w:r w:rsidR="00390D38" w:rsidRPr="00390D38">
        <w:rPr>
          <w:u w:val="none"/>
          <w:rtl/>
        </w:rPr>
        <w:t xml:space="preserve"> </w:t>
      </w:r>
      <w:r w:rsidR="00390D38" w:rsidRPr="00390D38">
        <w:rPr>
          <w:rFonts w:hint="cs"/>
          <w:u w:val="none"/>
          <w:rtl/>
        </w:rPr>
        <w:t>والمعايير</w:t>
      </w:r>
      <w:r w:rsidR="00390D38" w:rsidRPr="00390D38">
        <w:rPr>
          <w:u w:val="none"/>
          <w:rtl/>
        </w:rPr>
        <w:t xml:space="preserve"> </w:t>
      </w:r>
      <w:r w:rsidR="00390D38" w:rsidRPr="00390D38">
        <w:rPr>
          <w:rFonts w:hint="cs"/>
          <w:u w:val="none"/>
          <w:rtl/>
        </w:rPr>
        <w:t>المعتمدة</w:t>
      </w:r>
      <w:r w:rsidR="00390D38" w:rsidRPr="00390D38">
        <w:rPr>
          <w:u w:val="none"/>
          <w:rtl/>
        </w:rPr>
        <w:t xml:space="preserve"> </w:t>
      </w:r>
      <w:r w:rsidR="00390D38" w:rsidRPr="00390D38">
        <w:rPr>
          <w:rFonts w:hint="cs"/>
          <w:u w:val="none"/>
          <w:rtl/>
        </w:rPr>
        <w:t>في</w:t>
      </w:r>
      <w:r w:rsidR="00390D38" w:rsidRPr="00390D38">
        <w:rPr>
          <w:u w:val="none"/>
          <w:rtl/>
        </w:rPr>
        <w:t xml:space="preserve"> </w:t>
      </w:r>
      <w:r w:rsidR="00390D38" w:rsidRPr="00390D38">
        <w:rPr>
          <w:rFonts w:hint="cs"/>
          <w:u w:val="none"/>
          <w:rtl/>
        </w:rPr>
        <w:t>السعودية</w:t>
      </w:r>
      <w:r w:rsidR="00390D38" w:rsidRPr="00390D38">
        <w:rPr>
          <w:u w:val="none"/>
          <w:rtl/>
        </w:rPr>
        <w:t xml:space="preserve"> </w:t>
      </w:r>
      <w:r w:rsidR="00390D38" w:rsidRPr="00390D38">
        <w:rPr>
          <w:rFonts w:hint="cs"/>
          <w:u w:val="none"/>
          <w:rtl/>
        </w:rPr>
        <w:t>والاتحاد</w:t>
      </w:r>
      <w:r w:rsidR="00390D38" w:rsidRPr="00390D38">
        <w:rPr>
          <w:u w:val="none"/>
          <w:rtl/>
        </w:rPr>
        <w:t xml:space="preserve"> </w:t>
      </w:r>
      <w:r w:rsidR="00390D38" w:rsidRPr="00390D38">
        <w:rPr>
          <w:rFonts w:hint="cs"/>
          <w:u w:val="none"/>
          <w:rtl/>
        </w:rPr>
        <w:t>الأوروبي</w:t>
      </w:r>
      <w:r w:rsidR="00390D38" w:rsidRPr="00390D38">
        <w:rPr>
          <w:u w:val="none"/>
          <w:rtl/>
        </w:rPr>
        <w:t>.</w:t>
      </w:r>
    </w:p>
    <w:p w14:paraId="7B8B89DA" w14:textId="77777777" w:rsidR="00390D38" w:rsidRDefault="00390D38" w:rsidP="00390D38">
      <w:pPr>
        <w:bidi/>
        <w:jc w:val="both"/>
        <w:rPr>
          <w:rtl/>
        </w:rPr>
      </w:pPr>
    </w:p>
    <w:p w14:paraId="33346037" w14:textId="585D9C69"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bCs/>
          <w:color w:val="000000"/>
          <w:sz w:val="32"/>
          <w:szCs w:val="24"/>
          <w:rtl/>
        </w:rPr>
        <w:t>القوانين المنظمة للذكاء الاصطناعي</w:t>
      </w:r>
      <w:r>
        <w:rPr>
          <w:rFonts w:ascii="Sakkal Majalla" w:eastAsia="Sakkal Majalla" w:hAnsi="Sakkal Majalla" w:cs="Sakkal Majalla" w:hint="cs"/>
          <w:bCs/>
          <w:color w:val="000000"/>
          <w:sz w:val="32"/>
          <w:szCs w:val="24"/>
          <w:rtl/>
        </w:rPr>
        <w:t>:</w:t>
      </w:r>
    </w:p>
    <w:p w14:paraId="0FAFA273" w14:textId="005B142E" w:rsidR="00390D38" w:rsidRPr="00390D38" w:rsidRDefault="00390D38" w:rsidP="00390D38">
      <w:pPr>
        <w:bidi/>
        <w:rPr>
          <w:u w:val="none"/>
          <w:rtl/>
        </w:rPr>
      </w:pPr>
      <w:r w:rsidRPr="00CC47F2">
        <w:rPr>
          <w:bCs/>
          <w:u w:val="none"/>
          <w:rtl/>
        </w:rPr>
        <w:t>التعريف الإجرائي</w:t>
      </w:r>
      <w:r w:rsidRPr="00CC47F2">
        <w:rPr>
          <w:bCs/>
          <w:u w:val="none"/>
        </w:rPr>
        <w:t>:</w:t>
      </w:r>
      <w:r w:rsidRPr="00CC47F2">
        <w:rPr>
          <w:u w:val="none"/>
        </w:rPr>
        <w:br/>
      </w:r>
      <w:r w:rsidR="000971C7">
        <w:rPr>
          <w:rFonts w:hint="cs"/>
          <w:u w:val="none"/>
          <w:rtl/>
        </w:rPr>
        <w:t xml:space="preserve">هي </w:t>
      </w:r>
      <w:r w:rsidRPr="00CC47F2">
        <w:rPr>
          <w:u w:val="none"/>
          <w:rtl/>
        </w:rPr>
        <w:t>النصوص القانونية والتنظيمية الرسمية الصادرة عن الجهات المختصة في السعودية والاتحاد الأوروبي والمتعلقة بتنظيم الذكاء الاصطناعي</w:t>
      </w:r>
      <w:r w:rsidRPr="00CC47F2">
        <w:rPr>
          <w:u w:val="none"/>
        </w:rPr>
        <w:t>.</w:t>
      </w:r>
    </w:p>
    <w:p w14:paraId="5FF7DBD5" w14:textId="77777777" w:rsidR="00390D38" w:rsidRDefault="00390D38" w:rsidP="00390D38">
      <w:pPr>
        <w:bidi/>
        <w:rPr>
          <w:rtl/>
        </w:rPr>
      </w:pPr>
    </w:p>
    <w:p w14:paraId="42B97436" w14:textId="60650BA9"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bCs/>
          <w:color w:val="000000"/>
          <w:sz w:val="32"/>
          <w:szCs w:val="24"/>
          <w:rtl/>
        </w:rPr>
        <w:t>الأطر الأخلاقية للذكاء الاصطناعي</w:t>
      </w:r>
    </w:p>
    <w:p w14:paraId="69BFA427" w14:textId="77777777" w:rsidR="00390D38" w:rsidRPr="00CC47F2" w:rsidRDefault="00390D38" w:rsidP="00390D38">
      <w:pPr>
        <w:bidi/>
        <w:spacing w:after="160"/>
        <w:rPr>
          <w:u w:val="none"/>
        </w:rPr>
      </w:pPr>
      <w:r w:rsidRPr="00CC47F2">
        <w:rPr>
          <w:bCs/>
          <w:u w:val="none"/>
          <w:rtl/>
        </w:rPr>
        <w:t>التعريف الإجرائي</w:t>
      </w:r>
      <w:r w:rsidRPr="00CC47F2">
        <w:rPr>
          <w:bCs/>
          <w:u w:val="none"/>
        </w:rPr>
        <w:t>:</w:t>
      </w:r>
      <w:r w:rsidRPr="00CC47F2">
        <w:rPr>
          <w:u w:val="none"/>
        </w:rPr>
        <w:br/>
      </w:r>
      <w:r w:rsidRPr="00CC47F2">
        <w:rPr>
          <w:u w:val="none"/>
          <w:rtl/>
        </w:rPr>
        <w:t>تحدد الأطر الأخلاقية من خلال تحليل مواثيق الأخلاقيات والمبادئ التوجيهية الرسمية الصادرة عن الهيئات المحلية والدولية ذات العلاقة</w:t>
      </w:r>
      <w:r w:rsidRPr="00CC47F2">
        <w:rPr>
          <w:u w:val="none"/>
        </w:rPr>
        <w:t>.</w:t>
      </w:r>
    </w:p>
    <w:p w14:paraId="1BCBD2FB" w14:textId="01341859"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bCs/>
          <w:color w:val="000000"/>
          <w:sz w:val="32"/>
          <w:szCs w:val="24"/>
          <w:rtl/>
        </w:rPr>
        <w:t>آليات الرقابة على أنظمة الذكاء الاصطناعي</w:t>
      </w:r>
    </w:p>
    <w:p w14:paraId="7569A60C" w14:textId="7BCB9E07" w:rsidR="00390D38" w:rsidRPr="00CC47F2" w:rsidRDefault="00390D38" w:rsidP="00390D38">
      <w:pPr>
        <w:bidi/>
        <w:spacing w:after="160"/>
        <w:rPr>
          <w:u w:val="none"/>
        </w:rPr>
      </w:pPr>
      <w:r w:rsidRPr="00CC47F2">
        <w:rPr>
          <w:bCs/>
          <w:u w:val="none"/>
          <w:rtl/>
        </w:rPr>
        <w:t>التعريف الإجرائي</w:t>
      </w:r>
      <w:r w:rsidRPr="00CC47F2">
        <w:rPr>
          <w:bCs/>
          <w:u w:val="none"/>
        </w:rPr>
        <w:t>:</w:t>
      </w:r>
      <w:r w:rsidRPr="00CC47F2">
        <w:rPr>
          <w:u w:val="none"/>
        </w:rPr>
        <w:br/>
      </w:r>
      <w:r w:rsidRPr="00CC47F2">
        <w:rPr>
          <w:u w:val="none"/>
          <w:rtl/>
        </w:rPr>
        <w:t>آليات الإشراف والمساءلة والتدقيق المنصوص عليها في الوثائق التنظيمية في السعودية والاتحاد الأوروبي</w:t>
      </w:r>
      <w:r w:rsidRPr="00CC47F2">
        <w:rPr>
          <w:u w:val="none"/>
        </w:rPr>
        <w:t>.</w:t>
      </w:r>
    </w:p>
    <w:p w14:paraId="71140368" w14:textId="77777777" w:rsidR="00390D38" w:rsidRPr="00CC47F2" w:rsidRDefault="00390D38" w:rsidP="00390D38">
      <w:pPr>
        <w:bidi/>
        <w:spacing w:after="160"/>
      </w:pPr>
    </w:p>
    <w:p w14:paraId="7CB1A789" w14:textId="5A22120C"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bCs/>
          <w:color w:val="000000"/>
          <w:sz w:val="32"/>
          <w:szCs w:val="24"/>
          <w:rtl/>
        </w:rPr>
        <w:t>السياسات التنظيمية لحوكمة الذكاء الاصطناعي</w:t>
      </w:r>
    </w:p>
    <w:p w14:paraId="46752569" w14:textId="0E26A66F" w:rsidR="00390D38" w:rsidRDefault="00390D38" w:rsidP="00390D38">
      <w:pPr>
        <w:bidi/>
        <w:spacing w:after="160"/>
        <w:rPr>
          <w:u w:val="none"/>
          <w:rtl/>
        </w:rPr>
      </w:pPr>
      <w:r w:rsidRPr="00300F09">
        <w:rPr>
          <w:b w:val="0"/>
          <w:bCs/>
          <w:u w:val="none"/>
          <w:rtl/>
        </w:rPr>
        <w:t>التعريف الإجرائي</w:t>
      </w:r>
      <w:r w:rsidRPr="00300F09">
        <w:rPr>
          <w:b w:val="0"/>
          <w:bCs/>
          <w:u w:val="none"/>
        </w:rPr>
        <w:t>:</w:t>
      </w:r>
      <w:r w:rsidRPr="00300F09">
        <w:rPr>
          <w:u w:val="none"/>
        </w:rPr>
        <w:br/>
      </w:r>
      <w:r w:rsidRPr="00CC47F2">
        <w:rPr>
          <w:u w:val="none"/>
          <w:rtl/>
        </w:rPr>
        <w:t>السياسات الرسمية والاستراتيجيات الوطنية والمؤسسية المتعلقة بحوكمة الذكاء الاصطناعي</w:t>
      </w:r>
      <w:r w:rsidRPr="00CC47F2">
        <w:rPr>
          <w:u w:val="none"/>
        </w:rPr>
        <w:t>.</w:t>
      </w:r>
    </w:p>
    <w:p w14:paraId="4ED85DC0" w14:textId="77777777" w:rsidR="00300F09" w:rsidRDefault="00300F09" w:rsidP="00300F09">
      <w:pPr>
        <w:bidi/>
        <w:spacing w:after="160"/>
        <w:rPr>
          <w:u w:val="none"/>
        </w:rPr>
      </w:pPr>
    </w:p>
    <w:p w14:paraId="2E6EDA24" w14:textId="77777777" w:rsidR="00300F09" w:rsidRPr="00CC47F2" w:rsidRDefault="00300F09" w:rsidP="00300F09">
      <w:pPr>
        <w:bidi/>
        <w:spacing w:after="160"/>
        <w:rPr>
          <w:u w:val="none"/>
        </w:rPr>
      </w:pPr>
    </w:p>
    <w:p w14:paraId="1B7F48E9" w14:textId="2E440D01" w:rsidR="00390D38" w:rsidRPr="00390D38" w:rsidRDefault="00390D38" w:rsidP="00390D38">
      <w:pPr>
        <w:pStyle w:val="ListParagraph"/>
        <w:numPr>
          <w:ilvl w:val="0"/>
          <w:numId w:val="15"/>
        </w:numPr>
        <w:bidi/>
        <w:jc w:val="both"/>
        <w:rPr>
          <w:rFonts w:ascii="Sakkal Majalla" w:eastAsia="Sakkal Majalla" w:hAnsi="Sakkal Majalla" w:cs="Sakkal Majalla"/>
          <w:bCs/>
          <w:color w:val="000000"/>
          <w:sz w:val="32"/>
          <w:szCs w:val="24"/>
        </w:rPr>
      </w:pPr>
      <w:r w:rsidRPr="00390D38">
        <w:rPr>
          <w:rFonts w:ascii="Sakkal Majalla" w:eastAsia="Sakkal Majalla" w:hAnsi="Sakkal Majalla" w:cs="Sakkal Majalla"/>
          <w:bCs/>
          <w:color w:val="000000"/>
          <w:sz w:val="32"/>
          <w:szCs w:val="24"/>
          <w:rtl/>
        </w:rPr>
        <w:lastRenderedPageBreak/>
        <w:t>الانتهاكات التقنية</w:t>
      </w:r>
    </w:p>
    <w:p w14:paraId="0BCD33FD" w14:textId="16142F29" w:rsidR="000971C7" w:rsidRDefault="00390D38" w:rsidP="00300F09">
      <w:pPr>
        <w:bidi/>
        <w:spacing w:after="160"/>
        <w:rPr>
          <w:u w:val="none"/>
          <w:rtl/>
        </w:rPr>
      </w:pPr>
      <w:r w:rsidRPr="00300F09">
        <w:rPr>
          <w:b w:val="0"/>
          <w:bCs/>
          <w:u w:val="none"/>
          <w:rtl/>
        </w:rPr>
        <w:t>التعريف الإجرائي</w:t>
      </w:r>
      <w:r w:rsidRPr="00300F09">
        <w:rPr>
          <w:b w:val="0"/>
          <w:bCs/>
          <w:u w:val="none"/>
        </w:rPr>
        <w:t>:</w:t>
      </w:r>
      <w:r w:rsidRPr="00300F09">
        <w:rPr>
          <w:b w:val="0"/>
          <w:bCs/>
          <w:u w:val="none"/>
        </w:rPr>
        <w:br/>
      </w:r>
      <w:r w:rsidR="00D506D3">
        <w:rPr>
          <w:rFonts w:hint="cs"/>
          <w:u w:val="none"/>
          <w:rtl/>
        </w:rPr>
        <w:t>هي</w:t>
      </w:r>
      <w:r w:rsidRPr="00CC47F2">
        <w:rPr>
          <w:u w:val="none"/>
          <w:rtl/>
        </w:rPr>
        <w:t xml:space="preserve"> المخاطر والانتهاكات المحتملة التي تناولتها التقارير الرسمية والدراسات التنظيمية المتعلقة بأنظمة الذكاء الاصطناعي</w:t>
      </w:r>
      <w:r w:rsidRPr="00CC47F2">
        <w:rPr>
          <w:u w:val="none"/>
        </w:rPr>
        <w:t>.</w:t>
      </w:r>
    </w:p>
    <w:p w14:paraId="0CA05564" w14:textId="77777777" w:rsidR="00300F09" w:rsidRDefault="00300F09" w:rsidP="00300F09">
      <w:pPr>
        <w:bidi/>
        <w:spacing w:after="160"/>
        <w:rPr>
          <w:b w:val="0"/>
          <w:bCs/>
        </w:rPr>
      </w:pPr>
    </w:p>
    <w:p w14:paraId="392CFC6B" w14:textId="6DAC9CB5" w:rsidR="00390D38" w:rsidRPr="006B1860" w:rsidRDefault="00390D38" w:rsidP="006B1860">
      <w:pPr>
        <w:pStyle w:val="ListParagraph"/>
        <w:numPr>
          <w:ilvl w:val="0"/>
          <w:numId w:val="15"/>
        </w:numPr>
        <w:bidi/>
        <w:jc w:val="both"/>
        <w:rPr>
          <w:rFonts w:ascii="Sakkal Majalla" w:eastAsia="Sakkal Majalla" w:hAnsi="Sakkal Majalla" w:cs="Sakkal Majalla"/>
          <w:bCs/>
          <w:color w:val="000000"/>
          <w:sz w:val="32"/>
          <w:szCs w:val="24"/>
        </w:rPr>
      </w:pPr>
      <w:r w:rsidRPr="006B1860">
        <w:rPr>
          <w:rFonts w:ascii="Sakkal Majalla" w:eastAsia="Sakkal Majalla" w:hAnsi="Sakkal Majalla" w:cs="Sakkal Majalla"/>
          <w:bCs/>
          <w:color w:val="000000"/>
          <w:sz w:val="32"/>
          <w:szCs w:val="24"/>
          <w:rtl/>
        </w:rPr>
        <w:t>أمن البيانات</w:t>
      </w:r>
    </w:p>
    <w:p w14:paraId="0DDC7010" w14:textId="77777777" w:rsidR="00390D38" w:rsidRPr="00CC47F2" w:rsidRDefault="00390D38" w:rsidP="00390D38">
      <w:pPr>
        <w:bidi/>
        <w:spacing w:after="160"/>
        <w:rPr>
          <w:u w:val="none"/>
        </w:rPr>
      </w:pPr>
      <w:r w:rsidRPr="00300F09">
        <w:rPr>
          <w:b w:val="0"/>
          <w:bCs/>
          <w:u w:val="none"/>
          <w:rtl/>
        </w:rPr>
        <w:t>التعريف الإجرائي</w:t>
      </w:r>
      <w:r w:rsidRPr="00300F09">
        <w:rPr>
          <w:b w:val="0"/>
          <w:bCs/>
          <w:u w:val="none"/>
        </w:rPr>
        <w:t>:</w:t>
      </w:r>
      <w:r w:rsidRPr="00300F09">
        <w:rPr>
          <w:b w:val="0"/>
          <w:bCs/>
          <w:u w:val="none"/>
        </w:rPr>
        <w:br/>
      </w:r>
      <w:r w:rsidRPr="00CC47F2">
        <w:rPr>
          <w:u w:val="none"/>
          <w:rtl/>
        </w:rPr>
        <w:t>يحدد أمن البيانات من خلال تحليل الضوابط والمتطلبات التنظيمية المتعلقة بحماية البيانات في الأطر القانونية السعودية والأوروبية</w:t>
      </w:r>
      <w:r w:rsidRPr="00CC47F2">
        <w:rPr>
          <w:u w:val="none"/>
        </w:rPr>
        <w:t>.</w:t>
      </w:r>
    </w:p>
    <w:p w14:paraId="5CC3CB76" w14:textId="77777777" w:rsidR="00390D38" w:rsidRDefault="00390D38" w:rsidP="00390D38">
      <w:pPr>
        <w:bidi/>
        <w:rPr>
          <w:b w:val="0"/>
          <w:bCs/>
          <w:rtl/>
        </w:rPr>
      </w:pPr>
    </w:p>
    <w:p w14:paraId="5E6149CD" w14:textId="738F6419" w:rsidR="00390D38" w:rsidRPr="006B1860" w:rsidRDefault="00390D38" w:rsidP="006B1860">
      <w:pPr>
        <w:pStyle w:val="ListParagraph"/>
        <w:numPr>
          <w:ilvl w:val="0"/>
          <w:numId w:val="15"/>
        </w:numPr>
        <w:bidi/>
        <w:jc w:val="both"/>
        <w:rPr>
          <w:rFonts w:ascii="Sakkal Majalla" w:eastAsia="Sakkal Majalla" w:hAnsi="Sakkal Majalla" w:cs="Sakkal Majalla"/>
          <w:bCs/>
          <w:color w:val="000000"/>
          <w:sz w:val="32"/>
          <w:szCs w:val="24"/>
        </w:rPr>
      </w:pPr>
      <w:r w:rsidRPr="006B1860">
        <w:rPr>
          <w:rFonts w:ascii="Sakkal Majalla" w:eastAsia="Sakkal Majalla" w:hAnsi="Sakkal Majalla" w:cs="Sakkal Majalla"/>
          <w:bCs/>
          <w:color w:val="000000"/>
          <w:sz w:val="32"/>
          <w:szCs w:val="24"/>
          <w:rtl/>
        </w:rPr>
        <w:t>موثوقية الأنظمة الذكية</w:t>
      </w:r>
    </w:p>
    <w:p w14:paraId="5AE50FED" w14:textId="77777777" w:rsidR="00390D38" w:rsidRPr="00CC47F2" w:rsidRDefault="00390D38" w:rsidP="00390D38">
      <w:pPr>
        <w:bidi/>
        <w:spacing w:after="160"/>
        <w:rPr>
          <w:u w:val="none"/>
        </w:rPr>
      </w:pPr>
      <w:r w:rsidRPr="00300F09">
        <w:rPr>
          <w:b w:val="0"/>
          <w:bCs/>
          <w:u w:val="none"/>
          <w:rtl/>
        </w:rPr>
        <w:t>التعريف الإجرائي</w:t>
      </w:r>
      <w:r w:rsidRPr="00300F09">
        <w:rPr>
          <w:b w:val="0"/>
          <w:bCs/>
          <w:u w:val="none"/>
        </w:rPr>
        <w:t>:</w:t>
      </w:r>
      <w:r w:rsidRPr="00300F09">
        <w:rPr>
          <w:b w:val="0"/>
          <w:bCs/>
          <w:u w:val="none"/>
        </w:rPr>
        <w:br/>
      </w:r>
      <w:r w:rsidRPr="00CC47F2">
        <w:rPr>
          <w:u w:val="none"/>
          <w:rtl/>
        </w:rPr>
        <w:t>تشير إلى مدى تضمين التشريعات والسياسات لمتطلبات ضمان جودة ودقة واستمرارية الأنظمة الذكية</w:t>
      </w:r>
      <w:r w:rsidRPr="00CC47F2">
        <w:rPr>
          <w:u w:val="none"/>
        </w:rPr>
        <w:t>.</w:t>
      </w:r>
    </w:p>
    <w:p w14:paraId="20A0CFD1" w14:textId="77777777" w:rsidR="00390D38" w:rsidRDefault="00390D38" w:rsidP="00390D38">
      <w:pPr>
        <w:bidi/>
        <w:rPr>
          <w:b w:val="0"/>
          <w:bCs/>
          <w:rtl/>
        </w:rPr>
      </w:pPr>
    </w:p>
    <w:p w14:paraId="54513ACC" w14:textId="598D5A56" w:rsidR="00390D38" w:rsidRPr="00CC47F2" w:rsidRDefault="00390D38" w:rsidP="006B1860">
      <w:pPr>
        <w:pStyle w:val="ListParagraph"/>
        <w:numPr>
          <w:ilvl w:val="0"/>
          <w:numId w:val="15"/>
        </w:numPr>
        <w:bidi/>
        <w:jc w:val="both"/>
        <w:rPr>
          <w:rFonts w:ascii="Sakkal Majalla" w:eastAsia="Sakkal Majalla" w:hAnsi="Sakkal Majalla" w:cs="Sakkal Majalla"/>
          <w:bCs/>
          <w:color w:val="000000"/>
          <w:sz w:val="32"/>
          <w:szCs w:val="24"/>
        </w:rPr>
      </w:pPr>
      <w:r w:rsidRPr="00CC47F2">
        <w:rPr>
          <w:rFonts w:ascii="Sakkal Majalla" w:eastAsia="Sakkal Majalla" w:hAnsi="Sakkal Majalla" w:cs="Sakkal Majalla"/>
          <w:bCs/>
          <w:color w:val="000000"/>
          <w:sz w:val="32"/>
          <w:szCs w:val="24"/>
          <w:rtl/>
        </w:rPr>
        <w:t>التحيز الخوارزمي</w:t>
      </w:r>
    </w:p>
    <w:p w14:paraId="60E41D3F" w14:textId="77777777" w:rsidR="00390D38" w:rsidRPr="00CC47F2" w:rsidRDefault="00390D38" w:rsidP="00390D38">
      <w:pPr>
        <w:bidi/>
        <w:spacing w:after="160"/>
        <w:rPr>
          <w:b w:val="0"/>
          <w:bCs/>
          <w:u w:val="none"/>
        </w:rPr>
      </w:pPr>
      <w:r w:rsidRPr="00CC47F2">
        <w:rPr>
          <w:b w:val="0"/>
          <w:bCs/>
          <w:u w:val="none"/>
          <w:rtl/>
        </w:rPr>
        <w:t>التعريف الإجرائي</w:t>
      </w:r>
      <w:r w:rsidRPr="00CC47F2">
        <w:rPr>
          <w:b w:val="0"/>
          <w:bCs/>
          <w:u w:val="none"/>
        </w:rPr>
        <w:t>:</w:t>
      </w:r>
      <w:r w:rsidRPr="00CC47F2">
        <w:rPr>
          <w:b w:val="0"/>
          <w:bCs/>
          <w:u w:val="none"/>
        </w:rPr>
        <w:br/>
      </w:r>
      <w:r w:rsidRPr="00CC47F2">
        <w:rPr>
          <w:u w:val="none"/>
          <w:rtl/>
        </w:rPr>
        <w:t>يعرف من خلال تحليل التدابير التنظيمية والأخلاقية التي تهدف إلى الكشف عن التحيز الخوارزمي والحد منه في السعودية والاتحاد الأوروبي</w:t>
      </w:r>
      <w:r w:rsidRPr="00CC47F2">
        <w:rPr>
          <w:u w:val="none"/>
        </w:rPr>
        <w:t>.</w:t>
      </w:r>
    </w:p>
    <w:p w14:paraId="5F196682" w14:textId="5CD5DFD9" w:rsidR="009A73BE" w:rsidRPr="00BD4363" w:rsidRDefault="00000000" w:rsidP="00BD4363">
      <w:pPr>
        <w:spacing w:after="324"/>
        <w:ind w:left="0" w:right="221" w:firstLine="0"/>
        <w:jc w:val="right"/>
        <w:rPr>
          <w:b w:val="0"/>
          <w:sz w:val="28"/>
          <w:u w:val="none"/>
        </w:rPr>
      </w:pPr>
      <w:r>
        <w:rPr>
          <w:b w:val="0"/>
          <w:sz w:val="28"/>
          <w:u w:val="none"/>
        </w:rPr>
        <w:t xml:space="preserve"> </w:t>
      </w:r>
    </w:p>
    <w:p w14:paraId="79210C28" w14:textId="77777777" w:rsidR="003929D0" w:rsidRDefault="00000000" w:rsidP="00BF761E">
      <w:pPr>
        <w:bidi/>
        <w:spacing w:after="0" w:line="265" w:lineRule="auto"/>
        <w:ind w:left="0" w:right="5233" w:firstLine="0"/>
        <w:rPr>
          <w:bCs/>
          <w:color w:val="00B0F0"/>
          <w:sz w:val="36"/>
          <w:szCs w:val="36"/>
          <w:u w:val="none"/>
          <w:rtl/>
        </w:rPr>
      </w:pPr>
      <w:r>
        <w:rPr>
          <w:bCs/>
          <w:color w:val="00B0F0"/>
          <w:sz w:val="36"/>
          <w:szCs w:val="36"/>
          <w:u w:color="00B0F0"/>
          <w:rtl/>
        </w:rPr>
        <w:t>إجراءات الدراسة:</w:t>
      </w:r>
    </w:p>
    <w:p w14:paraId="137DE93E" w14:textId="5B196ABF" w:rsidR="00820599" w:rsidRDefault="00000000" w:rsidP="003929D0">
      <w:pPr>
        <w:bidi/>
        <w:spacing w:after="0" w:line="265" w:lineRule="auto"/>
        <w:ind w:left="0" w:right="5233" w:firstLine="0"/>
      </w:pPr>
      <w:r>
        <w:rPr>
          <w:bCs/>
          <w:color w:val="0070C0"/>
          <w:szCs w:val="32"/>
          <w:u w:color="0070C0"/>
          <w:rtl/>
        </w:rPr>
        <w:t>منهج الدراسة:</w:t>
      </w:r>
      <w:r>
        <w:rPr>
          <w:bCs/>
          <w:color w:val="0070C0"/>
          <w:szCs w:val="32"/>
          <w:u w:val="none"/>
          <w:rtl/>
        </w:rPr>
        <w:t xml:space="preserve"> </w:t>
      </w:r>
    </w:p>
    <w:p w14:paraId="0D7E7106" w14:textId="60A7B608" w:rsidR="00121848" w:rsidRDefault="00121848" w:rsidP="004B384A">
      <w:pPr>
        <w:bidi/>
        <w:spacing w:after="335" w:line="241" w:lineRule="auto"/>
        <w:ind w:left="5" w:right="287" w:hanging="5"/>
        <w:jc w:val="both"/>
        <w:rPr>
          <w:u w:val="none"/>
          <w:rtl/>
        </w:rPr>
      </w:pPr>
      <w:r w:rsidRPr="00A94441">
        <w:rPr>
          <w:u w:val="none"/>
          <w:rtl/>
        </w:rPr>
        <w:t>تعتمد الدراسة على المنهج التحليلي المقارن، من خلال</w:t>
      </w:r>
      <w:r w:rsidRPr="00A94441">
        <w:rPr>
          <w:rFonts w:hint="cs"/>
          <w:u w:val="none"/>
          <w:rtl/>
        </w:rPr>
        <w:t xml:space="preserve"> </w:t>
      </w:r>
      <w:r w:rsidRPr="00A94441">
        <w:rPr>
          <w:u w:val="none"/>
          <w:rtl/>
        </w:rPr>
        <w:t>تحليل الأطر التنظيمية والتشريعات والسياسات ذات الصلة بحوكمة الذكاء الاصطناعي وإدارة المخاطر التقنية في كل من المملكة العربية السعودية والاتحاد الأوروبي</w:t>
      </w:r>
      <w:r w:rsidRPr="00A94441">
        <w:rPr>
          <w:rFonts w:hint="cs"/>
          <w:u w:val="none"/>
          <w:rtl/>
        </w:rPr>
        <w:t xml:space="preserve">، و كذلك </w:t>
      </w:r>
      <w:r w:rsidRPr="00A94441">
        <w:rPr>
          <w:u w:val="none"/>
          <w:rtl/>
        </w:rPr>
        <w:t>إبراز أوجه التشابه والاختلاف بين النموذجين وتفسير انعكاس ذلك على فعالية إدارة المخاطر التقنية</w:t>
      </w:r>
      <w:r w:rsidRPr="00A94441">
        <w:rPr>
          <w:rFonts w:hint="cs"/>
          <w:u w:val="none"/>
          <w:rtl/>
        </w:rPr>
        <w:t xml:space="preserve"> مع </w:t>
      </w:r>
      <w:r w:rsidRPr="00A94441">
        <w:rPr>
          <w:u w:val="none"/>
          <w:rtl/>
        </w:rPr>
        <w:t>الاعتماد على أدوات تحليل المحتوى للنصوص القانونية والسياسات المؤسسية</w:t>
      </w:r>
      <w:r w:rsidR="004B384A">
        <w:rPr>
          <w:u w:val="none"/>
        </w:rPr>
        <w:t>.</w:t>
      </w:r>
    </w:p>
    <w:p w14:paraId="05A18CCF" w14:textId="77777777" w:rsidR="004B384A" w:rsidRDefault="004B384A" w:rsidP="004B384A">
      <w:pPr>
        <w:bidi/>
        <w:spacing w:after="335" w:line="241" w:lineRule="auto"/>
        <w:ind w:left="5" w:right="287" w:hanging="5"/>
        <w:jc w:val="both"/>
        <w:rPr>
          <w:u w:val="none"/>
          <w:rtl/>
        </w:rPr>
      </w:pPr>
    </w:p>
    <w:p w14:paraId="451FB1C4" w14:textId="77777777" w:rsidR="00300F09" w:rsidRDefault="00300F09" w:rsidP="00300F09">
      <w:pPr>
        <w:bidi/>
        <w:spacing w:after="335" w:line="241" w:lineRule="auto"/>
        <w:ind w:left="5" w:right="287" w:hanging="5"/>
        <w:jc w:val="both"/>
        <w:rPr>
          <w:u w:val="none"/>
          <w:rtl/>
        </w:rPr>
      </w:pPr>
    </w:p>
    <w:p w14:paraId="76EEB6BC" w14:textId="77777777" w:rsidR="00300F09" w:rsidRPr="00A94441" w:rsidRDefault="00300F09" w:rsidP="00300F09">
      <w:pPr>
        <w:bidi/>
        <w:spacing w:after="335" w:line="241" w:lineRule="auto"/>
        <w:ind w:left="5" w:right="287" w:hanging="5"/>
        <w:jc w:val="both"/>
        <w:rPr>
          <w:u w:val="none"/>
          <w:rtl/>
        </w:rPr>
      </w:pPr>
    </w:p>
    <w:p w14:paraId="4E153A64" w14:textId="42F21AF5" w:rsidR="00820599" w:rsidRDefault="00000000" w:rsidP="00BF761E">
      <w:pPr>
        <w:bidi/>
        <w:spacing w:after="335" w:line="241" w:lineRule="auto"/>
        <w:ind w:left="5" w:right="287" w:hanging="5"/>
      </w:pPr>
      <w:r>
        <w:rPr>
          <w:bCs/>
          <w:color w:val="0070C0"/>
          <w:szCs w:val="32"/>
          <w:u w:color="0070C0"/>
          <w:rtl/>
        </w:rPr>
        <w:lastRenderedPageBreak/>
        <w:t>مجتمع وعينة الدراسة:</w:t>
      </w:r>
      <w:r>
        <w:rPr>
          <w:bCs/>
          <w:color w:val="0070C0"/>
          <w:szCs w:val="32"/>
          <w:u w:val="none"/>
          <w:rtl/>
        </w:rPr>
        <w:t xml:space="preserve"> </w:t>
      </w:r>
    </w:p>
    <w:p w14:paraId="1F6DDCDB" w14:textId="77777777" w:rsidR="00820599" w:rsidRDefault="00000000">
      <w:pPr>
        <w:numPr>
          <w:ilvl w:val="0"/>
          <w:numId w:val="2"/>
        </w:numPr>
        <w:bidi/>
        <w:spacing w:after="282"/>
        <w:ind w:hanging="360"/>
      </w:pPr>
      <w:r>
        <w:rPr>
          <w:bCs/>
          <w:sz w:val="28"/>
          <w:szCs w:val="28"/>
          <w:u w:val="none"/>
          <w:rtl/>
        </w:rPr>
        <w:t xml:space="preserve">مجتمع الدراسة: </w:t>
      </w:r>
    </w:p>
    <w:p w14:paraId="35F71B90" w14:textId="77777777" w:rsidR="00BF761E" w:rsidRDefault="00BF761E" w:rsidP="004B384A">
      <w:pPr>
        <w:pStyle w:val="ListParagraph"/>
        <w:bidi/>
        <w:ind w:left="870"/>
        <w:jc w:val="both"/>
        <w:rPr>
          <w:rFonts w:ascii="Sakkal Majalla" w:eastAsia="Sakkal Majalla" w:hAnsi="Sakkal Majalla" w:cs="Sakkal Majalla"/>
          <w:b/>
          <w:color w:val="000000"/>
          <w:sz w:val="32"/>
          <w:szCs w:val="24"/>
          <w:rtl/>
        </w:rPr>
      </w:pPr>
      <w:r w:rsidRPr="00BF761E">
        <w:rPr>
          <w:rFonts w:ascii="Sakkal Majalla" w:eastAsia="Sakkal Majalla" w:hAnsi="Sakkal Majalla" w:cs="Sakkal Majalla"/>
          <w:b/>
          <w:color w:val="000000"/>
          <w:sz w:val="32"/>
          <w:szCs w:val="24"/>
          <w:rtl/>
        </w:rPr>
        <w:t>يتمثل مجتمع الدراسة في جميع الأنظمة والتشريعات والسياسات والأطر التنظيمية الرسمية المتعلقة بحوكمة الذكاء الاصطناعي وإدارة المخاطر التقنية الصادرة عن الجهات المختصة في</w:t>
      </w:r>
      <w:r w:rsidRPr="00BF761E">
        <w:rPr>
          <w:rFonts w:ascii="Sakkal Majalla" w:eastAsia="Sakkal Majalla" w:hAnsi="Sakkal Majalla" w:cs="Sakkal Majalla" w:hint="cs"/>
          <w:b/>
          <w:color w:val="000000"/>
          <w:sz w:val="32"/>
          <w:szCs w:val="24"/>
          <w:rtl/>
        </w:rPr>
        <w:t xml:space="preserve"> </w:t>
      </w:r>
      <w:r w:rsidRPr="00BF761E">
        <w:rPr>
          <w:rFonts w:ascii="Sakkal Majalla" w:eastAsia="Sakkal Majalla" w:hAnsi="Sakkal Majalla" w:cs="Sakkal Majalla"/>
          <w:b/>
          <w:color w:val="000000"/>
          <w:sz w:val="32"/>
          <w:szCs w:val="24"/>
          <w:rtl/>
        </w:rPr>
        <w:t>المملكة العربية السعودية</w:t>
      </w:r>
      <w:r w:rsidRPr="00BF761E">
        <w:rPr>
          <w:rFonts w:ascii="Sakkal Majalla" w:eastAsia="Sakkal Majalla" w:hAnsi="Sakkal Majalla" w:cs="Sakkal Majalla" w:hint="cs"/>
          <w:b/>
          <w:color w:val="000000"/>
          <w:sz w:val="32"/>
          <w:szCs w:val="24"/>
          <w:rtl/>
        </w:rPr>
        <w:t xml:space="preserve"> و </w:t>
      </w:r>
      <w:r w:rsidRPr="00BF761E">
        <w:rPr>
          <w:rFonts w:ascii="Sakkal Majalla" w:eastAsia="Sakkal Majalla" w:hAnsi="Sakkal Majalla" w:cs="Sakkal Majalla"/>
          <w:b/>
          <w:color w:val="000000"/>
          <w:sz w:val="32"/>
          <w:szCs w:val="24"/>
          <w:rtl/>
        </w:rPr>
        <w:t>الاتحاد الأوروبي</w:t>
      </w:r>
      <w:r w:rsidRPr="00BF761E">
        <w:rPr>
          <w:rFonts w:ascii="Sakkal Majalla" w:eastAsia="Sakkal Majalla" w:hAnsi="Sakkal Majalla" w:cs="Sakkal Majalla" w:hint="cs"/>
          <w:b/>
          <w:color w:val="000000"/>
          <w:sz w:val="32"/>
          <w:szCs w:val="24"/>
          <w:rtl/>
        </w:rPr>
        <w:t xml:space="preserve">. </w:t>
      </w:r>
      <w:r w:rsidRPr="00BF761E">
        <w:rPr>
          <w:rFonts w:ascii="Sakkal Majalla" w:eastAsia="Sakkal Majalla" w:hAnsi="Sakkal Majalla" w:cs="Sakkal Majalla"/>
          <w:b/>
          <w:color w:val="000000"/>
          <w:sz w:val="32"/>
          <w:szCs w:val="24"/>
          <w:rtl/>
        </w:rPr>
        <w:t>ويشمل ذلك</w:t>
      </w:r>
      <w:r w:rsidRPr="00BF761E">
        <w:rPr>
          <w:rFonts w:ascii="Sakkal Majalla" w:eastAsia="Sakkal Majalla" w:hAnsi="Sakkal Majalla" w:cs="Sakkal Majalla" w:hint="cs"/>
          <w:b/>
          <w:color w:val="000000"/>
          <w:sz w:val="32"/>
          <w:szCs w:val="24"/>
          <w:rtl/>
        </w:rPr>
        <w:t xml:space="preserve"> </w:t>
      </w:r>
      <w:r w:rsidRPr="00BF761E">
        <w:rPr>
          <w:rFonts w:ascii="Sakkal Majalla" w:eastAsia="Sakkal Majalla" w:hAnsi="Sakkal Majalla" w:cs="Sakkal Majalla"/>
          <w:b/>
          <w:color w:val="000000"/>
          <w:sz w:val="32"/>
          <w:szCs w:val="24"/>
          <w:rtl/>
        </w:rPr>
        <w:t>القوانين، اللوائح التنفيذية، الاستراتيجيات الوطنية، التقارير التنظيمية، والأطر الإرشادية ذات الصلة</w:t>
      </w:r>
      <w:r w:rsidRPr="00BF761E">
        <w:rPr>
          <w:rFonts w:ascii="Sakkal Majalla" w:eastAsia="Sakkal Majalla" w:hAnsi="Sakkal Majalla" w:cs="Sakkal Majalla"/>
          <w:b/>
          <w:color w:val="000000"/>
          <w:sz w:val="32"/>
          <w:szCs w:val="24"/>
        </w:rPr>
        <w:t>.</w:t>
      </w:r>
    </w:p>
    <w:p w14:paraId="1AE83E36" w14:textId="77777777" w:rsidR="004B384A" w:rsidRPr="00BF761E" w:rsidRDefault="004B384A" w:rsidP="004B384A">
      <w:pPr>
        <w:pStyle w:val="ListParagraph"/>
        <w:bidi/>
        <w:ind w:left="870"/>
        <w:jc w:val="both"/>
        <w:rPr>
          <w:rFonts w:ascii="Sakkal Majalla" w:eastAsia="Sakkal Majalla" w:hAnsi="Sakkal Majalla" w:cs="Sakkal Majalla"/>
          <w:b/>
          <w:color w:val="000000"/>
          <w:sz w:val="32"/>
          <w:szCs w:val="24"/>
        </w:rPr>
      </w:pPr>
    </w:p>
    <w:p w14:paraId="3E220DD3" w14:textId="77777777" w:rsidR="00820599" w:rsidRDefault="00000000">
      <w:pPr>
        <w:numPr>
          <w:ilvl w:val="0"/>
          <w:numId w:val="2"/>
        </w:numPr>
        <w:bidi/>
        <w:spacing w:after="0"/>
        <w:ind w:hanging="360"/>
      </w:pPr>
      <w:r>
        <w:rPr>
          <w:bCs/>
          <w:sz w:val="28"/>
          <w:szCs w:val="28"/>
          <w:u w:val="none"/>
          <w:rtl/>
        </w:rPr>
        <w:t xml:space="preserve">عينة الدراسة: </w:t>
      </w:r>
    </w:p>
    <w:p w14:paraId="534B4D1F" w14:textId="31D7BB70" w:rsidR="00820599" w:rsidRDefault="00FE30CD" w:rsidP="00FE30CD">
      <w:pPr>
        <w:bidi/>
        <w:spacing w:after="269"/>
        <w:ind w:left="720" w:firstLine="0"/>
        <w:jc w:val="lowKashida"/>
      </w:pPr>
      <w:r w:rsidRPr="00FE30CD">
        <w:rPr>
          <w:u w:val="none"/>
          <w:rtl/>
        </w:rPr>
        <w:t>نظرًا لطبيعة الدراسة النظرية التحليلية المقارنة، فقد تم اعتماد عينة قصدية من الوثائق الرسمية التي تعكس بصورة مباشرة تطبيقات حوكمة الذكاء الاصطناعي وإدارة المخاطر التقنية</w:t>
      </w:r>
      <w:r>
        <w:rPr>
          <w:rFonts w:hint="cs"/>
          <w:u w:val="none"/>
          <w:rtl/>
        </w:rPr>
        <w:t>.</w:t>
      </w:r>
    </w:p>
    <w:p w14:paraId="0ADA7E8C" w14:textId="77777777" w:rsidR="00820599" w:rsidRDefault="00000000">
      <w:pPr>
        <w:spacing w:after="7"/>
        <w:ind w:left="0" w:right="221" w:firstLine="0"/>
        <w:jc w:val="right"/>
      </w:pPr>
      <w:r>
        <w:rPr>
          <w:b w:val="0"/>
          <w:sz w:val="28"/>
          <w:u w:val="none"/>
        </w:rPr>
        <w:t xml:space="preserve"> </w:t>
      </w:r>
    </w:p>
    <w:p w14:paraId="7B3583FE" w14:textId="4F0EFB8F" w:rsidR="00820599" w:rsidRDefault="00000000">
      <w:pPr>
        <w:bidi/>
        <w:spacing w:after="0"/>
        <w:ind w:left="160"/>
      </w:pPr>
      <w:r>
        <w:rPr>
          <w:bCs/>
          <w:color w:val="00B0F0"/>
          <w:szCs w:val="32"/>
          <w:u w:color="00B0F0"/>
          <w:rtl/>
        </w:rPr>
        <w:t xml:space="preserve">حدود الدراسة: </w:t>
      </w:r>
      <w:r w:rsidR="00BF761E">
        <w:rPr>
          <w:rFonts w:hint="cs"/>
          <w:bCs/>
          <w:color w:val="00B0F0"/>
          <w:szCs w:val="32"/>
          <w:u w:color="00B0F0"/>
          <w:rtl/>
        </w:rPr>
        <w:t>(</w:t>
      </w:r>
      <w:r>
        <w:rPr>
          <w:bCs/>
          <w:color w:val="00B0F0"/>
          <w:szCs w:val="32"/>
          <w:u w:color="00B0F0"/>
          <w:rtl/>
        </w:rPr>
        <w:t>المكانية ، الزم</w:t>
      </w:r>
      <w:r w:rsidR="00E67A50">
        <w:rPr>
          <w:rFonts w:hint="cs"/>
          <w:bCs/>
          <w:color w:val="00B0F0"/>
          <w:szCs w:val="32"/>
          <w:u w:color="00B0F0"/>
          <w:rtl/>
        </w:rPr>
        <w:t>ا</w:t>
      </w:r>
      <w:r>
        <w:rPr>
          <w:bCs/>
          <w:color w:val="00B0F0"/>
          <w:szCs w:val="32"/>
          <w:u w:color="00B0F0"/>
          <w:rtl/>
        </w:rPr>
        <w:t xml:space="preserve">نية ، </w:t>
      </w:r>
      <w:r w:rsidR="00E67A50">
        <w:rPr>
          <w:rFonts w:hint="cs"/>
          <w:bCs/>
          <w:color w:val="00B0F0"/>
          <w:szCs w:val="32"/>
          <w:u w:color="00B0F0"/>
          <w:rtl/>
        </w:rPr>
        <w:t>الموضوعية</w:t>
      </w:r>
      <w:r w:rsidR="00BF761E">
        <w:rPr>
          <w:rFonts w:hint="cs"/>
          <w:bCs/>
          <w:color w:val="00B0F0"/>
          <w:szCs w:val="32"/>
          <w:u w:color="00B0F0"/>
          <w:rtl/>
        </w:rPr>
        <w:t>)</w:t>
      </w:r>
      <w:r w:rsidR="00E67A50">
        <w:rPr>
          <w:rFonts w:hint="cs"/>
          <w:bCs/>
          <w:color w:val="00B0F0"/>
          <w:szCs w:val="32"/>
          <w:u w:color="00B0F0"/>
          <w:rtl/>
        </w:rPr>
        <w:t>:</w:t>
      </w:r>
    </w:p>
    <w:p w14:paraId="2C223CBA" w14:textId="77777777" w:rsidR="00BF761E" w:rsidRPr="00BF761E" w:rsidRDefault="00BF761E" w:rsidP="00BF761E">
      <w:pPr>
        <w:bidi/>
        <w:rPr>
          <w:u w:val="none"/>
        </w:rPr>
      </w:pPr>
      <w:r w:rsidRPr="00BF761E">
        <w:rPr>
          <w:rFonts w:hint="cs"/>
          <w:u w:val="none"/>
          <w:rtl/>
        </w:rPr>
        <w:t>ا</w:t>
      </w:r>
      <w:r w:rsidRPr="00BF761E">
        <w:rPr>
          <w:u w:val="none"/>
          <w:rtl/>
        </w:rPr>
        <w:t>لحدود الموضوعية</w:t>
      </w:r>
      <w:r w:rsidRPr="00BF761E">
        <w:rPr>
          <w:u w:val="none"/>
        </w:rPr>
        <w:t xml:space="preserve">: </w:t>
      </w:r>
      <w:r w:rsidRPr="00BF761E">
        <w:rPr>
          <w:u w:val="none"/>
          <w:rtl/>
        </w:rPr>
        <w:t>حوكمة الذكاء الاصطناعي وإدارة المخاطر التقنية</w:t>
      </w:r>
      <w:r w:rsidRPr="00BF761E">
        <w:rPr>
          <w:u w:val="none"/>
        </w:rPr>
        <w:t>.</w:t>
      </w:r>
    </w:p>
    <w:p w14:paraId="38808470" w14:textId="77777777" w:rsidR="00BF761E" w:rsidRPr="00BF761E" w:rsidRDefault="00BF761E" w:rsidP="00BF761E">
      <w:pPr>
        <w:bidi/>
        <w:rPr>
          <w:u w:val="none"/>
        </w:rPr>
      </w:pPr>
      <w:r w:rsidRPr="00BF761E">
        <w:rPr>
          <w:u w:val="none"/>
          <w:rtl/>
        </w:rPr>
        <w:t>الحدود المكانية</w:t>
      </w:r>
      <w:r w:rsidRPr="00BF761E">
        <w:rPr>
          <w:u w:val="none"/>
        </w:rPr>
        <w:t xml:space="preserve">: </w:t>
      </w:r>
      <w:r w:rsidRPr="00BF761E">
        <w:rPr>
          <w:u w:val="none"/>
          <w:rtl/>
        </w:rPr>
        <w:t>المملكة العربية السعودية والاتحاد الأوروبي</w:t>
      </w:r>
      <w:r w:rsidRPr="00BF761E">
        <w:rPr>
          <w:u w:val="none"/>
        </w:rPr>
        <w:t>.</w:t>
      </w:r>
    </w:p>
    <w:p w14:paraId="35659780" w14:textId="61A530E4" w:rsidR="00BF761E" w:rsidRDefault="00BF761E" w:rsidP="00BF761E">
      <w:pPr>
        <w:bidi/>
        <w:rPr>
          <w:u w:val="none"/>
          <w:rtl/>
        </w:rPr>
      </w:pPr>
      <w:r w:rsidRPr="00BF761E">
        <w:rPr>
          <w:u w:val="none"/>
          <w:rtl/>
        </w:rPr>
        <w:t>الحدود الزم</w:t>
      </w:r>
      <w:r w:rsidR="00E67A50">
        <w:rPr>
          <w:rFonts w:hint="cs"/>
          <w:u w:val="none"/>
          <w:rtl/>
        </w:rPr>
        <w:t>ا</w:t>
      </w:r>
      <w:r w:rsidRPr="00BF761E">
        <w:rPr>
          <w:u w:val="none"/>
          <w:rtl/>
        </w:rPr>
        <w:t>نية</w:t>
      </w:r>
      <w:r w:rsidRPr="00BF761E">
        <w:rPr>
          <w:u w:val="none"/>
        </w:rPr>
        <w:t xml:space="preserve">: </w:t>
      </w:r>
      <w:r w:rsidRPr="00BF761E">
        <w:rPr>
          <w:u w:val="none"/>
          <w:rtl/>
        </w:rPr>
        <w:t>الأنظمة والسياسات الصادرة حتى تاريخ إعداد الدراسة</w:t>
      </w:r>
      <w:r w:rsidRPr="00BF761E">
        <w:rPr>
          <w:u w:val="none"/>
        </w:rPr>
        <w:t>.</w:t>
      </w:r>
    </w:p>
    <w:p w14:paraId="3222B80B" w14:textId="77777777" w:rsidR="00BF761E" w:rsidRPr="00BF761E" w:rsidRDefault="00BF761E" w:rsidP="00BF761E">
      <w:pPr>
        <w:bidi/>
        <w:rPr>
          <w:u w:val="none"/>
        </w:rPr>
      </w:pPr>
    </w:p>
    <w:p w14:paraId="0B56D5A0" w14:textId="0212F3DE" w:rsidR="00820599" w:rsidRDefault="00000000" w:rsidP="009A73BE">
      <w:pPr>
        <w:bidi/>
        <w:spacing w:after="58" w:line="329" w:lineRule="auto"/>
        <w:ind w:left="5" w:right="287" w:hanging="5"/>
      </w:pPr>
      <w:r>
        <w:rPr>
          <w:bCs/>
          <w:color w:val="00B0F0"/>
          <w:sz w:val="36"/>
          <w:szCs w:val="36"/>
          <w:u w:color="00B0F0"/>
          <w:rtl/>
        </w:rPr>
        <w:t>وسائل جمع بيانات الدراسة:</w:t>
      </w:r>
      <w:r>
        <w:rPr>
          <w:bCs/>
          <w:color w:val="00B0F0"/>
          <w:sz w:val="36"/>
          <w:szCs w:val="36"/>
          <w:u w:val="none"/>
          <w:rtl/>
        </w:rPr>
        <w:t xml:space="preserve"> </w:t>
      </w:r>
    </w:p>
    <w:p w14:paraId="5B8B8CDE" w14:textId="77777777" w:rsidR="00BF761E" w:rsidRPr="00BF761E" w:rsidRDefault="00BF761E" w:rsidP="00BF761E">
      <w:pPr>
        <w:bidi/>
        <w:jc w:val="both"/>
        <w:rPr>
          <w:u w:val="none"/>
        </w:rPr>
      </w:pPr>
      <w:r w:rsidRPr="00BF761E">
        <w:rPr>
          <w:u w:val="none"/>
          <w:rtl/>
        </w:rPr>
        <w:t>تعتمد الدراسة على البيانات الثانوية، وتشمل</w:t>
      </w:r>
      <w:r w:rsidRPr="00BF761E">
        <w:rPr>
          <w:u w:val="none"/>
        </w:rPr>
        <w:t>:</w:t>
      </w:r>
    </w:p>
    <w:p w14:paraId="13A80FD8" w14:textId="77777777" w:rsidR="00BF761E" w:rsidRPr="00BF761E" w:rsidRDefault="00BF761E" w:rsidP="00BF761E">
      <w:pPr>
        <w:numPr>
          <w:ilvl w:val="0"/>
          <w:numId w:val="16"/>
        </w:numPr>
        <w:bidi/>
        <w:spacing w:after="160"/>
        <w:jc w:val="both"/>
        <w:rPr>
          <w:u w:val="none"/>
        </w:rPr>
      </w:pPr>
      <w:r w:rsidRPr="00BF761E">
        <w:rPr>
          <w:u w:val="none"/>
          <w:rtl/>
        </w:rPr>
        <w:t>القوانين واللوائح المنظمة للذكاء الاصطناعي</w:t>
      </w:r>
      <w:r w:rsidRPr="00BF761E">
        <w:rPr>
          <w:u w:val="none"/>
        </w:rPr>
        <w:t>.</w:t>
      </w:r>
    </w:p>
    <w:p w14:paraId="31749A3A" w14:textId="77777777" w:rsidR="00BF761E" w:rsidRPr="00BF761E" w:rsidRDefault="00BF761E" w:rsidP="00BF761E">
      <w:pPr>
        <w:numPr>
          <w:ilvl w:val="0"/>
          <w:numId w:val="16"/>
        </w:numPr>
        <w:bidi/>
        <w:spacing w:after="160"/>
        <w:jc w:val="both"/>
        <w:rPr>
          <w:u w:val="none"/>
        </w:rPr>
      </w:pPr>
      <w:r w:rsidRPr="00BF761E">
        <w:rPr>
          <w:u w:val="none"/>
          <w:rtl/>
        </w:rPr>
        <w:t>السياسات والاستراتيجيات الوطنية والإقليمية</w:t>
      </w:r>
      <w:r w:rsidRPr="00BF761E">
        <w:rPr>
          <w:u w:val="none"/>
        </w:rPr>
        <w:t>.</w:t>
      </w:r>
    </w:p>
    <w:p w14:paraId="614D64DB" w14:textId="77777777" w:rsidR="00BF761E" w:rsidRPr="00BF761E" w:rsidRDefault="00BF761E" w:rsidP="00BF761E">
      <w:pPr>
        <w:numPr>
          <w:ilvl w:val="0"/>
          <w:numId w:val="16"/>
        </w:numPr>
        <w:bidi/>
        <w:spacing w:after="160"/>
        <w:jc w:val="both"/>
        <w:rPr>
          <w:u w:val="none"/>
        </w:rPr>
      </w:pPr>
      <w:r w:rsidRPr="00BF761E">
        <w:rPr>
          <w:u w:val="none"/>
          <w:rtl/>
        </w:rPr>
        <w:t>التقارير الصادرة عن الجهات التنظيمية ذات العلاقة</w:t>
      </w:r>
      <w:r w:rsidRPr="00BF761E">
        <w:rPr>
          <w:u w:val="none"/>
        </w:rPr>
        <w:t>.</w:t>
      </w:r>
    </w:p>
    <w:p w14:paraId="712311D4" w14:textId="77777777" w:rsidR="00BF761E" w:rsidRPr="00BF761E" w:rsidRDefault="00BF761E" w:rsidP="00BF761E">
      <w:pPr>
        <w:numPr>
          <w:ilvl w:val="0"/>
          <w:numId w:val="16"/>
        </w:numPr>
        <w:bidi/>
        <w:spacing w:after="160"/>
        <w:jc w:val="both"/>
        <w:rPr>
          <w:u w:val="none"/>
        </w:rPr>
      </w:pPr>
      <w:r w:rsidRPr="00BF761E">
        <w:rPr>
          <w:u w:val="none"/>
          <w:rtl/>
        </w:rPr>
        <w:t>الدراسات العلمية المحكمة ذات الصلة بموضوع الدراسة</w:t>
      </w:r>
      <w:r w:rsidRPr="00BF761E">
        <w:rPr>
          <w:u w:val="none"/>
        </w:rPr>
        <w:t>.</w:t>
      </w:r>
    </w:p>
    <w:p w14:paraId="1DD0FC4C" w14:textId="77777777" w:rsidR="00820599" w:rsidRDefault="00000000">
      <w:pPr>
        <w:spacing w:after="274"/>
        <w:ind w:left="0" w:right="234" w:firstLine="0"/>
        <w:jc w:val="right"/>
      </w:pPr>
      <w:r>
        <w:rPr>
          <w:color w:val="00B0F0"/>
          <w:u w:val="none"/>
        </w:rPr>
        <w:t xml:space="preserve"> </w:t>
      </w:r>
    </w:p>
    <w:p w14:paraId="756BB24B" w14:textId="77777777" w:rsidR="00820599" w:rsidRDefault="00000000">
      <w:pPr>
        <w:bidi/>
        <w:spacing w:after="196"/>
        <w:ind w:left="161"/>
      </w:pPr>
      <w:r>
        <w:rPr>
          <w:bCs/>
          <w:color w:val="00B0F0"/>
          <w:sz w:val="36"/>
          <w:szCs w:val="36"/>
          <w:u w:color="00B0F0"/>
          <w:rtl/>
        </w:rPr>
        <w:t>المعالجات الإحصائية  المقترحة:</w:t>
      </w:r>
      <w:r>
        <w:rPr>
          <w:bCs/>
          <w:color w:val="00B0F0"/>
          <w:sz w:val="36"/>
          <w:szCs w:val="36"/>
          <w:u w:val="none"/>
          <w:rtl/>
        </w:rPr>
        <w:t xml:space="preserve"> </w:t>
      </w:r>
    </w:p>
    <w:p w14:paraId="0A5989E9" w14:textId="3EE55118" w:rsidR="00064326" w:rsidRDefault="001C197C" w:rsidP="00300F09">
      <w:pPr>
        <w:bidi/>
        <w:spacing w:after="232"/>
        <w:ind w:left="0" w:right="234" w:firstLine="0"/>
        <w:jc w:val="both"/>
        <w:rPr>
          <w:color w:val="00B0F0"/>
          <w:u w:val="none"/>
          <w:rtl/>
        </w:rPr>
      </w:pPr>
      <w:r w:rsidRPr="001C197C">
        <w:rPr>
          <w:u w:val="none"/>
          <w:rtl/>
        </w:rPr>
        <w:t>نظرًا لأن هذه الدراسة تعتمد المنهج التحليلي المقارن لدراسة أطر حوكمة الذكاء الاصطناعي وإدارة المخاطر التقنية في المملكة العربية السعودية والاتحاد الأوروبي، فإن المعالجات المقترحة تتركز على</w:t>
      </w:r>
      <w:r>
        <w:rPr>
          <w:rFonts w:hint="cs"/>
          <w:u w:val="none"/>
          <w:rtl/>
        </w:rPr>
        <w:t xml:space="preserve"> </w:t>
      </w:r>
      <w:r w:rsidRPr="001C197C">
        <w:rPr>
          <w:b w:val="0"/>
          <w:u w:val="none"/>
          <w:rtl/>
        </w:rPr>
        <w:t>تحليل المحتوى للنصوص القانونية والتنظيمية</w:t>
      </w:r>
      <w:r w:rsidR="00064326">
        <w:rPr>
          <w:rFonts w:hint="cs"/>
          <w:b w:val="0"/>
          <w:u w:val="none"/>
          <w:rtl/>
        </w:rPr>
        <w:t xml:space="preserve"> </w:t>
      </w:r>
      <w:r>
        <w:rPr>
          <w:rFonts w:hint="cs"/>
          <w:b w:val="0"/>
          <w:u w:val="none"/>
          <w:rtl/>
        </w:rPr>
        <w:t xml:space="preserve">من خلال </w:t>
      </w:r>
      <w:r w:rsidRPr="001C197C">
        <w:rPr>
          <w:b w:val="0"/>
          <w:u w:val="none"/>
          <w:rtl/>
        </w:rPr>
        <w:t xml:space="preserve">دراسة التشريعات، السياسات، واللوائح الرسمية ذات الصلة بحوكمة الذكاء </w:t>
      </w:r>
      <w:r w:rsidRPr="00300F09">
        <w:rPr>
          <w:b w:val="0"/>
          <w:u w:val="none"/>
          <w:rtl/>
        </w:rPr>
        <w:t>الاصطناعي</w:t>
      </w:r>
      <w:r w:rsidRPr="00300F09">
        <w:rPr>
          <w:b w:val="0"/>
          <w:u w:val="none"/>
        </w:rPr>
        <w:t>.</w:t>
      </w:r>
      <w:r w:rsidRPr="00300F09">
        <w:rPr>
          <w:rFonts w:hint="cs"/>
          <w:b w:val="0"/>
          <w:u w:val="none"/>
          <w:rtl/>
        </w:rPr>
        <w:t xml:space="preserve"> و كذلك </w:t>
      </w:r>
      <w:r w:rsidRPr="00300F09">
        <w:rPr>
          <w:b w:val="0"/>
          <w:u w:val="none"/>
          <w:rtl/>
        </w:rPr>
        <w:t>التحليل المقارن</w:t>
      </w:r>
      <w:r w:rsidR="00064326" w:rsidRPr="00300F09">
        <w:rPr>
          <w:rFonts w:hint="cs"/>
          <w:b w:val="0"/>
          <w:u w:val="none"/>
          <w:rtl/>
        </w:rPr>
        <w:t xml:space="preserve"> </w:t>
      </w:r>
      <w:r w:rsidRPr="00300F09">
        <w:rPr>
          <w:rFonts w:hint="cs"/>
          <w:b w:val="0"/>
          <w:u w:val="none"/>
          <w:rtl/>
        </w:rPr>
        <w:t xml:space="preserve">من خلال </w:t>
      </w:r>
      <w:r w:rsidRPr="00300F09">
        <w:rPr>
          <w:b w:val="0"/>
          <w:u w:val="none"/>
          <w:rtl/>
        </w:rPr>
        <w:t>إبراز</w:t>
      </w:r>
      <w:r w:rsidRPr="001C197C">
        <w:rPr>
          <w:u w:val="none"/>
          <w:rtl/>
        </w:rPr>
        <w:t xml:space="preserve"> أوجه </w:t>
      </w:r>
      <w:r w:rsidRPr="001C197C">
        <w:rPr>
          <w:u w:val="none"/>
          <w:rtl/>
        </w:rPr>
        <w:lastRenderedPageBreak/>
        <w:t xml:space="preserve">التشابه والاختلاف بين الإطارين السعودي والأوروبي، وربط ذلك بتأثيره على إدارة المخاطر </w:t>
      </w:r>
      <w:r w:rsidRPr="00064326">
        <w:rPr>
          <w:u w:val="none"/>
          <w:rtl/>
        </w:rPr>
        <w:t>التقنية</w:t>
      </w:r>
      <w:r w:rsidRPr="00064326">
        <w:rPr>
          <w:rFonts w:hint="cs"/>
          <w:u w:val="none"/>
          <w:rtl/>
        </w:rPr>
        <w:t xml:space="preserve">. و من ثم </w:t>
      </w:r>
      <w:r w:rsidRPr="00064326">
        <w:rPr>
          <w:u w:val="none"/>
          <w:rtl/>
        </w:rPr>
        <w:t>الاستنتاج النظ</w:t>
      </w:r>
      <w:r w:rsidRPr="00064326">
        <w:rPr>
          <w:rFonts w:hint="cs"/>
          <w:u w:val="none"/>
          <w:rtl/>
        </w:rPr>
        <w:t>ري و ذلك</w:t>
      </w:r>
      <w:r>
        <w:rPr>
          <w:rFonts w:hint="cs"/>
          <w:bCs/>
          <w:u w:val="none"/>
          <w:rtl/>
        </w:rPr>
        <w:t xml:space="preserve"> </w:t>
      </w:r>
      <w:r w:rsidRPr="00064326">
        <w:rPr>
          <w:rFonts w:hint="cs"/>
          <w:b w:val="0"/>
          <w:u w:val="none"/>
          <w:rtl/>
        </w:rPr>
        <w:t>من خلال</w:t>
      </w:r>
      <w:r w:rsidRPr="00064326">
        <w:rPr>
          <w:b w:val="0"/>
          <w:u w:val="none"/>
        </w:rPr>
        <w:t xml:space="preserve"> </w:t>
      </w:r>
      <w:r w:rsidRPr="00064326">
        <w:rPr>
          <w:b w:val="0"/>
          <w:u w:val="none"/>
          <w:rtl/>
        </w:rPr>
        <w:t>صياغة</w:t>
      </w:r>
      <w:r w:rsidRPr="001C197C">
        <w:rPr>
          <w:u w:val="none"/>
          <w:rtl/>
        </w:rPr>
        <w:t xml:space="preserve"> توصيات قابلة للتطبيق لتحسين أطر الحوكمة في المملكة، مع مراعاة دعم مستهدفات رؤية 2030 للتحول الرقمي والابتكا</w:t>
      </w:r>
      <w:r>
        <w:rPr>
          <w:rFonts w:hint="cs"/>
          <w:u w:val="none"/>
          <w:rtl/>
        </w:rPr>
        <w:t>ر.</w:t>
      </w:r>
      <w:r w:rsidRPr="001C197C">
        <w:rPr>
          <w:color w:val="00B0F0"/>
          <w:u w:val="none"/>
        </w:rPr>
        <w:t xml:space="preserve"> </w:t>
      </w:r>
    </w:p>
    <w:p w14:paraId="7D93D19F" w14:textId="77777777" w:rsidR="00300F09" w:rsidRPr="00300F09" w:rsidRDefault="00300F09" w:rsidP="00300F09">
      <w:pPr>
        <w:bidi/>
        <w:spacing w:after="232"/>
        <w:ind w:left="0" w:right="234" w:firstLine="0"/>
        <w:jc w:val="both"/>
        <w:rPr>
          <w:color w:val="00B0F0"/>
          <w:u w:val="none"/>
        </w:rPr>
      </w:pPr>
    </w:p>
    <w:p w14:paraId="791D7694" w14:textId="77777777" w:rsidR="00820599" w:rsidRDefault="00000000">
      <w:pPr>
        <w:bidi/>
        <w:spacing w:after="243"/>
        <w:ind w:left="160"/>
      </w:pPr>
      <w:r>
        <w:rPr>
          <w:bCs/>
          <w:color w:val="00B0F0"/>
          <w:szCs w:val="32"/>
          <w:u w:color="00B0F0"/>
          <w:rtl/>
        </w:rPr>
        <w:t>خطوات تنفيذ خطة الدراسة:</w:t>
      </w:r>
      <w:r>
        <w:rPr>
          <w:bCs/>
          <w:color w:val="00B0F0"/>
          <w:szCs w:val="32"/>
          <w:u w:val="none"/>
          <w:rtl/>
        </w:rPr>
        <w:t xml:space="preserve"> </w:t>
      </w:r>
    </w:p>
    <w:p w14:paraId="7C0E4C61" w14:textId="77777777"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tl/>
        </w:rPr>
        <w:t>جمع الوثائق الرسمية والتشريعات والأطر التنظيمية للذكاء الاصطناعي في السعودية والاتحاد الأوروبي</w:t>
      </w:r>
      <w:r w:rsidRPr="00B208DA">
        <w:rPr>
          <w:rFonts w:ascii="Sakkal Majalla" w:eastAsia="Sakkal Majalla" w:hAnsi="Sakkal Majalla" w:cs="Sakkal Majalla"/>
          <w:b/>
          <w:color w:val="000000"/>
          <w:sz w:val="32"/>
          <w:szCs w:val="24"/>
        </w:rPr>
        <w:t>.</w:t>
      </w:r>
    </w:p>
    <w:p w14:paraId="1DFE752B" w14:textId="77777777"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tl/>
        </w:rPr>
        <w:t>تحليل المحتوى لتحديد أبعاد حوكمة الذكاء الاصطناعي وأثرها على إدارة المخاطر التقنية</w:t>
      </w:r>
      <w:r w:rsidRPr="00B208DA">
        <w:rPr>
          <w:rFonts w:ascii="Sakkal Majalla" w:eastAsia="Sakkal Majalla" w:hAnsi="Sakkal Majalla" w:cs="Sakkal Majalla"/>
          <w:b/>
          <w:color w:val="000000"/>
          <w:sz w:val="32"/>
          <w:szCs w:val="24"/>
        </w:rPr>
        <w:t>.</w:t>
      </w:r>
    </w:p>
    <w:p w14:paraId="63246195" w14:textId="77777777"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tl/>
        </w:rPr>
        <w:t>إجراء المقارنة التحليلية بين الأطر السعودية والأوروبية لتحديد أوجه التشابه والاختلاف</w:t>
      </w:r>
      <w:r w:rsidRPr="00B208DA">
        <w:rPr>
          <w:rFonts w:ascii="Sakkal Majalla" w:eastAsia="Sakkal Majalla" w:hAnsi="Sakkal Majalla" w:cs="Sakkal Majalla"/>
          <w:b/>
          <w:color w:val="000000"/>
          <w:sz w:val="32"/>
          <w:szCs w:val="24"/>
        </w:rPr>
        <w:t>.</w:t>
      </w:r>
    </w:p>
    <w:p w14:paraId="0BFCAC03" w14:textId="77777777"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tl/>
        </w:rPr>
        <w:t>تقييم مدى مساهمة كل بعد من أبعاد الحوكمة في الحد من المخاطر التقنية المرتبطة بالأنظمة الذكية</w:t>
      </w:r>
      <w:r w:rsidRPr="00B208DA">
        <w:rPr>
          <w:rFonts w:ascii="Sakkal Majalla" w:eastAsia="Sakkal Majalla" w:hAnsi="Sakkal Majalla" w:cs="Sakkal Majalla" w:hint="cs"/>
          <w:b/>
          <w:color w:val="000000"/>
          <w:sz w:val="32"/>
          <w:szCs w:val="24"/>
          <w:rtl/>
        </w:rPr>
        <w:t>.</w:t>
      </w:r>
    </w:p>
    <w:p w14:paraId="77CD8639" w14:textId="280C6E83"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Pr>
        <w:t xml:space="preserve">  </w:t>
      </w:r>
      <w:r w:rsidRPr="00B208DA">
        <w:rPr>
          <w:rFonts w:ascii="Sakkal Majalla" w:eastAsia="Sakkal Majalla" w:hAnsi="Sakkal Majalla" w:cs="Sakkal Majalla"/>
          <w:b/>
          <w:color w:val="000000"/>
          <w:sz w:val="32"/>
          <w:szCs w:val="24"/>
          <w:rtl/>
        </w:rPr>
        <w:t>اقتراح نموذج حوكمة يدعم أفضل الممارسات الأوروبية ويتوافق مع مستهدفات رؤية المملكة 2030</w:t>
      </w:r>
      <w:r w:rsidRPr="00B208DA">
        <w:rPr>
          <w:rFonts w:ascii="Sakkal Majalla" w:eastAsia="Sakkal Majalla" w:hAnsi="Sakkal Majalla" w:cs="Sakkal Majalla"/>
          <w:b/>
          <w:color w:val="000000"/>
          <w:sz w:val="32"/>
          <w:szCs w:val="24"/>
        </w:rPr>
        <w:t>.</w:t>
      </w:r>
    </w:p>
    <w:p w14:paraId="12B1BA9D" w14:textId="5B1961E5" w:rsidR="00B208DA" w:rsidRPr="00B208DA" w:rsidRDefault="00B208DA" w:rsidP="00B208DA">
      <w:pPr>
        <w:pStyle w:val="ListParagraph"/>
        <w:numPr>
          <w:ilvl w:val="0"/>
          <w:numId w:val="20"/>
        </w:numPr>
        <w:bidi/>
        <w:spacing w:after="234"/>
        <w:ind w:right="243"/>
        <w:rPr>
          <w:rFonts w:ascii="Sakkal Majalla" w:eastAsia="Sakkal Majalla" w:hAnsi="Sakkal Majalla" w:cs="Sakkal Majalla"/>
          <w:b/>
          <w:color w:val="000000"/>
          <w:sz w:val="32"/>
          <w:szCs w:val="24"/>
        </w:rPr>
      </w:pPr>
      <w:r w:rsidRPr="00B208DA">
        <w:rPr>
          <w:rFonts w:ascii="Sakkal Majalla" w:eastAsia="Sakkal Majalla" w:hAnsi="Sakkal Majalla" w:cs="Sakkal Majalla"/>
          <w:b/>
          <w:color w:val="000000"/>
          <w:sz w:val="32"/>
          <w:szCs w:val="24"/>
          <w:rtl/>
        </w:rPr>
        <w:t>إعداد التقرير النهائي وتوثيق النتائج للاستفادة الأكاديمية والتطبيقية</w:t>
      </w:r>
      <w:r w:rsidRPr="00B208DA">
        <w:rPr>
          <w:rFonts w:ascii="Sakkal Majalla" w:eastAsia="Sakkal Majalla" w:hAnsi="Sakkal Majalla" w:cs="Sakkal Majalla"/>
          <w:b/>
          <w:color w:val="000000"/>
          <w:sz w:val="32"/>
          <w:szCs w:val="24"/>
        </w:rPr>
        <w:t>.</w:t>
      </w:r>
    </w:p>
    <w:p w14:paraId="46865CCC" w14:textId="77777777" w:rsidR="00820599" w:rsidRDefault="00000000">
      <w:pPr>
        <w:spacing w:after="234"/>
        <w:ind w:left="0" w:right="243" w:firstLine="0"/>
        <w:jc w:val="right"/>
      </w:pPr>
      <w:r>
        <w:rPr>
          <w:color w:val="00B0F0"/>
          <w:sz w:val="36"/>
          <w:u w:val="none"/>
        </w:rPr>
        <w:t xml:space="preserve"> </w:t>
      </w:r>
    </w:p>
    <w:p w14:paraId="2BA2CE5C" w14:textId="77777777" w:rsidR="00820599" w:rsidRDefault="00000000">
      <w:pPr>
        <w:bidi/>
        <w:spacing w:after="95"/>
        <w:ind w:left="161"/>
      </w:pPr>
      <w:r>
        <w:rPr>
          <w:bCs/>
          <w:color w:val="00B0F0"/>
          <w:sz w:val="36"/>
          <w:szCs w:val="36"/>
          <w:u w:color="00B0F0"/>
          <w:rtl/>
        </w:rPr>
        <w:t>المراجع:</w:t>
      </w:r>
      <w:r>
        <w:rPr>
          <w:bCs/>
          <w:color w:val="00B0F0"/>
          <w:sz w:val="36"/>
          <w:szCs w:val="36"/>
          <w:u w:val="none"/>
          <w:rtl/>
        </w:rPr>
        <w:t xml:space="preserve"> </w:t>
      </w:r>
    </w:p>
    <w:p w14:paraId="57CBCFD6" w14:textId="600F5BCD" w:rsidR="007A386F" w:rsidRDefault="007A386F" w:rsidP="00E94D83">
      <w:pPr>
        <w:numPr>
          <w:ilvl w:val="0"/>
          <w:numId w:val="21"/>
        </w:numPr>
        <w:spacing w:after="160"/>
        <w:rPr>
          <w:b w:val="0"/>
          <w:bCs/>
          <w:u w:val="none"/>
        </w:rPr>
      </w:pPr>
      <w:r w:rsidRPr="007A386F">
        <w:rPr>
          <w:b w:val="0"/>
          <w:bCs/>
          <w:u w:val="none"/>
        </w:rPr>
        <w:t xml:space="preserve">European Commission. (2021). Proposal for a regulation laying down </w:t>
      </w:r>
      <w:proofErr w:type="spellStart"/>
      <w:r w:rsidRPr="007A386F">
        <w:rPr>
          <w:b w:val="0"/>
          <w:bCs/>
          <w:u w:val="none"/>
        </w:rPr>
        <w:t>harmonised</w:t>
      </w:r>
      <w:proofErr w:type="spellEnd"/>
      <w:r w:rsidRPr="007A386F">
        <w:rPr>
          <w:b w:val="0"/>
          <w:bCs/>
          <w:u w:val="none"/>
        </w:rPr>
        <w:t xml:space="preserve"> rules on artificial intelligence (AI Act). Brussels: European Commission. </w:t>
      </w:r>
    </w:p>
    <w:p w14:paraId="6451615A" w14:textId="524FBB28" w:rsidR="00E94D83" w:rsidRPr="00E94D83" w:rsidRDefault="00E94D83" w:rsidP="00E94D83">
      <w:pPr>
        <w:numPr>
          <w:ilvl w:val="0"/>
          <w:numId w:val="21"/>
        </w:numPr>
        <w:spacing w:after="160"/>
        <w:rPr>
          <w:b w:val="0"/>
          <w:bCs/>
          <w:u w:val="none"/>
        </w:rPr>
      </w:pPr>
      <w:proofErr w:type="spellStart"/>
      <w:r w:rsidRPr="00E94D83">
        <w:rPr>
          <w:b w:val="0"/>
          <w:bCs/>
          <w:u w:val="none"/>
        </w:rPr>
        <w:t>Bernardelli</w:t>
      </w:r>
      <w:proofErr w:type="spellEnd"/>
      <w:r w:rsidRPr="00E94D83">
        <w:rPr>
          <w:b w:val="0"/>
          <w:bCs/>
          <w:u w:val="none"/>
        </w:rPr>
        <w:t xml:space="preserve">, A. E., &amp; Giudici, P. (2025). AI risk management: A bibliometric analysis. </w:t>
      </w:r>
      <w:r w:rsidRPr="00E94D83">
        <w:rPr>
          <w:b w:val="0"/>
          <w:bCs/>
          <w:i/>
          <w:iCs/>
          <w:u w:val="none"/>
        </w:rPr>
        <w:t>Risks, 13</w:t>
      </w:r>
      <w:r w:rsidRPr="00E94D83">
        <w:rPr>
          <w:b w:val="0"/>
          <w:bCs/>
          <w:u w:val="none"/>
        </w:rPr>
        <w:t>(7).</w:t>
      </w:r>
    </w:p>
    <w:p w14:paraId="79702DAC" w14:textId="77777777" w:rsidR="00676C81" w:rsidRPr="00676C81" w:rsidRDefault="00676C81" w:rsidP="00676C81">
      <w:pPr>
        <w:pStyle w:val="ListParagraph"/>
        <w:numPr>
          <w:ilvl w:val="0"/>
          <w:numId w:val="21"/>
        </w:numPr>
        <w:rPr>
          <w:rFonts w:ascii="Sakkal Majalla" w:eastAsia="Sakkal Majalla" w:hAnsi="Sakkal Majalla" w:cs="Sakkal Majalla"/>
          <w:bCs/>
          <w:color w:val="000000"/>
          <w:sz w:val="32"/>
          <w:szCs w:val="24"/>
        </w:rPr>
      </w:pPr>
      <w:r w:rsidRPr="00676C81">
        <w:rPr>
          <w:rFonts w:ascii="Sakkal Majalla" w:eastAsia="Sakkal Majalla" w:hAnsi="Sakkal Majalla" w:cs="Sakkal Majalla"/>
          <w:bCs/>
          <w:color w:val="000000"/>
          <w:sz w:val="32"/>
          <w:szCs w:val="24"/>
        </w:rPr>
        <w:t xml:space="preserve">Attard-Frost, B., </w:t>
      </w:r>
      <w:proofErr w:type="spellStart"/>
      <w:r w:rsidRPr="00676C81">
        <w:rPr>
          <w:rFonts w:ascii="Sakkal Majalla" w:eastAsia="Sakkal Majalla" w:hAnsi="Sakkal Majalla" w:cs="Sakkal Majalla"/>
          <w:bCs/>
          <w:color w:val="000000"/>
          <w:sz w:val="32"/>
          <w:szCs w:val="24"/>
        </w:rPr>
        <w:t>Brandusescu</w:t>
      </w:r>
      <w:proofErr w:type="spellEnd"/>
      <w:r w:rsidRPr="00676C81">
        <w:rPr>
          <w:rFonts w:ascii="Sakkal Majalla" w:eastAsia="Sakkal Majalla" w:hAnsi="Sakkal Majalla" w:cs="Sakkal Majalla"/>
          <w:bCs/>
          <w:color w:val="000000"/>
          <w:sz w:val="32"/>
          <w:szCs w:val="24"/>
        </w:rPr>
        <w:t>, A., &amp; Lyons, K. (2024). The governance of artificial intelligence in Canada.</w:t>
      </w:r>
    </w:p>
    <w:p w14:paraId="047F4D97" w14:textId="2A1B4281" w:rsidR="00E94D83" w:rsidRPr="00E94D83" w:rsidRDefault="00E94D83" w:rsidP="00E94D83">
      <w:pPr>
        <w:numPr>
          <w:ilvl w:val="0"/>
          <w:numId w:val="21"/>
        </w:numPr>
        <w:spacing w:after="160"/>
        <w:rPr>
          <w:b w:val="0"/>
          <w:bCs/>
          <w:u w:val="none"/>
        </w:rPr>
      </w:pPr>
      <w:r w:rsidRPr="00E94D83">
        <w:rPr>
          <w:b w:val="0"/>
          <w:bCs/>
          <w:u w:val="none"/>
        </w:rPr>
        <w:t xml:space="preserve">Wirtz, B. W., </w:t>
      </w:r>
      <w:proofErr w:type="spellStart"/>
      <w:r w:rsidRPr="00E94D83">
        <w:rPr>
          <w:b w:val="0"/>
          <w:bCs/>
          <w:u w:val="none"/>
        </w:rPr>
        <w:t>Weyerer</w:t>
      </w:r>
      <w:proofErr w:type="spellEnd"/>
      <w:r w:rsidRPr="00E94D83">
        <w:rPr>
          <w:b w:val="0"/>
          <w:bCs/>
          <w:u w:val="none"/>
        </w:rPr>
        <w:t xml:space="preserve">, J. C., &amp; Kehl, I. (2022). Governance of artificial intelligence. </w:t>
      </w:r>
      <w:r w:rsidRPr="00E94D83">
        <w:rPr>
          <w:b w:val="0"/>
          <w:bCs/>
          <w:i/>
          <w:iCs/>
          <w:u w:val="none"/>
        </w:rPr>
        <w:t>Government Information Quarterly</w:t>
      </w:r>
      <w:r w:rsidRPr="00E94D83">
        <w:rPr>
          <w:b w:val="0"/>
          <w:bCs/>
          <w:u w:val="none"/>
        </w:rPr>
        <w:t>.</w:t>
      </w:r>
    </w:p>
    <w:p w14:paraId="4C4CDC24" w14:textId="77777777" w:rsidR="00E94D83" w:rsidRDefault="00E94D83" w:rsidP="00E94D83">
      <w:pPr>
        <w:numPr>
          <w:ilvl w:val="0"/>
          <w:numId w:val="21"/>
        </w:numPr>
        <w:spacing w:after="160"/>
        <w:rPr>
          <w:b w:val="0"/>
          <w:bCs/>
          <w:u w:val="none"/>
        </w:rPr>
      </w:pPr>
      <w:r w:rsidRPr="00E94D83">
        <w:rPr>
          <w:b w:val="0"/>
          <w:bCs/>
          <w:u w:val="none"/>
        </w:rPr>
        <w:t xml:space="preserve">ISO. (2018). </w:t>
      </w:r>
      <w:r w:rsidRPr="00E94D83">
        <w:rPr>
          <w:b w:val="0"/>
          <w:bCs/>
          <w:i/>
          <w:iCs/>
          <w:u w:val="none"/>
        </w:rPr>
        <w:t>ISO 31000: Risk management – Guidelines</w:t>
      </w:r>
      <w:r w:rsidRPr="00E94D83">
        <w:rPr>
          <w:b w:val="0"/>
          <w:bCs/>
          <w:u w:val="none"/>
        </w:rPr>
        <w:t>.</w:t>
      </w:r>
    </w:p>
    <w:p w14:paraId="349DB1DB" w14:textId="3CA70197" w:rsidR="00820599" w:rsidRDefault="00820599">
      <w:pPr>
        <w:spacing w:after="0"/>
        <w:ind w:left="8466" w:firstLine="0"/>
        <w:jc w:val="both"/>
      </w:pPr>
    </w:p>
    <w:sectPr w:rsidR="00820599">
      <w:headerReference w:type="even" r:id="rId8"/>
      <w:headerReference w:type="default" r:id="rId9"/>
      <w:footerReference w:type="even" r:id="rId10"/>
      <w:footerReference w:type="default" r:id="rId11"/>
      <w:headerReference w:type="first" r:id="rId12"/>
      <w:footerReference w:type="first" r:id="rId13"/>
      <w:pgSz w:w="11906" w:h="16838"/>
      <w:pgMar w:top="900" w:right="1631" w:bottom="632" w:left="1546" w:header="480" w:footer="478" w:gutter="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2F09C" w14:textId="77777777" w:rsidR="00F37E24" w:rsidRDefault="00F37E24">
      <w:pPr>
        <w:spacing w:after="0" w:line="240" w:lineRule="auto"/>
      </w:pPr>
      <w:r>
        <w:separator/>
      </w:r>
    </w:p>
  </w:endnote>
  <w:endnote w:type="continuationSeparator" w:id="0">
    <w:p w14:paraId="487BCBF4" w14:textId="77777777" w:rsidR="00F37E24" w:rsidRDefault="00F37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khba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A007" w14:textId="77777777" w:rsidR="00820599" w:rsidRDefault="00000000">
    <w:pPr>
      <w:spacing w:after="0"/>
      <w:ind w:left="86" w:firstLine="0"/>
      <w:jc w:val="center"/>
    </w:pPr>
    <w:r>
      <w:rPr>
        <w:rFonts w:ascii="Calibri" w:eastAsia="Calibri" w:hAnsi="Calibri" w:cs="Calibri"/>
        <w:b w:val="0"/>
        <w:noProof/>
        <w:sz w:val="22"/>
        <w:u w:val="none"/>
      </w:rPr>
      <mc:AlternateContent>
        <mc:Choice Requires="wpg">
          <w:drawing>
            <wp:anchor distT="0" distB="0" distL="114300" distR="114300" simplePos="0" relativeHeight="251664384" behindDoc="0" locked="0" layoutInCell="1" allowOverlap="1" wp14:anchorId="0129447A" wp14:editId="2734B199">
              <wp:simplePos x="0" y="0"/>
              <wp:positionH relativeFrom="page">
                <wp:posOffset>304800</wp:posOffset>
              </wp:positionH>
              <wp:positionV relativeFrom="page">
                <wp:posOffset>10383012</wp:posOffset>
              </wp:positionV>
              <wp:extent cx="6952488" cy="6096"/>
              <wp:effectExtent l="0" t="0" r="0" b="0"/>
              <wp:wrapSquare wrapText="bothSides"/>
              <wp:docPr id="11942" name="Group 11942"/>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534" name="Shape 245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35" name="Shape 24535"/>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36" name="Shape 24536"/>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42" style="width:547.44pt;height:0.47998pt;position:absolute;mso-position-horizontal-relative:page;mso-position-horizontal:absolute;margin-left:24pt;mso-position-vertical-relative:page;margin-top:817.56pt;" coordsize="69524,60">
              <v:shape id="Shape 24537" style="position:absolute;width:91;height:91;left:0;top:0;" coordsize="9144,9144" path="m0,0l9144,0l9144,9144l0,9144l0,0">
                <v:stroke weight="0pt" endcap="flat" joinstyle="miter" miterlimit="10" on="false" color="#000000" opacity="0"/>
                <v:fill on="true" color="#000000"/>
              </v:shape>
              <v:shape id="Shape 24538" style="position:absolute;width:69402;height:91;left:60;top:0;" coordsize="6940296,9144" path="m0,0l6940296,0l6940296,9144l0,9144l0,0">
                <v:stroke weight="0pt" endcap="flat" joinstyle="miter" miterlimit="10" on="false" color="#000000" opacity="0"/>
                <v:fill on="true" color="#000000"/>
              </v:shape>
              <v:shape id="Shape 24539"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b w:val="0"/>
        <w:sz w:val="22"/>
        <w:u w:val="none"/>
      </w:rPr>
      <w:t>2</w:t>
    </w:r>
    <w:r>
      <w:rPr>
        <w:rFonts w:ascii="Calibri" w:eastAsia="Calibri" w:hAnsi="Calibri" w:cs="Calibri"/>
        <w:b w:val="0"/>
        <w:sz w:val="22"/>
        <w:u w:val="none"/>
      </w:rPr>
      <w:fldChar w:fldCharType="end"/>
    </w:r>
    <w:r>
      <w:rPr>
        <w:rFonts w:ascii="Calibri" w:eastAsia="Calibri" w:hAnsi="Calibri" w:cs="Calibri"/>
        <w:b w:val="0"/>
        <w:sz w:val="22"/>
        <w:u w:val="none"/>
      </w:rPr>
      <w:t xml:space="preserve"> </w:t>
    </w:r>
  </w:p>
  <w:p w14:paraId="39A611FF" w14:textId="77777777" w:rsidR="00820599" w:rsidRDefault="00000000">
    <w:pPr>
      <w:spacing w:after="0"/>
      <w:ind w:left="254" w:firstLine="0"/>
    </w:pPr>
    <w:r>
      <w:rPr>
        <w:rFonts w:ascii="Calibri" w:eastAsia="Calibri" w:hAnsi="Calibri" w:cs="Calibri"/>
        <w:b w:val="0"/>
        <w:sz w:val="22"/>
        <w:u w:val="none"/>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06E0" w14:textId="77777777" w:rsidR="00820599" w:rsidRDefault="00000000">
    <w:pPr>
      <w:spacing w:after="0"/>
      <w:ind w:left="86" w:firstLine="0"/>
      <w:jc w:val="center"/>
    </w:pPr>
    <w:r>
      <w:rPr>
        <w:rFonts w:ascii="Calibri" w:eastAsia="Calibri" w:hAnsi="Calibri" w:cs="Calibri"/>
        <w:b w:val="0"/>
        <w:noProof/>
        <w:sz w:val="22"/>
        <w:u w:val="none"/>
      </w:rPr>
      <mc:AlternateContent>
        <mc:Choice Requires="wpg">
          <w:drawing>
            <wp:anchor distT="0" distB="0" distL="114300" distR="114300" simplePos="0" relativeHeight="251665408" behindDoc="0" locked="0" layoutInCell="1" allowOverlap="1" wp14:anchorId="2B8DF3AE" wp14:editId="7FCA28EB">
              <wp:simplePos x="0" y="0"/>
              <wp:positionH relativeFrom="page">
                <wp:posOffset>304800</wp:posOffset>
              </wp:positionH>
              <wp:positionV relativeFrom="page">
                <wp:posOffset>10383012</wp:posOffset>
              </wp:positionV>
              <wp:extent cx="6952488" cy="6096"/>
              <wp:effectExtent l="0" t="0" r="0" b="0"/>
              <wp:wrapSquare wrapText="bothSides"/>
              <wp:docPr id="11914" name="Group 11914"/>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528" name="Shape 2452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29" name="Shape 24529"/>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30" name="Shape 24530"/>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14" style="width:547.44pt;height:0.47998pt;position:absolute;mso-position-horizontal-relative:page;mso-position-horizontal:absolute;margin-left:24pt;mso-position-vertical-relative:page;margin-top:817.56pt;" coordsize="69524,60">
              <v:shape id="Shape 24531" style="position:absolute;width:91;height:91;left:0;top:0;" coordsize="9144,9144" path="m0,0l9144,0l9144,9144l0,9144l0,0">
                <v:stroke weight="0pt" endcap="flat" joinstyle="miter" miterlimit="10" on="false" color="#000000" opacity="0"/>
                <v:fill on="true" color="#000000"/>
              </v:shape>
              <v:shape id="Shape 24532" style="position:absolute;width:69402;height:91;left:60;top:0;" coordsize="6940296,9144" path="m0,0l6940296,0l6940296,9144l0,9144l0,0">
                <v:stroke weight="0pt" endcap="flat" joinstyle="miter" miterlimit="10" on="false" color="#000000" opacity="0"/>
                <v:fill on="true" color="#000000"/>
              </v:shape>
              <v:shape id="Shape 24533"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Calibri" w:eastAsia="Calibri" w:hAnsi="Calibri" w:cs="Calibri"/>
        <w:b w:val="0"/>
        <w:sz w:val="22"/>
        <w:u w:val="none"/>
      </w:rPr>
      <w:t>2</w:t>
    </w:r>
    <w:r>
      <w:rPr>
        <w:rFonts w:ascii="Calibri" w:eastAsia="Calibri" w:hAnsi="Calibri" w:cs="Calibri"/>
        <w:b w:val="0"/>
        <w:sz w:val="22"/>
        <w:u w:val="none"/>
      </w:rPr>
      <w:fldChar w:fldCharType="end"/>
    </w:r>
    <w:r>
      <w:rPr>
        <w:rFonts w:ascii="Calibri" w:eastAsia="Calibri" w:hAnsi="Calibri" w:cs="Calibri"/>
        <w:b w:val="0"/>
        <w:sz w:val="22"/>
        <w:u w:val="none"/>
      </w:rPr>
      <w:t xml:space="preserve"> </w:t>
    </w:r>
  </w:p>
  <w:p w14:paraId="05627AF2" w14:textId="77777777" w:rsidR="00820599" w:rsidRDefault="00000000">
    <w:pPr>
      <w:spacing w:after="0"/>
      <w:ind w:left="254" w:firstLine="0"/>
    </w:pPr>
    <w:r>
      <w:rPr>
        <w:rFonts w:ascii="Calibri" w:eastAsia="Calibri" w:hAnsi="Calibri" w:cs="Calibri"/>
        <w:b w:val="0"/>
        <w:sz w:val="22"/>
        <w:u w:val="none"/>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89AB9" w14:textId="77777777" w:rsidR="00820599" w:rsidRDefault="00000000">
    <w:pPr>
      <w:spacing w:after="0"/>
      <w:ind w:left="-1546" w:right="10276" w:firstLine="0"/>
    </w:pPr>
    <w:r>
      <w:rPr>
        <w:rFonts w:ascii="Calibri" w:eastAsia="Calibri" w:hAnsi="Calibri" w:cs="Calibri"/>
        <w:b w:val="0"/>
        <w:noProof/>
        <w:sz w:val="22"/>
        <w:u w:val="none"/>
      </w:rPr>
      <mc:AlternateContent>
        <mc:Choice Requires="wpg">
          <w:drawing>
            <wp:anchor distT="0" distB="0" distL="114300" distR="114300" simplePos="0" relativeHeight="251666432" behindDoc="0" locked="0" layoutInCell="1" allowOverlap="1" wp14:anchorId="19F2098A" wp14:editId="7564A269">
              <wp:simplePos x="0" y="0"/>
              <wp:positionH relativeFrom="page">
                <wp:posOffset>304800</wp:posOffset>
              </wp:positionH>
              <wp:positionV relativeFrom="page">
                <wp:posOffset>10383012</wp:posOffset>
              </wp:positionV>
              <wp:extent cx="6952488" cy="6096"/>
              <wp:effectExtent l="0" t="0" r="0" b="0"/>
              <wp:wrapSquare wrapText="bothSides"/>
              <wp:docPr id="11889" name="Group 11889"/>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522" name="Shape 2452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23" name="Shape 24523"/>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24" name="Shape 24524"/>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89" style="width:547.44pt;height:0.47998pt;position:absolute;mso-position-horizontal-relative:page;mso-position-horizontal:absolute;margin-left:24pt;mso-position-vertical-relative:page;margin-top:817.56pt;" coordsize="69524,60">
              <v:shape id="Shape 24525" style="position:absolute;width:91;height:91;left:0;top:0;" coordsize="9144,9144" path="m0,0l9144,0l9144,9144l0,9144l0,0">
                <v:stroke weight="0pt" endcap="flat" joinstyle="miter" miterlimit="10" on="false" color="#000000" opacity="0"/>
                <v:fill on="true" color="#000000"/>
              </v:shape>
              <v:shape id="Shape 24526" style="position:absolute;width:69402;height:91;left:60;top:0;" coordsize="6940296,9144" path="m0,0l6940296,0l6940296,9144l0,9144l0,0">
                <v:stroke weight="0pt" endcap="flat" joinstyle="miter" miterlimit="10" on="false" color="#000000" opacity="0"/>
                <v:fill on="true" color="#000000"/>
              </v:shape>
              <v:shape id="Shape 24527"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27C2F" w14:textId="77777777" w:rsidR="00F37E24" w:rsidRDefault="00F37E24">
      <w:pPr>
        <w:spacing w:after="0" w:line="240" w:lineRule="auto"/>
      </w:pPr>
      <w:r>
        <w:separator/>
      </w:r>
    </w:p>
  </w:footnote>
  <w:footnote w:type="continuationSeparator" w:id="0">
    <w:p w14:paraId="512DEE3E" w14:textId="77777777" w:rsidR="00F37E24" w:rsidRDefault="00F37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F7EC1" w14:textId="77777777" w:rsidR="00820599" w:rsidRDefault="00000000">
    <w:pPr>
      <w:spacing w:after="0"/>
      <w:ind w:left="254" w:firstLine="0"/>
    </w:pPr>
    <w:r>
      <w:rPr>
        <w:rFonts w:ascii="Calibri" w:eastAsia="Calibri" w:hAnsi="Calibri" w:cs="Calibri"/>
        <w:b w:val="0"/>
        <w:noProof/>
        <w:sz w:val="22"/>
        <w:u w:val="none"/>
      </w:rPr>
      <mc:AlternateContent>
        <mc:Choice Requires="wpg">
          <w:drawing>
            <wp:anchor distT="0" distB="0" distL="114300" distR="114300" simplePos="0" relativeHeight="251658240" behindDoc="0" locked="0" layoutInCell="1" allowOverlap="1" wp14:anchorId="7CD7E1B0" wp14:editId="00FA1C78">
              <wp:simplePos x="0" y="0"/>
              <wp:positionH relativeFrom="page">
                <wp:posOffset>304800</wp:posOffset>
              </wp:positionH>
              <wp:positionV relativeFrom="page">
                <wp:posOffset>304800</wp:posOffset>
              </wp:positionV>
              <wp:extent cx="6952488" cy="6096"/>
              <wp:effectExtent l="0" t="0" r="0" b="0"/>
              <wp:wrapSquare wrapText="bothSides"/>
              <wp:docPr id="11927" name="Group 1192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512" name="Shape 2451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13" name="Shape 24513"/>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14" name="Shape 24514"/>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27" style="width:547.44pt;height:0.47998pt;position:absolute;mso-position-horizontal-relative:page;mso-position-horizontal:absolute;margin-left:24pt;mso-position-vertical-relative:page;margin-top:24pt;" coordsize="69524,60">
              <v:shape id="Shape 24515" style="position:absolute;width:91;height:91;left:0;top:0;" coordsize="9144,9144" path="m0,0l9144,0l9144,9144l0,9144l0,0">
                <v:stroke weight="0pt" endcap="flat" joinstyle="miter" miterlimit="10" on="false" color="#000000" opacity="0"/>
                <v:fill on="true" color="#000000"/>
              </v:shape>
              <v:shape id="Shape 24516" style="position:absolute;width:69402;height:91;left:60;top:0;" coordsize="6940296,9144" path="m0,0l6940296,0l6940296,9144l0,9144l0,0">
                <v:stroke weight="0pt" endcap="flat" joinstyle="miter" miterlimit="10" on="false" color="#000000" opacity="0"/>
                <v:fill on="true" color="#000000"/>
              </v:shape>
              <v:shape id="Shape 24517"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b w:val="0"/>
        <w:sz w:val="22"/>
        <w:u w:val="none"/>
      </w:rPr>
      <w:t xml:space="preserve"> </w:t>
    </w:r>
  </w:p>
  <w:p w14:paraId="161E6332" w14:textId="77777777" w:rsidR="00820599" w:rsidRDefault="00000000">
    <w:r>
      <w:rPr>
        <w:rFonts w:ascii="Calibri" w:eastAsia="Calibri" w:hAnsi="Calibri" w:cs="Calibri"/>
        <w:b w:val="0"/>
        <w:noProof/>
        <w:sz w:val="22"/>
        <w:u w:val="none"/>
      </w:rPr>
      <mc:AlternateContent>
        <mc:Choice Requires="wpg">
          <w:drawing>
            <wp:anchor distT="0" distB="0" distL="114300" distR="114300" simplePos="0" relativeHeight="251659264" behindDoc="1" locked="0" layoutInCell="1" allowOverlap="1" wp14:anchorId="1622E111" wp14:editId="532108DD">
              <wp:simplePos x="0" y="0"/>
              <wp:positionH relativeFrom="page">
                <wp:posOffset>304800</wp:posOffset>
              </wp:positionH>
              <wp:positionV relativeFrom="page">
                <wp:posOffset>310896</wp:posOffset>
              </wp:positionV>
              <wp:extent cx="6952488" cy="10072116"/>
              <wp:effectExtent l="0" t="0" r="0" b="0"/>
              <wp:wrapNone/>
              <wp:docPr id="11931" name="Group 11931"/>
              <wp:cNvGraphicFramePr/>
              <a:graphic xmlns:a="http://schemas.openxmlformats.org/drawingml/2006/main">
                <a:graphicData uri="http://schemas.microsoft.com/office/word/2010/wordprocessingGroup">
                  <wpg:wgp>
                    <wpg:cNvGrpSpPr/>
                    <wpg:grpSpPr>
                      <a:xfrm>
                        <a:off x="0" y="0"/>
                        <a:ext cx="6952488" cy="10072116"/>
                        <a:chOff x="0" y="0"/>
                        <a:chExt cx="6952488" cy="10072116"/>
                      </a:xfrm>
                    </wpg:grpSpPr>
                    <pic:pic xmlns:pic="http://schemas.openxmlformats.org/drawingml/2006/picture">
                      <pic:nvPicPr>
                        <pic:cNvPr id="11934" name="Picture 11934"/>
                        <pic:cNvPicPr/>
                      </pic:nvPicPr>
                      <pic:blipFill>
                        <a:blip r:embed="rId1"/>
                        <a:stretch>
                          <a:fillRect/>
                        </a:stretch>
                      </pic:blipFill>
                      <pic:spPr>
                        <a:xfrm>
                          <a:off x="836930" y="3876930"/>
                          <a:ext cx="5273040" cy="2316480"/>
                        </a:xfrm>
                        <a:prstGeom prst="rect">
                          <a:avLst/>
                        </a:prstGeom>
                      </pic:spPr>
                    </pic:pic>
                    <wps:wsp>
                      <wps:cNvPr id="24518" name="Shape 24518"/>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19" name="Shape 24519"/>
                      <wps:cNvSpPr/>
                      <wps:spPr>
                        <a:xfrm>
                          <a:off x="6946393"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31" style="width:547.44pt;height:793.08pt;position:absolute;z-index:-2147483648;mso-position-horizontal-relative:page;mso-position-horizontal:absolute;margin-left:24pt;mso-position-vertical-relative:page;margin-top:24.48pt;" coordsize="69524,100721">
              <v:shape id="Picture 11934" style="position:absolute;width:52730;height:23164;left:8369;top:38769;" filled="f">
                <v:imagedata r:id="rId8"/>
              </v:shape>
              <v:shape id="Shape 24520" style="position:absolute;width:91;height:100721;left:0;top:0;" coordsize="9144,10072116" path="m0,0l9144,0l9144,10072116l0,10072116l0,0">
                <v:stroke weight="0pt" endcap="flat" joinstyle="miter" miterlimit="10" on="false" color="#000000" opacity="0"/>
                <v:fill on="true" color="#000000"/>
              </v:shape>
              <v:shape id="Shape 24521" style="position:absolute;width:91;height:100721;left:69463;top:0;" coordsize="9144,10072116" path="m0,0l9144,0l9144,10072116l0,1007211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E9A6F" w14:textId="77777777" w:rsidR="00820599" w:rsidRDefault="00000000">
    <w:pPr>
      <w:spacing w:after="0"/>
      <w:ind w:left="254" w:firstLine="0"/>
    </w:pPr>
    <w:r>
      <w:rPr>
        <w:rFonts w:ascii="Calibri" w:eastAsia="Calibri" w:hAnsi="Calibri" w:cs="Calibri"/>
        <w:b w:val="0"/>
        <w:noProof/>
        <w:sz w:val="22"/>
        <w:u w:val="none"/>
      </w:rPr>
      <mc:AlternateContent>
        <mc:Choice Requires="wpg">
          <w:drawing>
            <wp:anchor distT="0" distB="0" distL="114300" distR="114300" simplePos="0" relativeHeight="251660288" behindDoc="0" locked="0" layoutInCell="1" allowOverlap="1" wp14:anchorId="355DFAC3" wp14:editId="7169DF5B">
              <wp:simplePos x="0" y="0"/>
              <wp:positionH relativeFrom="page">
                <wp:posOffset>304800</wp:posOffset>
              </wp:positionH>
              <wp:positionV relativeFrom="page">
                <wp:posOffset>304800</wp:posOffset>
              </wp:positionV>
              <wp:extent cx="6952488" cy="6096"/>
              <wp:effectExtent l="0" t="0" r="0" b="0"/>
              <wp:wrapSquare wrapText="bothSides"/>
              <wp:docPr id="11899" name="Group 11899"/>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502" name="Shape 2450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03" name="Shape 24503"/>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04" name="Shape 24504"/>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99" style="width:547.44pt;height:0.47998pt;position:absolute;mso-position-horizontal-relative:page;mso-position-horizontal:absolute;margin-left:24pt;mso-position-vertical-relative:page;margin-top:24pt;" coordsize="69524,60">
              <v:shape id="Shape 24505" style="position:absolute;width:91;height:91;left:0;top:0;" coordsize="9144,9144" path="m0,0l9144,0l9144,9144l0,9144l0,0">
                <v:stroke weight="0pt" endcap="flat" joinstyle="miter" miterlimit="10" on="false" color="#000000" opacity="0"/>
                <v:fill on="true" color="#000000"/>
              </v:shape>
              <v:shape id="Shape 24506" style="position:absolute;width:69402;height:91;left:60;top:0;" coordsize="6940296,9144" path="m0,0l6940296,0l6940296,9144l0,9144l0,0">
                <v:stroke weight="0pt" endcap="flat" joinstyle="miter" miterlimit="10" on="false" color="#000000" opacity="0"/>
                <v:fill on="true" color="#000000"/>
              </v:shape>
              <v:shape id="Shape 24507"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b w:val="0"/>
        <w:sz w:val="22"/>
        <w:u w:val="none"/>
      </w:rPr>
      <w:t xml:space="preserve"> </w:t>
    </w:r>
  </w:p>
  <w:p w14:paraId="6BC76535" w14:textId="77777777" w:rsidR="00820599" w:rsidRDefault="00000000">
    <w:r>
      <w:rPr>
        <w:rFonts w:ascii="Calibri" w:eastAsia="Calibri" w:hAnsi="Calibri" w:cs="Calibri"/>
        <w:b w:val="0"/>
        <w:noProof/>
        <w:sz w:val="22"/>
        <w:u w:val="none"/>
      </w:rPr>
      <mc:AlternateContent>
        <mc:Choice Requires="wpg">
          <w:drawing>
            <wp:anchor distT="0" distB="0" distL="114300" distR="114300" simplePos="0" relativeHeight="251661312" behindDoc="1" locked="0" layoutInCell="1" allowOverlap="1" wp14:anchorId="05AAA212" wp14:editId="7E183153">
              <wp:simplePos x="0" y="0"/>
              <wp:positionH relativeFrom="page">
                <wp:posOffset>304800</wp:posOffset>
              </wp:positionH>
              <wp:positionV relativeFrom="page">
                <wp:posOffset>310896</wp:posOffset>
              </wp:positionV>
              <wp:extent cx="6952488" cy="10072116"/>
              <wp:effectExtent l="0" t="0" r="0" b="0"/>
              <wp:wrapNone/>
              <wp:docPr id="11903" name="Group 11903"/>
              <wp:cNvGraphicFramePr/>
              <a:graphic xmlns:a="http://schemas.openxmlformats.org/drawingml/2006/main">
                <a:graphicData uri="http://schemas.microsoft.com/office/word/2010/wordprocessingGroup">
                  <wpg:wgp>
                    <wpg:cNvGrpSpPr/>
                    <wpg:grpSpPr>
                      <a:xfrm>
                        <a:off x="0" y="0"/>
                        <a:ext cx="6952488" cy="10072116"/>
                        <a:chOff x="0" y="0"/>
                        <a:chExt cx="6952488" cy="10072116"/>
                      </a:xfrm>
                    </wpg:grpSpPr>
                    <pic:pic xmlns:pic="http://schemas.openxmlformats.org/drawingml/2006/picture">
                      <pic:nvPicPr>
                        <pic:cNvPr id="11906" name="Picture 11906"/>
                        <pic:cNvPicPr/>
                      </pic:nvPicPr>
                      <pic:blipFill>
                        <a:blip r:embed="rId1"/>
                        <a:stretch>
                          <a:fillRect/>
                        </a:stretch>
                      </pic:blipFill>
                      <pic:spPr>
                        <a:xfrm>
                          <a:off x="836930" y="3876930"/>
                          <a:ext cx="5273040" cy="2316480"/>
                        </a:xfrm>
                        <a:prstGeom prst="rect">
                          <a:avLst/>
                        </a:prstGeom>
                      </pic:spPr>
                    </pic:pic>
                    <wps:wsp>
                      <wps:cNvPr id="24508" name="Shape 24508"/>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509" name="Shape 24509"/>
                      <wps:cNvSpPr/>
                      <wps:spPr>
                        <a:xfrm>
                          <a:off x="6946393"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903" style="width:547.44pt;height:793.08pt;position:absolute;z-index:-2147483648;mso-position-horizontal-relative:page;mso-position-horizontal:absolute;margin-left:24pt;mso-position-vertical-relative:page;margin-top:24.48pt;" coordsize="69524,100721">
              <v:shape id="Picture 11906" style="position:absolute;width:52730;height:23164;left:8369;top:38769;" filled="f">
                <v:imagedata r:id="rId8"/>
              </v:shape>
              <v:shape id="Shape 24510" style="position:absolute;width:91;height:100721;left:0;top:0;" coordsize="9144,10072116" path="m0,0l9144,0l9144,10072116l0,10072116l0,0">
                <v:stroke weight="0pt" endcap="flat" joinstyle="miter" miterlimit="10" on="false" color="#000000" opacity="0"/>
                <v:fill on="true" color="#000000"/>
              </v:shape>
              <v:shape id="Shape 24511" style="position:absolute;width:91;height:100721;left:69463;top:0;" coordsize="9144,10072116" path="m0,0l9144,0l9144,10072116l0,1007211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6583B" w14:textId="77777777" w:rsidR="00820599" w:rsidRDefault="00000000">
    <w:pPr>
      <w:spacing w:after="0"/>
      <w:ind w:left="254" w:firstLine="0"/>
    </w:pPr>
    <w:r>
      <w:rPr>
        <w:rFonts w:ascii="Calibri" w:eastAsia="Calibri" w:hAnsi="Calibri" w:cs="Calibri"/>
        <w:b w:val="0"/>
        <w:noProof/>
        <w:sz w:val="22"/>
        <w:u w:val="none"/>
      </w:rPr>
      <mc:AlternateContent>
        <mc:Choice Requires="wpg">
          <w:drawing>
            <wp:anchor distT="0" distB="0" distL="114300" distR="114300" simplePos="0" relativeHeight="251662336" behindDoc="0" locked="0" layoutInCell="1" allowOverlap="1" wp14:anchorId="0990CB9A" wp14:editId="12DF975C">
              <wp:simplePos x="0" y="0"/>
              <wp:positionH relativeFrom="page">
                <wp:posOffset>304800</wp:posOffset>
              </wp:positionH>
              <wp:positionV relativeFrom="page">
                <wp:posOffset>304800</wp:posOffset>
              </wp:positionV>
              <wp:extent cx="6952488" cy="6096"/>
              <wp:effectExtent l="0" t="0" r="0" b="0"/>
              <wp:wrapSquare wrapText="bothSides"/>
              <wp:docPr id="11877" name="Group 1187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24492" name="Shape 2449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93" name="Shape 24493"/>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94" name="Shape 24494"/>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77" style="width:547.44pt;height:0.47998pt;position:absolute;mso-position-horizontal-relative:page;mso-position-horizontal:absolute;margin-left:24pt;mso-position-vertical-relative:page;margin-top:24pt;" coordsize="69524,60">
              <v:shape id="Shape 24495" style="position:absolute;width:91;height:91;left:0;top:0;" coordsize="9144,9144" path="m0,0l9144,0l9144,9144l0,9144l0,0">
                <v:stroke weight="0pt" endcap="flat" joinstyle="miter" miterlimit="10" on="false" color="#000000" opacity="0"/>
                <v:fill on="true" color="#000000"/>
              </v:shape>
              <v:shape id="Shape 24496" style="position:absolute;width:69402;height:91;left:60;top:0;" coordsize="6940296,9144" path="m0,0l6940296,0l6940296,9144l0,9144l0,0">
                <v:stroke weight="0pt" endcap="flat" joinstyle="miter" miterlimit="10" on="false" color="#000000" opacity="0"/>
                <v:fill on="true" color="#000000"/>
              </v:shape>
              <v:shape id="Shape 24497"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b w:val="0"/>
        <w:sz w:val="22"/>
        <w:u w:val="none"/>
      </w:rPr>
      <w:t xml:space="preserve"> </w:t>
    </w:r>
  </w:p>
  <w:p w14:paraId="20B39FC2" w14:textId="77777777" w:rsidR="00820599" w:rsidRDefault="00000000">
    <w:r>
      <w:rPr>
        <w:rFonts w:ascii="Calibri" w:eastAsia="Calibri" w:hAnsi="Calibri" w:cs="Calibri"/>
        <w:b w:val="0"/>
        <w:noProof/>
        <w:sz w:val="22"/>
        <w:u w:val="none"/>
      </w:rPr>
      <mc:AlternateContent>
        <mc:Choice Requires="wpg">
          <w:drawing>
            <wp:anchor distT="0" distB="0" distL="114300" distR="114300" simplePos="0" relativeHeight="251663360" behindDoc="1" locked="0" layoutInCell="1" allowOverlap="1" wp14:anchorId="26BE51AE" wp14:editId="6E504EF5">
              <wp:simplePos x="0" y="0"/>
              <wp:positionH relativeFrom="page">
                <wp:posOffset>304800</wp:posOffset>
              </wp:positionH>
              <wp:positionV relativeFrom="page">
                <wp:posOffset>310896</wp:posOffset>
              </wp:positionV>
              <wp:extent cx="6952488" cy="10072116"/>
              <wp:effectExtent l="0" t="0" r="0" b="0"/>
              <wp:wrapNone/>
              <wp:docPr id="11881" name="Group 11881"/>
              <wp:cNvGraphicFramePr/>
              <a:graphic xmlns:a="http://schemas.openxmlformats.org/drawingml/2006/main">
                <a:graphicData uri="http://schemas.microsoft.com/office/word/2010/wordprocessingGroup">
                  <wpg:wgp>
                    <wpg:cNvGrpSpPr/>
                    <wpg:grpSpPr>
                      <a:xfrm>
                        <a:off x="0" y="0"/>
                        <a:ext cx="6952488" cy="10072116"/>
                        <a:chOff x="0" y="0"/>
                        <a:chExt cx="6952488" cy="10072116"/>
                      </a:xfrm>
                    </wpg:grpSpPr>
                    <pic:pic xmlns:pic="http://schemas.openxmlformats.org/drawingml/2006/picture">
                      <pic:nvPicPr>
                        <pic:cNvPr id="11884" name="Picture 11884"/>
                        <pic:cNvPicPr/>
                      </pic:nvPicPr>
                      <pic:blipFill>
                        <a:blip r:embed="rId1"/>
                        <a:stretch>
                          <a:fillRect/>
                        </a:stretch>
                      </pic:blipFill>
                      <pic:spPr>
                        <a:xfrm>
                          <a:off x="836930" y="3876930"/>
                          <a:ext cx="5273040" cy="2316480"/>
                        </a:xfrm>
                        <a:prstGeom prst="rect">
                          <a:avLst/>
                        </a:prstGeom>
                      </pic:spPr>
                    </pic:pic>
                    <wps:wsp>
                      <wps:cNvPr id="24498" name="Shape 24498"/>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99" name="Shape 24499"/>
                      <wps:cNvSpPr/>
                      <wps:spPr>
                        <a:xfrm>
                          <a:off x="6946393"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881" style="width:547.44pt;height:793.08pt;position:absolute;z-index:-2147483648;mso-position-horizontal-relative:page;mso-position-horizontal:absolute;margin-left:24pt;mso-position-vertical-relative:page;margin-top:24.48pt;" coordsize="69524,100721">
              <v:shape id="Picture 11884" style="position:absolute;width:52730;height:23164;left:8369;top:38769;" filled="f">
                <v:imagedata r:id="rId8"/>
              </v:shape>
              <v:shape id="Shape 24500" style="position:absolute;width:91;height:100721;left:0;top:0;" coordsize="9144,10072116" path="m0,0l9144,0l9144,10072116l0,10072116l0,0">
                <v:stroke weight="0pt" endcap="flat" joinstyle="miter" miterlimit="10" on="false" color="#000000" opacity="0"/>
                <v:fill on="true" color="#000000"/>
              </v:shape>
              <v:shape id="Shape 24501" style="position:absolute;width:91;height:100721;left:69463;top:0;" coordsize="9144,10072116" path="m0,0l9144,0l9144,10072116l0,1007211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D03"/>
    <w:multiLevelType w:val="multilevel"/>
    <w:tmpl w:val="6448A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06CD8"/>
    <w:multiLevelType w:val="multilevel"/>
    <w:tmpl w:val="C5725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984EF2"/>
    <w:multiLevelType w:val="multilevel"/>
    <w:tmpl w:val="CF0C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C0F4A"/>
    <w:multiLevelType w:val="multilevel"/>
    <w:tmpl w:val="6D280D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E041C"/>
    <w:multiLevelType w:val="hybridMultilevel"/>
    <w:tmpl w:val="C9C2B3B2"/>
    <w:lvl w:ilvl="0" w:tplc="4DE83688">
      <w:start w:val="1"/>
      <w:numFmt w:val="bullet"/>
      <w:lvlText w:val="•"/>
      <w:lvlJc w:val="left"/>
      <w:pPr>
        <w:ind w:left="5576"/>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7C08B5F4">
      <w:start w:val="1"/>
      <w:numFmt w:val="bullet"/>
      <w:lvlText w:val="o"/>
      <w:lvlJc w:val="left"/>
      <w:pPr>
        <w:ind w:left="14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D1EE2D10">
      <w:start w:val="1"/>
      <w:numFmt w:val="bullet"/>
      <w:lvlText w:val="▪"/>
      <w:lvlJc w:val="left"/>
      <w:pPr>
        <w:ind w:left="21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1E3069BE">
      <w:start w:val="1"/>
      <w:numFmt w:val="bullet"/>
      <w:lvlText w:val="•"/>
      <w:lvlJc w:val="left"/>
      <w:pPr>
        <w:ind w:left="28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F45AA6F2">
      <w:start w:val="1"/>
      <w:numFmt w:val="bullet"/>
      <w:lvlText w:val="o"/>
      <w:lvlJc w:val="left"/>
      <w:pPr>
        <w:ind w:left="36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FE080828">
      <w:start w:val="1"/>
      <w:numFmt w:val="bullet"/>
      <w:lvlText w:val="▪"/>
      <w:lvlJc w:val="left"/>
      <w:pPr>
        <w:ind w:left="43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35A09EB8">
      <w:start w:val="1"/>
      <w:numFmt w:val="bullet"/>
      <w:lvlText w:val="•"/>
      <w:lvlJc w:val="left"/>
      <w:pPr>
        <w:ind w:left="504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85AA3F7C">
      <w:start w:val="1"/>
      <w:numFmt w:val="bullet"/>
      <w:lvlText w:val="o"/>
      <w:lvlJc w:val="left"/>
      <w:pPr>
        <w:ind w:left="57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CD4A4914">
      <w:start w:val="1"/>
      <w:numFmt w:val="bullet"/>
      <w:lvlText w:val="▪"/>
      <w:lvlJc w:val="left"/>
      <w:pPr>
        <w:ind w:left="64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5" w15:restartNumberingAfterBreak="0">
    <w:nsid w:val="2DFF3A56"/>
    <w:multiLevelType w:val="multilevel"/>
    <w:tmpl w:val="63C4B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D64EC8"/>
    <w:multiLevelType w:val="hybridMultilevel"/>
    <w:tmpl w:val="3BDE391C"/>
    <w:lvl w:ilvl="0" w:tplc="61EADA4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DB7F7B"/>
    <w:multiLevelType w:val="hybridMultilevel"/>
    <w:tmpl w:val="449EF4A0"/>
    <w:lvl w:ilvl="0" w:tplc="A6766AAE">
      <w:start w:val="1"/>
      <w:numFmt w:val="decimal"/>
      <w:lvlText w:val="%1."/>
      <w:lvlJc w:val="left"/>
      <w:pPr>
        <w:ind w:left="662" w:hanging="360"/>
      </w:pPr>
      <w:rPr>
        <w:rFonts w:hint="default"/>
        <w:b w:val="0"/>
        <w:sz w:val="24"/>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8" w15:restartNumberingAfterBreak="0">
    <w:nsid w:val="3BE32221"/>
    <w:multiLevelType w:val="hybridMultilevel"/>
    <w:tmpl w:val="C0B43DF2"/>
    <w:lvl w:ilvl="0" w:tplc="36AA8CA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A0123A"/>
    <w:multiLevelType w:val="hybridMultilevel"/>
    <w:tmpl w:val="2ED4DB6C"/>
    <w:lvl w:ilvl="0" w:tplc="A6766AAE">
      <w:start w:val="1"/>
      <w:numFmt w:val="decimal"/>
      <w:lvlText w:val="%1."/>
      <w:lvlJc w:val="left"/>
      <w:pPr>
        <w:ind w:left="662" w:hanging="360"/>
      </w:pPr>
      <w:rPr>
        <w:rFonts w:hint="default"/>
        <w:sz w:val="24"/>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0" w15:restartNumberingAfterBreak="0">
    <w:nsid w:val="3EAD29C5"/>
    <w:multiLevelType w:val="multilevel"/>
    <w:tmpl w:val="558A2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44565D"/>
    <w:multiLevelType w:val="multilevel"/>
    <w:tmpl w:val="E69E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B8073B"/>
    <w:multiLevelType w:val="multilevel"/>
    <w:tmpl w:val="48DCA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A45568"/>
    <w:multiLevelType w:val="multilevel"/>
    <w:tmpl w:val="98FEC2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CE275E"/>
    <w:multiLevelType w:val="hybridMultilevel"/>
    <w:tmpl w:val="DA2C61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3757DC"/>
    <w:multiLevelType w:val="hybridMultilevel"/>
    <w:tmpl w:val="62BEA58A"/>
    <w:lvl w:ilvl="0" w:tplc="7EC2467C">
      <w:start w:val="1"/>
      <w:numFmt w:val="decimal"/>
      <w:lvlText w:val="%1."/>
      <w:lvlJc w:val="left"/>
      <w:pPr>
        <w:ind w:left="662" w:hanging="360"/>
      </w:pPr>
      <w:rPr>
        <w:rFonts w:hint="default"/>
        <w:sz w:val="24"/>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6" w15:restartNumberingAfterBreak="0">
    <w:nsid w:val="5270502C"/>
    <w:multiLevelType w:val="multilevel"/>
    <w:tmpl w:val="D708E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5B36B5"/>
    <w:multiLevelType w:val="multilevel"/>
    <w:tmpl w:val="F9D0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9C0CB7"/>
    <w:multiLevelType w:val="hybridMultilevel"/>
    <w:tmpl w:val="1ADA93D4"/>
    <w:lvl w:ilvl="0" w:tplc="B41E694E">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643437"/>
    <w:multiLevelType w:val="hybridMultilevel"/>
    <w:tmpl w:val="CB8C67A0"/>
    <w:lvl w:ilvl="0" w:tplc="FE2A35FA">
      <w:start w:val="1"/>
      <w:numFmt w:val="bullet"/>
      <w:lvlText w:val="•"/>
      <w:lvlJc w:val="left"/>
      <w:pPr>
        <w:ind w:left="87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A4A13F6">
      <w:start w:val="1"/>
      <w:numFmt w:val="bullet"/>
      <w:lvlText w:val="o"/>
      <w:lvlJc w:val="left"/>
      <w:pPr>
        <w:ind w:left="144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F8ED652">
      <w:start w:val="1"/>
      <w:numFmt w:val="bullet"/>
      <w:lvlText w:val="▪"/>
      <w:lvlJc w:val="left"/>
      <w:pPr>
        <w:ind w:left="21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D18DDDA">
      <w:start w:val="1"/>
      <w:numFmt w:val="bullet"/>
      <w:lvlText w:val="•"/>
      <w:lvlJc w:val="left"/>
      <w:pPr>
        <w:ind w:left="28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372378E">
      <w:start w:val="1"/>
      <w:numFmt w:val="bullet"/>
      <w:lvlText w:val="o"/>
      <w:lvlJc w:val="left"/>
      <w:pPr>
        <w:ind w:left="360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4DA5D72">
      <w:start w:val="1"/>
      <w:numFmt w:val="bullet"/>
      <w:lvlText w:val="▪"/>
      <w:lvlJc w:val="left"/>
      <w:pPr>
        <w:ind w:left="43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22ADB9E">
      <w:start w:val="1"/>
      <w:numFmt w:val="bullet"/>
      <w:lvlText w:val="•"/>
      <w:lvlJc w:val="left"/>
      <w:pPr>
        <w:ind w:left="50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264C7CE">
      <w:start w:val="1"/>
      <w:numFmt w:val="bullet"/>
      <w:lvlText w:val="o"/>
      <w:lvlJc w:val="left"/>
      <w:pPr>
        <w:ind w:left="57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0863634">
      <w:start w:val="1"/>
      <w:numFmt w:val="bullet"/>
      <w:lvlText w:val="▪"/>
      <w:lvlJc w:val="left"/>
      <w:pPr>
        <w:ind w:left="648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5E808CC"/>
    <w:multiLevelType w:val="multilevel"/>
    <w:tmpl w:val="700E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1884333">
    <w:abstractNumId w:val="4"/>
  </w:num>
  <w:num w:numId="2" w16cid:durableId="102922954">
    <w:abstractNumId w:val="19"/>
  </w:num>
  <w:num w:numId="3" w16cid:durableId="727149607">
    <w:abstractNumId w:val="3"/>
  </w:num>
  <w:num w:numId="4" w16cid:durableId="811479962">
    <w:abstractNumId w:val="13"/>
  </w:num>
  <w:num w:numId="5" w16cid:durableId="1949046907">
    <w:abstractNumId w:val="1"/>
  </w:num>
  <w:num w:numId="6" w16cid:durableId="974524731">
    <w:abstractNumId w:val="12"/>
  </w:num>
  <w:num w:numId="7" w16cid:durableId="285501214">
    <w:abstractNumId w:val="15"/>
  </w:num>
  <w:num w:numId="8" w16cid:durableId="906189188">
    <w:abstractNumId w:val="9"/>
  </w:num>
  <w:num w:numId="9" w16cid:durableId="211188625">
    <w:abstractNumId w:val="20"/>
  </w:num>
  <w:num w:numId="10" w16cid:durableId="1894654505">
    <w:abstractNumId w:val="10"/>
  </w:num>
  <w:num w:numId="11" w16cid:durableId="1105229184">
    <w:abstractNumId w:val="17"/>
  </w:num>
  <w:num w:numId="12" w16cid:durableId="1563171921">
    <w:abstractNumId w:val="0"/>
  </w:num>
  <w:num w:numId="13" w16cid:durableId="746850859">
    <w:abstractNumId w:val="18"/>
  </w:num>
  <w:num w:numId="14" w16cid:durableId="1706565227">
    <w:abstractNumId w:val="8"/>
  </w:num>
  <w:num w:numId="15" w16cid:durableId="165483144">
    <w:abstractNumId w:val="7"/>
  </w:num>
  <w:num w:numId="16" w16cid:durableId="373775878">
    <w:abstractNumId w:val="11"/>
  </w:num>
  <w:num w:numId="17" w16cid:durableId="1889565309">
    <w:abstractNumId w:val="14"/>
  </w:num>
  <w:num w:numId="18" w16cid:durableId="1358774187">
    <w:abstractNumId w:val="2"/>
  </w:num>
  <w:num w:numId="19" w16cid:durableId="2036270877">
    <w:abstractNumId w:val="16"/>
  </w:num>
  <w:num w:numId="20" w16cid:durableId="1956524182">
    <w:abstractNumId w:val="6"/>
  </w:num>
  <w:num w:numId="21" w16cid:durableId="14825821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599"/>
    <w:rsid w:val="00003460"/>
    <w:rsid w:val="00055FE1"/>
    <w:rsid w:val="00064326"/>
    <w:rsid w:val="000971C7"/>
    <w:rsid w:val="00121848"/>
    <w:rsid w:val="001C197C"/>
    <w:rsid w:val="00262216"/>
    <w:rsid w:val="00290932"/>
    <w:rsid w:val="002C2088"/>
    <w:rsid w:val="00300F09"/>
    <w:rsid w:val="00371E96"/>
    <w:rsid w:val="00390D38"/>
    <w:rsid w:val="003929D0"/>
    <w:rsid w:val="004870A2"/>
    <w:rsid w:val="004B384A"/>
    <w:rsid w:val="00563D88"/>
    <w:rsid w:val="005B6294"/>
    <w:rsid w:val="005F49FD"/>
    <w:rsid w:val="00646E41"/>
    <w:rsid w:val="00676C81"/>
    <w:rsid w:val="0069644A"/>
    <w:rsid w:val="006B1860"/>
    <w:rsid w:val="007534CD"/>
    <w:rsid w:val="007A386F"/>
    <w:rsid w:val="007F3735"/>
    <w:rsid w:val="00820599"/>
    <w:rsid w:val="00947368"/>
    <w:rsid w:val="009A73BE"/>
    <w:rsid w:val="00A43156"/>
    <w:rsid w:val="00A94441"/>
    <w:rsid w:val="00AD33D0"/>
    <w:rsid w:val="00B208DA"/>
    <w:rsid w:val="00B640A6"/>
    <w:rsid w:val="00B77E80"/>
    <w:rsid w:val="00BD4363"/>
    <w:rsid w:val="00BF761E"/>
    <w:rsid w:val="00C945C7"/>
    <w:rsid w:val="00D506D3"/>
    <w:rsid w:val="00D569C3"/>
    <w:rsid w:val="00D77A07"/>
    <w:rsid w:val="00E63DAD"/>
    <w:rsid w:val="00E67A50"/>
    <w:rsid w:val="00E822E5"/>
    <w:rsid w:val="00E94D83"/>
    <w:rsid w:val="00EF2CEB"/>
    <w:rsid w:val="00EF5E9F"/>
    <w:rsid w:val="00F37E24"/>
    <w:rsid w:val="00F67713"/>
    <w:rsid w:val="00FB5FAE"/>
    <w:rsid w:val="00FE30CD"/>
    <w:rsid w:val="00FF2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95FA2"/>
  <w15:docId w15:val="{2186EDDA-ED98-45C8-9E65-BC38E4FE6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368"/>
    <w:pPr>
      <w:spacing w:after="4" w:line="259" w:lineRule="auto"/>
      <w:ind w:left="312" w:hanging="10"/>
    </w:pPr>
    <w:rPr>
      <w:rFonts w:ascii="Sakkal Majalla" w:eastAsia="Sakkal Majalla" w:hAnsi="Sakkal Majalla" w:cs="Sakkal Majalla"/>
      <w:b/>
      <w:color w:val="000000"/>
      <w:sz w:val="32"/>
      <w:u w:val="single" w:color="000000"/>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70C0"/>
      <w:sz w:val="28"/>
    </w:rPr>
  </w:style>
  <w:style w:type="paragraph" w:styleId="Heading4">
    <w:name w:val="heading 4"/>
    <w:basedOn w:val="Normal"/>
    <w:next w:val="Normal"/>
    <w:link w:val="Heading4Char"/>
    <w:uiPriority w:val="9"/>
    <w:semiHidden/>
    <w:unhideWhenUsed/>
    <w:qFormat/>
    <w:rsid w:val="00563D88"/>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70C0"/>
      <w:sz w:val="28"/>
    </w:rPr>
  </w:style>
  <w:style w:type="paragraph" w:styleId="ListParagraph">
    <w:name w:val="List Paragraph"/>
    <w:basedOn w:val="Normal"/>
    <w:uiPriority w:val="34"/>
    <w:qFormat/>
    <w:rsid w:val="00E822E5"/>
    <w:pPr>
      <w:spacing w:after="160"/>
      <w:ind w:left="720" w:firstLine="0"/>
      <w:contextualSpacing/>
    </w:pPr>
    <w:rPr>
      <w:rFonts w:asciiTheme="minorHAnsi" w:eastAsiaTheme="minorHAnsi" w:hAnsiTheme="minorHAnsi" w:cstheme="minorBidi"/>
      <w:b w:val="0"/>
      <w:color w:val="auto"/>
      <w:sz w:val="22"/>
      <w:szCs w:val="22"/>
      <w:u w:val="none"/>
    </w:rPr>
  </w:style>
  <w:style w:type="paragraph" w:styleId="NormalWeb">
    <w:name w:val="Normal (Web)"/>
    <w:basedOn w:val="Normal"/>
    <w:uiPriority w:val="99"/>
    <w:semiHidden/>
    <w:unhideWhenUsed/>
    <w:rsid w:val="00E822E5"/>
    <w:rPr>
      <w:rFonts w:ascii="Times New Roman" w:hAnsi="Times New Roman" w:cs="Times New Roman"/>
      <w:sz w:val="24"/>
    </w:rPr>
  </w:style>
  <w:style w:type="character" w:customStyle="1" w:styleId="Heading4Char">
    <w:name w:val="Heading 4 Char"/>
    <w:basedOn w:val="DefaultParagraphFont"/>
    <w:link w:val="Heading4"/>
    <w:uiPriority w:val="9"/>
    <w:semiHidden/>
    <w:rsid w:val="00563D88"/>
    <w:rPr>
      <w:rFonts w:asciiTheme="majorHAnsi" w:eastAsiaTheme="majorEastAsia" w:hAnsiTheme="majorHAnsi" w:cstheme="majorBidi"/>
      <w:b/>
      <w:i/>
      <w:iCs/>
      <w:color w:val="0F4761" w:themeColor="accent1" w:themeShade="BF"/>
      <w:sz w:val="32"/>
      <w:u w:val="single" w:color="000000"/>
    </w:rPr>
  </w:style>
  <w:style w:type="character" w:styleId="Hyperlink">
    <w:name w:val="Hyperlink"/>
    <w:basedOn w:val="DefaultParagraphFont"/>
    <w:uiPriority w:val="99"/>
    <w:unhideWhenUsed/>
    <w:rsid w:val="007A386F"/>
    <w:rPr>
      <w:color w:val="467886" w:themeColor="hyperlink"/>
      <w:u w:val="single"/>
    </w:rPr>
  </w:style>
  <w:style w:type="character" w:styleId="UnresolvedMention">
    <w:name w:val="Unresolved Mention"/>
    <w:basedOn w:val="DefaultParagraphFont"/>
    <w:uiPriority w:val="99"/>
    <w:semiHidden/>
    <w:unhideWhenUsed/>
    <w:rsid w:val="007A386F"/>
    <w:rPr>
      <w:color w:val="605E5C"/>
      <w:shd w:val="clear" w:color="auto" w:fill="E1DFDD"/>
    </w:rPr>
  </w:style>
  <w:style w:type="character" w:styleId="FollowedHyperlink">
    <w:name w:val="FollowedHyperlink"/>
    <w:basedOn w:val="DefaultParagraphFont"/>
    <w:uiPriority w:val="99"/>
    <w:semiHidden/>
    <w:unhideWhenUsed/>
    <w:rsid w:val="007A386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033899">
      <w:bodyDiv w:val="1"/>
      <w:marLeft w:val="0"/>
      <w:marRight w:val="0"/>
      <w:marTop w:val="0"/>
      <w:marBottom w:val="0"/>
      <w:divBdr>
        <w:top w:val="none" w:sz="0" w:space="0" w:color="auto"/>
        <w:left w:val="none" w:sz="0" w:space="0" w:color="auto"/>
        <w:bottom w:val="none" w:sz="0" w:space="0" w:color="auto"/>
        <w:right w:val="none" w:sz="0" w:space="0" w:color="auto"/>
      </w:divBdr>
    </w:div>
    <w:div w:id="285502725">
      <w:bodyDiv w:val="1"/>
      <w:marLeft w:val="0"/>
      <w:marRight w:val="0"/>
      <w:marTop w:val="0"/>
      <w:marBottom w:val="0"/>
      <w:divBdr>
        <w:top w:val="none" w:sz="0" w:space="0" w:color="auto"/>
        <w:left w:val="none" w:sz="0" w:space="0" w:color="auto"/>
        <w:bottom w:val="none" w:sz="0" w:space="0" w:color="auto"/>
        <w:right w:val="none" w:sz="0" w:space="0" w:color="auto"/>
      </w:divBdr>
    </w:div>
    <w:div w:id="295719487">
      <w:bodyDiv w:val="1"/>
      <w:marLeft w:val="0"/>
      <w:marRight w:val="0"/>
      <w:marTop w:val="0"/>
      <w:marBottom w:val="0"/>
      <w:divBdr>
        <w:top w:val="none" w:sz="0" w:space="0" w:color="auto"/>
        <w:left w:val="none" w:sz="0" w:space="0" w:color="auto"/>
        <w:bottom w:val="none" w:sz="0" w:space="0" w:color="auto"/>
        <w:right w:val="none" w:sz="0" w:space="0" w:color="auto"/>
      </w:divBdr>
      <w:divsChild>
        <w:div w:id="2294629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007422">
      <w:bodyDiv w:val="1"/>
      <w:marLeft w:val="0"/>
      <w:marRight w:val="0"/>
      <w:marTop w:val="0"/>
      <w:marBottom w:val="0"/>
      <w:divBdr>
        <w:top w:val="none" w:sz="0" w:space="0" w:color="auto"/>
        <w:left w:val="none" w:sz="0" w:space="0" w:color="auto"/>
        <w:bottom w:val="none" w:sz="0" w:space="0" w:color="auto"/>
        <w:right w:val="none" w:sz="0" w:space="0" w:color="auto"/>
      </w:divBdr>
    </w:div>
    <w:div w:id="410735236">
      <w:bodyDiv w:val="1"/>
      <w:marLeft w:val="0"/>
      <w:marRight w:val="0"/>
      <w:marTop w:val="0"/>
      <w:marBottom w:val="0"/>
      <w:divBdr>
        <w:top w:val="none" w:sz="0" w:space="0" w:color="auto"/>
        <w:left w:val="none" w:sz="0" w:space="0" w:color="auto"/>
        <w:bottom w:val="none" w:sz="0" w:space="0" w:color="auto"/>
        <w:right w:val="none" w:sz="0" w:space="0" w:color="auto"/>
      </w:divBdr>
    </w:div>
    <w:div w:id="658462527">
      <w:bodyDiv w:val="1"/>
      <w:marLeft w:val="0"/>
      <w:marRight w:val="0"/>
      <w:marTop w:val="0"/>
      <w:marBottom w:val="0"/>
      <w:divBdr>
        <w:top w:val="none" w:sz="0" w:space="0" w:color="auto"/>
        <w:left w:val="none" w:sz="0" w:space="0" w:color="auto"/>
        <w:bottom w:val="none" w:sz="0" w:space="0" w:color="auto"/>
        <w:right w:val="none" w:sz="0" w:space="0" w:color="auto"/>
      </w:divBdr>
    </w:div>
    <w:div w:id="716121664">
      <w:bodyDiv w:val="1"/>
      <w:marLeft w:val="0"/>
      <w:marRight w:val="0"/>
      <w:marTop w:val="0"/>
      <w:marBottom w:val="0"/>
      <w:divBdr>
        <w:top w:val="none" w:sz="0" w:space="0" w:color="auto"/>
        <w:left w:val="none" w:sz="0" w:space="0" w:color="auto"/>
        <w:bottom w:val="none" w:sz="0" w:space="0" w:color="auto"/>
        <w:right w:val="none" w:sz="0" w:space="0" w:color="auto"/>
      </w:divBdr>
    </w:div>
    <w:div w:id="817496421">
      <w:bodyDiv w:val="1"/>
      <w:marLeft w:val="0"/>
      <w:marRight w:val="0"/>
      <w:marTop w:val="0"/>
      <w:marBottom w:val="0"/>
      <w:divBdr>
        <w:top w:val="none" w:sz="0" w:space="0" w:color="auto"/>
        <w:left w:val="none" w:sz="0" w:space="0" w:color="auto"/>
        <w:bottom w:val="none" w:sz="0" w:space="0" w:color="auto"/>
        <w:right w:val="none" w:sz="0" w:space="0" w:color="auto"/>
      </w:divBdr>
    </w:div>
    <w:div w:id="902108709">
      <w:bodyDiv w:val="1"/>
      <w:marLeft w:val="0"/>
      <w:marRight w:val="0"/>
      <w:marTop w:val="0"/>
      <w:marBottom w:val="0"/>
      <w:divBdr>
        <w:top w:val="none" w:sz="0" w:space="0" w:color="auto"/>
        <w:left w:val="none" w:sz="0" w:space="0" w:color="auto"/>
        <w:bottom w:val="none" w:sz="0" w:space="0" w:color="auto"/>
        <w:right w:val="none" w:sz="0" w:space="0" w:color="auto"/>
      </w:divBdr>
    </w:div>
    <w:div w:id="1002008060">
      <w:bodyDiv w:val="1"/>
      <w:marLeft w:val="0"/>
      <w:marRight w:val="0"/>
      <w:marTop w:val="0"/>
      <w:marBottom w:val="0"/>
      <w:divBdr>
        <w:top w:val="none" w:sz="0" w:space="0" w:color="auto"/>
        <w:left w:val="none" w:sz="0" w:space="0" w:color="auto"/>
        <w:bottom w:val="none" w:sz="0" w:space="0" w:color="auto"/>
        <w:right w:val="none" w:sz="0" w:space="0" w:color="auto"/>
      </w:divBdr>
      <w:divsChild>
        <w:div w:id="1412922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001431">
      <w:bodyDiv w:val="1"/>
      <w:marLeft w:val="0"/>
      <w:marRight w:val="0"/>
      <w:marTop w:val="0"/>
      <w:marBottom w:val="0"/>
      <w:divBdr>
        <w:top w:val="none" w:sz="0" w:space="0" w:color="auto"/>
        <w:left w:val="none" w:sz="0" w:space="0" w:color="auto"/>
        <w:bottom w:val="none" w:sz="0" w:space="0" w:color="auto"/>
        <w:right w:val="none" w:sz="0" w:space="0" w:color="auto"/>
      </w:divBdr>
    </w:div>
    <w:div w:id="1275819137">
      <w:bodyDiv w:val="1"/>
      <w:marLeft w:val="0"/>
      <w:marRight w:val="0"/>
      <w:marTop w:val="0"/>
      <w:marBottom w:val="0"/>
      <w:divBdr>
        <w:top w:val="none" w:sz="0" w:space="0" w:color="auto"/>
        <w:left w:val="none" w:sz="0" w:space="0" w:color="auto"/>
        <w:bottom w:val="none" w:sz="0" w:space="0" w:color="auto"/>
        <w:right w:val="none" w:sz="0" w:space="0" w:color="auto"/>
      </w:divBdr>
    </w:div>
    <w:div w:id="1428119063">
      <w:bodyDiv w:val="1"/>
      <w:marLeft w:val="0"/>
      <w:marRight w:val="0"/>
      <w:marTop w:val="0"/>
      <w:marBottom w:val="0"/>
      <w:divBdr>
        <w:top w:val="none" w:sz="0" w:space="0" w:color="auto"/>
        <w:left w:val="none" w:sz="0" w:space="0" w:color="auto"/>
        <w:bottom w:val="none" w:sz="0" w:space="0" w:color="auto"/>
        <w:right w:val="none" w:sz="0" w:space="0" w:color="auto"/>
      </w:divBdr>
      <w:divsChild>
        <w:div w:id="1652909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8475869">
      <w:bodyDiv w:val="1"/>
      <w:marLeft w:val="0"/>
      <w:marRight w:val="0"/>
      <w:marTop w:val="0"/>
      <w:marBottom w:val="0"/>
      <w:divBdr>
        <w:top w:val="none" w:sz="0" w:space="0" w:color="auto"/>
        <w:left w:val="none" w:sz="0" w:space="0" w:color="auto"/>
        <w:bottom w:val="none" w:sz="0" w:space="0" w:color="auto"/>
        <w:right w:val="none" w:sz="0" w:space="0" w:color="auto"/>
      </w:divBdr>
    </w:div>
    <w:div w:id="1557353423">
      <w:bodyDiv w:val="1"/>
      <w:marLeft w:val="0"/>
      <w:marRight w:val="0"/>
      <w:marTop w:val="0"/>
      <w:marBottom w:val="0"/>
      <w:divBdr>
        <w:top w:val="none" w:sz="0" w:space="0" w:color="auto"/>
        <w:left w:val="none" w:sz="0" w:space="0" w:color="auto"/>
        <w:bottom w:val="none" w:sz="0" w:space="0" w:color="auto"/>
        <w:right w:val="none" w:sz="0" w:space="0" w:color="auto"/>
      </w:divBdr>
    </w:div>
    <w:div w:id="1835610242">
      <w:bodyDiv w:val="1"/>
      <w:marLeft w:val="0"/>
      <w:marRight w:val="0"/>
      <w:marTop w:val="0"/>
      <w:marBottom w:val="0"/>
      <w:divBdr>
        <w:top w:val="none" w:sz="0" w:space="0" w:color="auto"/>
        <w:left w:val="none" w:sz="0" w:space="0" w:color="auto"/>
        <w:bottom w:val="none" w:sz="0" w:space="0" w:color="auto"/>
        <w:right w:val="none" w:sz="0" w:space="0" w:color="auto"/>
      </w:divBdr>
      <w:divsChild>
        <w:div w:id="1432899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5648647">
      <w:bodyDiv w:val="1"/>
      <w:marLeft w:val="0"/>
      <w:marRight w:val="0"/>
      <w:marTop w:val="0"/>
      <w:marBottom w:val="0"/>
      <w:divBdr>
        <w:top w:val="none" w:sz="0" w:space="0" w:color="auto"/>
        <w:left w:val="none" w:sz="0" w:space="0" w:color="auto"/>
        <w:bottom w:val="none" w:sz="0" w:space="0" w:color="auto"/>
        <w:right w:val="none" w:sz="0" w:space="0" w:color="auto"/>
      </w:divBdr>
    </w:div>
    <w:div w:id="1939751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0.jp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8" Type="http://schemas.openxmlformats.org/officeDocument/2006/relationships/image" Target="media/image0.jp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8" Type="http://schemas.openxmlformats.org/officeDocument/2006/relationships/image" Target="media/image0.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295</TotalTime>
  <Pages>9</Pages>
  <Words>1822</Words>
  <Characters>10389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cp:lastModifiedBy>Munif Al Subaie</cp:lastModifiedBy>
  <cp:revision>22</cp:revision>
  <dcterms:created xsi:type="dcterms:W3CDTF">2026-02-09T11:27:00Z</dcterms:created>
  <dcterms:modified xsi:type="dcterms:W3CDTF">2026-03-01T11:01:00Z</dcterms:modified>
</cp:coreProperties>
</file>