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DF994"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bookmarkStart w:id="0" w:name="_Hlk232778627"/>
      <w:r w:rsidRPr="00BF5EAB">
        <w:rPr>
          <w:rFonts w:ascii="Sakkal Majalla" w:eastAsia="Times New Roman" w:hAnsi="Sakkal Majalla" w:cs="Sakkal Majalla"/>
          <w:b/>
          <w:bCs/>
          <w:color w:val="0D0D0D" w:themeColor="text1" w:themeTint="F2"/>
          <w:sz w:val="36"/>
          <w:szCs w:val="36"/>
          <w:rtl/>
          <w:lang w:bidi="ar-EG"/>
        </w:rPr>
        <w:t>الفصل الثالث</w:t>
      </w:r>
    </w:p>
    <w:p w14:paraId="5FC6B1F4" w14:textId="48D0F3FA"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t>منهجية الدراسة وإجراءاتها</w:t>
      </w:r>
    </w:p>
    <w:p w14:paraId="654780CB" w14:textId="77777777" w:rsidR="005501C8" w:rsidRPr="00BF5EAB" w:rsidRDefault="005501C8"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p>
    <w:p w14:paraId="1A47DAA9"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 منهج الدراسة</w:t>
      </w:r>
    </w:p>
    <w:p w14:paraId="519C3BA4" w14:textId="0AAF9348"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3-2 وحدة التحليل</w:t>
      </w:r>
    </w:p>
    <w:p w14:paraId="71A8EFE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3-3 تصميم الدراسة</w:t>
      </w:r>
    </w:p>
    <w:p w14:paraId="790824EA"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3-4 التعريفات الإجرائية ومقاييس الأداة</w:t>
      </w:r>
    </w:p>
    <w:p w14:paraId="487D279C"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3-5 مجتمع الدراسة</w:t>
      </w:r>
    </w:p>
    <w:p w14:paraId="0465563B"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 xml:space="preserve">3-6 عينة الدراسة </w:t>
      </w:r>
    </w:p>
    <w:p w14:paraId="3EA9BEA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3-7 مبررات استخدام نمذجة المعادلات البنائية (</w:t>
      </w:r>
      <w:r w:rsidRPr="00BF5EAB">
        <w:rPr>
          <w:rFonts w:ascii="Sakkal Majalla" w:eastAsia="Times New Roman" w:hAnsi="Sakkal Majalla" w:cs="Sakkal Majalla"/>
          <w:b/>
          <w:bCs/>
          <w:color w:val="0D0D0D" w:themeColor="text1" w:themeTint="F2"/>
          <w:sz w:val="32"/>
          <w:szCs w:val="32"/>
          <w:lang w:bidi="ar-EG"/>
        </w:rPr>
        <w:t>PLS-SEM</w:t>
      </w:r>
      <w:r w:rsidRPr="00BF5EAB">
        <w:rPr>
          <w:rFonts w:ascii="Sakkal Majalla" w:eastAsia="Times New Roman" w:hAnsi="Sakkal Majalla" w:cs="Sakkal Majalla"/>
          <w:b/>
          <w:bCs/>
          <w:color w:val="0D0D0D" w:themeColor="text1" w:themeTint="F2"/>
          <w:sz w:val="32"/>
          <w:szCs w:val="32"/>
          <w:rtl/>
          <w:lang w:bidi="ar-EG"/>
        </w:rPr>
        <w:t>)</w:t>
      </w:r>
    </w:p>
    <w:p w14:paraId="1103960A"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3-8 أداة الدراسة (الاستبانة)</w:t>
      </w:r>
    </w:p>
    <w:p w14:paraId="519FA5CB"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3-10 إجراءات الدراسة</w:t>
      </w:r>
    </w:p>
    <w:p w14:paraId="74A8445E" w14:textId="3B140925"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3-11 إجراءات تنظيف ومعالجة البيانات</w:t>
      </w:r>
    </w:p>
    <w:p w14:paraId="7653D25D"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3-12 الأساليب الإحصائية</w:t>
      </w:r>
    </w:p>
    <w:p w14:paraId="08BA42AF"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3-13 حدود تعميم نتائج الدراسة:</w:t>
      </w:r>
    </w:p>
    <w:p w14:paraId="48DDC8EB" w14:textId="6C9CE1A7" w:rsidR="00BE10CC"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3-14 أخلاقيات البحث وضمانات السرية</w:t>
      </w:r>
    </w:p>
    <w:p w14:paraId="49651815" w14:textId="7777777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706B310C" w14:textId="132C9F01" w:rsidR="003B38D7" w:rsidRPr="00BF5EAB" w:rsidRDefault="003B38D7"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31DCB36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0383E540" w14:textId="77777777" w:rsidR="008C2C62" w:rsidRPr="00BF5EAB" w:rsidRDefault="008C2C62"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28F6D65E" w14:textId="77777777" w:rsidR="005501C8" w:rsidRPr="00BF5EAB" w:rsidRDefault="005501C8" w:rsidP="005501C8">
      <w:pPr>
        <w:spacing w:after="0" w:line="276" w:lineRule="auto"/>
        <w:jc w:val="center"/>
        <w:rPr>
          <w:rFonts w:ascii="Sakkal Majalla" w:eastAsia="Times New Roman" w:hAnsi="Sakkal Majalla" w:cs="Sakkal Majalla"/>
          <w:b/>
          <w:bCs/>
          <w:color w:val="0D0D0D" w:themeColor="text1" w:themeTint="F2"/>
          <w:sz w:val="32"/>
          <w:szCs w:val="32"/>
          <w:rtl/>
          <w:lang w:bidi="ar-EG"/>
        </w:rPr>
        <w:sectPr w:rsidR="005501C8" w:rsidRPr="00BF5EAB" w:rsidSect="003B07BF">
          <w:footerReference w:type="default" r:id="rId8"/>
          <w:pgSz w:w="11906" w:h="16838"/>
          <w:pgMar w:top="1418" w:right="1985" w:bottom="1418" w:left="1418" w:header="720" w:footer="720" w:gutter="0"/>
          <w:cols w:space="720"/>
          <w:bidi/>
          <w:rtlGutter/>
          <w:docGrid w:linePitch="360"/>
        </w:sectPr>
      </w:pPr>
    </w:p>
    <w:p w14:paraId="2FB97B93"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lastRenderedPageBreak/>
        <w:t>الفصل الثالث</w:t>
      </w:r>
    </w:p>
    <w:p w14:paraId="79C67F61"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t>منهجية الدراسة وإجراءاتها</w:t>
      </w:r>
    </w:p>
    <w:p w14:paraId="4B9FD5A0" w14:textId="77777777" w:rsidR="00BE10CC" w:rsidRPr="00BF5EAB" w:rsidRDefault="00BE10CC" w:rsidP="005501C8">
      <w:pPr>
        <w:spacing w:after="0" w:line="276" w:lineRule="auto"/>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تمهيد</w:t>
      </w:r>
    </w:p>
    <w:p w14:paraId="17CB2F90" w14:textId="19CD453C" w:rsidR="00223E61" w:rsidRPr="00BF5EAB" w:rsidRDefault="00BE10C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223E61" w:rsidRPr="00BF5EAB">
        <w:rPr>
          <w:rFonts w:ascii="Sakkal Majalla" w:hAnsi="Sakkal Majalla" w:cs="Sakkal Majalla"/>
          <w:color w:val="0D0D0D" w:themeColor="text1" w:themeTint="F2"/>
          <w:sz w:val="32"/>
          <w:szCs w:val="32"/>
          <w:rtl/>
        </w:rPr>
        <w:t>تناول هذا الفصل المنهجية العلمية والإجراءات الميدانية والتطبيقية التي تم الاعتماد عليها لتحقيق أهداف الدراسة، والوقوف على الدور الوسيط لجودة القرارات الاستراتيجية بأبعادها الخمسة في العلاقة بين قبول واستخدام أنظمة ذكاء الأعمال والابتكار التنظيمي لدى المديرين في المصارف العاملة بمدينة الرياض. ويُعد هذا الفصل بمثابة الإطار الإجرائي والتنفيذي الذي يحدد المسار العلمي للبحث؛ حيث يستهل بتوضيح منهج الدراسة المتبع، يليه توصيف دقيق لمجتمع الدراسة، والعينات الاستطلاعية والأساسية التي خضعت للتطبيق الميداني.</w:t>
      </w:r>
    </w:p>
    <w:p w14:paraId="0D039113" w14:textId="4261B625" w:rsidR="00BE10CC" w:rsidRPr="00BF5EAB" w:rsidRDefault="00223E6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كما تناول هذا الفصل أداة الدراسة الرئيسية المتمثلة في (الاستبانة)، والتي تم تطويرها وتوحيدها لتشمل ثلاثة محاور أساسية تقيس متغيرات النموذج التحليلي للدراسة، مع استعراض مراحل بنائها</w:t>
      </w:r>
      <w:r w:rsidR="000C2795" w:rsidRPr="00BF5EAB">
        <w:rPr>
          <w:rFonts w:ascii="Sakkal Majalla" w:hAnsi="Sakkal Majalla" w:cs="Sakkal Majalla"/>
          <w:color w:val="0D0D0D" w:themeColor="text1" w:themeTint="F2"/>
          <w:sz w:val="32"/>
          <w:szCs w:val="32"/>
          <w:rtl/>
        </w:rPr>
        <w:t xml:space="preserve"> والتحقق من خصائصها السيكومترية</w:t>
      </w:r>
      <w:r w:rsidRPr="00BF5EAB">
        <w:rPr>
          <w:rFonts w:ascii="Sakkal Majalla" w:hAnsi="Sakkal Majalla" w:cs="Sakkal Majalla"/>
          <w:color w:val="0D0D0D" w:themeColor="text1" w:themeTint="F2"/>
          <w:sz w:val="32"/>
          <w:szCs w:val="32"/>
          <w:rtl/>
        </w:rPr>
        <w:t>؛ لضمان صلاحيتها التامة للتطبيق والقياس. وأخيراً، يستعرض الفصل الخطوات الإجرائية المتبعة في جمع البيانات ميدانياً، وصولاً إلى الأساليب الإحصائية المعتمدة في المعالجة والتحليل؛ بهدف اختبار الفروض وتفسير النتائج، وهو ما يتم تفصيله على النحو التالي</w:t>
      </w:r>
      <w:r w:rsidR="005B20E7" w:rsidRPr="00BF5EAB">
        <w:rPr>
          <w:rFonts w:ascii="Sakkal Majalla" w:hAnsi="Sakkal Majalla" w:cs="Sakkal Majalla"/>
          <w:color w:val="0D0D0D" w:themeColor="text1" w:themeTint="F2"/>
          <w:sz w:val="32"/>
          <w:szCs w:val="32"/>
          <w:rtl/>
        </w:rPr>
        <w:t>:</w:t>
      </w:r>
    </w:p>
    <w:p w14:paraId="14A5AD30" w14:textId="7777777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w:t>
      </w:r>
      <w:r w:rsidRPr="00BF5EAB">
        <w:rPr>
          <w:rFonts w:ascii="Sakkal Majalla" w:eastAsia="Times New Roman" w:hAnsi="Sakkal Majalla" w:cs="Sakkal Majalla"/>
          <w:b/>
          <w:bCs/>
          <w:color w:val="0D0D0D" w:themeColor="text1" w:themeTint="F2"/>
          <w:sz w:val="32"/>
          <w:szCs w:val="32"/>
          <w:lang w:bidi="ar-EG"/>
        </w:rPr>
        <w:t xml:space="preserve"> </w:t>
      </w:r>
      <w:r w:rsidRPr="00BF5EAB">
        <w:rPr>
          <w:rFonts w:ascii="Sakkal Majalla" w:eastAsia="Times New Roman" w:hAnsi="Sakkal Majalla" w:cs="Sakkal Majalla"/>
          <w:b/>
          <w:bCs/>
          <w:color w:val="0D0D0D" w:themeColor="text1" w:themeTint="F2"/>
          <w:sz w:val="32"/>
          <w:szCs w:val="32"/>
          <w:rtl/>
          <w:lang w:bidi="ar-EG"/>
        </w:rPr>
        <w:t>منهج الدراسة</w:t>
      </w:r>
    </w:p>
    <w:p w14:paraId="5A55A473" w14:textId="384A4DC9" w:rsidR="00223E61" w:rsidRPr="00BF5EAB" w:rsidRDefault="00BE10C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45068A" w:rsidRPr="00BF5EAB">
        <w:rPr>
          <w:rFonts w:ascii="Sakkal Majalla" w:hAnsi="Sakkal Majalla" w:cs="Sakkal Majalla"/>
          <w:color w:val="0D0D0D" w:themeColor="text1" w:themeTint="F2"/>
          <w:sz w:val="32"/>
          <w:szCs w:val="32"/>
          <w:rtl/>
        </w:rPr>
        <w:t>اعتمدت الباحثة المنهج الوصفي التحليلي كإطار منهجي عام، وذلك نظراً لملائمته لأهداف الدراسة التي تسعى ليس فقط لرصد واقع استخدام أنظمة ذكاء الأعمال، بل وتفسير ديناميكيات العلاقات التفاعلية بين متغيرات النموذج. وتتخذ هذه الدراسة طابعاً كمياً (</w:t>
      </w:r>
      <w:r w:rsidR="0045068A" w:rsidRPr="00BF5EAB">
        <w:rPr>
          <w:rFonts w:ascii="Sakkal Majalla" w:hAnsi="Sakkal Majalla" w:cs="Sakkal Majalla"/>
          <w:color w:val="0D0D0D" w:themeColor="text1" w:themeTint="F2"/>
          <w:sz w:val="32"/>
          <w:szCs w:val="32"/>
        </w:rPr>
        <w:t>Quantitative</w:t>
      </w:r>
      <w:r w:rsidR="0045068A" w:rsidRPr="00BF5EAB">
        <w:rPr>
          <w:rFonts w:ascii="Sakkal Majalla" w:hAnsi="Sakkal Majalla" w:cs="Sakkal Majalla"/>
          <w:color w:val="0D0D0D" w:themeColor="text1" w:themeTint="F2"/>
          <w:sz w:val="32"/>
          <w:szCs w:val="32"/>
          <w:rtl/>
        </w:rPr>
        <w:t>)؛ حيث يتم تحويل الظواهر الإدارية والمصرفية إلى بيانات رقمية قابلة للقياس والتحليل الإحصائي الدقيق</w:t>
      </w:r>
      <w:r w:rsidR="00223E61" w:rsidRPr="00BF5EAB">
        <w:rPr>
          <w:rFonts w:ascii="Sakkal Majalla" w:hAnsi="Sakkal Majalla" w:cs="Sakkal Majalla"/>
          <w:color w:val="0D0D0D" w:themeColor="text1" w:themeTint="F2"/>
          <w:sz w:val="32"/>
          <w:szCs w:val="32"/>
          <w:rtl/>
        </w:rPr>
        <w:t>. ويُعرَّف هذا المنهج بأنه</w:t>
      </w:r>
      <w:r w:rsidR="005B20E7" w:rsidRPr="00BF5EAB">
        <w:rPr>
          <w:rFonts w:ascii="Sakkal Majalla" w:hAnsi="Sakkal Majalla" w:cs="Sakkal Majalla"/>
          <w:color w:val="0D0D0D" w:themeColor="text1" w:themeTint="F2"/>
          <w:sz w:val="32"/>
          <w:szCs w:val="32"/>
          <w:rtl/>
        </w:rPr>
        <w:t>:</w:t>
      </w:r>
      <w:r w:rsidR="00223E61" w:rsidRPr="00BF5EAB">
        <w:rPr>
          <w:rFonts w:ascii="Sakkal Majalla" w:hAnsi="Sakkal Majalla" w:cs="Sakkal Majalla"/>
          <w:color w:val="0D0D0D" w:themeColor="text1" w:themeTint="F2"/>
          <w:sz w:val="32"/>
          <w:szCs w:val="32"/>
          <w:rtl/>
        </w:rPr>
        <w:t xml:space="preserve"> "طريقة لوصف الموضوع المراد دراسته من خلال منهجية علمية صحيحة، وتصوير النتائج التي يتم التوصل إليها على أشكال رقمية معبرة يمكن تفسيرها" (المحمودي، 2019، ص.46).</w:t>
      </w:r>
    </w:p>
    <w:p w14:paraId="66115A72" w14:textId="59A143EA" w:rsidR="0045068A" w:rsidRPr="00BF5EAB" w:rsidRDefault="0045068A" w:rsidP="005501C8">
      <w:pPr>
        <w:spacing w:after="0" w:line="276" w:lineRule="auto"/>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ولتحقيق أهدافها، تأخذ الدراسة الأبعاد المنهجية التالية</w:t>
      </w:r>
      <w:r w:rsidR="005B20E7" w:rsidRPr="00BF5EAB">
        <w:rPr>
          <w:rFonts w:ascii="Sakkal Majalla" w:hAnsi="Sakkal Majalla" w:cs="Sakkal Majalla"/>
          <w:color w:val="0D0D0D" w:themeColor="text1" w:themeTint="F2"/>
          <w:sz w:val="32"/>
          <w:szCs w:val="32"/>
          <w:rtl/>
        </w:rPr>
        <w:t>:</w:t>
      </w:r>
    </w:p>
    <w:p w14:paraId="7FD84867" w14:textId="03B39004"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الدراسة المسحية (</w:t>
      </w:r>
      <w:r w:rsidRPr="00BF5EAB">
        <w:rPr>
          <w:rFonts w:ascii="Sakkal Majalla" w:hAnsi="Sakkal Majalla" w:cs="Sakkal Majalla"/>
          <w:color w:val="0D0D0D" w:themeColor="text1" w:themeTint="F2"/>
          <w:sz w:val="32"/>
          <w:szCs w:val="32"/>
        </w:rPr>
        <w:t>Survey Research</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حيث تم الاعتماد على الاستبانة كأداة رئيسية لجمع البيانات من عينة ممثلة للقيادات المصرفية، مما يسمح بتعميم النتائج على مجتمع الدراسة الأصلي في مدينة الرياض.</w:t>
      </w:r>
    </w:p>
    <w:p w14:paraId="71929006" w14:textId="521A8250"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الدراسة المقطعية (</w:t>
      </w:r>
      <w:r w:rsidRPr="00BF5EAB">
        <w:rPr>
          <w:rFonts w:ascii="Sakkal Majalla" w:hAnsi="Sakkal Majalla" w:cs="Sakkal Majalla"/>
          <w:color w:val="0D0D0D" w:themeColor="text1" w:themeTint="F2"/>
          <w:sz w:val="32"/>
          <w:szCs w:val="32"/>
        </w:rPr>
        <w:t>Cross-sectional Study</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حيث يتم جمع البيانات في نقطة زمنية محددة خلال العام 2026م، مما يوفر لقطة واقعية (</w:t>
      </w:r>
      <w:r w:rsidRPr="00BF5EAB">
        <w:rPr>
          <w:rFonts w:ascii="Sakkal Majalla" w:hAnsi="Sakkal Majalla" w:cs="Sakkal Majalla"/>
          <w:color w:val="0D0D0D" w:themeColor="text1" w:themeTint="F2"/>
          <w:sz w:val="32"/>
          <w:szCs w:val="32"/>
        </w:rPr>
        <w:t>Snapshot</w:t>
      </w:r>
      <w:r w:rsidRPr="00BF5EAB">
        <w:rPr>
          <w:rFonts w:ascii="Sakkal Majalla" w:hAnsi="Sakkal Majalla" w:cs="Sakkal Majalla"/>
          <w:color w:val="0D0D0D" w:themeColor="text1" w:themeTint="F2"/>
          <w:sz w:val="32"/>
          <w:szCs w:val="32"/>
          <w:rtl/>
        </w:rPr>
        <w:t>) لحالة قبول واستخدام أنظمة ذكاء الأعمال ومستويات الابتكار التنظيمي في القطاع المصرفي في ظل الظروف الراهنة.</w:t>
      </w:r>
    </w:p>
    <w:p w14:paraId="66DC2C2B" w14:textId="2AA65560"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الدراسة التفسيرية / الارتباطية (</w:t>
      </w:r>
      <w:r w:rsidRPr="00BF5EAB">
        <w:rPr>
          <w:rFonts w:ascii="Sakkal Majalla" w:hAnsi="Sakkal Majalla" w:cs="Sakkal Majalla"/>
          <w:color w:val="0D0D0D" w:themeColor="text1" w:themeTint="F2"/>
          <w:sz w:val="32"/>
          <w:szCs w:val="32"/>
        </w:rPr>
        <w:t>Explanatory/Correlational Study</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لا تكتفي الدراسة بالوصف السطحي، بل تتجاوزه إلى البحث عن الارتباطات والروابط السببية بين المتغيرات؛ حيث تهدف إلى اختبار قوة واتجاه الأثر المباشر لذكاء الأعمال على الابتكار التنظيمي، والتحقق من الدور الوسيط المتغير لجودة القرارات الاستراتيجية. هذا التوجه التفسيري يُمكّن الباحثة من اختبار فرضيات النموذج من خلال نمذجة المعادلات البنائية (</w:t>
      </w:r>
      <w:r w:rsidRPr="00BF5EAB">
        <w:rPr>
          <w:rFonts w:ascii="Sakkal Majalla" w:hAnsi="Sakkal Majalla" w:cs="Sakkal Majalla"/>
          <w:color w:val="0D0D0D" w:themeColor="text1" w:themeTint="F2"/>
          <w:sz w:val="32"/>
          <w:szCs w:val="32"/>
        </w:rPr>
        <w:t>SEM-PLS</w:t>
      </w:r>
      <w:r w:rsidRPr="00BF5EAB">
        <w:rPr>
          <w:rFonts w:ascii="Sakkal Majalla" w:hAnsi="Sakkal Majalla" w:cs="Sakkal Majalla"/>
          <w:color w:val="0D0D0D" w:themeColor="text1" w:themeTint="F2"/>
          <w:sz w:val="32"/>
          <w:szCs w:val="32"/>
          <w:rtl/>
        </w:rPr>
        <w:t>)، وهو ما يتجاوز الوصف البسيط إلى فهم كيف ولماذا تؤثر التقنيات الحديثة في المخرجات الاستراتيجية للمصارف.</w:t>
      </w:r>
    </w:p>
    <w:p w14:paraId="780AD1A3" w14:textId="27976595"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إن هذا التكامل بين الطبيعة المسحية والتحليل التفسيري يُعد الخيار المنهجي الأمثل لدراسة بيئة مصرفية تتسم بالحساسية والتنافسية العالية، حيث يُوفر إطاراً علمياً رصيناً لتقديم استنتاجات قائمة على أدلة إحصائية حول دور ذكاء الأعمال في صياغة مستقبل الابتكار في القطاع المصرفي السعودي.</w:t>
      </w:r>
    </w:p>
    <w:p w14:paraId="143F6FDA" w14:textId="3071C822" w:rsidR="00223E61" w:rsidRPr="00BF5EAB" w:rsidRDefault="00223E61" w:rsidP="005501C8">
      <w:pPr>
        <w:spacing w:after="0" w:line="276" w:lineRule="auto"/>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وقد تم اختيار هذا المنهج وتفضيله بناءً على المسوّغات المنهجية التالية</w:t>
      </w:r>
      <w:r w:rsidR="005B20E7" w:rsidRPr="00BF5EAB">
        <w:rPr>
          <w:rFonts w:ascii="Sakkal Majalla" w:hAnsi="Sakkal Majalla" w:cs="Sakkal Majalla"/>
          <w:color w:val="0D0D0D" w:themeColor="text1" w:themeTint="F2"/>
          <w:sz w:val="32"/>
          <w:szCs w:val="32"/>
          <w:rtl/>
        </w:rPr>
        <w:t>:</w:t>
      </w:r>
    </w:p>
    <w:p w14:paraId="3DEFD5F2" w14:textId="18CF8198" w:rsidR="00666E30"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الشمولية في التحليل التفسيري والارتباطي؛ إذ يتجاوز هذا المنهج الوصف السطحي لواقع المتغيرات إلى تفسير ديناميكيات العلاقات التفاعلية؛ حيث يتيح اختبار فرضيات النموذج وقياس قوة واتجاه الأثر المباشر وغير المباشر بين (قبول أنظمة ذكاء الأعمال، </w:t>
      </w:r>
      <w:r w:rsidR="00173763" w:rsidRPr="00BF5EAB">
        <w:rPr>
          <w:rFonts w:ascii="Sakkal Majalla" w:hAnsi="Sakkal Majalla" w:cs="Sakkal Majalla"/>
          <w:color w:val="0D0D0D" w:themeColor="text1" w:themeTint="F2"/>
          <w:sz w:val="32"/>
          <w:szCs w:val="32"/>
          <w:rtl/>
        </w:rPr>
        <w:t>و</w:t>
      </w:r>
      <w:r w:rsidRPr="00BF5EAB">
        <w:rPr>
          <w:rFonts w:ascii="Sakkal Majalla" w:hAnsi="Sakkal Majalla" w:cs="Sakkal Majalla"/>
          <w:color w:val="0D0D0D" w:themeColor="text1" w:themeTint="F2"/>
          <w:sz w:val="32"/>
          <w:szCs w:val="32"/>
          <w:rtl/>
        </w:rPr>
        <w:t>جودة القرارات الاستراتيجية، والابتكار التنظيمي)، مما يفسر كيف ولماذا تؤثر التقنيات الحديثة في المخرجات الاستراتيجية</w:t>
      </w:r>
      <w:r w:rsidRPr="00BF5EAB">
        <w:rPr>
          <w:rFonts w:ascii="Sakkal Majalla" w:hAnsi="Sakkal Majalla" w:cs="Sakkal Majalla"/>
          <w:color w:val="0D0D0D" w:themeColor="text1" w:themeTint="F2"/>
          <w:sz w:val="32"/>
          <w:szCs w:val="32"/>
        </w:rPr>
        <w:t>.</w:t>
      </w:r>
    </w:p>
    <w:p w14:paraId="6500AB36" w14:textId="181473AD" w:rsidR="00666E30"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من خلال تبني الطابع الكمي، تتحول الظواهر الإدارية إلى بيانات رقمية مقننة، مما يُمكّن الباحثة من إخضاعها للتحليل الإحصائي المتقدم عبر نمذجة المعادلات البنائية</w:t>
      </w:r>
      <w:r w:rsidRPr="00BF5EAB">
        <w:rPr>
          <w:rFonts w:ascii="Sakkal Majalla" w:hAnsi="Sakkal Majalla" w:cs="Sakkal Majalla"/>
          <w:color w:val="0D0D0D" w:themeColor="text1" w:themeTint="F2"/>
          <w:sz w:val="32"/>
          <w:szCs w:val="32"/>
        </w:rPr>
        <w:t xml:space="preserve"> (SEM-PLS)</w:t>
      </w:r>
      <w:r w:rsidRPr="00BF5EAB">
        <w:rPr>
          <w:rFonts w:ascii="Sakkal Majalla" w:hAnsi="Sakkal Majalla" w:cs="Sakkal Majalla"/>
          <w:color w:val="0D0D0D" w:themeColor="text1" w:themeTint="F2"/>
          <w:sz w:val="32"/>
          <w:szCs w:val="32"/>
          <w:rtl/>
        </w:rPr>
        <w:t>، وهو ما يتجاوز أدوات الوصف البسيطة إلى فهم أعمق للمتغيرات الكامنة من الدرجة الأولى والثانية</w:t>
      </w:r>
      <w:r w:rsidRPr="00BF5EAB">
        <w:rPr>
          <w:rFonts w:ascii="Sakkal Majalla" w:hAnsi="Sakkal Majalla" w:cs="Sakkal Majalla"/>
          <w:color w:val="0D0D0D" w:themeColor="text1" w:themeTint="F2"/>
          <w:sz w:val="32"/>
          <w:szCs w:val="32"/>
        </w:rPr>
        <w:t>.</w:t>
      </w:r>
    </w:p>
    <w:p w14:paraId="719803E5" w14:textId="2D11ED79" w:rsidR="00666E30"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توفر الدراسة المسحية</w:t>
      </w:r>
      <w:r w:rsidRPr="00BF5EAB">
        <w:rPr>
          <w:rFonts w:ascii="Sakkal Majalla" w:hAnsi="Sakkal Majalla" w:cs="Sakkal Majalla"/>
          <w:color w:val="0D0D0D" w:themeColor="text1" w:themeTint="F2"/>
          <w:sz w:val="32"/>
          <w:szCs w:val="32"/>
        </w:rPr>
        <w:t xml:space="preserve"> (Survey Research) </w:t>
      </w:r>
      <w:r w:rsidRPr="00BF5EAB">
        <w:rPr>
          <w:rFonts w:ascii="Sakkal Majalla" w:hAnsi="Sakkal Majalla" w:cs="Sakkal Majalla"/>
          <w:color w:val="0D0D0D" w:themeColor="text1" w:themeTint="F2"/>
          <w:sz w:val="32"/>
          <w:szCs w:val="32"/>
          <w:rtl/>
        </w:rPr>
        <w:t>إطاراً منظماً لجمع البيانات من عينة ممثلة للقيادات المصرفية، مما يمنح الدراسة قدرة إحصائية على تعميم النتائج والتوصل إلى استنتاجات قائمة على أدلة علمية مستمدة من الممارسات الفعلية في القطاع المصرفي</w:t>
      </w:r>
      <w:r w:rsidRPr="00BF5EAB">
        <w:rPr>
          <w:rFonts w:ascii="Sakkal Majalla" w:hAnsi="Sakkal Majalla" w:cs="Sakkal Majalla"/>
          <w:color w:val="0D0D0D" w:themeColor="text1" w:themeTint="F2"/>
          <w:sz w:val="32"/>
          <w:szCs w:val="32"/>
        </w:rPr>
        <w:t>.</w:t>
      </w:r>
    </w:p>
    <w:p w14:paraId="243DB1FB" w14:textId="280DD0CD" w:rsidR="00666E30"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تضمن الطبيعة المقطعية</w:t>
      </w:r>
      <w:r w:rsidRPr="00BF5EAB">
        <w:rPr>
          <w:rFonts w:ascii="Sakkal Majalla" w:hAnsi="Sakkal Majalla" w:cs="Sakkal Majalla"/>
          <w:color w:val="0D0D0D" w:themeColor="text1" w:themeTint="F2"/>
          <w:sz w:val="32"/>
          <w:szCs w:val="32"/>
        </w:rPr>
        <w:t xml:space="preserve"> (Cross-sectional Study) </w:t>
      </w:r>
      <w:r w:rsidRPr="00BF5EAB">
        <w:rPr>
          <w:rFonts w:ascii="Sakkal Majalla" w:hAnsi="Sakkal Majalla" w:cs="Sakkal Majalla"/>
          <w:color w:val="0D0D0D" w:themeColor="text1" w:themeTint="F2"/>
          <w:sz w:val="32"/>
          <w:szCs w:val="32"/>
          <w:rtl/>
        </w:rPr>
        <w:t>تقديم لقطة واقعية</w:t>
      </w:r>
      <w:r w:rsidRPr="00BF5EAB">
        <w:rPr>
          <w:rFonts w:ascii="Sakkal Majalla" w:hAnsi="Sakkal Majalla" w:cs="Sakkal Majalla"/>
          <w:color w:val="0D0D0D" w:themeColor="text1" w:themeTint="F2"/>
          <w:sz w:val="32"/>
          <w:szCs w:val="32"/>
        </w:rPr>
        <w:t xml:space="preserve"> (Snapshot) </w:t>
      </w:r>
      <w:r w:rsidRPr="00BF5EAB">
        <w:rPr>
          <w:rFonts w:ascii="Sakkal Majalla" w:hAnsi="Sakkal Majalla" w:cs="Sakkal Majalla"/>
          <w:color w:val="0D0D0D" w:themeColor="text1" w:themeTint="F2"/>
          <w:sz w:val="32"/>
          <w:szCs w:val="32"/>
          <w:rtl/>
        </w:rPr>
        <w:t>دقيقة ومحدثة لحالة قبول أنظمة ذكاء الأعمال ومستويات الابتكار في القطاع المصرفي خلال العام 2026م، مما يعكس استجابات موضوعية ترتبط بالظروف التنافسية الراهنة تحت مظلة رؤية المملكة 2030</w:t>
      </w:r>
      <w:r w:rsidRPr="00BF5EAB">
        <w:rPr>
          <w:rFonts w:ascii="Sakkal Majalla" w:hAnsi="Sakkal Majalla" w:cs="Sakkal Majalla"/>
          <w:color w:val="0D0D0D" w:themeColor="text1" w:themeTint="F2"/>
          <w:sz w:val="32"/>
          <w:szCs w:val="32"/>
        </w:rPr>
        <w:t>.</w:t>
      </w:r>
    </w:p>
    <w:p w14:paraId="13BEE3EC" w14:textId="17B956FB" w:rsidR="00223E61" w:rsidRPr="00BF5EAB" w:rsidRDefault="00666E30" w:rsidP="005501C8">
      <w:pPr>
        <w:pStyle w:val="ListParagraph"/>
        <w:numPr>
          <w:ilvl w:val="0"/>
          <w:numId w:val="19"/>
        </w:numPr>
        <w:bidi/>
        <w:spacing w:after="0"/>
        <w:ind w:left="437"/>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يُعد هذا التكامل المنهجي هو الخيار الأمثل لدراسة البيئات التنظيمية المصرفية؛ إذ يُتيح للباحثة تصوير التفاعل القيادي مع التطورات التقنية دون تدخل في البيئة الطبيعية للعمل، مما يضمن الحصول على بيانات تتسم بالموضوعية والمصداقية، وتدعم بناء استراتيجيات مبتكرة في قطاع يتميز بالتنافسية العالية</w:t>
      </w:r>
      <w:r w:rsidR="002623DF" w:rsidRPr="00BF5EAB">
        <w:rPr>
          <w:rFonts w:ascii="Sakkal Majalla" w:hAnsi="Sakkal Majalla" w:cs="Sakkal Majalla"/>
          <w:color w:val="0D0D0D" w:themeColor="text1" w:themeTint="F2"/>
          <w:sz w:val="32"/>
          <w:szCs w:val="32"/>
          <w:rtl/>
        </w:rPr>
        <w:t>.</w:t>
      </w:r>
    </w:p>
    <w:p w14:paraId="74983485" w14:textId="371C436D" w:rsidR="00152C21" w:rsidRPr="00BF5EAB" w:rsidRDefault="00152C21" w:rsidP="005501C8">
      <w:pPr>
        <w:spacing w:after="0" w:line="276" w:lineRule="auto"/>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3-2 وحدة التحليل</w:t>
      </w:r>
      <w:r w:rsidR="00EC65A3" w:rsidRPr="00BF5EAB">
        <w:rPr>
          <w:rFonts w:ascii="Sakkal Majalla" w:hAnsi="Sakkal Majalla" w:cs="Sakkal Majalla"/>
          <w:b/>
          <w:bCs/>
          <w:color w:val="0D0D0D" w:themeColor="text1" w:themeTint="F2"/>
          <w:sz w:val="32"/>
          <w:szCs w:val="32"/>
          <w:rtl/>
        </w:rPr>
        <w:t>:</w:t>
      </w:r>
    </w:p>
    <w:p w14:paraId="0E23D452" w14:textId="36994CA0" w:rsidR="00152C21" w:rsidRPr="00BF5EAB" w:rsidRDefault="00152C2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تتمثل وحدة التحليل (</w:t>
      </w:r>
      <w:r w:rsidRPr="00BF5EAB">
        <w:rPr>
          <w:rFonts w:ascii="Sakkal Majalla" w:hAnsi="Sakkal Majalla" w:cs="Sakkal Majalla"/>
          <w:color w:val="0D0D0D" w:themeColor="text1" w:themeTint="F2"/>
          <w:sz w:val="32"/>
          <w:szCs w:val="32"/>
        </w:rPr>
        <w:t>Unit of Analysis</w:t>
      </w:r>
      <w:r w:rsidRPr="00BF5EAB">
        <w:rPr>
          <w:rFonts w:ascii="Sakkal Majalla" w:hAnsi="Sakkal Majalla" w:cs="Sakkal Majalla"/>
          <w:color w:val="0D0D0D" w:themeColor="text1" w:themeTint="F2"/>
          <w:sz w:val="32"/>
          <w:szCs w:val="32"/>
          <w:rtl/>
        </w:rPr>
        <w:t>) في هذه الدراسة في "المدير الفرد" من القيادات الإدارية والمصرفية العاملة في المصارف المستهدفة بمدينة الرياض. فقد وقع الاختيار على الفرد كونه المصدر المباشر للبيانات والتصورات حول ممارسات استخدام أنظمة ذكاء الأعمال، واتخاذ القرارات الاستراتيجية، وقيادة الابتكار التنظيمي. وعلى الرغم من أن أثر هذه الممارسات يمتد ليشمل الإدارات أو المصرف ككل (كأثر تنظيمي)، إلا أن الاستجابات تظل فردية وتعكس اتجاهات وخبرات القيادات المسؤولة عن اتخاذ هذه القرارات وتفعيل تلك التقنيات.</w:t>
      </w:r>
    </w:p>
    <w:p w14:paraId="6338D58B" w14:textId="58F3E478" w:rsidR="00152C21" w:rsidRPr="00BF5EAB" w:rsidRDefault="00152C2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ويترتب على هذا التحديد ارتباط منهجي وثيق بطريقة جمع البيانات والتحليل، يتمثل في الآتي</w:t>
      </w:r>
      <w:r w:rsidR="005B20E7" w:rsidRPr="00BF5EAB">
        <w:rPr>
          <w:rFonts w:ascii="Sakkal Majalla" w:hAnsi="Sakkal Majalla" w:cs="Sakkal Majalla"/>
          <w:color w:val="0D0D0D" w:themeColor="text1" w:themeTint="F2"/>
          <w:sz w:val="32"/>
          <w:szCs w:val="32"/>
          <w:rtl/>
        </w:rPr>
        <w:t>:</w:t>
      </w:r>
    </w:p>
    <w:p w14:paraId="42C73157" w14:textId="0BFD3649" w:rsidR="00152C21" w:rsidRPr="00BF5EAB" w:rsidRDefault="00152C21" w:rsidP="005501C8">
      <w:pPr>
        <w:pStyle w:val="ListParagraph"/>
        <w:numPr>
          <w:ilvl w:val="0"/>
          <w:numId w:val="20"/>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على مستوى جمع البيانات</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تم تصميم أداة الدراسة (الاستبانة) لتُطبق على المستوى الفردي، حيث استهدفت استقصاء تصورات وممارسات كل مدير بناءً على خبرته المباشرة ودوره الوظيفي في بيئة عمله؛ مما يضمن الحصول على بيانات دقيقة وغير معممة تعكس وعي القيادات بالتحديات والفرص التقنية في مواقعهم الإدارية المختلفة.</w:t>
      </w:r>
    </w:p>
    <w:p w14:paraId="3C4AA0CB" w14:textId="181ED707" w:rsidR="00152C21" w:rsidRPr="00BF5EAB" w:rsidRDefault="00152C21" w:rsidP="005501C8">
      <w:pPr>
        <w:pStyle w:val="ListParagraph"/>
        <w:numPr>
          <w:ilvl w:val="0"/>
          <w:numId w:val="20"/>
        </w:numPr>
        <w:bidi/>
        <w:spacing w:after="0"/>
        <w:ind w:left="437"/>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على مستوى التحليل الإحصائي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بما أن وحدة التحليل هي الفرد، فقد تم اعتماد أساليب إحصائية عبر برنامج (</w:t>
      </w:r>
      <w:proofErr w:type="spellStart"/>
      <w:r w:rsidRPr="00BF5EAB">
        <w:rPr>
          <w:rFonts w:ascii="Sakkal Majalla" w:hAnsi="Sakkal Majalla" w:cs="Sakkal Majalla"/>
          <w:color w:val="0D0D0D" w:themeColor="text1" w:themeTint="F2"/>
          <w:sz w:val="32"/>
          <w:szCs w:val="32"/>
        </w:rPr>
        <w:t>SmartPLS</w:t>
      </w:r>
      <w:proofErr w:type="spellEnd"/>
      <w:r w:rsidRPr="00BF5EAB">
        <w:rPr>
          <w:rFonts w:ascii="Sakkal Majalla" w:hAnsi="Sakkal Majalla" w:cs="Sakkal Majalla"/>
          <w:color w:val="0D0D0D" w:themeColor="text1" w:themeTint="F2"/>
          <w:sz w:val="32"/>
          <w:szCs w:val="32"/>
          <w:rtl/>
        </w:rPr>
        <w:t>) تتعامل مع استجابات الأفراد كوحدات تحليل مستقلة، مع تجميع هذه الاستجابات إحصائياً للتوصل إلى استنتاجات تعميمية حول مستويات ذكاء الأعمال والابتكار. هذا الربط يتيح للباحثة إجراء مقارنات دقيقة بين المجموعات الفرعية (مثل المقارنة بين الإدارات الاستراتيجية والتقنية، أو بين أنواع المصارف)، مما يعزز من القدرة التفسيرية لنتائج الدراسة، ويُمكن من نمذجة العلاقات الهيكلية على مستوى الفرد القيادي، ثم استقراء دلالاتها على مستوى الإدارة والمؤسسة المصرفية ككل.</w:t>
      </w:r>
    </w:p>
    <w:p w14:paraId="39942A05" w14:textId="0FE1C8DE" w:rsidR="00152C21" w:rsidRPr="00BF5EAB" w:rsidRDefault="003E2199" w:rsidP="005501C8">
      <w:pPr>
        <w:spacing w:after="0" w:line="276" w:lineRule="auto"/>
        <w:ind w:left="7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lastRenderedPageBreak/>
        <w:t>3-3 تصميم الدراسة</w:t>
      </w:r>
    </w:p>
    <w:p w14:paraId="738A8DAC" w14:textId="1B8BD1CE" w:rsidR="003E2199" w:rsidRPr="00BF5EAB" w:rsidRDefault="003E2199" w:rsidP="005501C8">
      <w:pPr>
        <w:spacing w:after="0" w:line="276" w:lineRule="auto"/>
        <w:ind w:left="7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تعتمد هذه الدراسة على التصميم الوصفي التحليلي التفسيري، والذي يجمع بين المرونة في جمع البيانات والدقة في اختبار العلاقات السببية بين المتغيرات. ويتحدد التصميم المنهجي للدراسة وفق الأبعاد الإجرائية التالية</w:t>
      </w:r>
      <w:r w:rsidR="005B20E7" w:rsidRPr="00BF5EAB">
        <w:rPr>
          <w:rFonts w:ascii="Sakkal Majalla" w:hAnsi="Sakkal Majalla" w:cs="Sakkal Majalla"/>
          <w:color w:val="0D0D0D" w:themeColor="text1" w:themeTint="F2"/>
          <w:sz w:val="32"/>
          <w:szCs w:val="32"/>
          <w:rtl/>
        </w:rPr>
        <w:t>:</w:t>
      </w:r>
    </w:p>
    <w:p w14:paraId="6B01FD08" w14:textId="3BE363C5" w:rsidR="003E2199" w:rsidRPr="00BF5EAB" w:rsidRDefault="003E2199" w:rsidP="005501C8">
      <w:pPr>
        <w:pStyle w:val="ListParagraph"/>
        <w:numPr>
          <w:ilvl w:val="0"/>
          <w:numId w:val="21"/>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نوع التصميم (</w:t>
      </w:r>
      <w:r w:rsidRPr="00BF5EAB">
        <w:rPr>
          <w:rFonts w:ascii="Sakkal Majalla" w:hAnsi="Sakkal Majalla" w:cs="Sakkal Majalla"/>
          <w:color w:val="0D0D0D" w:themeColor="text1" w:themeTint="F2"/>
          <w:sz w:val="32"/>
          <w:szCs w:val="32"/>
        </w:rPr>
        <w:t>Design Type</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تصنف الدراسة كدراسة كمية (</w:t>
      </w:r>
      <w:r w:rsidRPr="00BF5EAB">
        <w:rPr>
          <w:rFonts w:ascii="Sakkal Majalla" w:hAnsi="Sakkal Majalla" w:cs="Sakkal Majalla"/>
          <w:color w:val="0D0D0D" w:themeColor="text1" w:themeTint="F2"/>
          <w:sz w:val="32"/>
          <w:szCs w:val="32"/>
        </w:rPr>
        <w:t>Quantitative</w:t>
      </w:r>
      <w:r w:rsidRPr="00BF5EAB">
        <w:rPr>
          <w:rFonts w:ascii="Sakkal Majalla" w:hAnsi="Sakkal Majalla" w:cs="Sakkal Majalla"/>
          <w:color w:val="0D0D0D" w:themeColor="text1" w:themeTint="F2"/>
          <w:sz w:val="32"/>
          <w:szCs w:val="32"/>
          <w:rtl/>
        </w:rPr>
        <w:t>)، تعتمد على استراتيجية المسح الميداني لجمع البيانات وتحويل التصورات الإدارية إلى مؤشرات رقمية؛ وذلك بهدف فهم وتفسير ديناميكيات العلاقات التفاعلية ضمن النموذج التحليلي.</w:t>
      </w:r>
    </w:p>
    <w:p w14:paraId="485564D1" w14:textId="02B40E11" w:rsidR="003E2199" w:rsidRPr="00BF5EAB" w:rsidRDefault="003E2199" w:rsidP="005501C8">
      <w:pPr>
        <w:pStyle w:val="ListParagraph"/>
        <w:numPr>
          <w:ilvl w:val="0"/>
          <w:numId w:val="21"/>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الزمني (</w:t>
      </w:r>
      <w:r w:rsidRPr="00BF5EAB">
        <w:rPr>
          <w:rFonts w:ascii="Sakkal Majalla" w:hAnsi="Sakkal Majalla" w:cs="Sakkal Majalla"/>
          <w:color w:val="0D0D0D" w:themeColor="text1" w:themeTint="F2"/>
          <w:sz w:val="32"/>
          <w:szCs w:val="32"/>
        </w:rPr>
        <w:t>Temporal Dimension</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تعد الدراسة مقطعية (</w:t>
      </w:r>
      <w:r w:rsidRPr="00BF5EAB">
        <w:rPr>
          <w:rFonts w:ascii="Sakkal Majalla" w:hAnsi="Sakkal Majalla" w:cs="Sakkal Majalla"/>
          <w:color w:val="0D0D0D" w:themeColor="text1" w:themeTint="F2"/>
          <w:sz w:val="32"/>
          <w:szCs w:val="32"/>
        </w:rPr>
        <w:t>Cross-sectional Study</w:t>
      </w:r>
      <w:r w:rsidRPr="00BF5EAB">
        <w:rPr>
          <w:rFonts w:ascii="Sakkal Majalla" w:hAnsi="Sakkal Majalla" w:cs="Sakkal Majalla"/>
          <w:color w:val="0D0D0D" w:themeColor="text1" w:themeTint="F2"/>
          <w:sz w:val="32"/>
          <w:szCs w:val="32"/>
          <w:rtl/>
        </w:rPr>
        <w:t>)؛ حيث يتم جمع البيانات في نقطة زمنية محددة خلال العام 2026م، مما يوفر "لقطة واقعية" (</w:t>
      </w:r>
      <w:r w:rsidRPr="00BF5EAB">
        <w:rPr>
          <w:rFonts w:ascii="Sakkal Majalla" w:hAnsi="Sakkal Majalla" w:cs="Sakkal Majalla"/>
          <w:color w:val="0D0D0D" w:themeColor="text1" w:themeTint="F2"/>
          <w:sz w:val="32"/>
          <w:szCs w:val="32"/>
        </w:rPr>
        <w:t>Snapshot</w:t>
      </w:r>
      <w:r w:rsidRPr="00BF5EAB">
        <w:rPr>
          <w:rFonts w:ascii="Sakkal Majalla" w:hAnsi="Sakkal Majalla" w:cs="Sakkal Majalla"/>
          <w:color w:val="0D0D0D" w:themeColor="text1" w:themeTint="F2"/>
          <w:sz w:val="32"/>
          <w:szCs w:val="32"/>
          <w:rtl/>
        </w:rPr>
        <w:t>) تعكس اتجاهات القيادات المصرفية تجاه أنظمة ذكاء الأعمال والابتكار التنظيمي في ظل الظروف التنافسية الراهنة.</w:t>
      </w:r>
    </w:p>
    <w:p w14:paraId="786F0B48" w14:textId="3120CBF7" w:rsidR="003E2199" w:rsidRPr="00BF5EAB" w:rsidRDefault="003E2199" w:rsidP="005501C8">
      <w:pPr>
        <w:pStyle w:val="ListParagraph"/>
        <w:numPr>
          <w:ilvl w:val="0"/>
          <w:numId w:val="21"/>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مستوى القياس (</w:t>
      </w:r>
      <w:r w:rsidRPr="00BF5EAB">
        <w:rPr>
          <w:rFonts w:ascii="Sakkal Majalla" w:hAnsi="Sakkal Majalla" w:cs="Sakkal Majalla"/>
          <w:color w:val="0D0D0D" w:themeColor="text1" w:themeTint="F2"/>
          <w:sz w:val="32"/>
          <w:szCs w:val="32"/>
        </w:rPr>
        <w:t>Level of Measurement</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تعتمد الدراسة على مستوى القياس الكامن (</w:t>
      </w:r>
      <w:r w:rsidRPr="00BF5EAB">
        <w:rPr>
          <w:rFonts w:ascii="Sakkal Majalla" w:hAnsi="Sakkal Majalla" w:cs="Sakkal Majalla"/>
          <w:color w:val="0D0D0D" w:themeColor="text1" w:themeTint="F2"/>
          <w:sz w:val="32"/>
          <w:szCs w:val="32"/>
        </w:rPr>
        <w:t>Latent Variable Measurement</w:t>
      </w:r>
      <w:r w:rsidRPr="00BF5EAB">
        <w:rPr>
          <w:rFonts w:ascii="Sakkal Majalla" w:hAnsi="Sakkal Majalla" w:cs="Sakkal Majalla"/>
          <w:color w:val="0D0D0D" w:themeColor="text1" w:themeTint="F2"/>
          <w:sz w:val="32"/>
          <w:szCs w:val="32"/>
          <w:rtl/>
        </w:rPr>
        <w:t>)؛ حيث يتم قياس متغيرات الدراسة (ذكاء الأعمال، جودة القرارات الاستراتيجية، الابتكار التنظيمي) كمفاهيم غير مباشرة من خلال مؤشرات متعددة (</w:t>
      </w:r>
      <w:r w:rsidRPr="00BF5EAB">
        <w:rPr>
          <w:rFonts w:ascii="Sakkal Majalla" w:hAnsi="Sakkal Majalla" w:cs="Sakkal Majalla"/>
          <w:color w:val="0D0D0D" w:themeColor="text1" w:themeTint="F2"/>
          <w:sz w:val="32"/>
          <w:szCs w:val="32"/>
        </w:rPr>
        <w:t>Items</w:t>
      </w:r>
      <w:r w:rsidRPr="00BF5EAB">
        <w:rPr>
          <w:rFonts w:ascii="Sakkal Majalla" w:hAnsi="Sakkal Majalla" w:cs="Sakkal Majalla"/>
          <w:color w:val="0D0D0D" w:themeColor="text1" w:themeTint="F2"/>
          <w:sz w:val="32"/>
          <w:szCs w:val="32"/>
          <w:rtl/>
        </w:rPr>
        <w:t>)، مما يسمح بنمذجة المعادلات البنائية (</w:t>
      </w:r>
      <w:r w:rsidRPr="00BF5EAB">
        <w:rPr>
          <w:rFonts w:ascii="Sakkal Majalla" w:hAnsi="Sakkal Majalla" w:cs="Sakkal Majalla"/>
          <w:color w:val="0D0D0D" w:themeColor="text1" w:themeTint="F2"/>
          <w:sz w:val="32"/>
          <w:szCs w:val="32"/>
        </w:rPr>
        <w:t>SEM-PLS</w:t>
      </w:r>
      <w:r w:rsidRPr="00BF5EAB">
        <w:rPr>
          <w:rFonts w:ascii="Sakkal Majalla" w:hAnsi="Sakkal Majalla" w:cs="Sakkal Majalla"/>
          <w:color w:val="0D0D0D" w:themeColor="text1" w:themeTint="F2"/>
          <w:sz w:val="32"/>
          <w:szCs w:val="32"/>
          <w:rtl/>
        </w:rPr>
        <w:t>) لتقدير العلاقات المركبة وتجاوز القياسات السطحية.</w:t>
      </w:r>
    </w:p>
    <w:p w14:paraId="2AD777DC" w14:textId="20FFBAF6" w:rsidR="003E2199" w:rsidRPr="00BF5EAB" w:rsidRDefault="003E2199" w:rsidP="005501C8">
      <w:pPr>
        <w:pStyle w:val="ListParagraph"/>
        <w:numPr>
          <w:ilvl w:val="0"/>
          <w:numId w:val="21"/>
        </w:numPr>
        <w:bidi/>
        <w:spacing w:after="0"/>
        <w:ind w:left="351"/>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وحدة التحليل (</w:t>
      </w:r>
      <w:r w:rsidRPr="00BF5EAB">
        <w:rPr>
          <w:rFonts w:ascii="Sakkal Majalla" w:hAnsi="Sakkal Majalla" w:cs="Sakkal Majalla"/>
          <w:color w:val="0D0D0D" w:themeColor="text1" w:themeTint="F2"/>
          <w:sz w:val="32"/>
          <w:szCs w:val="32"/>
        </w:rPr>
        <w:t>Unit of Analysis</w:t>
      </w:r>
      <w:r w:rsidRPr="00BF5EAB">
        <w:rPr>
          <w:rFonts w:ascii="Sakkal Majalla" w:hAnsi="Sakkal Majalla" w:cs="Sakkal Majalla"/>
          <w:color w:val="0D0D0D" w:themeColor="text1" w:themeTint="F2"/>
          <w:sz w:val="32"/>
          <w:szCs w:val="32"/>
          <w:rtl/>
        </w:rPr>
        <w:t>)</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تم تحديد "المدير الفرد" كمركز لوحدة التحليل في هذه الدراسة. فعلى الرغم من أن أهداف الدراسة تنصب على تقييم ممارسات مؤسسية (الابتكار التنظيمي والقرارات الاستراتيجية)، إلا أن استجابات الأفراد (المديرين، نواب المديرين، ورؤساء الأقسام) هي المصدر المباشر للبيانات؛ وذلك نظراً لكونهم الفاعلين الاستراتيجيين المسؤولين عن اتخاذ القرار وتفعيل التقنيات داخل المصارف، مما يضمن دقة استكشاف التباينات الفردية وتأثيرها التراكمي على الأداء التنظيمي الكلي.</w:t>
      </w:r>
    </w:p>
    <w:p w14:paraId="0E2271D2" w14:textId="57AE7055" w:rsidR="00307523" w:rsidRPr="00BF5EAB" w:rsidRDefault="006B60EB"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وسعياً لاختبار العلاقات المقترحة في نموذج الدراسة، فقد تم تصميم البناء الهيكلي ليخضع للتحليل عبر نمذجة المعادلات البنائية (</w:t>
      </w:r>
      <w:r w:rsidRPr="00BF5EAB">
        <w:rPr>
          <w:rFonts w:ascii="Sakkal Majalla" w:hAnsi="Sakkal Majalla" w:cs="Sakkal Majalla"/>
          <w:color w:val="0D0D0D" w:themeColor="text1" w:themeTint="F2"/>
          <w:sz w:val="32"/>
          <w:szCs w:val="32"/>
        </w:rPr>
        <w:t>Partial Least Squares Structural Equation Modeling - PLS-SEM</w:t>
      </w:r>
      <w:r w:rsidRPr="00BF5EAB">
        <w:rPr>
          <w:rFonts w:ascii="Sakkal Majalla" w:hAnsi="Sakkal Majalla" w:cs="Sakkal Majalla"/>
          <w:color w:val="0D0D0D" w:themeColor="text1" w:themeTint="F2"/>
          <w:sz w:val="32"/>
          <w:szCs w:val="32"/>
          <w:rtl/>
        </w:rPr>
        <w:t>)، حيث تم ترجمة فروض الدراسة إلى مسارات (</w:t>
      </w:r>
      <w:r w:rsidRPr="00BF5EAB">
        <w:rPr>
          <w:rFonts w:ascii="Sakkal Majalla" w:hAnsi="Sakkal Majalla" w:cs="Sakkal Majalla"/>
          <w:color w:val="0D0D0D" w:themeColor="text1" w:themeTint="F2"/>
          <w:sz w:val="32"/>
          <w:szCs w:val="32"/>
        </w:rPr>
        <w:t>Paths</w:t>
      </w:r>
      <w:r w:rsidRPr="00BF5EAB">
        <w:rPr>
          <w:rFonts w:ascii="Sakkal Majalla" w:hAnsi="Sakkal Majalla" w:cs="Sakkal Majalla"/>
          <w:color w:val="0D0D0D" w:themeColor="text1" w:themeTint="F2"/>
          <w:sz w:val="32"/>
          <w:szCs w:val="32"/>
          <w:rtl/>
        </w:rPr>
        <w:t>) تربط بين المتغيرات الكامنة كما يوضحه الجدول التالي</w:t>
      </w:r>
      <w:r w:rsidR="005B20E7" w:rsidRPr="00BF5EAB">
        <w:rPr>
          <w:rFonts w:ascii="Sakkal Majalla" w:hAnsi="Sakkal Majalla" w:cs="Sakkal Majalla"/>
          <w:color w:val="0D0D0D" w:themeColor="text1" w:themeTint="F2"/>
          <w:sz w:val="32"/>
          <w:szCs w:val="32"/>
          <w:rtl/>
        </w:rPr>
        <w:t>:</w:t>
      </w:r>
    </w:p>
    <w:p w14:paraId="7EE85002" w14:textId="77777777" w:rsidR="003B07BF" w:rsidRPr="00BF5EAB" w:rsidRDefault="003B07BF" w:rsidP="005501C8">
      <w:pPr>
        <w:spacing w:after="0" w:line="276" w:lineRule="auto"/>
        <w:ind w:left="-9"/>
        <w:jc w:val="both"/>
        <w:rPr>
          <w:rFonts w:ascii="Sakkal Majalla" w:hAnsi="Sakkal Majalla" w:cs="Sakkal Majalla"/>
          <w:color w:val="0D0D0D" w:themeColor="text1" w:themeTint="F2"/>
          <w:sz w:val="32"/>
          <w:szCs w:val="32"/>
          <w:rtl/>
        </w:rPr>
      </w:pPr>
    </w:p>
    <w:p w14:paraId="3F891F72" w14:textId="652B1EEC" w:rsidR="006B60EB" w:rsidRPr="00BF5EAB" w:rsidRDefault="006B60EB" w:rsidP="003B07BF">
      <w:pPr>
        <w:spacing w:after="0" w:line="240" w:lineRule="auto"/>
        <w:ind w:left="-9"/>
        <w:jc w:val="center"/>
        <w:rPr>
          <w:rFonts w:ascii="Sakkal Majalla" w:hAnsi="Sakkal Majalla" w:cs="Sakkal Majalla"/>
          <w:b/>
          <w:bCs/>
          <w:color w:val="0D0D0D" w:themeColor="text1" w:themeTint="F2"/>
          <w:sz w:val="28"/>
          <w:szCs w:val="28"/>
          <w:rtl/>
          <w:lang w:bidi="ar-EG"/>
        </w:rPr>
      </w:pPr>
      <w:r w:rsidRPr="00BF5EAB">
        <w:rPr>
          <w:rFonts w:ascii="Sakkal Majalla" w:hAnsi="Sakkal Majalla" w:cs="Sakkal Majalla"/>
          <w:b/>
          <w:bCs/>
          <w:color w:val="0D0D0D" w:themeColor="text1" w:themeTint="F2"/>
          <w:sz w:val="28"/>
          <w:szCs w:val="28"/>
          <w:rtl/>
          <w:lang w:bidi="ar-EG"/>
        </w:rPr>
        <w:lastRenderedPageBreak/>
        <w:t>جدول (3-</w:t>
      </w:r>
      <w:r w:rsidR="00EC65A3" w:rsidRPr="00BF5EAB">
        <w:rPr>
          <w:rFonts w:ascii="Sakkal Majalla" w:hAnsi="Sakkal Majalla" w:cs="Sakkal Majalla"/>
          <w:b/>
          <w:bCs/>
          <w:color w:val="0D0D0D" w:themeColor="text1" w:themeTint="F2"/>
          <w:sz w:val="28"/>
          <w:szCs w:val="28"/>
          <w:rtl/>
          <w:lang w:bidi="ar-EG"/>
        </w:rPr>
        <w:t>1</w:t>
      </w:r>
      <w:r w:rsidRPr="00BF5EAB">
        <w:rPr>
          <w:rFonts w:ascii="Sakkal Majalla" w:hAnsi="Sakkal Majalla" w:cs="Sakkal Majalla"/>
          <w:b/>
          <w:bCs/>
          <w:color w:val="0D0D0D" w:themeColor="text1" w:themeTint="F2"/>
          <w:sz w:val="28"/>
          <w:szCs w:val="28"/>
          <w:rtl/>
          <w:lang w:bidi="ar-EG"/>
        </w:rPr>
        <w:t>) الفروض والمسارات الإحصائية في نموذج الدراسة</w:t>
      </w:r>
    </w:p>
    <w:tbl>
      <w:tblPr>
        <w:tblStyle w:val="5"/>
        <w:bidiVisual/>
        <w:tblW w:w="0" w:type="auto"/>
        <w:tblLook w:val="04A0" w:firstRow="1" w:lastRow="0" w:firstColumn="1" w:lastColumn="0" w:noHBand="0" w:noVBand="1"/>
      </w:tblPr>
      <w:tblGrid>
        <w:gridCol w:w="1195"/>
        <w:gridCol w:w="3172"/>
        <w:gridCol w:w="1517"/>
        <w:gridCol w:w="2609"/>
      </w:tblGrid>
      <w:tr w:rsidR="00BF5EAB" w:rsidRPr="00BF5EAB" w14:paraId="325B2F2C" w14:textId="77777777" w:rsidTr="006B60EB">
        <w:tc>
          <w:tcPr>
            <w:tcW w:w="0" w:type="auto"/>
            <w:vAlign w:val="center"/>
            <w:hideMark/>
          </w:tcPr>
          <w:p w14:paraId="67EAA139" w14:textId="77777777" w:rsidR="006B60EB" w:rsidRPr="00BF5EAB" w:rsidRDefault="006B60EB" w:rsidP="003B07BF">
            <w:pPr>
              <w:ind w:left="-9"/>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رمز الفرضية</w:t>
            </w:r>
          </w:p>
        </w:tc>
        <w:tc>
          <w:tcPr>
            <w:tcW w:w="0" w:type="auto"/>
            <w:vAlign w:val="center"/>
            <w:hideMark/>
          </w:tcPr>
          <w:p w14:paraId="2F37FD92"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مسار العلاقة (</w:t>
            </w:r>
            <w:r w:rsidRPr="00BF5EAB">
              <w:rPr>
                <w:rFonts w:ascii="Sakkal Majalla" w:hAnsi="Sakkal Majalla" w:cs="Sakkal Majalla"/>
                <w:b/>
                <w:bCs/>
                <w:color w:val="0D0D0D" w:themeColor="text1" w:themeTint="F2"/>
                <w:sz w:val="28"/>
                <w:szCs w:val="28"/>
              </w:rPr>
              <w:t>Path</w:t>
            </w:r>
            <w:r w:rsidRPr="00BF5EAB">
              <w:rPr>
                <w:rFonts w:ascii="Sakkal Majalla" w:hAnsi="Sakkal Majalla" w:cs="Sakkal Majalla"/>
                <w:b/>
                <w:bCs/>
                <w:color w:val="0D0D0D" w:themeColor="text1" w:themeTint="F2"/>
                <w:sz w:val="28"/>
                <w:szCs w:val="28"/>
                <w:rtl/>
              </w:rPr>
              <w:t>)</w:t>
            </w:r>
          </w:p>
        </w:tc>
        <w:tc>
          <w:tcPr>
            <w:tcW w:w="0" w:type="auto"/>
            <w:vAlign w:val="center"/>
            <w:hideMark/>
          </w:tcPr>
          <w:p w14:paraId="1207992B"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طبيعة التأثير</w:t>
            </w:r>
          </w:p>
        </w:tc>
        <w:tc>
          <w:tcPr>
            <w:tcW w:w="0" w:type="auto"/>
            <w:vAlign w:val="center"/>
            <w:hideMark/>
          </w:tcPr>
          <w:p w14:paraId="488BB2E7"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الإجراء الإحصائي</w:t>
            </w:r>
          </w:p>
        </w:tc>
      </w:tr>
      <w:tr w:rsidR="00BF5EAB" w:rsidRPr="00BF5EAB" w14:paraId="3BE175DC" w14:textId="77777777" w:rsidTr="006B60EB">
        <w:tc>
          <w:tcPr>
            <w:tcW w:w="0" w:type="auto"/>
            <w:vAlign w:val="center"/>
            <w:hideMark/>
          </w:tcPr>
          <w:p w14:paraId="6F2D69FF"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H1</w:t>
            </w:r>
          </w:p>
        </w:tc>
        <w:tc>
          <w:tcPr>
            <w:tcW w:w="0" w:type="auto"/>
            <w:vAlign w:val="center"/>
            <w:hideMark/>
          </w:tcPr>
          <w:p w14:paraId="3C4852A0" w14:textId="71AE4BD8"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Pr="00BF5EAB">
              <w:rPr>
                <w:rFonts w:ascii="Sakkal Majalla" w:hAnsi="Sakkal Majalla" w:cs="Sakkal Majalla"/>
                <w:color w:val="0D0D0D" w:themeColor="text1" w:themeTint="F2"/>
                <w:sz w:val="28"/>
                <w:szCs w:val="28"/>
                <w:rtl/>
              </w:rPr>
              <w:t>جودة القرارات الاستراتيجية</w:t>
            </w:r>
          </w:p>
        </w:tc>
        <w:tc>
          <w:tcPr>
            <w:tcW w:w="0" w:type="auto"/>
            <w:vAlign w:val="center"/>
            <w:hideMark/>
          </w:tcPr>
          <w:p w14:paraId="3D9688AF"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53068321" w14:textId="6892404A"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اختبار معامل </w:t>
            </w:r>
            <w:r w:rsidR="001477DE" w:rsidRPr="00BF5EAB">
              <w:rPr>
                <w:rFonts w:ascii="Sakkal Majalla" w:hAnsi="Sakkal Majalla" w:cs="Sakkal Majalla"/>
                <w:color w:val="0D0D0D" w:themeColor="text1" w:themeTint="F2"/>
                <w:sz w:val="28"/>
                <w:szCs w:val="28"/>
                <w:rtl/>
              </w:rPr>
              <w:t>المسار (</w:t>
            </w:r>
            <w:r w:rsidR="001477DE" w:rsidRPr="00BF5EAB">
              <w:rPr>
                <w:rFonts w:ascii="Cambria" w:hAnsi="Cambria" w:cs="Cambria"/>
                <w:color w:val="0D0D0D" w:themeColor="text1" w:themeTint="F2"/>
                <w:sz w:val="28"/>
                <w:szCs w:val="28"/>
              </w:rPr>
              <w:t>β</w:t>
            </w:r>
            <w:r w:rsidR="001477DE" w:rsidRPr="00BF5EAB">
              <w:rPr>
                <w:rFonts w:ascii="Sakkal Majalla" w:hAnsi="Sakkal Majalla" w:cs="Sakkal Majalla"/>
                <w:color w:val="0D0D0D" w:themeColor="text1" w:themeTint="F2"/>
                <w:sz w:val="28"/>
                <w:szCs w:val="28"/>
                <w:rtl/>
              </w:rPr>
              <w:t>)</w:t>
            </w:r>
          </w:p>
        </w:tc>
      </w:tr>
      <w:tr w:rsidR="00BF5EAB" w:rsidRPr="00BF5EAB" w14:paraId="27268582" w14:textId="77777777" w:rsidTr="006B60EB">
        <w:tc>
          <w:tcPr>
            <w:tcW w:w="0" w:type="auto"/>
            <w:vAlign w:val="center"/>
            <w:hideMark/>
          </w:tcPr>
          <w:p w14:paraId="53734FD6"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H2</w:t>
            </w:r>
          </w:p>
        </w:tc>
        <w:tc>
          <w:tcPr>
            <w:tcW w:w="0" w:type="auto"/>
            <w:vAlign w:val="center"/>
            <w:hideMark/>
          </w:tcPr>
          <w:p w14:paraId="09CAB98F" w14:textId="2751006B"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جودة القرارات الاستراتيجية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tl/>
              </w:rPr>
              <w:t xml:space="preserve"> </w:t>
            </w:r>
            <w:r w:rsidRPr="00BF5EAB">
              <w:rPr>
                <w:rFonts w:ascii="Sakkal Majalla" w:hAnsi="Sakkal Majalla" w:cs="Sakkal Majalla"/>
                <w:color w:val="0D0D0D" w:themeColor="text1" w:themeTint="F2"/>
                <w:sz w:val="28"/>
                <w:szCs w:val="28"/>
                <w:rtl/>
              </w:rPr>
              <w:t>الابتكار التنظيمي</w:t>
            </w:r>
          </w:p>
        </w:tc>
        <w:tc>
          <w:tcPr>
            <w:tcW w:w="0" w:type="auto"/>
            <w:vAlign w:val="center"/>
            <w:hideMark/>
          </w:tcPr>
          <w:p w14:paraId="413D5D3E"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6A2EF980" w14:textId="1BBE2F0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اختبار معامل المسار (</w:t>
            </w:r>
            <w:r w:rsidR="001477DE" w:rsidRPr="00BF5EAB">
              <w:rPr>
                <w:rFonts w:ascii="Cambria" w:hAnsi="Cambria" w:cs="Cambria"/>
                <w:color w:val="0D0D0D" w:themeColor="text1" w:themeTint="F2"/>
                <w:sz w:val="28"/>
                <w:szCs w:val="28"/>
              </w:rPr>
              <w:t>β</w:t>
            </w:r>
            <w:r w:rsidRPr="00BF5EAB">
              <w:rPr>
                <w:rFonts w:ascii="Sakkal Majalla" w:hAnsi="Sakkal Majalla" w:cs="Sakkal Majalla"/>
                <w:color w:val="0D0D0D" w:themeColor="text1" w:themeTint="F2"/>
                <w:sz w:val="28"/>
                <w:szCs w:val="28"/>
                <w:rtl/>
              </w:rPr>
              <w:t>)</w:t>
            </w:r>
          </w:p>
        </w:tc>
      </w:tr>
      <w:tr w:rsidR="00BF5EAB" w:rsidRPr="00BF5EAB" w14:paraId="7BB65F59" w14:textId="77777777" w:rsidTr="006B60EB">
        <w:tc>
          <w:tcPr>
            <w:tcW w:w="0" w:type="auto"/>
            <w:vAlign w:val="center"/>
            <w:hideMark/>
          </w:tcPr>
          <w:p w14:paraId="0BDC962F"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H3</w:t>
            </w:r>
          </w:p>
        </w:tc>
        <w:tc>
          <w:tcPr>
            <w:tcW w:w="0" w:type="auto"/>
            <w:vAlign w:val="center"/>
            <w:hideMark/>
          </w:tcPr>
          <w:p w14:paraId="287A4744" w14:textId="3EF4831C"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Pr>
              <w:t xml:space="preserve"> </w:t>
            </w:r>
            <w:r w:rsidRPr="00BF5EAB">
              <w:rPr>
                <w:rFonts w:ascii="Sakkal Majalla" w:hAnsi="Sakkal Majalla" w:cs="Sakkal Majalla"/>
                <w:color w:val="0D0D0D" w:themeColor="text1" w:themeTint="F2"/>
                <w:sz w:val="28"/>
                <w:szCs w:val="28"/>
                <w:rtl/>
              </w:rPr>
              <w:t>الابتكار التنظيمي</w:t>
            </w:r>
          </w:p>
        </w:tc>
        <w:tc>
          <w:tcPr>
            <w:tcW w:w="0" w:type="auto"/>
            <w:vAlign w:val="center"/>
            <w:hideMark/>
          </w:tcPr>
          <w:p w14:paraId="760CCC66"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640A56F2" w14:textId="7977B625"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اختبار معامل </w:t>
            </w:r>
            <w:r w:rsidR="001477DE" w:rsidRPr="00BF5EAB">
              <w:rPr>
                <w:rFonts w:ascii="Sakkal Majalla" w:hAnsi="Sakkal Majalla" w:cs="Sakkal Majalla"/>
                <w:color w:val="0D0D0D" w:themeColor="text1" w:themeTint="F2"/>
                <w:sz w:val="28"/>
                <w:szCs w:val="28"/>
                <w:rtl/>
              </w:rPr>
              <w:t>المسار (</w:t>
            </w:r>
            <w:r w:rsidR="001477DE" w:rsidRPr="00BF5EAB">
              <w:rPr>
                <w:rFonts w:ascii="Cambria" w:hAnsi="Cambria" w:cs="Cambria"/>
                <w:color w:val="0D0D0D" w:themeColor="text1" w:themeTint="F2"/>
                <w:sz w:val="28"/>
                <w:szCs w:val="28"/>
              </w:rPr>
              <w:t>β</w:t>
            </w:r>
            <w:r w:rsidR="001477DE" w:rsidRPr="00BF5EAB">
              <w:rPr>
                <w:rFonts w:ascii="Sakkal Majalla" w:hAnsi="Sakkal Majalla" w:cs="Sakkal Majalla"/>
                <w:color w:val="0D0D0D" w:themeColor="text1" w:themeTint="F2"/>
                <w:sz w:val="28"/>
                <w:szCs w:val="28"/>
                <w:rtl/>
              </w:rPr>
              <w:t>)</w:t>
            </w:r>
          </w:p>
        </w:tc>
      </w:tr>
      <w:tr w:rsidR="00BF5EAB" w:rsidRPr="00BF5EAB" w14:paraId="4883DA18" w14:textId="77777777" w:rsidTr="006B60EB">
        <w:tc>
          <w:tcPr>
            <w:tcW w:w="0" w:type="auto"/>
            <w:vAlign w:val="center"/>
            <w:hideMark/>
          </w:tcPr>
          <w:p w14:paraId="1E74C694"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H4</w:t>
            </w:r>
          </w:p>
        </w:tc>
        <w:tc>
          <w:tcPr>
            <w:tcW w:w="0" w:type="auto"/>
            <w:vAlign w:val="center"/>
            <w:hideMark/>
          </w:tcPr>
          <w:p w14:paraId="00F2EF51" w14:textId="46F6811F"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tl/>
              </w:rPr>
              <w:t xml:space="preserve"> </w:t>
            </w:r>
            <w:r w:rsidRPr="00BF5EAB">
              <w:rPr>
                <w:rFonts w:ascii="Sakkal Majalla" w:hAnsi="Sakkal Majalla" w:cs="Sakkal Majalla"/>
                <w:color w:val="0D0D0D" w:themeColor="text1" w:themeTint="F2"/>
                <w:sz w:val="28"/>
                <w:szCs w:val="28"/>
                <w:rtl/>
              </w:rPr>
              <w:t>جودة القرارات الابتكار التنظيمي</w:t>
            </w:r>
          </w:p>
        </w:tc>
        <w:tc>
          <w:tcPr>
            <w:tcW w:w="0" w:type="auto"/>
            <w:vAlign w:val="center"/>
            <w:hideMark/>
          </w:tcPr>
          <w:p w14:paraId="02D397D9"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غير مباشر (وسيط)</w:t>
            </w:r>
          </w:p>
        </w:tc>
        <w:tc>
          <w:tcPr>
            <w:tcW w:w="0" w:type="auto"/>
            <w:vAlign w:val="center"/>
            <w:hideMark/>
          </w:tcPr>
          <w:p w14:paraId="0A7513C3"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اختبار التأثير الوسيط (</w:t>
            </w:r>
            <w:r w:rsidRPr="00BF5EAB">
              <w:rPr>
                <w:rFonts w:ascii="Sakkal Majalla" w:hAnsi="Sakkal Majalla" w:cs="Sakkal Majalla"/>
                <w:color w:val="0D0D0D" w:themeColor="text1" w:themeTint="F2"/>
                <w:sz w:val="28"/>
                <w:szCs w:val="28"/>
              </w:rPr>
              <w:t>Indirect Effect</w:t>
            </w:r>
            <w:r w:rsidRPr="00BF5EAB">
              <w:rPr>
                <w:rFonts w:ascii="Sakkal Majalla" w:hAnsi="Sakkal Majalla" w:cs="Sakkal Majalla"/>
                <w:color w:val="0D0D0D" w:themeColor="text1" w:themeTint="F2"/>
                <w:sz w:val="28"/>
                <w:szCs w:val="28"/>
                <w:rtl/>
              </w:rPr>
              <w:t>)</w:t>
            </w:r>
          </w:p>
        </w:tc>
      </w:tr>
    </w:tbl>
    <w:p w14:paraId="591CBC69" w14:textId="2E36C689" w:rsidR="006B60EB" w:rsidRPr="00BF5EAB" w:rsidRDefault="000676DC" w:rsidP="005501C8">
      <w:pPr>
        <w:spacing w:after="0" w:line="276" w:lineRule="auto"/>
        <w:ind w:left="-9"/>
        <w:jc w:val="both"/>
        <w:rPr>
          <w:rFonts w:ascii="Sakkal Majalla" w:hAnsi="Sakkal Majalla" w:cs="Sakkal Majalla"/>
          <w:color w:val="0D0D0D" w:themeColor="text1" w:themeTint="F2"/>
          <w:sz w:val="32"/>
          <w:szCs w:val="32"/>
          <w:lang w:bidi="ar-EG"/>
        </w:rPr>
      </w:pPr>
      <w:r w:rsidRPr="00BF5EAB">
        <w:rPr>
          <w:rFonts w:ascii="Sakkal Majalla" w:hAnsi="Sakkal Majalla" w:cs="Sakkal Majalla"/>
          <w:color w:val="0D0D0D" w:themeColor="text1" w:themeTint="F2"/>
          <w:sz w:val="32"/>
          <w:szCs w:val="32"/>
          <w:rtl/>
          <w:lang w:bidi="ar-EG"/>
        </w:rPr>
        <w:t xml:space="preserve">      </w:t>
      </w:r>
      <w:r w:rsidR="006B60EB" w:rsidRPr="00BF5EAB">
        <w:rPr>
          <w:rFonts w:ascii="Sakkal Majalla" w:hAnsi="Sakkal Majalla" w:cs="Sakkal Majalla"/>
          <w:color w:val="0D0D0D" w:themeColor="text1" w:themeTint="F2"/>
          <w:sz w:val="32"/>
          <w:szCs w:val="32"/>
          <w:rtl/>
          <w:lang w:bidi="ar-EG"/>
        </w:rPr>
        <w:t>يتضح من الجدول السابق التصور الإجرائي لاختبار الفروض؛ حيث يمثل المسار (</w:t>
      </w:r>
      <w:r w:rsidR="006B60EB" w:rsidRPr="00BF5EAB">
        <w:rPr>
          <w:rFonts w:ascii="Sakkal Majalla" w:hAnsi="Sakkal Majalla" w:cs="Sakkal Majalla"/>
          <w:color w:val="0D0D0D" w:themeColor="text1" w:themeTint="F2"/>
          <w:sz w:val="32"/>
          <w:szCs w:val="32"/>
          <w:lang w:bidi="ar-EG"/>
        </w:rPr>
        <w:t>H1</w:t>
      </w:r>
      <w:r w:rsidR="006B60EB" w:rsidRPr="00BF5EAB">
        <w:rPr>
          <w:rFonts w:ascii="Sakkal Majalla" w:hAnsi="Sakkal Majalla" w:cs="Sakkal Majalla"/>
          <w:color w:val="0D0D0D" w:themeColor="text1" w:themeTint="F2"/>
          <w:sz w:val="32"/>
          <w:szCs w:val="32"/>
          <w:rtl/>
          <w:lang w:bidi="ar-EG"/>
        </w:rPr>
        <w:t>) قياس الأثر المباشر للمتغير المستقل على المتغير الوسيط، بينما يمثل المسار (</w:t>
      </w:r>
      <w:r w:rsidR="006B60EB" w:rsidRPr="00BF5EAB">
        <w:rPr>
          <w:rFonts w:ascii="Sakkal Majalla" w:hAnsi="Sakkal Majalla" w:cs="Sakkal Majalla"/>
          <w:color w:val="0D0D0D" w:themeColor="text1" w:themeTint="F2"/>
          <w:sz w:val="32"/>
          <w:szCs w:val="32"/>
          <w:lang w:bidi="ar-EG"/>
        </w:rPr>
        <w:t>H2</w:t>
      </w:r>
      <w:r w:rsidR="006B60EB" w:rsidRPr="00BF5EAB">
        <w:rPr>
          <w:rFonts w:ascii="Sakkal Majalla" w:hAnsi="Sakkal Majalla" w:cs="Sakkal Majalla"/>
          <w:color w:val="0D0D0D" w:themeColor="text1" w:themeTint="F2"/>
          <w:sz w:val="32"/>
          <w:szCs w:val="32"/>
          <w:rtl/>
          <w:lang w:bidi="ar-EG"/>
        </w:rPr>
        <w:t>) الأثر المباشر للمتغير الوسيط على التابع. ويُعالج الفرض (</w:t>
      </w:r>
      <w:r w:rsidR="006B60EB" w:rsidRPr="00BF5EAB">
        <w:rPr>
          <w:rFonts w:ascii="Sakkal Majalla" w:hAnsi="Sakkal Majalla" w:cs="Sakkal Majalla"/>
          <w:color w:val="0D0D0D" w:themeColor="text1" w:themeTint="F2"/>
          <w:sz w:val="32"/>
          <w:szCs w:val="32"/>
          <w:lang w:bidi="ar-EG"/>
        </w:rPr>
        <w:t>H4</w:t>
      </w:r>
      <w:r w:rsidR="006B60EB" w:rsidRPr="00BF5EAB">
        <w:rPr>
          <w:rFonts w:ascii="Sakkal Majalla" w:hAnsi="Sakkal Majalla" w:cs="Sakkal Majalla"/>
          <w:color w:val="0D0D0D" w:themeColor="text1" w:themeTint="F2"/>
          <w:sz w:val="32"/>
          <w:szCs w:val="32"/>
          <w:rtl/>
          <w:lang w:bidi="ar-EG"/>
        </w:rPr>
        <w:t>) من خلال اختبار "التأثير غير المباشر" (</w:t>
      </w:r>
      <w:r w:rsidR="006B60EB" w:rsidRPr="00BF5EAB">
        <w:rPr>
          <w:rFonts w:ascii="Sakkal Majalla" w:hAnsi="Sakkal Majalla" w:cs="Sakkal Majalla"/>
          <w:color w:val="0D0D0D" w:themeColor="text1" w:themeTint="F2"/>
          <w:sz w:val="32"/>
          <w:szCs w:val="32"/>
          <w:lang w:bidi="ar-EG"/>
        </w:rPr>
        <w:t>Indirect Effect</w:t>
      </w:r>
      <w:r w:rsidR="006B60EB" w:rsidRPr="00BF5EAB">
        <w:rPr>
          <w:rFonts w:ascii="Sakkal Majalla" w:hAnsi="Sakkal Majalla" w:cs="Sakkal Majalla"/>
          <w:color w:val="0D0D0D" w:themeColor="text1" w:themeTint="F2"/>
          <w:sz w:val="32"/>
          <w:szCs w:val="32"/>
          <w:rtl/>
          <w:lang w:bidi="ar-EG"/>
        </w:rPr>
        <w:t>) باستخدام طريقة التمهيد (</w:t>
      </w:r>
      <w:r w:rsidR="006B60EB" w:rsidRPr="00BF5EAB">
        <w:rPr>
          <w:rFonts w:ascii="Sakkal Majalla" w:hAnsi="Sakkal Majalla" w:cs="Sakkal Majalla"/>
          <w:color w:val="0D0D0D" w:themeColor="text1" w:themeTint="F2"/>
          <w:sz w:val="32"/>
          <w:szCs w:val="32"/>
          <w:lang w:bidi="ar-EG"/>
        </w:rPr>
        <w:t>Bootstrapping</w:t>
      </w:r>
      <w:r w:rsidR="006B60EB" w:rsidRPr="00BF5EAB">
        <w:rPr>
          <w:rFonts w:ascii="Sakkal Majalla" w:hAnsi="Sakkal Majalla" w:cs="Sakkal Majalla"/>
          <w:color w:val="0D0D0D" w:themeColor="text1" w:themeTint="F2"/>
          <w:sz w:val="32"/>
          <w:szCs w:val="32"/>
          <w:rtl/>
          <w:lang w:bidi="ar-EG"/>
        </w:rPr>
        <w:t xml:space="preserve">) داخل برنامج </w:t>
      </w:r>
      <w:proofErr w:type="spellStart"/>
      <w:r w:rsidR="006B60EB" w:rsidRPr="00BF5EAB">
        <w:rPr>
          <w:rFonts w:ascii="Sakkal Majalla" w:hAnsi="Sakkal Majalla" w:cs="Sakkal Majalla"/>
          <w:color w:val="0D0D0D" w:themeColor="text1" w:themeTint="F2"/>
          <w:sz w:val="32"/>
          <w:szCs w:val="32"/>
          <w:lang w:bidi="ar-EG"/>
        </w:rPr>
        <w:t>SmartPLS</w:t>
      </w:r>
      <w:proofErr w:type="spellEnd"/>
      <w:r w:rsidR="006B60EB" w:rsidRPr="00BF5EAB">
        <w:rPr>
          <w:rFonts w:ascii="Sakkal Majalla" w:hAnsi="Sakkal Majalla" w:cs="Sakkal Majalla"/>
          <w:color w:val="0D0D0D" w:themeColor="text1" w:themeTint="F2"/>
          <w:sz w:val="32"/>
          <w:szCs w:val="32"/>
          <w:rtl/>
          <w:lang w:bidi="ar-EG"/>
        </w:rPr>
        <w:t>، للتحقق من دلالة الوساطة؛ حيث إن وجود دلالة إحصائية لهذا المسار مع بقاء التأثير المباشر (</w:t>
      </w:r>
      <w:r w:rsidR="006B60EB" w:rsidRPr="00BF5EAB">
        <w:rPr>
          <w:rFonts w:ascii="Sakkal Majalla" w:hAnsi="Sakkal Majalla" w:cs="Sakkal Majalla"/>
          <w:color w:val="0D0D0D" w:themeColor="text1" w:themeTint="F2"/>
          <w:sz w:val="32"/>
          <w:szCs w:val="32"/>
          <w:lang w:bidi="ar-EG"/>
        </w:rPr>
        <w:t>H3</w:t>
      </w:r>
      <w:r w:rsidR="006B60EB" w:rsidRPr="00BF5EAB">
        <w:rPr>
          <w:rFonts w:ascii="Sakkal Majalla" w:hAnsi="Sakkal Majalla" w:cs="Sakkal Majalla"/>
          <w:color w:val="0D0D0D" w:themeColor="text1" w:themeTint="F2"/>
          <w:sz w:val="32"/>
          <w:szCs w:val="32"/>
          <w:rtl/>
          <w:lang w:bidi="ar-EG"/>
        </w:rPr>
        <w:t>) دالاً إحصائياً يؤكد فرضية "الوساطة الجزئية" التي تتبناها الدراسة.</w:t>
      </w:r>
    </w:p>
    <w:p w14:paraId="517B389F" w14:textId="4E81201B"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w:t>
      </w:r>
      <w:r w:rsidR="00EC65A3" w:rsidRPr="00BF5EAB">
        <w:rPr>
          <w:rFonts w:ascii="Sakkal Majalla" w:hAnsi="Sakkal Majalla" w:cs="Sakkal Majalla"/>
          <w:b/>
          <w:bCs/>
          <w:color w:val="0D0D0D" w:themeColor="text1" w:themeTint="F2"/>
          <w:sz w:val="32"/>
          <w:szCs w:val="32"/>
          <w:rtl/>
        </w:rPr>
        <w:t>4</w:t>
      </w:r>
      <w:r w:rsidRPr="00BF5EAB">
        <w:rPr>
          <w:rFonts w:ascii="Sakkal Majalla" w:hAnsi="Sakkal Majalla" w:cs="Sakkal Majalla"/>
          <w:b/>
          <w:bCs/>
          <w:color w:val="0D0D0D" w:themeColor="text1" w:themeTint="F2"/>
          <w:sz w:val="32"/>
          <w:szCs w:val="32"/>
          <w:rtl/>
        </w:rPr>
        <w:t xml:space="preserve"> التعريفات الإجرائية ومقاييس الأداة</w:t>
      </w:r>
    </w:p>
    <w:p w14:paraId="7F37FDCE" w14:textId="7032B474"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أولاً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المستقل (ذكاء الأعمال)</w:t>
      </w:r>
    </w:p>
    <w:p w14:paraId="35499A68" w14:textId="0163758A" w:rsidR="001D12BE"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5B20E7" w:rsidRPr="00BF5EAB">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منظومة تقنية وإدارية متكاملة تقوم على تحويل البيانات الخام داخل المصرف إلى معلومات تفاعلية تدعم اتخاذ القرار، ويُقاس قبولها والاعتماد عليها عبر أبعاد نموذج قبول واستخدام ذكاء الأعمال التي تفسر سلوك المستخدمين من خلال إدراكهم لمدى المنفعة التي تحققها المنظومة لتطوير الأداء، ومدى سلاسة واستجابة النظام للتطبيق دون عوائق فنية مفرطة. ويقاس الدرجة الكلية التي يحصل عليها المستجيب (المدير/ المسؤول) عند إجابته عن فقرات المتغير المستقل في الاستبانة، والموزعة على ثلاثة أبعاد رئيسة هي</w:t>
      </w:r>
      <w:r w:rsidR="005B20E7" w:rsidRPr="00BF5EAB">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(الفائدة المدركة من النظام، وسهولة الاستخدام الفنية، والنية السلوكية للاستمرار في توظيف أنظمة ذكاء الأعمال) لدعم العمليات المصرفية في المصارف العاملة بمدينة الرياض.</w:t>
      </w:r>
    </w:p>
    <w:p w14:paraId="63B5546E" w14:textId="33FAE153" w:rsidR="001D12BE" w:rsidRPr="00BF5EAB" w:rsidRDefault="001D12BE" w:rsidP="005501C8">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الأول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الفائدة المدركة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اعتقاد المدير المستجيب بأن الاعتماد على أنظمة ذكاء الأعمال وأنظمةها يسهم بصورة فعلية في تحسين مخرجات أدائه الوظيفي، ورفع كفاءة وسرعة التحليلات والتقارير داخل المصرف.</w:t>
      </w:r>
    </w:p>
    <w:p w14:paraId="3E74F932" w14:textId="5BF8D438" w:rsidR="001D12BE" w:rsidRPr="00BF5EAB" w:rsidRDefault="001D12BE" w:rsidP="005501C8">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البعد الثاني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سهولة الاستخدام</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إدراك المدير المستجيب بأن التعامل مع أنظمة ولوحات أنظمة ذكاء الأعمال واستخراج التقارير منها يتم بمرونة ويسر، ولا يتطلب مجهوداً فنياً معقداً أو مفرطاً يعيق العملية التشغيلية.</w:t>
      </w:r>
    </w:p>
    <w:p w14:paraId="1598D244" w14:textId="34A4FF5E" w:rsidR="00E539C4" w:rsidRPr="00BF5EAB" w:rsidRDefault="001D12BE" w:rsidP="005501C8">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الثالث</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نية الاستخدام</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درجة الرغبة والالتزام السلوكي لدى المدير المستجيب للاستمرار في توظيف مخرجات أنظمة ذكاء الأعمال والاعتماد عليها مستقبلاً في توجيه وصياغة القرارات المصرفية.</w:t>
      </w:r>
    </w:p>
    <w:p w14:paraId="273B26BE" w14:textId="58E6155C" w:rsidR="00E539C4"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5B20E7" w:rsidRPr="00BF5EAB">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هذه الأداة من (14) فقرة موزعة على الأبعاد الثلاثة. ويتم احتساب الدرجة الكلية للمتغير من خلال جمع قيم استجابات المبحوثين على المقياس الخماسي (</w:t>
      </w:r>
      <w:r w:rsidRPr="00BF5EAB">
        <w:rPr>
          <w:rFonts w:ascii="Sakkal Majalla" w:hAnsi="Sakkal Majalla" w:cs="Sakkal Majalla"/>
          <w:color w:val="0D0D0D" w:themeColor="text1" w:themeTint="F2"/>
          <w:sz w:val="32"/>
          <w:szCs w:val="32"/>
        </w:rPr>
        <w:t>Likert Scale</w:t>
      </w:r>
      <w:r w:rsidRPr="00BF5EAB">
        <w:rPr>
          <w:rFonts w:ascii="Sakkal Majalla" w:hAnsi="Sakkal Majalla" w:cs="Sakkal Majalla"/>
          <w:color w:val="0D0D0D" w:themeColor="text1" w:themeTint="F2"/>
          <w:sz w:val="32"/>
          <w:szCs w:val="32"/>
          <w:rtl/>
        </w:rPr>
        <w:t>)، حيث تتراوح الدرجة الكلية لهذا المتغير من (14 إلى 70) درجة. وكلما ارتفعت الدرجة، دل ذلك على مستوى أعلى من القبول والاعتماد على أنظمة ذكاء الأعمال.</w:t>
      </w:r>
    </w:p>
    <w:p w14:paraId="234A0F42" w14:textId="3DA789CE"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ثانياً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الوسيط (جودة القرارات الاستراتيجية)</w:t>
      </w:r>
    </w:p>
    <w:p w14:paraId="4C7D464D" w14:textId="1B28E68B" w:rsidR="006E45E9"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5B20E7" w:rsidRPr="00BF5EAB">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هو الدرجة الكلية التي يمنحها المدير المستجيب للعمليات والمخرجات المرتبطة بصياغة القرارات الاستراتيجية وتنفيذها في المصرف، ويُقاس من خلال خمسة أبعاد مترابطة تعكس</w:t>
      </w:r>
      <w:r w:rsidR="005B20E7" w:rsidRPr="00BF5EAB">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(دقة وموثوقية تدفق المعلومات، وعلمية التحليل وتقييم البدائل، وقدرة القيادة على تفسير وتوظيف المخرجات الرقمية لذكاء الأعمال، ومدى ملاءمة القرار استراتيجياً وتنظيمياً، وسرعة وجدوى مخرجات القرار الفعليّة) في المصارف العاملة بمدينة الرياض.</w:t>
      </w:r>
    </w:p>
    <w:p w14:paraId="7CFEC871" w14:textId="29B4C836" w:rsidR="006E45E9" w:rsidRPr="00BF5EAB"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الأول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جودة وموثوقية المعلومات</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إدراك المدير المستجيب لتوفر خصائص الدقة، والتكامل، والموثوقية، والتوقيت السليم في التقارير والتدفقات المعلوماتية الناتجة عن أنظمة ذكاء الأعمال، والتي تعتمد عليها القيادة كبنية مرجعية شاملة لرصد الفرص والمخاطر وصياغة القرارات الاستراتيجية المعقدة في المصرف.</w:t>
      </w:r>
    </w:p>
    <w:p w14:paraId="555C9A66" w14:textId="01773326" w:rsidR="006E45E9" w:rsidRPr="00BF5EAB"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الثاني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التحليل الموضوعي وتقييم البدائل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ارتكاز عملية صناعة القرار الاستراتيجي في المصرف على مؤشرات أداء مقننة وأنظمة تحليلية هيكلية تتيح إجراء مقارنات علمية دقيقة وسيناريوهات محاكاة واضحة للبدائل المتاحة قبل اعتمادها، بعيداً عن الانطباعات الفردية أو الحدس الشخصي العشوائي.</w:t>
      </w:r>
    </w:p>
    <w:p w14:paraId="5C9C24ED" w14:textId="57331CF9" w:rsidR="006E45E9" w:rsidRPr="00BF5EAB"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الثالث</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تفسير وتوظيف المخرجات الرقمية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التعريف الإجرائي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امتلاك القيادات المصرفية وصناع القرار للمهارات التحليلية اللازمة لفك رموز قراءة التقارير الرقمية، والنجاح </w:t>
      </w:r>
      <w:r w:rsidRPr="00BF5EAB">
        <w:rPr>
          <w:rFonts w:ascii="Sakkal Majalla" w:hAnsi="Sakkal Majalla" w:cs="Sakkal Majalla"/>
          <w:color w:val="0D0D0D" w:themeColor="text1" w:themeTint="F2"/>
          <w:sz w:val="32"/>
          <w:szCs w:val="32"/>
          <w:rtl/>
        </w:rPr>
        <w:lastRenderedPageBreak/>
        <w:t>في استثمار مخرجات أنظمة ذكاء الأعمال وربطها بالواقع الفعلي وتغيرات السوق المصرفي لتقليص فجوات الأخطاء التفسيرية.</w:t>
      </w:r>
    </w:p>
    <w:p w14:paraId="6D418B2F" w14:textId="42774241" w:rsidR="006E45E9" w:rsidRPr="00BF5EAB"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الرابع</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التوافق الاستراتيجي والامتثال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انسجام مضمون القرارات الاستراتيجية المتخذة ومبادرات التحول الرقمي مع الرؤية العامة والخطة التنموية طويلة الأجل للمصرف، مع تلبية متطلبات الامتثال التنظيمي والتشريعي، ودعم القوة التنافسية للمصرف في السوق السعودي.</w:t>
      </w:r>
    </w:p>
    <w:p w14:paraId="5B65E86A" w14:textId="7F60AD84" w:rsidR="00E539C4" w:rsidRPr="00BF5EAB" w:rsidRDefault="006E45E9" w:rsidP="005501C8">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الخامس</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كفاءة مخرجات القرار</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قدرة القرارات الاستراتيجية الصادرة على تحقيق المستهدفات المالية والتشغيلية الفعلية للمصرف، وسرعة صدورها في التوقيت المناسب لمعالجة القضايا الطارئة، مستفيدة من البنية التحتية لذكاء الأعمال في اختصار زمن المراجعة ورفع كفاءة الإنتاجية التشغيلية.</w:t>
      </w:r>
    </w:p>
    <w:p w14:paraId="12210A04" w14:textId="4A3242EF" w:rsidR="00E539C4"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5B20E7" w:rsidRPr="00BF5EAB">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أداة قياس هذا المتغير من (21) فقرة تغطي الأبعاد الخمسة المذكورة. وتتراوح الدرجة الكلية لهذا المتغير بين (21 و105) درجات. تُحسب الدرجة بجمع استجابات المبحوثين، حيث تشير الدرجات المرتفعة إلى مستوى متقدم من الجودة والفاعلية في صناعة القرار الاستراتيجي داخل المصرف.</w:t>
      </w:r>
    </w:p>
    <w:p w14:paraId="1889E438" w14:textId="4CD01B7E"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ثالثاً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التابع (الابتكار التنظيمي)</w:t>
      </w:r>
    </w:p>
    <w:p w14:paraId="3908A85E" w14:textId="702487B0" w:rsidR="003E3D03"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5B20E7" w:rsidRPr="00BF5EAB">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مدى قدرة المصارف التجارية العاملة بمدينة الرياض على تبني ممارسات وتوجهات تجديدية غير مألوفة تهدف إلى تحسين الأداء المؤسسي وتعزيز الميزة التنافسية، ويُقاس إجرائياً من خلال إدراك المديرين لثلاثة أبعاد رئيسة هي</w:t>
      </w:r>
      <w:r w:rsidR="005B20E7" w:rsidRPr="00BF5EAB">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ابتكار الخدمات المالية الرقمية، والابتكار الإداري، والثقافة الداعمة للابتكار، ممثلة بالدرجة الكلية التي يحصل عليها المستجيب على مقياس ليكرت الخماسي.</w:t>
      </w:r>
    </w:p>
    <w:p w14:paraId="1C2FEF4C" w14:textId="76F75884" w:rsidR="003E3D03" w:rsidRPr="00BF5EAB" w:rsidRDefault="003E3D03" w:rsidP="005501C8">
      <w:pPr>
        <w:pStyle w:val="ListParagraph"/>
        <w:numPr>
          <w:ilvl w:val="0"/>
          <w:numId w:val="24"/>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الأول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ابتكار الخدمات المالية الرقمية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قيام المصرف بتطوير وتقديم منتجات وخدمات مالية أو رقمية جديدة أو محسّنة (كالقروض، والودائع، والحلول التمويلية الرقمية) تلبي احتياجات العملاء المتغيرة وتستجيب للتطورات المتسارعة في السوق المصرفية، ويُقاس بالدرجة التي يمنحها المستجيب لفقرات هذا المحور.</w:t>
      </w:r>
    </w:p>
    <w:p w14:paraId="75FC0595" w14:textId="7FDA7012" w:rsidR="003E3D03" w:rsidRPr="00BF5EAB" w:rsidRDefault="003E3D03" w:rsidP="005501C8">
      <w:pPr>
        <w:pStyle w:val="ListParagraph"/>
        <w:numPr>
          <w:ilvl w:val="0"/>
          <w:numId w:val="24"/>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الثاني (الابتكار الإداري)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مدى تبني المصرف لأساليب، وهياكل، وإجراءات تنظيمية حديثة ومطورة تسهم في تسيير العمل الإداري، وتدفق المعلومات، وتفويض الصلاحيات، وتحديث </w:t>
      </w:r>
      <w:r w:rsidRPr="00BF5EAB">
        <w:rPr>
          <w:rFonts w:ascii="Sakkal Majalla" w:hAnsi="Sakkal Majalla" w:cs="Sakkal Majalla"/>
          <w:color w:val="0D0D0D" w:themeColor="text1" w:themeTint="F2"/>
          <w:sz w:val="32"/>
          <w:szCs w:val="32"/>
          <w:rtl/>
        </w:rPr>
        <w:lastRenderedPageBreak/>
        <w:t>سياسات العمل الداخلية بما يرفع كفاءة الأداء المؤسسي، ويُقاس بالدرجة التي يمنحها المستجيب لفقرات هذا المحور.</w:t>
      </w:r>
    </w:p>
    <w:p w14:paraId="6270A141" w14:textId="338030AC" w:rsidR="006E45E9" w:rsidRPr="00BF5EAB" w:rsidRDefault="003E3D03" w:rsidP="005501C8">
      <w:pPr>
        <w:pStyle w:val="ListParagraph"/>
        <w:numPr>
          <w:ilvl w:val="0"/>
          <w:numId w:val="24"/>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الثالث</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الثقافة التنظيمية الداعمة للابتكار</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منظومة القيم، والمعتقدات، والممارسات السائدة في المصرف والتي تشجع على التفكير الإبداعي، وتقبل التغيير التنظيمي، وتحفيز المبادرات الجديدة، ودعم المخاطرة المدروسة والتعلم المستمر، ويُقاس بالدرجة التي يمنحها المستجيب لفقرات هذا المحور.</w:t>
      </w:r>
    </w:p>
    <w:p w14:paraId="3E1B8600" w14:textId="131A3E51" w:rsidR="008A6916"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5B20E7" w:rsidRPr="00BF5EAB">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أداة هذا المتغير من (18) فقرة موزعة على الأبعاد الثلاثة. وتتراوح الدرجة الكلية لهذا المتغير بين (18 و90) درجة. ويتم الحصول على الدرجة الكلية من خلال مجموع استجابات المبحوثين على الفقرات، حيث تعكس الدرجة المرتفعة مستوى مرتفعاً من الابتكار التنظيمي لدى المصرف من وجهة نظر قياداته.</w:t>
      </w:r>
    </w:p>
    <w:p w14:paraId="1A1F88F6" w14:textId="44039F78" w:rsidR="00E539C4" w:rsidRPr="00BF5EAB" w:rsidRDefault="00F308A0"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تتوزع فقرات أداة الدراسة على ثلاثة محاور رئيسة تمثل متغيرات الدراسة الكامنة، حيث جرى تصميمها لتغطية كافة الأبعاد النظرية والقياسية المرتبطة بكل متغير، وهو ما يوضحه الجدول التالي</w:t>
      </w:r>
      <w:r w:rsidR="005B20E7" w:rsidRPr="00BF5EAB">
        <w:rPr>
          <w:rFonts w:ascii="Sakkal Majalla" w:hAnsi="Sakkal Majalla" w:cs="Sakkal Majalla"/>
          <w:color w:val="0D0D0D" w:themeColor="text1" w:themeTint="F2"/>
          <w:sz w:val="32"/>
          <w:szCs w:val="32"/>
          <w:rtl/>
        </w:rPr>
        <w:t>:</w:t>
      </w:r>
    </w:p>
    <w:p w14:paraId="23D97779" w14:textId="4B4BB756" w:rsidR="00E539C4" w:rsidRPr="00BF5EAB" w:rsidRDefault="00E539C4" w:rsidP="003B07BF">
      <w:pPr>
        <w:spacing w:after="0" w:line="240" w:lineRule="auto"/>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جدول (3-</w:t>
      </w:r>
      <w:r w:rsidR="00EC65A3" w:rsidRPr="00BF5EAB">
        <w:rPr>
          <w:rFonts w:ascii="Sakkal Majalla" w:hAnsi="Sakkal Majalla" w:cs="Sakkal Majalla"/>
          <w:b/>
          <w:bCs/>
          <w:color w:val="0D0D0D" w:themeColor="text1" w:themeTint="F2"/>
          <w:sz w:val="28"/>
          <w:szCs w:val="28"/>
          <w:rtl/>
        </w:rPr>
        <w:t>2</w:t>
      </w:r>
      <w:r w:rsidRPr="00BF5EAB">
        <w:rPr>
          <w:rFonts w:ascii="Sakkal Majalla" w:hAnsi="Sakkal Majalla" w:cs="Sakkal Majalla"/>
          <w:b/>
          <w:bCs/>
          <w:color w:val="0D0D0D" w:themeColor="text1" w:themeTint="F2"/>
          <w:sz w:val="28"/>
          <w:szCs w:val="28"/>
          <w:rtl/>
        </w:rPr>
        <w:t>) ملخص الخصائص القياسية لأداة الدراسة</w:t>
      </w:r>
    </w:p>
    <w:tbl>
      <w:tblPr>
        <w:tblStyle w:val="5"/>
        <w:bidiVisual/>
        <w:tblW w:w="0" w:type="auto"/>
        <w:jc w:val="center"/>
        <w:tblLook w:val="04A0" w:firstRow="1" w:lastRow="0" w:firstColumn="1" w:lastColumn="0" w:noHBand="0" w:noVBand="1"/>
      </w:tblPr>
      <w:tblGrid>
        <w:gridCol w:w="2181"/>
        <w:gridCol w:w="2606"/>
        <w:gridCol w:w="1188"/>
        <w:gridCol w:w="1233"/>
        <w:gridCol w:w="1285"/>
      </w:tblGrid>
      <w:tr w:rsidR="00BF5EAB" w:rsidRPr="00BF5EAB" w14:paraId="3125E506" w14:textId="7044F98E" w:rsidTr="000676DC">
        <w:trPr>
          <w:tblHeader/>
          <w:jc w:val="center"/>
        </w:trPr>
        <w:tc>
          <w:tcPr>
            <w:tcW w:w="0" w:type="auto"/>
            <w:vAlign w:val="center"/>
            <w:hideMark/>
          </w:tcPr>
          <w:p w14:paraId="390519C3" w14:textId="77777777" w:rsidR="003D2592" w:rsidRPr="00BF5EAB" w:rsidRDefault="003D2592"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المتغير</w:t>
            </w:r>
          </w:p>
        </w:tc>
        <w:tc>
          <w:tcPr>
            <w:tcW w:w="0" w:type="auto"/>
            <w:vAlign w:val="center"/>
            <w:hideMark/>
          </w:tcPr>
          <w:p w14:paraId="13BA22E3" w14:textId="77777777" w:rsidR="003D2592" w:rsidRPr="00BF5EAB" w:rsidRDefault="003D2592"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البعد</w:t>
            </w:r>
          </w:p>
        </w:tc>
        <w:tc>
          <w:tcPr>
            <w:tcW w:w="0" w:type="auto"/>
            <w:vAlign w:val="center"/>
            <w:hideMark/>
          </w:tcPr>
          <w:p w14:paraId="66D91828" w14:textId="77777777" w:rsidR="003D2592" w:rsidRPr="00BF5EAB" w:rsidRDefault="003D2592"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عدد الفقرات</w:t>
            </w:r>
          </w:p>
        </w:tc>
        <w:tc>
          <w:tcPr>
            <w:tcW w:w="0" w:type="auto"/>
            <w:vAlign w:val="center"/>
            <w:hideMark/>
          </w:tcPr>
          <w:p w14:paraId="3180B17D" w14:textId="77777777" w:rsidR="003D2592" w:rsidRPr="00BF5EAB" w:rsidRDefault="003D2592"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أرقام الفقرات</w:t>
            </w:r>
          </w:p>
        </w:tc>
        <w:tc>
          <w:tcPr>
            <w:tcW w:w="0" w:type="auto"/>
            <w:vAlign w:val="center"/>
          </w:tcPr>
          <w:p w14:paraId="2126A08B" w14:textId="5703A020" w:rsidR="003D2592" w:rsidRPr="00BF5EAB" w:rsidRDefault="003D2592"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نطاق الدرجات</w:t>
            </w:r>
          </w:p>
        </w:tc>
      </w:tr>
      <w:tr w:rsidR="00BF5EAB" w:rsidRPr="00BF5EAB" w14:paraId="4C217ACF" w14:textId="61E9B3F5" w:rsidTr="000676DC">
        <w:trPr>
          <w:jc w:val="center"/>
        </w:trPr>
        <w:tc>
          <w:tcPr>
            <w:tcW w:w="0" w:type="auto"/>
            <w:vMerge w:val="restart"/>
            <w:vAlign w:val="center"/>
            <w:hideMark/>
          </w:tcPr>
          <w:p w14:paraId="6289BF14" w14:textId="3E601E0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المتغير المستقل</w:t>
            </w:r>
            <w:r w:rsidR="005B20E7" w:rsidRPr="00BF5EAB">
              <w:rPr>
                <w:rFonts w:ascii="Sakkal Majalla" w:hAnsi="Sakkal Majalla" w:cs="Sakkal Majalla"/>
                <w:color w:val="0D0D0D" w:themeColor="text1" w:themeTint="F2"/>
                <w:sz w:val="28"/>
                <w:szCs w:val="28"/>
                <w:rtl/>
              </w:rPr>
              <w:t>:</w:t>
            </w:r>
          </w:p>
          <w:p w14:paraId="59743E5A" w14:textId="00BA7DDE"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(ذكاء الأعمال)</w:t>
            </w:r>
          </w:p>
        </w:tc>
        <w:tc>
          <w:tcPr>
            <w:tcW w:w="0" w:type="auto"/>
            <w:vAlign w:val="center"/>
            <w:hideMark/>
          </w:tcPr>
          <w:p w14:paraId="5B88E599"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 الفائدة المدركة</w:t>
            </w:r>
          </w:p>
        </w:tc>
        <w:tc>
          <w:tcPr>
            <w:tcW w:w="0" w:type="auto"/>
            <w:vAlign w:val="center"/>
            <w:hideMark/>
          </w:tcPr>
          <w:p w14:paraId="2DDD15CB"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5</w:t>
            </w:r>
          </w:p>
        </w:tc>
        <w:tc>
          <w:tcPr>
            <w:tcW w:w="0" w:type="auto"/>
            <w:vAlign w:val="center"/>
            <w:hideMark/>
          </w:tcPr>
          <w:p w14:paraId="1599E637"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1 - 5</w:t>
            </w:r>
          </w:p>
        </w:tc>
        <w:tc>
          <w:tcPr>
            <w:tcW w:w="0" w:type="auto"/>
            <w:vMerge w:val="restart"/>
            <w:vAlign w:val="center"/>
          </w:tcPr>
          <w:p w14:paraId="5DA9B86F" w14:textId="511F9F08"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14 - 70</w:t>
            </w:r>
          </w:p>
        </w:tc>
      </w:tr>
      <w:tr w:rsidR="00BF5EAB" w:rsidRPr="00BF5EAB" w14:paraId="3FBAAC1F" w14:textId="531572E2" w:rsidTr="000676DC">
        <w:trPr>
          <w:jc w:val="center"/>
        </w:trPr>
        <w:tc>
          <w:tcPr>
            <w:tcW w:w="0" w:type="auto"/>
            <w:vMerge/>
            <w:vAlign w:val="center"/>
            <w:hideMark/>
          </w:tcPr>
          <w:p w14:paraId="3B714532" w14:textId="77777777" w:rsidR="003D2592" w:rsidRPr="00BF5EAB" w:rsidRDefault="003D2592" w:rsidP="003B07BF">
            <w:pPr>
              <w:jc w:val="center"/>
              <w:rPr>
                <w:rFonts w:ascii="Sakkal Majalla" w:hAnsi="Sakkal Majalla" w:cs="Sakkal Majalla"/>
                <w:color w:val="0D0D0D" w:themeColor="text1" w:themeTint="F2"/>
                <w:sz w:val="28"/>
                <w:szCs w:val="28"/>
                <w:rtl/>
              </w:rPr>
            </w:pPr>
          </w:p>
        </w:tc>
        <w:tc>
          <w:tcPr>
            <w:tcW w:w="0" w:type="auto"/>
            <w:vAlign w:val="center"/>
            <w:hideMark/>
          </w:tcPr>
          <w:p w14:paraId="03785B85" w14:textId="77777777" w:rsidR="003D2592" w:rsidRPr="00BF5EAB" w:rsidRDefault="003D2592"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2. سهولة الاستخدام</w:t>
            </w:r>
          </w:p>
        </w:tc>
        <w:tc>
          <w:tcPr>
            <w:tcW w:w="0" w:type="auto"/>
            <w:vAlign w:val="center"/>
            <w:hideMark/>
          </w:tcPr>
          <w:p w14:paraId="3B5BB450"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5</w:t>
            </w:r>
          </w:p>
        </w:tc>
        <w:tc>
          <w:tcPr>
            <w:tcW w:w="0" w:type="auto"/>
            <w:vAlign w:val="center"/>
            <w:hideMark/>
          </w:tcPr>
          <w:p w14:paraId="48214757"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6 - 10</w:t>
            </w:r>
          </w:p>
        </w:tc>
        <w:tc>
          <w:tcPr>
            <w:tcW w:w="0" w:type="auto"/>
            <w:vMerge/>
            <w:vAlign w:val="center"/>
          </w:tcPr>
          <w:p w14:paraId="78E52BE7" w14:textId="77777777" w:rsidR="003D2592" w:rsidRPr="00BF5EAB" w:rsidRDefault="003D2592" w:rsidP="003B07BF">
            <w:pPr>
              <w:jc w:val="center"/>
              <w:rPr>
                <w:rFonts w:ascii="Sakkal Majalla" w:hAnsi="Sakkal Majalla" w:cs="Sakkal Majalla"/>
                <w:color w:val="0D0D0D" w:themeColor="text1" w:themeTint="F2"/>
                <w:sz w:val="28"/>
                <w:szCs w:val="28"/>
                <w:rtl/>
              </w:rPr>
            </w:pPr>
          </w:p>
        </w:tc>
      </w:tr>
      <w:tr w:rsidR="00BF5EAB" w:rsidRPr="00BF5EAB" w14:paraId="10F1E63B" w14:textId="0AD23B07" w:rsidTr="000676DC">
        <w:trPr>
          <w:jc w:val="center"/>
        </w:trPr>
        <w:tc>
          <w:tcPr>
            <w:tcW w:w="0" w:type="auto"/>
            <w:vMerge/>
            <w:vAlign w:val="center"/>
            <w:hideMark/>
          </w:tcPr>
          <w:p w14:paraId="776A0118" w14:textId="77777777" w:rsidR="003D2592" w:rsidRPr="00BF5EAB" w:rsidRDefault="003D2592" w:rsidP="003B07BF">
            <w:pPr>
              <w:jc w:val="center"/>
              <w:rPr>
                <w:rFonts w:ascii="Sakkal Majalla" w:hAnsi="Sakkal Majalla" w:cs="Sakkal Majalla"/>
                <w:color w:val="0D0D0D" w:themeColor="text1" w:themeTint="F2"/>
                <w:sz w:val="28"/>
                <w:szCs w:val="28"/>
                <w:rtl/>
              </w:rPr>
            </w:pPr>
          </w:p>
        </w:tc>
        <w:tc>
          <w:tcPr>
            <w:tcW w:w="0" w:type="auto"/>
            <w:vAlign w:val="center"/>
            <w:hideMark/>
          </w:tcPr>
          <w:p w14:paraId="38B8DBC6" w14:textId="77777777" w:rsidR="003D2592" w:rsidRPr="00BF5EAB" w:rsidRDefault="003D2592"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3. نية الاستخدام</w:t>
            </w:r>
          </w:p>
        </w:tc>
        <w:tc>
          <w:tcPr>
            <w:tcW w:w="0" w:type="auto"/>
            <w:vAlign w:val="center"/>
            <w:hideMark/>
          </w:tcPr>
          <w:p w14:paraId="26D3FDB1"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w:t>
            </w:r>
          </w:p>
        </w:tc>
        <w:tc>
          <w:tcPr>
            <w:tcW w:w="0" w:type="auto"/>
            <w:vAlign w:val="center"/>
            <w:hideMark/>
          </w:tcPr>
          <w:p w14:paraId="2DB84312"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11 - 14</w:t>
            </w:r>
          </w:p>
        </w:tc>
        <w:tc>
          <w:tcPr>
            <w:tcW w:w="0" w:type="auto"/>
            <w:vMerge/>
            <w:vAlign w:val="center"/>
          </w:tcPr>
          <w:p w14:paraId="3E2F23A1" w14:textId="77777777" w:rsidR="003D2592" w:rsidRPr="00BF5EAB" w:rsidRDefault="003D2592" w:rsidP="003B07BF">
            <w:pPr>
              <w:jc w:val="center"/>
              <w:rPr>
                <w:rFonts w:ascii="Sakkal Majalla" w:hAnsi="Sakkal Majalla" w:cs="Sakkal Majalla"/>
                <w:color w:val="0D0D0D" w:themeColor="text1" w:themeTint="F2"/>
                <w:sz w:val="28"/>
                <w:szCs w:val="28"/>
                <w:rtl/>
              </w:rPr>
            </w:pPr>
          </w:p>
        </w:tc>
      </w:tr>
      <w:tr w:rsidR="00BF5EAB" w:rsidRPr="00BF5EAB" w14:paraId="40C66E71" w14:textId="3176B826" w:rsidTr="000676DC">
        <w:trPr>
          <w:jc w:val="center"/>
        </w:trPr>
        <w:tc>
          <w:tcPr>
            <w:tcW w:w="0" w:type="auto"/>
            <w:vMerge w:val="restart"/>
            <w:vAlign w:val="center"/>
            <w:hideMark/>
          </w:tcPr>
          <w:p w14:paraId="217168E2" w14:textId="5322C3AB"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المتغير الوسيط</w:t>
            </w:r>
            <w:r w:rsidR="005B20E7" w:rsidRPr="00BF5EAB">
              <w:rPr>
                <w:rFonts w:ascii="Sakkal Majalla" w:hAnsi="Sakkal Majalla" w:cs="Sakkal Majalla"/>
                <w:color w:val="0D0D0D" w:themeColor="text1" w:themeTint="F2"/>
                <w:sz w:val="28"/>
                <w:szCs w:val="28"/>
                <w:rtl/>
              </w:rPr>
              <w:t>:</w:t>
            </w:r>
          </w:p>
          <w:p w14:paraId="16D15C34"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(جودة القرارات الاستراتيجية)</w:t>
            </w:r>
          </w:p>
        </w:tc>
        <w:tc>
          <w:tcPr>
            <w:tcW w:w="0" w:type="auto"/>
            <w:vAlign w:val="center"/>
            <w:hideMark/>
          </w:tcPr>
          <w:p w14:paraId="78CAEFE8"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 جودة وموثوقية المعلومات</w:t>
            </w:r>
          </w:p>
        </w:tc>
        <w:tc>
          <w:tcPr>
            <w:tcW w:w="0" w:type="auto"/>
            <w:vAlign w:val="center"/>
            <w:hideMark/>
          </w:tcPr>
          <w:p w14:paraId="1C62A041"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5</w:t>
            </w:r>
          </w:p>
        </w:tc>
        <w:tc>
          <w:tcPr>
            <w:tcW w:w="0" w:type="auto"/>
            <w:vAlign w:val="center"/>
            <w:hideMark/>
          </w:tcPr>
          <w:p w14:paraId="0EAA9297"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15 - 19</w:t>
            </w:r>
          </w:p>
        </w:tc>
        <w:tc>
          <w:tcPr>
            <w:tcW w:w="0" w:type="auto"/>
            <w:vMerge w:val="restart"/>
            <w:vAlign w:val="center"/>
          </w:tcPr>
          <w:p w14:paraId="3283496C" w14:textId="037B6B92"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21 - 105</w:t>
            </w:r>
          </w:p>
        </w:tc>
      </w:tr>
      <w:tr w:rsidR="00BF5EAB" w:rsidRPr="00BF5EAB" w14:paraId="02EFE696" w14:textId="71A46FE0" w:rsidTr="000676DC">
        <w:trPr>
          <w:jc w:val="center"/>
        </w:trPr>
        <w:tc>
          <w:tcPr>
            <w:tcW w:w="0" w:type="auto"/>
            <w:vMerge/>
            <w:vAlign w:val="center"/>
            <w:hideMark/>
          </w:tcPr>
          <w:p w14:paraId="1787B8C0" w14:textId="77777777" w:rsidR="003D2592" w:rsidRPr="00BF5EAB" w:rsidRDefault="003D2592" w:rsidP="003B07BF">
            <w:pPr>
              <w:jc w:val="center"/>
              <w:rPr>
                <w:rFonts w:ascii="Sakkal Majalla" w:hAnsi="Sakkal Majalla" w:cs="Sakkal Majalla"/>
                <w:color w:val="0D0D0D" w:themeColor="text1" w:themeTint="F2"/>
                <w:sz w:val="28"/>
                <w:szCs w:val="28"/>
                <w:rtl/>
              </w:rPr>
            </w:pPr>
          </w:p>
        </w:tc>
        <w:tc>
          <w:tcPr>
            <w:tcW w:w="0" w:type="auto"/>
            <w:vAlign w:val="center"/>
            <w:hideMark/>
          </w:tcPr>
          <w:p w14:paraId="4CC74D1B" w14:textId="77777777" w:rsidR="003D2592" w:rsidRPr="00BF5EAB" w:rsidRDefault="003D2592"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2. التحليل الموضوعي وتقييم البدائل</w:t>
            </w:r>
          </w:p>
        </w:tc>
        <w:tc>
          <w:tcPr>
            <w:tcW w:w="0" w:type="auto"/>
            <w:vAlign w:val="center"/>
            <w:hideMark/>
          </w:tcPr>
          <w:p w14:paraId="14E5D6DC"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w:t>
            </w:r>
          </w:p>
        </w:tc>
        <w:tc>
          <w:tcPr>
            <w:tcW w:w="0" w:type="auto"/>
            <w:vAlign w:val="center"/>
            <w:hideMark/>
          </w:tcPr>
          <w:p w14:paraId="5070656D"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20 - 22</w:t>
            </w:r>
          </w:p>
        </w:tc>
        <w:tc>
          <w:tcPr>
            <w:tcW w:w="0" w:type="auto"/>
            <w:vMerge/>
            <w:vAlign w:val="center"/>
          </w:tcPr>
          <w:p w14:paraId="4C64D4B1" w14:textId="77777777" w:rsidR="003D2592" w:rsidRPr="00BF5EAB" w:rsidRDefault="003D2592" w:rsidP="003B07BF">
            <w:pPr>
              <w:jc w:val="center"/>
              <w:rPr>
                <w:rFonts w:ascii="Sakkal Majalla" w:hAnsi="Sakkal Majalla" w:cs="Sakkal Majalla"/>
                <w:color w:val="0D0D0D" w:themeColor="text1" w:themeTint="F2"/>
                <w:sz w:val="28"/>
                <w:szCs w:val="28"/>
                <w:rtl/>
              </w:rPr>
            </w:pPr>
          </w:p>
        </w:tc>
      </w:tr>
      <w:tr w:rsidR="00BF5EAB" w:rsidRPr="00BF5EAB" w14:paraId="29936775" w14:textId="53406EEE" w:rsidTr="000676DC">
        <w:trPr>
          <w:jc w:val="center"/>
        </w:trPr>
        <w:tc>
          <w:tcPr>
            <w:tcW w:w="0" w:type="auto"/>
            <w:vMerge/>
            <w:vAlign w:val="center"/>
            <w:hideMark/>
          </w:tcPr>
          <w:p w14:paraId="486DAFC1" w14:textId="77777777" w:rsidR="003D2592" w:rsidRPr="00BF5EAB" w:rsidRDefault="003D2592" w:rsidP="003B07BF">
            <w:pPr>
              <w:jc w:val="center"/>
              <w:rPr>
                <w:rFonts w:ascii="Sakkal Majalla" w:hAnsi="Sakkal Majalla" w:cs="Sakkal Majalla"/>
                <w:color w:val="0D0D0D" w:themeColor="text1" w:themeTint="F2"/>
                <w:sz w:val="28"/>
                <w:szCs w:val="28"/>
                <w:rtl/>
              </w:rPr>
            </w:pPr>
          </w:p>
        </w:tc>
        <w:tc>
          <w:tcPr>
            <w:tcW w:w="0" w:type="auto"/>
            <w:vAlign w:val="center"/>
            <w:hideMark/>
          </w:tcPr>
          <w:p w14:paraId="32FC5FD9" w14:textId="77777777" w:rsidR="003D2592" w:rsidRPr="00BF5EAB" w:rsidRDefault="003D2592"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3. تفسير وتوظيف المخرجات الرقمية</w:t>
            </w:r>
          </w:p>
        </w:tc>
        <w:tc>
          <w:tcPr>
            <w:tcW w:w="0" w:type="auto"/>
            <w:vAlign w:val="center"/>
            <w:hideMark/>
          </w:tcPr>
          <w:p w14:paraId="16F5E56C"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5</w:t>
            </w:r>
          </w:p>
        </w:tc>
        <w:tc>
          <w:tcPr>
            <w:tcW w:w="0" w:type="auto"/>
            <w:vAlign w:val="center"/>
            <w:hideMark/>
          </w:tcPr>
          <w:p w14:paraId="726F0EB0"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23 - 27</w:t>
            </w:r>
          </w:p>
        </w:tc>
        <w:tc>
          <w:tcPr>
            <w:tcW w:w="0" w:type="auto"/>
            <w:vMerge/>
            <w:vAlign w:val="center"/>
          </w:tcPr>
          <w:p w14:paraId="69EC7820" w14:textId="77777777" w:rsidR="003D2592" w:rsidRPr="00BF5EAB" w:rsidRDefault="003D2592" w:rsidP="003B07BF">
            <w:pPr>
              <w:jc w:val="center"/>
              <w:rPr>
                <w:rFonts w:ascii="Sakkal Majalla" w:hAnsi="Sakkal Majalla" w:cs="Sakkal Majalla"/>
                <w:color w:val="0D0D0D" w:themeColor="text1" w:themeTint="F2"/>
                <w:sz w:val="28"/>
                <w:szCs w:val="28"/>
                <w:rtl/>
              </w:rPr>
            </w:pPr>
          </w:p>
        </w:tc>
      </w:tr>
      <w:tr w:rsidR="00BF5EAB" w:rsidRPr="00BF5EAB" w14:paraId="2E70620A" w14:textId="2FC95165" w:rsidTr="000676DC">
        <w:trPr>
          <w:jc w:val="center"/>
        </w:trPr>
        <w:tc>
          <w:tcPr>
            <w:tcW w:w="0" w:type="auto"/>
            <w:vMerge/>
            <w:vAlign w:val="center"/>
            <w:hideMark/>
          </w:tcPr>
          <w:p w14:paraId="16F4AE2D" w14:textId="77777777" w:rsidR="003D2592" w:rsidRPr="00BF5EAB" w:rsidRDefault="003D2592" w:rsidP="003B07BF">
            <w:pPr>
              <w:jc w:val="center"/>
              <w:rPr>
                <w:rFonts w:ascii="Sakkal Majalla" w:hAnsi="Sakkal Majalla" w:cs="Sakkal Majalla"/>
                <w:color w:val="0D0D0D" w:themeColor="text1" w:themeTint="F2"/>
                <w:sz w:val="28"/>
                <w:szCs w:val="28"/>
                <w:rtl/>
              </w:rPr>
            </w:pPr>
          </w:p>
        </w:tc>
        <w:tc>
          <w:tcPr>
            <w:tcW w:w="0" w:type="auto"/>
            <w:vAlign w:val="center"/>
            <w:hideMark/>
          </w:tcPr>
          <w:p w14:paraId="43CAB071" w14:textId="77777777" w:rsidR="003D2592" w:rsidRPr="00BF5EAB" w:rsidRDefault="003D2592"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4. التوافق الاستراتيجي والامتثال</w:t>
            </w:r>
          </w:p>
        </w:tc>
        <w:tc>
          <w:tcPr>
            <w:tcW w:w="0" w:type="auto"/>
            <w:vAlign w:val="center"/>
            <w:hideMark/>
          </w:tcPr>
          <w:p w14:paraId="51DFAC73"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w:t>
            </w:r>
          </w:p>
        </w:tc>
        <w:tc>
          <w:tcPr>
            <w:tcW w:w="0" w:type="auto"/>
            <w:vAlign w:val="center"/>
            <w:hideMark/>
          </w:tcPr>
          <w:p w14:paraId="0CE7A9F9"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28 - 31</w:t>
            </w:r>
          </w:p>
        </w:tc>
        <w:tc>
          <w:tcPr>
            <w:tcW w:w="0" w:type="auto"/>
            <w:vMerge/>
            <w:vAlign w:val="center"/>
          </w:tcPr>
          <w:p w14:paraId="59446D80" w14:textId="77777777" w:rsidR="003D2592" w:rsidRPr="00BF5EAB" w:rsidRDefault="003D2592" w:rsidP="003B07BF">
            <w:pPr>
              <w:jc w:val="center"/>
              <w:rPr>
                <w:rFonts w:ascii="Sakkal Majalla" w:hAnsi="Sakkal Majalla" w:cs="Sakkal Majalla"/>
                <w:color w:val="0D0D0D" w:themeColor="text1" w:themeTint="F2"/>
                <w:sz w:val="28"/>
                <w:szCs w:val="28"/>
                <w:rtl/>
              </w:rPr>
            </w:pPr>
          </w:p>
        </w:tc>
      </w:tr>
      <w:tr w:rsidR="00BF5EAB" w:rsidRPr="00BF5EAB" w14:paraId="652E92DF" w14:textId="3129B13A" w:rsidTr="000676DC">
        <w:trPr>
          <w:jc w:val="center"/>
        </w:trPr>
        <w:tc>
          <w:tcPr>
            <w:tcW w:w="0" w:type="auto"/>
            <w:vMerge/>
            <w:vAlign w:val="center"/>
            <w:hideMark/>
          </w:tcPr>
          <w:p w14:paraId="286DF665" w14:textId="77777777" w:rsidR="003D2592" w:rsidRPr="00BF5EAB" w:rsidRDefault="003D2592" w:rsidP="003B07BF">
            <w:pPr>
              <w:jc w:val="center"/>
              <w:rPr>
                <w:rFonts w:ascii="Sakkal Majalla" w:hAnsi="Sakkal Majalla" w:cs="Sakkal Majalla"/>
                <w:color w:val="0D0D0D" w:themeColor="text1" w:themeTint="F2"/>
                <w:sz w:val="28"/>
                <w:szCs w:val="28"/>
                <w:rtl/>
              </w:rPr>
            </w:pPr>
          </w:p>
        </w:tc>
        <w:tc>
          <w:tcPr>
            <w:tcW w:w="0" w:type="auto"/>
            <w:vAlign w:val="center"/>
            <w:hideMark/>
          </w:tcPr>
          <w:p w14:paraId="1D925596" w14:textId="77777777" w:rsidR="003D2592" w:rsidRPr="00BF5EAB" w:rsidRDefault="003D2592"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5. كفاءة مخرجات القرار</w:t>
            </w:r>
          </w:p>
        </w:tc>
        <w:tc>
          <w:tcPr>
            <w:tcW w:w="0" w:type="auto"/>
            <w:vAlign w:val="center"/>
            <w:hideMark/>
          </w:tcPr>
          <w:p w14:paraId="11EA2D9E"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w:t>
            </w:r>
          </w:p>
        </w:tc>
        <w:tc>
          <w:tcPr>
            <w:tcW w:w="0" w:type="auto"/>
            <w:vAlign w:val="center"/>
            <w:hideMark/>
          </w:tcPr>
          <w:p w14:paraId="5FE4BCDF"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32 - 35</w:t>
            </w:r>
          </w:p>
        </w:tc>
        <w:tc>
          <w:tcPr>
            <w:tcW w:w="0" w:type="auto"/>
            <w:vMerge/>
            <w:vAlign w:val="center"/>
          </w:tcPr>
          <w:p w14:paraId="2780BCDD" w14:textId="77777777" w:rsidR="003D2592" w:rsidRPr="00BF5EAB" w:rsidRDefault="003D2592" w:rsidP="003B07BF">
            <w:pPr>
              <w:jc w:val="center"/>
              <w:rPr>
                <w:rFonts w:ascii="Sakkal Majalla" w:hAnsi="Sakkal Majalla" w:cs="Sakkal Majalla"/>
                <w:color w:val="0D0D0D" w:themeColor="text1" w:themeTint="F2"/>
                <w:sz w:val="28"/>
                <w:szCs w:val="28"/>
                <w:rtl/>
              </w:rPr>
            </w:pPr>
          </w:p>
        </w:tc>
      </w:tr>
      <w:tr w:rsidR="00BF5EAB" w:rsidRPr="00BF5EAB" w14:paraId="471C9236" w14:textId="10DA2602" w:rsidTr="000676DC">
        <w:trPr>
          <w:jc w:val="center"/>
        </w:trPr>
        <w:tc>
          <w:tcPr>
            <w:tcW w:w="0" w:type="auto"/>
            <w:vMerge w:val="restart"/>
            <w:vAlign w:val="center"/>
            <w:hideMark/>
          </w:tcPr>
          <w:p w14:paraId="1E686517" w14:textId="19C5D1AA"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المتغير التابع</w:t>
            </w:r>
            <w:r w:rsidR="005B20E7" w:rsidRPr="00BF5EAB">
              <w:rPr>
                <w:rFonts w:ascii="Sakkal Majalla" w:hAnsi="Sakkal Majalla" w:cs="Sakkal Majalla"/>
                <w:color w:val="0D0D0D" w:themeColor="text1" w:themeTint="F2"/>
                <w:sz w:val="28"/>
                <w:szCs w:val="28"/>
                <w:rtl/>
              </w:rPr>
              <w:t>:</w:t>
            </w:r>
          </w:p>
          <w:p w14:paraId="25FAD556"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(الابتكار التنظيمي)</w:t>
            </w:r>
          </w:p>
        </w:tc>
        <w:tc>
          <w:tcPr>
            <w:tcW w:w="0" w:type="auto"/>
            <w:vAlign w:val="center"/>
            <w:hideMark/>
          </w:tcPr>
          <w:p w14:paraId="22D6FDA4"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 ابتكار الخدمات المالية الرقمية</w:t>
            </w:r>
          </w:p>
        </w:tc>
        <w:tc>
          <w:tcPr>
            <w:tcW w:w="0" w:type="auto"/>
            <w:vAlign w:val="center"/>
            <w:hideMark/>
          </w:tcPr>
          <w:p w14:paraId="2CCD354D"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w:t>
            </w:r>
          </w:p>
        </w:tc>
        <w:tc>
          <w:tcPr>
            <w:tcW w:w="0" w:type="auto"/>
            <w:vAlign w:val="center"/>
            <w:hideMark/>
          </w:tcPr>
          <w:p w14:paraId="578291B4"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36 - 41</w:t>
            </w:r>
          </w:p>
        </w:tc>
        <w:tc>
          <w:tcPr>
            <w:tcW w:w="0" w:type="auto"/>
            <w:vMerge w:val="restart"/>
            <w:vAlign w:val="center"/>
          </w:tcPr>
          <w:p w14:paraId="1BF0C54A" w14:textId="1B1D3479" w:rsidR="003D2592" w:rsidRPr="00BF5EAB" w:rsidRDefault="00E539C4"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18 - 90</w:t>
            </w:r>
          </w:p>
        </w:tc>
      </w:tr>
      <w:tr w:rsidR="00BF5EAB" w:rsidRPr="00BF5EAB" w14:paraId="23E2B92C" w14:textId="7ECD61F3" w:rsidTr="000676DC">
        <w:trPr>
          <w:jc w:val="center"/>
        </w:trPr>
        <w:tc>
          <w:tcPr>
            <w:tcW w:w="0" w:type="auto"/>
            <w:vMerge/>
            <w:vAlign w:val="center"/>
            <w:hideMark/>
          </w:tcPr>
          <w:p w14:paraId="2E220A12" w14:textId="77777777" w:rsidR="003D2592" w:rsidRPr="00BF5EAB" w:rsidRDefault="003D2592" w:rsidP="003B07BF">
            <w:pPr>
              <w:jc w:val="center"/>
              <w:rPr>
                <w:rFonts w:ascii="Sakkal Majalla" w:hAnsi="Sakkal Majalla" w:cs="Sakkal Majalla"/>
                <w:color w:val="0D0D0D" w:themeColor="text1" w:themeTint="F2"/>
                <w:sz w:val="28"/>
                <w:szCs w:val="28"/>
                <w:rtl/>
              </w:rPr>
            </w:pPr>
          </w:p>
        </w:tc>
        <w:tc>
          <w:tcPr>
            <w:tcW w:w="0" w:type="auto"/>
            <w:vAlign w:val="center"/>
            <w:hideMark/>
          </w:tcPr>
          <w:p w14:paraId="6AE90FF4" w14:textId="77777777" w:rsidR="003D2592" w:rsidRPr="00BF5EAB" w:rsidRDefault="003D2592"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2. الابتكار الإداري</w:t>
            </w:r>
          </w:p>
        </w:tc>
        <w:tc>
          <w:tcPr>
            <w:tcW w:w="0" w:type="auto"/>
            <w:vAlign w:val="center"/>
            <w:hideMark/>
          </w:tcPr>
          <w:p w14:paraId="0A16056C"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w:t>
            </w:r>
          </w:p>
        </w:tc>
        <w:tc>
          <w:tcPr>
            <w:tcW w:w="0" w:type="auto"/>
            <w:vAlign w:val="center"/>
            <w:hideMark/>
          </w:tcPr>
          <w:p w14:paraId="09DAA46E"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42 - 47</w:t>
            </w:r>
          </w:p>
        </w:tc>
        <w:tc>
          <w:tcPr>
            <w:tcW w:w="0" w:type="auto"/>
            <w:vMerge/>
            <w:vAlign w:val="center"/>
          </w:tcPr>
          <w:p w14:paraId="28339EB7" w14:textId="77777777" w:rsidR="003D2592" w:rsidRPr="00BF5EAB" w:rsidRDefault="003D2592" w:rsidP="003B07BF">
            <w:pPr>
              <w:jc w:val="center"/>
              <w:rPr>
                <w:rFonts w:ascii="Sakkal Majalla" w:hAnsi="Sakkal Majalla" w:cs="Sakkal Majalla"/>
                <w:color w:val="0D0D0D" w:themeColor="text1" w:themeTint="F2"/>
                <w:sz w:val="28"/>
                <w:szCs w:val="28"/>
                <w:rtl/>
              </w:rPr>
            </w:pPr>
          </w:p>
        </w:tc>
      </w:tr>
      <w:tr w:rsidR="00BF5EAB" w:rsidRPr="00BF5EAB" w14:paraId="25375583" w14:textId="5F5C9AA3" w:rsidTr="000676DC">
        <w:trPr>
          <w:jc w:val="center"/>
        </w:trPr>
        <w:tc>
          <w:tcPr>
            <w:tcW w:w="0" w:type="auto"/>
            <w:vMerge/>
            <w:vAlign w:val="center"/>
            <w:hideMark/>
          </w:tcPr>
          <w:p w14:paraId="4BE6A314" w14:textId="77777777" w:rsidR="003D2592" w:rsidRPr="00BF5EAB" w:rsidRDefault="003D2592" w:rsidP="003B07BF">
            <w:pPr>
              <w:jc w:val="center"/>
              <w:rPr>
                <w:rFonts w:ascii="Sakkal Majalla" w:hAnsi="Sakkal Majalla" w:cs="Sakkal Majalla"/>
                <w:color w:val="0D0D0D" w:themeColor="text1" w:themeTint="F2"/>
                <w:sz w:val="28"/>
                <w:szCs w:val="28"/>
                <w:rtl/>
              </w:rPr>
            </w:pPr>
          </w:p>
        </w:tc>
        <w:tc>
          <w:tcPr>
            <w:tcW w:w="0" w:type="auto"/>
            <w:vAlign w:val="center"/>
            <w:hideMark/>
          </w:tcPr>
          <w:p w14:paraId="6A0B04CA" w14:textId="77777777" w:rsidR="003D2592" w:rsidRPr="00BF5EAB" w:rsidRDefault="003D2592"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3. الثقافة التنظيمية الداعمة للابتكار</w:t>
            </w:r>
          </w:p>
        </w:tc>
        <w:tc>
          <w:tcPr>
            <w:tcW w:w="0" w:type="auto"/>
            <w:vAlign w:val="center"/>
            <w:hideMark/>
          </w:tcPr>
          <w:p w14:paraId="43C3A102"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w:t>
            </w:r>
          </w:p>
        </w:tc>
        <w:tc>
          <w:tcPr>
            <w:tcW w:w="0" w:type="auto"/>
            <w:vAlign w:val="center"/>
            <w:hideMark/>
          </w:tcPr>
          <w:p w14:paraId="4304AB95"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48 - 53</w:t>
            </w:r>
          </w:p>
        </w:tc>
        <w:tc>
          <w:tcPr>
            <w:tcW w:w="0" w:type="auto"/>
            <w:vMerge/>
            <w:vAlign w:val="center"/>
          </w:tcPr>
          <w:p w14:paraId="7EA535FA" w14:textId="77777777" w:rsidR="003D2592" w:rsidRPr="00BF5EAB" w:rsidRDefault="003D2592" w:rsidP="003B07BF">
            <w:pPr>
              <w:jc w:val="center"/>
              <w:rPr>
                <w:rFonts w:ascii="Sakkal Majalla" w:hAnsi="Sakkal Majalla" w:cs="Sakkal Majalla"/>
                <w:color w:val="0D0D0D" w:themeColor="text1" w:themeTint="F2"/>
                <w:sz w:val="28"/>
                <w:szCs w:val="28"/>
                <w:rtl/>
              </w:rPr>
            </w:pPr>
          </w:p>
        </w:tc>
      </w:tr>
      <w:tr w:rsidR="00BF5EAB" w:rsidRPr="00BF5EAB" w14:paraId="742E21EE" w14:textId="2314C510" w:rsidTr="000676DC">
        <w:trPr>
          <w:jc w:val="center"/>
        </w:trPr>
        <w:tc>
          <w:tcPr>
            <w:tcW w:w="0" w:type="auto"/>
            <w:vAlign w:val="center"/>
            <w:hideMark/>
          </w:tcPr>
          <w:p w14:paraId="56D84905"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lastRenderedPageBreak/>
              <w:t>الإجمالي</w:t>
            </w:r>
          </w:p>
        </w:tc>
        <w:tc>
          <w:tcPr>
            <w:tcW w:w="0" w:type="auto"/>
            <w:vAlign w:val="center"/>
            <w:hideMark/>
          </w:tcPr>
          <w:p w14:paraId="42763B21" w14:textId="77777777" w:rsidR="003D2592" w:rsidRPr="00BF5EAB" w:rsidRDefault="003D2592" w:rsidP="003B07BF">
            <w:pPr>
              <w:jc w:val="center"/>
              <w:rPr>
                <w:rFonts w:ascii="Sakkal Majalla" w:hAnsi="Sakkal Majalla" w:cs="Sakkal Majalla"/>
                <w:color w:val="0D0D0D" w:themeColor="text1" w:themeTint="F2"/>
                <w:sz w:val="28"/>
                <w:szCs w:val="28"/>
                <w:rtl/>
              </w:rPr>
            </w:pPr>
          </w:p>
        </w:tc>
        <w:tc>
          <w:tcPr>
            <w:tcW w:w="0" w:type="auto"/>
            <w:vAlign w:val="center"/>
            <w:hideMark/>
          </w:tcPr>
          <w:p w14:paraId="4CC7338F" w14:textId="77777777" w:rsidR="003D2592" w:rsidRPr="00BF5EAB" w:rsidRDefault="003D2592"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53</w:t>
            </w:r>
          </w:p>
        </w:tc>
        <w:tc>
          <w:tcPr>
            <w:tcW w:w="0" w:type="auto"/>
            <w:vAlign w:val="center"/>
            <w:hideMark/>
          </w:tcPr>
          <w:p w14:paraId="1111D53C" w14:textId="77777777" w:rsidR="003D2592" w:rsidRPr="00BF5EAB" w:rsidRDefault="003D2592"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1 - 53</w:t>
            </w:r>
          </w:p>
        </w:tc>
        <w:tc>
          <w:tcPr>
            <w:tcW w:w="0" w:type="auto"/>
            <w:vAlign w:val="center"/>
          </w:tcPr>
          <w:p w14:paraId="6ED8B96C" w14:textId="10EFC13D" w:rsidR="003D2592" w:rsidRPr="00BF5EAB" w:rsidRDefault="00E539C4"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53 - 265</w:t>
            </w:r>
          </w:p>
        </w:tc>
      </w:tr>
    </w:tbl>
    <w:p w14:paraId="420FB256" w14:textId="60F33E4D" w:rsidR="008A6916" w:rsidRPr="00BF5EAB" w:rsidRDefault="005F295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يُظهر الجدول أعلاه التوزيع المتوازن لفقرات الاستبانة عبر متغيرات الدراسة الثلاثة، حيث بلغ إجمالي عدد الفقرات (53) فقرة مقاسة بمقياس ليكرت الخماسي. ويُلاحظ شمولية التغطية لكل بُعد من أبعاد المتغيرات الكامنة؛ مما يعزز من القدرة الإحصائية للأداة في التقاط التباينات بين استجابات أفراد العينة، ويوفر قاعدة بيانات صلبة وموثوقة لنمذجة المعادلات البنائية (</w:t>
      </w:r>
      <w:r w:rsidRPr="00BF5EAB">
        <w:rPr>
          <w:rFonts w:ascii="Sakkal Majalla" w:hAnsi="Sakkal Majalla" w:cs="Sakkal Majalla"/>
          <w:color w:val="0D0D0D" w:themeColor="text1" w:themeTint="F2"/>
          <w:sz w:val="32"/>
          <w:szCs w:val="32"/>
        </w:rPr>
        <w:t>SEM-PLS</w:t>
      </w:r>
      <w:r w:rsidRPr="00BF5EAB">
        <w:rPr>
          <w:rFonts w:ascii="Sakkal Majalla" w:hAnsi="Sakkal Majalla" w:cs="Sakkal Majalla"/>
          <w:color w:val="0D0D0D" w:themeColor="text1" w:themeTint="F2"/>
          <w:sz w:val="32"/>
          <w:szCs w:val="32"/>
          <w:rtl/>
        </w:rPr>
        <w:t>)، وهو ما يضمن استيفاء شروط الصدق البنائي والاتساق الداخلي عند تحليل العلاقات بين ذكاء الأعمال، وجودة القرارات، والابتكار التنظيمي.</w:t>
      </w:r>
    </w:p>
    <w:p w14:paraId="32F1CC27" w14:textId="54DCBA1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EC65A3" w:rsidRPr="00BF5EAB">
        <w:rPr>
          <w:rFonts w:ascii="Sakkal Majalla" w:eastAsia="Times New Roman" w:hAnsi="Sakkal Majalla" w:cs="Sakkal Majalla"/>
          <w:b/>
          <w:bCs/>
          <w:color w:val="0D0D0D" w:themeColor="text1" w:themeTint="F2"/>
          <w:sz w:val="32"/>
          <w:szCs w:val="32"/>
          <w:rtl/>
          <w:lang w:bidi="ar-EG"/>
        </w:rPr>
        <w:t>5</w:t>
      </w:r>
      <w:r w:rsidRPr="00BF5EAB">
        <w:rPr>
          <w:rFonts w:ascii="Sakkal Majalla" w:eastAsia="Times New Roman" w:hAnsi="Sakkal Majalla" w:cs="Sakkal Majalla"/>
          <w:b/>
          <w:bCs/>
          <w:color w:val="0D0D0D" w:themeColor="text1" w:themeTint="F2"/>
          <w:sz w:val="32"/>
          <w:szCs w:val="32"/>
          <w:lang w:bidi="ar-EG"/>
        </w:rPr>
        <w:t xml:space="preserve"> </w:t>
      </w:r>
      <w:r w:rsidRPr="00BF5EAB">
        <w:rPr>
          <w:rFonts w:ascii="Sakkal Majalla" w:eastAsia="Times New Roman" w:hAnsi="Sakkal Majalla" w:cs="Sakkal Majalla"/>
          <w:b/>
          <w:bCs/>
          <w:color w:val="0D0D0D" w:themeColor="text1" w:themeTint="F2"/>
          <w:sz w:val="32"/>
          <w:szCs w:val="32"/>
          <w:rtl/>
          <w:lang w:bidi="ar-EG"/>
        </w:rPr>
        <w:t>مجتمع الدراسة</w:t>
      </w:r>
    </w:p>
    <w:p w14:paraId="197F2AB3" w14:textId="5BE6A2F2" w:rsidR="002623DF" w:rsidRPr="00BF5EAB" w:rsidRDefault="0090487D"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يُقصد بمجتمع الدراسة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"جميع الأفراد أو الأشياء، أو العناصر الذين لهم خصائص واحدة يمكن ملاحظتها. والمحك الوحيد للمجتمع هو وجود خاصية مشتركة بين أفراده يمكن ملاحظتها. ولذلك يمكن أن يضيق أو يتسع مفهوم المجتمع طبقا لتعريف الباحث" (أبو علام، 2009، ص.154). </w:t>
      </w:r>
    </w:p>
    <w:p w14:paraId="3635759C" w14:textId="15A78EA1" w:rsidR="002623DF" w:rsidRPr="00BF5EAB" w:rsidRDefault="002623DF"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وتأسيساً على ذلك، يتكون مجتمع الدراسة الحالية من جميع القيادات الإدارية والمصرفية (المديرين، نواب المديرين، رؤساء الأقسام، والمشرفين) العاملين في المقرات الرئيسية والإقليمية والشركات التابعة للمصارف التجارية والرقابية العاملة بمدينة الرياض في المملكة العربية السعودية، والذين تتوافر فيهم الخصائص والضوابط المنهجية المشتركة والمتمثلة في</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ممارسة مهام تخطيطية أو إشرافية أو قيادية ترتبط بشكل مباشر بصناعة وصياغة أو اتخاذ القرارات الاستراتيجية والتنظيمية. التعامل الفعلي والمستمر مع لوحات البيانات الرقمية ومخرجات أنظمة ذكاء الأعمال (</w:t>
      </w:r>
      <w:r w:rsidRPr="00BF5EAB">
        <w:rPr>
          <w:rFonts w:ascii="Sakkal Majalla" w:hAnsi="Sakkal Majalla" w:cs="Sakkal Majalla"/>
          <w:color w:val="0D0D0D" w:themeColor="text1" w:themeTint="F2"/>
          <w:sz w:val="32"/>
          <w:szCs w:val="32"/>
        </w:rPr>
        <w:t>BI</w:t>
      </w:r>
      <w:r w:rsidRPr="00BF5EAB">
        <w:rPr>
          <w:rFonts w:ascii="Sakkal Majalla" w:hAnsi="Sakkal Majalla" w:cs="Sakkal Majalla"/>
          <w:color w:val="0D0D0D" w:themeColor="text1" w:themeTint="F2"/>
          <w:sz w:val="32"/>
          <w:szCs w:val="32"/>
          <w:rtl/>
        </w:rPr>
        <w:t>) والمؤشرات التحليلية المدعومة بالبيانات والذكاء الاصطناعي لتسيير الأعمال داخل البنك.</w:t>
      </w:r>
    </w:p>
    <w:p w14:paraId="47DD4977" w14:textId="0F3B422F" w:rsidR="00216529" w:rsidRPr="00BF5EAB" w:rsidRDefault="00703155"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ويتكون مجتمع الدراسة من القيادات الإدارية والمصرفية في (36) مصرفاً مرخصاً من قبل البنك المركزي السعودي، وتتوزع هذه المصارف بين (13) مصرفاً محلياً، و(23) فرعاً لمصارف أجنبية</w:t>
      </w:r>
      <w:r w:rsidR="009426A2" w:rsidRPr="00BF5EAB">
        <w:rPr>
          <w:rFonts w:ascii="Sakkal Majalla" w:hAnsi="Sakkal Majalla" w:cs="Sakkal Majalla"/>
          <w:color w:val="0D0D0D" w:themeColor="text1" w:themeTint="F2"/>
          <w:sz w:val="32"/>
          <w:szCs w:val="32"/>
          <w:rtl/>
        </w:rPr>
        <w:t xml:space="preserve"> (مؤسسة النقد العربي السعودي، 2026</w:t>
      </w:r>
      <w:r w:rsidR="00216529"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(تم استبعاد المصارف التي لم تباشر النشاط بعد، مثل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المصرف العراقي للتجارة، وبنك ستاندرد تشارترد، وبنك كريديت سويس، وكذلك المصارف التي توقفت عن مزاولة أعمالها كـ</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ستيت بنك أوف إنديا، أو التي اندمجت كلياً في كيانات أخرى كمجموعة سامبا المالية). ونظراً لهذا التنوع في الهوية المؤسسية (محلي مقابل أجنبي)، فقد راعت الباحثة عند تحديد مجتمع الدراسة "القابل للوصول" استهداف المصارف التي لديها تواجد تشغيلي فعلي ومقرات </w:t>
      </w:r>
      <w:r w:rsidRPr="00BF5EAB">
        <w:rPr>
          <w:rFonts w:ascii="Sakkal Majalla" w:hAnsi="Sakkal Majalla" w:cs="Sakkal Majalla"/>
          <w:color w:val="0D0D0D" w:themeColor="text1" w:themeTint="F2"/>
          <w:sz w:val="32"/>
          <w:szCs w:val="32"/>
          <w:rtl/>
        </w:rPr>
        <w:lastRenderedPageBreak/>
        <w:t>رئيسية أو إقليمية بمدينة الرياض، لضمان توافر البنية التحتية لأنظمة ذكاء الأعمال (</w:t>
      </w:r>
      <w:r w:rsidRPr="00BF5EAB">
        <w:rPr>
          <w:rFonts w:ascii="Sakkal Majalla" w:hAnsi="Sakkal Majalla" w:cs="Sakkal Majalla"/>
          <w:color w:val="0D0D0D" w:themeColor="text1" w:themeTint="F2"/>
          <w:sz w:val="32"/>
          <w:szCs w:val="32"/>
        </w:rPr>
        <w:t>BI</w:t>
      </w:r>
      <w:r w:rsidRPr="00BF5EAB">
        <w:rPr>
          <w:rFonts w:ascii="Sakkal Majalla" w:hAnsi="Sakkal Majalla" w:cs="Sakkal Majalla"/>
          <w:color w:val="0D0D0D" w:themeColor="text1" w:themeTint="F2"/>
          <w:sz w:val="32"/>
          <w:szCs w:val="32"/>
          <w:rtl/>
        </w:rPr>
        <w:t>) والقدرة على استهداف القيادات ذات الصلة.</w:t>
      </w:r>
    </w:p>
    <w:p w14:paraId="579B0D34" w14:textId="3A0A1D44" w:rsidR="008D3743" w:rsidRPr="00BF5EAB" w:rsidRDefault="008D3743" w:rsidP="003B07BF">
      <w:pPr>
        <w:spacing w:after="0" w:line="240" w:lineRule="auto"/>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جدول (3-</w:t>
      </w:r>
      <w:r w:rsidR="00EC65A3" w:rsidRPr="00BF5EAB">
        <w:rPr>
          <w:rFonts w:ascii="Sakkal Majalla" w:hAnsi="Sakkal Majalla" w:cs="Sakkal Majalla"/>
          <w:b/>
          <w:bCs/>
          <w:color w:val="0D0D0D" w:themeColor="text1" w:themeTint="F2"/>
          <w:sz w:val="28"/>
          <w:szCs w:val="28"/>
          <w:rtl/>
        </w:rPr>
        <w:t>3</w:t>
      </w:r>
      <w:r w:rsidRPr="00BF5EAB">
        <w:rPr>
          <w:rFonts w:ascii="Sakkal Majalla" w:hAnsi="Sakkal Majalla" w:cs="Sakkal Majalla"/>
          <w:b/>
          <w:bCs/>
          <w:color w:val="0D0D0D" w:themeColor="text1" w:themeTint="F2"/>
          <w:sz w:val="28"/>
          <w:szCs w:val="28"/>
          <w:rtl/>
        </w:rPr>
        <w:t>) قائمة المصارف المشمولة في مجتمع الدراسة وحالتها التشغيلية</w:t>
      </w:r>
    </w:p>
    <w:tbl>
      <w:tblPr>
        <w:tblStyle w:val="5"/>
        <w:bidiVisual/>
        <w:tblW w:w="0" w:type="auto"/>
        <w:jc w:val="center"/>
        <w:tblLook w:val="04A0" w:firstRow="1" w:lastRow="0" w:firstColumn="1" w:lastColumn="0" w:noHBand="0" w:noVBand="1"/>
      </w:tblPr>
      <w:tblGrid>
        <w:gridCol w:w="937"/>
        <w:gridCol w:w="2580"/>
        <w:gridCol w:w="738"/>
        <w:gridCol w:w="866"/>
        <w:gridCol w:w="2172"/>
        <w:gridCol w:w="1200"/>
      </w:tblGrid>
      <w:tr w:rsidR="00BF5EAB" w:rsidRPr="00BF5EAB" w14:paraId="1ED69B93" w14:textId="2223FDB4" w:rsidTr="003B07BF">
        <w:trPr>
          <w:tblHeader/>
          <w:jc w:val="center"/>
        </w:trPr>
        <w:tc>
          <w:tcPr>
            <w:tcW w:w="958" w:type="dxa"/>
            <w:vAlign w:val="center"/>
            <w:hideMark/>
          </w:tcPr>
          <w:p w14:paraId="67989C63" w14:textId="77777777" w:rsidR="00B32B75" w:rsidRPr="00BF5EAB" w:rsidRDefault="00B32B75"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نوع المصرف</w:t>
            </w:r>
          </w:p>
        </w:tc>
        <w:tc>
          <w:tcPr>
            <w:tcW w:w="3042" w:type="dxa"/>
            <w:vAlign w:val="center"/>
            <w:hideMark/>
          </w:tcPr>
          <w:p w14:paraId="64B47F78" w14:textId="77777777"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اسم المصرف</w:t>
            </w:r>
          </w:p>
        </w:tc>
        <w:tc>
          <w:tcPr>
            <w:tcW w:w="0" w:type="auto"/>
            <w:vAlign w:val="center"/>
            <w:hideMark/>
          </w:tcPr>
          <w:p w14:paraId="7B8B01F2" w14:textId="77777777"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الحالة</w:t>
            </w:r>
          </w:p>
        </w:tc>
        <w:tc>
          <w:tcPr>
            <w:tcW w:w="866" w:type="dxa"/>
            <w:vAlign w:val="center"/>
          </w:tcPr>
          <w:p w14:paraId="59C8B556" w14:textId="6DD3AF88"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نوع المصرف</w:t>
            </w:r>
          </w:p>
        </w:tc>
        <w:tc>
          <w:tcPr>
            <w:tcW w:w="2534" w:type="dxa"/>
            <w:vAlign w:val="center"/>
          </w:tcPr>
          <w:p w14:paraId="03E18102" w14:textId="6D01E2D9"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اسم المصرف</w:t>
            </w:r>
          </w:p>
        </w:tc>
        <w:tc>
          <w:tcPr>
            <w:tcW w:w="1275" w:type="dxa"/>
            <w:vAlign w:val="center"/>
          </w:tcPr>
          <w:p w14:paraId="7D1ED841" w14:textId="7C689524"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الحالة</w:t>
            </w:r>
          </w:p>
        </w:tc>
      </w:tr>
      <w:tr w:rsidR="00BF5EAB" w:rsidRPr="00BF5EAB" w14:paraId="43EEF929" w14:textId="235B2E1A" w:rsidTr="003B07BF">
        <w:trPr>
          <w:jc w:val="center"/>
        </w:trPr>
        <w:tc>
          <w:tcPr>
            <w:tcW w:w="958" w:type="dxa"/>
            <w:vAlign w:val="center"/>
            <w:hideMark/>
          </w:tcPr>
          <w:p w14:paraId="2A1B1738"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C56776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الأهلي السعودي (</w:t>
            </w:r>
            <w:r w:rsidRPr="00BF5EAB">
              <w:rPr>
                <w:rFonts w:ascii="Sakkal Majalla" w:hAnsi="Sakkal Majalla" w:cs="Sakkal Majalla"/>
                <w:color w:val="0D0D0D" w:themeColor="text1" w:themeTint="F2"/>
                <w:sz w:val="28"/>
                <w:szCs w:val="28"/>
              </w:rPr>
              <w:t>SNB</w:t>
            </w:r>
            <w:r w:rsidRPr="00BF5EAB">
              <w:rPr>
                <w:rFonts w:ascii="Sakkal Majalla" w:hAnsi="Sakkal Majalla" w:cs="Sakkal Majalla"/>
                <w:color w:val="0D0D0D" w:themeColor="text1" w:themeTint="F2"/>
                <w:sz w:val="28"/>
                <w:szCs w:val="28"/>
                <w:rtl/>
              </w:rPr>
              <w:t>)</w:t>
            </w:r>
          </w:p>
        </w:tc>
        <w:tc>
          <w:tcPr>
            <w:tcW w:w="0" w:type="auto"/>
            <w:vAlign w:val="center"/>
            <w:hideMark/>
          </w:tcPr>
          <w:p w14:paraId="4C2F0C1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C0451EA" w14:textId="7A45CE0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4CC7803C" w14:textId="62FD8AD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الكويت الوطني</w:t>
            </w:r>
          </w:p>
        </w:tc>
        <w:tc>
          <w:tcPr>
            <w:tcW w:w="1275" w:type="dxa"/>
          </w:tcPr>
          <w:p w14:paraId="1C8F4BF3" w14:textId="33C4C2E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573B7F8B" w14:textId="40616E10" w:rsidTr="003B07BF">
        <w:trPr>
          <w:jc w:val="center"/>
        </w:trPr>
        <w:tc>
          <w:tcPr>
            <w:tcW w:w="958" w:type="dxa"/>
            <w:vAlign w:val="center"/>
            <w:hideMark/>
          </w:tcPr>
          <w:p w14:paraId="41D985F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50F4458B"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مصرف الراجحي</w:t>
            </w:r>
          </w:p>
        </w:tc>
        <w:tc>
          <w:tcPr>
            <w:tcW w:w="0" w:type="auto"/>
            <w:vAlign w:val="center"/>
            <w:hideMark/>
          </w:tcPr>
          <w:p w14:paraId="461CBAE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4C82BE8" w14:textId="1E7625D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3E496A27" w14:textId="3596374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مسقط</w:t>
            </w:r>
          </w:p>
        </w:tc>
        <w:tc>
          <w:tcPr>
            <w:tcW w:w="1275" w:type="dxa"/>
          </w:tcPr>
          <w:p w14:paraId="217A3236" w14:textId="5ED31234"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155ED425" w14:textId="67E50580" w:rsidTr="003B07BF">
        <w:trPr>
          <w:jc w:val="center"/>
        </w:trPr>
        <w:tc>
          <w:tcPr>
            <w:tcW w:w="958" w:type="dxa"/>
            <w:vAlign w:val="center"/>
            <w:hideMark/>
          </w:tcPr>
          <w:p w14:paraId="2098DDD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383AC5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الرياض</w:t>
            </w:r>
          </w:p>
        </w:tc>
        <w:tc>
          <w:tcPr>
            <w:tcW w:w="0" w:type="auto"/>
            <w:vAlign w:val="center"/>
            <w:hideMark/>
          </w:tcPr>
          <w:p w14:paraId="0D767B2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5810EF11" w14:textId="626E414F"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CB04AC6" w14:textId="3ACC6D8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دويتشه بنك</w:t>
            </w:r>
          </w:p>
        </w:tc>
        <w:tc>
          <w:tcPr>
            <w:tcW w:w="1275" w:type="dxa"/>
          </w:tcPr>
          <w:p w14:paraId="3231617A" w14:textId="4F92E19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174F917E" w14:textId="2B754D1A" w:rsidTr="003B07BF">
        <w:trPr>
          <w:jc w:val="center"/>
        </w:trPr>
        <w:tc>
          <w:tcPr>
            <w:tcW w:w="958" w:type="dxa"/>
            <w:vAlign w:val="center"/>
            <w:hideMark/>
          </w:tcPr>
          <w:p w14:paraId="71FD4E87"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DBA8F0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البريطاني (ساب)</w:t>
            </w:r>
          </w:p>
        </w:tc>
        <w:tc>
          <w:tcPr>
            <w:tcW w:w="0" w:type="auto"/>
            <w:vAlign w:val="center"/>
            <w:hideMark/>
          </w:tcPr>
          <w:p w14:paraId="190CB38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E1BB8BC" w14:textId="50E4EF8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88AD96B" w14:textId="0818E60F"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بي إن بي باريبا </w:t>
            </w:r>
          </w:p>
        </w:tc>
        <w:tc>
          <w:tcPr>
            <w:tcW w:w="1275" w:type="dxa"/>
          </w:tcPr>
          <w:p w14:paraId="21C39E89" w14:textId="48D95CE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EC125AC" w14:textId="68A5BE3E" w:rsidTr="003B07BF">
        <w:trPr>
          <w:jc w:val="center"/>
        </w:trPr>
        <w:tc>
          <w:tcPr>
            <w:tcW w:w="958" w:type="dxa"/>
            <w:vAlign w:val="center"/>
            <w:hideMark/>
          </w:tcPr>
          <w:p w14:paraId="628D4DA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1E84F4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الفرنسي</w:t>
            </w:r>
          </w:p>
        </w:tc>
        <w:tc>
          <w:tcPr>
            <w:tcW w:w="0" w:type="auto"/>
            <w:vAlign w:val="center"/>
            <w:hideMark/>
          </w:tcPr>
          <w:p w14:paraId="2835B08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39802D83" w14:textId="55CEAEF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55EBE07" w14:textId="3E3E93F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جي بي مورقان تشيز</w:t>
            </w:r>
          </w:p>
        </w:tc>
        <w:tc>
          <w:tcPr>
            <w:tcW w:w="1275" w:type="dxa"/>
          </w:tcPr>
          <w:p w14:paraId="1EACD84E" w14:textId="275261A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784708F7" w14:textId="67F2DFEE" w:rsidTr="003B07BF">
        <w:trPr>
          <w:jc w:val="center"/>
        </w:trPr>
        <w:tc>
          <w:tcPr>
            <w:tcW w:w="958" w:type="dxa"/>
            <w:vAlign w:val="center"/>
            <w:hideMark/>
          </w:tcPr>
          <w:p w14:paraId="42CF0509"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B010409"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العربي الوطني</w:t>
            </w:r>
          </w:p>
        </w:tc>
        <w:tc>
          <w:tcPr>
            <w:tcW w:w="0" w:type="auto"/>
            <w:vAlign w:val="center"/>
            <w:hideMark/>
          </w:tcPr>
          <w:p w14:paraId="110497F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6B85A51E" w14:textId="1E79E45E"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11C732D" w14:textId="453ABEA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باكستان الوطني</w:t>
            </w:r>
          </w:p>
        </w:tc>
        <w:tc>
          <w:tcPr>
            <w:tcW w:w="1275" w:type="dxa"/>
          </w:tcPr>
          <w:p w14:paraId="3B7B41D1" w14:textId="79B17BC3"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0800D8B8" w14:textId="0298B8CF" w:rsidTr="003B07BF">
        <w:trPr>
          <w:jc w:val="center"/>
        </w:trPr>
        <w:tc>
          <w:tcPr>
            <w:tcW w:w="958" w:type="dxa"/>
            <w:vAlign w:val="center"/>
            <w:hideMark/>
          </w:tcPr>
          <w:p w14:paraId="582FDFF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3FAF164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البلاد</w:t>
            </w:r>
          </w:p>
        </w:tc>
        <w:tc>
          <w:tcPr>
            <w:tcW w:w="0" w:type="auto"/>
            <w:vAlign w:val="center"/>
            <w:hideMark/>
          </w:tcPr>
          <w:p w14:paraId="3AF5EFE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37F69FE3" w14:textId="28E5D94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B609446" w14:textId="14CD794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تي سي زراعات بانكاسي (تركي)</w:t>
            </w:r>
          </w:p>
        </w:tc>
        <w:tc>
          <w:tcPr>
            <w:tcW w:w="1275" w:type="dxa"/>
          </w:tcPr>
          <w:p w14:paraId="1324EC84" w14:textId="29B31FC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F75F578" w14:textId="0A924871" w:rsidTr="003B07BF">
        <w:trPr>
          <w:jc w:val="center"/>
        </w:trPr>
        <w:tc>
          <w:tcPr>
            <w:tcW w:w="958" w:type="dxa"/>
            <w:vAlign w:val="center"/>
            <w:hideMark/>
          </w:tcPr>
          <w:p w14:paraId="2386CAF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0525EB9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الجزيرة</w:t>
            </w:r>
          </w:p>
        </w:tc>
        <w:tc>
          <w:tcPr>
            <w:tcW w:w="0" w:type="auto"/>
            <w:vAlign w:val="center"/>
            <w:hideMark/>
          </w:tcPr>
          <w:p w14:paraId="1ACC6CC8"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28F1CB47" w14:textId="57D777A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F102D6C" w14:textId="0016116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الصين للصناعة والتجارة</w:t>
            </w:r>
          </w:p>
        </w:tc>
        <w:tc>
          <w:tcPr>
            <w:tcW w:w="1275" w:type="dxa"/>
          </w:tcPr>
          <w:p w14:paraId="0AAB5EC8" w14:textId="69A60D5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31124023" w14:textId="6B5FCA43" w:rsidTr="003B07BF">
        <w:trPr>
          <w:jc w:val="center"/>
        </w:trPr>
        <w:tc>
          <w:tcPr>
            <w:tcW w:w="958" w:type="dxa"/>
            <w:vAlign w:val="center"/>
            <w:hideMark/>
          </w:tcPr>
          <w:p w14:paraId="5B56DB0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E1C8A1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مصرف الإنماء</w:t>
            </w:r>
          </w:p>
        </w:tc>
        <w:tc>
          <w:tcPr>
            <w:tcW w:w="0" w:type="auto"/>
            <w:vAlign w:val="center"/>
            <w:hideMark/>
          </w:tcPr>
          <w:p w14:paraId="17EB185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54DF619A" w14:textId="225B48B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8B03521" w14:textId="2301176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قطر الوطني (</w:t>
            </w:r>
            <w:r w:rsidRPr="00BF5EAB">
              <w:rPr>
                <w:rFonts w:ascii="Sakkal Majalla" w:hAnsi="Sakkal Majalla" w:cs="Sakkal Majalla"/>
                <w:color w:val="0D0D0D" w:themeColor="text1" w:themeTint="F2"/>
                <w:sz w:val="28"/>
                <w:szCs w:val="28"/>
              </w:rPr>
              <w:t>QNB</w:t>
            </w:r>
            <w:r w:rsidRPr="00BF5EAB">
              <w:rPr>
                <w:rFonts w:ascii="Sakkal Majalla" w:hAnsi="Sakkal Majalla" w:cs="Sakkal Majalla"/>
                <w:color w:val="0D0D0D" w:themeColor="text1" w:themeTint="F2"/>
                <w:sz w:val="28"/>
                <w:szCs w:val="28"/>
                <w:rtl/>
              </w:rPr>
              <w:t>)</w:t>
            </w:r>
          </w:p>
        </w:tc>
        <w:tc>
          <w:tcPr>
            <w:tcW w:w="1275" w:type="dxa"/>
          </w:tcPr>
          <w:p w14:paraId="3AF2E0D8" w14:textId="7BEBA77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057839D3" w14:textId="12A89E9B" w:rsidTr="003B07BF">
        <w:trPr>
          <w:jc w:val="center"/>
        </w:trPr>
        <w:tc>
          <w:tcPr>
            <w:tcW w:w="958" w:type="dxa"/>
            <w:vAlign w:val="center"/>
            <w:hideMark/>
          </w:tcPr>
          <w:p w14:paraId="243359D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109EF0F"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للاستثمار</w:t>
            </w:r>
          </w:p>
        </w:tc>
        <w:tc>
          <w:tcPr>
            <w:tcW w:w="0" w:type="auto"/>
            <w:vAlign w:val="center"/>
            <w:hideMark/>
          </w:tcPr>
          <w:p w14:paraId="5524F28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69D95581" w14:textId="1A84E41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1B234B7" w14:textId="772F081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إم يو إف جي (</w:t>
            </w:r>
            <w:r w:rsidRPr="00BF5EAB">
              <w:rPr>
                <w:rFonts w:ascii="Sakkal Majalla" w:hAnsi="Sakkal Majalla" w:cs="Sakkal Majalla"/>
                <w:color w:val="0D0D0D" w:themeColor="text1" w:themeTint="F2"/>
                <w:sz w:val="28"/>
                <w:szCs w:val="28"/>
              </w:rPr>
              <w:t>MUFG</w:t>
            </w:r>
            <w:r w:rsidRPr="00BF5EAB">
              <w:rPr>
                <w:rFonts w:ascii="Sakkal Majalla" w:hAnsi="Sakkal Majalla" w:cs="Sakkal Majalla"/>
                <w:color w:val="0D0D0D" w:themeColor="text1" w:themeTint="F2"/>
                <w:sz w:val="28"/>
                <w:szCs w:val="28"/>
                <w:rtl/>
              </w:rPr>
              <w:t>)</w:t>
            </w:r>
          </w:p>
        </w:tc>
        <w:tc>
          <w:tcPr>
            <w:tcW w:w="1275" w:type="dxa"/>
          </w:tcPr>
          <w:p w14:paraId="3C9D3E2D" w14:textId="6255597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B879E9F" w14:textId="77671B30" w:rsidTr="003B07BF">
        <w:trPr>
          <w:jc w:val="center"/>
        </w:trPr>
        <w:tc>
          <w:tcPr>
            <w:tcW w:w="958" w:type="dxa"/>
            <w:vAlign w:val="center"/>
            <w:hideMark/>
          </w:tcPr>
          <w:p w14:paraId="704F09E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33BA9E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الخليج الدولي - السعودية</w:t>
            </w:r>
          </w:p>
        </w:tc>
        <w:tc>
          <w:tcPr>
            <w:tcW w:w="0" w:type="auto"/>
            <w:vAlign w:val="center"/>
            <w:hideMark/>
          </w:tcPr>
          <w:p w14:paraId="42F0D0D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98AEE48" w14:textId="7F568D5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71E42515" w14:textId="36790B4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أبوظبي الأول</w:t>
            </w:r>
          </w:p>
        </w:tc>
        <w:tc>
          <w:tcPr>
            <w:tcW w:w="1275" w:type="dxa"/>
          </w:tcPr>
          <w:p w14:paraId="586F8A2B" w14:textId="5CB2D0D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6EC9332C" w14:textId="4A14710E" w:rsidTr="003B07BF">
        <w:trPr>
          <w:jc w:val="center"/>
        </w:trPr>
        <w:tc>
          <w:tcPr>
            <w:tcW w:w="958" w:type="dxa"/>
            <w:vAlign w:val="center"/>
            <w:hideMark/>
          </w:tcPr>
          <w:p w14:paraId="0CDCF23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343C64D"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"الأول" (</w:t>
            </w:r>
            <w:r w:rsidRPr="00BF5EAB">
              <w:rPr>
                <w:rFonts w:ascii="Sakkal Majalla" w:hAnsi="Sakkal Majalla" w:cs="Sakkal Majalla"/>
                <w:color w:val="0D0D0D" w:themeColor="text1" w:themeTint="F2"/>
                <w:sz w:val="28"/>
                <w:szCs w:val="28"/>
              </w:rPr>
              <w:t>SABB</w:t>
            </w:r>
            <w:r w:rsidRPr="00BF5EAB">
              <w:rPr>
                <w:rFonts w:ascii="Sakkal Majalla" w:hAnsi="Sakkal Majalla" w:cs="Sakkal Majalla"/>
                <w:color w:val="0D0D0D" w:themeColor="text1" w:themeTint="F2"/>
                <w:sz w:val="28"/>
                <w:szCs w:val="28"/>
                <w:rtl/>
              </w:rPr>
              <w:t xml:space="preserve"> سابقاً)</w:t>
            </w:r>
          </w:p>
        </w:tc>
        <w:tc>
          <w:tcPr>
            <w:tcW w:w="0" w:type="auto"/>
            <w:vAlign w:val="center"/>
            <w:hideMark/>
          </w:tcPr>
          <w:p w14:paraId="2A1B278E"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0D421356" w14:textId="5303132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3AEC7746" w14:textId="3802EF2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ستيت بنك أوف إنديا</w:t>
            </w:r>
          </w:p>
        </w:tc>
        <w:tc>
          <w:tcPr>
            <w:tcW w:w="1275" w:type="dxa"/>
          </w:tcPr>
          <w:p w14:paraId="1CA898A4" w14:textId="639E5EA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ملغى الترخيص</w:t>
            </w:r>
          </w:p>
        </w:tc>
      </w:tr>
      <w:tr w:rsidR="00BF5EAB" w:rsidRPr="00BF5EAB" w14:paraId="4116753A" w14:textId="0AF487C0" w:rsidTr="003B07BF">
        <w:trPr>
          <w:jc w:val="center"/>
        </w:trPr>
        <w:tc>
          <w:tcPr>
            <w:tcW w:w="958" w:type="dxa"/>
            <w:vAlign w:val="center"/>
            <w:hideMark/>
          </w:tcPr>
          <w:p w14:paraId="37BD0ED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AEFA26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مجموعة سامبا المالية (دمجت مع الأهلي)</w:t>
            </w:r>
          </w:p>
        </w:tc>
        <w:tc>
          <w:tcPr>
            <w:tcW w:w="0" w:type="auto"/>
            <w:vAlign w:val="center"/>
            <w:hideMark/>
          </w:tcPr>
          <w:p w14:paraId="06352D45"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مدمج</w:t>
            </w:r>
          </w:p>
        </w:tc>
        <w:tc>
          <w:tcPr>
            <w:tcW w:w="866" w:type="dxa"/>
          </w:tcPr>
          <w:p w14:paraId="62087EC1" w14:textId="4DA2D7B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7AF3A02E" w14:textId="7B3A11D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المصرف العراقي للتجارة</w:t>
            </w:r>
          </w:p>
        </w:tc>
        <w:tc>
          <w:tcPr>
            <w:tcW w:w="1275" w:type="dxa"/>
          </w:tcPr>
          <w:p w14:paraId="6F54FE64" w14:textId="7DCA81A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r w:rsidR="00BF5EAB" w:rsidRPr="00BF5EAB" w14:paraId="20CF0B43" w14:textId="2AB041EF" w:rsidTr="003B07BF">
        <w:trPr>
          <w:jc w:val="center"/>
        </w:trPr>
        <w:tc>
          <w:tcPr>
            <w:tcW w:w="958" w:type="dxa"/>
            <w:vAlign w:val="center"/>
            <w:hideMark/>
          </w:tcPr>
          <w:p w14:paraId="159BFEA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3042" w:type="dxa"/>
            <w:vAlign w:val="center"/>
            <w:hideMark/>
          </w:tcPr>
          <w:p w14:paraId="1C84F23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الإمارات دبي الوطني</w:t>
            </w:r>
          </w:p>
        </w:tc>
        <w:tc>
          <w:tcPr>
            <w:tcW w:w="0" w:type="auto"/>
            <w:vAlign w:val="center"/>
            <w:hideMark/>
          </w:tcPr>
          <w:p w14:paraId="334CB52B"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6DE2E30" w14:textId="5CDDA25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49EC266" w14:textId="3DA9AB03"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ستاندرد تشارترد</w:t>
            </w:r>
          </w:p>
        </w:tc>
        <w:tc>
          <w:tcPr>
            <w:tcW w:w="1275" w:type="dxa"/>
          </w:tcPr>
          <w:p w14:paraId="6994B086" w14:textId="31126FE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r w:rsidR="00BF5EAB" w:rsidRPr="00BF5EAB" w14:paraId="650A6B6D" w14:textId="77777777" w:rsidTr="003B07BF">
        <w:trPr>
          <w:jc w:val="center"/>
        </w:trPr>
        <w:tc>
          <w:tcPr>
            <w:tcW w:w="958" w:type="dxa"/>
          </w:tcPr>
          <w:p w14:paraId="37DA13E8" w14:textId="47DEA09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3042" w:type="dxa"/>
          </w:tcPr>
          <w:p w14:paraId="443A7AEE" w14:textId="42C4259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البحرين الوطني</w:t>
            </w:r>
          </w:p>
        </w:tc>
        <w:tc>
          <w:tcPr>
            <w:tcW w:w="0" w:type="auto"/>
          </w:tcPr>
          <w:p w14:paraId="128AD986" w14:textId="79E3C090"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3C7B415" w14:textId="2B5BB44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4F5471A1" w14:textId="781FECF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كريديت سويس</w:t>
            </w:r>
          </w:p>
        </w:tc>
        <w:tc>
          <w:tcPr>
            <w:tcW w:w="1275" w:type="dxa"/>
          </w:tcPr>
          <w:p w14:paraId="75980BD2" w14:textId="7BD1E1FE"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bl>
    <w:p w14:paraId="609B79C6" w14:textId="1AF2998E" w:rsidR="000759AB" w:rsidRPr="00BF5EAB" w:rsidRDefault="002623DF"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ويبلغ العدد الإجمالي التقريبي لأفراد هذا المجتمع </w:t>
      </w:r>
      <w:r w:rsidR="001F64EE" w:rsidRPr="00BF5EAB">
        <w:rPr>
          <w:rFonts w:ascii="Sakkal Majalla" w:hAnsi="Sakkal Majalla" w:cs="Sakkal Majalla"/>
          <w:color w:val="0D0D0D" w:themeColor="text1" w:themeTint="F2"/>
          <w:sz w:val="32"/>
          <w:szCs w:val="32"/>
          <w:rtl/>
        </w:rPr>
        <w:t xml:space="preserve">ما يقارب (3,200) </w:t>
      </w:r>
      <w:r w:rsidRPr="00BF5EAB">
        <w:rPr>
          <w:rFonts w:ascii="Sakkal Majalla" w:hAnsi="Sakkal Majalla" w:cs="Sakkal Majalla"/>
          <w:color w:val="0D0D0D" w:themeColor="text1" w:themeTint="F2"/>
          <w:sz w:val="32"/>
          <w:szCs w:val="32"/>
          <w:rtl/>
        </w:rPr>
        <w:t>مديراً ومسؤولاً مصرفياً، موزعين على المصارف المستهدفة بمدينة الرياض وفقاً للإحصاءات والتقارير الرسمية الصادرة عن البنك المركزي السعودي (ساما) والمصارف المعنية للعام الحالي 2026م.</w:t>
      </w:r>
      <w:r w:rsidR="00F21013" w:rsidRPr="00BF5EAB">
        <w:rPr>
          <w:rFonts w:ascii="Sakkal Majalla" w:hAnsi="Sakkal Majalla" w:cs="Sakkal Majalla"/>
          <w:color w:val="0D0D0D" w:themeColor="text1" w:themeTint="F2"/>
          <w:sz w:val="32"/>
          <w:szCs w:val="32"/>
          <w:rtl/>
        </w:rPr>
        <w:t xml:space="preserve"> وتُميّز الدراسة بين المجتمع العام المتمثل في كافة القيادات الإدارية والمصرفية ذات المهام التخطيطية بالمملكة، والمجتمع القابل للوصول الذي حُصر في القيادات التي تتعامل فعلياً مع أنظمة ذكاء الأعمال (</w:t>
      </w:r>
      <w:r w:rsidR="00F21013" w:rsidRPr="00BF5EAB">
        <w:rPr>
          <w:rFonts w:ascii="Sakkal Majalla" w:hAnsi="Sakkal Majalla" w:cs="Sakkal Majalla"/>
          <w:color w:val="0D0D0D" w:themeColor="text1" w:themeTint="F2"/>
          <w:sz w:val="32"/>
          <w:szCs w:val="32"/>
        </w:rPr>
        <w:t>BI</w:t>
      </w:r>
      <w:r w:rsidR="00F21013" w:rsidRPr="00BF5EAB">
        <w:rPr>
          <w:rFonts w:ascii="Sakkal Majalla" w:hAnsi="Sakkal Majalla" w:cs="Sakkal Majalla"/>
          <w:color w:val="0D0D0D" w:themeColor="text1" w:themeTint="F2"/>
          <w:sz w:val="32"/>
          <w:szCs w:val="32"/>
          <w:rtl/>
        </w:rPr>
        <w:t xml:space="preserve">) بالمقرات الرئيسية </w:t>
      </w:r>
      <w:r w:rsidR="00F21013" w:rsidRPr="00BF5EAB">
        <w:rPr>
          <w:rFonts w:ascii="Sakkal Majalla" w:hAnsi="Sakkal Majalla" w:cs="Sakkal Majalla"/>
          <w:color w:val="0D0D0D" w:themeColor="text1" w:themeTint="F2"/>
          <w:sz w:val="32"/>
          <w:szCs w:val="32"/>
          <w:rtl/>
        </w:rPr>
        <w:lastRenderedPageBreak/>
        <w:t>والشركات التابعة بمدينة الرياض. ويُعد هذا التخصيص إجراءً منهجياً لضمان دقة الاستهداف وملاءمة عينة الدراسة لطبيعة المتغيرات التقنية والإدارية محل البحث.</w:t>
      </w:r>
      <w:r w:rsidR="000759AB" w:rsidRPr="00BF5EAB">
        <w:rPr>
          <w:rFonts w:ascii="Sakkal Majalla" w:hAnsi="Sakkal Majalla" w:cs="Sakkal Majalla"/>
          <w:color w:val="0D0D0D" w:themeColor="text1" w:themeTint="F2"/>
          <w:sz w:val="32"/>
          <w:szCs w:val="32"/>
          <w:rtl/>
        </w:rPr>
        <w:t xml:space="preserve"> </w:t>
      </w:r>
    </w:p>
    <w:p w14:paraId="1C7DFF91" w14:textId="4D628F16" w:rsidR="002623DF" w:rsidRPr="00BF5EAB" w:rsidRDefault="000759AB"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ويُعد هذا التحديد المنهجي ضرورياً لضمان دقة الاستهداف؛ حيث يمثل المجتمع القابل للوصول تلك النخبة القيادية التي تتقاطع مهامها الوظيفية مع التكنولوجيا محل الدراسة، مما يجعلها "وحدات تحليل" مؤهلة لتقديم استجابات دقيقة تعكس الواقع الفعلي لاتخاذ القرار الاستراتيجي في القطاع المصرفي. ويبلغ العدد الإجمالي التقريبي لأفراد هذا المجتمع القابل للوصول </w:t>
      </w:r>
      <w:r w:rsidR="00107018" w:rsidRPr="00BF5EAB">
        <w:rPr>
          <w:rFonts w:ascii="Sakkal Majalla" w:hAnsi="Sakkal Majalla" w:cs="Sakkal Majalla"/>
          <w:color w:val="0D0D0D" w:themeColor="text1" w:themeTint="F2"/>
          <w:sz w:val="32"/>
          <w:szCs w:val="32"/>
          <w:rtl/>
        </w:rPr>
        <w:t>(450)</w:t>
      </w:r>
      <w:r w:rsidRPr="00BF5EAB">
        <w:rPr>
          <w:rFonts w:ascii="Sakkal Majalla" w:hAnsi="Sakkal Majalla" w:cs="Sakkal Majalla"/>
          <w:color w:val="0D0D0D" w:themeColor="text1" w:themeTint="F2"/>
          <w:sz w:val="32"/>
          <w:szCs w:val="32"/>
          <w:rtl/>
        </w:rPr>
        <w:t xml:space="preserve"> مديراً ومسؤولاً مصرفياً، موزعين على المصارف المستهدفة بمدينة الرياض وفقاً للإحصاءات والتقارير الرسمية الصادرة عن البنك المركزي السعودي (ساما) والمصارف المعنية للعام الحالي 2026م.</w:t>
      </w:r>
    </w:p>
    <w:p w14:paraId="46E706B5" w14:textId="5358442B" w:rsidR="00CE5082" w:rsidRPr="00BF5EAB" w:rsidRDefault="00CE5082"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وعليه، </w:t>
      </w:r>
      <w:r w:rsidR="002201E8" w:rsidRPr="00BF5EAB">
        <w:rPr>
          <w:rFonts w:ascii="Sakkal Majalla" w:hAnsi="Sakkal Majalla" w:cs="Sakkal Majalla"/>
          <w:color w:val="0D0D0D" w:themeColor="text1" w:themeTint="F2"/>
          <w:sz w:val="32"/>
          <w:szCs w:val="32"/>
          <w:rtl/>
        </w:rPr>
        <w:t>تم</w:t>
      </w:r>
      <w:r w:rsidRPr="00BF5EAB">
        <w:rPr>
          <w:rFonts w:ascii="Sakkal Majalla" w:hAnsi="Sakkal Majalla" w:cs="Sakkal Majalla"/>
          <w:color w:val="0D0D0D" w:themeColor="text1" w:themeTint="F2"/>
          <w:sz w:val="32"/>
          <w:szCs w:val="32"/>
          <w:rtl/>
        </w:rPr>
        <w:t xml:space="preserve"> التمييز الدقيق بين مستويات المجتمع لضمان سلامة التعميم الإحصائي. وفي هذا السياق، تفرق الدراسة بين ثلاثة مستويات للمجتمع</w:t>
      </w:r>
      <w:r w:rsidR="005B20E7" w:rsidRPr="00BF5EAB">
        <w:rPr>
          <w:rFonts w:ascii="Sakkal Majalla" w:hAnsi="Sakkal Majalla" w:cs="Sakkal Majalla"/>
          <w:color w:val="0D0D0D" w:themeColor="text1" w:themeTint="F2"/>
          <w:sz w:val="32"/>
          <w:szCs w:val="32"/>
          <w:rtl/>
        </w:rPr>
        <w:t>:</w:t>
      </w:r>
    </w:p>
    <w:p w14:paraId="38E5AD46" w14:textId="271A08A4" w:rsidR="00CE5082" w:rsidRPr="00BF5EAB" w:rsidRDefault="002201E8" w:rsidP="005501C8">
      <w:pPr>
        <w:pStyle w:val="ListParagraph"/>
        <w:numPr>
          <w:ilvl w:val="0"/>
          <w:numId w:val="3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المجتمع العام</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يتمثل في كافة القيادات الإدارية والمصرفية (المديرين، نواب المديرين، رؤساء الأقسام، والمشرفين) العاملين في كافة المستويات القيادية في المصارف التجارية والرقابية كافة العاملة في المملكة العربية السعودية، والذين يمارسون مهاماً تخطيطية أو إشرافية ترتبط بصناعة القرارات الاستراتيجية والتنظيمية.</w:t>
      </w:r>
    </w:p>
    <w:p w14:paraId="25C90A72" w14:textId="673652D2" w:rsidR="00CE5082" w:rsidRPr="00BF5EAB" w:rsidRDefault="002201E8" w:rsidP="005501C8">
      <w:pPr>
        <w:pStyle w:val="ListParagraph"/>
        <w:numPr>
          <w:ilvl w:val="0"/>
          <w:numId w:val="33"/>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المجتمع المستهدف</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يُقصد به شريحة القيادات التي تتقاطع مهامها الوظيفية فعلياً مع التكنولوجيا محل الدراسة؛ أي تلك النخبة القيادية التي تستخدم مخرجات أنظمة ذكاء الأعمال (</w:t>
      </w:r>
      <w:r w:rsidR="00CE5082" w:rsidRPr="00BF5EAB">
        <w:rPr>
          <w:rFonts w:ascii="Sakkal Majalla" w:hAnsi="Sakkal Majalla" w:cs="Sakkal Majalla"/>
          <w:color w:val="0D0D0D" w:themeColor="text1" w:themeTint="F2"/>
          <w:sz w:val="32"/>
          <w:szCs w:val="32"/>
        </w:rPr>
        <w:t>BI</w:t>
      </w:r>
      <w:r w:rsidR="00CE5082" w:rsidRPr="00BF5EAB">
        <w:rPr>
          <w:rFonts w:ascii="Sakkal Majalla" w:hAnsi="Sakkal Majalla" w:cs="Sakkal Majalla"/>
          <w:color w:val="0D0D0D" w:themeColor="text1" w:themeTint="F2"/>
          <w:sz w:val="32"/>
          <w:szCs w:val="32"/>
          <w:rtl/>
        </w:rPr>
        <w:t>) والذكاء الاصطناعي التوليدي في دعم القرارات الإدارية الاستراتيجية. وهذا المجتمع هو "وحدات التحليل" التي تمتلك الخبرة والدراية الكافية لتقديم استجابات تعكس الواقع الفعلي للمتغيرات محل الدراسة.</w:t>
      </w:r>
    </w:p>
    <w:p w14:paraId="59181588" w14:textId="62651A31" w:rsidR="00CE5082" w:rsidRPr="00BF5EAB" w:rsidRDefault="002201E8" w:rsidP="005501C8">
      <w:pPr>
        <w:pStyle w:val="ListParagraph"/>
        <w:numPr>
          <w:ilvl w:val="0"/>
          <w:numId w:val="33"/>
        </w:numPr>
        <w:bidi/>
        <w:spacing w:after="0"/>
        <w:ind w:left="351"/>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المجتمع القابل للوصول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هو الجزء الفعلي الذي أمكن للباحثة الوصول إليه ميدانياً وإجراء الدراسة عليه، وحُصر في القيادات العاملة في المقرات الرئيسية للمصارف التجارية والرقابية (المحلية والأجنبية) المتواجدة بمدينة الرياض. ويُعد هذا الحصر إجراءً منهجياً ضرورياً لضمان دقة الاستهداف؛ نظراً لتركز مراكز اتخاذ القرار الاستراتيجي في هذه المقرات، وتوفر البنية التحتية التقنية اللازمة لاستخدام أنظمة ذكاء الأعمال، ويبلغ إجمالي هذا المجتمع القابل للوصول (450) مديراً ومسؤولاً مصرفياً، وفقاً لإحصاءات عام 2026م.</w:t>
      </w:r>
    </w:p>
    <w:p w14:paraId="3FB2A8FC" w14:textId="77777777" w:rsidR="003B07BF" w:rsidRPr="00BF5EAB" w:rsidRDefault="003B07BF" w:rsidP="003B07BF">
      <w:pPr>
        <w:spacing w:after="0"/>
        <w:jc w:val="both"/>
        <w:rPr>
          <w:rFonts w:ascii="Sakkal Majalla" w:hAnsi="Sakkal Majalla" w:cs="Sakkal Majalla"/>
          <w:color w:val="0D0D0D" w:themeColor="text1" w:themeTint="F2"/>
          <w:sz w:val="32"/>
          <w:szCs w:val="32"/>
          <w:rtl/>
        </w:rPr>
      </w:pPr>
    </w:p>
    <w:p w14:paraId="584F11DB" w14:textId="77777777" w:rsidR="003B07BF" w:rsidRPr="00BF5EAB" w:rsidRDefault="003B07BF" w:rsidP="003B07BF">
      <w:pPr>
        <w:spacing w:after="0"/>
        <w:jc w:val="both"/>
        <w:rPr>
          <w:rFonts w:ascii="Sakkal Majalla" w:hAnsi="Sakkal Majalla" w:cs="Sakkal Majalla"/>
          <w:color w:val="0D0D0D" w:themeColor="text1" w:themeTint="F2"/>
          <w:sz w:val="32"/>
          <w:szCs w:val="32"/>
          <w:rtl/>
        </w:rPr>
      </w:pPr>
    </w:p>
    <w:p w14:paraId="0131B31D" w14:textId="07E9291B"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lastRenderedPageBreak/>
        <w:t>3-</w:t>
      </w:r>
      <w:r w:rsidR="00EC65A3" w:rsidRPr="00BF5EAB">
        <w:rPr>
          <w:rFonts w:ascii="Sakkal Majalla" w:eastAsia="Times New Roman" w:hAnsi="Sakkal Majalla" w:cs="Sakkal Majalla"/>
          <w:b/>
          <w:bCs/>
          <w:color w:val="0D0D0D" w:themeColor="text1" w:themeTint="F2"/>
          <w:sz w:val="32"/>
          <w:szCs w:val="32"/>
          <w:rtl/>
          <w:lang w:bidi="ar-EG"/>
        </w:rPr>
        <w:t>6</w:t>
      </w:r>
      <w:r w:rsidRPr="00BF5EAB">
        <w:rPr>
          <w:rFonts w:ascii="Sakkal Majalla" w:eastAsia="Times New Roman" w:hAnsi="Sakkal Majalla" w:cs="Sakkal Majalla"/>
          <w:b/>
          <w:bCs/>
          <w:color w:val="0D0D0D" w:themeColor="text1" w:themeTint="F2"/>
          <w:sz w:val="32"/>
          <w:szCs w:val="32"/>
          <w:rtl/>
          <w:lang w:bidi="ar-EG"/>
        </w:rPr>
        <w:t xml:space="preserve"> عينة الدراسة </w:t>
      </w:r>
    </w:p>
    <w:p w14:paraId="4D82A1B6" w14:textId="07EECC5A" w:rsidR="00415EC4" w:rsidRPr="00BF5EAB" w:rsidRDefault="00A65368"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415EC4" w:rsidRPr="00BF5EAB">
        <w:rPr>
          <w:rFonts w:ascii="Sakkal Majalla" w:hAnsi="Sakkal Majalla" w:cs="Sakkal Majalla"/>
          <w:color w:val="0D0D0D" w:themeColor="text1" w:themeTint="F2"/>
          <w:sz w:val="32"/>
          <w:szCs w:val="32"/>
          <w:rtl/>
        </w:rPr>
        <w:t>تُعرف العينة بأنها</w:t>
      </w:r>
      <w:r w:rsidR="005B20E7" w:rsidRPr="00BF5EAB">
        <w:rPr>
          <w:rFonts w:ascii="Sakkal Majalla" w:hAnsi="Sakkal Majalla" w:cs="Sakkal Majalla"/>
          <w:color w:val="0D0D0D" w:themeColor="text1" w:themeTint="F2"/>
          <w:sz w:val="32"/>
          <w:szCs w:val="32"/>
          <w:rtl/>
        </w:rPr>
        <w:t>:</w:t>
      </w:r>
      <w:r w:rsidR="00415EC4" w:rsidRPr="00BF5EAB">
        <w:rPr>
          <w:rFonts w:ascii="Sakkal Majalla" w:hAnsi="Sakkal Majalla" w:cs="Sakkal Majalla"/>
          <w:color w:val="0D0D0D" w:themeColor="text1" w:themeTint="F2"/>
          <w:sz w:val="32"/>
          <w:szCs w:val="32"/>
          <w:rtl/>
        </w:rPr>
        <w:t xml:space="preserve"> "أعداد مناسبة من مجتمع البحث الأصلي يختارهم الباحث بطريقة معينة" (عمر، 2009، ص.112). ويعرف أبو علام (2009) العينة بأنها</w:t>
      </w:r>
      <w:r w:rsidR="005B20E7" w:rsidRPr="00BF5EAB">
        <w:rPr>
          <w:rFonts w:ascii="Sakkal Majalla" w:hAnsi="Sakkal Majalla" w:cs="Sakkal Majalla"/>
          <w:color w:val="0D0D0D" w:themeColor="text1" w:themeTint="F2"/>
          <w:sz w:val="32"/>
          <w:szCs w:val="32"/>
          <w:rtl/>
        </w:rPr>
        <w:t>:</w:t>
      </w:r>
      <w:r w:rsidR="00415EC4" w:rsidRPr="00BF5EAB">
        <w:rPr>
          <w:rFonts w:ascii="Sakkal Majalla" w:hAnsi="Sakkal Majalla" w:cs="Sakkal Majalla"/>
          <w:color w:val="0D0D0D" w:themeColor="text1" w:themeTint="F2"/>
          <w:sz w:val="32"/>
          <w:szCs w:val="32"/>
          <w:rtl/>
        </w:rPr>
        <w:t xml:space="preserve"> "مجموعة جزئية من المجتمع له خصائص مشتركة" (ص.156)؛ ونظراً لصعوبة تطبيق أدوات الدراسة على كامل أفراد المجتمع الأصلي لضيق الوقت والجهد، قامت الباحثة باختيار عينة ممثلة من مجتمع الدراسة؛ وقد انقسمت عينة الدراسة إلى قِسمين أساسيين على النحو التالي</w:t>
      </w:r>
      <w:r w:rsidR="005B20E7" w:rsidRPr="00BF5EAB">
        <w:rPr>
          <w:rFonts w:ascii="Sakkal Majalla" w:hAnsi="Sakkal Majalla" w:cs="Sakkal Majalla"/>
          <w:color w:val="0D0D0D" w:themeColor="text1" w:themeTint="F2"/>
          <w:sz w:val="32"/>
          <w:szCs w:val="32"/>
          <w:rtl/>
        </w:rPr>
        <w:t>:</w:t>
      </w:r>
    </w:p>
    <w:p w14:paraId="27829FCE" w14:textId="3D5581CA" w:rsidR="00415EC4" w:rsidRPr="00BF5EAB" w:rsidRDefault="00415EC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أولاً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العينة الاستطلاعية</w:t>
      </w:r>
      <w:r w:rsidR="005B20E7" w:rsidRPr="00BF5EAB">
        <w:rPr>
          <w:rFonts w:ascii="Sakkal Majalla" w:hAnsi="Sakkal Majalla" w:cs="Sakkal Majalla"/>
          <w:b/>
          <w:bCs/>
          <w:color w:val="0D0D0D" w:themeColor="text1" w:themeTint="F2"/>
          <w:sz w:val="32"/>
          <w:szCs w:val="32"/>
          <w:rtl/>
        </w:rPr>
        <w:t>:</w:t>
      </w:r>
    </w:p>
    <w:p w14:paraId="59396FC3" w14:textId="332FE6C4" w:rsidR="00415EC4" w:rsidRPr="00BF5EAB" w:rsidRDefault="00415EC4"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تكونت العينة الاستطلاعية من (30) مديراً ومسؤولاً مصرفياً من القيادات الإدارية في المصارف العاملة بمدينة الرياض، جرى اختيارهم بالطريقة العشوائية البسيطة من خارج عينة الدراسة الأساسية ومن داخل مجتمعها الأصلي ممن تنطبق عليهم محددات الدراسة والتعامل مع أنظمة ذكاء الأعمال. وقد طُبقت عليهم أداة الدراسة الرئيسية المتمثلة في (الاستبانة) بمحاورها الثلاثة المتكاملة؛ وذلك للتحقق من الخصائص القياسية والسيكومترية للأداة.</w:t>
      </w:r>
    </w:p>
    <w:p w14:paraId="4EE339D3" w14:textId="32ABB3E2" w:rsidR="00415EC4" w:rsidRPr="00BF5EAB" w:rsidRDefault="00415EC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ثانياً</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العينة الأساسية</w:t>
      </w:r>
      <w:r w:rsidR="005B20E7" w:rsidRPr="00BF5EAB">
        <w:rPr>
          <w:rFonts w:ascii="Sakkal Majalla" w:hAnsi="Sakkal Majalla" w:cs="Sakkal Majalla"/>
          <w:b/>
          <w:bCs/>
          <w:color w:val="0D0D0D" w:themeColor="text1" w:themeTint="F2"/>
          <w:sz w:val="32"/>
          <w:szCs w:val="32"/>
          <w:rtl/>
        </w:rPr>
        <w:t>:</w:t>
      </w:r>
    </w:p>
    <w:p w14:paraId="1E74BC02" w14:textId="0FCCC477" w:rsidR="00D52A3B" w:rsidRPr="00BF5EAB" w:rsidRDefault="00415EC4"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rPr>
        <w:t xml:space="preserve">      </w:t>
      </w:r>
      <w:r w:rsidR="00BF008C" w:rsidRPr="00BF5EAB">
        <w:rPr>
          <w:rFonts w:ascii="Sakkal Majalla" w:hAnsi="Sakkal Majalla" w:cs="Sakkal Majalla"/>
          <w:color w:val="0D0D0D" w:themeColor="text1" w:themeTint="F2"/>
          <w:sz w:val="32"/>
          <w:szCs w:val="32"/>
          <w:rtl/>
        </w:rPr>
        <w:t xml:space="preserve">تكونت عينة الدراسة الأساسية من </w:t>
      </w:r>
      <w:r w:rsidR="008A74D7" w:rsidRPr="00BF5EAB">
        <w:rPr>
          <w:rFonts w:ascii="Sakkal Majalla" w:hAnsi="Sakkal Majalla" w:cs="Sakkal Majalla"/>
          <w:color w:val="0D0D0D" w:themeColor="text1" w:themeTint="F2"/>
          <w:sz w:val="32"/>
          <w:szCs w:val="32"/>
          <w:rtl/>
        </w:rPr>
        <w:t>(344)</w:t>
      </w:r>
      <w:r w:rsidR="00BF008C" w:rsidRPr="00BF5EAB">
        <w:rPr>
          <w:rFonts w:ascii="Sakkal Majalla" w:hAnsi="Sakkal Majalla" w:cs="Sakkal Majalla"/>
          <w:color w:val="0D0D0D" w:themeColor="text1" w:themeTint="F2"/>
          <w:sz w:val="32"/>
          <w:szCs w:val="32"/>
          <w:rtl/>
        </w:rPr>
        <w:t xml:space="preserve"> مديراً ومسؤولاً مصرفياً، تم اختيارهم باستخدام طريقة العينة العشوائية الطبقية. وتؤكد عبيدات </w:t>
      </w:r>
      <w:r w:rsidR="007A6532" w:rsidRPr="00BF5EAB">
        <w:rPr>
          <w:rFonts w:ascii="Sakkal Majalla" w:hAnsi="Sakkal Majalla" w:cs="Sakkal Majalla"/>
          <w:color w:val="0D0D0D" w:themeColor="text1" w:themeTint="F2"/>
          <w:sz w:val="32"/>
          <w:szCs w:val="32"/>
          <w:rtl/>
        </w:rPr>
        <w:t>وآخرون</w:t>
      </w:r>
      <w:r w:rsidR="00BF008C" w:rsidRPr="00BF5EAB">
        <w:rPr>
          <w:rFonts w:ascii="Sakkal Majalla" w:hAnsi="Sakkal Majalla" w:cs="Sakkal Majalla"/>
          <w:color w:val="0D0D0D" w:themeColor="text1" w:themeTint="F2"/>
          <w:sz w:val="32"/>
          <w:szCs w:val="32"/>
          <w:rtl/>
        </w:rPr>
        <w:t xml:space="preserve"> (2011) على أن "العينة العشوائية يختار الباحث أفراداً ممثلين للمجتمع الأصلي لكي يستطيع تعميم النتائج على المجتمع الأصلي كله، وفي هذه الحالة يكون جميع أفراد المجتمع الأصلي للبحث معروفين ومحددين، فالتمثيل هنا يكون دقيقاً" (ص.112). ويرجع اختيار هذه الطريقة الطبقية لضمان تمثيل أدق للمتغيرات التصنيفية والفرعية لأفراد العينة في البيئة المصرفية المستهدفة، وتوزيعهم العادل بحسب مستوياتهم وإداراتهم.</w:t>
      </w:r>
    </w:p>
    <w:p w14:paraId="16E567A4" w14:textId="647E7F4A" w:rsidR="00D52A3B" w:rsidRPr="00BF5EAB" w:rsidRDefault="00D52A3B"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w:t>
      </w:r>
      <w:r w:rsidRPr="00BF5EAB">
        <w:rPr>
          <w:rFonts w:ascii="Sakkal Majalla" w:hAnsi="Sakkal Majalla" w:cs="Sakkal Majalla"/>
          <w:color w:val="0D0D0D" w:themeColor="text1" w:themeTint="F2"/>
          <w:sz w:val="32"/>
          <w:szCs w:val="32"/>
          <w:rtl/>
        </w:rPr>
        <w:t>وقد حُدد حجم العينة الأساسية الكلي بناءً على الدمج بين معيارين إحصائيين لضمان الدقة؛ حيث تم الاستناد أولاً إلى جدول كريجسي ومورجان (1970) لتحديد حجم العينة المناسب للمجتمع البالغ (3,200) فرد بمستوى ثقة 95% وهامش خطأ 5%. ولتأكيد الملاءمة مع متطلبات نمذجة المعادلات البنائية (</w:t>
      </w:r>
      <w:r w:rsidRPr="00BF5EAB">
        <w:rPr>
          <w:rFonts w:ascii="Sakkal Majalla" w:hAnsi="Sakkal Majalla" w:cs="Sakkal Majalla"/>
          <w:color w:val="0D0D0D" w:themeColor="text1" w:themeTint="F2"/>
          <w:sz w:val="32"/>
          <w:szCs w:val="32"/>
        </w:rPr>
        <w:t>PLS-SEM</w:t>
      </w:r>
      <w:r w:rsidRPr="00BF5EAB">
        <w:rPr>
          <w:rFonts w:ascii="Sakkal Majalla" w:hAnsi="Sakkal Majalla" w:cs="Sakkal Majalla"/>
          <w:color w:val="0D0D0D" w:themeColor="text1" w:themeTint="F2"/>
          <w:sz w:val="32"/>
          <w:szCs w:val="32"/>
          <w:rtl/>
        </w:rPr>
        <w:t>)، تم التحقق من حجم العينة وفقاً لـ "قاعدة العشرة" (10-</w:t>
      </w:r>
      <w:r w:rsidRPr="00BF5EAB">
        <w:rPr>
          <w:rFonts w:ascii="Sakkal Majalla" w:hAnsi="Sakkal Majalla" w:cs="Sakkal Majalla"/>
          <w:color w:val="0D0D0D" w:themeColor="text1" w:themeTint="F2"/>
          <w:sz w:val="32"/>
          <w:szCs w:val="32"/>
        </w:rPr>
        <w:t>times rule</w:t>
      </w:r>
      <w:r w:rsidRPr="00BF5EAB">
        <w:rPr>
          <w:rFonts w:ascii="Sakkal Majalla" w:hAnsi="Sakkal Majalla" w:cs="Sakkal Majalla"/>
          <w:color w:val="0D0D0D" w:themeColor="text1" w:themeTint="F2"/>
          <w:sz w:val="32"/>
          <w:szCs w:val="32"/>
          <w:rtl/>
        </w:rPr>
        <w:t>) التي تقضي بأن يكون حجم العينة أكبر من (10 × عدد المسارات الأكثر تعقيداً في النموذج التحليلي) لضمان الحصول على قدرة إحصائية (</w:t>
      </w:r>
      <w:r w:rsidRPr="00BF5EAB">
        <w:rPr>
          <w:rFonts w:ascii="Sakkal Majalla" w:hAnsi="Sakkal Majalla" w:cs="Sakkal Majalla"/>
          <w:color w:val="0D0D0D" w:themeColor="text1" w:themeTint="F2"/>
          <w:sz w:val="32"/>
          <w:szCs w:val="32"/>
        </w:rPr>
        <w:t>Statistical Power</w:t>
      </w:r>
      <w:r w:rsidRPr="00BF5EAB">
        <w:rPr>
          <w:rFonts w:ascii="Sakkal Majalla" w:hAnsi="Sakkal Majalla" w:cs="Sakkal Majalla"/>
          <w:color w:val="0D0D0D" w:themeColor="text1" w:themeTint="F2"/>
          <w:sz w:val="32"/>
          <w:szCs w:val="32"/>
          <w:rtl/>
        </w:rPr>
        <w:t>) لا تقل عن 80% وقوة أثر (</w:t>
      </w:r>
      <w:r w:rsidRPr="00BF5EAB">
        <w:rPr>
          <w:rFonts w:ascii="Sakkal Majalla" w:hAnsi="Sakkal Majalla" w:cs="Sakkal Majalla"/>
          <w:color w:val="0D0D0D" w:themeColor="text1" w:themeTint="F2"/>
          <w:sz w:val="32"/>
          <w:szCs w:val="32"/>
        </w:rPr>
        <w:t>Effect Size</w:t>
      </w:r>
      <w:r w:rsidRPr="00BF5EAB">
        <w:rPr>
          <w:rFonts w:ascii="Sakkal Majalla" w:hAnsi="Sakkal Majalla" w:cs="Sakkal Majalla"/>
          <w:color w:val="0D0D0D" w:themeColor="text1" w:themeTint="F2"/>
          <w:sz w:val="32"/>
          <w:szCs w:val="32"/>
          <w:rtl/>
        </w:rPr>
        <w:t>) مقبولة (</w:t>
      </w:r>
      <w:r w:rsidRPr="00BF5EAB">
        <w:rPr>
          <w:rFonts w:ascii="Sakkal Majalla" w:hAnsi="Sakkal Majalla" w:cs="Sakkal Majalla"/>
          <w:color w:val="0D0D0D" w:themeColor="text1" w:themeTint="F2"/>
          <w:sz w:val="32"/>
          <w:szCs w:val="32"/>
        </w:rPr>
        <w:t>Hair et al., 2022</w:t>
      </w:r>
      <w:r w:rsidRPr="00BF5EAB">
        <w:rPr>
          <w:rFonts w:ascii="Sakkal Majalla" w:hAnsi="Sakkal Majalla" w:cs="Sakkal Majalla"/>
          <w:color w:val="0D0D0D" w:themeColor="text1" w:themeTint="F2"/>
          <w:sz w:val="32"/>
          <w:szCs w:val="32"/>
          <w:rtl/>
        </w:rPr>
        <w:t>).</w:t>
      </w:r>
    </w:p>
    <w:p w14:paraId="63E63776" w14:textId="2BC7226A" w:rsidR="00D52A3B" w:rsidRPr="00BF5EAB" w:rsidRDefault="00D52A3B"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lastRenderedPageBreak/>
        <w:t xml:space="preserve">     وعليه، فإن اختيار حجم عينة قدره (344) فرداً يتجاوز الحد الأدنى المطلوب إحصائياً للنموذج المقترح، مما يمنح الدراسة القدرة على اكتشاف العلاقات بين المتغيرات الكامنة (</w:t>
      </w:r>
      <w:r w:rsidRPr="00BF5EAB">
        <w:rPr>
          <w:rFonts w:ascii="Sakkal Majalla" w:hAnsi="Sakkal Majalla" w:cs="Sakkal Majalla"/>
          <w:color w:val="0D0D0D" w:themeColor="text1" w:themeTint="F2"/>
          <w:sz w:val="32"/>
          <w:szCs w:val="32"/>
          <w:lang w:bidi="ar-EG"/>
        </w:rPr>
        <w:t>Latent Variables</w:t>
      </w:r>
      <w:r w:rsidRPr="00BF5EAB">
        <w:rPr>
          <w:rFonts w:ascii="Sakkal Majalla" w:hAnsi="Sakkal Majalla" w:cs="Sakkal Majalla"/>
          <w:color w:val="0D0D0D" w:themeColor="text1" w:themeTint="F2"/>
          <w:sz w:val="32"/>
          <w:szCs w:val="32"/>
          <w:rtl/>
          <w:lang w:bidi="ar-EG"/>
        </w:rPr>
        <w:t>) بكفاءة عالية، ويقلل من مخاطر خطأ القياس في المسارات البنائية (</w:t>
      </w:r>
      <w:r w:rsidRPr="00BF5EAB">
        <w:rPr>
          <w:rFonts w:ascii="Sakkal Majalla" w:hAnsi="Sakkal Majalla" w:cs="Sakkal Majalla"/>
          <w:color w:val="0D0D0D" w:themeColor="text1" w:themeTint="F2"/>
          <w:sz w:val="32"/>
          <w:szCs w:val="32"/>
          <w:lang w:bidi="ar-EG"/>
        </w:rPr>
        <w:t>Hair et al., 2021</w:t>
      </w:r>
      <w:r w:rsidRPr="00BF5EAB">
        <w:rPr>
          <w:rFonts w:ascii="Sakkal Majalla" w:hAnsi="Sakkal Majalla" w:cs="Sakkal Majalla"/>
          <w:color w:val="0D0D0D" w:themeColor="text1" w:themeTint="F2"/>
          <w:sz w:val="32"/>
          <w:szCs w:val="32"/>
          <w:rtl/>
          <w:lang w:bidi="ar-EG"/>
        </w:rPr>
        <w:t xml:space="preserve">). </w:t>
      </w:r>
    </w:p>
    <w:p w14:paraId="3C64B008" w14:textId="0446F559" w:rsidR="00297A84" w:rsidRPr="00BF5EAB" w:rsidRDefault="00297A84"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وتم تقسيم المجتمع القابل للوصول إلى طبقات متجانسة بناءً على المتغيرات الوظيفية والمؤسسية. يهدف هذا التوزيع إلى ضمان تمثيل عادل لكافة الفئات القيادية، مما يرفع من دقة التحليل المقارن بين المجموعات. يوضح الجدول التالي توزيع الحصة المقررة للعينة (344) </w:t>
      </w:r>
      <w:r w:rsidR="0039236A" w:rsidRPr="00BF5EAB">
        <w:rPr>
          <w:rFonts w:ascii="Sakkal Majalla" w:hAnsi="Sakkal Majalla" w:cs="Sakkal Majalla"/>
          <w:color w:val="0D0D0D" w:themeColor="text1" w:themeTint="F2"/>
          <w:sz w:val="32"/>
          <w:szCs w:val="32"/>
          <w:rtl/>
        </w:rPr>
        <w:t xml:space="preserve">فرداً </w:t>
      </w:r>
      <w:r w:rsidRPr="00BF5EAB">
        <w:rPr>
          <w:rFonts w:ascii="Sakkal Majalla" w:hAnsi="Sakkal Majalla" w:cs="Sakkal Majalla"/>
          <w:color w:val="0D0D0D" w:themeColor="text1" w:themeTint="F2"/>
          <w:sz w:val="32"/>
          <w:szCs w:val="32"/>
          <w:rtl/>
        </w:rPr>
        <w:t>بناءً على مستوياتهم الإدارية ونوع المصارف</w:t>
      </w:r>
      <w:r w:rsidR="005B20E7" w:rsidRPr="00BF5EAB">
        <w:rPr>
          <w:rFonts w:ascii="Sakkal Majalla" w:hAnsi="Sakkal Majalla" w:cs="Sakkal Majalla"/>
          <w:color w:val="0D0D0D" w:themeColor="text1" w:themeTint="F2"/>
          <w:sz w:val="32"/>
          <w:szCs w:val="32"/>
          <w:rtl/>
        </w:rPr>
        <w:t>:</w:t>
      </w:r>
    </w:p>
    <w:p w14:paraId="3067E9F9" w14:textId="3C09EDC6" w:rsidR="00297A84" w:rsidRPr="00BF5EAB" w:rsidRDefault="00297A84" w:rsidP="003B07BF">
      <w:pPr>
        <w:spacing w:after="0" w:line="240" w:lineRule="auto"/>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جدول (3-</w:t>
      </w:r>
      <w:r w:rsidR="00C47F36" w:rsidRPr="00BF5EAB">
        <w:rPr>
          <w:rFonts w:ascii="Sakkal Majalla" w:hAnsi="Sakkal Majalla" w:cs="Sakkal Majalla"/>
          <w:b/>
          <w:bCs/>
          <w:color w:val="0D0D0D" w:themeColor="text1" w:themeTint="F2"/>
          <w:sz w:val="28"/>
          <w:szCs w:val="28"/>
          <w:rtl/>
        </w:rPr>
        <w:t>4</w:t>
      </w:r>
      <w:r w:rsidRPr="00BF5EAB">
        <w:rPr>
          <w:rFonts w:ascii="Sakkal Majalla" w:hAnsi="Sakkal Majalla" w:cs="Sakkal Majalla"/>
          <w:b/>
          <w:bCs/>
          <w:color w:val="0D0D0D" w:themeColor="text1" w:themeTint="F2"/>
          <w:sz w:val="28"/>
          <w:szCs w:val="28"/>
          <w:rtl/>
        </w:rPr>
        <w:t>) توزيع العينة الأساسية وفقاً للمستوى الإداري ونوع المصرف</w:t>
      </w:r>
    </w:p>
    <w:tbl>
      <w:tblPr>
        <w:tblStyle w:val="5"/>
        <w:bidiVisual/>
        <w:tblW w:w="0" w:type="auto"/>
        <w:jc w:val="center"/>
        <w:tblLook w:val="04A0" w:firstRow="1" w:lastRow="0" w:firstColumn="1" w:lastColumn="0" w:noHBand="0" w:noVBand="1"/>
      </w:tblPr>
      <w:tblGrid>
        <w:gridCol w:w="2306"/>
        <w:gridCol w:w="1517"/>
        <w:gridCol w:w="1602"/>
        <w:gridCol w:w="850"/>
      </w:tblGrid>
      <w:tr w:rsidR="00BF5EAB" w:rsidRPr="00BF5EAB" w14:paraId="1F0BDC64" w14:textId="77777777" w:rsidTr="00DC08B8">
        <w:trPr>
          <w:jc w:val="center"/>
        </w:trPr>
        <w:tc>
          <w:tcPr>
            <w:tcW w:w="0" w:type="auto"/>
            <w:vAlign w:val="center"/>
            <w:hideMark/>
          </w:tcPr>
          <w:p w14:paraId="2180805E" w14:textId="77777777" w:rsidR="00DC08B8" w:rsidRPr="00BF5EAB" w:rsidRDefault="00DC08B8"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المستوى الإداري</w:t>
            </w:r>
          </w:p>
        </w:tc>
        <w:tc>
          <w:tcPr>
            <w:tcW w:w="0" w:type="auto"/>
            <w:vAlign w:val="center"/>
            <w:hideMark/>
          </w:tcPr>
          <w:p w14:paraId="50157E09"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المحلية</w:t>
            </w:r>
          </w:p>
          <w:p w14:paraId="59C95B9B" w14:textId="53612000"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 xml:space="preserve"> (حصة 70%)</w:t>
            </w:r>
          </w:p>
        </w:tc>
        <w:tc>
          <w:tcPr>
            <w:tcW w:w="0" w:type="auto"/>
            <w:vAlign w:val="center"/>
            <w:hideMark/>
          </w:tcPr>
          <w:p w14:paraId="4B751B8F"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 xml:space="preserve">المصارف الأجنبية </w:t>
            </w:r>
          </w:p>
          <w:p w14:paraId="1CCC31C3" w14:textId="6390F789"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(حصة 30%)</w:t>
            </w:r>
          </w:p>
        </w:tc>
        <w:tc>
          <w:tcPr>
            <w:tcW w:w="0" w:type="auto"/>
            <w:vAlign w:val="center"/>
            <w:hideMark/>
          </w:tcPr>
          <w:p w14:paraId="609DC142"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المجموع</w:t>
            </w:r>
          </w:p>
        </w:tc>
      </w:tr>
      <w:tr w:rsidR="00BF5EAB" w:rsidRPr="00BF5EAB" w14:paraId="0B788188" w14:textId="77777777" w:rsidTr="00DC08B8">
        <w:trPr>
          <w:jc w:val="center"/>
        </w:trPr>
        <w:tc>
          <w:tcPr>
            <w:tcW w:w="0" w:type="auto"/>
            <w:vAlign w:val="center"/>
            <w:hideMark/>
          </w:tcPr>
          <w:p w14:paraId="2512B2E2"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العليا</w:t>
            </w:r>
          </w:p>
        </w:tc>
        <w:tc>
          <w:tcPr>
            <w:tcW w:w="0" w:type="auto"/>
            <w:vAlign w:val="center"/>
            <w:hideMark/>
          </w:tcPr>
          <w:p w14:paraId="596557AD"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60</w:t>
            </w:r>
          </w:p>
        </w:tc>
        <w:tc>
          <w:tcPr>
            <w:tcW w:w="0" w:type="auto"/>
            <w:vAlign w:val="center"/>
            <w:hideMark/>
          </w:tcPr>
          <w:p w14:paraId="1FE15DF1"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26</w:t>
            </w:r>
          </w:p>
        </w:tc>
        <w:tc>
          <w:tcPr>
            <w:tcW w:w="0" w:type="auto"/>
            <w:vAlign w:val="center"/>
            <w:hideMark/>
          </w:tcPr>
          <w:p w14:paraId="23DDB514"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86</w:t>
            </w:r>
          </w:p>
        </w:tc>
      </w:tr>
      <w:tr w:rsidR="00BF5EAB" w:rsidRPr="00BF5EAB" w14:paraId="6382BAB0" w14:textId="77777777" w:rsidTr="00DC08B8">
        <w:trPr>
          <w:jc w:val="center"/>
        </w:trPr>
        <w:tc>
          <w:tcPr>
            <w:tcW w:w="0" w:type="auto"/>
            <w:vAlign w:val="center"/>
            <w:hideMark/>
          </w:tcPr>
          <w:p w14:paraId="290DF9E7"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الوسطى</w:t>
            </w:r>
          </w:p>
        </w:tc>
        <w:tc>
          <w:tcPr>
            <w:tcW w:w="0" w:type="auto"/>
            <w:vAlign w:val="center"/>
            <w:hideMark/>
          </w:tcPr>
          <w:p w14:paraId="1838CEF0"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96</w:t>
            </w:r>
          </w:p>
        </w:tc>
        <w:tc>
          <w:tcPr>
            <w:tcW w:w="0" w:type="auto"/>
            <w:vAlign w:val="center"/>
            <w:hideMark/>
          </w:tcPr>
          <w:p w14:paraId="5667939E"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41</w:t>
            </w:r>
          </w:p>
        </w:tc>
        <w:tc>
          <w:tcPr>
            <w:tcW w:w="0" w:type="auto"/>
            <w:vAlign w:val="center"/>
            <w:hideMark/>
          </w:tcPr>
          <w:p w14:paraId="5E970AB5"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137</w:t>
            </w:r>
          </w:p>
        </w:tc>
      </w:tr>
      <w:tr w:rsidR="00BF5EAB" w:rsidRPr="00BF5EAB" w14:paraId="1EA016E6" w14:textId="77777777" w:rsidTr="00DC08B8">
        <w:trPr>
          <w:jc w:val="center"/>
        </w:trPr>
        <w:tc>
          <w:tcPr>
            <w:tcW w:w="0" w:type="auto"/>
            <w:vAlign w:val="center"/>
            <w:hideMark/>
          </w:tcPr>
          <w:p w14:paraId="2940D239"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الإشرافية/التنفيذية</w:t>
            </w:r>
          </w:p>
        </w:tc>
        <w:tc>
          <w:tcPr>
            <w:tcW w:w="0" w:type="auto"/>
            <w:vAlign w:val="center"/>
            <w:hideMark/>
          </w:tcPr>
          <w:p w14:paraId="36CD97D8"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85</w:t>
            </w:r>
          </w:p>
        </w:tc>
        <w:tc>
          <w:tcPr>
            <w:tcW w:w="0" w:type="auto"/>
            <w:vAlign w:val="center"/>
            <w:hideMark/>
          </w:tcPr>
          <w:p w14:paraId="084709B8"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284C9FED"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121</w:t>
            </w:r>
          </w:p>
        </w:tc>
      </w:tr>
      <w:tr w:rsidR="00BF5EAB" w:rsidRPr="00BF5EAB" w14:paraId="2BAA179F" w14:textId="77777777" w:rsidTr="00DC08B8">
        <w:trPr>
          <w:jc w:val="center"/>
        </w:trPr>
        <w:tc>
          <w:tcPr>
            <w:tcW w:w="0" w:type="auto"/>
            <w:vAlign w:val="center"/>
            <w:hideMark/>
          </w:tcPr>
          <w:p w14:paraId="7E9B3A2F"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المجموع</w:t>
            </w:r>
          </w:p>
        </w:tc>
        <w:tc>
          <w:tcPr>
            <w:tcW w:w="0" w:type="auto"/>
            <w:vAlign w:val="center"/>
            <w:hideMark/>
          </w:tcPr>
          <w:p w14:paraId="24142BF7"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241</w:t>
            </w:r>
          </w:p>
        </w:tc>
        <w:tc>
          <w:tcPr>
            <w:tcW w:w="0" w:type="auto"/>
            <w:vAlign w:val="center"/>
            <w:hideMark/>
          </w:tcPr>
          <w:p w14:paraId="34E76531"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103</w:t>
            </w:r>
          </w:p>
        </w:tc>
        <w:tc>
          <w:tcPr>
            <w:tcW w:w="0" w:type="auto"/>
            <w:vAlign w:val="center"/>
            <w:hideMark/>
          </w:tcPr>
          <w:p w14:paraId="2C21E710"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344</w:t>
            </w:r>
          </w:p>
        </w:tc>
      </w:tr>
    </w:tbl>
    <w:p w14:paraId="1BD2BB19" w14:textId="2DCA0A27" w:rsidR="0039236A" w:rsidRPr="00BF5EAB" w:rsidRDefault="00BF008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39236A" w:rsidRPr="00BF5EAB">
        <w:rPr>
          <w:rFonts w:ascii="Sakkal Majalla" w:hAnsi="Sakkal Majalla" w:cs="Sakkal Majalla"/>
          <w:color w:val="0D0D0D" w:themeColor="text1" w:themeTint="F2"/>
          <w:sz w:val="32"/>
          <w:szCs w:val="32"/>
          <w:rtl/>
        </w:rPr>
        <w:t>يتضح من الجدول السابق التوزيع المنهجي لعينة الدراسة وفقاً لطبقتين أساسيتين (المستوى الإداري، ونوع المصرف)؛ حيث تم تخصيص حصة تتناسب مع الثقل التنظيمي لكل مصرف، مما يضمن تمثيلاً متوازناً للفئات المستهدفة. فقد حظيت المصارف المحلية بالنصيب الأكبر من العينة بنسبة (70%)، تليها المصارف الأجنبية بنسبة (30%)، وهو ما يعكس الواقع الهيكلي لحجم القيادات في القطاع المصرفي بمدينة الرياض. كما يظهر الجدول توزيعاً شمولياً للمستويات الإدارية الثلاثة (العليا، والوسطى، والإشرافية)، مما يتيح للباحثة إجراء مقارنات إحصائية دقيقة حول تصورات القيادات بمختلف تخصصاتهم ومسؤولياتهم. ويُعد هذا التوزيع الطبقي ضمانة منهجية لتقليل انحياز العينة، ورفع القدرة التفسيرية لنتائج نمذجة المعادلات البنائية (</w:t>
      </w:r>
      <w:r w:rsidR="0039236A" w:rsidRPr="00BF5EAB">
        <w:rPr>
          <w:rFonts w:ascii="Sakkal Majalla" w:hAnsi="Sakkal Majalla" w:cs="Sakkal Majalla"/>
          <w:color w:val="0D0D0D" w:themeColor="text1" w:themeTint="F2"/>
          <w:sz w:val="32"/>
          <w:szCs w:val="32"/>
        </w:rPr>
        <w:t>SEM-PLS</w:t>
      </w:r>
      <w:r w:rsidR="0039236A" w:rsidRPr="00BF5EAB">
        <w:rPr>
          <w:rFonts w:ascii="Sakkal Majalla" w:hAnsi="Sakkal Majalla" w:cs="Sakkal Majalla"/>
          <w:color w:val="0D0D0D" w:themeColor="text1" w:themeTint="F2"/>
          <w:sz w:val="32"/>
          <w:szCs w:val="32"/>
          <w:rtl/>
        </w:rPr>
        <w:t>)، بما يكفل استقصاء الفروق الدقيقة في ممارسات اتخاذ القرار الاستراتيجي عبر مختلف الكيانات المصرفية.</w:t>
      </w:r>
    </w:p>
    <w:p w14:paraId="3AF432AA" w14:textId="120DD50A" w:rsidR="00E87D4B" w:rsidRPr="00BF5EAB" w:rsidRDefault="00E87D4B" w:rsidP="003B07BF">
      <w:pPr>
        <w:spacing w:after="0" w:line="240" w:lineRule="auto"/>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جدول (3-</w:t>
      </w:r>
      <w:r w:rsidR="00C47F36" w:rsidRPr="00BF5EAB">
        <w:rPr>
          <w:rFonts w:ascii="Sakkal Majalla" w:hAnsi="Sakkal Majalla" w:cs="Sakkal Majalla"/>
          <w:b/>
          <w:bCs/>
          <w:color w:val="0D0D0D" w:themeColor="text1" w:themeTint="F2"/>
          <w:sz w:val="28"/>
          <w:szCs w:val="28"/>
          <w:rtl/>
        </w:rPr>
        <w:t>5</w:t>
      </w:r>
      <w:r w:rsidRPr="00BF5EAB">
        <w:rPr>
          <w:rFonts w:ascii="Sakkal Majalla" w:hAnsi="Sakkal Majalla" w:cs="Sakkal Majalla"/>
          <w:b/>
          <w:bCs/>
          <w:color w:val="0D0D0D" w:themeColor="text1" w:themeTint="F2"/>
          <w:sz w:val="28"/>
          <w:szCs w:val="28"/>
          <w:rtl/>
        </w:rPr>
        <w:t>) توزيع العينة الأساسية وفق المتغيرات الوظيفية والخبرة</w:t>
      </w:r>
    </w:p>
    <w:tbl>
      <w:tblPr>
        <w:tblStyle w:val="5"/>
        <w:bidiVisual/>
        <w:tblW w:w="0" w:type="auto"/>
        <w:tblLook w:val="04A0" w:firstRow="1" w:lastRow="0" w:firstColumn="1" w:lastColumn="0" w:noHBand="0" w:noVBand="1"/>
      </w:tblPr>
      <w:tblGrid>
        <w:gridCol w:w="1163"/>
        <w:gridCol w:w="3057"/>
        <w:gridCol w:w="1576"/>
        <w:gridCol w:w="1562"/>
        <w:gridCol w:w="1135"/>
      </w:tblGrid>
      <w:tr w:rsidR="00BF5EAB" w:rsidRPr="00BF5EAB" w14:paraId="1367D345" w14:textId="77777777" w:rsidTr="003B07BF">
        <w:trPr>
          <w:tblHeader/>
        </w:trPr>
        <w:tc>
          <w:tcPr>
            <w:tcW w:w="0" w:type="auto"/>
            <w:vAlign w:val="center"/>
            <w:hideMark/>
          </w:tcPr>
          <w:p w14:paraId="2915DF77" w14:textId="77777777" w:rsidR="00E87D4B" w:rsidRPr="00BF5EAB" w:rsidRDefault="00E87D4B"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المتغير</w:t>
            </w:r>
          </w:p>
        </w:tc>
        <w:tc>
          <w:tcPr>
            <w:tcW w:w="3057" w:type="dxa"/>
            <w:vAlign w:val="center"/>
            <w:hideMark/>
          </w:tcPr>
          <w:p w14:paraId="472AB13F"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الفئات التصنيفية</w:t>
            </w:r>
          </w:p>
        </w:tc>
        <w:tc>
          <w:tcPr>
            <w:tcW w:w="1576" w:type="dxa"/>
            <w:vAlign w:val="center"/>
            <w:hideMark/>
          </w:tcPr>
          <w:p w14:paraId="4BDE9E05"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المحلية (241)</w:t>
            </w:r>
          </w:p>
        </w:tc>
        <w:tc>
          <w:tcPr>
            <w:tcW w:w="0" w:type="auto"/>
            <w:vAlign w:val="center"/>
            <w:hideMark/>
          </w:tcPr>
          <w:p w14:paraId="36610161"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الأجنبية (103)</w:t>
            </w:r>
          </w:p>
        </w:tc>
        <w:tc>
          <w:tcPr>
            <w:tcW w:w="0" w:type="auto"/>
            <w:vAlign w:val="center"/>
            <w:hideMark/>
          </w:tcPr>
          <w:p w14:paraId="427EBEBB"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المجموع (344)</w:t>
            </w:r>
          </w:p>
        </w:tc>
      </w:tr>
      <w:tr w:rsidR="00BF5EAB" w:rsidRPr="00BF5EAB" w14:paraId="6281F26E" w14:textId="77777777" w:rsidTr="003B07BF">
        <w:tc>
          <w:tcPr>
            <w:tcW w:w="0" w:type="auto"/>
            <w:vMerge w:val="restart"/>
            <w:vAlign w:val="center"/>
            <w:hideMark/>
          </w:tcPr>
          <w:p w14:paraId="1120AE8C"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المستوى الإداري</w:t>
            </w:r>
          </w:p>
        </w:tc>
        <w:tc>
          <w:tcPr>
            <w:tcW w:w="3057" w:type="dxa"/>
            <w:vAlign w:val="center"/>
            <w:hideMark/>
          </w:tcPr>
          <w:p w14:paraId="2DD4F858"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العليا</w:t>
            </w:r>
          </w:p>
        </w:tc>
        <w:tc>
          <w:tcPr>
            <w:tcW w:w="1576" w:type="dxa"/>
            <w:vAlign w:val="center"/>
            <w:hideMark/>
          </w:tcPr>
          <w:p w14:paraId="5E480662"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60</w:t>
            </w:r>
          </w:p>
        </w:tc>
        <w:tc>
          <w:tcPr>
            <w:tcW w:w="0" w:type="auto"/>
            <w:vAlign w:val="center"/>
            <w:hideMark/>
          </w:tcPr>
          <w:p w14:paraId="0C29C335"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26</w:t>
            </w:r>
          </w:p>
        </w:tc>
        <w:tc>
          <w:tcPr>
            <w:tcW w:w="0" w:type="auto"/>
            <w:vAlign w:val="center"/>
            <w:hideMark/>
          </w:tcPr>
          <w:p w14:paraId="3932876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86</w:t>
            </w:r>
          </w:p>
        </w:tc>
      </w:tr>
      <w:tr w:rsidR="00BF5EAB" w:rsidRPr="00BF5EAB" w14:paraId="2D5068C0" w14:textId="77777777" w:rsidTr="003B07BF">
        <w:tc>
          <w:tcPr>
            <w:tcW w:w="0" w:type="auto"/>
            <w:vMerge/>
            <w:vAlign w:val="center"/>
            <w:hideMark/>
          </w:tcPr>
          <w:p w14:paraId="2E3E48A5"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26759DE3"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الإدارة الوسطى</w:t>
            </w:r>
          </w:p>
        </w:tc>
        <w:tc>
          <w:tcPr>
            <w:tcW w:w="1576" w:type="dxa"/>
            <w:vAlign w:val="center"/>
            <w:hideMark/>
          </w:tcPr>
          <w:p w14:paraId="0936CCE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96</w:t>
            </w:r>
          </w:p>
        </w:tc>
        <w:tc>
          <w:tcPr>
            <w:tcW w:w="0" w:type="auto"/>
            <w:vAlign w:val="center"/>
            <w:hideMark/>
          </w:tcPr>
          <w:p w14:paraId="16609A8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41</w:t>
            </w:r>
          </w:p>
        </w:tc>
        <w:tc>
          <w:tcPr>
            <w:tcW w:w="0" w:type="auto"/>
            <w:vAlign w:val="center"/>
            <w:hideMark/>
          </w:tcPr>
          <w:p w14:paraId="1315259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137</w:t>
            </w:r>
          </w:p>
        </w:tc>
      </w:tr>
      <w:tr w:rsidR="00BF5EAB" w:rsidRPr="00BF5EAB" w14:paraId="611B7CD9" w14:textId="77777777" w:rsidTr="003B07BF">
        <w:tc>
          <w:tcPr>
            <w:tcW w:w="0" w:type="auto"/>
            <w:vMerge/>
            <w:vAlign w:val="center"/>
            <w:hideMark/>
          </w:tcPr>
          <w:p w14:paraId="00CF657F"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2F756126"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الإدارة الإشرافية/التنفيذية</w:t>
            </w:r>
          </w:p>
        </w:tc>
        <w:tc>
          <w:tcPr>
            <w:tcW w:w="1576" w:type="dxa"/>
            <w:vAlign w:val="center"/>
            <w:hideMark/>
          </w:tcPr>
          <w:p w14:paraId="451CC87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85</w:t>
            </w:r>
          </w:p>
        </w:tc>
        <w:tc>
          <w:tcPr>
            <w:tcW w:w="0" w:type="auto"/>
            <w:vAlign w:val="center"/>
            <w:hideMark/>
          </w:tcPr>
          <w:p w14:paraId="7C447F5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6AD74FC1"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121</w:t>
            </w:r>
          </w:p>
        </w:tc>
      </w:tr>
      <w:tr w:rsidR="00BF5EAB" w:rsidRPr="00BF5EAB" w14:paraId="0FC7C329" w14:textId="77777777" w:rsidTr="003B07BF">
        <w:tc>
          <w:tcPr>
            <w:tcW w:w="0" w:type="auto"/>
            <w:vMerge w:val="restart"/>
            <w:vAlign w:val="center"/>
            <w:hideMark/>
          </w:tcPr>
          <w:p w14:paraId="769173A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نوع الإدارة</w:t>
            </w:r>
          </w:p>
        </w:tc>
        <w:tc>
          <w:tcPr>
            <w:tcW w:w="3057" w:type="dxa"/>
            <w:vAlign w:val="center"/>
            <w:hideMark/>
          </w:tcPr>
          <w:p w14:paraId="450F0AA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الإدارات الاستراتيجية والتشغيلية</w:t>
            </w:r>
          </w:p>
        </w:tc>
        <w:tc>
          <w:tcPr>
            <w:tcW w:w="1576" w:type="dxa"/>
            <w:vAlign w:val="center"/>
            <w:hideMark/>
          </w:tcPr>
          <w:p w14:paraId="6D17ECF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82</w:t>
            </w:r>
          </w:p>
        </w:tc>
        <w:tc>
          <w:tcPr>
            <w:tcW w:w="0" w:type="auto"/>
            <w:vAlign w:val="center"/>
            <w:hideMark/>
          </w:tcPr>
          <w:p w14:paraId="49EA0908"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35</w:t>
            </w:r>
          </w:p>
        </w:tc>
        <w:tc>
          <w:tcPr>
            <w:tcW w:w="0" w:type="auto"/>
            <w:vAlign w:val="center"/>
            <w:hideMark/>
          </w:tcPr>
          <w:p w14:paraId="32696155"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117</w:t>
            </w:r>
          </w:p>
        </w:tc>
      </w:tr>
      <w:tr w:rsidR="00BF5EAB" w:rsidRPr="00BF5EAB" w14:paraId="700A5314" w14:textId="77777777" w:rsidTr="003B07BF">
        <w:tc>
          <w:tcPr>
            <w:tcW w:w="0" w:type="auto"/>
            <w:vMerge/>
            <w:vAlign w:val="center"/>
            <w:hideMark/>
          </w:tcPr>
          <w:p w14:paraId="7D96C818"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1C873682"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إدارات التقنية والبيانات</w:t>
            </w:r>
          </w:p>
        </w:tc>
        <w:tc>
          <w:tcPr>
            <w:tcW w:w="1576" w:type="dxa"/>
            <w:vAlign w:val="center"/>
            <w:hideMark/>
          </w:tcPr>
          <w:p w14:paraId="0A42E16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75</w:t>
            </w:r>
          </w:p>
        </w:tc>
        <w:tc>
          <w:tcPr>
            <w:tcW w:w="0" w:type="auto"/>
            <w:vAlign w:val="center"/>
            <w:hideMark/>
          </w:tcPr>
          <w:p w14:paraId="42CD435E"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32</w:t>
            </w:r>
          </w:p>
        </w:tc>
        <w:tc>
          <w:tcPr>
            <w:tcW w:w="0" w:type="auto"/>
            <w:vAlign w:val="center"/>
            <w:hideMark/>
          </w:tcPr>
          <w:p w14:paraId="579E5406"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107</w:t>
            </w:r>
          </w:p>
        </w:tc>
      </w:tr>
      <w:tr w:rsidR="00BF5EAB" w:rsidRPr="00BF5EAB" w14:paraId="709F5304" w14:textId="77777777" w:rsidTr="003B07BF">
        <w:tc>
          <w:tcPr>
            <w:tcW w:w="0" w:type="auto"/>
            <w:vMerge/>
            <w:vAlign w:val="center"/>
            <w:hideMark/>
          </w:tcPr>
          <w:p w14:paraId="57220B7E"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501FC9E6"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إدارات المساندة والامتثال</w:t>
            </w:r>
          </w:p>
        </w:tc>
        <w:tc>
          <w:tcPr>
            <w:tcW w:w="1576" w:type="dxa"/>
            <w:vAlign w:val="center"/>
            <w:hideMark/>
          </w:tcPr>
          <w:p w14:paraId="6E915052"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84</w:t>
            </w:r>
          </w:p>
        </w:tc>
        <w:tc>
          <w:tcPr>
            <w:tcW w:w="0" w:type="auto"/>
            <w:vAlign w:val="center"/>
            <w:hideMark/>
          </w:tcPr>
          <w:p w14:paraId="57C35CD6"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7CCD721A"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120</w:t>
            </w:r>
          </w:p>
        </w:tc>
      </w:tr>
      <w:tr w:rsidR="00BF5EAB" w:rsidRPr="00BF5EAB" w14:paraId="4B2A388F" w14:textId="77777777" w:rsidTr="003B07BF">
        <w:tc>
          <w:tcPr>
            <w:tcW w:w="0" w:type="auto"/>
            <w:vMerge w:val="restart"/>
            <w:vAlign w:val="center"/>
            <w:hideMark/>
          </w:tcPr>
          <w:p w14:paraId="2B40BF2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سنوات الخبرة</w:t>
            </w:r>
          </w:p>
        </w:tc>
        <w:tc>
          <w:tcPr>
            <w:tcW w:w="3057" w:type="dxa"/>
            <w:vAlign w:val="center"/>
            <w:hideMark/>
          </w:tcPr>
          <w:p w14:paraId="6DF2415D"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أقل من 5 سنوات</w:t>
            </w:r>
          </w:p>
        </w:tc>
        <w:tc>
          <w:tcPr>
            <w:tcW w:w="1576" w:type="dxa"/>
            <w:vAlign w:val="center"/>
            <w:hideMark/>
          </w:tcPr>
          <w:p w14:paraId="01C272D7"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50</w:t>
            </w:r>
          </w:p>
        </w:tc>
        <w:tc>
          <w:tcPr>
            <w:tcW w:w="0" w:type="auto"/>
            <w:vAlign w:val="center"/>
            <w:hideMark/>
          </w:tcPr>
          <w:p w14:paraId="1BBC64DE"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20</w:t>
            </w:r>
          </w:p>
        </w:tc>
        <w:tc>
          <w:tcPr>
            <w:tcW w:w="0" w:type="auto"/>
            <w:vAlign w:val="center"/>
            <w:hideMark/>
          </w:tcPr>
          <w:p w14:paraId="25766C6C"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70</w:t>
            </w:r>
          </w:p>
        </w:tc>
      </w:tr>
      <w:tr w:rsidR="00BF5EAB" w:rsidRPr="00BF5EAB" w14:paraId="1768DD4F" w14:textId="77777777" w:rsidTr="003B07BF">
        <w:tc>
          <w:tcPr>
            <w:tcW w:w="0" w:type="auto"/>
            <w:vMerge/>
            <w:vAlign w:val="center"/>
            <w:hideMark/>
          </w:tcPr>
          <w:p w14:paraId="2DC8B12C"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0741BC0E"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من 5 إلى 15 سنة</w:t>
            </w:r>
          </w:p>
        </w:tc>
        <w:tc>
          <w:tcPr>
            <w:tcW w:w="1576" w:type="dxa"/>
            <w:vAlign w:val="center"/>
            <w:hideMark/>
          </w:tcPr>
          <w:p w14:paraId="7FD81B1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100</w:t>
            </w:r>
          </w:p>
        </w:tc>
        <w:tc>
          <w:tcPr>
            <w:tcW w:w="0" w:type="auto"/>
            <w:vAlign w:val="center"/>
            <w:hideMark/>
          </w:tcPr>
          <w:p w14:paraId="2094D997"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45</w:t>
            </w:r>
          </w:p>
        </w:tc>
        <w:tc>
          <w:tcPr>
            <w:tcW w:w="0" w:type="auto"/>
            <w:vAlign w:val="center"/>
            <w:hideMark/>
          </w:tcPr>
          <w:p w14:paraId="096C363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145</w:t>
            </w:r>
          </w:p>
        </w:tc>
      </w:tr>
      <w:tr w:rsidR="00BF5EAB" w:rsidRPr="00BF5EAB" w14:paraId="3698FB27" w14:textId="77777777" w:rsidTr="003B07BF">
        <w:tc>
          <w:tcPr>
            <w:tcW w:w="0" w:type="auto"/>
            <w:vMerge/>
            <w:vAlign w:val="center"/>
            <w:hideMark/>
          </w:tcPr>
          <w:p w14:paraId="2CFEE6CF"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49E95523"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أكثر من 15 سنة</w:t>
            </w:r>
          </w:p>
        </w:tc>
        <w:tc>
          <w:tcPr>
            <w:tcW w:w="1576" w:type="dxa"/>
            <w:vAlign w:val="center"/>
            <w:hideMark/>
          </w:tcPr>
          <w:p w14:paraId="1773F390"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91</w:t>
            </w:r>
          </w:p>
        </w:tc>
        <w:tc>
          <w:tcPr>
            <w:tcW w:w="0" w:type="auto"/>
            <w:vAlign w:val="center"/>
            <w:hideMark/>
          </w:tcPr>
          <w:p w14:paraId="5653989A"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38</w:t>
            </w:r>
          </w:p>
        </w:tc>
        <w:tc>
          <w:tcPr>
            <w:tcW w:w="0" w:type="auto"/>
            <w:vAlign w:val="center"/>
            <w:hideMark/>
          </w:tcPr>
          <w:p w14:paraId="60123C1D"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129</w:t>
            </w:r>
          </w:p>
        </w:tc>
      </w:tr>
    </w:tbl>
    <w:p w14:paraId="6DFF7BCC" w14:textId="228F78A6" w:rsidR="00E87D4B" w:rsidRPr="00BF5EAB" w:rsidRDefault="00286504"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E87D4B" w:rsidRPr="00BF5EAB">
        <w:rPr>
          <w:rFonts w:ascii="Sakkal Majalla" w:hAnsi="Sakkal Majalla" w:cs="Sakkal Majalla"/>
          <w:color w:val="0D0D0D" w:themeColor="text1" w:themeTint="F2"/>
          <w:sz w:val="32"/>
          <w:szCs w:val="32"/>
          <w:rtl/>
        </w:rPr>
        <w:t>يتضح من الجدول السابق التوزيع المنهجي للعينة وفقاً لثلاثة أبعاد رئيسية تعكس التنوع الوظيفي والمهني لأفراد المجتمع المستهدف. أولاً</w:t>
      </w:r>
      <w:r w:rsidR="005B20E7" w:rsidRPr="00BF5EAB">
        <w:rPr>
          <w:rFonts w:ascii="Sakkal Majalla" w:hAnsi="Sakkal Majalla" w:cs="Sakkal Majalla"/>
          <w:color w:val="0D0D0D" w:themeColor="text1" w:themeTint="F2"/>
          <w:sz w:val="32"/>
          <w:szCs w:val="32"/>
          <w:rtl/>
        </w:rPr>
        <w:t>:</w:t>
      </w:r>
      <w:r w:rsidR="00E87D4B" w:rsidRPr="00BF5EAB">
        <w:rPr>
          <w:rFonts w:ascii="Sakkal Majalla" w:hAnsi="Sakkal Majalla" w:cs="Sakkal Majalla"/>
          <w:color w:val="0D0D0D" w:themeColor="text1" w:themeTint="F2"/>
          <w:sz w:val="32"/>
          <w:szCs w:val="32"/>
          <w:rtl/>
        </w:rPr>
        <w:t xml:space="preserve"> المستوى الإداري؛ حيث تم توزيع العينة لتشمل كافة حلقات اتخاذ القرار، مع إعطاء الأولوية للإدارة الوسطى (137) </w:t>
      </w:r>
      <w:r w:rsidRPr="00BF5EAB">
        <w:rPr>
          <w:rFonts w:ascii="Sakkal Majalla" w:hAnsi="Sakkal Majalla" w:cs="Sakkal Majalla"/>
          <w:color w:val="0D0D0D" w:themeColor="text1" w:themeTint="F2"/>
          <w:sz w:val="32"/>
          <w:szCs w:val="32"/>
          <w:rtl/>
        </w:rPr>
        <w:t xml:space="preserve">فرداً </w:t>
      </w:r>
      <w:r w:rsidR="00E87D4B" w:rsidRPr="00BF5EAB">
        <w:rPr>
          <w:rFonts w:ascii="Sakkal Majalla" w:hAnsi="Sakkal Majalla" w:cs="Sakkal Majalla"/>
          <w:color w:val="0D0D0D" w:themeColor="text1" w:themeTint="F2"/>
          <w:sz w:val="32"/>
          <w:szCs w:val="32"/>
          <w:rtl/>
        </w:rPr>
        <w:t>كونها حلقة الوصل ومصدر البيانات الفعلي في أنظمة ذكاء الأعمال. ثانياً</w:t>
      </w:r>
      <w:r w:rsidR="005B20E7" w:rsidRPr="00BF5EAB">
        <w:rPr>
          <w:rFonts w:ascii="Sakkal Majalla" w:hAnsi="Sakkal Majalla" w:cs="Sakkal Majalla"/>
          <w:color w:val="0D0D0D" w:themeColor="text1" w:themeTint="F2"/>
          <w:sz w:val="32"/>
          <w:szCs w:val="32"/>
          <w:rtl/>
        </w:rPr>
        <w:t>:</w:t>
      </w:r>
      <w:r w:rsidR="00E87D4B" w:rsidRPr="00BF5EAB">
        <w:rPr>
          <w:rFonts w:ascii="Sakkal Majalla" w:hAnsi="Sakkal Majalla" w:cs="Sakkal Majalla"/>
          <w:color w:val="0D0D0D" w:themeColor="text1" w:themeTint="F2"/>
          <w:sz w:val="32"/>
          <w:szCs w:val="32"/>
          <w:rtl/>
        </w:rPr>
        <w:t xml:space="preserve"> نوع الإدارة؛ روعي فيه تمثيل متوازن بين الإدارات الاستراتيجية والتقنية والمساندة لضمان شمولية منظور الابتكار التنظيمي. ثالثاً</w:t>
      </w:r>
      <w:r w:rsidR="005B20E7" w:rsidRPr="00BF5EAB">
        <w:rPr>
          <w:rFonts w:ascii="Sakkal Majalla" w:hAnsi="Sakkal Majalla" w:cs="Sakkal Majalla"/>
          <w:color w:val="0D0D0D" w:themeColor="text1" w:themeTint="F2"/>
          <w:sz w:val="32"/>
          <w:szCs w:val="32"/>
          <w:rtl/>
        </w:rPr>
        <w:t>:</w:t>
      </w:r>
      <w:r w:rsidR="00E87D4B" w:rsidRPr="00BF5EAB">
        <w:rPr>
          <w:rFonts w:ascii="Sakkal Majalla" w:hAnsi="Sakkal Majalla" w:cs="Sakkal Majalla"/>
          <w:color w:val="0D0D0D" w:themeColor="text1" w:themeTint="F2"/>
          <w:sz w:val="32"/>
          <w:szCs w:val="32"/>
          <w:rtl/>
        </w:rPr>
        <w:t xml:space="preserve"> سنوات الخبرة؛ حيث تم تخصيص الحصة الأكبر (145) </w:t>
      </w:r>
      <w:r w:rsidRPr="00BF5EAB">
        <w:rPr>
          <w:rFonts w:ascii="Sakkal Majalla" w:hAnsi="Sakkal Majalla" w:cs="Sakkal Majalla"/>
          <w:color w:val="0D0D0D" w:themeColor="text1" w:themeTint="F2"/>
          <w:sz w:val="32"/>
          <w:szCs w:val="32"/>
          <w:rtl/>
        </w:rPr>
        <w:t xml:space="preserve">فرداً </w:t>
      </w:r>
      <w:r w:rsidR="00E87D4B" w:rsidRPr="00BF5EAB">
        <w:rPr>
          <w:rFonts w:ascii="Sakkal Majalla" w:hAnsi="Sakkal Majalla" w:cs="Sakkal Majalla"/>
          <w:color w:val="0D0D0D" w:themeColor="text1" w:themeTint="F2"/>
          <w:sz w:val="32"/>
          <w:szCs w:val="32"/>
          <w:rtl/>
        </w:rPr>
        <w:t>لذوي الخبرة المتوسطة (5-15 سنة)، نظراً لكونهم الفئة الأكثر تفاعلاً وتأثيراً في الممارسات التشغيلية الحديثة والمستهدفين بشكل رئيسي في دراسات التكنولوجيا الإدارية. ويؤكد هذا التوزيع دقة الباحثة في استهداف عينة ممثلة تعكس التباين المعرفي والهيكلي في القطاع المصرفي، بما يخدم أهداف نمذجة المعادلات البنائية ويعزز من مصداقية النتائج وقدرتها على التعميم.</w:t>
      </w:r>
    </w:p>
    <w:p w14:paraId="504D546D" w14:textId="2316DB5D" w:rsidR="00BF008C" w:rsidRPr="00BF5EAB" w:rsidRDefault="00E87D4B"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lang w:bidi="ar-EG"/>
        </w:rPr>
        <w:t xml:space="preserve">   </w:t>
      </w:r>
      <w:r w:rsidR="00BF008C" w:rsidRPr="00BF5EAB">
        <w:rPr>
          <w:rFonts w:ascii="Sakkal Majalla" w:hAnsi="Sakkal Majalla" w:cs="Sakkal Majalla"/>
          <w:color w:val="0D0D0D" w:themeColor="text1" w:themeTint="F2"/>
          <w:sz w:val="32"/>
          <w:szCs w:val="32"/>
          <w:rtl/>
        </w:rPr>
        <w:t xml:space="preserve"> لقد راعت الباحثة معايير صارمة وضوابط منهجية محددة في اختيار المشاركين لضمان جودة البيانات وموضوعيتها؛ حيث جرى استهداف وتصنيف أفراد العينة الأساسية ميدانياً وفقاً للمتغيرات الوظيفية والشخصية التالية (والتي تُمثل الخصائص الديموغرافية والوظيفية للاستبانة)</w:t>
      </w:r>
      <w:r w:rsidR="005B20E7" w:rsidRPr="00BF5EAB">
        <w:rPr>
          <w:rFonts w:ascii="Sakkal Majalla" w:hAnsi="Sakkal Majalla" w:cs="Sakkal Majalla"/>
          <w:color w:val="0D0D0D" w:themeColor="text1" w:themeTint="F2"/>
          <w:sz w:val="32"/>
          <w:szCs w:val="32"/>
          <w:rtl/>
        </w:rPr>
        <w:t>:</w:t>
      </w:r>
    </w:p>
    <w:p w14:paraId="1CBF7B15" w14:textId="2CDC3777"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المستوى الإداري الحالي</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لضمان شمولية مستويات اتخاذ القرار</w:t>
      </w:r>
      <w:r w:rsidR="005B20E7" w:rsidRPr="00BF5EAB">
        <w:rPr>
          <w:rFonts w:ascii="Sakkal Majalla" w:hAnsi="Sakkal Majalla" w:cs="Sakkal Majalla"/>
          <w:b/>
          <w:bCs/>
          <w:color w:val="0D0D0D" w:themeColor="text1" w:themeTint="F2"/>
          <w:sz w:val="32"/>
          <w:szCs w:val="32"/>
          <w:rtl/>
        </w:rPr>
        <w:t>:</w:t>
      </w:r>
    </w:p>
    <w:p w14:paraId="0048F8D0" w14:textId="5583F652"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عليا</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(مدير عام، مساعد مدير عام، رئيس قطاع، أو ما يعادلها).</w:t>
      </w:r>
    </w:p>
    <w:p w14:paraId="1A61B001" w14:textId="49681286"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وسطى</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(مدير إدارة، رئيس قسم رئيسي، أو ما يعادلها).</w:t>
      </w:r>
    </w:p>
    <w:p w14:paraId="7CC1F206" w14:textId="3E296679"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إشرافية / تنفيذية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(مشرف وحدة، منسق عمليات، أو ما يعادلها).</w:t>
      </w:r>
    </w:p>
    <w:p w14:paraId="308C4944" w14:textId="7474EE9C"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نوع الإدارة أو القطاع الوظيفي</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لتغطية كافة الممارسات المصرفية والتقنية والمساندة</w:t>
      </w:r>
      <w:r w:rsidR="005B20E7" w:rsidRPr="00BF5EAB">
        <w:rPr>
          <w:rFonts w:ascii="Sakkal Majalla" w:hAnsi="Sakkal Majalla" w:cs="Sakkal Majalla"/>
          <w:b/>
          <w:bCs/>
          <w:color w:val="0D0D0D" w:themeColor="text1" w:themeTint="F2"/>
          <w:sz w:val="32"/>
          <w:szCs w:val="32"/>
          <w:rtl/>
        </w:rPr>
        <w:t>:</w:t>
      </w:r>
    </w:p>
    <w:p w14:paraId="0337CDFE" w14:textId="31867401"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الإدارات الاستراتيجية والتشغيلية</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(الائتمان، المخاطر، الاستثمار، الخزينة، التخطيط).</w:t>
      </w:r>
    </w:p>
    <w:p w14:paraId="335630AC" w14:textId="0E2B1A44"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إدارات التقنية والبيانات</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(تقنية المعلومات، البيانات والذكاء الاصطناعي، الأمن السيبراني).</w:t>
      </w:r>
    </w:p>
    <w:p w14:paraId="740E510C" w14:textId="30881169"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إدارات المساندة والامتثال</w:t>
      </w:r>
      <w:r w:rsidR="005B20E7" w:rsidRPr="00BF5EAB">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(الموارد البشرية، الشؤون القانونية، الامتثال والمراجعة الداخلية).</w:t>
      </w:r>
    </w:p>
    <w:p w14:paraId="3E0F4683" w14:textId="70EB6862"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سنوات الخبرة الإجمالية في القطاع المصرفي</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لقياس التراكم المعرفي والمهني</w:t>
      </w:r>
      <w:r w:rsidR="005B20E7" w:rsidRPr="00BF5EAB">
        <w:rPr>
          <w:rFonts w:ascii="Sakkal Majalla" w:hAnsi="Sakkal Majalla" w:cs="Sakkal Majalla"/>
          <w:b/>
          <w:bCs/>
          <w:color w:val="0D0D0D" w:themeColor="text1" w:themeTint="F2"/>
          <w:sz w:val="32"/>
          <w:szCs w:val="32"/>
          <w:rtl/>
        </w:rPr>
        <w:t>:</w:t>
      </w:r>
    </w:p>
    <w:p w14:paraId="045C012E" w14:textId="7370AC16"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أقل من 5 سنوات.</w:t>
      </w:r>
    </w:p>
    <w:p w14:paraId="6ECAE5FD" w14:textId="4486B9A9"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من 5 إلى 15 سنة.</w:t>
      </w:r>
    </w:p>
    <w:p w14:paraId="2F6E707D" w14:textId="7F8D50FF"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أكثر من 15 سنة.</w:t>
      </w:r>
    </w:p>
    <w:p w14:paraId="7B5002B6" w14:textId="3BF00621"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نوع المصرف (التبعية والمقر الرئيسي)</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لمقارنة بيئات العمل المحلية والأجنبية</w:t>
      </w:r>
      <w:r w:rsidR="005B20E7" w:rsidRPr="00BF5EAB">
        <w:rPr>
          <w:rFonts w:ascii="Sakkal Majalla" w:hAnsi="Sakkal Majalla" w:cs="Sakkal Majalla"/>
          <w:b/>
          <w:bCs/>
          <w:color w:val="0D0D0D" w:themeColor="text1" w:themeTint="F2"/>
          <w:sz w:val="32"/>
          <w:szCs w:val="32"/>
          <w:rtl/>
        </w:rPr>
        <w:t>:</w:t>
      </w:r>
    </w:p>
    <w:p w14:paraId="56194823" w14:textId="40DDD722" w:rsidR="00BF008C" w:rsidRPr="00BF5EAB" w:rsidRDefault="00BF008C" w:rsidP="005501C8">
      <w:pPr>
        <w:pStyle w:val="ListParagraph"/>
        <w:numPr>
          <w:ilvl w:val="0"/>
          <w:numId w:val="7"/>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مصرف سعودي (محلّي).</w:t>
      </w:r>
    </w:p>
    <w:p w14:paraId="1C99B583" w14:textId="1992F837" w:rsidR="00BF008C" w:rsidRPr="00BF5EAB" w:rsidRDefault="00BF008C" w:rsidP="005501C8">
      <w:pPr>
        <w:pStyle w:val="ListParagraph"/>
        <w:numPr>
          <w:ilvl w:val="0"/>
          <w:numId w:val="7"/>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مصرف أجنبي (فرع لبنك دولي يعمل في المملكة).</w:t>
      </w:r>
    </w:p>
    <w:p w14:paraId="3C018441" w14:textId="530309FE"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طبيعة الدور الحالي في عملية اتخاذ القرار بالمصرف</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لتحديد العلاقة المباشرة بالمتغير الوسيط</w:t>
      </w:r>
      <w:r w:rsidR="005B20E7" w:rsidRPr="00BF5EAB">
        <w:rPr>
          <w:rFonts w:ascii="Sakkal Majalla" w:hAnsi="Sakkal Majalla" w:cs="Sakkal Majalla"/>
          <w:b/>
          <w:bCs/>
          <w:color w:val="0D0D0D" w:themeColor="text1" w:themeTint="F2"/>
          <w:sz w:val="32"/>
          <w:szCs w:val="32"/>
          <w:rtl/>
        </w:rPr>
        <w:t>:</w:t>
      </w:r>
    </w:p>
    <w:p w14:paraId="043694C2" w14:textId="2A9243F6"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صانع وموقّع القرار النهائي (مستوى اعتمادي).</w:t>
      </w:r>
    </w:p>
    <w:p w14:paraId="306CE1D3" w14:textId="48460CC8"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مشارك في صياغة القرار وإعداد البدائل الاستراتيجية (مستوى استشاري / تحليلي).</w:t>
      </w:r>
    </w:p>
    <w:p w14:paraId="5C2035DD" w14:textId="77777777"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جهة تنفيذية ومتابعة للمخرجات الفعلية للقرارات (مستوى تشغيلي).</w:t>
      </w:r>
    </w:p>
    <w:p w14:paraId="5BF04813" w14:textId="716B94D7"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مدى تكرار التعامل مع لوحات البيانات والتقارير المستخرجة من أنظمة ذكاء الأعمال (</w:t>
      </w:r>
      <w:r w:rsidRPr="00BF5EAB">
        <w:rPr>
          <w:rFonts w:ascii="Sakkal Majalla" w:hAnsi="Sakkal Majalla" w:cs="Sakkal Majalla"/>
          <w:b/>
          <w:bCs/>
          <w:color w:val="0D0D0D" w:themeColor="text1" w:themeTint="F2"/>
          <w:sz w:val="32"/>
          <w:szCs w:val="32"/>
        </w:rPr>
        <w:t>BI</w:t>
      </w:r>
      <w:r w:rsidRPr="00BF5EAB">
        <w:rPr>
          <w:rFonts w:ascii="Sakkal Majalla" w:hAnsi="Sakkal Majalla" w:cs="Sakkal Majalla"/>
          <w:b/>
          <w:bCs/>
          <w:color w:val="0D0D0D" w:themeColor="text1" w:themeTint="F2"/>
          <w:sz w:val="32"/>
          <w:szCs w:val="32"/>
          <w:rtl/>
        </w:rPr>
        <w:t>)</w:t>
      </w:r>
      <w:r w:rsidR="005B20E7" w:rsidRPr="00BF5EAB">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وهو المعيار الفاحص والمحيد لضمان أهلية المشارك</w:t>
      </w:r>
      <w:r w:rsidR="005B20E7" w:rsidRPr="00BF5EAB">
        <w:rPr>
          <w:rFonts w:ascii="Sakkal Majalla" w:hAnsi="Sakkal Majalla" w:cs="Sakkal Majalla"/>
          <w:b/>
          <w:bCs/>
          <w:color w:val="0D0D0D" w:themeColor="text1" w:themeTint="F2"/>
          <w:sz w:val="32"/>
          <w:szCs w:val="32"/>
          <w:rtl/>
        </w:rPr>
        <w:t>:</w:t>
      </w:r>
    </w:p>
    <w:p w14:paraId="121C310F" w14:textId="1CF71B69" w:rsidR="00BF008C"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بشكل يومي أو مستمر (الاعتماد الأساسي في العمل).</w:t>
      </w:r>
    </w:p>
    <w:p w14:paraId="40B1238F" w14:textId="619B46C7" w:rsidR="00BF008C"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بشكل دوري (أسبوعي / شهري عند إعداد التقارير الدورية).</w:t>
      </w:r>
    </w:p>
    <w:p w14:paraId="711D2511" w14:textId="342123D3" w:rsidR="003E04EF"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نادراً أو عند الحاجة القصوى فقط.</w:t>
      </w:r>
    </w:p>
    <w:p w14:paraId="0EB00435" w14:textId="5DF70984" w:rsidR="00935BC9" w:rsidRPr="00BF5EAB" w:rsidRDefault="00935BC9" w:rsidP="005501C8">
      <w:pPr>
        <w:spacing w:after="0" w:line="276" w:lineRule="auto"/>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3-</w:t>
      </w:r>
      <w:r w:rsidR="00EC65A3" w:rsidRPr="00BF5EAB">
        <w:rPr>
          <w:rFonts w:ascii="Sakkal Majalla" w:hAnsi="Sakkal Majalla" w:cs="Sakkal Majalla"/>
          <w:b/>
          <w:bCs/>
          <w:color w:val="0D0D0D" w:themeColor="text1" w:themeTint="F2"/>
          <w:sz w:val="32"/>
          <w:szCs w:val="32"/>
          <w:rtl/>
          <w:lang w:bidi="ar-EG"/>
        </w:rPr>
        <w:t>7</w:t>
      </w:r>
      <w:r w:rsidRPr="00BF5EAB">
        <w:rPr>
          <w:rFonts w:ascii="Sakkal Majalla" w:hAnsi="Sakkal Majalla" w:cs="Sakkal Majalla"/>
          <w:b/>
          <w:bCs/>
          <w:color w:val="0D0D0D" w:themeColor="text1" w:themeTint="F2"/>
          <w:sz w:val="32"/>
          <w:szCs w:val="32"/>
          <w:rtl/>
          <w:lang w:bidi="ar-EG"/>
        </w:rPr>
        <w:t xml:space="preserve"> مبررات استخدام نمذجة المعادلات البنائية (</w:t>
      </w:r>
      <w:r w:rsidRPr="00BF5EAB">
        <w:rPr>
          <w:rFonts w:ascii="Sakkal Majalla" w:hAnsi="Sakkal Majalla" w:cs="Sakkal Majalla"/>
          <w:b/>
          <w:bCs/>
          <w:color w:val="0D0D0D" w:themeColor="text1" w:themeTint="F2"/>
          <w:sz w:val="32"/>
          <w:szCs w:val="32"/>
          <w:lang w:bidi="ar-EG"/>
        </w:rPr>
        <w:t>PLS-SEM</w:t>
      </w:r>
      <w:r w:rsidRPr="00BF5EAB">
        <w:rPr>
          <w:rFonts w:ascii="Sakkal Majalla" w:hAnsi="Sakkal Majalla" w:cs="Sakkal Majalla"/>
          <w:b/>
          <w:bCs/>
          <w:color w:val="0D0D0D" w:themeColor="text1" w:themeTint="F2"/>
          <w:sz w:val="32"/>
          <w:szCs w:val="32"/>
          <w:rtl/>
          <w:lang w:bidi="ar-EG"/>
        </w:rPr>
        <w:t>)</w:t>
      </w:r>
    </w:p>
    <w:p w14:paraId="119E0ED8" w14:textId="16ED304F" w:rsidR="00935BC9" w:rsidRPr="00BF5EAB" w:rsidRDefault="00935BC9"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بناءً على طبيعة النموذج التحليلي للدراسة، والذي يهدف إلى استكشاف العلاقات الهيكلية المعقدة بين المتغير المستقل (قبول واستخدام أنظمة ذكاء الأعمال)، والمتغير الوسيط (جودة القرارات الاستراتيجية)، والمتغير التابع (الابتكار التنظيمي)، فقد تم اعتماد أسلوب نمذجة المعادلات البنائية باستخدام المربعات الصغرى الجزئية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ويعود اختيار هذا الأسلوب إلى المبررات المنهجية التالية التي تتسق مع متطلبات الدراسة</w:t>
      </w:r>
      <w:r w:rsidR="005B20E7" w:rsidRPr="00BF5EAB">
        <w:rPr>
          <w:rFonts w:ascii="Sakkal Majalla" w:hAnsi="Sakkal Majalla" w:cs="Sakkal Majalla"/>
          <w:color w:val="0D0D0D" w:themeColor="text1" w:themeTint="F2"/>
          <w:sz w:val="32"/>
          <w:szCs w:val="32"/>
          <w:rtl/>
          <w:lang w:bidi="ar-EG"/>
        </w:rPr>
        <w:t>:</w:t>
      </w:r>
    </w:p>
    <w:p w14:paraId="072E5E14" w14:textId="036FC285"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القدرة على نمذجة المتغيرات الكامنة المعقدة</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يتطلب نموذج الدراسة قياس مفاهيم إدارية وتقنية مجردة كمتغيرات كامنة</w:t>
      </w:r>
      <w:r w:rsidR="007B01A8" w:rsidRPr="00BF5EAB">
        <w:rPr>
          <w:rFonts w:ascii="Sakkal Majalla" w:hAnsi="Sakkal Majalla" w:cs="Sakkal Majalla"/>
          <w:color w:val="0D0D0D" w:themeColor="text1" w:themeTint="F2"/>
          <w:sz w:val="32"/>
          <w:szCs w:val="32"/>
          <w:rtl/>
          <w:lang w:bidi="ar-EG"/>
        </w:rPr>
        <w:t xml:space="preserve">، </w:t>
      </w:r>
      <w:r w:rsidRPr="00BF5EAB">
        <w:rPr>
          <w:rFonts w:ascii="Sakkal Majalla" w:hAnsi="Sakkal Majalla" w:cs="Sakkal Majalla"/>
          <w:color w:val="0D0D0D" w:themeColor="text1" w:themeTint="F2"/>
          <w:sz w:val="32"/>
          <w:szCs w:val="32"/>
          <w:rtl/>
          <w:lang w:bidi="ar-EG"/>
        </w:rPr>
        <w:t>مثل</w:t>
      </w:r>
      <w:r w:rsidR="005B20E7" w:rsidRPr="00BF5EAB">
        <w:rPr>
          <w:rFonts w:ascii="Sakkal Majalla" w:hAnsi="Sakkal Majalla" w:cs="Sakkal Majalla"/>
          <w:color w:val="0D0D0D" w:themeColor="text1" w:themeTint="F2"/>
          <w:sz w:val="32"/>
          <w:szCs w:val="32"/>
          <w:rtl/>
          <w:lang w:bidi="ar-EG"/>
        </w:rPr>
        <w:t>:</w:t>
      </w:r>
      <w:r w:rsidR="007B01A8" w:rsidRPr="00BF5EAB">
        <w:rPr>
          <w:rFonts w:ascii="Sakkal Majalla" w:hAnsi="Sakkal Majalla" w:cs="Sakkal Majalla"/>
          <w:color w:val="0D0D0D" w:themeColor="text1" w:themeTint="F2"/>
          <w:sz w:val="32"/>
          <w:szCs w:val="32"/>
          <w:rtl/>
          <w:lang w:bidi="ar-EG"/>
        </w:rPr>
        <w:t xml:space="preserve"> </w:t>
      </w:r>
      <w:r w:rsidRPr="00BF5EAB">
        <w:rPr>
          <w:rFonts w:ascii="Sakkal Majalla" w:hAnsi="Sakkal Majalla" w:cs="Sakkal Majalla"/>
          <w:color w:val="0D0D0D" w:themeColor="text1" w:themeTint="F2"/>
          <w:sz w:val="32"/>
          <w:szCs w:val="32"/>
          <w:rtl/>
          <w:lang w:bidi="ar-EG"/>
        </w:rPr>
        <w:t xml:space="preserve">جودة القرار والابتكار التنظيمي، ويُعد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الأكثر </w:t>
      </w:r>
      <w:r w:rsidRPr="00BF5EAB">
        <w:rPr>
          <w:rFonts w:ascii="Sakkal Majalla" w:hAnsi="Sakkal Majalla" w:cs="Sakkal Majalla"/>
          <w:color w:val="0D0D0D" w:themeColor="text1" w:themeTint="F2"/>
          <w:sz w:val="32"/>
          <w:szCs w:val="32"/>
          <w:rtl/>
          <w:lang w:bidi="ar-EG"/>
        </w:rPr>
        <w:lastRenderedPageBreak/>
        <w:t>كفاءة في تقدير هذه المتغيرات من خلال مؤشراتها الملاحظة، مع مراعاة أخطاء القياس بشكل دقيق.</w:t>
      </w:r>
    </w:p>
    <w:p w14:paraId="2A88185E" w14:textId="42189E95"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مرونة التعامل مع التوزيع الإحصائي للبيانات</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نظراً لأن البيانات المصرفية التي تعكس اتجاهات القيادات تجاه تقنيات ذكاء الأعمال قد لا تتبع بالضرورة التوزيع الطبيعي (</w:t>
      </w:r>
      <w:r w:rsidRPr="00BF5EAB">
        <w:rPr>
          <w:rFonts w:ascii="Sakkal Majalla" w:hAnsi="Sakkal Majalla" w:cs="Sakkal Majalla"/>
          <w:color w:val="0D0D0D" w:themeColor="text1" w:themeTint="F2"/>
          <w:sz w:val="32"/>
          <w:szCs w:val="32"/>
          <w:lang w:bidi="ar-EG"/>
        </w:rPr>
        <w:t>Normal Distribution</w:t>
      </w:r>
      <w:r w:rsidRPr="00BF5EAB">
        <w:rPr>
          <w:rFonts w:ascii="Sakkal Majalla" w:hAnsi="Sakkal Majalla" w:cs="Sakkal Majalla"/>
          <w:color w:val="0D0D0D" w:themeColor="text1" w:themeTint="F2"/>
          <w:sz w:val="32"/>
          <w:szCs w:val="32"/>
          <w:rtl/>
          <w:lang w:bidi="ar-EG"/>
        </w:rPr>
        <w:t xml:space="preserve">)، فإن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يوفر منهجية "غير معلمية" (</w:t>
      </w:r>
      <w:r w:rsidRPr="00BF5EAB">
        <w:rPr>
          <w:rFonts w:ascii="Sakkal Majalla" w:hAnsi="Sakkal Majalla" w:cs="Sakkal Majalla"/>
          <w:color w:val="0D0D0D" w:themeColor="text1" w:themeTint="F2"/>
          <w:sz w:val="32"/>
          <w:szCs w:val="32"/>
          <w:lang w:bidi="ar-EG"/>
        </w:rPr>
        <w:t>Non-parametric</w:t>
      </w:r>
      <w:r w:rsidRPr="00BF5EAB">
        <w:rPr>
          <w:rFonts w:ascii="Sakkal Majalla" w:hAnsi="Sakkal Majalla" w:cs="Sakkal Majalla"/>
          <w:color w:val="0D0D0D" w:themeColor="text1" w:themeTint="F2"/>
          <w:sz w:val="32"/>
          <w:szCs w:val="32"/>
          <w:rtl/>
          <w:lang w:bidi="ar-EG"/>
        </w:rPr>
        <w:t>) تتجاوز قيود التوزيع الطبيعي التي تفرضها الأساليب التقليدية، مما يمنح نتائج الدراسة دقة وموثوقية أعلى.</w:t>
      </w:r>
    </w:p>
    <w:p w14:paraId="38959744" w14:textId="20BBC422"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النمذجة التنبؤية للأثر</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تهدف الدراسة إلى فهم "تنبؤي" لكيفية تأثير تقنيات ذكاء الأعمال في تعزيز الابتكار من خلال جودة القرارات، ويتميز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بكونه أسلوباً موجهًا نحو التنبؤ (</w:t>
      </w:r>
      <w:r w:rsidRPr="00BF5EAB">
        <w:rPr>
          <w:rFonts w:ascii="Sakkal Majalla" w:hAnsi="Sakkal Majalla" w:cs="Sakkal Majalla"/>
          <w:color w:val="0D0D0D" w:themeColor="text1" w:themeTint="F2"/>
          <w:sz w:val="32"/>
          <w:szCs w:val="32"/>
          <w:lang w:bidi="ar-EG"/>
        </w:rPr>
        <w:t>Predictive-oriented</w:t>
      </w:r>
      <w:r w:rsidRPr="00BF5EAB">
        <w:rPr>
          <w:rFonts w:ascii="Sakkal Majalla" w:hAnsi="Sakkal Majalla" w:cs="Sakkal Majalla"/>
          <w:color w:val="0D0D0D" w:themeColor="text1" w:themeTint="F2"/>
          <w:sz w:val="32"/>
          <w:szCs w:val="32"/>
          <w:rtl/>
          <w:lang w:bidi="ar-EG"/>
        </w:rPr>
        <w:t>)، مما يساعد في تعظيم التباين المفسر للمتغيرات التابعة بناءً على معطيات العينة.</w:t>
      </w:r>
    </w:p>
    <w:p w14:paraId="6407C162" w14:textId="27F10B22"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كفاءة معالجة العلاقات الوسيطة</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بما أن الدراسة تفترض "دوراً وسيطاً" لجودة القرارات الاستراتيجية، فإن نمذجة المعادلات البنائية تتيح اختبار المسارات الارتباطية المباشرة وغير المباشرة في نموذج واحد متكامل، وهو ما يسمح بتفكيك أثر ذكاء الأعمال والتحقق من المدى الذي تلعبه جودة القرار كجسر استراتيجي نحو الابتكار.</w:t>
      </w:r>
    </w:p>
    <w:p w14:paraId="4FC28F4C" w14:textId="1CF7A3BD" w:rsidR="00935BC9" w:rsidRPr="00BF5EAB" w:rsidRDefault="00935BC9" w:rsidP="005501C8">
      <w:pPr>
        <w:pStyle w:val="ListParagraph"/>
        <w:numPr>
          <w:ilvl w:val="0"/>
          <w:numId w:val="1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الملاءمة لحجم العينة والتعقيد الهيكلي</w:t>
      </w:r>
      <w:r w:rsidR="005B20E7" w:rsidRPr="00BF5EAB">
        <w:rPr>
          <w:rFonts w:ascii="Sakkal Majalla" w:hAnsi="Sakkal Majalla" w:cs="Sakkal Majalla"/>
          <w:color w:val="0D0D0D" w:themeColor="text1" w:themeTint="F2"/>
          <w:sz w:val="32"/>
          <w:szCs w:val="32"/>
          <w:rtl/>
          <w:lang w:bidi="ar-EG"/>
        </w:rPr>
        <w:t>:</w:t>
      </w:r>
      <w:r w:rsidRPr="00BF5EAB">
        <w:rPr>
          <w:rFonts w:ascii="Sakkal Majalla" w:hAnsi="Sakkal Majalla" w:cs="Sakkal Majalla"/>
          <w:color w:val="0D0D0D" w:themeColor="text1" w:themeTint="F2"/>
          <w:sz w:val="32"/>
          <w:szCs w:val="32"/>
          <w:rtl/>
          <w:lang w:bidi="ar-EG"/>
        </w:rPr>
        <w:t xml:space="preserve"> يتيح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الحصول على قوة إحصائية عالية (</w:t>
      </w:r>
      <w:r w:rsidRPr="00BF5EAB">
        <w:rPr>
          <w:rFonts w:ascii="Sakkal Majalla" w:hAnsi="Sakkal Majalla" w:cs="Sakkal Majalla"/>
          <w:color w:val="0D0D0D" w:themeColor="text1" w:themeTint="F2"/>
          <w:sz w:val="32"/>
          <w:szCs w:val="32"/>
          <w:lang w:bidi="ar-EG"/>
        </w:rPr>
        <w:t>Statistical Power</w:t>
      </w:r>
      <w:r w:rsidRPr="00BF5EAB">
        <w:rPr>
          <w:rFonts w:ascii="Sakkal Majalla" w:hAnsi="Sakkal Majalla" w:cs="Sakkal Majalla"/>
          <w:color w:val="0D0D0D" w:themeColor="text1" w:themeTint="F2"/>
          <w:sz w:val="32"/>
          <w:szCs w:val="32"/>
          <w:rtl/>
          <w:lang w:bidi="ar-EG"/>
        </w:rPr>
        <w:t>) حتى مع أحجام العينات المتوسطة أو عند التعامل مع نماذج هيكلية تتضمن أبعاداً متعددة للمتغيرات، مما يضمن دقة النتائج المستخلصة من القيادات المصرفية المشاركة في مدينة الرياض.</w:t>
      </w:r>
    </w:p>
    <w:p w14:paraId="4D22A8D4" w14:textId="7FAFDC17" w:rsidR="00BD76F8" w:rsidRPr="00BF5EAB" w:rsidRDefault="00935BC9" w:rsidP="005501C8">
      <w:pPr>
        <w:spacing w:after="0" w:line="276" w:lineRule="auto"/>
        <w:ind w:left="-9"/>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تؤكد هذه المبررات أن اختيار </w:t>
      </w:r>
      <w:r w:rsidRPr="00BF5EAB">
        <w:rPr>
          <w:rFonts w:ascii="Sakkal Majalla" w:hAnsi="Sakkal Majalla" w:cs="Sakkal Majalla"/>
          <w:color w:val="0D0D0D" w:themeColor="text1" w:themeTint="F2"/>
          <w:sz w:val="32"/>
          <w:szCs w:val="32"/>
          <w:lang w:bidi="ar-EG"/>
        </w:rPr>
        <w:t>PLS-SEM</w:t>
      </w:r>
      <w:r w:rsidRPr="00BF5EAB">
        <w:rPr>
          <w:rFonts w:ascii="Sakkal Majalla" w:hAnsi="Sakkal Majalla" w:cs="Sakkal Majalla"/>
          <w:color w:val="0D0D0D" w:themeColor="text1" w:themeTint="F2"/>
          <w:sz w:val="32"/>
          <w:szCs w:val="32"/>
          <w:rtl/>
          <w:lang w:bidi="ar-EG"/>
        </w:rPr>
        <w:t xml:space="preserve"> ليس مجرد إجراء إحصائي، بل هو ضرورة منهجية تضمن اتساق التحليل مع طبيعة البيانات المتولدة من البيئة المصرفية، وتدعم قدرة الباحثة على تقديم تفسيرات علمية رصينة للنتائج في ضوء المتغيرات المدروسة.</w:t>
      </w:r>
    </w:p>
    <w:p w14:paraId="2843F5AB" w14:textId="302D2CE6" w:rsidR="003B38D7" w:rsidRPr="00BF5EAB" w:rsidRDefault="007B01A8" w:rsidP="005501C8">
      <w:pPr>
        <w:spacing w:after="0" w:line="276" w:lineRule="auto"/>
        <w:jc w:val="both"/>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3-</w:t>
      </w:r>
      <w:r w:rsidR="00EC65A3" w:rsidRPr="00BF5EAB">
        <w:rPr>
          <w:rFonts w:ascii="Sakkal Majalla" w:hAnsi="Sakkal Majalla" w:cs="Sakkal Majalla"/>
          <w:b/>
          <w:bCs/>
          <w:color w:val="0D0D0D" w:themeColor="text1" w:themeTint="F2"/>
          <w:sz w:val="32"/>
          <w:szCs w:val="32"/>
          <w:rtl/>
          <w:lang w:bidi="ar-EG"/>
        </w:rPr>
        <w:t>8</w:t>
      </w:r>
      <w:r w:rsidRPr="00BF5EAB">
        <w:rPr>
          <w:rFonts w:ascii="Sakkal Majalla" w:hAnsi="Sakkal Majalla" w:cs="Sakkal Majalla"/>
          <w:b/>
          <w:bCs/>
          <w:color w:val="0D0D0D" w:themeColor="text1" w:themeTint="F2"/>
          <w:sz w:val="32"/>
          <w:szCs w:val="32"/>
          <w:rtl/>
          <w:lang w:bidi="ar-EG"/>
        </w:rPr>
        <w:t xml:space="preserve"> </w:t>
      </w:r>
      <w:r w:rsidR="00223E61" w:rsidRPr="00BF5EAB">
        <w:rPr>
          <w:rFonts w:ascii="Sakkal Majalla" w:hAnsi="Sakkal Majalla" w:cs="Sakkal Majalla"/>
          <w:b/>
          <w:bCs/>
          <w:color w:val="0D0D0D" w:themeColor="text1" w:themeTint="F2"/>
          <w:sz w:val="32"/>
          <w:szCs w:val="32"/>
          <w:rtl/>
          <w:lang w:bidi="ar-EG"/>
        </w:rPr>
        <w:t>أداة</w:t>
      </w:r>
      <w:r w:rsidR="00BE10CC" w:rsidRPr="00BF5EAB">
        <w:rPr>
          <w:rFonts w:ascii="Sakkal Majalla" w:hAnsi="Sakkal Majalla" w:cs="Sakkal Majalla"/>
          <w:b/>
          <w:bCs/>
          <w:color w:val="0D0D0D" w:themeColor="text1" w:themeTint="F2"/>
          <w:sz w:val="32"/>
          <w:szCs w:val="32"/>
          <w:rtl/>
          <w:lang w:bidi="ar-EG"/>
        </w:rPr>
        <w:t xml:space="preserve"> الدراسة</w:t>
      </w:r>
      <w:r w:rsidR="00223E61" w:rsidRPr="00BF5EAB">
        <w:rPr>
          <w:rFonts w:ascii="Sakkal Majalla" w:hAnsi="Sakkal Majalla" w:cs="Sakkal Majalla"/>
          <w:b/>
          <w:bCs/>
          <w:color w:val="0D0D0D" w:themeColor="text1" w:themeTint="F2"/>
          <w:sz w:val="32"/>
          <w:szCs w:val="32"/>
          <w:rtl/>
          <w:lang w:bidi="ar-EG"/>
        </w:rPr>
        <w:t xml:space="preserve"> (الاستبانة)</w:t>
      </w:r>
    </w:p>
    <w:p w14:paraId="0FD70827" w14:textId="42019297" w:rsidR="00BD76F8" w:rsidRPr="00BF5EAB" w:rsidRDefault="00BD76F8" w:rsidP="005501C8">
      <w:pPr>
        <w:spacing w:after="0" w:line="276" w:lineRule="auto"/>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مبررات اختيار الاستبانة</w:t>
      </w:r>
      <w:r w:rsidR="005B20E7" w:rsidRPr="00BF5EAB">
        <w:rPr>
          <w:rFonts w:ascii="Sakkal Majalla" w:hAnsi="Sakkal Majalla" w:cs="Sakkal Majalla"/>
          <w:b/>
          <w:bCs/>
          <w:color w:val="0D0D0D" w:themeColor="text1" w:themeTint="F2"/>
          <w:sz w:val="32"/>
          <w:szCs w:val="32"/>
          <w:rtl/>
          <w:lang w:bidi="ar-EG"/>
        </w:rPr>
        <w:t>:</w:t>
      </w:r>
    </w:p>
    <w:p w14:paraId="47607D4F" w14:textId="23CDC21E" w:rsidR="00BD76F8" w:rsidRPr="00BF5EAB" w:rsidRDefault="00BD76F8"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وقع اختيار الباحثة على الاستبانة الإلكترونية كأداة رئيسية لجمع البيانات، استناداً إلى مسوغات منهجية تدعم دقة القياس في الدراسات المسحية التفسيرية، وذلك وفقاً لما يلي</w:t>
      </w:r>
      <w:r w:rsidR="005B20E7" w:rsidRPr="00BF5EAB">
        <w:rPr>
          <w:rFonts w:ascii="Sakkal Majalla" w:eastAsia="Calibri" w:hAnsi="Sakkal Majalla" w:cs="Sakkal Majalla"/>
          <w:color w:val="0D0D0D" w:themeColor="text1" w:themeTint="F2"/>
          <w:sz w:val="32"/>
          <w:szCs w:val="32"/>
          <w:rtl/>
        </w:rPr>
        <w:t>:</w:t>
      </w:r>
    </w:p>
    <w:p w14:paraId="71333ED9" w14:textId="6CECF40A" w:rsidR="000F1AF8" w:rsidRPr="00BF5EAB" w:rsidRDefault="000F1AF8" w:rsidP="005501C8">
      <w:pPr>
        <w:pStyle w:val="ListParagraph"/>
        <w:numPr>
          <w:ilvl w:val="0"/>
          <w:numId w:val="28"/>
        </w:numPr>
        <w:bidi/>
        <w:spacing w:after="0"/>
        <w:ind w:left="351"/>
        <w:jc w:val="both"/>
        <w:rPr>
          <w:rFonts w:ascii="Sakkal Majalla"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rPr>
        <w:t xml:space="preserve">تتيح الاستبانة الوصول إلى عينة </w:t>
      </w:r>
      <w:r w:rsidRPr="00BF5EAB">
        <w:rPr>
          <w:rFonts w:ascii="Sakkal Majalla" w:hAnsi="Sakkal Majalla" w:cs="Sakkal Majalla"/>
          <w:color w:val="0D0D0D" w:themeColor="text1" w:themeTint="F2"/>
          <w:sz w:val="32"/>
          <w:szCs w:val="32"/>
          <w:rtl/>
          <w:lang w:bidi="ar-EG"/>
        </w:rPr>
        <w:t xml:space="preserve">واسعة ومتنوعة من القيادات المصرفية بمدينة الرياض بكفاءة زمنية عالية، مما يضمن تمثيلية أكبر للعينة المطلوبة لنمذجة المعادلات البنائية، فضلاً عن </w:t>
      </w:r>
      <w:r w:rsidRPr="00BF5EAB">
        <w:rPr>
          <w:rFonts w:ascii="Sakkal Majalla" w:hAnsi="Sakkal Majalla" w:cs="Sakkal Majalla"/>
          <w:color w:val="0D0D0D" w:themeColor="text1" w:themeTint="F2"/>
          <w:sz w:val="32"/>
          <w:szCs w:val="32"/>
          <w:rtl/>
          <w:lang w:bidi="ar-EG"/>
        </w:rPr>
        <w:lastRenderedPageBreak/>
        <w:t xml:space="preserve">مواءمتها لطبيعة عمل المبحوثين الذين يفضلون الوسائط الرقمية التي لا تقاطع مهامهم الإجرائية </w:t>
      </w:r>
      <w:r w:rsidRPr="00BF5EAB">
        <w:rPr>
          <w:rFonts w:ascii="Sakkal Majalla" w:hAnsi="Sakkal Majalla" w:cs="Sakkal Majalla"/>
          <w:color w:val="0D0D0D" w:themeColor="text1" w:themeTint="F2"/>
          <w:sz w:val="32"/>
          <w:szCs w:val="32"/>
          <w:lang w:bidi="ar-EG"/>
        </w:rPr>
        <w:t xml:space="preserve">(Hair et al., </w:t>
      </w:r>
      <w:r w:rsidRPr="00BF5EAB">
        <w:rPr>
          <w:rFonts w:ascii="Sakkal Majalla" w:hAnsi="Sakkal Majalla" w:cs="Sakkal Majalla"/>
          <w:color w:val="0D0D0D" w:themeColor="text1" w:themeTint="F2"/>
          <w:sz w:val="32"/>
          <w:szCs w:val="32"/>
          <w:lang w:val="en-US" w:bidi="ar-EG"/>
        </w:rPr>
        <w:t>2021)</w:t>
      </w:r>
    </w:p>
    <w:p w14:paraId="720A9579" w14:textId="60BD1243" w:rsidR="00526BE6" w:rsidRPr="00BF5EAB" w:rsidRDefault="000F1AF8" w:rsidP="005501C8">
      <w:pPr>
        <w:pStyle w:val="ListParagraph"/>
        <w:numPr>
          <w:ilvl w:val="0"/>
          <w:numId w:val="28"/>
        </w:numPr>
        <w:bidi/>
        <w:spacing w:after="0"/>
        <w:ind w:left="351"/>
        <w:jc w:val="both"/>
        <w:rPr>
          <w:rFonts w:ascii="Sakkal Majalla" w:hAnsi="Sakkal Majalla" w:cs="Sakkal Majalla"/>
          <w:color w:val="0D0D0D" w:themeColor="text1" w:themeTint="F2"/>
          <w:sz w:val="32"/>
          <w:szCs w:val="32"/>
          <w:lang w:bidi="ar-EG"/>
        </w:rPr>
      </w:pPr>
      <w:r w:rsidRPr="00BF5EAB">
        <w:rPr>
          <w:rFonts w:ascii="Sakkal Majalla" w:hAnsi="Sakkal Majalla" w:cs="Sakkal Majalla"/>
          <w:color w:val="0D0D0D" w:themeColor="text1" w:themeTint="F2"/>
          <w:sz w:val="32"/>
          <w:szCs w:val="32"/>
          <w:rtl/>
          <w:lang w:bidi="ar-EG"/>
        </w:rPr>
        <w:t>تُعد الأداة الأكثر تناسباً لقياس المتغيرات الكامنة</w:t>
      </w:r>
      <w:r w:rsidRPr="00BF5EAB">
        <w:rPr>
          <w:rFonts w:ascii="Sakkal Majalla" w:hAnsi="Sakkal Majalla" w:cs="Sakkal Majalla"/>
          <w:color w:val="0D0D0D" w:themeColor="text1" w:themeTint="F2"/>
          <w:sz w:val="32"/>
          <w:szCs w:val="32"/>
          <w:lang w:bidi="ar-EG"/>
        </w:rPr>
        <w:t xml:space="preserve"> (Latent Variables) </w:t>
      </w:r>
      <w:r w:rsidRPr="00BF5EAB">
        <w:rPr>
          <w:rFonts w:ascii="Sakkal Majalla" w:hAnsi="Sakkal Majalla" w:cs="Sakkal Majalla"/>
          <w:color w:val="0D0D0D" w:themeColor="text1" w:themeTint="F2"/>
          <w:sz w:val="32"/>
          <w:szCs w:val="32"/>
          <w:rtl/>
          <w:lang w:bidi="ar-EG"/>
        </w:rPr>
        <w:t>التي تعتمد على تصورات القيادات المصرفية؛ حيث توفر هيكلاً موحداً للأسئلة يقلل من تباين القياس الناتج عن التدخل الشخصي للباحث، مما يضمن دقة البيانات المحولة إلى مؤشرات رقمية قابلة للتحليل الإحصائي المتقد</w:t>
      </w:r>
      <w:r w:rsidR="00526BE6" w:rsidRPr="00BF5EAB">
        <w:rPr>
          <w:rFonts w:ascii="Sakkal Majalla" w:hAnsi="Sakkal Majalla" w:cs="Sakkal Majalla"/>
          <w:color w:val="0D0D0D" w:themeColor="text1" w:themeTint="F2"/>
          <w:sz w:val="32"/>
          <w:szCs w:val="32"/>
          <w:rtl/>
          <w:lang w:bidi="ar-EG"/>
        </w:rPr>
        <w:t xml:space="preserve">م </w:t>
      </w:r>
      <w:r w:rsidRPr="00BF5EAB">
        <w:rPr>
          <w:rFonts w:ascii="Sakkal Majalla" w:hAnsi="Sakkal Majalla" w:cs="Sakkal Majalla"/>
          <w:color w:val="0D0D0D" w:themeColor="text1" w:themeTint="F2"/>
          <w:sz w:val="32"/>
          <w:szCs w:val="32"/>
          <w:lang w:bidi="ar-EG"/>
        </w:rPr>
        <w:t xml:space="preserve"> (Hair et al., 2022)</w:t>
      </w:r>
    </w:p>
    <w:p w14:paraId="1942C3A7" w14:textId="61B659C2" w:rsidR="00BD76F8" w:rsidRPr="00BF5EAB" w:rsidRDefault="000F1AF8" w:rsidP="005501C8">
      <w:pPr>
        <w:pStyle w:val="ListParagraph"/>
        <w:numPr>
          <w:ilvl w:val="0"/>
          <w:numId w:val="28"/>
        </w:numPr>
        <w:bidi/>
        <w:spacing w:after="0"/>
        <w:ind w:left="351"/>
        <w:jc w:val="both"/>
        <w:rPr>
          <w:rFonts w:ascii="Sakkal Majalla" w:eastAsia="Calibri"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lang w:bidi="ar-EG"/>
        </w:rPr>
        <w:t>تضمن الأداة تحييد أثر الباحث عبر توفير بيئة</w:t>
      </w:r>
      <w:r w:rsidRPr="00BF5EAB">
        <w:rPr>
          <w:rFonts w:ascii="Sakkal Majalla" w:eastAsia="Calibri" w:hAnsi="Sakkal Majalla" w:cs="Sakkal Majalla"/>
          <w:color w:val="0D0D0D" w:themeColor="text1" w:themeTint="F2"/>
          <w:sz w:val="32"/>
          <w:szCs w:val="32"/>
          <w:rtl/>
        </w:rPr>
        <w:t xml:space="preserve"> خصوصية تشجع على الصراحة في الإجابة عن القضايا الاستراتيجية الحساسة داخل المصرف؛ إذ يقلل غياب المواجهة المباشرة من "تحيز الرغبة الاجتماعية" (</w:t>
      </w:r>
      <w:r w:rsidRPr="00BF5EAB">
        <w:rPr>
          <w:rFonts w:ascii="Sakkal Majalla" w:eastAsia="Calibri" w:hAnsi="Sakkal Majalla" w:cs="Sakkal Majalla"/>
          <w:color w:val="0D0D0D" w:themeColor="text1" w:themeTint="F2"/>
          <w:sz w:val="32"/>
          <w:szCs w:val="32"/>
        </w:rPr>
        <w:t>Social Desirability Bias</w:t>
      </w:r>
      <w:r w:rsidRPr="00BF5EAB">
        <w:rPr>
          <w:rFonts w:ascii="Sakkal Majalla" w:eastAsia="Calibri" w:hAnsi="Sakkal Majalla" w:cs="Sakkal Majalla"/>
          <w:color w:val="0D0D0D" w:themeColor="text1" w:themeTint="F2"/>
          <w:sz w:val="32"/>
          <w:szCs w:val="32"/>
          <w:rtl/>
        </w:rPr>
        <w:t>)، مما يعزز من مصداقية النتائج ويعطي المبحوث مساحة كافية للتأمل في إجاباته (</w:t>
      </w:r>
      <w:r w:rsidRPr="00BF5EAB">
        <w:rPr>
          <w:rFonts w:ascii="Sakkal Majalla" w:eastAsia="Calibri" w:hAnsi="Sakkal Majalla" w:cs="Sakkal Majalla"/>
          <w:color w:val="0D0D0D" w:themeColor="text1" w:themeTint="F2"/>
          <w:sz w:val="32"/>
          <w:szCs w:val="32"/>
        </w:rPr>
        <w:t>Podsakoff et al., 2019</w:t>
      </w:r>
      <w:r w:rsidRPr="00BF5EAB">
        <w:rPr>
          <w:rFonts w:ascii="Sakkal Majalla" w:eastAsia="Calibri" w:hAnsi="Sakkal Majalla" w:cs="Sakkal Majalla"/>
          <w:color w:val="0D0D0D" w:themeColor="text1" w:themeTint="F2"/>
          <w:sz w:val="32"/>
          <w:szCs w:val="32"/>
          <w:rtl/>
        </w:rPr>
        <w:t>)</w:t>
      </w:r>
      <w:r w:rsidR="00BD76F8" w:rsidRPr="00BF5EAB">
        <w:rPr>
          <w:rFonts w:ascii="Sakkal Majalla" w:eastAsia="Calibri" w:hAnsi="Sakkal Majalla" w:cs="Sakkal Majalla"/>
          <w:color w:val="0D0D0D" w:themeColor="text1" w:themeTint="F2"/>
          <w:sz w:val="32"/>
          <w:szCs w:val="32"/>
          <w:rtl/>
        </w:rPr>
        <w:t>.</w:t>
      </w:r>
    </w:p>
    <w:p w14:paraId="75C37AED" w14:textId="101AB4E9" w:rsidR="00915077" w:rsidRPr="00BF5EAB" w:rsidRDefault="00915077" w:rsidP="005501C8">
      <w:pPr>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إجراءات الحد من تحيز الاستجابة الذاتية (</w:t>
      </w:r>
      <w:r w:rsidRPr="00BF5EAB">
        <w:rPr>
          <w:rFonts w:ascii="Sakkal Majalla" w:eastAsia="Calibri" w:hAnsi="Sakkal Majalla" w:cs="Sakkal Majalla"/>
          <w:b/>
          <w:bCs/>
          <w:color w:val="0D0D0D" w:themeColor="text1" w:themeTint="F2"/>
          <w:sz w:val="32"/>
          <w:szCs w:val="32"/>
        </w:rPr>
        <w:t>Common Method Bias - CMB</w:t>
      </w:r>
      <w:r w:rsidRPr="00BF5EAB">
        <w:rPr>
          <w:rFonts w:ascii="Sakkal Majalla" w:eastAsia="Calibri" w:hAnsi="Sakkal Majalla" w:cs="Sakkal Majalla"/>
          <w:b/>
          <w:bCs/>
          <w:color w:val="0D0D0D" w:themeColor="text1" w:themeTint="F2"/>
          <w:sz w:val="32"/>
          <w:szCs w:val="32"/>
          <w:rtl/>
        </w:rPr>
        <w:t>)</w:t>
      </w:r>
      <w:r w:rsidR="005B20E7" w:rsidRPr="00BF5EAB">
        <w:rPr>
          <w:rFonts w:ascii="Sakkal Majalla" w:eastAsia="Calibri" w:hAnsi="Sakkal Majalla" w:cs="Sakkal Majalla"/>
          <w:b/>
          <w:bCs/>
          <w:color w:val="0D0D0D" w:themeColor="text1" w:themeTint="F2"/>
          <w:sz w:val="32"/>
          <w:szCs w:val="32"/>
          <w:rtl/>
        </w:rPr>
        <w:t>:</w:t>
      </w:r>
    </w:p>
    <w:p w14:paraId="674FDBD8" w14:textId="3456A335" w:rsidR="00915077" w:rsidRPr="00BF5EAB" w:rsidRDefault="00915077"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نظراً لاعتماد الدراسة على الاستجابة الذاتية (</w:t>
      </w:r>
      <w:r w:rsidRPr="00BF5EAB">
        <w:rPr>
          <w:rFonts w:ascii="Sakkal Majalla" w:eastAsia="Calibri" w:hAnsi="Sakkal Majalla" w:cs="Sakkal Majalla"/>
          <w:color w:val="0D0D0D" w:themeColor="text1" w:themeTint="F2"/>
          <w:sz w:val="32"/>
          <w:szCs w:val="32"/>
        </w:rPr>
        <w:t>Self-Report</w:t>
      </w:r>
      <w:r w:rsidRPr="00BF5EAB">
        <w:rPr>
          <w:rFonts w:ascii="Sakkal Majalla" w:eastAsia="Calibri" w:hAnsi="Sakkal Majalla" w:cs="Sakkal Majalla"/>
          <w:color w:val="0D0D0D" w:themeColor="text1" w:themeTint="F2"/>
          <w:sz w:val="32"/>
          <w:szCs w:val="32"/>
          <w:rtl/>
        </w:rPr>
        <w:t>) من قِبل القيادات المصرفية، فقد اتخذت الباحثة جملة من الضوابط المنهجية للحد من "التحيز المشترك للمنهج" (</w:t>
      </w:r>
      <w:r w:rsidRPr="00BF5EAB">
        <w:rPr>
          <w:rFonts w:ascii="Sakkal Majalla" w:eastAsia="Calibri" w:hAnsi="Sakkal Majalla" w:cs="Sakkal Majalla"/>
          <w:color w:val="0D0D0D" w:themeColor="text1" w:themeTint="F2"/>
          <w:sz w:val="32"/>
          <w:szCs w:val="32"/>
        </w:rPr>
        <w:t>Common Method Variance</w:t>
      </w:r>
      <w:r w:rsidRPr="00BF5EAB">
        <w:rPr>
          <w:rFonts w:ascii="Sakkal Majalla" w:eastAsia="Calibri" w:hAnsi="Sakkal Majalla" w:cs="Sakkal Majalla"/>
          <w:color w:val="0D0D0D" w:themeColor="text1" w:themeTint="F2"/>
          <w:sz w:val="32"/>
          <w:szCs w:val="32"/>
          <w:rtl/>
        </w:rPr>
        <w:t>)، ومنها</w:t>
      </w:r>
      <w:r w:rsidR="005B20E7" w:rsidRPr="00BF5EAB">
        <w:rPr>
          <w:rFonts w:ascii="Sakkal Majalla" w:eastAsia="Calibri" w:hAnsi="Sakkal Majalla" w:cs="Sakkal Majalla"/>
          <w:color w:val="0D0D0D" w:themeColor="text1" w:themeTint="F2"/>
          <w:sz w:val="32"/>
          <w:szCs w:val="32"/>
          <w:rtl/>
        </w:rPr>
        <w:t>:</w:t>
      </w:r>
    </w:p>
    <w:p w14:paraId="2B4DFD97" w14:textId="673AE174" w:rsidR="00091F0D" w:rsidRPr="00BF5EAB" w:rsidRDefault="00091F0D" w:rsidP="005501C8">
      <w:pPr>
        <w:pStyle w:val="ListParagraph"/>
        <w:numPr>
          <w:ilvl w:val="0"/>
          <w:numId w:val="29"/>
        </w:numPr>
        <w:bidi/>
        <w:spacing w:after="0"/>
        <w:ind w:left="351"/>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تم التأكيد للمشاركين في مقدمة الاستبانة على أن البيانات ستعامل بسرية تامة ولأغراض البحث العلمي فقط، مما يقلل من دوافع "الاستجابة الاجتماعية المرغوبة</w:t>
      </w:r>
      <w:r w:rsidRPr="00BF5EAB">
        <w:rPr>
          <w:rFonts w:ascii="Sakkal Majalla" w:eastAsia="Calibri" w:hAnsi="Sakkal Majalla" w:cs="Sakkal Majalla"/>
          <w:color w:val="0D0D0D" w:themeColor="text1" w:themeTint="F2"/>
          <w:sz w:val="32"/>
          <w:szCs w:val="32"/>
        </w:rPr>
        <w:t xml:space="preserve">" (Social Desirability Bias) </w:t>
      </w:r>
      <w:r w:rsidRPr="00BF5EAB">
        <w:rPr>
          <w:rFonts w:ascii="Sakkal Majalla" w:eastAsia="Calibri" w:hAnsi="Sakkal Majalla" w:cs="Sakkal Majalla"/>
          <w:color w:val="0D0D0D" w:themeColor="text1" w:themeTint="F2"/>
          <w:sz w:val="32"/>
          <w:szCs w:val="32"/>
          <w:rtl/>
        </w:rPr>
        <w:t>التي قد تدفع المدير لتجميل ممارساته، وهي خطوة إجرائية تحظى بتوصية واسعة في أدبيات البحوث الإدارية الحديثة</w:t>
      </w:r>
      <w:r w:rsidRPr="00BF5EAB">
        <w:rPr>
          <w:rFonts w:ascii="Sakkal Majalla" w:eastAsia="Calibri" w:hAnsi="Sakkal Majalla" w:cs="Sakkal Majalla"/>
          <w:color w:val="0D0D0D" w:themeColor="text1" w:themeTint="F2"/>
          <w:sz w:val="32"/>
          <w:szCs w:val="32"/>
        </w:rPr>
        <w:t xml:space="preserve"> (Podsakoff et al., 2019)</w:t>
      </w:r>
    </w:p>
    <w:p w14:paraId="3469B64A" w14:textId="02C1FE06" w:rsidR="001A5BE4" w:rsidRPr="00BF5EAB" w:rsidRDefault="00091F0D" w:rsidP="005501C8">
      <w:pPr>
        <w:pStyle w:val="ListParagraph"/>
        <w:numPr>
          <w:ilvl w:val="0"/>
          <w:numId w:val="29"/>
        </w:numPr>
        <w:bidi/>
        <w:spacing w:after="0"/>
        <w:ind w:left="351"/>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جرى توزيع فقرات الاستبانة بطريقة تمنع الربط المباشر بين السبب والنتيجة من قِبل المستجيب؛ حيث تم فصل الفقرات المتعلقة بالمتغير المستقل (ذكاء الأعمال) عن المتغير التابع (الابتكار التنظيمي) بفقرات المتغير الوسيط، وذلك لتقليل حدة التحيز الإدراكي أو "تأثير الاتساق</w:t>
      </w:r>
      <w:r w:rsidRPr="00BF5EAB">
        <w:rPr>
          <w:rFonts w:ascii="Sakkal Majalla" w:eastAsia="Calibri" w:hAnsi="Sakkal Majalla" w:cs="Sakkal Majalla"/>
          <w:color w:val="0D0D0D" w:themeColor="text1" w:themeTint="F2"/>
          <w:sz w:val="32"/>
          <w:szCs w:val="32"/>
        </w:rPr>
        <w:t xml:space="preserve">" (Consistency Motif) </w:t>
      </w:r>
      <w:r w:rsidRPr="00BF5EAB">
        <w:rPr>
          <w:rFonts w:ascii="Sakkal Majalla" w:eastAsia="Calibri" w:hAnsi="Sakkal Majalla" w:cs="Sakkal Majalla"/>
          <w:color w:val="0D0D0D" w:themeColor="text1" w:themeTint="F2"/>
          <w:sz w:val="32"/>
          <w:szCs w:val="32"/>
          <w:rtl/>
        </w:rPr>
        <w:t>لدى المستجيب عند الإجاب</w:t>
      </w:r>
      <w:r w:rsidR="001A5BE4" w:rsidRPr="00BF5EAB">
        <w:rPr>
          <w:rFonts w:ascii="Sakkal Majalla" w:eastAsia="Calibri" w:hAnsi="Sakkal Majalla" w:cs="Sakkal Majalla"/>
          <w:color w:val="0D0D0D" w:themeColor="text1" w:themeTint="F2"/>
          <w:sz w:val="32"/>
          <w:szCs w:val="32"/>
          <w:rtl/>
        </w:rPr>
        <w:t xml:space="preserve">ة </w:t>
      </w:r>
      <w:r w:rsidRPr="00BF5EAB">
        <w:rPr>
          <w:rFonts w:ascii="Sakkal Majalla" w:eastAsia="Calibri" w:hAnsi="Sakkal Majalla" w:cs="Sakkal Majalla"/>
          <w:color w:val="0D0D0D" w:themeColor="text1" w:themeTint="F2"/>
          <w:sz w:val="32"/>
          <w:szCs w:val="32"/>
        </w:rPr>
        <w:t xml:space="preserve"> (Hair et al., 2021)</w:t>
      </w:r>
    </w:p>
    <w:p w14:paraId="218B1EF5" w14:textId="1B8A29C9" w:rsidR="00091F0D" w:rsidRPr="00BF5EAB" w:rsidRDefault="00091F0D" w:rsidP="005501C8">
      <w:pPr>
        <w:pStyle w:val="ListParagraph"/>
        <w:numPr>
          <w:ilvl w:val="0"/>
          <w:numId w:val="29"/>
        </w:numPr>
        <w:bidi/>
        <w:spacing w:after="0"/>
        <w:ind w:left="351"/>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سيتم استخدام اختبار "هارمان أحادي العامل" (</w:t>
      </w:r>
      <w:r w:rsidRPr="00BF5EAB">
        <w:rPr>
          <w:rFonts w:ascii="Sakkal Majalla" w:eastAsia="Calibri" w:hAnsi="Sakkal Majalla" w:cs="Sakkal Majalla"/>
          <w:color w:val="0D0D0D" w:themeColor="text1" w:themeTint="F2"/>
          <w:sz w:val="32"/>
          <w:szCs w:val="32"/>
        </w:rPr>
        <w:t>Harman’s Single Factor Test</w:t>
      </w:r>
      <w:r w:rsidRPr="00BF5EAB">
        <w:rPr>
          <w:rFonts w:ascii="Sakkal Majalla" w:eastAsia="Calibri" w:hAnsi="Sakkal Majalla" w:cs="Sakkal Majalla"/>
          <w:color w:val="0D0D0D" w:themeColor="text1" w:themeTint="F2"/>
          <w:sz w:val="32"/>
          <w:szCs w:val="32"/>
          <w:rtl/>
        </w:rPr>
        <w:t>) بعد جمع البيانات للتأكد من أن التباين في النتائج لا يعود بشكل جوهري إلى أسلوب جمع البيانات (الاستبانة)، حيث يُعد هذا الإجراء -إلى جانب فحوصات جودة القياس في نمذجة المعادلات البنائية- ضمانة إحصائية لخلو البيانات من أثر التباين المشترك، مما يضفي موثوقية عالية على النتائج المستخلصة (</w:t>
      </w:r>
      <w:r w:rsidRPr="00BF5EAB">
        <w:rPr>
          <w:rFonts w:ascii="Sakkal Majalla" w:eastAsia="Calibri" w:hAnsi="Sakkal Majalla" w:cs="Sakkal Majalla"/>
          <w:color w:val="0D0D0D" w:themeColor="text1" w:themeTint="F2"/>
          <w:sz w:val="32"/>
          <w:szCs w:val="32"/>
        </w:rPr>
        <w:t>Hair et al., 2022; Fuller et al., 2016</w:t>
      </w:r>
      <w:r w:rsidRPr="00BF5EAB">
        <w:rPr>
          <w:rFonts w:ascii="Sakkal Majalla" w:eastAsia="Calibri" w:hAnsi="Sakkal Majalla" w:cs="Sakkal Majalla"/>
          <w:color w:val="0D0D0D" w:themeColor="text1" w:themeTint="F2"/>
          <w:sz w:val="32"/>
          <w:szCs w:val="32"/>
          <w:rtl/>
        </w:rPr>
        <w:t>).</w:t>
      </w:r>
    </w:p>
    <w:p w14:paraId="2A47EC36" w14:textId="346A9564" w:rsidR="003B38D7" w:rsidRPr="00BF5EAB" w:rsidRDefault="0057764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lastRenderedPageBreak/>
        <w:t xml:space="preserve">الهدف من </w:t>
      </w:r>
      <w:r w:rsidR="00390E38" w:rsidRPr="00BF5EAB">
        <w:rPr>
          <w:rFonts w:ascii="Sakkal Majalla" w:eastAsia="Calibri" w:hAnsi="Sakkal Majalla" w:cs="Sakkal Majalla"/>
          <w:b/>
          <w:bCs/>
          <w:color w:val="0D0D0D" w:themeColor="text1" w:themeTint="F2"/>
          <w:sz w:val="32"/>
          <w:szCs w:val="32"/>
          <w:rtl/>
        </w:rPr>
        <w:t>الاستبانة</w:t>
      </w:r>
      <w:r w:rsidR="005B20E7" w:rsidRPr="00BF5EAB">
        <w:rPr>
          <w:rFonts w:ascii="Sakkal Majalla" w:eastAsia="Calibri" w:hAnsi="Sakkal Majalla" w:cs="Sakkal Majalla"/>
          <w:b/>
          <w:bCs/>
          <w:color w:val="0D0D0D" w:themeColor="text1" w:themeTint="F2"/>
          <w:sz w:val="32"/>
          <w:szCs w:val="32"/>
          <w:rtl/>
        </w:rPr>
        <w:t>:</w:t>
      </w:r>
    </w:p>
    <w:p w14:paraId="2C680C64" w14:textId="2C9D44F4" w:rsidR="003B38D7" w:rsidRPr="00BF5EAB" w:rsidRDefault="003B38D7"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rPr>
        <w:t xml:space="preserve">    </w:t>
      </w:r>
      <w:r w:rsidR="000C2795" w:rsidRPr="00BF5EAB">
        <w:rPr>
          <w:rFonts w:ascii="Sakkal Majalla" w:eastAsia="Calibri" w:hAnsi="Sakkal Majalla" w:cs="Sakkal Majalla"/>
          <w:color w:val="0D0D0D" w:themeColor="text1" w:themeTint="F2"/>
          <w:sz w:val="32"/>
          <w:szCs w:val="32"/>
          <w:rtl/>
        </w:rPr>
        <w:t xml:space="preserve">تُعرف الاستبانة بأنها "عبارة عن أداة يشمل محتواها مجموعة من الأسئلة أو العبارات المكتوبة مزودة بإجاباتها أو الآراء المحتملة بهدف الحصول على إجابات أفراد العينة على أسئلة الدراسة (العساف، 2012، ص. 65). </w:t>
      </w:r>
      <w:r w:rsidR="00390E38" w:rsidRPr="00BF5EAB">
        <w:rPr>
          <w:rFonts w:ascii="Sakkal Majalla" w:eastAsia="Calibri" w:hAnsi="Sakkal Majalla" w:cs="Sakkal Majalla"/>
          <w:color w:val="0D0D0D" w:themeColor="text1" w:themeTint="F2"/>
          <w:sz w:val="32"/>
          <w:szCs w:val="32"/>
          <w:rtl/>
        </w:rPr>
        <w:t>تهدف الأداة الحالية إلى قياس مستويات تبني أنظمة ذكاء الأعمال والابتكار التنظيمي لدى القيادات الإدارية والمصرفية، والوقوف على طبيعة الدور الوسيط الذي تلعبه جودة القرارات الاستراتيجية داخل المصارف التجارية العاملة بمدينة الرياض. وقد تم بناء وتطوير هذه الأداة بناءً على مسح نظري شامل واستطلاع آراء الخبراء؛ لضمان ملاءمة العبارات وصلاحيتها للتطبيق الميداني في البيئة المصرفية السعودية</w:t>
      </w:r>
      <w:r w:rsidR="00577644" w:rsidRPr="00BF5EAB">
        <w:rPr>
          <w:rFonts w:ascii="Sakkal Majalla" w:eastAsia="Calibri" w:hAnsi="Sakkal Majalla" w:cs="Sakkal Majalla"/>
          <w:color w:val="0D0D0D" w:themeColor="text1" w:themeTint="F2"/>
          <w:sz w:val="32"/>
          <w:szCs w:val="32"/>
        </w:rPr>
        <w:t>.</w:t>
      </w:r>
    </w:p>
    <w:p w14:paraId="426026B7" w14:textId="15F21D56" w:rsidR="003B38D7" w:rsidRPr="00BF5EAB" w:rsidRDefault="0057764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وصف </w:t>
      </w:r>
      <w:r w:rsidR="00356033" w:rsidRPr="00BF5EAB">
        <w:rPr>
          <w:rFonts w:ascii="Sakkal Majalla" w:eastAsia="Calibri" w:hAnsi="Sakkal Majalla" w:cs="Sakkal Majalla"/>
          <w:b/>
          <w:bCs/>
          <w:color w:val="0D0D0D" w:themeColor="text1" w:themeTint="F2"/>
          <w:sz w:val="32"/>
          <w:szCs w:val="32"/>
          <w:rtl/>
        </w:rPr>
        <w:t>الاستبانة</w:t>
      </w:r>
      <w:r w:rsidR="005B20E7" w:rsidRPr="00BF5EAB">
        <w:rPr>
          <w:rFonts w:ascii="Sakkal Majalla" w:eastAsia="Calibri" w:hAnsi="Sakkal Majalla" w:cs="Sakkal Majalla"/>
          <w:b/>
          <w:bCs/>
          <w:color w:val="0D0D0D" w:themeColor="text1" w:themeTint="F2"/>
          <w:sz w:val="32"/>
          <w:szCs w:val="32"/>
          <w:rtl/>
        </w:rPr>
        <w:t>:</w:t>
      </w:r>
    </w:p>
    <w:p w14:paraId="57EE25FF" w14:textId="5BEC3684" w:rsidR="00577644" w:rsidRPr="00BF5EAB" w:rsidRDefault="003B38D7"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Times New Roman" w:hAnsi="Sakkal Majalla" w:cs="Sakkal Majalla"/>
          <w:b/>
          <w:bCs/>
          <w:color w:val="0D0D0D" w:themeColor="text1" w:themeTint="F2"/>
          <w:sz w:val="32"/>
          <w:szCs w:val="32"/>
          <w:rtl/>
        </w:rPr>
        <w:t xml:space="preserve">     </w:t>
      </w:r>
      <w:r w:rsidR="00390E38" w:rsidRPr="00BF5EAB">
        <w:rPr>
          <w:rFonts w:ascii="Sakkal Majalla" w:eastAsia="Calibri" w:hAnsi="Sakkal Majalla" w:cs="Sakkal Majalla"/>
          <w:color w:val="0D0D0D" w:themeColor="text1" w:themeTint="F2"/>
          <w:sz w:val="32"/>
          <w:szCs w:val="32"/>
          <w:rtl/>
        </w:rPr>
        <w:t>استخدمت الباحثة "الاستبانة" كأداة رئيسة لجمع البيانات الميدانية وتحقيق أهداف الدراسة. وتتكون الأداة في بنيتها المتكاملة من شقين أساسيين على النحو الآتي</w:t>
      </w:r>
      <w:r w:rsidR="005B20E7" w:rsidRPr="00BF5EAB">
        <w:rPr>
          <w:rFonts w:ascii="Sakkal Majalla" w:eastAsia="Calibri" w:hAnsi="Sakkal Majalla" w:cs="Sakkal Majalla"/>
          <w:color w:val="0D0D0D" w:themeColor="text1" w:themeTint="F2"/>
          <w:sz w:val="32"/>
          <w:szCs w:val="32"/>
          <w:rtl/>
        </w:rPr>
        <w:t>:</w:t>
      </w:r>
    </w:p>
    <w:p w14:paraId="2A59A433" w14:textId="742E346B" w:rsidR="00390E38" w:rsidRPr="00BF5EAB" w:rsidRDefault="00390E38" w:rsidP="005501C8">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الشق الأول</w:t>
      </w:r>
      <w:r w:rsidR="005B20E7" w:rsidRPr="00BF5EAB">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البيانات الشخصية والوظيفية (الديموغرافية)</w:t>
      </w:r>
      <w:r w:rsidR="005B20E7" w:rsidRPr="00BF5EAB">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w:t>
      </w:r>
      <w:r w:rsidRPr="00BF5EAB">
        <w:rPr>
          <w:rFonts w:ascii="Sakkal Majalla" w:eastAsia="Calibri" w:hAnsi="Sakkal Majalla" w:cs="Sakkal Majalla"/>
          <w:color w:val="0D0D0D" w:themeColor="text1" w:themeTint="F2"/>
          <w:sz w:val="32"/>
          <w:szCs w:val="32"/>
          <w:rtl/>
        </w:rPr>
        <w:t>يختص هذا الشق بجمع البيانات الخلفية والتنظيمية للمستجيبين من القيادات المصرفية، والتي تسهم في فهم سياق وخلفيات عينة الدراسة، وتتمثل في ستة (6) متغيرات رئيسة وهي</w:t>
      </w:r>
      <w:r w:rsidR="005B20E7" w:rsidRPr="00BF5EAB">
        <w:rPr>
          <w:rFonts w:ascii="Sakkal Majalla" w:eastAsia="Calibri" w:hAnsi="Sakkal Majalla" w:cs="Sakkal Majalla"/>
          <w:color w:val="0D0D0D" w:themeColor="text1" w:themeTint="F2"/>
          <w:sz w:val="32"/>
          <w:szCs w:val="32"/>
          <w:rtl/>
        </w:rPr>
        <w:t>:</w:t>
      </w:r>
    </w:p>
    <w:p w14:paraId="4471CBF2" w14:textId="613E6A72"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المستوى الإداري الحالي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(إدارة عليا، إدارة وسطى، إدارة إشرافية/تنفيذية).</w:t>
      </w:r>
    </w:p>
    <w:p w14:paraId="79BABE79" w14:textId="6CFB2208"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نوع الإدارة أو القطاع الوظيفي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(إدارات استراتيجية وتشغيلية، إدارات التقنية والبيانات، إدارات المساندة والامتثال).</w:t>
      </w:r>
    </w:p>
    <w:p w14:paraId="49563300" w14:textId="5D5ED308"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سنوات الخبرة الإجمالية في القطاع المصرفي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(أقل من 5 سنوات، من 5 إلى 15 سنة، أكثر من 15 سنة).</w:t>
      </w:r>
    </w:p>
    <w:p w14:paraId="1F45A88B" w14:textId="4346780F"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نوع المصرف (التبعية والمقر الرئيسي)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(مصرف سعودي محلي، مصرف أجنبي).</w:t>
      </w:r>
    </w:p>
    <w:p w14:paraId="45539BE9" w14:textId="0E24F655"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طبيعة الدور الحالي في عملية اتخاذ القرار</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(صانع وموقع القرار النهائي، مشارك في صياغة القرار وإعداد البدائل، جهة تنفيذية ومتابعة للمخرجات).</w:t>
      </w:r>
    </w:p>
    <w:p w14:paraId="5FE1AB00" w14:textId="2C3EAC55"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مدى تكرار التعامل مع أنظمة ذكاء الأعمال ولوحات البيانات</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(بشكل يومي أو مستمر، بشكل دوري، نادراً أو عند الحاجة القصوى).</w:t>
      </w:r>
    </w:p>
    <w:p w14:paraId="714DC5C1" w14:textId="73E27169" w:rsidR="00390E38" w:rsidRPr="00BF5EAB" w:rsidRDefault="00390E38" w:rsidP="005501C8">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الشق الثاني</w:t>
      </w:r>
      <w:r w:rsidR="005B20E7" w:rsidRPr="00BF5EAB">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المقياس الكمي الميداني (محاور الدراسة)</w:t>
      </w:r>
      <w:r w:rsidR="005B20E7" w:rsidRPr="00BF5EAB">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w:t>
      </w:r>
      <w:r w:rsidRPr="00BF5EAB">
        <w:rPr>
          <w:rFonts w:ascii="Sakkal Majalla" w:eastAsia="Calibri" w:hAnsi="Sakkal Majalla" w:cs="Sakkal Majalla"/>
          <w:color w:val="0D0D0D" w:themeColor="text1" w:themeTint="F2"/>
          <w:sz w:val="32"/>
          <w:szCs w:val="32"/>
          <w:rtl/>
        </w:rPr>
        <w:t xml:space="preserve">يمثل البناء القياسي لمتغيرات الدراسة الثلاثة، حيث تتكون الاستبانة في صورتها النهائية من (53) فقرة مصاغة باللغة العربية الفصحى </w:t>
      </w:r>
      <w:r w:rsidRPr="00BF5EAB">
        <w:rPr>
          <w:rFonts w:ascii="Sakkal Majalla" w:eastAsia="Calibri" w:hAnsi="Sakkal Majalla" w:cs="Sakkal Majalla"/>
          <w:color w:val="0D0D0D" w:themeColor="text1" w:themeTint="F2"/>
          <w:sz w:val="32"/>
          <w:szCs w:val="32"/>
          <w:rtl/>
        </w:rPr>
        <w:lastRenderedPageBreak/>
        <w:t>بعبارات إدارية ومصرفية دقيقة. ويتم قياس استجابات أفراد العينة وفق مقياس ليكرت الخماسي (</w:t>
      </w:r>
      <w:r w:rsidRPr="00BF5EAB">
        <w:rPr>
          <w:rFonts w:ascii="Sakkal Majalla" w:eastAsia="Calibri" w:hAnsi="Sakkal Majalla" w:cs="Sakkal Majalla"/>
          <w:color w:val="0D0D0D" w:themeColor="text1" w:themeTint="F2"/>
          <w:sz w:val="32"/>
          <w:szCs w:val="32"/>
        </w:rPr>
        <w:t>Likert Scale</w:t>
      </w:r>
      <w:r w:rsidRPr="00BF5EAB">
        <w:rPr>
          <w:rFonts w:ascii="Sakkal Majalla" w:eastAsia="Calibri" w:hAnsi="Sakkal Majalla" w:cs="Sakkal Majalla"/>
          <w:color w:val="0D0D0D" w:themeColor="text1" w:themeTint="F2"/>
          <w:sz w:val="32"/>
          <w:szCs w:val="32"/>
          <w:rtl/>
        </w:rPr>
        <w:t>)؛ وجرى التحقق من مؤشرات الصدق الظاهري (تحكيم الخبراء) والاتساق الداخلي للفقرات عبر العينة الاستطلاعية. وتتوزع هذه الفقرات على المتغيرات الثلاثة كالآتي</w:t>
      </w:r>
      <w:r w:rsidR="005B20E7" w:rsidRPr="00BF5EAB">
        <w:rPr>
          <w:rFonts w:ascii="Sakkal Majalla" w:eastAsia="Calibri" w:hAnsi="Sakkal Majalla" w:cs="Sakkal Majalla"/>
          <w:color w:val="0D0D0D" w:themeColor="text1" w:themeTint="F2"/>
          <w:sz w:val="32"/>
          <w:szCs w:val="32"/>
          <w:rtl/>
        </w:rPr>
        <w:t>:</w:t>
      </w:r>
    </w:p>
    <w:p w14:paraId="0B38DC7E" w14:textId="56D9B151"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المتغير المستقل (ذكاء الأعمال)</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(14) فقرة موزعة على ثلاثة أبعاد</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(الفائدة المدركة من النظام، وسهولة الاستخدام الفنية، والنية السلوكية للاستمرار في التوظيف).</w:t>
      </w:r>
    </w:p>
    <w:p w14:paraId="15145689" w14:textId="122208BD"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المتغير الوسيط (جودة القرارات الاستراتيجية)</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(21) فقرة موزعة على خمسة أبعاد</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(جودة وموثوقية المعلومات، والتحليل الموضوعي وتقييم البدائل، وتفسير وتوظيف المخرجات الرقمية، والتوافق الاستراتيجي والامتثال، وكفاءة مخرجات القرار).</w:t>
      </w:r>
    </w:p>
    <w:p w14:paraId="55A60844" w14:textId="4ACB9D1F"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المتغير التابع (الابتكار التنظيمي)</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(18) فقرة موزعة على ثلاثة أبعاد</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(ابتكار الخدمات المالية الرقمية، والابتكار الإداري، والثقافة التنظيمية الداعمة للابتكار).</w:t>
      </w:r>
    </w:p>
    <w:p w14:paraId="4812CB69" w14:textId="3B0CC819" w:rsidR="00577644" w:rsidRPr="00BF5EAB" w:rsidRDefault="00577644" w:rsidP="005501C8">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مبررات إعداد </w:t>
      </w:r>
      <w:r w:rsidR="00356033" w:rsidRPr="00BF5EAB">
        <w:rPr>
          <w:rFonts w:ascii="Sakkal Majalla" w:eastAsia="Calibri" w:hAnsi="Sakkal Majalla" w:cs="Sakkal Majalla"/>
          <w:b/>
          <w:bCs/>
          <w:color w:val="0D0D0D" w:themeColor="text1" w:themeTint="F2"/>
          <w:sz w:val="32"/>
          <w:szCs w:val="32"/>
          <w:rtl/>
        </w:rPr>
        <w:t>الاستبانة</w:t>
      </w:r>
      <w:r w:rsidR="005B20E7" w:rsidRPr="00BF5EAB">
        <w:rPr>
          <w:rFonts w:ascii="Sakkal Majalla" w:eastAsia="Calibri" w:hAnsi="Sakkal Majalla" w:cs="Sakkal Majalla"/>
          <w:b/>
          <w:bCs/>
          <w:color w:val="0D0D0D" w:themeColor="text1" w:themeTint="F2"/>
          <w:sz w:val="32"/>
          <w:szCs w:val="32"/>
          <w:rtl/>
        </w:rPr>
        <w:t>:</w:t>
      </w:r>
    </w:p>
    <w:p w14:paraId="44C654AA" w14:textId="6AB50696" w:rsidR="00390E38" w:rsidRPr="00BF5EAB" w:rsidRDefault="00390E38" w:rsidP="005501C8">
      <w:pPr>
        <w:keepNext/>
        <w:keepLines/>
        <w:spacing w:after="0" w:line="276" w:lineRule="auto"/>
        <w:jc w:val="both"/>
        <w:outlineLvl w:val="1"/>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بعد اطلاع الباحثة على الأطر النظرية والأدبيات السابقة، ومراجعة المقاييس الإدارية التي تناولت ذكاء الأعمال والابتكار في بيئات مختلفة، تبينت ضرورة بناء أداة قياس خاصة ومطورة لتناسب المصارف العاملة بمدينة الرياض، وذلك استناداً لعدة مبررات علمية وميدانية، منها</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ندرة المقاييس العربية المقننة التي تجمع بين الجوانب التقنية لذكاء الأعمال (</w:t>
      </w:r>
      <w:r w:rsidRPr="00BF5EAB">
        <w:rPr>
          <w:rFonts w:ascii="Sakkal Majalla" w:eastAsia="Calibri" w:hAnsi="Sakkal Majalla" w:cs="Sakkal Majalla"/>
          <w:color w:val="0D0D0D" w:themeColor="text1" w:themeTint="F2"/>
          <w:sz w:val="32"/>
          <w:szCs w:val="32"/>
        </w:rPr>
        <w:t>BI</w:t>
      </w:r>
      <w:r w:rsidRPr="00BF5EAB">
        <w:rPr>
          <w:rFonts w:ascii="Sakkal Majalla" w:eastAsia="Calibri" w:hAnsi="Sakkal Majalla" w:cs="Sakkal Majalla"/>
          <w:color w:val="0D0D0D" w:themeColor="text1" w:themeTint="F2"/>
          <w:sz w:val="32"/>
          <w:szCs w:val="32"/>
          <w:rtl/>
        </w:rPr>
        <w:t>) والجوانب القيادية والسلوكية للابتكار التنظيمي في نموذج إداري واحد يراعي بيئة القطاع المصرفي السعودي وتوجهاته الحديثة.</w:t>
      </w:r>
    </w:p>
    <w:p w14:paraId="41378D95" w14:textId="292BAB3A" w:rsidR="00390E38" w:rsidRPr="00BF5EAB" w:rsidRDefault="00390E38" w:rsidP="005501C8">
      <w:pPr>
        <w:keepNext/>
        <w:keepLines/>
        <w:spacing w:after="0" w:line="276" w:lineRule="auto"/>
        <w:jc w:val="both"/>
        <w:outlineLvl w:val="1"/>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بالإضافة إلى، الحاجة لرصد الأثر الوسيط الفعلي لـ "جودة القرارات الاستراتيجية"، وعدم كفاية المقاييس التقليدية في تفسير "كيفية" تحول البيانات الضخمة المستخرجة من أنظمة ذكاء الأعمال إلى ابتكار ملموس، مما تطلب بناء أداة تفصيلية تقيس المتغير الوسيط (جودة القرارات) بأبعاده الخمسة لربط الكفاءة التقنية بالمخرجات الابتكارية بشكل علمي دقيق.</w:t>
      </w:r>
    </w:p>
    <w:p w14:paraId="52B35A4F" w14:textId="40D6035C" w:rsidR="00390E38" w:rsidRPr="00BF5EAB" w:rsidRDefault="00390E38" w:rsidP="005501C8">
      <w:pPr>
        <w:keepNext/>
        <w:keepLines/>
        <w:spacing w:after="0" w:line="276" w:lineRule="auto"/>
        <w:jc w:val="both"/>
        <w:outlineLvl w:val="1"/>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علاوة على، الاستجابة لمتطلبات التحول الرقمي ورؤية المملكة 2030م، والحاجة الملحة لتصميم أداة تتمتع بخصوصية سياقية قادرة على قياس أبعاد الامتثال التنظيمي والتشريعي، وابتكار الخدمات المالية الرقمية، بالتوازي مع الثقافة التنظيمية داخل المصارف؛ بما يضمن الخروج بنتائج وتوصيات تطبيقية تدعم القوة التنافسية للقطاع المصرفي في مدينة الرياض.</w:t>
      </w:r>
    </w:p>
    <w:p w14:paraId="26D7ACF6" w14:textId="1DF3BD2C" w:rsidR="004C7810" w:rsidRPr="00BF5EAB" w:rsidRDefault="004C7810" w:rsidP="005501C8">
      <w:pPr>
        <w:keepNext/>
        <w:keepLines/>
        <w:spacing w:after="0" w:line="276" w:lineRule="auto"/>
        <w:jc w:val="both"/>
        <w:outlineLvl w:val="1"/>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تصحيح أداة الدّراسة</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p>
    <w:p w14:paraId="3B130FEA" w14:textId="4B3EC11A"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تم تصميم أداة الدراسة وفق مقياس ليكرت (</w:t>
      </w:r>
      <w:r w:rsidRPr="00BF5EAB">
        <w:rPr>
          <w:rFonts w:ascii="Sakkal Majalla" w:eastAsia="Calibri" w:hAnsi="Sakkal Majalla" w:cs="Sakkal Majalla"/>
          <w:color w:val="0D0D0D" w:themeColor="text1" w:themeTint="F2"/>
          <w:kern w:val="2"/>
          <w:sz w:val="32"/>
          <w:szCs w:val="32"/>
          <w14:ligatures w14:val="standardContextual"/>
        </w:rPr>
        <w:t>Likert Scale</w:t>
      </w:r>
      <w:r w:rsidRPr="00BF5EAB">
        <w:rPr>
          <w:rFonts w:ascii="Sakkal Majalla" w:eastAsia="Calibri" w:hAnsi="Sakkal Majalla" w:cs="Sakkal Majalla"/>
          <w:color w:val="0D0D0D" w:themeColor="text1" w:themeTint="F2"/>
          <w:kern w:val="2"/>
          <w:sz w:val="32"/>
          <w:szCs w:val="32"/>
          <w:rtl/>
          <w14:ligatures w14:val="standardContextual"/>
        </w:rPr>
        <w:t xml:space="preserve">) الخماسي، حيث عُرضت فقرات المقياس على عينة الدّراسة ومقابل كل فقرة خمس استجابات تحدد مستوى التقدير لها، وتُعطى </w:t>
      </w:r>
      <w:r w:rsidRPr="00BF5EAB">
        <w:rPr>
          <w:rFonts w:ascii="Sakkal Majalla" w:eastAsia="Calibri" w:hAnsi="Sakkal Majalla" w:cs="Sakkal Majalla"/>
          <w:color w:val="0D0D0D" w:themeColor="text1" w:themeTint="F2"/>
          <w:kern w:val="2"/>
          <w:sz w:val="32"/>
          <w:szCs w:val="32"/>
          <w:rtl/>
          <w14:ligatures w14:val="standardContextual"/>
        </w:rPr>
        <w:lastRenderedPageBreak/>
        <w:t>هذه الاستجابات أوزانًا رقمية تُستخدم في التعبير عن مستوى انخفاض أو ارتفاع التقدير لفقرات وبنود المقياس، والجدول رقم (3) يوضح ذلك</w:t>
      </w:r>
      <w:r w:rsidR="005B20E7" w:rsidRPr="00BF5EAB">
        <w:rPr>
          <w:rFonts w:ascii="Sakkal Majalla" w:eastAsia="Calibri" w:hAnsi="Sakkal Majalla" w:cs="Sakkal Majalla"/>
          <w:color w:val="0D0D0D" w:themeColor="text1" w:themeTint="F2"/>
          <w:kern w:val="2"/>
          <w:sz w:val="32"/>
          <w:szCs w:val="32"/>
          <w:rtl/>
          <w14:ligatures w14:val="standardContextual"/>
        </w:rPr>
        <w:t>:</w:t>
      </w:r>
    </w:p>
    <w:p w14:paraId="655666D6" w14:textId="33E48699" w:rsidR="004C7810" w:rsidRPr="00BF5EAB" w:rsidRDefault="004C7810" w:rsidP="003B07BF">
      <w:pPr>
        <w:keepNext/>
        <w:keepLines/>
        <w:spacing w:after="0" w:line="240" w:lineRule="auto"/>
        <w:jc w:val="center"/>
        <w:outlineLvl w:val="2"/>
        <w:rPr>
          <w:rFonts w:ascii="Sakkal Majalla" w:eastAsia="Times New Roman" w:hAnsi="Sakkal Majalla" w:cs="Sakkal Majalla"/>
          <w:b/>
          <w:bCs/>
          <w:color w:val="0D0D0D" w:themeColor="text1" w:themeTint="F2"/>
          <w:kern w:val="2"/>
          <w:sz w:val="28"/>
          <w:szCs w:val="28"/>
          <w:rtl/>
          <w14:ligatures w14:val="standardContextual"/>
        </w:rPr>
      </w:pPr>
      <w:r w:rsidRPr="00BF5EAB">
        <w:rPr>
          <w:rFonts w:ascii="Sakkal Majalla" w:eastAsia="Times New Roman" w:hAnsi="Sakkal Majalla" w:cs="Sakkal Majalla"/>
          <w:b/>
          <w:bCs/>
          <w:color w:val="0D0D0D" w:themeColor="text1" w:themeTint="F2"/>
          <w:kern w:val="2"/>
          <w:sz w:val="28"/>
          <w:szCs w:val="28"/>
          <w:rtl/>
          <w14:ligatures w14:val="standardContextual"/>
        </w:rPr>
        <w:t>جدول (</w:t>
      </w:r>
      <w:r w:rsidR="00C47F36" w:rsidRPr="00BF5EAB">
        <w:rPr>
          <w:rFonts w:ascii="Sakkal Majalla" w:eastAsia="Times New Roman" w:hAnsi="Sakkal Majalla" w:cs="Sakkal Majalla"/>
          <w:b/>
          <w:bCs/>
          <w:color w:val="0D0D0D" w:themeColor="text1" w:themeTint="F2"/>
          <w:kern w:val="2"/>
          <w:sz w:val="28"/>
          <w:szCs w:val="28"/>
          <w:rtl/>
          <w14:ligatures w14:val="standardContextual"/>
        </w:rPr>
        <w:t>3-6</w:t>
      </w:r>
      <w:r w:rsidRPr="00BF5EAB">
        <w:rPr>
          <w:rFonts w:ascii="Sakkal Majalla" w:eastAsia="Times New Roman" w:hAnsi="Sakkal Majalla" w:cs="Sakkal Majalla"/>
          <w:b/>
          <w:bCs/>
          <w:color w:val="0D0D0D" w:themeColor="text1" w:themeTint="F2"/>
          <w:kern w:val="2"/>
          <w:sz w:val="28"/>
          <w:szCs w:val="28"/>
          <w:rtl/>
          <w14:ligatures w14:val="standardContextual"/>
        </w:rPr>
        <w:t>) أوزان استجابات أفراد الدراسة وفق مقياس ليكرت الخماسي</w:t>
      </w:r>
    </w:p>
    <w:tbl>
      <w:tblPr>
        <w:tblStyle w:val="5"/>
        <w:bidiVisual/>
        <w:tblW w:w="5000" w:type="pct"/>
        <w:tblLook w:val="04A0" w:firstRow="1" w:lastRow="0" w:firstColumn="1" w:lastColumn="0" w:noHBand="0" w:noVBand="1"/>
      </w:tblPr>
      <w:tblGrid>
        <w:gridCol w:w="1220"/>
        <w:gridCol w:w="1643"/>
        <w:gridCol w:w="1423"/>
        <w:gridCol w:w="873"/>
        <w:gridCol w:w="1374"/>
        <w:gridCol w:w="1960"/>
      </w:tblGrid>
      <w:tr w:rsidR="00BF5EAB" w:rsidRPr="00BF5EAB" w14:paraId="2DD4E60E" w14:textId="77777777" w:rsidTr="0074601C">
        <w:trPr>
          <w:trHeight w:val="415"/>
        </w:trPr>
        <w:tc>
          <w:tcPr>
            <w:tcW w:w="718" w:type="pct"/>
          </w:tcPr>
          <w:p w14:paraId="3EB40FFC" w14:textId="77777777"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الإجابة</w:t>
            </w:r>
          </w:p>
        </w:tc>
        <w:tc>
          <w:tcPr>
            <w:tcW w:w="967" w:type="pct"/>
            <w:vAlign w:val="center"/>
          </w:tcPr>
          <w:p w14:paraId="1CD61423" w14:textId="02EB9660"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غير موافق بشدة</w:t>
            </w:r>
          </w:p>
        </w:tc>
        <w:tc>
          <w:tcPr>
            <w:tcW w:w="838" w:type="pct"/>
            <w:vAlign w:val="center"/>
          </w:tcPr>
          <w:p w14:paraId="5BCF312B" w14:textId="1C480E3C"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غير موافق</w:t>
            </w:r>
          </w:p>
        </w:tc>
        <w:tc>
          <w:tcPr>
            <w:tcW w:w="514" w:type="pct"/>
            <w:vAlign w:val="center"/>
          </w:tcPr>
          <w:p w14:paraId="369E3023" w14:textId="0404F026"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محايد</w:t>
            </w:r>
          </w:p>
        </w:tc>
        <w:tc>
          <w:tcPr>
            <w:tcW w:w="809" w:type="pct"/>
            <w:vAlign w:val="center"/>
          </w:tcPr>
          <w:p w14:paraId="6DA98FAB" w14:textId="0733EF96"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موافق</w:t>
            </w:r>
          </w:p>
        </w:tc>
        <w:tc>
          <w:tcPr>
            <w:tcW w:w="1154" w:type="pct"/>
            <w:vAlign w:val="center"/>
          </w:tcPr>
          <w:p w14:paraId="1CF994F9" w14:textId="7D5FF89A"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موافق بشدة</w:t>
            </w:r>
          </w:p>
        </w:tc>
      </w:tr>
      <w:tr w:rsidR="00BF5EAB" w:rsidRPr="00BF5EAB" w14:paraId="6334E019" w14:textId="77777777" w:rsidTr="0074601C">
        <w:trPr>
          <w:trHeight w:val="10"/>
        </w:trPr>
        <w:tc>
          <w:tcPr>
            <w:tcW w:w="718" w:type="pct"/>
          </w:tcPr>
          <w:p w14:paraId="5B8A7981" w14:textId="77777777"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الدرجة</w:t>
            </w:r>
          </w:p>
        </w:tc>
        <w:tc>
          <w:tcPr>
            <w:tcW w:w="967" w:type="pct"/>
          </w:tcPr>
          <w:p w14:paraId="6A644292" w14:textId="58971F24"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14:ligatures w14:val="standardContextual"/>
              </w:rPr>
              <w:t>1</w:t>
            </w:r>
          </w:p>
        </w:tc>
        <w:tc>
          <w:tcPr>
            <w:tcW w:w="838" w:type="pct"/>
          </w:tcPr>
          <w:p w14:paraId="235ACCC8" w14:textId="4C0D4FA2" w:rsidR="004C7810" w:rsidRPr="00BF5EAB" w:rsidRDefault="00DC34F7" w:rsidP="003B07BF">
            <w:pPr>
              <w:jc w:val="center"/>
              <w:rPr>
                <w:rFonts w:ascii="Sakkal Majalla" w:eastAsia="Calibri" w:hAnsi="Sakkal Majalla" w:cs="Sakkal Majalla"/>
                <w:b/>
                <w:bCs/>
                <w:color w:val="0D0D0D" w:themeColor="text1" w:themeTint="F2"/>
                <w:kern w:val="2"/>
                <w:sz w:val="28"/>
                <w:szCs w:val="28"/>
                <w:lang w:bidi="ar-EG"/>
                <w14:ligatures w14:val="standardContextual"/>
              </w:rPr>
            </w:pPr>
            <w:r w:rsidRPr="00BF5EAB">
              <w:rPr>
                <w:rFonts w:ascii="Sakkal Majalla" w:eastAsia="Calibri" w:hAnsi="Sakkal Majalla" w:cs="Sakkal Majalla"/>
                <w:b/>
                <w:bCs/>
                <w:color w:val="0D0D0D" w:themeColor="text1" w:themeTint="F2"/>
                <w:kern w:val="2"/>
                <w:sz w:val="28"/>
                <w:szCs w:val="28"/>
                <w:rtl/>
                <w:lang w:bidi="ar-EG"/>
                <w14:ligatures w14:val="standardContextual"/>
              </w:rPr>
              <w:t>2</w:t>
            </w:r>
          </w:p>
        </w:tc>
        <w:tc>
          <w:tcPr>
            <w:tcW w:w="514" w:type="pct"/>
          </w:tcPr>
          <w:p w14:paraId="6D6EE427" w14:textId="35B4CF7F"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3</w:t>
            </w:r>
          </w:p>
        </w:tc>
        <w:tc>
          <w:tcPr>
            <w:tcW w:w="809" w:type="pct"/>
          </w:tcPr>
          <w:p w14:paraId="5233A1A8" w14:textId="74890636"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4</w:t>
            </w:r>
          </w:p>
        </w:tc>
        <w:tc>
          <w:tcPr>
            <w:tcW w:w="1154" w:type="pct"/>
          </w:tcPr>
          <w:p w14:paraId="21CD7CAE" w14:textId="47C045F8"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5</w:t>
            </w:r>
          </w:p>
        </w:tc>
      </w:tr>
    </w:tbl>
    <w:p w14:paraId="7E860475" w14:textId="577A0976"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وللحكم على المتوسطات الحسابية لتقديرات أفراد العينة، تم استخراج طول الفئة (0.80) من خلال قسمة المدى على عدد المستويات (4 / </w:t>
      </w:r>
      <w:r w:rsidRPr="00BF5EAB">
        <w:rPr>
          <w:rFonts w:ascii="Sakkal Majalla" w:eastAsia="Calibri" w:hAnsi="Sakkal Majalla" w:cs="Sakkal Majalla"/>
          <w:color w:val="0D0D0D" w:themeColor="text1" w:themeTint="F2"/>
          <w:kern w:val="2"/>
          <w:sz w:val="32"/>
          <w:szCs w:val="32"/>
          <w14:ligatures w14:val="standardContextual"/>
        </w:rPr>
        <w:t>5</w:t>
      </w:r>
      <w:r w:rsidRPr="00BF5EAB">
        <w:rPr>
          <w:rFonts w:ascii="Sakkal Majalla" w:eastAsia="Calibri" w:hAnsi="Sakkal Majalla" w:cs="Sakkal Majalla"/>
          <w:color w:val="0D0D0D" w:themeColor="text1" w:themeTint="F2"/>
          <w:kern w:val="2"/>
          <w:sz w:val="32"/>
          <w:szCs w:val="32"/>
          <w:rtl/>
          <w14:ligatures w14:val="standardContextual"/>
        </w:rPr>
        <w:t>)، وبناءً عليه تم تحديد المحك الإحصائي لتفسير النتائج وفق الجدول رقم (2) التالي</w:t>
      </w:r>
      <w:r w:rsidR="005B20E7" w:rsidRPr="00BF5EAB">
        <w:rPr>
          <w:rFonts w:ascii="Sakkal Majalla" w:eastAsia="Calibri" w:hAnsi="Sakkal Majalla" w:cs="Sakkal Majalla"/>
          <w:color w:val="0D0D0D" w:themeColor="text1" w:themeTint="F2"/>
          <w:kern w:val="2"/>
          <w:sz w:val="32"/>
          <w:szCs w:val="32"/>
          <w:rtl/>
          <w14:ligatures w14:val="standardContextual"/>
        </w:rPr>
        <w:t>:</w:t>
      </w:r>
    </w:p>
    <w:p w14:paraId="7665F37D" w14:textId="1F93DB65" w:rsidR="004C7810" w:rsidRPr="00BF5EAB" w:rsidRDefault="004C7810" w:rsidP="003B07BF">
      <w:pPr>
        <w:keepNext/>
        <w:keepLines/>
        <w:spacing w:after="0" w:line="240" w:lineRule="auto"/>
        <w:jc w:val="center"/>
        <w:outlineLvl w:val="2"/>
        <w:rPr>
          <w:rFonts w:ascii="Sakkal Majalla" w:eastAsia="Times New Roman" w:hAnsi="Sakkal Majalla" w:cs="Sakkal Majalla"/>
          <w:b/>
          <w:bCs/>
          <w:color w:val="0D0D0D" w:themeColor="text1" w:themeTint="F2"/>
          <w:kern w:val="2"/>
          <w:sz w:val="28"/>
          <w:szCs w:val="28"/>
          <w:rtl/>
          <w14:ligatures w14:val="standardContextual"/>
        </w:rPr>
      </w:pPr>
      <w:r w:rsidRPr="00BF5EAB">
        <w:rPr>
          <w:rFonts w:ascii="Sakkal Majalla" w:eastAsia="Times New Roman" w:hAnsi="Sakkal Majalla" w:cs="Sakkal Majalla"/>
          <w:b/>
          <w:bCs/>
          <w:color w:val="0D0D0D" w:themeColor="text1" w:themeTint="F2"/>
          <w:kern w:val="2"/>
          <w:sz w:val="28"/>
          <w:szCs w:val="28"/>
          <w:rtl/>
          <w14:ligatures w14:val="standardContextual"/>
        </w:rPr>
        <w:t>جدول (</w:t>
      </w:r>
      <w:r w:rsidR="00C47F36" w:rsidRPr="00BF5EAB">
        <w:rPr>
          <w:rFonts w:ascii="Sakkal Majalla" w:eastAsia="Times New Roman" w:hAnsi="Sakkal Majalla" w:cs="Sakkal Majalla"/>
          <w:b/>
          <w:bCs/>
          <w:color w:val="0D0D0D" w:themeColor="text1" w:themeTint="F2"/>
          <w:kern w:val="2"/>
          <w:sz w:val="28"/>
          <w:szCs w:val="28"/>
          <w:rtl/>
          <w14:ligatures w14:val="standardContextual"/>
        </w:rPr>
        <w:t>3-7</w:t>
      </w:r>
      <w:r w:rsidRPr="00BF5EAB">
        <w:rPr>
          <w:rFonts w:ascii="Sakkal Majalla" w:eastAsia="Times New Roman" w:hAnsi="Sakkal Majalla" w:cs="Sakkal Majalla"/>
          <w:b/>
          <w:bCs/>
          <w:color w:val="0D0D0D" w:themeColor="text1" w:themeTint="F2"/>
          <w:kern w:val="2"/>
          <w:sz w:val="28"/>
          <w:szCs w:val="28"/>
          <w:rtl/>
          <w14:ligatures w14:val="standardContextual"/>
        </w:rPr>
        <w:t>) مستويات التقدير لفقرات ومحاور الدّراسة وفق المتوسطات الحسابية</w:t>
      </w:r>
    </w:p>
    <w:tbl>
      <w:tblPr>
        <w:tblStyle w:val="5"/>
        <w:bidiVisual/>
        <w:tblW w:w="5000" w:type="pct"/>
        <w:tblLook w:val="04A0" w:firstRow="1" w:lastRow="0" w:firstColumn="1" w:lastColumn="0" w:noHBand="0" w:noVBand="1"/>
      </w:tblPr>
      <w:tblGrid>
        <w:gridCol w:w="4092"/>
        <w:gridCol w:w="2200"/>
        <w:gridCol w:w="2201"/>
      </w:tblGrid>
      <w:tr w:rsidR="00BF5EAB" w:rsidRPr="00BF5EAB" w14:paraId="031FEA12" w14:textId="77777777" w:rsidTr="000C2795">
        <w:trPr>
          <w:trHeight w:val="271"/>
          <w:tblHeader/>
        </w:trPr>
        <w:tc>
          <w:tcPr>
            <w:tcW w:w="2409" w:type="pct"/>
            <w:vMerge w:val="restart"/>
            <w:vAlign w:val="center"/>
          </w:tcPr>
          <w:p w14:paraId="403AED55"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rPr>
              <w:t>مستوى الموافقة</w:t>
            </w:r>
          </w:p>
        </w:tc>
        <w:tc>
          <w:tcPr>
            <w:tcW w:w="2591" w:type="pct"/>
            <w:gridSpan w:val="2"/>
            <w:vAlign w:val="center"/>
          </w:tcPr>
          <w:p w14:paraId="2FAFB783"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rPr>
              <w:t>حدود الفئة</w:t>
            </w:r>
          </w:p>
        </w:tc>
      </w:tr>
      <w:tr w:rsidR="00BF5EAB" w:rsidRPr="00BF5EAB" w14:paraId="1C17890C" w14:textId="77777777" w:rsidTr="004C7810">
        <w:trPr>
          <w:trHeight w:val="402"/>
        </w:trPr>
        <w:tc>
          <w:tcPr>
            <w:tcW w:w="2409" w:type="pct"/>
            <w:vMerge/>
            <w:vAlign w:val="center"/>
          </w:tcPr>
          <w:p w14:paraId="7A6360F8"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p>
        </w:tc>
        <w:tc>
          <w:tcPr>
            <w:tcW w:w="1295" w:type="pct"/>
            <w:vAlign w:val="center"/>
          </w:tcPr>
          <w:p w14:paraId="518BFF48" w14:textId="77777777" w:rsidR="004C7810" w:rsidRPr="00BF5EAB" w:rsidRDefault="004C7810" w:rsidP="003B07BF">
            <w:pPr>
              <w:jc w:val="center"/>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Cs/>
                <w:color w:val="0D0D0D" w:themeColor="text1" w:themeTint="F2"/>
                <w:sz w:val="28"/>
                <w:szCs w:val="28"/>
                <w:rtl/>
              </w:rPr>
              <w:t>من</w:t>
            </w:r>
          </w:p>
        </w:tc>
        <w:tc>
          <w:tcPr>
            <w:tcW w:w="1295" w:type="pct"/>
            <w:vAlign w:val="center"/>
          </w:tcPr>
          <w:p w14:paraId="02CD6139" w14:textId="77777777" w:rsidR="004C7810" w:rsidRPr="00BF5EAB" w:rsidRDefault="004C7810" w:rsidP="003B07BF">
            <w:pPr>
              <w:jc w:val="center"/>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Cs/>
                <w:color w:val="0D0D0D" w:themeColor="text1" w:themeTint="F2"/>
                <w:sz w:val="28"/>
                <w:szCs w:val="28"/>
                <w:rtl/>
              </w:rPr>
              <w:t>إلى</w:t>
            </w:r>
          </w:p>
        </w:tc>
      </w:tr>
      <w:tr w:rsidR="00BF5EAB" w:rsidRPr="00BF5EAB" w14:paraId="701C68C4" w14:textId="77777777" w:rsidTr="004C7810">
        <w:tc>
          <w:tcPr>
            <w:tcW w:w="2409" w:type="pct"/>
            <w:vAlign w:val="center"/>
          </w:tcPr>
          <w:p w14:paraId="4DF153D3" w14:textId="1C2CA0BE" w:rsidR="004C7810" w:rsidRPr="00BF5EAB" w:rsidRDefault="004C7810" w:rsidP="003B07BF">
            <w:pPr>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غير موافق بشدة</w:t>
            </w:r>
          </w:p>
        </w:tc>
        <w:tc>
          <w:tcPr>
            <w:tcW w:w="1295" w:type="pct"/>
            <w:vAlign w:val="center"/>
          </w:tcPr>
          <w:p w14:paraId="3E29948D"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1.00</w:t>
            </w:r>
          </w:p>
        </w:tc>
        <w:tc>
          <w:tcPr>
            <w:tcW w:w="1295" w:type="pct"/>
            <w:vAlign w:val="center"/>
          </w:tcPr>
          <w:p w14:paraId="5C34C953"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1.79</w:t>
            </w:r>
          </w:p>
        </w:tc>
      </w:tr>
      <w:tr w:rsidR="00BF5EAB" w:rsidRPr="00BF5EAB" w14:paraId="221A6500" w14:textId="77777777" w:rsidTr="004C7810">
        <w:tc>
          <w:tcPr>
            <w:tcW w:w="2409" w:type="pct"/>
            <w:vAlign w:val="center"/>
          </w:tcPr>
          <w:p w14:paraId="0CEC0B76" w14:textId="19C86F50"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lang w:bidi="ar-EG"/>
              </w:rPr>
              <w:t>غير موافق</w:t>
            </w:r>
          </w:p>
        </w:tc>
        <w:tc>
          <w:tcPr>
            <w:tcW w:w="1295" w:type="pct"/>
            <w:vAlign w:val="center"/>
          </w:tcPr>
          <w:p w14:paraId="568062B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1.80</w:t>
            </w:r>
          </w:p>
        </w:tc>
        <w:tc>
          <w:tcPr>
            <w:tcW w:w="1295" w:type="pct"/>
            <w:vAlign w:val="center"/>
          </w:tcPr>
          <w:p w14:paraId="1656FC5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2.59</w:t>
            </w:r>
          </w:p>
        </w:tc>
      </w:tr>
      <w:tr w:rsidR="00BF5EAB" w:rsidRPr="00BF5EAB" w14:paraId="47A18C9F" w14:textId="77777777" w:rsidTr="004C7810">
        <w:tc>
          <w:tcPr>
            <w:tcW w:w="2409" w:type="pct"/>
            <w:vAlign w:val="center"/>
          </w:tcPr>
          <w:p w14:paraId="69A185F7" w14:textId="39631320"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lang w:bidi="ar-EG"/>
              </w:rPr>
              <w:t>محايد</w:t>
            </w:r>
          </w:p>
        </w:tc>
        <w:tc>
          <w:tcPr>
            <w:tcW w:w="1295" w:type="pct"/>
            <w:vAlign w:val="center"/>
          </w:tcPr>
          <w:p w14:paraId="749D542E"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2.60</w:t>
            </w:r>
          </w:p>
        </w:tc>
        <w:tc>
          <w:tcPr>
            <w:tcW w:w="1295" w:type="pct"/>
            <w:vAlign w:val="center"/>
          </w:tcPr>
          <w:p w14:paraId="52B367CA"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3.39</w:t>
            </w:r>
          </w:p>
        </w:tc>
      </w:tr>
      <w:tr w:rsidR="00BF5EAB" w:rsidRPr="00BF5EAB" w14:paraId="298E020B" w14:textId="77777777" w:rsidTr="004C7810">
        <w:tc>
          <w:tcPr>
            <w:tcW w:w="2409" w:type="pct"/>
            <w:vAlign w:val="center"/>
          </w:tcPr>
          <w:p w14:paraId="1B9C7A3E" w14:textId="5073F11E" w:rsidR="004C7810" w:rsidRPr="00BF5EAB" w:rsidRDefault="004C7810" w:rsidP="003B07BF">
            <w:pPr>
              <w:jc w:val="center"/>
              <w:rPr>
                <w:rFonts w:ascii="Sakkal Majalla" w:eastAsia="Calibri" w:hAnsi="Sakkal Majalla" w:cs="Sakkal Majalla"/>
                <w:b/>
                <w:bCs/>
                <w:color w:val="0D0D0D" w:themeColor="text1" w:themeTint="F2"/>
                <w:sz w:val="28"/>
                <w:szCs w:val="28"/>
              </w:rPr>
            </w:pPr>
            <w:r w:rsidRPr="00BF5EAB">
              <w:rPr>
                <w:rFonts w:ascii="Sakkal Majalla" w:eastAsia="Calibri" w:hAnsi="Sakkal Majalla" w:cs="Sakkal Majalla"/>
                <w:b/>
                <w:bCs/>
                <w:color w:val="0D0D0D" w:themeColor="text1" w:themeTint="F2"/>
                <w:sz w:val="28"/>
                <w:szCs w:val="28"/>
                <w:rtl/>
                <w:lang w:bidi="ar-EG"/>
              </w:rPr>
              <w:t>موافق</w:t>
            </w:r>
          </w:p>
        </w:tc>
        <w:tc>
          <w:tcPr>
            <w:tcW w:w="1295" w:type="pct"/>
            <w:vAlign w:val="center"/>
          </w:tcPr>
          <w:p w14:paraId="5D0A652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3.40</w:t>
            </w:r>
          </w:p>
        </w:tc>
        <w:tc>
          <w:tcPr>
            <w:tcW w:w="1295" w:type="pct"/>
            <w:vAlign w:val="center"/>
          </w:tcPr>
          <w:p w14:paraId="72D67D33"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4.19</w:t>
            </w:r>
          </w:p>
        </w:tc>
      </w:tr>
      <w:tr w:rsidR="00BF5EAB" w:rsidRPr="00BF5EAB" w14:paraId="4AFCD401" w14:textId="77777777" w:rsidTr="004C7810">
        <w:tc>
          <w:tcPr>
            <w:tcW w:w="2409" w:type="pct"/>
            <w:vAlign w:val="center"/>
          </w:tcPr>
          <w:p w14:paraId="47F124DB" w14:textId="28E17BE8" w:rsidR="004C7810" w:rsidRPr="00BF5EAB" w:rsidRDefault="004C7810" w:rsidP="003B07BF">
            <w:pPr>
              <w:jc w:val="center"/>
              <w:rPr>
                <w:rFonts w:ascii="Sakkal Majalla" w:eastAsia="Calibri" w:hAnsi="Sakkal Majalla" w:cs="Sakkal Majalla"/>
                <w:b/>
                <w:bCs/>
                <w:color w:val="0D0D0D" w:themeColor="text1" w:themeTint="F2"/>
                <w:sz w:val="28"/>
                <w:szCs w:val="28"/>
              </w:rPr>
            </w:pPr>
            <w:r w:rsidRPr="00BF5EAB">
              <w:rPr>
                <w:rFonts w:ascii="Sakkal Majalla" w:eastAsia="Calibri" w:hAnsi="Sakkal Majalla" w:cs="Sakkal Majalla"/>
                <w:b/>
                <w:bCs/>
                <w:color w:val="0D0D0D" w:themeColor="text1" w:themeTint="F2"/>
                <w:sz w:val="28"/>
                <w:szCs w:val="28"/>
                <w:rtl/>
                <w:lang w:bidi="ar-EG"/>
              </w:rPr>
              <w:t>موافق بشدة</w:t>
            </w:r>
          </w:p>
        </w:tc>
        <w:tc>
          <w:tcPr>
            <w:tcW w:w="1295" w:type="pct"/>
            <w:vAlign w:val="center"/>
          </w:tcPr>
          <w:p w14:paraId="091FBCA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4.20</w:t>
            </w:r>
          </w:p>
        </w:tc>
        <w:tc>
          <w:tcPr>
            <w:tcW w:w="1295" w:type="pct"/>
            <w:vAlign w:val="center"/>
          </w:tcPr>
          <w:p w14:paraId="21942284"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5.00</w:t>
            </w:r>
          </w:p>
        </w:tc>
      </w:tr>
    </w:tbl>
    <w:p w14:paraId="6A24E0D8" w14:textId="64B6323E" w:rsidR="00F0088E"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وبناءً عليه، تُصنف المتوسطات الحسابية إلى خمسة مستويات تبدأ بـ "غير موافق بشدة" للمتوسطات الأقل من (1.81)، وتتدرج صعوداً لتصل إلى "موافق بشدة" للمتوسطات من (4.21) فأكثر. وقد اعتُمد هذا المعيار كإطار مرجعي لتفسير استجابات أفراد الدراسة وتحديد مستويات توافر أبعاد الميزة التنافسية ومتطلباتها وتحدياتها.</w:t>
      </w:r>
    </w:p>
    <w:p w14:paraId="7095A48C" w14:textId="77777777" w:rsidR="004C7810" w:rsidRPr="00BF5EAB" w:rsidRDefault="004C7810"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صدق أداة الدّراسة (الاستبانة)</w:t>
      </w:r>
    </w:p>
    <w:p w14:paraId="37D674B0" w14:textId="13AF8115"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يُعد صدق الأداة مؤشراً جوهرياً على قدرتها الإجرائية في قياس المتغيرات التي صُممت لأجلها، وضمان شموليتها لكافة الأبعاد المفاهيمية لمتغيرات الدراسة الحالية. ولتحقيق أقصى درجات الضبط المنهجي، اعتمدت الباحثة على مؤشرين للصدق</w:t>
      </w:r>
      <w:r w:rsidR="005B20E7" w:rsidRPr="00BF5EAB">
        <w:rPr>
          <w:rFonts w:ascii="Sakkal Majalla" w:eastAsia="Calibri" w:hAnsi="Sakkal Majalla" w:cs="Sakkal Majalla"/>
          <w:color w:val="0D0D0D" w:themeColor="text1" w:themeTint="F2"/>
          <w:kern w:val="2"/>
          <w:sz w:val="32"/>
          <w:szCs w:val="32"/>
          <w:rtl/>
          <w14:ligatures w14:val="standardContextual"/>
        </w:rPr>
        <w:t>:</w:t>
      </w:r>
    </w:p>
    <w:p w14:paraId="010AF6CC" w14:textId="111A6F96" w:rsidR="004C7810" w:rsidRPr="00BF5EAB" w:rsidRDefault="004C7810"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1. صدق المحكِّمين (الصدق الظاهري)</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p>
    <w:p w14:paraId="1CAAA96F" w14:textId="440BD5A4"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تم عرض الاستبانة في صورتها الأولية على نخبة من المحكمين والخبراء الأكاديميين والمتخصصين في مجالات (إدارة الأعمال، الإدارة الاستراتيجية، نظم المعلومات الإدارية، والقياس والتقويم)؛ لتقييم مدى دقة العبارات، وسلامتها اللغوية، وانتمائها للأبعاد المحددة.</w:t>
      </w:r>
      <w:r w:rsidR="0019391D" w:rsidRPr="00BF5EAB">
        <w:rPr>
          <w:rFonts w:ascii="Sakkal Majalla" w:hAnsi="Sakkal Majalla" w:cs="Sakkal Majalla"/>
          <w:color w:val="0D0D0D" w:themeColor="text1" w:themeTint="F2"/>
          <w:sz w:val="32"/>
          <w:szCs w:val="32"/>
          <w:rtl/>
        </w:rPr>
        <w:t xml:space="preserve"> </w:t>
      </w:r>
      <w:r w:rsidR="0019391D" w:rsidRPr="00BF5EAB">
        <w:rPr>
          <w:rFonts w:ascii="Sakkal Majalla" w:eastAsia="Calibri" w:hAnsi="Sakkal Majalla" w:cs="Sakkal Majalla"/>
          <w:color w:val="0D0D0D" w:themeColor="text1" w:themeTint="F2"/>
          <w:kern w:val="2"/>
          <w:sz w:val="32"/>
          <w:szCs w:val="32"/>
          <w:rtl/>
          <w14:ligatures w14:val="standardContextual"/>
        </w:rPr>
        <w:t xml:space="preserve">وبلغ عددهم (10) محكمين. وقد تضمنت عملية التحكيم معايير دقيقة لتقييم الفقرات، تمثلت في مدى دقة العبارات وسلامتها </w:t>
      </w:r>
      <w:r w:rsidR="0019391D" w:rsidRPr="00BF5EAB">
        <w:rPr>
          <w:rFonts w:ascii="Sakkal Majalla" w:eastAsia="Calibri" w:hAnsi="Sakkal Majalla" w:cs="Sakkal Majalla"/>
          <w:color w:val="0D0D0D" w:themeColor="text1" w:themeTint="F2"/>
          <w:kern w:val="2"/>
          <w:sz w:val="32"/>
          <w:szCs w:val="32"/>
          <w:rtl/>
          <w14:ligatures w14:val="standardContextual"/>
        </w:rPr>
        <w:lastRenderedPageBreak/>
        <w:t>اللغوية، وانتمائها للأبعاد المحددة، وخلوها من أي تداخل مفاهيمي، مما يضمن أن الأداة تقيس بدقة ما وُضعت لقياسه.</w:t>
      </w:r>
      <w:r w:rsidR="0019391D" w:rsidRPr="00BF5EAB">
        <w:rPr>
          <w:rFonts w:ascii="Sakkal Majalla" w:hAnsi="Sakkal Majalla" w:cs="Sakkal Majalla"/>
          <w:color w:val="0D0D0D" w:themeColor="text1" w:themeTint="F2"/>
          <w:sz w:val="32"/>
          <w:szCs w:val="32"/>
          <w:rtl/>
        </w:rPr>
        <w:t xml:space="preserve"> </w:t>
      </w:r>
      <w:r w:rsidR="0019391D" w:rsidRPr="00BF5EAB">
        <w:rPr>
          <w:rFonts w:ascii="Sakkal Majalla" w:eastAsia="Calibri" w:hAnsi="Sakkal Majalla" w:cs="Sakkal Majalla"/>
          <w:color w:val="0D0D0D" w:themeColor="text1" w:themeTint="F2"/>
          <w:kern w:val="2"/>
          <w:sz w:val="32"/>
          <w:szCs w:val="32"/>
          <w:rtl/>
          <w14:ligatures w14:val="standardContextual"/>
        </w:rPr>
        <w:t xml:space="preserve">اعتمدت الباحثة معيار نسبة اتفاق (80%) فأكثر من آراء المحكمين كشرط أساسي لإبقاء الفقرة أو تعديلها. </w:t>
      </w:r>
    </w:p>
    <w:p w14:paraId="520E6B25" w14:textId="77777777" w:rsidR="008F0001"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وفي ضوء الملاحظات والآراء الواردة من السادة المحكمين، أجرت الباحثة تعديلات دقيقة شملت إعادة صياغة بعض الفقرات وحذف الفقرات المتكررة لضمان اتساقها مع واقع القطاع المصرفي السعودي،</w:t>
      </w:r>
      <w:r w:rsidR="008F0001" w:rsidRPr="00BF5EAB">
        <w:rPr>
          <w:rFonts w:ascii="Sakkal Majalla" w:eastAsia="Calibri" w:hAnsi="Sakkal Majalla" w:cs="Sakkal Majalla"/>
          <w:color w:val="0D0D0D" w:themeColor="text1" w:themeTint="F2"/>
          <w:kern w:val="2"/>
          <w:sz w:val="32"/>
          <w:szCs w:val="32"/>
          <w:rtl/>
          <w14:ligatures w14:val="standardContextual"/>
        </w:rPr>
        <w:t xml:space="preserve"> واستجابةً للتوجيهات المنهجية الرصينة لسعادة المحكمين، أُعيدت تسمية المتغير المستقل ليكون (قبول واستخدام أنظمة ذكاء الأعمال) بدلاً من المسمى العام الفضفاض؛ وذلك لضمان المواءمة النظرية الدقيقة مع الأدبيات المستندة إلى نموذج قبول التكنولوجيا. وفي ضوء ذلك، تم رصد وضبط البعد الثالث الخاص بـ (نية الاستخدام) عبر إعادة صياغة عباراته وتوجيهها بشكل مباشر نحو قياس مستويات الالتزام السلوكي الفعلي والاعتماد المستقبلي المستمر للقيادات المصرفية على المخرجات الرقمية للأنظمة، مع تحييد العبارات العامة القائمة على مجرد الرغبة الشخصية أو التوصية للزملاء، تلافياً للتكرار ولضمان الصدق الظاهري لأبعاد المتغير.</w:t>
      </w:r>
    </w:p>
    <w:p w14:paraId="3A5DC012" w14:textId="4292DAEC" w:rsidR="008F0001" w:rsidRPr="00BF5EAB" w:rsidRDefault="008F0001"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وتجسيداً للضبط السيكومتري للأداة ومنعاً للتداخل المفهومي بين متغيرات الدراسة، عُدّلت أبعاد العبارات الخاصة بالمتغير الوسيط (جودة القرارات الاستراتيجية) بالكامل؛ حيث حُيِّدت وحُذِفت كل الإشارات المباشرة أو الضمنية لـ (أنظمة وتقارير ذكاء الأعمال) داخل فقرات هذا المتغير، وتحويلها إلى أبعاد إدارية ومصرفية محايدة تقيس جودة، وموضوعية، وحصافة العملية القرارية بذاتها، مثل</w:t>
      </w:r>
      <w:r w:rsidR="005B20E7" w:rsidRPr="00BF5EAB">
        <w:rPr>
          <w:rFonts w:ascii="Sakkal Majalla" w:eastAsia="Calibri" w:hAnsi="Sakkal Majalla" w:cs="Sakkal Majalla"/>
          <w:color w:val="0D0D0D" w:themeColor="text1" w:themeTint="F2"/>
          <w:kern w:val="2"/>
          <w:sz w:val="32"/>
          <w:szCs w:val="32"/>
          <w:rtl/>
          <w14:ligatures w14:val="standardContextual"/>
        </w:rPr>
        <w:t>:</w:t>
      </w:r>
      <w:r w:rsidRPr="00BF5EAB">
        <w:rPr>
          <w:rFonts w:ascii="Sakkal Majalla" w:eastAsia="Calibri" w:hAnsi="Sakkal Majalla" w:cs="Sakkal Majalla"/>
          <w:color w:val="0D0D0D" w:themeColor="text1" w:themeTint="F2"/>
          <w:kern w:val="2"/>
          <w:sz w:val="32"/>
          <w:szCs w:val="32"/>
          <w:rtl/>
          <w14:ligatures w14:val="standardContextual"/>
        </w:rPr>
        <w:t xml:space="preserve"> (جودة وموثوقية المعلومات، والتحليل العلمي للبدائل، والقدرات التفسيرية للقيادة، وكفاءة التوقيت الزمني للمخرجات). وقد حقق هذا الإجراء المنهجي الصدق التمايزي التام بين المتغيرين المستقل والوسيط، مما يضمن دقة الفحص الإحصائي اللاحق للعلاقات والرواب</w:t>
      </w:r>
      <w:r w:rsidR="000C2795" w:rsidRPr="00BF5EAB">
        <w:rPr>
          <w:rFonts w:ascii="Sakkal Majalla" w:eastAsia="Calibri" w:hAnsi="Sakkal Majalla" w:cs="Sakkal Majalla"/>
          <w:color w:val="0D0D0D" w:themeColor="text1" w:themeTint="F2"/>
          <w:kern w:val="2"/>
          <w:sz w:val="32"/>
          <w:szCs w:val="32"/>
          <w:rtl/>
          <w14:ligatures w14:val="standardContextual"/>
        </w:rPr>
        <w:t>ط التنبؤية في النموذج.</w:t>
      </w:r>
    </w:p>
    <w:p w14:paraId="14EB4989" w14:textId="0A0F88E9" w:rsidR="004C7810" w:rsidRPr="00BF5EAB" w:rsidRDefault="008F0001"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وفيما يتعلق بالمتغير التابع (الابتكار التنظيمي)، نُقِّي المقياس من خلال حذف الفقرات المكررة أو المتداخلة في أبعاده الثلاثة لرفع صدق المحتوى، مع توحيد المصطلحات الإجرائية باعتماد مصطلح (أنظمة ذكاء الأعمال) في كامل مستند الأداة من أجل الوحدة الدلالية للمستجيبين. وتكاملاً مع التحسين الإداري والتنظيمي للنسخة الموجهة للميدان، عُزِّز الشق الديموغرافي بإضافة أسئلة فلترة وضبط دقيقة، مثل</w:t>
      </w:r>
      <w:r w:rsidR="005B20E7" w:rsidRPr="00BF5EAB">
        <w:rPr>
          <w:rFonts w:ascii="Sakkal Majalla" w:eastAsia="Calibri" w:hAnsi="Sakkal Majalla" w:cs="Sakkal Majalla"/>
          <w:color w:val="0D0D0D" w:themeColor="text1" w:themeTint="F2"/>
          <w:kern w:val="2"/>
          <w:sz w:val="32"/>
          <w:szCs w:val="32"/>
          <w:rtl/>
          <w14:ligatures w14:val="standardContextual"/>
        </w:rPr>
        <w:t>:</w:t>
      </w:r>
      <w:r w:rsidRPr="00BF5EAB">
        <w:rPr>
          <w:rFonts w:ascii="Sakkal Majalla" w:eastAsia="Calibri" w:hAnsi="Sakkal Majalla" w:cs="Sakkal Majalla"/>
          <w:color w:val="0D0D0D" w:themeColor="text1" w:themeTint="F2"/>
          <w:kern w:val="2"/>
          <w:sz w:val="32"/>
          <w:szCs w:val="32"/>
          <w:rtl/>
          <w14:ligatures w14:val="standardContextual"/>
        </w:rPr>
        <w:t xml:space="preserve"> نوع الإدارة، طبيعة الدور في صنع القرار، ومدى تكرار التعامل مع لوحات البيانات)، بالتوازي مع إدراج جدول توضيحي مستقل وواضح لمقياس ليكرت الخماسي الإيجابي وتثبيت محكه الإحصائي للفئات، مما يجعل الاستبانة في صورتها الحالية على أعلى درجة من </w:t>
      </w:r>
      <w:r w:rsidRPr="00BF5EAB">
        <w:rPr>
          <w:rFonts w:ascii="Sakkal Majalla" w:eastAsia="Calibri" w:hAnsi="Sakkal Majalla" w:cs="Sakkal Majalla"/>
          <w:color w:val="0D0D0D" w:themeColor="text1" w:themeTint="F2"/>
          <w:kern w:val="2"/>
          <w:sz w:val="32"/>
          <w:szCs w:val="32"/>
          <w:rtl/>
          <w14:ligatures w14:val="standardContextual"/>
        </w:rPr>
        <w:lastRenderedPageBreak/>
        <w:t xml:space="preserve">الجاهزية المنهجية والإخراج الفني لعرضها على السادة المحكمين الخارجيين. ولقد </w:t>
      </w:r>
      <w:r w:rsidR="004C7810" w:rsidRPr="00BF5EAB">
        <w:rPr>
          <w:rFonts w:ascii="Sakkal Majalla" w:eastAsia="Calibri" w:hAnsi="Sakkal Majalla" w:cs="Sakkal Majalla"/>
          <w:color w:val="0D0D0D" w:themeColor="text1" w:themeTint="F2"/>
          <w:kern w:val="2"/>
          <w:sz w:val="32"/>
          <w:szCs w:val="32"/>
          <w:rtl/>
          <w14:ligatures w14:val="standardContextual"/>
        </w:rPr>
        <w:t>استقرت الأداة في صورتها النهائية والبالغ عددها (53) عبارة، اتسمت بالوضوح اللغوي والقدرة على رصد المتغيرات بدقة.</w:t>
      </w:r>
    </w:p>
    <w:p w14:paraId="110404ED" w14:textId="6CCFA829" w:rsidR="001635E0" w:rsidRPr="00BF5EAB" w:rsidRDefault="001635E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استجابةً لتوجيهات المحكمين، استقرت الأداة في صورتها النهائية على (53) عبارة تتسم بالوضوح اللغوي والقدرة التفسيرية العالية. ويؤكد هذا الإجراء المنهجي أن الأداة قد بلغت أعلى درجات الصدق الظاهري (</w:t>
      </w:r>
      <w:r w:rsidRPr="00BF5EAB">
        <w:rPr>
          <w:rFonts w:ascii="Sakkal Majalla" w:eastAsia="Calibri" w:hAnsi="Sakkal Majalla" w:cs="Sakkal Majalla"/>
          <w:color w:val="0D0D0D" w:themeColor="text1" w:themeTint="F2"/>
          <w:kern w:val="2"/>
          <w:sz w:val="32"/>
          <w:szCs w:val="32"/>
          <w14:ligatures w14:val="standardContextual"/>
        </w:rPr>
        <w:t>Face Validity</w:t>
      </w:r>
      <w:r w:rsidRPr="00BF5EAB">
        <w:rPr>
          <w:rFonts w:ascii="Sakkal Majalla" w:eastAsia="Calibri" w:hAnsi="Sakkal Majalla" w:cs="Sakkal Majalla"/>
          <w:color w:val="0D0D0D" w:themeColor="text1" w:themeTint="F2"/>
          <w:kern w:val="2"/>
          <w:sz w:val="32"/>
          <w:szCs w:val="32"/>
          <w:rtl/>
          <w14:ligatures w14:val="standardContextual"/>
        </w:rPr>
        <w:t>) وصدق المحتوى (</w:t>
      </w:r>
      <w:r w:rsidRPr="00BF5EAB">
        <w:rPr>
          <w:rFonts w:ascii="Sakkal Majalla" w:eastAsia="Calibri" w:hAnsi="Sakkal Majalla" w:cs="Sakkal Majalla"/>
          <w:color w:val="0D0D0D" w:themeColor="text1" w:themeTint="F2"/>
          <w:kern w:val="2"/>
          <w:sz w:val="32"/>
          <w:szCs w:val="32"/>
          <w14:ligatures w14:val="standardContextual"/>
        </w:rPr>
        <w:t>Content Validity</w:t>
      </w:r>
      <w:r w:rsidRPr="00BF5EAB">
        <w:rPr>
          <w:rFonts w:ascii="Sakkal Majalla" w:eastAsia="Calibri" w:hAnsi="Sakkal Majalla" w:cs="Sakkal Majalla"/>
          <w:color w:val="0D0D0D" w:themeColor="text1" w:themeTint="F2"/>
          <w:kern w:val="2"/>
          <w:sz w:val="32"/>
          <w:szCs w:val="32"/>
          <w:rtl/>
          <w14:ligatures w14:val="standardContextual"/>
        </w:rPr>
        <w:t>)، حيث أصبحت مهيأة بالكامل للتطبيق الميداني مع ضمان الوحدة الدلالية لدى جميع المستجيبين، مما يوفر أساساً صلباً لموثوقية البيانات وجودة النتائج المستخلصة من عملية التحليل الإحصائي اللاحقة.</w:t>
      </w:r>
    </w:p>
    <w:p w14:paraId="002B3402" w14:textId="4F5E9FA8" w:rsidR="00D50CCE" w:rsidRPr="00BF5EAB" w:rsidRDefault="00993BC2" w:rsidP="005501C8">
      <w:pPr>
        <w:spacing w:after="0" w:line="276" w:lineRule="auto"/>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 xml:space="preserve">2. </w:t>
      </w:r>
      <w:r w:rsidR="00D50CCE" w:rsidRPr="00BF5EAB">
        <w:rPr>
          <w:rFonts w:ascii="Sakkal Majalla" w:eastAsia="Calibri" w:hAnsi="Sakkal Majalla" w:cs="Sakkal Majalla"/>
          <w:b/>
          <w:bCs/>
          <w:color w:val="0D0D0D" w:themeColor="text1" w:themeTint="F2"/>
          <w:kern w:val="2"/>
          <w:sz w:val="32"/>
          <w:szCs w:val="32"/>
          <w:rtl/>
          <w14:ligatures w14:val="standardContextual"/>
        </w:rPr>
        <w:t>الصدق التقاربي:</w:t>
      </w:r>
    </w:p>
    <w:p w14:paraId="28339E07" w14:textId="09F4D2E0" w:rsidR="00D50CCE" w:rsidRPr="00BF5EAB" w:rsidRDefault="00D50CCE"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للتأكد من أن مؤشرات كل متغير كامن تتقارب مع بعضها لتشكيل المفهوم الذي تقيسه، تم التحقق من الصدق التقاربي للنموذج باستخدام برنامج </w:t>
      </w:r>
      <w:proofErr w:type="spellStart"/>
      <w:r w:rsidRPr="00BF5EAB">
        <w:rPr>
          <w:rFonts w:ascii="Sakkal Majalla" w:eastAsia="Calibri" w:hAnsi="Sakkal Majalla" w:cs="Sakkal Majalla"/>
          <w:color w:val="0D0D0D" w:themeColor="text1" w:themeTint="F2"/>
          <w:kern w:val="2"/>
          <w:sz w:val="32"/>
          <w:szCs w:val="32"/>
          <w14:ligatures w14:val="standardContextual"/>
        </w:rPr>
        <w:t>SmartPLS</w:t>
      </w:r>
      <w:proofErr w:type="spellEnd"/>
      <w:r w:rsidRPr="00BF5EAB">
        <w:rPr>
          <w:rFonts w:ascii="Sakkal Majalla" w:eastAsia="Calibri" w:hAnsi="Sakkal Majalla" w:cs="Sakkal Majalla"/>
          <w:color w:val="0D0D0D" w:themeColor="text1" w:themeTint="F2"/>
          <w:kern w:val="2"/>
          <w:sz w:val="32"/>
          <w:szCs w:val="32"/>
          <w14:ligatures w14:val="standardContextual"/>
        </w:rPr>
        <w:t xml:space="preserve"> 4.0</w:t>
      </w:r>
      <w:r w:rsidRPr="00BF5EAB">
        <w:rPr>
          <w:rFonts w:ascii="Sakkal Majalla" w:eastAsia="Calibri" w:hAnsi="Sakkal Majalla" w:cs="Sakkal Majalla"/>
          <w:color w:val="0D0D0D" w:themeColor="text1" w:themeTint="F2"/>
          <w:kern w:val="2"/>
          <w:sz w:val="32"/>
          <w:szCs w:val="32"/>
          <w:rtl/>
          <w14:ligatures w14:val="standardContextual"/>
        </w:rPr>
        <w:t>. تم الاعتماد على معيارين أساسيين:</w:t>
      </w:r>
    </w:p>
    <w:p w14:paraId="0CF4E33A" w14:textId="104A86FD" w:rsidR="00D50CCE" w:rsidRPr="00BF5EAB" w:rsidRDefault="00D50CCE" w:rsidP="005501C8">
      <w:pPr>
        <w:pStyle w:val="ListParagraph"/>
        <w:numPr>
          <w:ilvl w:val="0"/>
          <w:numId w:val="40"/>
        </w:numPr>
        <w:bidi/>
        <w:spacing w:after="0"/>
        <w:ind w:left="492"/>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التشبعات العاملية (</w:t>
      </w:r>
      <w:r w:rsidRPr="00BF5EAB">
        <w:rPr>
          <w:rFonts w:ascii="Sakkal Majalla" w:eastAsia="Calibri" w:hAnsi="Sakkal Majalla" w:cs="Sakkal Majalla"/>
          <w:color w:val="0D0D0D" w:themeColor="text1" w:themeTint="F2"/>
          <w:kern w:val="2"/>
          <w:sz w:val="32"/>
          <w:szCs w:val="32"/>
          <w14:ligatures w14:val="standardContextual"/>
        </w:rPr>
        <w:t>Outer Loadings</w:t>
      </w:r>
      <w:r w:rsidRPr="00BF5EAB">
        <w:rPr>
          <w:rFonts w:ascii="Sakkal Majalla" w:eastAsia="Calibri" w:hAnsi="Sakkal Majalla" w:cs="Sakkal Majalla"/>
          <w:color w:val="0D0D0D" w:themeColor="text1" w:themeTint="F2"/>
          <w:kern w:val="2"/>
          <w:sz w:val="32"/>
          <w:szCs w:val="32"/>
          <w:rtl/>
          <w14:ligatures w14:val="standardContextual"/>
        </w:rPr>
        <w:t>): تم فحص كافة التشبعات العاملية للمؤشرات، حيث تم استبعاد أي مؤشر تقل قيمة تشبعه عن (0.70) لضمان اتساق المؤشرات مع متغيرها الكامن.</w:t>
      </w:r>
    </w:p>
    <w:p w14:paraId="29BDD8DA" w14:textId="77777777" w:rsidR="00D50CCE" w:rsidRPr="00BF5EAB" w:rsidRDefault="00D50CCE" w:rsidP="005501C8">
      <w:pPr>
        <w:pStyle w:val="ListParagraph"/>
        <w:numPr>
          <w:ilvl w:val="0"/>
          <w:numId w:val="40"/>
        </w:numPr>
        <w:bidi/>
        <w:spacing w:after="0"/>
        <w:ind w:left="492"/>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متوسط التباين المستخرج (</w:t>
      </w:r>
      <w:r w:rsidRPr="00BF5EAB">
        <w:rPr>
          <w:rFonts w:ascii="Sakkal Majalla" w:eastAsia="Calibri" w:hAnsi="Sakkal Majalla" w:cs="Sakkal Majalla"/>
          <w:color w:val="0D0D0D" w:themeColor="text1" w:themeTint="F2"/>
          <w:kern w:val="2"/>
          <w:sz w:val="32"/>
          <w:szCs w:val="32"/>
          <w14:ligatures w14:val="standardContextual"/>
        </w:rPr>
        <w:t>AVE</w:t>
      </w:r>
      <w:r w:rsidRPr="00BF5EAB">
        <w:rPr>
          <w:rFonts w:ascii="Sakkal Majalla" w:eastAsia="Calibri" w:hAnsi="Sakkal Majalla" w:cs="Sakkal Majalla"/>
          <w:color w:val="0D0D0D" w:themeColor="text1" w:themeTint="F2"/>
          <w:kern w:val="2"/>
          <w:sz w:val="32"/>
          <w:szCs w:val="32"/>
          <w:rtl/>
          <w14:ligatures w14:val="standardContextual"/>
        </w:rPr>
        <w:t>): تم حساب قيمة (</w:t>
      </w:r>
      <w:r w:rsidRPr="00BF5EAB">
        <w:rPr>
          <w:rFonts w:ascii="Sakkal Majalla" w:eastAsia="Calibri" w:hAnsi="Sakkal Majalla" w:cs="Sakkal Majalla"/>
          <w:color w:val="0D0D0D" w:themeColor="text1" w:themeTint="F2"/>
          <w:kern w:val="2"/>
          <w:sz w:val="32"/>
          <w:szCs w:val="32"/>
          <w14:ligatures w14:val="standardContextual"/>
        </w:rPr>
        <w:t>AVE</w:t>
      </w:r>
      <w:r w:rsidRPr="00BF5EAB">
        <w:rPr>
          <w:rFonts w:ascii="Sakkal Majalla" w:eastAsia="Calibri" w:hAnsi="Sakkal Majalla" w:cs="Sakkal Majalla"/>
          <w:color w:val="0D0D0D" w:themeColor="text1" w:themeTint="F2"/>
          <w:kern w:val="2"/>
          <w:sz w:val="32"/>
          <w:szCs w:val="32"/>
          <w:rtl/>
          <w14:ligatures w14:val="standardContextual"/>
        </w:rPr>
        <w:t>) لكل متغير، وتم التأكد من أنها تجاوزت الحد الأدنى المنهجي وهو (0.50)، مما أثبت أن المتغير الكامن يفسر ما لا يقل عن 50% من تباين مؤشراته، وهذا يؤكد كفاءة النموذج في عملية القياس.</w:t>
      </w:r>
    </w:p>
    <w:p w14:paraId="4E8965BB" w14:textId="37873FB4" w:rsidR="00D50CCE" w:rsidRPr="00BF5EAB" w:rsidRDefault="00834AEA"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3.</w:t>
      </w:r>
      <w:r w:rsidR="00D50CCE" w:rsidRPr="00BF5EAB">
        <w:rPr>
          <w:rFonts w:ascii="Sakkal Majalla" w:eastAsia="Calibri" w:hAnsi="Sakkal Majalla" w:cs="Sakkal Majalla"/>
          <w:b/>
          <w:bCs/>
          <w:color w:val="0D0D0D" w:themeColor="text1" w:themeTint="F2"/>
          <w:kern w:val="2"/>
          <w:sz w:val="32"/>
          <w:szCs w:val="32"/>
          <w:rtl/>
          <w14:ligatures w14:val="standardContextual"/>
        </w:rPr>
        <w:t>الصدق التمايزي:</w:t>
      </w:r>
    </w:p>
    <w:p w14:paraId="008E7696" w14:textId="54B95A3C" w:rsidR="00D50CCE" w:rsidRPr="00BF5EAB" w:rsidRDefault="00D50CCE"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ولضمان أن كل متغير في النموذج يتميز بخصائص مستقلة ولا يتداخل مع المتغيرات الأخرى (أي أن المتغير يقيس مفهوماً فريداً)، تم تطبيق معايير الصدق التمايزي التالية:</w:t>
      </w:r>
    </w:p>
    <w:p w14:paraId="55DC838F" w14:textId="046C95BE" w:rsidR="00D50CCE" w:rsidRPr="00BF5EAB" w:rsidRDefault="00D50CCE" w:rsidP="005501C8">
      <w:pPr>
        <w:pStyle w:val="ListParagraph"/>
        <w:numPr>
          <w:ilvl w:val="0"/>
          <w:numId w:val="40"/>
        </w:numPr>
        <w:bidi/>
        <w:spacing w:after="0"/>
        <w:ind w:left="492"/>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معيار فورنل-لاركر (</w:t>
      </w:r>
      <w:r w:rsidRPr="00BF5EAB">
        <w:rPr>
          <w:rFonts w:ascii="Sakkal Majalla" w:eastAsia="Calibri" w:hAnsi="Sakkal Majalla" w:cs="Sakkal Majalla"/>
          <w:color w:val="0D0D0D" w:themeColor="text1" w:themeTint="F2"/>
          <w:kern w:val="2"/>
          <w:sz w:val="32"/>
          <w:szCs w:val="32"/>
          <w14:ligatures w14:val="standardContextual"/>
        </w:rPr>
        <w:t>Fornell-Larcker Criterion</w:t>
      </w:r>
      <w:r w:rsidRPr="00BF5EAB">
        <w:rPr>
          <w:rFonts w:ascii="Sakkal Majalla" w:eastAsia="Calibri" w:hAnsi="Sakkal Majalla" w:cs="Sakkal Majalla"/>
          <w:color w:val="0D0D0D" w:themeColor="text1" w:themeTint="F2"/>
          <w:kern w:val="2"/>
          <w:sz w:val="32"/>
          <w:szCs w:val="32"/>
          <w:rtl/>
          <w14:ligatures w14:val="standardContextual"/>
        </w:rPr>
        <w:t>): تم مقارنة الجذر التربيعي لـ (</w:t>
      </w:r>
      <w:r w:rsidRPr="00BF5EAB">
        <w:rPr>
          <w:rFonts w:ascii="Sakkal Majalla" w:eastAsia="Calibri" w:hAnsi="Sakkal Majalla" w:cs="Sakkal Majalla"/>
          <w:color w:val="0D0D0D" w:themeColor="text1" w:themeTint="F2"/>
          <w:kern w:val="2"/>
          <w:sz w:val="32"/>
          <w:szCs w:val="32"/>
          <w14:ligatures w14:val="standardContextual"/>
        </w:rPr>
        <w:t>AVE</w:t>
      </w:r>
      <w:r w:rsidRPr="00BF5EAB">
        <w:rPr>
          <w:rFonts w:ascii="Sakkal Majalla" w:eastAsia="Calibri" w:hAnsi="Sakkal Majalla" w:cs="Sakkal Majalla"/>
          <w:color w:val="0D0D0D" w:themeColor="text1" w:themeTint="F2"/>
          <w:kern w:val="2"/>
          <w:sz w:val="32"/>
          <w:szCs w:val="32"/>
          <w:rtl/>
          <w14:ligatures w14:val="standardContextual"/>
        </w:rPr>
        <w:t>) الخاص بكل متغير مع معاملات ارتباطه مع المتغيرات الأخرى؛ حيث تم التأكد من أن قيم الجذر التربيعي كانت هي القيم الأعلى في مصفوفة الارتباط، مما يعني أن الارتباط الذاتي للمتغير أقوى من ارتباطه بالمتغيرات الأخرى.</w:t>
      </w:r>
    </w:p>
    <w:p w14:paraId="18E58DA1" w14:textId="07AFF592" w:rsidR="00D50CCE" w:rsidRPr="00BF5EAB" w:rsidRDefault="00D50CCE" w:rsidP="005501C8">
      <w:pPr>
        <w:pStyle w:val="ListParagraph"/>
        <w:numPr>
          <w:ilvl w:val="0"/>
          <w:numId w:val="40"/>
        </w:numPr>
        <w:bidi/>
        <w:spacing w:after="0"/>
        <w:ind w:left="492"/>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lastRenderedPageBreak/>
        <w:t>نسبة السمات المتعددة-الطرق المتعددة (</w:t>
      </w:r>
      <w:r w:rsidRPr="00BF5EAB">
        <w:rPr>
          <w:rFonts w:ascii="Sakkal Majalla" w:eastAsia="Calibri" w:hAnsi="Sakkal Majalla" w:cs="Sakkal Majalla"/>
          <w:color w:val="0D0D0D" w:themeColor="text1" w:themeTint="F2"/>
          <w:kern w:val="2"/>
          <w:sz w:val="32"/>
          <w:szCs w:val="32"/>
          <w14:ligatures w14:val="standardContextual"/>
        </w:rPr>
        <w:t>HTMT</w:t>
      </w:r>
      <w:r w:rsidRPr="00BF5EAB">
        <w:rPr>
          <w:rFonts w:ascii="Sakkal Majalla" w:eastAsia="Calibri" w:hAnsi="Sakkal Majalla" w:cs="Sakkal Majalla"/>
          <w:color w:val="0D0D0D" w:themeColor="text1" w:themeTint="F2"/>
          <w:kern w:val="2"/>
          <w:sz w:val="32"/>
          <w:szCs w:val="32"/>
          <w:rtl/>
          <w14:ligatures w14:val="standardContextual"/>
        </w:rPr>
        <w:t>): كإجراء إحصائي أكثر صرامة، تم حساب نسب (</w:t>
      </w:r>
      <w:r w:rsidRPr="00BF5EAB">
        <w:rPr>
          <w:rFonts w:ascii="Sakkal Majalla" w:eastAsia="Calibri" w:hAnsi="Sakkal Majalla" w:cs="Sakkal Majalla"/>
          <w:color w:val="0D0D0D" w:themeColor="text1" w:themeTint="F2"/>
          <w:kern w:val="2"/>
          <w:sz w:val="32"/>
          <w:szCs w:val="32"/>
          <w14:ligatures w14:val="standardContextual"/>
        </w:rPr>
        <w:t>HTMT</w:t>
      </w:r>
      <w:r w:rsidRPr="00BF5EAB">
        <w:rPr>
          <w:rFonts w:ascii="Sakkal Majalla" w:eastAsia="Calibri" w:hAnsi="Sakkal Majalla" w:cs="Sakkal Majalla"/>
          <w:color w:val="0D0D0D" w:themeColor="text1" w:themeTint="F2"/>
          <w:kern w:val="2"/>
          <w:sz w:val="32"/>
          <w:szCs w:val="32"/>
          <w:rtl/>
          <w14:ligatures w14:val="standardContextual"/>
        </w:rPr>
        <w:t>) لجميع أزواج المتغيرات؛ وتم التأكد من أن جميع القيم كانت أقل من العتبة (0.90)، مما قدم دليلاً إحصائياً قاطعاً على تحقق الصدق التمايزي بين أبعاد الدراسة.</w:t>
      </w:r>
    </w:p>
    <w:p w14:paraId="2170C318" w14:textId="551FCC47" w:rsidR="004C7810" w:rsidRPr="00BF5EAB" w:rsidRDefault="00834AEA"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4</w:t>
      </w:r>
      <w:r w:rsidR="004C7810" w:rsidRPr="00BF5EAB">
        <w:rPr>
          <w:rFonts w:ascii="Sakkal Majalla" w:eastAsia="Calibri" w:hAnsi="Sakkal Majalla" w:cs="Sakkal Majalla"/>
          <w:b/>
          <w:bCs/>
          <w:color w:val="0D0D0D" w:themeColor="text1" w:themeTint="F2"/>
          <w:kern w:val="2"/>
          <w:sz w:val="32"/>
          <w:szCs w:val="32"/>
          <w:rtl/>
          <w14:ligatures w14:val="standardContextual"/>
        </w:rPr>
        <w:t>. صدق الاتساق الداخلي (</w:t>
      </w:r>
      <w:r w:rsidR="004C7810" w:rsidRPr="00BF5EAB">
        <w:rPr>
          <w:rFonts w:ascii="Sakkal Majalla" w:eastAsia="Calibri" w:hAnsi="Sakkal Majalla" w:cs="Sakkal Majalla"/>
          <w:b/>
          <w:bCs/>
          <w:color w:val="0D0D0D" w:themeColor="text1" w:themeTint="F2"/>
          <w:kern w:val="2"/>
          <w:sz w:val="32"/>
          <w:szCs w:val="32"/>
          <w14:ligatures w14:val="standardContextual"/>
        </w:rPr>
        <w:t>Internal Consistency Validity</w:t>
      </w:r>
      <w:r w:rsidR="004C7810" w:rsidRPr="00BF5EAB">
        <w:rPr>
          <w:rFonts w:ascii="Sakkal Majalla" w:eastAsia="Calibri" w:hAnsi="Sakkal Majalla" w:cs="Sakkal Majalla"/>
          <w:b/>
          <w:bCs/>
          <w:color w:val="0D0D0D" w:themeColor="text1" w:themeTint="F2"/>
          <w:kern w:val="2"/>
          <w:sz w:val="32"/>
          <w:szCs w:val="32"/>
          <w:rtl/>
          <w14:ligatures w14:val="standardContextual"/>
        </w:rPr>
        <w:t>)</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p>
    <w:p w14:paraId="7DF93DA4" w14:textId="44F7E605"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للتحقق من مدى تلاحم البناء الهيكلي للأداة وتجانس فقراتها، طبقت الباحثة الاستبانة ميدانياً على عينة استطلاعية قوامها (30) فرداً من مجتمع الدراسة (من خارج العينة الأساسية من القيادات المصرفية بمدينة الرياض).</w:t>
      </w:r>
    </w:p>
    <w:p w14:paraId="5C208B07" w14:textId="1F837DAD"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واستُخدم معامل ارتباط بيرسون (</w:t>
      </w:r>
      <w:r w:rsidRPr="00BF5EAB">
        <w:rPr>
          <w:rFonts w:ascii="Sakkal Majalla" w:eastAsia="Calibri" w:hAnsi="Sakkal Majalla" w:cs="Sakkal Majalla"/>
          <w:color w:val="0D0D0D" w:themeColor="text1" w:themeTint="F2"/>
          <w:kern w:val="2"/>
          <w:sz w:val="32"/>
          <w:szCs w:val="32"/>
          <w14:ligatures w14:val="standardContextual"/>
        </w:rPr>
        <w:t>Pearson Correlation</w:t>
      </w:r>
      <w:r w:rsidRPr="00BF5EAB">
        <w:rPr>
          <w:rFonts w:ascii="Sakkal Majalla" w:eastAsia="Calibri" w:hAnsi="Sakkal Majalla" w:cs="Sakkal Majalla"/>
          <w:color w:val="0D0D0D" w:themeColor="text1" w:themeTint="F2"/>
          <w:kern w:val="2"/>
          <w:sz w:val="32"/>
          <w:szCs w:val="32"/>
          <w:rtl/>
          <w14:ligatures w14:val="standardContextual"/>
        </w:rPr>
        <w:t xml:space="preserve">) لقياس القوة الارتباطية بين درجة كل فقرة والدرجة الكلية للبعد الذي تنتمي إليه، وبين درجة كل بعد والدرجة الكلية للمحور والمتغير الرئيس؛ وذلك للتأكد من أن جميع الفقرات تسير في اتجاه بناء واحد نحو قياس متغيرات الدراسة (ذكاء الأعمال، </w:t>
      </w:r>
      <w:r w:rsidR="008F0001" w:rsidRPr="00BF5EAB">
        <w:rPr>
          <w:rFonts w:ascii="Sakkal Majalla" w:eastAsia="Calibri" w:hAnsi="Sakkal Majalla" w:cs="Sakkal Majalla"/>
          <w:color w:val="0D0D0D" w:themeColor="text1" w:themeTint="F2"/>
          <w:kern w:val="2"/>
          <w:sz w:val="32"/>
          <w:szCs w:val="32"/>
          <w:rtl/>
          <w14:ligatures w14:val="standardContextual"/>
        </w:rPr>
        <w:t>و</w:t>
      </w:r>
      <w:r w:rsidRPr="00BF5EAB">
        <w:rPr>
          <w:rFonts w:ascii="Sakkal Majalla" w:eastAsia="Calibri" w:hAnsi="Sakkal Majalla" w:cs="Sakkal Majalla"/>
          <w:color w:val="0D0D0D" w:themeColor="text1" w:themeTint="F2"/>
          <w:kern w:val="2"/>
          <w:sz w:val="32"/>
          <w:szCs w:val="32"/>
          <w:rtl/>
          <w14:ligatures w14:val="standardContextual"/>
        </w:rPr>
        <w:t>جودة القرارات الاستراتيجية، والابتكار التنظيمي) في المصارف العاملة بمدينة الرياض، وهو ما ستظهره جداول التحليل الإحصائي اللاحقة بالتفصيل.</w:t>
      </w:r>
    </w:p>
    <w:p w14:paraId="1334C85E" w14:textId="7382C0C8" w:rsidR="008F0001" w:rsidRPr="00BF5EAB" w:rsidRDefault="008F0001" w:rsidP="005501C8">
      <w:pPr>
        <w:spacing w:after="0" w:line="276" w:lineRule="auto"/>
        <w:jc w:val="both"/>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المتغير المستقل</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(ذكاء الأعمال)</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w:t>
      </w:r>
    </w:p>
    <w:p w14:paraId="3FB75BA3" w14:textId="4127435D" w:rsidR="008F0001" w:rsidRPr="00BF5EAB" w:rsidRDefault="008F0001" w:rsidP="003B07BF">
      <w:pPr>
        <w:spacing w:after="0" w:line="240" w:lineRule="auto"/>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جدول (</w:t>
      </w:r>
      <w:r w:rsidR="00C47F36" w:rsidRPr="00BF5EAB">
        <w:rPr>
          <w:rFonts w:ascii="Sakkal Majalla" w:eastAsia="Calibri" w:hAnsi="Sakkal Majalla" w:cs="Sakkal Majalla"/>
          <w:b/>
          <w:bCs/>
          <w:color w:val="0D0D0D" w:themeColor="text1" w:themeTint="F2"/>
          <w:kern w:val="2"/>
          <w:sz w:val="28"/>
          <w:szCs w:val="28"/>
          <w:rtl/>
          <w14:ligatures w14:val="standardContextual"/>
        </w:rPr>
        <w:t>3-8</w:t>
      </w:r>
      <w:r w:rsidRPr="00BF5EAB">
        <w:rPr>
          <w:rFonts w:ascii="Sakkal Majalla" w:eastAsia="Calibri" w:hAnsi="Sakkal Majalla" w:cs="Sakkal Majalla"/>
          <w:b/>
          <w:bCs/>
          <w:color w:val="0D0D0D" w:themeColor="text1" w:themeTint="F2"/>
          <w:kern w:val="2"/>
          <w:sz w:val="28"/>
          <w:szCs w:val="28"/>
          <w:rtl/>
          <w14:ligatures w14:val="standardContextual"/>
        </w:rPr>
        <w:t>)</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صدق الاتساق الداخلي </w:t>
      </w:r>
      <w:r w:rsidR="00A13D48" w:rsidRPr="00BF5EAB">
        <w:rPr>
          <w:rFonts w:ascii="Sakkal Majalla" w:eastAsia="Calibri" w:hAnsi="Sakkal Majalla" w:cs="Sakkal Majalla"/>
          <w:b/>
          <w:bCs/>
          <w:color w:val="0D0D0D" w:themeColor="text1" w:themeTint="F2"/>
          <w:kern w:val="2"/>
          <w:sz w:val="28"/>
          <w:szCs w:val="28"/>
          <w:rtl/>
          <w14:ligatures w14:val="standardContextual"/>
        </w:rPr>
        <w:t>لأبعاد المتغير المستقل</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00A13D48" w:rsidRPr="00BF5EAB">
        <w:rPr>
          <w:rFonts w:ascii="Sakkal Majalla" w:eastAsia="Calibri" w:hAnsi="Sakkal Majalla" w:cs="Sakkal Majalla"/>
          <w:b/>
          <w:bCs/>
          <w:color w:val="0D0D0D" w:themeColor="text1" w:themeTint="F2"/>
          <w:kern w:val="2"/>
          <w:sz w:val="28"/>
          <w:szCs w:val="28"/>
          <w:rtl/>
          <w14:ligatures w14:val="standardContextual"/>
        </w:rPr>
        <w:t xml:space="preserve"> (ذكاء الأعمال) </w:t>
      </w:r>
      <w:r w:rsidRPr="00BF5EAB">
        <w:rPr>
          <w:rFonts w:ascii="Sakkal Majalla" w:eastAsia="Calibri" w:hAnsi="Sakkal Majalla" w:cs="Sakkal Majalla"/>
          <w:b/>
          <w:bCs/>
          <w:color w:val="0D0D0D" w:themeColor="text1" w:themeTint="F2"/>
          <w:kern w:val="2"/>
          <w:sz w:val="28"/>
          <w:szCs w:val="28"/>
          <w:rtl/>
          <w14:ligatures w14:val="standardContextual"/>
        </w:rPr>
        <w:t>(ن=30)</w:t>
      </w:r>
    </w:p>
    <w:tbl>
      <w:tblPr>
        <w:tblStyle w:val="5"/>
        <w:bidiVisual/>
        <w:tblW w:w="5000" w:type="pct"/>
        <w:jc w:val="center"/>
        <w:tblLook w:val="04A0" w:firstRow="1" w:lastRow="0" w:firstColumn="1" w:lastColumn="0" w:noHBand="0" w:noVBand="1"/>
      </w:tblPr>
      <w:tblGrid>
        <w:gridCol w:w="1268"/>
        <w:gridCol w:w="1619"/>
        <w:gridCol w:w="1184"/>
        <w:gridCol w:w="1619"/>
        <w:gridCol w:w="1184"/>
        <w:gridCol w:w="1619"/>
      </w:tblGrid>
      <w:tr w:rsidR="00BF5EAB" w:rsidRPr="00BF5EAB" w14:paraId="24869E30" w14:textId="77777777" w:rsidTr="0074601C">
        <w:trPr>
          <w:tblHeader/>
          <w:jc w:val="center"/>
        </w:trPr>
        <w:tc>
          <w:tcPr>
            <w:tcW w:w="1700" w:type="pct"/>
            <w:gridSpan w:val="2"/>
            <w:hideMark/>
          </w:tcPr>
          <w:p w14:paraId="78434DA9" w14:textId="6A5F9955" w:rsidR="008F0001" w:rsidRPr="00BF5EAB" w:rsidRDefault="008F0001"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الأول</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الفائدة المدركة</w:t>
            </w:r>
          </w:p>
        </w:tc>
        <w:tc>
          <w:tcPr>
            <w:tcW w:w="1650" w:type="pct"/>
            <w:gridSpan w:val="2"/>
          </w:tcPr>
          <w:p w14:paraId="4907373E" w14:textId="016B301F" w:rsidR="008F0001" w:rsidRPr="00BF5EAB" w:rsidRDefault="008F0001"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الثاني</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سهولة الاستخدام</w:t>
            </w:r>
          </w:p>
        </w:tc>
        <w:tc>
          <w:tcPr>
            <w:tcW w:w="1650" w:type="pct"/>
            <w:gridSpan w:val="2"/>
          </w:tcPr>
          <w:p w14:paraId="34DF201D" w14:textId="1266D49D" w:rsidR="008F0001" w:rsidRPr="00BF5EAB" w:rsidRDefault="008F0001"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الثالث</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نية الاستخدام</w:t>
            </w:r>
          </w:p>
        </w:tc>
      </w:tr>
      <w:tr w:rsidR="00BF5EAB" w:rsidRPr="00BF5EAB" w14:paraId="15BA9356" w14:textId="77777777" w:rsidTr="0074601C">
        <w:trPr>
          <w:tblHeader/>
          <w:jc w:val="center"/>
        </w:trPr>
        <w:tc>
          <w:tcPr>
            <w:tcW w:w="747" w:type="pct"/>
            <w:hideMark/>
          </w:tcPr>
          <w:p w14:paraId="5B6F510E"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58857A13"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c>
          <w:tcPr>
            <w:tcW w:w="697" w:type="pct"/>
            <w:hideMark/>
          </w:tcPr>
          <w:p w14:paraId="13A90BA3"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573032CC"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c>
          <w:tcPr>
            <w:tcW w:w="697" w:type="pct"/>
            <w:hideMark/>
          </w:tcPr>
          <w:p w14:paraId="6F1999FE"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443595F7"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r>
      <w:tr w:rsidR="00BF5EAB" w:rsidRPr="00BF5EAB" w14:paraId="0EAB1F1E" w14:textId="77777777" w:rsidTr="0074601C">
        <w:trPr>
          <w:jc w:val="center"/>
        </w:trPr>
        <w:tc>
          <w:tcPr>
            <w:tcW w:w="747" w:type="pct"/>
            <w:hideMark/>
          </w:tcPr>
          <w:p w14:paraId="31B2F600"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w:t>
            </w:r>
          </w:p>
        </w:tc>
        <w:tc>
          <w:tcPr>
            <w:tcW w:w="953" w:type="pct"/>
          </w:tcPr>
          <w:p w14:paraId="39943AD6"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0.792**</w:t>
            </w:r>
          </w:p>
        </w:tc>
        <w:tc>
          <w:tcPr>
            <w:tcW w:w="697" w:type="pct"/>
            <w:hideMark/>
          </w:tcPr>
          <w:p w14:paraId="06A1FF9C" w14:textId="0127810D"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6</w:t>
            </w:r>
          </w:p>
        </w:tc>
        <w:tc>
          <w:tcPr>
            <w:tcW w:w="953" w:type="pct"/>
          </w:tcPr>
          <w:p w14:paraId="0FD7AB50"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0.755**</w:t>
            </w:r>
          </w:p>
        </w:tc>
        <w:tc>
          <w:tcPr>
            <w:tcW w:w="697" w:type="pct"/>
            <w:hideMark/>
          </w:tcPr>
          <w:p w14:paraId="5FD3D2E9" w14:textId="3149257D"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11</w:t>
            </w:r>
          </w:p>
        </w:tc>
        <w:tc>
          <w:tcPr>
            <w:tcW w:w="953" w:type="pct"/>
          </w:tcPr>
          <w:p w14:paraId="5C4F0CFC"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0.810**</w:t>
            </w:r>
          </w:p>
        </w:tc>
      </w:tr>
      <w:tr w:rsidR="00BF5EAB" w:rsidRPr="00BF5EAB" w14:paraId="6D2B0ECF" w14:textId="77777777" w:rsidTr="0074601C">
        <w:trPr>
          <w:jc w:val="center"/>
        </w:trPr>
        <w:tc>
          <w:tcPr>
            <w:tcW w:w="747" w:type="pct"/>
            <w:hideMark/>
          </w:tcPr>
          <w:p w14:paraId="55D58C73"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w:t>
            </w:r>
          </w:p>
        </w:tc>
        <w:tc>
          <w:tcPr>
            <w:tcW w:w="953" w:type="pct"/>
          </w:tcPr>
          <w:p w14:paraId="7C7A0DB6" w14:textId="12D99F53"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c>
          <w:tcPr>
            <w:tcW w:w="697" w:type="pct"/>
          </w:tcPr>
          <w:p w14:paraId="716CFB92" w14:textId="638E758F"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7</w:t>
            </w:r>
          </w:p>
        </w:tc>
        <w:tc>
          <w:tcPr>
            <w:tcW w:w="953" w:type="pct"/>
          </w:tcPr>
          <w:p w14:paraId="7CFC0500"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0.804**</w:t>
            </w:r>
          </w:p>
        </w:tc>
        <w:tc>
          <w:tcPr>
            <w:tcW w:w="697" w:type="pct"/>
          </w:tcPr>
          <w:p w14:paraId="6B58BFAB" w14:textId="5E30036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12</w:t>
            </w:r>
          </w:p>
        </w:tc>
        <w:tc>
          <w:tcPr>
            <w:tcW w:w="953" w:type="pct"/>
          </w:tcPr>
          <w:p w14:paraId="46BDE7E6" w14:textId="1707C5F5"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r>
      <w:tr w:rsidR="00BF5EAB" w:rsidRPr="00BF5EAB" w14:paraId="046F999E" w14:textId="77777777" w:rsidTr="0074601C">
        <w:trPr>
          <w:jc w:val="center"/>
        </w:trPr>
        <w:tc>
          <w:tcPr>
            <w:tcW w:w="747" w:type="pct"/>
            <w:hideMark/>
          </w:tcPr>
          <w:p w14:paraId="27E402FA"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3</w:t>
            </w:r>
          </w:p>
        </w:tc>
        <w:tc>
          <w:tcPr>
            <w:tcW w:w="953" w:type="pct"/>
          </w:tcPr>
          <w:p w14:paraId="7152FA53" w14:textId="473DBA3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0.833**</w:t>
            </w:r>
          </w:p>
        </w:tc>
        <w:tc>
          <w:tcPr>
            <w:tcW w:w="697" w:type="pct"/>
          </w:tcPr>
          <w:p w14:paraId="175A2343" w14:textId="6B40E4BC"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8</w:t>
            </w:r>
          </w:p>
        </w:tc>
        <w:tc>
          <w:tcPr>
            <w:tcW w:w="953" w:type="pct"/>
          </w:tcPr>
          <w:p w14:paraId="78078466" w14:textId="14FE9F54"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c>
          <w:tcPr>
            <w:tcW w:w="697" w:type="pct"/>
          </w:tcPr>
          <w:p w14:paraId="536F2CB2" w14:textId="72FF5BD5"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13</w:t>
            </w:r>
          </w:p>
        </w:tc>
        <w:tc>
          <w:tcPr>
            <w:tcW w:w="953" w:type="pct"/>
          </w:tcPr>
          <w:p w14:paraId="6B129B3A" w14:textId="1D7379B4"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0.833**</w:t>
            </w:r>
          </w:p>
        </w:tc>
      </w:tr>
      <w:tr w:rsidR="00BF5EAB" w:rsidRPr="00BF5EAB" w14:paraId="7B30B142" w14:textId="77777777" w:rsidTr="0074601C">
        <w:trPr>
          <w:jc w:val="center"/>
        </w:trPr>
        <w:tc>
          <w:tcPr>
            <w:tcW w:w="747" w:type="pct"/>
            <w:hideMark/>
          </w:tcPr>
          <w:p w14:paraId="4864E8D6"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4</w:t>
            </w:r>
          </w:p>
        </w:tc>
        <w:tc>
          <w:tcPr>
            <w:tcW w:w="953" w:type="pct"/>
          </w:tcPr>
          <w:p w14:paraId="62453A8C"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0.835**</w:t>
            </w:r>
          </w:p>
        </w:tc>
        <w:tc>
          <w:tcPr>
            <w:tcW w:w="697" w:type="pct"/>
          </w:tcPr>
          <w:p w14:paraId="14E400C7" w14:textId="3393FA48"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9</w:t>
            </w:r>
          </w:p>
        </w:tc>
        <w:tc>
          <w:tcPr>
            <w:tcW w:w="953" w:type="pct"/>
          </w:tcPr>
          <w:p w14:paraId="09FE85B3" w14:textId="4C4700CA"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0.810**</w:t>
            </w:r>
          </w:p>
        </w:tc>
        <w:tc>
          <w:tcPr>
            <w:tcW w:w="697" w:type="pct"/>
          </w:tcPr>
          <w:p w14:paraId="045BC85F" w14:textId="18A0CE98"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rtl/>
                <w14:ligatures w14:val="standardContextual"/>
              </w:rPr>
              <w:t>14</w:t>
            </w:r>
          </w:p>
        </w:tc>
        <w:tc>
          <w:tcPr>
            <w:tcW w:w="953" w:type="pct"/>
          </w:tcPr>
          <w:p w14:paraId="50229BA9" w14:textId="06772CC9"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0.796**</w:t>
            </w:r>
          </w:p>
        </w:tc>
      </w:tr>
      <w:tr w:rsidR="00BF5EAB" w:rsidRPr="00BF5EAB" w14:paraId="00075EF4" w14:textId="77777777" w:rsidTr="0074601C">
        <w:trPr>
          <w:jc w:val="center"/>
        </w:trPr>
        <w:tc>
          <w:tcPr>
            <w:tcW w:w="747" w:type="pct"/>
            <w:hideMark/>
          </w:tcPr>
          <w:p w14:paraId="160D3886" w14:textId="31CDB13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5</w:t>
            </w:r>
          </w:p>
        </w:tc>
        <w:tc>
          <w:tcPr>
            <w:tcW w:w="953" w:type="pct"/>
            <w:hideMark/>
          </w:tcPr>
          <w:p w14:paraId="143E36C9" w14:textId="150ADD1D"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c>
          <w:tcPr>
            <w:tcW w:w="697" w:type="pct"/>
          </w:tcPr>
          <w:p w14:paraId="31C88926" w14:textId="50373D4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10</w:t>
            </w:r>
          </w:p>
        </w:tc>
        <w:tc>
          <w:tcPr>
            <w:tcW w:w="953" w:type="pct"/>
          </w:tcPr>
          <w:p w14:paraId="75423F42" w14:textId="311E081A"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1650" w:type="pct"/>
            <w:gridSpan w:val="2"/>
            <w:shd w:val="clear" w:color="auto" w:fill="D9D9D9" w:themeFill="background1" w:themeFillShade="D9"/>
          </w:tcPr>
          <w:p w14:paraId="50BAB8CA" w14:textId="32E81C3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lang w:bidi="ar-EG"/>
              </w:rPr>
            </w:pPr>
          </w:p>
        </w:tc>
      </w:tr>
    </w:tbl>
    <w:p w14:paraId="35D25417" w14:textId="77777777" w:rsidR="008F0001" w:rsidRPr="00BF5EAB" w:rsidRDefault="008F0001" w:rsidP="003B07BF">
      <w:pPr>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دال عند مستوى الدلالة 0.01 فأقل</w:t>
      </w:r>
    </w:p>
    <w:p w14:paraId="60F0B897" w14:textId="5F324EA4" w:rsidR="008F0001" w:rsidRPr="00BF5EAB" w:rsidRDefault="00C05039"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يتضح من الجدول السابق أن جميع معاملات ارتباط الفقرات بالأبعاد الثلاثة المكونة للمتغير المستقل (قبول واستخدام أنظمة ذكاء الأعمال) جاءت موجبة ودالة إحصائياً عند مستوى دلالة (0.01) فأقل؛ حيث تراوحت قيم معاملات الارتباط بين حد أدنى بلغ (0.755) للعبارة رقم (6) في بُعد سهولة الاستخدام، وحد أقصى بلغ (0.835) للعبارة رقم (4) في بُعد الفائدة المدركة. وتُعد هذه القيم المرتفعة مؤشراً سيكومترياً قوياً على التلاحم البنائي والاتساق الداخلي العالي للأداة، مما يؤكد قدرة فقرات المتغير المستقل على قياس مستويات قبول التقنيات الذكية والاعتماد عليها في البيئة المصرفية بدقة وثبات</w:t>
      </w:r>
      <w:r w:rsidR="008F0001" w:rsidRPr="00BF5EAB">
        <w:rPr>
          <w:rFonts w:ascii="Sakkal Majalla" w:eastAsia="Calibri" w:hAnsi="Sakkal Majalla" w:cs="Sakkal Majalla"/>
          <w:color w:val="0D0D0D" w:themeColor="text1" w:themeTint="F2"/>
          <w:kern w:val="2"/>
          <w:sz w:val="32"/>
          <w:szCs w:val="32"/>
          <w:rtl/>
          <w14:ligatures w14:val="standardContextual"/>
        </w:rPr>
        <w:t>.</w:t>
      </w:r>
    </w:p>
    <w:p w14:paraId="10DE647F" w14:textId="4234F521" w:rsidR="00A13D48" w:rsidRPr="00BF5EAB" w:rsidRDefault="00A13D48" w:rsidP="005501C8">
      <w:pPr>
        <w:spacing w:after="0" w:line="276" w:lineRule="auto"/>
        <w:jc w:val="both"/>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lastRenderedPageBreak/>
        <w:t>ثانياً</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المتغير الوسيط (جودة القرارات الاستراتيجية)</w:t>
      </w:r>
      <w:r w:rsidR="005B20E7" w:rsidRPr="00BF5EAB">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w:t>
      </w:r>
    </w:p>
    <w:p w14:paraId="5D066027" w14:textId="2A2EEBB4" w:rsidR="00BB58E9" w:rsidRPr="00BF5EAB" w:rsidRDefault="00BB58E9" w:rsidP="003B07BF">
      <w:pPr>
        <w:spacing w:after="0" w:line="240" w:lineRule="auto"/>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جدول (</w:t>
      </w:r>
      <w:r w:rsidR="00C47F36" w:rsidRPr="00BF5EAB">
        <w:rPr>
          <w:rFonts w:ascii="Sakkal Majalla" w:eastAsia="Calibri" w:hAnsi="Sakkal Majalla" w:cs="Sakkal Majalla"/>
          <w:b/>
          <w:bCs/>
          <w:color w:val="0D0D0D" w:themeColor="text1" w:themeTint="F2"/>
          <w:kern w:val="2"/>
          <w:sz w:val="28"/>
          <w:szCs w:val="28"/>
          <w:rtl/>
          <w14:ligatures w14:val="standardContextual"/>
        </w:rPr>
        <w:t>3-9</w:t>
      </w:r>
      <w:r w:rsidRPr="00BF5EAB">
        <w:rPr>
          <w:rFonts w:ascii="Sakkal Majalla" w:eastAsia="Calibri" w:hAnsi="Sakkal Majalla" w:cs="Sakkal Majalla"/>
          <w:b/>
          <w:bCs/>
          <w:color w:val="0D0D0D" w:themeColor="text1" w:themeTint="F2"/>
          <w:kern w:val="2"/>
          <w:sz w:val="28"/>
          <w:szCs w:val="28"/>
          <w:rtl/>
          <w14:ligatures w14:val="standardContextual"/>
        </w:rPr>
        <w:t>)</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معاملات ارتباط فقرات </w:t>
      </w:r>
      <w:r w:rsidR="00A13D48" w:rsidRPr="00BF5EAB">
        <w:rPr>
          <w:rFonts w:ascii="Sakkal Majalla" w:eastAsia="Calibri" w:hAnsi="Sakkal Majalla" w:cs="Sakkal Majalla"/>
          <w:b/>
          <w:bCs/>
          <w:color w:val="0D0D0D" w:themeColor="text1" w:themeTint="F2"/>
          <w:kern w:val="2"/>
          <w:sz w:val="28"/>
          <w:szCs w:val="28"/>
          <w:rtl/>
          <w14:ligatures w14:val="standardContextual"/>
        </w:rPr>
        <w:t xml:space="preserve">لأبعاد المتغير الوسيط (جودة القرارات الاستراتيجية) </w:t>
      </w:r>
      <w:r w:rsidRPr="00BF5EAB">
        <w:rPr>
          <w:rFonts w:ascii="Sakkal Majalla" w:eastAsia="Calibri" w:hAnsi="Sakkal Majalla" w:cs="Sakkal Majalla"/>
          <w:b/>
          <w:bCs/>
          <w:color w:val="0D0D0D" w:themeColor="text1" w:themeTint="F2"/>
          <w:kern w:val="2"/>
          <w:sz w:val="28"/>
          <w:szCs w:val="28"/>
          <w:rtl/>
          <w14:ligatures w14:val="standardContextual"/>
        </w:rPr>
        <w:t>بالدرجة الكلية لكل بُعد (ن=30)</w:t>
      </w:r>
    </w:p>
    <w:tbl>
      <w:tblPr>
        <w:tblStyle w:val="1"/>
        <w:bidiVisual/>
        <w:tblW w:w="0" w:type="auto"/>
        <w:tblLook w:val="04A0" w:firstRow="1" w:lastRow="0" w:firstColumn="1" w:lastColumn="0" w:noHBand="0" w:noVBand="1"/>
      </w:tblPr>
      <w:tblGrid>
        <w:gridCol w:w="744"/>
        <w:gridCol w:w="931"/>
        <w:gridCol w:w="763"/>
        <w:gridCol w:w="954"/>
        <w:gridCol w:w="765"/>
        <w:gridCol w:w="957"/>
        <w:gridCol w:w="758"/>
        <w:gridCol w:w="948"/>
        <w:gridCol w:w="744"/>
        <w:gridCol w:w="929"/>
      </w:tblGrid>
      <w:tr w:rsidR="00BF5EAB" w:rsidRPr="00BF5EAB" w14:paraId="0987A214" w14:textId="57BAD95C" w:rsidTr="0074601C">
        <w:trPr>
          <w:tblHeader/>
        </w:trPr>
        <w:tc>
          <w:tcPr>
            <w:tcW w:w="0" w:type="auto"/>
            <w:gridSpan w:val="2"/>
            <w:vAlign w:val="center"/>
          </w:tcPr>
          <w:p w14:paraId="58A39202" w14:textId="2F055730"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الأول</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جودة وموثوقية المعلومات</w:t>
            </w:r>
          </w:p>
        </w:tc>
        <w:tc>
          <w:tcPr>
            <w:tcW w:w="0" w:type="auto"/>
            <w:gridSpan w:val="2"/>
            <w:vAlign w:val="center"/>
          </w:tcPr>
          <w:p w14:paraId="16253F67" w14:textId="2FB2EBDF"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الثاني</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التحليل الموضوعي وتقييم البدائل</w:t>
            </w:r>
          </w:p>
        </w:tc>
        <w:tc>
          <w:tcPr>
            <w:tcW w:w="0" w:type="auto"/>
            <w:gridSpan w:val="2"/>
            <w:vAlign w:val="center"/>
          </w:tcPr>
          <w:p w14:paraId="2DFE22BE" w14:textId="38E575AE"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الثالث</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تفسير وتوظيف المخرجات الرقمية</w:t>
            </w:r>
          </w:p>
        </w:tc>
        <w:tc>
          <w:tcPr>
            <w:tcW w:w="0" w:type="auto"/>
            <w:gridSpan w:val="2"/>
            <w:vAlign w:val="center"/>
          </w:tcPr>
          <w:p w14:paraId="0C995A52" w14:textId="1AFF5C06"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الرابع</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التوافق الاستراتيجي والامتثال</w:t>
            </w:r>
          </w:p>
        </w:tc>
        <w:tc>
          <w:tcPr>
            <w:tcW w:w="0" w:type="auto"/>
            <w:gridSpan w:val="2"/>
            <w:vAlign w:val="center"/>
          </w:tcPr>
          <w:p w14:paraId="36318227" w14:textId="50BF1522" w:rsidR="00A13D48" w:rsidRPr="00BF5EAB" w:rsidRDefault="00A13D48"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الخامس</w:t>
            </w:r>
            <w:r w:rsidR="005B20E7" w:rsidRPr="00BF5EAB">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كفاءة مخرجات القرار</w:t>
            </w:r>
          </w:p>
        </w:tc>
      </w:tr>
      <w:tr w:rsidR="00BF5EAB" w:rsidRPr="00BF5EAB" w14:paraId="1D3FA6CD" w14:textId="4DC10A0C" w:rsidTr="0074601C">
        <w:trPr>
          <w:tblHeader/>
        </w:trPr>
        <w:tc>
          <w:tcPr>
            <w:tcW w:w="0" w:type="auto"/>
            <w:vAlign w:val="center"/>
            <w:hideMark/>
          </w:tcPr>
          <w:p w14:paraId="33617E95"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3E41DF23"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001A26B9"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064C34FE"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3499A714"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05AB71F6"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tcPr>
          <w:p w14:paraId="2DEDA0BD" w14:textId="6E4A4D0F"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tcPr>
          <w:p w14:paraId="103C37D2" w14:textId="337B3D73"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tcPr>
          <w:p w14:paraId="71363FDD" w14:textId="19F12824"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tcPr>
          <w:p w14:paraId="01AB47AE" w14:textId="539DABD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r>
      <w:tr w:rsidR="00BF5EAB" w:rsidRPr="00BF5EAB" w14:paraId="71552889" w14:textId="72BDFEAF" w:rsidTr="008C2C62">
        <w:tc>
          <w:tcPr>
            <w:tcW w:w="0" w:type="auto"/>
            <w:vAlign w:val="center"/>
          </w:tcPr>
          <w:p w14:paraId="2DEEB9B0" w14:textId="028890EC"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15</w:t>
            </w:r>
          </w:p>
        </w:tc>
        <w:tc>
          <w:tcPr>
            <w:tcW w:w="0" w:type="auto"/>
            <w:vAlign w:val="center"/>
          </w:tcPr>
          <w:p w14:paraId="3A566167"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0" w:type="auto"/>
            <w:vAlign w:val="center"/>
          </w:tcPr>
          <w:p w14:paraId="1EE3810D" w14:textId="6A99DBA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20</w:t>
            </w:r>
          </w:p>
        </w:tc>
        <w:tc>
          <w:tcPr>
            <w:tcW w:w="0" w:type="auto"/>
            <w:vAlign w:val="center"/>
          </w:tcPr>
          <w:p w14:paraId="18DA9CAD"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0.838**</w:t>
            </w:r>
          </w:p>
        </w:tc>
        <w:tc>
          <w:tcPr>
            <w:tcW w:w="0" w:type="auto"/>
            <w:vAlign w:val="center"/>
          </w:tcPr>
          <w:p w14:paraId="15B9613B" w14:textId="64F4996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23</w:t>
            </w:r>
          </w:p>
        </w:tc>
        <w:tc>
          <w:tcPr>
            <w:tcW w:w="0" w:type="auto"/>
            <w:vAlign w:val="center"/>
          </w:tcPr>
          <w:p w14:paraId="03D3D9BF"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0.745**</w:t>
            </w:r>
          </w:p>
        </w:tc>
        <w:tc>
          <w:tcPr>
            <w:tcW w:w="0" w:type="auto"/>
            <w:vAlign w:val="center"/>
          </w:tcPr>
          <w:p w14:paraId="42584236" w14:textId="2B67C63E"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28</w:t>
            </w:r>
          </w:p>
        </w:tc>
        <w:tc>
          <w:tcPr>
            <w:tcW w:w="0" w:type="auto"/>
          </w:tcPr>
          <w:p w14:paraId="4EF0F13A" w14:textId="4E2499F2"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0.821**</w:t>
            </w:r>
          </w:p>
        </w:tc>
        <w:tc>
          <w:tcPr>
            <w:tcW w:w="0" w:type="auto"/>
            <w:vAlign w:val="center"/>
          </w:tcPr>
          <w:p w14:paraId="0C630F39" w14:textId="06AA6329"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Times New Roman" w:hAnsi="Sakkal Majalla" w:cs="Sakkal Majalla"/>
                <w:color w:val="0D0D0D" w:themeColor="text1" w:themeTint="F2"/>
                <w:sz w:val="28"/>
                <w:szCs w:val="28"/>
                <w:rtl/>
              </w:rPr>
              <w:t>32</w:t>
            </w:r>
          </w:p>
        </w:tc>
        <w:tc>
          <w:tcPr>
            <w:tcW w:w="0" w:type="auto"/>
          </w:tcPr>
          <w:p w14:paraId="7DE0622D" w14:textId="675E153F"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0.795**</w:t>
            </w:r>
          </w:p>
        </w:tc>
      </w:tr>
      <w:tr w:rsidR="00BF5EAB" w:rsidRPr="00BF5EAB" w14:paraId="334DD41F" w14:textId="7B426861" w:rsidTr="008C2C62">
        <w:tc>
          <w:tcPr>
            <w:tcW w:w="0" w:type="auto"/>
            <w:vAlign w:val="center"/>
          </w:tcPr>
          <w:p w14:paraId="6B00F9CA" w14:textId="4C2C5153"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16</w:t>
            </w:r>
          </w:p>
        </w:tc>
        <w:tc>
          <w:tcPr>
            <w:tcW w:w="0" w:type="auto"/>
            <w:vAlign w:val="center"/>
          </w:tcPr>
          <w:p w14:paraId="1F7BBB7D"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0.825**</w:t>
            </w:r>
          </w:p>
        </w:tc>
        <w:tc>
          <w:tcPr>
            <w:tcW w:w="0" w:type="auto"/>
            <w:vAlign w:val="center"/>
          </w:tcPr>
          <w:p w14:paraId="68D45CAF" w14:textId="2B8D8A5D"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21</w:t>
            </w:r>
          </w:p>
        </w:tc>
        <w:tc>
          <w:tcPr>
            <w:tcW w:w="0" w:type="auto"/>
            <w:vAlign w:val="center"/>
          </w:tcPr>
          <w:p w14:paraId="35F4A135"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0.791**</w:t>
            </w:r>
          </w:p>
        </w:tc>
        <w:tc>
          <w:tcPr>
            <w:tcW w:w="0" w:type="auto"/>
            <w:vAlign w:val="center"/>
          </w:tcPr>
          <w:p w14:paraId="04D93CDC" w14:textId="16ACD2D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24</w:t>
            </w:r>
          </w:p>
        </w:tc>
        <w:tc>
          <w:tcPr>
            <w:tcW w:w="0" w:type="auto"/>
            <w:vAlign w:val="center"/>
          </w:tcPr>
          <w:p w14:paraId="1D0065CB"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c>
          <w:tcPr>
            <w:tcW w:w="0" w:type="auto"/>
            <w:vAlign w:val="center"/>
          </w:tcPr>
          <w:p w14:paraId="24385C80" w14:textId="472CEFF8"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29</w:t>
            </w:r>
          </w:p>
        </w:tc>
        <w:tc>
          <w:tcPr>
            <w:tcW w:w="0" w:type="auto"/>
          </w:tcPr>
          <w:p w14:paraId="214163A2" w14:textId="6D32B885"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0.780**</w:t>
            </w:r>
          </w:p>
        </w:tc>
        <w:tc>
          <w:tcPr>
            <w:tcW w:w="0" w:type="auto"/>
            <w:vAlign w:val="center"/>
          </w:tcPr>
          <w:p w14:paraId="6497FC1D" w14:textId="51AADF67"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33</w:t>
            </w:r>
          </w:p>
        </w:tc>
        <w:tc>
          <w:tcPr>
            <w:tcW w:w="0" w:type="auto"/>
          </w:tcPr>
          <w:p w14:paraId="3DAB5244" w14:textId="1F620F52"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0.738**</w:t>
            </w:r>
          </w:p>
        </w:tc>
      </w:tr>
      <w:tr w:rsidR="00BF5EAB" w:rsidRPr="00BF5EAB" w14:paraId="0F42F916" w14:textId="71CD7864" w:rsidTr="008C2C62">
        <w:tc>
          <w:tcPr>
            <w:tcW w:w="0" w:type="auto"/>
            <w:vAlign w:val="center"/>
          </w:tcPr>
          <w:p w14:paraId="4BCF65A7" w14:textId="5B38C1B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17</w:t>
            </w:r>
          </w:p>
        </w:tc>
        <w:tc>
          <w:tcPr>
            <w:tcW w:w="0" w:type="auto"/>
            <w:vAlign w:val="center"/>
          </w:tcPr>
          <w:p w14:paraId="6E7BA0F1"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0.758**</w:t>
            </w:r>
          </w:p>
        </w:tc>
        <w:tc>
          <w:tcPr>
            <w:tcW w:w="0" w:type="auto"/>
            <w:vAlign w:val="center"/>
          </w:tcPr>
          <w:p w14:paraId="17DA1F43" w14:textId="7001D7B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22</w:t>
            </w:r>
          </w:p>
        </w:tc>
        <w:tc>
          <w:tcPr>
            <w:tcW w:w="0" w:type="auto"/>
            <w:vAlign w:val="center"/>
          </w:tcPr>
          <w:p w14:paraId="25EDFB6C"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0.726**</w:t>
            </w:r>
          </w:p>
        </w:tc>
        <w:tc>
          <w:tcPr>
            <w:tcW w:w="0" w:type="auto"/>
            <w:vAlign w:val="center"/>
          </w:tcPr>
          <w:p w14:paraId="35D32CE9" w14:textId="7F21493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25</w:t>
            </w:r>
          </w:p>
        </w:tc>
        <w:tc>
          <w:tcPr>
            <w:tcW w:w="0" w:type="auto"/>
            <w:vAlign w:val="center"/>
          </w:tcPr>
          <w:p w14:paraId="016EB5D9"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c>
          <w:tcPr>
            <w:tcW w:w="0" w:type="auto"/>
            <w:vAlign w:val="center"/>
          </w:tcPr>
          <w:p w14:paraId="37939C15" w14:textId="21FEE6D2"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30</w:t>
            </w:r>
          </w:p>
        </w:tc>
        <w:tc>
          <w:tcPr>
            <w:tcW w:w="0" w:type="auto"/>
          </w:tcPr>
          <w:p w14:paraId="34D7AF71" w14:textId="4DDDBDD4"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0.833**</w:t>
            </w:r>
          </w:p>
        </w:tc>
        <w:tc>
          <w:tcPr>
            <w:tcW w:w="0" w:type="auto"/>
            <w:vAlign w:val="center"/>
          </w:tcPr>
          <w:p w14:paraId="51724569" w14:textId="23496583"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34</w:t>
            </w:r>
          </w:p>
        </w:tc>
        <w:tc>
          <w:tcPr>
            <w:tcW w:w="0" w:type="auto"/>
          </w:tcPr>
          <w:p w14:paraId="72908D09" w14:textId="0FF272D1"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0.822**</w:t>
            </w:r>
          </w:p>
        </w:tc>
      </w:tr>
      <w:tr w:rsidR="00BF5EAB" w:rsidRPr="00BF5EAB" w14:paraId="1C018932" w14:textId="6CFB1688" w:rsidTr="00A13D48">
        <w:tc>
          <w:tcPr>
            <w:tcW w:w="0" w:type="auto"/>
            <w:vAlign w:val="center"/>
          </w:tcPr>
          <w:p w14:paraId="175A7DC3" w14:textId="2B6C247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18</w:t>
            </w:r>
          </w:p>
        </w:tc>
        <w:tc>
          <w:tcPr>
            <w:tcW w:w="0" w:type="auto"/>
            <w:vAlign w:val="center"/>
          </w:tcPr>
          <w:p w14:paraId="05976CBC"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0.814**</w:t>
            </w:r>
          </w:p>
        </w:tc>
        <w:tc>
          <w:tcPr>
            <w:tcW w:w="0" w:type="auto"/>
            <w:gridSpan w:val="2"/>
            <w:vMerge w:val="restart"/>
            <w:shd w:val="clear" w:color="auto" w:fill="D9D9D9" w:themeFill="background1" w:themeFillShade="D9"/>
            <w:vAlign w:val="center"/>
          </w:tcPr>
          <w:p w14:paraId="4D06994E" w14:textId="4DE07FCA"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c>
          <w:tcPr>
            <w:tcW w:w="0" w:type="auto"/>
            <w:vAlign w:val="center"/>
          </w:tcPr>
          <w:p w14:paraId="1134158D" w14:textId="3B0284EB"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26</w:t>
            </w:r>
          </w:p>
        </w:tc>
        <w:tc>
          <w:tcPr>
            <w:tcW w:w="0" w:type="auto"/>
            <w:vAlign w:val="center"/>
          </w:tcPr>
          <w:p w14:paraId="162B73AE"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0.799**</w:t>
            </w:r>
          </w:p>
        </w:tc>
        <w:tc>
          <w:tcPr>
            <w:tcW w:w="0" w:type="auto"/>
            <w:vAlign w:val="center"/>
          </w:tcPr>
          <w:p w14:paraId="7F0DEFB0" w14:textId="4AE9C514"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31</w:t>
            </w:r>
          </w:p>
        </w:tc>
        <w:tc>
          <w:tcPr>
            <w:tcW w:w="0" w:type="auto"/>
          </w:tcPr>
          <w:p w14:paraId="54B12A39" w14:textId="4EC83D10"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0.796**</w:t>
            </w:r>
          </w:p>
        </w:tc>
        <w:tc>
          <w:tcPr>
            <w:tcW w:w="0" w:type="auto"/>
            <w:vAlign w:val="center"/>
          </w:tcPr>
          <w:p w14:paraId="2BADAD24" w14:textId="51C80611"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35</w:t>
            </w:r>
          </w:p>
        </w:tc>
        <w:tc>
          <w:tcPr>
            <w:tcW w:w="0" w:type="auto"/>
          </w:tcPr>
          <w:p w14:paraId="779C57BD" w14:textId="632B6DFA"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0.810**</w:t>
            </w:r>
          </w:p>
        </w:tc>
      </w:tr>
      <w:tr w:rsidR="00BF5EAB" w:rsidRPr="00BF5EAB" w14:paraId="05A1C3B6" w14:textId="58B45BEA" w:rsidTr="00A13D48">
        <w:tc>
          <w:tcPr>
            <w:tcW w:w="0" w:type="auto"/>
            <w:vAlign w:val="center"/>
          </w:tcPr>
          <w:p w14:paraId="01F8F25F" w14:textId="6EBF5EF6"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19</w:t>
            </w:r>
          </w:p>
        </w:tc>
        <w:tc>
          <w:tcPr>
            <w:tcW w:w="0" w:type="auto"/>
            <w:vAlign w:val="center"/>
            <w:hideMark/>
          </w:tcPr>
          <w:p w14:paraId="4676EA9F"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0.708**</w:t>
            </w:r>
          </w:p>
        </w:tc>
        <w:tc>
          <w:tcPr>
            <w:tcW w:w="0" w:type="auto"/>
            <w:gridSpan w:val="2"/>
            <w:vMerge/>
            <w:shd w:val="clear" w:color="auto" w:fill="D9D9D9" w:themeFill="background1" w:themeFillShade="D9"/>
            <w:vAlign w:val="center"/>
          </w:tcPr>
          <w:p w14:paraId="1DE86840" w14:textId="04AB130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c>
          <w:tcPr>
            <w:tcW w:w="0" w:type="auto"/>
            <w:vAlign w:val="center"/>
          </w:tcPr>
          <w:p w14:paraId="77F42AD9" w14:textId="6AB1FF3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27</w:t>
            </w:r>
          </w:p>
        </w:tc>
        <w:tc>
          <w:tcPr>
            <w:tcW w:w="0" w:type="auto"/>
          </w:tcPr>
          <w:p w14:paraId="6D1CD199" w14:textId="0826161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Pr>
              <w:t>0.821**</w:t>
            </w:r>
          </w:p>
        </w:tc>
        <w:tc>
          <w:tcPr>
            <w:tcW w:w="0" w:type="auto"/>
            <w:gridSpan w:val="4"/>
            <w:shd w:val="clear" w:color="auto" w:fill="D9D9D9" w:themeFill="background1" w:themeFillShade="D9"/>
            <w:vAlign w:val="center"/>
          </w:tcPr>
          <w:p w14:paraId="1A36F43B"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r>
    </w:tbl>
    <w:p w14:paraId="59E191EA" w14:textId="77777777" w:rsidR="00BB58E9" w:rsidRPr="00BF5EAB" w:rsidRDefault="00BB58E9" w:rsidP="003B07BF">
      <w:pPr>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دال عند مستوى الدلالة 0.01 فأقل</w:t>
      </w:r>
    </w:p>
    <w:p w14:paraId="3DA7B465" w14:textId="68703F29" w:rsidR="00BB58E9" w:rsidRPr="00BF5EAB" w:rsidRDefault="00C05039" w:rsidP="005501C8">
      <w:pPr>
        <w:widowControl w:val="0"/>
        <w:spacing w:after="0" w:line="276" w:lineRule="auto"/>
        <w:ind w:left="-32"/>
        <w:contextualSpacing/>
        <w:jc w:val="both"/>
        <w:outlineLvl w:val="2"/>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يُظهر الجدول السابق أن معاملات ارتباط فقرات المتغير الوسيط (جودة القرارات الاستراتيجية) بالأبعاد الخمسة المكونة له جاءت جميعها موجبة ودالة إحصائياً عند مستوى دلالة (0.01) فأقل. وقد انحصرت قيم معاملات الارتباط بين حد أدنى بلغ (0.708) للعبارة رقم (19) في بُعد جودة وموثوقية المعلومات، وحد أقصى بلغ (0.838) للعبارة رقم (20) في بُعد التحليل الموضوعي وتقييم البدائل. وتُثبت هذه النتائج الإحصائية تمتع فقرات المتغير الوسيط بصدق اتساق داخلي ممتاز، يعكس قدرتها العالية على قياس كفاءة وحصافة العمليات القرارية والتوجهات الاستراتيجية داخل المصارف العاملة بمدينة الرياض بشكل موضوعي ومنفصل مفاهيمياً</w:t>
      </w:r>
      <w:r w:rsidR="00BB58E9" w:rsidRPr="00BF5EAB">
        <w:rPr>
          <w:rFonts w:ascii="Sakkal Majalla" w:eastAsia="Times New Roman" w:hAnsi="Sakkal Majalla" w:cs="Sakkal Majalla"/>
          <w:color w:val="0D0D0D" w:themeColor="text1" w:themeTint="F2"/>
          <w:sz w:val="32"/>
          <w:szCs w:val="32"/>
          <w:rtl/>
        </w:rPr>
        <w:t>.</w:t>
      </w:r>
    </w:p>
    <w:p w14:paraId="506564B0" w14:textId="40ED6F5E" w:rsidR="0080387B" w:rsidRPr="00BF5EAB" w:rsidRDefault="0080387B" w:rsidP="005501C8">
      <w:pPr>
        <w:widowControl w:val="0"/>
        <w:spacing w:after="0" w:line="276" w:lineRule="auto"/>
        <w:ind w:left="-32"/>
        <w:contextualSpacing/>
        <w:jc w:val="both"/>
        <w:outlineLvl w:val="2"/>
        <w:rPr>
          <w:rFonts w:ascii="Sakkal Majalla" w:eastAsia="Times New Roman" w:hAnsi="Sakkal Majalla" w:cs="Sakkal Majalla"/>
          <w:b/>
          <w:bCs/>
          <w:color w:val="0D0D0D" w:themeColor="text1" w:themeTint="F2"/>
          <w:sz w:val="32"/>
          <w:szCs w:val="32"/>
        </w:rPr>
      </w:pPr>
      <w:r w:rsidRPr="00BF5EAB">
        <w:rPr>
          <w:rFonts w:ascii="Sakkal Majalla" w:eastAsia="Times New Roman" w:hAnsi="Sakkal Majalla" w:cs="Sakkal Majalla"/>
          <w:b/>
          <w:bCs/>
          <w:color w:val="0D0D0D" w:themeColor="text1" w:themeTint="F2"/>
          <w:sz w:val="32"/>
          <w:szCs w:val="32"/>
          <w:rtl/>
        </w:rPr>
        <w:t>المتغير التابع (الابتكار التنظيمي)</w:t>
      </w:r>
      <w:r w:rsidR="005B20E7" w:rsidRPr="00BF5EAB">
        <w:rPr>
          <w:rFonts w:ascii="Sakkal Majalla" w:eastAsia="Times New Roman" w:hAnsi="Sakkal Majalla" w:cs="Sakkal Majalla"/>
          <w:b/>
          <w:bCs/>
          <w:color w:val="0D0D0D" w:themeColor="text1" w:themeTint="F2"/>
          <w:sz w:val="32"/>
          <w:szCs w:val="32"/>
          <w:rtl/>
        </w:rPr>
        <w:t>:</w:t>
      </w:r>
      <w:r w:rsidRPr="00BF5EAB">
        <w:rPr>
          <w:rFonts w:ascii="Sakkal Majalla" w:eastAsia="Times New Roman" w:hAnsi="Sakkal Majalla" w:cs="Sakkal Majalla"/>
          <w:b/>
          <w:bCs/>
          <w:color w:val="0D0D0D" w:themeColor="text1" w:themeTint="F2"/>
          <w:sz w:val="32"/>
          <w:szCs w:val="32"/>
          <w:rtl/>
        </w:rPr>
        <w:t xml:space="preserve"> </w:t>
      </w:r>
    </w:p>
    <w:p w14:paraId="0E1E1DBF" w14:textId="64D29BFB" w:rsidR="0080387B" w:rsidRPr="00BF5EAB" w:rsidRDefault="0080387B" w:rsidP="003B07BF">
      <w:pPr>
        <w:widowControl w:val="0"/>
        <w:spacing w:after="0" w:line="240" w:lineRule="auto"/>
        <w:ind w:left="-32"/>
        <w:contextualSpacing/>
        <w:jc w:val="center"/>
        <w:outlineLvl w:val="2"/>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b/>
          <w:bCs/>
          <w:color w:val="0D0D0D" w:themeColor="text1" w:themeTint="F2"/>
          <w:sz w:val="28"/>
          <w:szCs w:val="28"/>
          <w:rtl/>
        </w:rPr>
        <w:t>جدول (</w:t>
      </w:r>
      <w:r w:rsidR="00C47F36" w:rsidRPr="00BF5EAB">
        <w:rPr>
          <w:rFonts w:ascii="Sakkal Majalla" w:eastAsia="Times New Roman" w:hAnsi="Sakkal Majalla" w:cs="Sakkal Majalla"/>
          <w:b/>
          <w:bCs/>
          <w:color w:val="0D0D0D" w:themeColor="text1" w:themeTint="F2"/>
          <w:sz w:val="28"/>
          <w:szCs w:val="28"/>
          <w:rtl/>
        </w:rPr>
        <w:t>3-10</w:t>
      </w:r>
      <w:r w:rsidRPr="00BF5EAB">
        <w:rPr>
          <w:rFonts w:ascii="Sakkal Majalla" w:eastAsia="Times New Roman" w:hAnsi="Sakkal Majalla" w:cs="Sakkal Majalla"/>
          <w:b/>
          <w:bCs/>
          <w:color w:val="0D0D0D" w:themeColor="text1" w:themeTint="F2"/>
          <w:sz w:val="28"/>
          <w:szCs w:val="28"/>
          <w:rtl/>
        </w:rPr>
        <w:t>)</w:t>
      </w:r>
      <w:r w:rsidR="005B20E7" w:rsidRPr="00BF5EAB">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معاملات ارتباط فقرات أبعاد المتغير التابع (الابتكار التنظيمي) بالدرجة الكلية لكل بُعد (ن=30)</w:t>
      </w:r>
    </w:p>
    <w:tbl>
      <w:tblPr>
        <w:tblStyle w:val="1"/>
        <w:bidiVisual/>
        <w:tblW w:w="0" w:type="auto"/>
        <w:tblLook w:val="04A0" w:firstRow="1" w:lastRow="0" w:firstColumn="1" w:lastColumn="0" w:noHBand="0" w:noVBand="1"/>
      </w:tblPr>
      <w:tblGrid>
        <w:gridCol w:w="1296"/>
        <w:gridCol w:w="1650"/>
        <w:gridCol w:w="991"/>
        <w:gridCol w:w="1259"/>
        <w:gridCol w:w="1451"/>
        <w:gridCol w:w="1846"/>
      </w:tblGrid>
      <w:tr w:rsidR="00BF5EAB" w:rsidRPr="00BF5EAB" w14:paraId="1EE5C740" w14:textId="77777777" w:rsidTr="0074601C">
        <w:trPr>
          <w:tblHeader/>
        </w:trPr>
        <w:tc>
          <w:tcPr>
            <w:tcW w:w="0" w:type="auto"/>
            <w:gridSpan w:val="2"/>
            <w:vAlign w:val="center"/>
          </w:tcPr>
          <w:p w14:paraId="3467E4DB" w14:textId="1C1F1D6B"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الأول</w:t>
            </w:r>
            <w:r w:rsidR="005B20E7" w:rsidRPr="00BF5EAB">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ابتكار الخدمات المالية الرقمية</w:t>
            </w:r>
          </w:p>
        </w:tc>
        <w:tc>
          <w:tcPr>
            <w:tcW w:w="0" w:type="auto"/>
            <w:gridSpan w:val="2"/>
            <w:vAlign w:val="center"/>
          </w:tcPr>
          <w:p w14:paraId="10C36F71" w14:textId="3D8F59B8"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الثاني (الابتكار الإداري)</w:t>
            </w:r>
          </w:p>
        </w:tc>
        <w:tc>
          <w:tcPr>
            <w:tcW w:w="0" w:type="auto"/>
            <w:gridSpan w:val="2"/>
            <w:vAlign w:val="center"/>
          </w:tcPr>
          <w:p w14:paraId="3496F946" w14:textId="6C374BBD"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الثالث</w:t>
            </w:r>
            <w:r w:rsidR="005B20E7" w:rsidRPr="00BF5EAB">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الثقافة التنظيمية الداعمة للابتكار</w:t>
            </w:r>
          </w:p>
        </w:tc>
      </w:tr>
      <w:tr w:rsidR="00BF5EAB" w:rsidRPr="00BF5EAB" w14:paraId="5738F838" w14:textId="77777777" w:rsidTr="0074601C">
        <w:trPr>
          <w:tblHeader/>
        </w:trPr>
        <w:tc>
          <w:tcPr>
            <w:tcW w:w="0" w:type="auto"/>
            <w:vAlign w:val="center"/>
            <w:hideMark/>
          </w:tcPr>
          <w:p w14:paraId="7019AD6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241E2961"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3426235D"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3627784F"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233F3A2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4BA6C0A3"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r>
      <w:tr w:rsidR="00BF5EAB" w:rsidRPr="00BF5EAB" w14:paraId="551DCD13" w14:textId="77777777" w:rsidTr="0080387B">
        <w:tc>
          <w:tcPr>
            <w:tcW w:w="0" w:type="auto"/>
            <w:vAlign w:val="center"/>
          </w:tcPr>
          <w:p w14:paraId="3F974F5D" w14:textId="42094FDA"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36</w:t>
            </w:r>
          </w:p>
        </w:tc>
        <w:tc>
          <w:tcPr>
            <w:tcW w:w="0" w:type="auto"/>
            <w:vAlign w:val="center"/>
          </w:tcPr>
          <w:p w14:paraId="2ACC8684"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0" w:type="auto"/>
            <w:vAlign w:val="center"/>
          </w:tcPr>
          <w:p w14:paraId="035146BB" w14:textId="19D2F43A"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42</w:t>
            </w:r>
          </w:p>
        </w:tc>
        <w:tc>
          <w:tcPr>
            <w:tcW w:w="0" w:type="auto"/>
            <w:vAlign w:val="center"/>
          </w:tcPr>
          <w:p w14:paraId="60132011"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0.838**</w:t>
            </w:r>
          </w:p>
        </w:tc>
        <w:tc>
          <w:tcPr>
            <w:tcW w:w="0" w:type="auto"/>
            <w:vAlign w:val="center"/>
          </w:tcPr>
          <w:p w14:paraId="58C2057E" w14:textId="4BCEF3AA"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48</w:t>
            </w:r>
          </w:p>
        </w:tc>
        <w:tc>
          <w:tcPr>
            <w:tcW w:w="0" w:type="auto"/>
            <w:vAlign w:val="center"/>
          </w:tcPr>
          <w:p w14:paraId="26599109"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0.745**</w:t>
            </w:r>
          </w:p>
        </w:tc>
      </w:tr>
      <w:tr w:rsidR="00BF5EAB" w:rsidRPr="00BF5EAB" w14:paraId="249F789B" w14:textId="77777777" w:rsidTr="0080387B">
        <w:tc>
          <w:tcPr>
            <w:tcW w:w="0" w:type="auto"/>
            <w:vAlign w:val="center"/>
          </w:tcPr>
          <w:p w14:paraId="735144B1" w14:textId="7A4931D0"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37</w:t>
            </w:r>
          </w:p>
        </w:tc>
        <w:tc>
          <w:tcPr>
            <w:tcW w:w="0" w:type="auto"/>
            <w:vAlign w:val="center"/>
          </w:tcPr>
          <w:p w14:paraId="0FC51EA2"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0.825**</w:t>
            </w:r>
          </w:p>
        </w:tc>
        <w:tc>
          <w:tcPr>
            <w:tcW w:w="0" w:type="auto"/>
            <w:vAlign w:val="center"/>
          </w:tcPr>
          <w:p w14:paraId="1834E8B9" w14:textId="4CF01941"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43</w:t>
            </w:r>
          </w:p>
        </w:tc>
        <w:tc>
          <w:tcPr>
            <w:tcW w:w="0" w:type="auto"/>
            <w:vAlign w:val="center"/>
          </w:tcPr>
          <w:p w14:paraId="40D0B9B4"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0.791**</w:t>
            </w:r>
          </w:p>
        </w:tc>
        <w:tc>
          <w:tcPr>
            <w:tcW w:w="0" w:type="auto"/>
            <w:vAlign w:val="center"/>
          </w:tcPr>
          <w:p w14:paraId="22710695" w14:textId="5D669AD2"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49</w:t>
            </w:r>
          </w:p>
        </w:tc>
        <w:tc>
          <w:tcPr>
            <w:tcW w:w="0" w:type="auto"/>
            <w:vAlign w:val="center"/>
          </w:tcPr>
          <w:p w14:paraId="651653F3"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r>
      <w:tr w:rsidR="00BF5EAB" w:rsidRPr="00BF5EAB" w14:paraId="3117CF07" w14:textId="77777777" w:rsidTr="0080387B">
        <w:tc>
          <w:tcPr>
            <w:tcW w:w="0" w:type="auto"/>
            <w:vAlign w:val="center"/>
          </w:tcPr>
          <w:p w14:paraId="14E2984B" w14:textId="6508EDAC"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38</w:t>
            </w:r>
          </w:p>
        </w:tc>
        <w:tc>
          <w:tcPr>
            <w:tcW w:w="0" w:type="auto"/>
            <w:vAlign w:val="center"/>
          </w:tcPr>
          <w:p w14:paraId="53F941BF"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0.758**</w:t>
            </w:r>
          </w:p>
        </w:tc>
        <w:tc>
          <w:tcPr>
            <w:tcW w:w="0" w:type="auto"/>
            <w:vAlign w:val="center"/>
          </w:tcPr>
          <w:p w14:paraId="1C5C27B0" w14:textId="3205B7B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44</w:t>
            </w:r>
          </w:p>
        </w:tc>
        <w:tc>
          <w:tcPr>
            <w:tcW w:w="0" w:type="auto"/>
            <w:vAlign w:val="center"/>
          </w:tcPr>
          <w:p w14:paraId="166B429D"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0.726**</w:t>
            </w:r>
          </w:p>
        </w:tc>
        <w:tc>
          <w:tcPr>
            <w:tcW w:w="0" w:type="auto"/>
            <w:vAlign w:val="center"/>
          </w:tcPr>
          <w:p w14:paraId="2BE732F0" w14:textId="444E50DE"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50</w:t>
            </w:r>
          </w:p>
        </w:tc>
        <w:tc>
          <w:tcPr>
            <w:tcW w:w="0" w:type="auto"/>
            <w:vAlign w:val="center"/>
          </w:tcPr>
          <w:p w14:paraId="5F99F9FA"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r>
      <w:tr w:rsidR="00BF5EAB" w:rsidRPr="00BF5EAB" w14:paraId="4309FAA8" w14:textId="77777777" w:rsidTr="0080387B">
        <w:tc>
          <w:tcPr>
            <w:tcW w:w="0" w:type="auto"/>
            <w:vAlign w:val="center"/>
          </w:tcPr>
          <w:p w14:paraId="796E05E6" w14:textId="2E0ACABF"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lastRenderedPageBreak/>
              <w:t>39</w:t>
            </w:r>
          </w:p>
        </w:tc>
        <w:tc>
          <w:tcPr>
            <w:tcW w:w="0" w:type="auto"/>
            <w:vAlign w:val="center"/>
          </w:tcPr>
          <w:p w14:paraId="0CE537E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0.814**</w:t>
            </w:r>
          </w:p>
        </w:tc>
        <w:tc>
          <w:tcPr>
            <w:tcW w:w="0" w:type="auto"/>
            <w:vAlign w:val="center"/>
          </w:tcPr>
          <w:p w14:paraId="509E493F" w14:textId="3EBDD7A9"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45</w:t>
            </w:r>
          </w:p>
        </w:tc>
        <w:tc>
          <w:tcPr>
            <w:tcW w:w="0" w:type="auto"/>
            <w:vAlign w:val="center"/>
          </w:tcPr>
          <w:p w14:paraId="636CD5CB"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0.811**</w:t>
            </w:r>
          </w:p>
        </w:tc>
        <w:tc>
          <w:tcPr>
            <w:tcW w:w="0" w:type="auto"/>
            <w:vAlign w:val="center"/>
          </w:tcPr>
          <w:p w14:paraId="6152B9C4" w14:textId="08EB9730"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lang w:bidi="ar-EG"/>
                <w14:ligatures w14:val="standardContextual"/>
              </w:rPr>
            </w:pPr>
            <w:r w:rsidRPr="00BF5EAB">
              <w:rPr>
                <w:rFonts w:ascii="Sakkal Majalla" w:eastAsia="Calibri" w:hAnsi="Sakkal Majalla" w:cs="Sakkal Majalla"/>
                <w:color w:val="0D0D0D" w:themeColor="text1" w:themeTint="F2"/>
                <w:kern w:val="2"/>
                <w:sz w:val="28"/>
                <w:szCs w:val="28"/>
                <w:rtl/>
                <w:lang w:bidi="ar-EG"/>
                <w14:ligatures w14:val="standardContextual"/>
              </w:rPr>
              <w:t>51</w:t>
            </w:r>
          </w:p>
        </w:tc>
        <w:tc>
          <w:tcPr>
            <w:tcW w:w="0" w:type="auto"/>
            <w:vAlign w:val="center"/>
          </w:tcPr>
          <w:p w14:paraId="3DAD790F"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0.799**</w:t>
            </w:r>
          </w:p>
        </w:tc>
      </w:tr>
      <w:tr w:rsidR="00BF5EAB" w:rsidRPr="00BF5EAB" w14:paraId="27C4ECDD" w14:textId="77777777" w:rsidTr="0080387B">
        <w:tc>
          <w:tcPr>
            <w:tcW w:w="0" w:type="auto"/>
            <w:vAlign w:val="center"/>
          </w:tcPr>
          <w:p w14:paraId="70E1E06F" w14:textId="6F10C1BF"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40</w:t>
            </w:r>
          </w:p>
        </w:tc>
        <w:tc>
          <w:tcPr>
            <w:tcW w:w="0" w:type="auto"/>
            <w:vAlign w:val="center"/>
            <w:hideMark/>
          </w:tcPr>
          <w:p w14:paraId="246C07A0"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0.708**</w:t>
            </w:r>
          </w:p>
        </w:tc>
        <w:tc>
          <w:tcPr>
            <w:tcW w:w="0" w:type="auto"/>
            <w:vAlign w:val="center"/>
          </w:tcPr>
          <w:p w14:paraId="5F6D3DFE" w14:textId="140741F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46</w:t>
            </w:r>
          </w:p>
        </w:tc>
        <w:tc>
          <w:tcPr>
            <w:tcW w:w="0" w:type="auto"/>
            <w:vAlign w:val="center"/>
          </w:tcPr>
          <w:p w14:paraId="7CF0344D"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0.832**</w:t>
            </w:r>
          </w:p>
        </w:tc>
        <w:tc>
          <w:tcPr>
            <w:tcW w:w="0" w:type="auto"/>
            <w:vAlign w:val="center"/>
          </w:tcPr>
          <w:p w14:paraId="261377EB" w14:textId="5113B3C6"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52</w:t>
            </w:r>
          </w:p>
        </w:tc>
        <w:tc>
          <w:tcPr>
            <w:tcW w:w="0" w:type="auto"/>
            <w:vAlign w:val="center"/>
            <w:hideMark/>
          </w:tcPr>
          <w:p w14:paraId="53EC3548"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0.860**</w:t>
            </w:r>
          </w:p>
        </w:tc>
      </w:tr>
      <w:tr w:rsidR="00BF5EAB" w:rsidRPr="00BF5EAB" w14:paraId="71424E57" w14:textId="77777777" w:rsidTr="0080387B">
        <w:tc>
          <w:tcPr>
            <w:tcW w:w="0" w:type="auto"/>
            <w:vAlign w:val="center"/>
          </w:tcPr>
          <w:p w14:paraId="48BFAEBB" w14:textId="70E5BDB6"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41</w:t>
            </w:r>
          </w:p>
        </w:tc>
        <w:tc>
          <w:tcPr>
            <w:tcW w:w="0" w:type="auto"/>
            <w:vAlign w:val="center"/>
          </w:tcPr>
          <w:p w14:paraId="7C9F0A9B"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c>
          <w:tcPr>
            <w:tcW w:w="0" w:type="auto"/>
            <w:vAlign w:val="center"/>
          </w:tcPr>
          <w:p w14:paraId="7C66D1DE" w14:textId="75798254"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47</w:t>
            </w:r>
          </w:p>
        </w:tc>
        <w:tc>
          <w:tcPr>
            <w:tcW w:w="0" w:type="auto"/>
            <w:vAlign w:val="center"/>
          </w:tcPr>
          <w:p w14:paraId="0F8E31B4"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0.765**</w:t>
            </w:r>
          </w:p>
        </w:tc>
        <w:tc>
          <w:tcPr>
            <w:tcW w:w="0" w:type="auto"/>
            <w:vAlign w:val="center"/>
          </w:tcPr>
          <w:p w14:paraId="5D158A33" w14:textId="7BE49AA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53</w:t>
            </w:r>
          </w:p>
        </w:tc>
        <w:tc>
          <w:tcPr>
            <w:tcW w:w="0" w:type="auto"/>
            <w:vAlign w:val="center"/>
          </w:tcPr>
          <w:p w14:paraId="1E63AF21"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0.788**</w:t>
            </w:r>
          </w:p>
        </w:tc>
      </w:tr>
    </w:tbl>
    <w:p w14:paraId="17C45924" w14:textId="42A65A4D" w:rsidR="0080387B" w:rsidRPr="00BF5EAB" w:rsidRDefault="0080387B" w:rsidP="003B07BF">
      <w:pPr>
        <w:tabs>
          <w:tab w:val="left" w:pos="3662"/>
        </w:tabs>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دال عند مستوى الدلالة 0.01 فأقل</w:t>
      </w:r>
      <w:r w:rsidRPr="00BF5EAB">
        <w:rPr>
          <w:rFonts w:ascii="Sakkal Majalla" w:eastAsia="Calibri" w:hAnsi="Sakkal Majalla" w:cs="Sakkal Majalla"/>
          <w:color w:val="0D0D0D" w:themeColor="text1" w:themeTint="F2"/>
          <w:sz w:val="28"/>
          <w:szCs w:val="28"/>
          <w:vertAlign w:val="superscript"/>
          <w:rtl/>
        </w:rPr>
        <w:tab/>
      </w:r>
    </w:p>
    <w:p w14:paraId="629C8561" w14:textId="1AC926FB" w:rsidR="0080387B" w:rsidRPr="00BF5EAB" w:rsidRDefault="00C05039" w:rsidP="005501C8">
      <w:pPr>
        <w:widowControl w:val="0"/>
        <w:spacing w:after="0" w:line="276" w:lineRule="auto"/>
        <w:ind w:left="-32"/>
        <w:contextualSpacing/>
        <w:jc w:val="both"/>
        <w:outlineLvl w:val="2"/>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يبين الجدول السابق أن معاملات ارتباط جميع الفقرات المكونة للمتغير التابع (الابتكار التنظيمي) بأبعادها الفرعية الثلاثة جاءت دالة إحصائياً عند مستوى (0.01) فأقل وبقيم موجبة قوية؛ حيث تراوحت تلك المعاملات بين حد أدنى قدره (0.708) للعبارة رقم (40) في بُعد ابتكار الخدمات المالية الرقمية، وحد أقصى بلغ (0.860) للعبارة رقم (52) في بُعد الثقافة التنظيمية الداعمة للابتكار. وتؤكد هذه المؤشرات الرقمية التجانس الهيكلي والترابط المتين لفقرات المقياس، مما يضمن كفاءة الأداة وصلاحيتها التامة لرصد وقياس ممارسات ومخرجات الابتكار التنظيمي والخدمات المالية المستحدثة في القطاع المصرفي بمدينة الرياض</w:t>
      </w:r>
      <w:r w:rsidR="0080387B" w:rsidRPr="00BF5EAB">
        <w:rPr>
          <w:rFonts w:ascii="Sakkal Majalla" w:eastAsia="Times New Roman" w:hAnsi="Sakkal Majalla" w:cs="Sakkal Majalla"/>
          <w:color w:val="0D0D0D" w:themeColor="text1" w:themeTint="F2"/>
          <w:sz w:val="32"/>
          <w:szCs w:val="32"/>
          <w:rtl/>
        </w:rPr>
        <w:t>.</w:t>
      </w:r>
    </w:p>
    <w:p w14:paraId="276BE424" w14:textId="56A4C561" w:rsidR="00C05039" w:rsidRPr="00BF5EAB" w:rsidRDefault="00C05039" w:rsidP="005501C8">
      <w:pPr>
        <w:spacing w:after="0" w:line="276" w:lineRule="auto"/>
        <w:jc w:val="both"/>
        <w:rPr>
          <w:rFonts w:ascii="Sakkal Majalla" w:eastAsia="Times New Roman" w:hAnsi="Sakkal Majalla" w:cs="Sakkal Majalla"/>
          <w:b/>
          <w:bCs/>
          <w:color w:val="0D0D0D" w:themeColor="text1" w:themeTint="F2"/>
          <w:sz w:val="32"/>
          <w:szCs w:val="32"/>
          <w:rtl/>
        </w:rPr>
      </w:pPr>
      <w:r w:rsidRPr="00BF5EAB">
        <w:rPr>
          <w:rFonts w:ascii="Sakkal Majalla" w:eastAsia="Times New Roman" w:hAnsi="Sakkal Majalla" w:cs="Sakkal Majalla"/>
          <w:b/>
          <w:bCs/>
          <w:color w:val="0D0D0D" w:themeColor="text1" w:themeTint="F2"/>
          <w:sz w:val="32"/>
          <w:szCs w:val="32"/>
          <w:rtl/>
        </w:rPr>
        <w:t>ثبات أداة الدّراسة (الاستبانة)</w:t>
      </w:r>
      <w:r w:rsidR="005B20E7" w:rsidRPr="00BF5EAB">
        <w:rPr>
          <w:rFonts w:ascii="Sakkal Majalla" w:eastAsia="Times New Roman" w:hAnsi="Sakkal Majalla" w:cs="Sakkal Majalla"/>
          <w:b/>
          <w:bCs/>
          <w:color w:val="0D0D0D" w:themeColor="text1" w:themeTint="F2"/>
          <w:sz w:val="32"/>
          <w:szCs w:val="32"/>
          <w:rtl/>
        </w:rPr>
        <w:t>:</w:t>
      </w:r>
    </w:p>
    <w:p w14:paraId="39DF3845" w14:textId="6C6CF685" w:rsidR="0074601C" w:rsidRPr="00BF5EAB" w:rsidRDefault="00C05039" w:rsidP="003B07BF">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يُقصد بثبات الاستبانة (</w:t>
      </w:r>
      <w:r w:rsidRPr="00BF5EAB">
        <w:rPr>
          <w:rFonts w:ascii="Sakkal Majalla" w:eastAsia="Calibri" w:hAnsi="Sakkal Majalla" w:cs="Sakkal Majalla"/>
          <w:color w:val="0D0D0D" w:themeColor="text1" w:themeTint="F2"/>
          <w:sz w:val="32"/>
          <w:szCs w:val="32"/>
        </w:rPr>
        <w:t>Reliability</w:t>
      </w:r>
      <w:r w:rsidRPr="00BF5EAB">
        <w:rPr>
          <w:rFonts w:ascii="Sakkal Majalla" w:eastAsia="Calibri" w:hAnsi="Sakkal Majalla" w:cs="Sakkal Majalla"/>
          <w:color w:val="0D0D0D" w:themeColor="text1" w:themeTint="F2"/>
          <w:sz w:val="32"/>
          <w:szCs w:val="32"/>
          <w:rtl/>
        </w:rPr>
        <w:t>) قدرتها على إعطاء النتائج والمخرجات نفسها تقريباً لو تكرر تطبيقها أكثر من مرة على الأفراد أنفسهم وفي ظل ظروف مماثلة. وللتحقق من ثبات الأداة الحالية، قامت الباحثة بتقدير الثبات بطريقتين إحصائيتين على مفردات العينة الاستطلاعية البالغة (30) فرداً؛ الأولى</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باستخدام معامل ألفا كرونباخ (</w:t>
      </w:r>
      <w:r w:rsidRPr="00BF5EAB">
        <w:rPr>
          <w:rFonts w:ascii="Sakkal Majalla" w:eastAsia="Calibri" w:hAnsi="Sakkal Majalla" w:cs="Sakkal Majalla"/>
          <w:color w:val="0D0D0D" w:themeColor="text1" w:themeTint="F2"/>
          <w:sz w:val="32"/>
          <w:szCs w:val="32"/>
        </w:rPr>
        <w:t>Cronbach's Alpha</w:t>
      </w:r>
      <w:r w:rsidRPr="00BF5EAB">
        <w:rPr>
          <w:rFonts w:ascii="Sakkal Majalla" w:eastAsia="Calibri" w:hAnsi="Sakkal Majalla" w:cs="Sakkal Majalla"/>
          <w:color w:val="0D0D0D" w:themeColor="text1" w:themeTint="F2"/>
          <w:sz w:val="32"/>
          <w:szCs w:val="32"/>
          <w:rtl/>
        </w:rPr>
        <w:t>)، والثانية</w:t>
      </w:r>
      <w:r w:rsidR="005B20E7" w:rsidRPr="00BF5EAB">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باستخدام طريقة التجزئة النصفية المصححة بمعامل سبيرمان- براون (</w:t>
      </w:r>
      <w:r w:rsidRPr="00BF5EAB">
        <w:rPr>
          <w:rFonts w:ascii="Sakkal Majalla" w:eastAsia="Calibri" w:hAnsi="Sakkal Majalla" w:cs="Sakkal Majalla"/>
          <w:color w:val="0D0D0D" w:themeColor="text1" w:themeTint="F2"/>
          <w:sz w:val="32"/>
          <w:szCs w:val="32"/>
        </w:rPr>
        <w:t>Spearman-Brown Coefficient</w:t>
      </w:r>
      <w:r w:rsidRPr="00BF5EAB">
        <w:rPr>
          <w:rFonts w:ascii="Sakkal Majalla" w:eastAsia="Calibri" w:hAnsi="Sakkal Majalla" w:cs="Sakkal Majalla"/>
          <w:color w:val="0D0D0D" w:themeColor="text1" w:themeTint="F2"/>
          <w:sz w:val="32"/>
          <w:szCs w:val="32"/>
          <w:rtl/>
        </w:rPr>
        <w:t>)، وذلك على النحو الآتي</w:t>
      </w:r>
      <w:r w:rsidR="005B20E7" w:rsidRPr="00BF5EAB">
        <w:rPr>
          <w:rFonts w:ascii="Sakkal Majalla" w:eastAsia="Calibri" w:hAnsi="Sakkal Majalla" w:cs="Sakkal Majalla"/>
          <w:color w:val="0D0D0D" w:themeColor="text1" w:themeTint="F2"/>
          <w:sz w:val="32"/>
          <w:szCs w:val="32"/>
          <w:rtl/>
        </w:rPr>
        <w:t>:</w:t>
      </w:r>
    </w:p>
    <w:p w14:paraId="591AC090" w14:textId="3018770F" w:rsidR="00C05039" w:rsidRPr="00BF5EAB" w:rsidRDefault="00C05039" w:rsidP="005501C8">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lang w:val="x-none" w:eastAsia="x-none"/>
        </w:rPr>
      </w:pPr>
      <w:r w:rsidRPr="00BF5EAB">
        <w:rPr>
          <w:rFonts w:ascii="Sakkal Majalla" w:eastAsia="Times New Roman" w:hAnsi="Sakkal Majalla" w:cs="Sakkal Majalla"/>
          <w:b/>
          <w:bCs/>
          <w:color w:val="0D0D0D" w:themeColor="text1" w:themeTint="F2"/>
          <w:sz w:val="32"/>
          <w:szCs w:val="32"/>
          <w:rtl/>
          <w:lang w:val="x-none" w:eastAsia="x-none"/>
        </w:rPr>
        <w:t>الثبات بطريقة ألفا كرونباخ</w:t>
      </w:r>
      <w:r w:rsidR="005B20E7" w:rsidRPr="00BF5EAB">
        <w:rPr>
          <w:rFonts w:ascii="Sakkal Majalla" w:eastAsia="Times New Roman" w:hAnsi="Sakkal Majalla" w:cs="Sakkal Majalla"/>
          <w:b/>
          <w:bCs/>
          <w:color w:val="0D0D0D" w:themeColor="text1" w:themeTint="F2"/>
          <w:sz w:val="32"/>
          <w:szCs w:val="32"/>
          <w:rtl/>
          <w:lang w:val="x-none" w:eastAsia="x-none"/>
        </w:rPr>
        <w:t>:</w:t>
      </w:r>
    </w:p>
    <w:p w14:paraId="0D43EAD2" w14:textId="103E6C79" w:rsidR="00C05039" w:rsidRPr="00BF5EAB" w:rsidRDefault="00C05039" w:rsidP="003B07BF">
      <w:pPr>
        <w:tabs>
          <w:tab w:val="right" w:pos="990"/>
          <w:tab w:val="center" w:pos="4542"/>
        </w:tabs>
        <w:spacing w:after="0" w:line="240" w:lineRule="auto"/>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
          <w:bCs/>
          <w:color w:val="0D0D0D" w:themeColor="text1" w:themeTint="F2"/>
          <w:sz w:val="32"/>
          <w:szCs w:val="32"/>
          <w:rtl/>
        </w:rPr>
        <w:tab/>
      </w:r>
      <w:r w:rsidRPr="00BF5EAB">
        <w:rPr>
          <w:rFonts w:ascii="Sakkal Majalla" w:eastAsia="Calibri" w:hAnsi="Sakkal Majalla" w:cs="Sakkal Majalla"/>
          <w:b/>
          <w:bCs/>
          <w:color w:val="0D0D0D" w:themeColor="text1" w:themeTint="F2"/>
          <w:sz w:val="32"/>
          <w:szCs w:val="32"/>
          <w:rtl/>
        </w:rPr>
        <w:tab/>
      </w:r>
      <w:r w:rsidRPr="00BF5EAB">
        <w:rPr>
          <w:rFonts w:ascii="Sakkal Majalla" w:eastAsia="Calibri" w:hAnsi="Sakkal Majalla" w:cs="Sakkal Majalla"/>
          <w:b/>
          <w:bCs/>
          <w:color w:val="0D0D0D" w:themeColor="text1" w:themeTint="F2"/>
          <w:sz w:val="28"/>
          <w:szCs w:val="28"/>
          <w:rtl/>
        </w:rPr>
        <w:t>جدول (</w:t>
      </w:r>
      <w:r w:rsidR="00C47F36" w:rsidRPr="00BF5EAB">
        <w:rPr>
          <w:rFonts w:ascii="Sakkal Majalla" w:eastAsia="Calibri" w:hAnsi="Sakkal Majalla" w:cs="Sakkal Majalla"/>
          <w:b/>
          <w:bCs/>
          <w:color w:val="0D0D0D" w:themeColor="text1" w:themeTint="F2"/>
          <w:sz w:val="28"/>
          <w:szCs w:val="28"/>
          <w:rtl/>
        </w:rPr>
        <w:t>3-11</w:t>
      </w:r>
      <w:r w:rsidRPr="00BF5EAB">
        <w:rPr>
          <w:rFonts w:ascii="Sakkal Majalla" w:eastAsia="Calibri" w:hAnsi="Sakkal Majalla" w:cs="Sakkal Majalla"/>
          <w:b/>
          <w:bCs/>
          <w:color w:val="0D0D0D" w:themeColor="text1" w:themeTint="F2"/>
          <w:sz w:val="28"/>
          <w:szCs w:val="28"/>
          <w:rtl/>
        </w:rPr>
        <w:t xml:space="preserve">) </w:t>
      </w:r>
      <w:r w:rsidRPr="00BF5EAB">
        <w:rPr>
          <w:rFonts w:ascii="Sakkal Majalla" w:eastAsia="Calibri" w:hAnsi="Sakkal Majalla" w:cs="Sakkal Majalla"/>
          <w:bCs/>
          <w:color w:val="0D0D0D" w:themeColor="text1" w:themeTint="F2"/>
          <w:sz w:val="28"/>
          <w:szCs w:val="28"/>
          <w:rtl/>
        </w:rPr>
        <w:t>معاملات الثبات بطريقة ألفا كرونباخ (ن=30)</w:t>
      </w:r>
    </w:p>
    <w:tbl>
      <w:tblPr>
        <w:tblStyle w:val="1"/>
        <w:bidiVisual/>
        <w:tblW w:w="8928" w:type="dxa"/>
        <w:jc w:val="center"/>
        <w:tblLook w:val="04A0" w:firstRow="1" w:lastRow="0" w:firstColumn="1" w:lastColumn="0" w:noHBand="0" w:noVBand="1"/>
      </w:tblPr>
      <w:tblGrid>
        <w:gridCol w:w="4892"/>
        <w:gridCol w:w="992"/>
        <w:gridCol w:w="1768"/>
        <w:gridCol w:w="1276"/>
      </w:tblGrid>
      <w:tr w:rsidR="00BF5EAB" w:rsidRPr="00BF5EAB" w14:paraId="2E068641" w14:textId="14FD1418" w:rsidTr="003B07BF">
        <w:trPr>
          <w:jc w:val="center"/>
        </w:trPr>
        <w:tc>
          <w:tcPr>
            <w:tcW w:w="4892" w:type="dxa"/>
            <w:vAlign w:val="center"/>
            <w:hideMark/>
          </w:tcPr>
          <w:p w14:paraId="01942BAC" w14:textId="5BA282FD"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Pr>
            </w:pPr>
            <w:r w:rsidRPr="00BF5EAB">
              <w:rPr>
                <w:rFonts w:ascii="Sakkal Majalla" w:eastAsia="Times New Roman" w:hAnsi="Sakkal Majalla" w:cs="Sakkal Majalla"/>
                <w:b/>
                <w:bCs/>
                <w:color w:val="0D0D0D" w:themeColor="text1" w:themeTint="F2"/>
                <w:sz w:val="28"/>
                <w:szCs w:val="28"/>
                <w:rtl/>
              </w:rPr>
              <w:t>المتغير</w:t>
            </w:r>
          </w:p>
        </w:tc>
        <w:tc>
          <w:tcPr>
            <w:tcW w:w="992" w:type="dxa"/>
            <w:vAlign w:val="center"/>
            <w:hideMark/>
          </w:tcPr>
          <w:p w14:paraId="2C5C0D7F"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عدد العبارات</w:t>
            </w:r>
          </w:p>
        </w:tc>
        <w:tc>
          <w:tcPr>
            <w:tcW w:w="1768" w:type="dxa"/>
            <w:vAlign w:val="center"/>
            <w:hideMark/>
          </w:tcPr>
          <w:p w14:paraId="627E9AD3"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الثبات (ألفا كرونباخ)</w:t>
            </w:r>
          </w:p>
        </w:tc>
        <w:tc>
          <w:tcPr>
            <w:tcW w:w="1276" w:type="dxa"/>
            <w:tcBorders>
              <w:bottom w:val="single" w:sz="4" w:space="0" w:color="auto"/>
            </w:tcBorders>
            <w:vAlign w:val="center"/>
          </w:tcPr>
          <w:p w14:paraId="4BF8AC4B" w14:textId="5EC6A7EB"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الثبات المركب (</w:t>
            </w:r>
            <w:r w:rsidRPr="00BF5EAB">
              <w:rPr>
                <w:rFonts w:ascii="Sakkal Majalla" w:eastAsia="Times New Roman" w:hAnsi="Sakkal Majalla" w:cs="Sakkal Majalla"/>
                <w:b/>
                <w:bCs/>
                <w:color w:val="0D0D0D" w:themeColor="text1" w:themeTint="F2"/>
                <w:sz w:val="28"/>
                <w:szCs w:val="28"/>
              </w:rPr>
              <w:t>CR</w:t>
            </w:r>
            <w:r w:rsidRPr="00BF5EAB">
              <w:rPr>
                <w:rFonts w:ascii="Sakkal Majalla" w:eastAsia="Times New Roman" w:hAnsi="Sakkal Majalla" w:cs="Sakkal Majalla"/>
                <w:b/>
                <w:bCs/>
                <w:color w:val="0D0D0D" w:themeColor="text1" w:themeTint="F2"/>
                <w:sz w:val="28"/>
                <w:szCs w:val="28"/>
                <w:rtl/>
              </w:rPr>
              <w:t>)</w:t>
            </w:r>
          </w:p>
        </w:tc>
      </w:tr>
      <w:tr w:rsidR="00BF5EAB" w:rsidRPr="00BF5EAB" w14:paraId="0097CBE2" w14:textId="1DF6A658" w:rsidTr="003B07BF">
        <w:trPr>
          <w:jc w:val="center"/>
        </w:trPr>
        <w:tc>
          <w:tcPr>
            <w:tcW w:w="4892" w:type="dxa"/>
            <w:vAlign w:val="center"/>
          </w:tcPr>
          <w:p w14:paraId="4B593591" w14:textId="451EBD4F"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المستقل: (ذكاء الأعمال)</w:t>
            </w:r>
          </w:p>
        </w:tc>
        <w:tc>
          <w:tcPr>
            <w:tcW w:w="992" w:type="dxa"/>
            <w:vAlign w:val="center"/>
          </w:tcPr>
          <w:p w14:paraId="3868E03B" w14:textId="73B65AFA"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14</w:t>
            </w:r>
          </w:p>
        </w:tc>
        <w:tc>
          <w:tcPr>
            <w:tcW w:w="1768" w:type="dxa"/>
            <w:tcBorders>
              <w:right w:val="single" w:sz="4" w:space="0" w:color="auto"/>
            </w:tcBorders>
            <w:vAlign w:val="center"/>
          </w:tcPr>
          <w:p w14:paraId="2A6F0822" w14:textId="64B932DB"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0.912</w:t>
            </w:r>
          </w:p>
        </w:tc>
        <w:tc>
          <w:tcPr>
            <w:tcW w:w="1276" w:type="dxa"/>
            <w:tcBorders>
              <w:top w:val="single" w:sz="4" w:space="0" w:color="auto"/>
              <w:left w:val="single" w:sz="4" w:space="0" w:color="auto"/>
              <w:bottom w:val="single" w:sz="4" w:space="0" w:color="auto"/>
              <w:right w:val="single" w:sz="4" w:space="0" w:color="auto"/>
            </w:tcBorders>
            <w:vAlign w:val="center"/>
          </w:tcPr>
          <w:p w14:paraId="1A58436E" w14:textId="06E06688"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0.935</w:t>
            </w:r>
          </w:p>
        </w:tc>
      </w:tr>
      <w:tr w:rsidR="00BF5EAB" w:rsidRPr="00BF5EAB" w14:paraId="3B6E4470" w14:textId="471F950C" w:rsidTr="003B07BF">
        <w:trPr>
          <w:jc w:val="center"/>
        </w:trPr>
        <w:tc>
          <w:tcPr>
            <w:tcW w:w="4892" w:type="dxa"/>
            <w:vAlign w:val="center"/>
          </w:tcPr>
          <w:p w14:paraId="5A75542C" w14:textId="0B459093"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الوسيط (جودة القرارات الاستراتيجية)</w:t>
            </w:r>
          </w:p>
        </w:tc>
        <w:tc>
          <w:tcPr>
            <w:tcW w:w="992" w:type="dxa"/>
            <w:vAlign w:val="center"/>
          </w:tcPr>
          <w:p w14:paraId="622B093B" w14:textId="35CD0D00"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21</w:t>
            </w:r>
          </w:p>
        </w:tc>
        <w:tc>
          <w:tcPr>
            <w:tcW w:w="1768" w:type="dxa"/>
            <w:tcBorders>
              <w:right w:val="single" w:sz="4" w:space="0" w:color="auto"/>
            </w:tcBorders>
            <w:vAlign w:val="center"/>
          </w:tcPr>
          <w:p w14:paraId="280DFB4B" w14:textId="7C037C92"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0.899</w:t>
            </w:r>
          </w:p>
        </w:tc>
        <w:tc>
          <w:tcPr>
            <w:tcW w:w="1276" w:type="dxa"/>
            <w:tcBorders>
              <w:top w:val="single" w:sz="4" w:space="0" w:color="auto"/>
              <w:left w:val="single" w:sz="4" w:space="0" w:color="auto"/>
              <w:bottom w:val="single" w:sz="4" w:space="0" w:color="auto"/>
              <w:right w:val="single" w:sz="4" w:space="0" w:color="auto"/>
            </w:tcBorders>
            <w:vAlign w:val="center"/>
          </w:tcPr>
          <w:p w14:paraId="21A5CF25" w14:textId="69CA14CB"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0.918</w:t>
            </w:r>
          </w:p>
        </w:tc>
      </w:tr>
      <w:tr w:rsidR="00BF5EAB" w:rsidRPr="00BF5EAB" w14:paraId="4F7BDE8A" w14:textId="7108737D" w:rsidTr="003B07BF">
        <w:trPr>
          <w:jc w:val="center"/>
        </w:trPr>
        <w:tc>
          <w:tcPr>
            <w:tcW w:w="4892" w:type="dxa"/>
            <w:vAlign w:val="center"/>
          </w:tcPr>
          <w:p w14:paraId="10444E83" w14:textId="06C80A95"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التابع (الابتكار التنظيمي)</w:t>
            </w:r>
          </w:p>
        </w:tc>
        <w:tc>
          <w:tcPr>
            <w:tcW w:w="992" w:type="dxa"/>
            <w:vAlign w:val="center"/>
          </w:tcPr>
          <w:p w14:paraId="2784B88E" w14:textId="16788D4C"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18</w:t>
            </w:r>
          </w:p>
        </w:tc>
        <w:tc>
          <w:tcPr>
            <w:tcW w:w="1768" w:type="dxa"/>
            <w:tcBorders>
              <w:right w:val="single" w:sz="4" w:space="0" w:color="auto"/>
            </w:tcBorders>
            <w:vAlign w:val="center"/>
          </w:tcPr>
          <w:p w14:paraId="29A8E592" w14:textId="7779EB36"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0.803</w:t>
            </w:r>
          </w:p>
        </w:tc>
        <w:tc>
          <w:tcPr>
            <w:tcW w:w="1276" w:type="dxa"/>
            <w:tcBorders>
              <w:top w:val="single" w:sz="4" w:space="0" w:color="auto"/>
              <w:left w:val="single" w:sz="4" w:space="0" w:color="auto"/>
              <w:bottom w:val="single" w:sz="4" w:space="0" w:color="auto"/>
              <w:right w:val="single" w:sz="4" w:space="0" w:color="auto"/>
            </w:tcBorders>
            <w:vAlign w:val="center"/>
          </w:tcPr>
          <w:p w14:paraId="6C437353" w14:textId="088CA217"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0.842</w:t>
            </w:r>
          </w:p>
        </w:tc>
      </w:tr>
      <w:tr w:rsidR="00BF5EAB" w:rsidRPr="00BF5EAB" w14:paraId="4931A8B5" w14:textId="72AC2D29" w:rsidTr="003B07BF">
        <w:trPr>
          <w:jc w:val="center"/>
        </w:trPr>
        <w:tc>
          <w:tcPr>
            <w:tcW w:w="4892" w:type="dxa"/>
            <w:vAlign w:val="center"/>
            <w:hideMark/>
          </w:tcPr>
          <w:p w14:paraId="5E153F6E"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الاستبانة ككل</w:t>
            </w:r>
          </w:p>
        </w:tc>
        <w:tc>
          <w:tcPr>
            <w:tcW w:w="992" w:type="dxa"/>
            <w:vAlign w:val="center"/>
          </w:tcPr>
          <w:p w14:paraId="702F3CFE" w14:textId="29D15D59"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53</w:t>
            </w:r>
          </w:p>
        </w:tc>
        <w:tc>
          <w:tcPr>
            <w:tcW w:w="1768" w:type="dxa"/>
            <w:tcBorders>
              <w:right w:val="single" w:sz="4" w:space="0" w:color="auto"/>
            </w:tcBorders>
            <w:vAlign w:val="center"/>
            <w:hideMark/>
          </w:tcPr>
          <w:p w14:paraId="5F43DAE7" w14:textId="77777777"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0.971</w:t>
            </w:r>
          </w:p>
        </w:tc>
        <w:tc>
          <w:tcPr>
            <w:tcW w:w="1276" w:type="dxa"/>
            <w:tcBorders>
              <w:top w:val="single" w:sz="4" w:space="0" w:color="auto"/>
              <w:left w:val="single" w:sz="4" w:space="0" w:color="auto"/>
              <w:bottom w:val="single" w:sz="4" w:space="0" w:color="auto"/>
              <w:right w:val="single" w:sz="4" w:space="0" w:color="auto"/>
            </w:tcBorders>
            <w:vAlign w:val="center"/>
          </w:tcPr>
          <w:p w14:paraId="524D8165" w14:textId="163306E1"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0.965</w:t>
            </w:r>
          </w:p>
        </w:tc>
      </w:tr>
    </w:tbl>
    <w:p w14:paraId="4E37557F" w14:textId="4AADEDC5" w:rsidR="00A641F3" w:rsidRPr="00BF5EAB" w:rsidRDefault="00C05039" w:rsidP="0074601C">
      <w:pPr>
        <w:widowControl w:val="0"/>
        <w:spacing w:after="0" w:line="276" w:lineRule="auto"/>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lastRenderedPageBreak/>
        <w:t xml:space="preserve">    </w:t>
      </w:r>
      <w:r w:rsidR="002D3D16" w:rsidRPr="00BF5EAB">
        <w:rPr>
          <w:rFonts w:ascii="Sakkal Majalla" w:eastAsia="Times New Roman" w:hAnsi="Sakkal Majalla" w:cs="Sakkal Majalla"/>
          <w:color w:val="0D0D0D" w:themeColor="text1" w:themeTint="F2"/>
          <w:sz w:val="32"/>
          <w:szCs w:val="32"/>
          <w:rtl/>
        </w:rPr>
        <w:t>يتضح من الجدول أن جميع معاملات الثبات جاءت مرتفعة جداً ومتميزة، حيث تجاوزت قيم "ألفا كرونباخ" الحد الأدنى المقبول (0.70)، كما تراوحت قيم "الثبات المركب" (</w:t>
      </w:r>
      <w:r w:rsidR="002D3D16" w:rsidRPr="00BF5EAB">
        <w:rPr>
          <w:rFonts w:ascii="Sakkal Majalla" w:eastAsia="Times New Roman" w:hAnsi="Sakkal Majalla" w:cs="Sakkal Majalla"/>
          <w:color w:val="0D0D0D" w:themeColor="text1" w:themeTint="F2"/>
          <w:sz w:val="32"/>
          <w:szCs w:val="32"/>
        </w:rPr>
        <w:t>CR</w:t>
      </w:r>
      <w:r w:rsidR="002D3D16" w:rsidRPr="00BF5EAB">
        <w:rPr>
          <w:rFonts w:ascii="Sakkal Majalla" w:eastAsia="Times New Roman" w:hAnsi="Sakkal Majalla" w:cs="Sakkal Majalla"/>
          <w:color w:val="0D0D0D" w:themeColor="text1" w:themeTint="F2"/>
          <w:sz w:val="32"/>
          <w:szCs w:val="32"/>
          <w:rtl/>
        </w:rPr>
        <w:t>) بين (0.842) و(0.935)، وهي قيم تتجاوز جميعها العتبة المنهجية المعتمدة (0.70). ويُعد تفوق قيم الثبات المركب دليلاً إحصائياً قوياً على دقة تقديرات النموذج البنائي، حيث يُعطي معامل (</w:t>
      </w:r>
      <w:r w:rsidR="002D3D16" w:rsidRPr="00BF5EAB">
        <w:rPr>
          <w:rFonts w:ascii="Sakkal Majalla" w:eastAsia="Times New Roman" w:hAnsi="Sakkal Majalla" w:cs="Sakkal Majalla"/>
          <w:color w:val="0D0D0D" w:themeColor="text1" w:themeTint="F2"/>
          <w:sz w:val="32"/>
          <w:szCs w:val="32"/>
        </w:rPr>
        <w:t>CR</w:t>
      </w:r>
      <w:r w:rsidR="002D3D16" w:rsidRPr="00BF5EAB">
        <w:rPr>
          <w:rFonts w:ascii="Sakkal Majalla" w:eastAsia="Times New Roman" w:hAnsi="Sakkal Majalla" w:cs="Sakkal Majalla"/>
          <w:color w:val="0D0D0D" w:themeColor="text1" w:themeTint="F2"/>
          <w:sz w:val="32"/>
          <w:szCs w:val="32"/>
          <w:rtl/>
        </w:rPr>
        <w:t>) وزناً مختلفاً للفقرات بناءً على تشبعاتها العاملية (</w:t>
      </w:r>
      <w:r w:rsidR="002D3D16" w:rsidRPr="00BF5EAB">
        <w:rPr>
          <w:rFonts w:ascii="Sakkal Majalla" w:eastAsia="Times New Roman" w:hAnsi="Sakkal Majalla" w:cs="Sakkal Majalla"/>
          <w:color w:val="0D0D0D" w:themeColor="text1" w:themeTint="F2"/>
          <w:sz w:val="32"/>
          <w:szCs w:val="32"/>
        </w:rPr>
        <w:t>Outer Loadings</w:t>
      </w:r>
      <w:r w:rsidR="002D3D16" w:rsidRPr="00BF5EAB">
        <w:rPr>
          <w:rFonts w:ascii="Sakkal Majalla" w:eastAsia="Times New Roman" w:hAnsi="Sakkal Majalla" w:cs="Sakkal Majalla"/>
          <w:color w:val="0D0D0D" w:themeColor="text1" w:themeTint="F2"/>
          <w:sz w:val="32"/>
          <w:szCs w:val="32"/>
          <w:rtl/>
        </w:rPr>
        <w:t xml:space="preserve">) في برنامج </w:t>
      </w:r>
      <w:proofErr w:type="spellStart"/>
      <w:r w:rsidR="002D3D16" w:rsidRPr="00BF5EAB">
        <w:rPr>
          <w:rFonts w:ascii="Sakkal Majalla" w:eastAsia="Times New Roman" w:hAnsi="Sakkal Majalla" w:cs="Sakkal Majalla"/>
          <w:color w:val="0D0D0D" w:themeColor="text1" w:themeTint="F2"/>
          <w:sz w:val="32"/>
          <w:szCs w:val="32"/>
        </w:rPr>
        <w:t>SmartPLS</w:t>
      </w:r>
      <w:proofErr w:type="spellEnd"/>
      <w:r w:rsidR="002D3D16" w:rsidRPr="00BF5EAB">
        <w:rPr>
          <w:rFonts w:ascii="Sakkal Majalla" w:eastAsia="Times New Roman" w:hAnsi="Sakkal Majalla" w:cs="Sakkal Majalla"/>
          <w:color w:val="0D0D0D" w:themeColor="text1" w:themeTint="F2"/>
          <w:sz w:val="32"/>
          <w:szCs w:val="32"/>
          <w:rtl/>
        </w:rPr>
        <w:t>، مما يجعله المقياس الأكثر صدقاً لثبات الأبعاد في دراسات النمذجة. وتؤكد هذه المؤشرات الرقمية المرتفعة والمتقاربة تمتع الأداة بموثوقية وتجانس داخلي عالٍ جداً، يضمن صلاحيتها الكاملة للتطبيق الميداني والاعتماد على نتائجها في اختبار الفرضيات</w:t>
      </w:r>
      <w:r w:rsidRPr="00BF5EAB">
        <w:rPr>
          <w:rFonts w:ascii="Sakkal Majalla" w:eastAsia="Times New Roman" w:hAnsi="Sakkal Majalla" w:cs="Sakkal Majalla"/>
          <w:color w:val="0D0D0D" w:themeColor="text1" w:themeTint="F2"/>
          <w:sz w:val="32"/>
          <w:szCs w:val="32"/>
          <w:rtl/>
        </w:rPr>
        <w:t>.</w:t>
      </w:r>
    </w:p>
    <w:p w14:paraId="620B45B9" w14:textId="19B0949B" w:rsidR="00C05039" w:rsidRPr="00BF5EAB" w:rsidRDefault="00C05039" w:rsidP="005501C8">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lang w:val="x-none" w:eastAsia="x-none"/>
        </w:rPr>
      </w:pPr>
      <w:r w:rsidRPr="00BF5EAB">
        <w:rPr>
          <w:rFonts w:ascii="Sakkal Majalla" w:eastAsia="Times New Roman" w:hAnsi="Sakkal Majalla" w:cs="Sakkal Majalla"/>
          <w:b/>
          <w:bCs/>
          <w:color w:val="0D0D0D" w:themeColor="text1" w:themeTint="F2"/>
          <w:sz w:val="32"/>
          <w:szCs w:val="32"/>
          <w:rtl/>
          <w:lang w:val="x-none" w:eastAsia="x-none"/>
        </w:rPr>
        <w:t>الثبات بطريقة التجزئة النصفية</w:t>
      </w:r>
      <w:r w:rsidR="005B20E7" w:rsidRPr="00BF5EAB">
        <w:rPr>
          <w:rFonts w:ascii="Sakkal Majalla" w:eastAsia="Times New Roman" w:hAnsi="Sakkal Majalla" w:cs="Sakkal Majalla"/>
          <w:b/>
          <w:bCs/>
          <w:color w:val="0D0D0D" w:themeColor="text1" w:themeTint="F2"/>
          <w:sz w:val="32"/>
          <w:szCs w:val="32"/>
          <w:rtl/>
          <w:lang w:val="x-none" w:eastAsia="x-none"/>
        </w:rPr>
        <w:t>:</w:t>
      </w:r>
    </w:p>
    <w:p w14:paraId="657EB98C" w14:textId="12D7F706" w:rsidR="00C05039" w:rsidRPr="00BF5EAB" w:rsidRDefault="00C05039" w:rsidP="003B07BF">
      <w:pPr>
        <w:tabs>
          <w:tab w:val="right" w:pos="990"/>
        </w:tabs>
        <w:spacing w:after="0" w:line="240" w:lineRule="auto"/>
        <w:jc w:val="center"/>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rPr>
        <w:t>جدول (</w:t>
      </w:r>
      <w:r w:rsidR="00C47F36" w:rsidRPr="00BF5EAB">
        <w:rPr>
          <w:rFonts w:ascii="Sakkal Majalla" w:eastAsia="Calibri" w:hAnsi="Sakkal Majalla" w:cs="Sakkal Majalla"/>
          <w:b/>
          <w:bCs/>
          <w:color w:val="0D0D0D" w:themeColor="text1" w:themeTint="F2"/>
          <w:sz w:val="28"/>
          <w:szCs w:val="28"/>
          <w:rtl/>
        </w:rPr>
        <w:t>3-12</w:t>
      </w:r>
      <w:r w:rsidRPr="00BF5EAB">
        <w:rPr>
          <w:rFonts w:ascii="Sakkal Majalla" w:eastAsia="Calibri" w:hAnsi="Sakkal Majalla" w:cs="Sakkal Majalla"/>
          <w:b/>
          <w:bCs/>
          <w:color w:val="0D0D0D" w:themeColor="text1" w:themeTint="F2"/>
          <w:sz w:val="28"/>
          <w:szCs w:val="28"/>
          <w:rtl/>
        </w:rPr>
        <w:t xml:space="preserve">) </w:t>
      </w:r>
      <w:r w:rsidRPr="00BF5EAB">
        <w:rPr>
          <w:rFonts w:ascii="Sakkal Majalla" w:eastAsia="Calibri" w:hAnsi="Sakkal Majalla" w:cs="Sakkal Majalla"/>
          <w:bCs/>
          <w:color w:val="0D0D0D" w:themeColor="text1" w:themeTint="F2"/>
          <w:sz w:val="28"/>
          <w:szCs w:val="28"/>
          <w:rtl/>
        </w:rPr>
        <w:t>معاملات الثبات بطريقة التجزئة النصفية (ن=30)</w:t>
      </w:r>
    </w:p>
    <w:tbl>
      <w:tblPr>
        <w:tblStyle w:val="1"/>
        <w:bidiVisual/>
        <w:tblW w:w="0" w:type="auto"/>
        <w:jc w:val="center"/>
        <w:tblLook w:val="04A0" w:firstRow="1" w:lastRow="0" w:firstColumn="1" w:lastColumn="0" w:noHBand="0" w:noVBand="1"/>
      </w:tblPr>
      <w:tblGrid>
        <w:gridCol w:w="4466"/>
        <w:gridCol w:w="2094"/>
        <w:gridCol w:w="1933"/>
      </w:tblGrid>
      <w:tr w:rsidR="00BF5EAB" w:rsidRPr="00BF5EAB" w14:paraId="068A8366" w14:textId="77777777" w:rsidTr="0074601C">
        <w:trPr>
          <w:jc w:val="center"/>
        </w:trPr>
        <w:tc>
          <w:tcPr>
            <w:tcW w:w="4466" w:type="dxa"/>
            <w:hideMark/>
          </w:tcPr>
          <w:p w14:paraId="49A12CEA" w14:textId="0C199145" w:rsidR="00C05039" w:rsidRPr="00BF5EAB" w:rsidRDefault="00332F62" w:rsidP="003B07BF">
            <w:pPr>
              <w:widowControl w:val="0"/>
              <w:jc w:val="center"/>
              <w:rPr>
                <w:rFonts w:ascii="Sakkal Majalla" w:eastAsia="Times New Roman" w:hAnsi="Sakkal Majalla" w:cs="Sakkal Majalla"/>
                <w:b/>
                <w:bCs/>
                <w:color w:val="0D0D0D" w:themeColor="text1" w:themeTint="F2"/>
                <w:sz w:val="28"/>
                <w:szCs w:val="28"/>
              </w:rPr>
            </w:pPr>
            <w:r w:rsidRPr="00BF5EAB">
              <w:rPr>
                <w:rFonts w:ascii="Sakkal Majalla" w:eastAsia="Times New Roman" w:hAnsi="Sakkal Majalla" w:cs="Sakkal Majalla"/>
                <w:b/>
                <w:bCs/>
                <w:color w:val="0D0D0D" w:themeColor="text1" w:themeTint="F2"/>
                <w:sz w:val="28"/>
                <w:szCs w:val="28"/>
                <w:rtl/>
              </w:rPr>
              <w:t>المتغير</w:t>
            </w:r>
          </w:p>
        </w:tc>
        <w:tc>
          <w:tcPr>
            <w:tcW w:w="2094" w:type="dxa"/>
            <w:hideMark/>
          </w:tcPr>
          <w:p w14:paraId="4744ECEA" w14:textId="77777777" w:rsidR="00C05039" w:rsidRPr="00BF5EAB" w:rsidRDefault="00C05039"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 بين النصفين</w:t>
            </w:r>
          </w:p>
        </w:tc>
        <w:tc>
          <w:tcPr>
            <w:tcW w:w="0" w:type="auto"/>
            <w:hideMark/>
          </w:tcPr>
          <w:p w14:paraId="3A41BA07" w14:textId="77777777" w:rsidR="00C05039" w:rsidRPr="00BF5EAB" w:rsidRDefault="00C05039"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سبيرمان-براون للتصحيح</w:t>
            </w:r>
          </w:p>
        </w:tc>
      </w:tr>
      <w:tr w:rsidR="00BF5EAB" w:rsidRPr="00BF5EAB" w14:paraId="696BAFF2" w14:textId="77777777" w:rsidTr="0074601C">
        <w:trPr>
          <w:jc w:val="center"/>
        </w:trPr>
        <w:tc>
          <w:tcPr>
            <w:tcW w:w="4466" w:type="dxa"/>
          </w:tcPr>
          <w:p w14:paraId="0ADFA644" w14:textId="42AFCDC9"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المستقل</w:t>
            </w:r>
            <w:r w:rsidR="005B20E7" w:rsidRPr="00BF5EAB">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(ذكاء الأعمال)</w:t>
            </w:r>
          </w:p>
        </w:tc>
        <w:tc>
          <w:tcPr>
            <w:tcW w:w="2094" w:type="dxa"/>
            <w:vAlign w:val="center"/>
            <w:hideMark/>
          </w:tcPr>
          <w:p w14:paraId="40FA39BF" w14:textId="3209BB10"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0.930</w:t>
            </w:r>
          </w:p>
        </w:tc>
        <w:tc>
          <w:tcPr>
            <w:tcW w:w="0" w:type="auto"/>
            <w:vAlign w:val="center"/>
          </w:tcPr>
          <w:p w14:paraId="5A863352" w14:textId="2F553E82"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0.964</w:t>
            </w:r>
          </w:p>
        </w:tc>
      </w:tr>
      <w:tr w:rsidR="00BF5EAB" w:rsidRPr="00BF5EAB" w14:paraId="161D1E57" w14:textId="77777777" w:rsidTr="0074601C">
        <w:trPr>
          <w:jc w:val="center"/>
        </w:trPr>
        <w:tc>
          <w:tcPr>
            <w:tcW w:w="4466" w:type="dxa"/>
            <w:hideMark/>
          </w:tcPr>
          <w:p w14:paraId="6349CAFA" w14:textId="4BE6B944"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الوسيط (جودة القرارات الاستراتيجية)</w:t>
            </w:r>
          </w:p>
        </w:tc>
        <w:tc>
          <w:tcPr>
            <w:tcW w:w="2094" w:type="dxa"/>
            <w:vAlign w:val="center"/>
            <w:hideMark/>
          </w:tcPr>
          <w:p w14:paraId="20FCC086" w14:textId="19C47385"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0.915</w:t>
            </w:r>
          </w:p>
        </w:tc>
        <w:tc>
          <w:tcPr>
            <w:tcW w:w="0" w:type="auto"/>
            <w:vAlign w:val="center"/>
            <w:hideMark/>
          </w:tcPr>
          <w:p w14:paraId="1B729725" w14:textId="75322388"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0.814</w:t>
            </w:r>
          </w:p>
        </w:tc>
      </w:tr>
      <w:tr w:rsidR="00BF5EAB" w:rsidRPr="00BF5EAB" w14:paraId="2575A753" w14:textId="77777777" w:rsidTr="0074601C">
        <w:trPr>
          <w:jc w:val="center"/>
        </w:trPr>
        <w:tc>
          <w:tcPr>
            <w:tcW w:w="4466" w:type="dxa"/>
          </w:tcPr>
          <w:p w14:paraId="7621B669" w14:textId="6D5E3E31"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التابع (الابتكار التنظيمي)</w:t>
            </w:r>
          </w:p>
        </w:tc>
        <w:tc>
          <w:tcPr>
            <w:tcW w:w="2094" w:type="dxa"/>
            <w:vAlign w:val="center"/>
            <w:hideMark/>
          </w:tcPr>
          <w:p w14:paraId="065FCCF0" w14:textId="66E06AEB"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0.922</w:t>
            </w:r>
          </w:p>
        </w:tc>
        <w:tc>
          <w:tcPr>
            <w:tcW w:w="0" w:type="auto"/>
            <w:vAlign w:val="center"/>
          </w:tcPr>
          <w:p w14:paraId="2445D128" w14:textId="2B5AAFB3"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0.959</w:t>
            </w:r>
          </w:p>
        </w:tc>
      </w:tr>
      <w:tr w:rsidR="00BF5EAB" w:rsidRPr="00BF5EAB" w14:paraId="79524F49" w14:textId="77777777" w:rsidTr="0074601C">
        <w:trPr>
          <w:jc w:val="center"/>
        </w:trPr>
        <w:tc>
          <w:tcPr>
            <w:tcW w:w="4466" w:type="dxa"/>
            <w:hideMark/>
          </w:tcPr>
          <w:p w14:paraId="2DA0F30B" w14:textId="77777777"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الاستبانة ككل</w:t>
            </w:r>
          </w:p>
        </w:tc>
        <w:tc>
          <w:tcPr>
            <w:tcW w:w="2094" w:type="dxa"/>
            <w:vAlign w:val="center"/>
            <w:hideMark/>
          </w:tcPr>
          <w:p w14:paraId="1298C950" w14:textId="6A0D3EC0"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0.941</w:t>
            </w:r>
          </w:p>
        </w:tc>
        <w:tc>
          <w:tcPr>
            <w:tcW w:w="0" w:type="auto"/>
            <w:vAlign w:val="center"/>
            <w:hideMark/>
          </w:tcPr>
          <w:p w14:paraId="0A6FAD26" w14:textId="76E7C26B"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0.970</w:t>
            </w:r>
          </w:p>
        </w:tc>
      </w:tr>
    </w:tbl>
    <w:p w14:paraId="12A4A44C" w14:textId="787C63B5" w:rsidR="00C47F36" w:rsidRPr="00BF5EAB" w:rsidRDefault="00C05039" w:rsidP="005501C8">
      <w:pPr>
        <w:widowControl w:val="0"/>
        <w:spacing w:after="0" w:line="276" w:lineRule="auto"/>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    </w:t>
      </w:r>
      <w:r w:rsidR="00332F62" w:rsidRPr="00BF5EAB">
        <w:rPr>
          <w:rFonts w:ascii="Sakkal Majalla" w:eastAsia="Times New Roman" w:hAnsi="Sakkal Majalla" w:cs="Sakkal Majalla"/>
          <w:color w:val="0D0D0D" w:themeColor="text1" w:themeTint="F2"/>
          <w:sz w:val="32"/>
          <w:szCs w:val="32"/>
          <w:rtl/>
        </w:rPr>
        <w:t>يُظهر الجدول السابق أن معاملات الثبات المحسوبة بأسلوب التجزئة النصفية قد جاءت متسقة ومعززة لنتائج الطريقة الأولى؛ إذ بلغت قيمة معامل ارتباط بيرسون بين النصفين للاستبانة ككل (0.941)، وبعد تعديلها وتصحيح أثر الطول باستخدام معادلة سبيرمان-براون التقديرية، ارتفعت القيمة الكلية للثبات لتصل إلى (0.970). كما تراوحت قيم التعديل التناظري للمحاور الثلاثة بين (0.814 - 0.964). وتُشير هذه المؤشرات الإحصائية المرتفعة والمتقاربة بين نصفي المقياس إلى مدى دقة الاستبانة، وتماسك بنية فقراتها (53)، وخلوها من الأخطاء العشوائية، مما يمنح الباحثة ركيزة منهجية صلبة للانتقال بثقة نحو استخراج النتائج وتفسير العلاقات التنبؤية والوسيطة للنموذج الإداري المقترح.</w:t>
      </w:r>
    </w:p>
    <w:p w14:paraId="513FA265" w14:textId="6D006019" w:rsidR="00C47F36" w:rsidRPr="00BF5EAB" w:rsidRDefault="00C47F36" w:rsidP="005501C8">
      <w:pPr>
        <w:spacing w:after="0" w:line="276" w:lineRule="auto"/>
        <w:rPr>
          <w:rFonts w:ascii="Sakkal Majalla" w:eastAsia="Calibri" w:hAnsi="Sakkal Majalla" w:cs="Sakkal Majalla"/>
          <w:b/>
          <w:bCs/>
          <w:color w:val="0D0D0D" w:themeColor="text1" w:themeTint="F2"/>
          <w:kern w:val="2"/>
          <w:sz w:val="32"/>
          <w:szCs w:val="32"/>
          <w:rtl/>
          <w:lang w:bidi="ar-EG"/>
          <w14:ligatures w14:val="standardContextual"/>
        </w:rPr>
      </w:pPr>
      <w:r w:rsidRPr="00BF5EAB">
        <w:rPr>
          <w:rFonts w:ascii="Sakkal Majalla" w:eastAsia="Calibri" w:hAnsi="Sakkal Majalla" w:cs="Sakkal Majalla"/>
          <w:b/>
          <w:bCs/>
          <w:color w:val="0D0D0D" w:themeColor="text1" w:themeTint="F2"/>
          <w:kern w:val="2"/>
          <w:sz w:val="32"/>
          <w:szCs w:val="32"/>
          <w:rtl/>
          <w:lang w:bidi="ar-EG"/>
          <w14:ligatures w14:val="standardContextual"/>
        </w:rPr>
        <w:t>3-9 إجراءات جمع البيانات</w:t>
      </w:r>
    </w:p>
    <w:p w14:paraId="1145CBAB" w14:textId="77777777" w:rsidR="00C47F36" w:rsidRPr="00BF5EAB" w:rsidRDefault="00C47F36"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 xml:space="preserve">    تطلبت طبيعة الدراسة والخصوصية المهنية للمشاركين (القيادات المصرفية) نهجاً منظماً لجمع البيانات يضمن الوصول المباشر والموثوق، وقد تمت الإجراءات وفق الخطوات التالية:</w:t>
      </w:r>
    </w:p>
    <w:p w14:paraId="3DA323D5" w14:textId="77777777" w:rsidR="00C47F36" w:rsidRPr="00BF5EAB" w:rsidRDefault="00C47F36"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b/>
          <w:bCs/>
          <w:color w:val="0D0D0D" w:themeColor="text1" w:themeTint="F2"/>
          <w:kern w:val="2"/>
          <w:sz w:val="32"/>
          <w:szCs w:val="32"/>
          <w:rtl/>
          <w:lang w:bidi="ar-EG"/>
          <w14:ligatures w14:val="standardContextual"/>
        </w:rPr>
        <w:lastRenderedPageBreak/>
        <w:t>1. آلية الوصول والتوزيع</w:t>
      </w:r>
      <w:r w:rsidRPr="00BF5EAB">
        <w:rPr>
          <w:rFonts w:ascii="Sakkal Majalla" w:eastAsia="Calibri" w:hAnsi="Sakkal Majalla" w:cs="Sakkal Majalla"/>
          <w:color w:val="0D0D0D" w:themeColor="text1" w:themeTint="F2"/>
          <w:kern w:val="2"/>
          <w:sz w:val="32"/>
          <w:szCs w:val="32"/>
          <w:rtl/>
          <w:lang w:bidi="ar-EG"/>
          <w14:ligatures w14:val="standardContextual"/>
        </w:rPr>
        <w:t>: نظراً للحساسية التنافسية في القطاع المصرفي، تم التواصل مع المصارف المستهدفة عبر بوابات التواصل الرسمية للبنك المركزي أو إدارات الموارد البشرية والتطوير الاستراتيجي للحصول على الموافقات اللازمة. تم توزيع الاستبانة إلكترونياً (عبر منصة متخصصة)، مع إرسال خطاب تعريفي يوضح أهداف الدراسة، وضمانات السرية، وأهمية المشاركة، وتوجيه الرابط مباشرة إلى البريد الإلكتروني المهني أو منصات التواصل الداخلي للقيادات المستهدفة.</w:t>
      </w:r>
    </w:p>
    <w:p w14:paraId="36A26B83" w14:textId="77777777" w:rsidR="00C47F36" w:rsidRPr="00BF5EAB" w:rsidRDefault="00C47F36"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b/>
          <w:bCs/>
          <w:color w:val="0D0D0D" w:themeColor="text1" w:themeTint="F2"/>
          <w:kern w:val="2"/>
          <w:sz w:val="32"/>
          <w:szCs w:val="32"/>
          <w:rtl/>
          <w:lang w:bidi="ar-EG"/>
          <w14:ligatures w14:val="standardContextual"/>
        </w:rPr>
        <w:t>2. خطة المتابعة والاسترجاع</w:t>
      </w:r>
      <w:r w:rsidRPr="00BF5EAB">
        <w:rPr>
          <w:rFonts w:ascii="Sakkal Majalla" w:eastAsia="Calibri" w:hAnsi="Sakkal Majalla" w:cs="Sakkal Majalla"/>
          <w:color w:val="0D0D0D" w:themeColor="text1" w:themeTint="F2"/>
          <w:kern w:val="2"/>
          <w:sz w:val="32"/>
          <w:szCs w:val="32"/>
          <w:rtl/>
          <w:lang w:bidi="ar-EG"/>
          <w14:ligatures w14:val="standardContextual"/>
        </w:rPr>
        <w:t>: تم تحديد إطار زمني لجمع البيانات يمتد لـ ([أدخل المدة، مثلاً: 6 أسابيع]). ولضمان رفع معدل الاستجابة، تم وضع خطة متابعة دورية تتضمن إرسال تذكيرات (</w:t>
      </w:r>
      <w:r w:rsidRPr="00BF5EAB">
        <w:rPr>
          <w:rFonts w:ascii="Sakkal Majalla" w:eastAsia="Calibri" w:hAnsi="Sakkal Majalla" w:cs="Sakkal Majalla"/>
          <w:color w:val="0D0D0D" w:themeColor="text1" w:themeTint="F2"/>
          <w:kern w:val="2"/>
          <w:sz w:val="32"/>
          <w:szCs w:val="32"/>
          <w:lang w:bidi="ar-EG"/>
          <w14:ligatures w14:val="standardContextual"/>
        </w:rPr>
        <w:t>Follow-up</w:t>
      </w:r>
      <w:r w:rsidRPr="00BF5EAB">
        <w:rPr>
          <w:rFonts w:ascii="Sakkal Majalla" w:eastAsia="Calibri" w:hAnsi="Sakkal Majalla" w:cs="Sakkal Majalla"/>
          <w:color w:val="0D0D0D" w:themeColor="text1" w:themeTint="F2"/>
          <w:kern w:val="2"/>
          <w:sz w:val="32"/>
          <w:szCs w:val="32"/>
          <w:rtl/>
          <w:lang w:bidi="ar-EG"/>
          <w14:ligatures w14:val="standardContextual"/>
        </w:rPr>
        <w:t>) للمشاركين بعد أسبوعين من التوزيع الأول، ثم تذكير نهائي قبل إغلاق الاستبانة بأسبوع، مع التأكيد على أهمية دورهم في إثراء البحث العلمي وتطوير البيئة المصرفية.</w:t>
      </w:r>
    </w:p>
    <w:p w14:paraId="10033EDC" w14:textId="77777777" w:rsidR="00C47F36" w:rsidRPr="00BF5EAB" w:rsidRDefault="00C47F36" w:rsidP="005501C8">
      <w:pPr>
        <w:spacing w:after="0" w:line="276" w:lineRule="auto"/>
        <w:jc w:val="both"/>
        <w:rPr>
          <w:rFonts w:ascii="Sakkal Majalla" w:eastAsia="Calibri" w:hAnsi="Sakkal Majalla" w:cs="Sakkal Majalla"/>
          <w:b/>
          <w:bCs/>
          <w:color w:val="0D0D0D" w:themeColor="text1" w:themeTint="F2"/>
          <w:kern w:val="2"/>
          <w:sz w:val="32"/>
          <w:szCs w:val="32"/>
          <w:rtl/>
          <w:lang w:bidi="ar-EG"/>
          <w14:ligatures w14:val="standardContextual"/>
        </w:rPr>
      </w:pPr>
      <w:r w:rsidRPr="00BF5EAB">
        <w:rPr>
          <w:rFonts w:ascii="Sakkal Majalla" w:eastAsia="Calibri" w:hAnsi="Sakkal Majalla" w:cs="Sakkal Majalla"/>
          <w:b/>
          <w:bCs/>
          <w:color w:val="0D0D0D" w:themeColor="text1" w:themeTint="F2"/>
          <w:kern w:val="2"/>
          <w:sz w:val="32"/>
          <w:szCs w:val="32"/>
          <w:rtl/>
          <w:lang w:bidi="ar-EG"/>
          <w14:ligatures w14:val="standardContextual"/>
        </w:rPr>
        <w:t xml:space="preserve">3-فحص البيانات ومعالجة الاستجابات: </w:t>
      </w:r>
      <w:r w:rsidRPr="00BF5EAB">
        <w:rPr>
          <w:rFonts w:ascii="Sakkal Majalla" w:eastAsia="Calibri" w:hAnsi="Sakkal Majalla" w:cs="Sakkal Majalla"/>
          <w:color w:val="0D0D0D" w:themeColor="text1" w:themeTint="F2"/>
          <w:kern w:val="2"/>
          <w:sz w:val="32"/>
          <w:szCs w:val="32"/>
          <w:rtl/>
          <w:lang w:bidi="ar-EG"/>
          <w14:ligatures w14:val="standardContextual"/>
        </w:rPr>
        <w:t>بعد انتهاء الفترة المحددة، خضعت الاستجابات المسترجعة لعملية فحص دقيقة لضمان جودتها:</w:t>
      </w:r>
    </w:p>
    <w:p w14:paraId="678F2F39" w14:textId="77777777" w:rsidR="00C47F36" w:rsidRPr="00BF5EAB" w:rsidRDefault="00C47F36" w:rsidP="005501C8">
      <w:pPr>
        <w:pStyle w:val="ListParagraph"/>
        <w:numPr>
          <w:ilvl w:val="0"/>
          <w:numId w:val="27"/>
        </w:numPr>
        <w:bidi/>
        <w:spacing w:after="0"/>
        <w:ind w:left="492"/>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استبعاد الاستجابات غير المكتملة: تم استبعاد أي استبانة لم تكتمل فيها الإجابة عن المحاور الرئيسية أو التي تضمنت إجابات نمطية (</w:t>
      </w:r>
      <w:r w:rsidRPr="00BF5EAB">
        <w:rPr>
          <w:rFonts w:ascii="Sakkal Majalla" w:eastAsia="Calibri" w:hAnsi="Sakkal Majalla" w:cs="Sakkal Majalla"/>
          <w:color w:val="0D0D0D" w:themeColor="text1" w:themeTint="F2"/>
          <w:kern w:val="2"/>
          <w:sz w:val="32"/>
          <w:szCs w:val="32"/>
          <w:lang w:bidi="ar-EG"/>
          <w14:ligatures w14:val="standardContextual"/>
        </w:rPr>
        <w:t>Straight-lining</w:t>
      </w:r>
      <w:r w:rsidRPr="00BF5EAB">
        <w:rPr>
          <w:rFonts w:ascii="Sakkal Majalla" w:eastAsia="Calibri" w:hAnsi="Sakkal Majalla" w:cs="Sakkal Majalla"/>
          <w:color w:val="0D0D0D" w:themeColor="text1" w:themeTint="F2"/>
          <w:kern w:val="2"/>
          <w:sz w:val="32"/>
          <w:szCs w:val="32"/>
          <w:rtl/>
          <w:lang w:bidi="ar-EG"/>
          <w14:ligatures w14:val="standardContextual"/>
        </w:rPr>
        <w:t>) تفتقر للجدية.</w:t>
      </w:r>
    </w:p>
    <w:p w14:paraId="7B138B79" w14:textId="77777777" w:rsidR="00C47F36" w:rsidRPr="00BF5EAB" w:rsidRDefault="00C47F36" w:rsidP="005501C8">
      <w:pPr>
        <w:pStyle w:val="ListParagraph"/>
        <w:numPr>
          <w:ilvl w:val="0"/>
          <w:numId w:val="27"/>
        </w:numPr>
        <w:bidi/>
        <w:spacing w:after="0"/>
        <w:ind w:left="492"/>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التحقق من معايير الأهلية: استبعاد المشاركين الذين لا تنطبق عليهم معايير الاستهداف (كعدم ممارسة مهام تخطيطية أو إشرافية مباشرة، أو عدم التعامل مع أنظمة ذكاء الأعمال).</w:t>
      </w:r>
    </w:p>
    <w:p w14:paraId="37DAA522" w14:textId="77777777" w:rsidR="00C47F36" w:rsidRPr="00BF5EAB" w:rsidRDefault="00C47F36" w:rsidP="005501C8">
      <w:pPr>
        <w:pStyle w:val="ListParagraph"/>
        <w:numPr>
          <w:ilvl w:val="0"/>
          <w:numId w:val="27"/>
        </w:numPr>
        <w:bidi/>
        <w:spacing w:after="0"/>
        <w:ind w:left="492"/>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معالجة القيم المتطرفة: فحص البيانات إحصائياً للكشف عن القيم المتطرفة (</w:t>
      </w:r>
      <w:r w:rsidRPr="00BF5EAB">
        <w:rPr>
          <w:rFonts w:ascii="Sakkal Majalla" w:eastAsia="Calibri" w:hAnsi="Sakkal Majalla" w:cs="Sakkal Majalla"/>
          <w:color w:val="0D0D0D" w:themeColor="text1" w:themeTint="F2"/>
          <w:kern w:val="2"/>
          <w:sz w:val="32"/>
          <w:szCs w:val="32"/>
          <w:lang w:bidi="ar-EG"/>
          <w14:ligatures w14:val="standardContextual"/>
        </w:rPr>
        <w:t>Outliers</w:t>
      </w:r>
      <w:r w:rsidRPr="00BF5EAB">
        <w:rPr>
          <w:rFonts w:ascii="Sakkal Majalla" w:eastAsia="Calibri" w:hAnsi="Sakkal Majalla" w:cs="Sakkal Majalla"/>
          <w:color w:val="0D0D0D" w:themeColor="text1" w:themeTint="F2"/>
          <w:kern w:val="2"/>
          <w:sz w:val="32"/>
          <w:szCs w:val="32"/>
          <w:rtl/>
          <w:lang w:bidi="ar-EG"/>
          <w14:ligatures w14:val="standardContextual"/>
        </w:rPr>
        <w:t>) التي قد تؤثر على دقة نمذجة المعادلات البنائية، مع اتخاذ قرار بالاحتفاظ بها أو استبعادها بناءً على اختبارات "مسافة ماهالانوبيس" (</w:t>
      </w:r>
      <w:proofErr w:type="spellStart"/>
      <w:r w:rsidRPr="00BF5EAB">
        <w:rPr>
          <w:rFonts w:ascii="Sakkal Majalla" w:eastAsia="Calibri" w:hAnsi="Sakkal Majalla" w:cs="Sakkal Majalla"/>
          <w:color w:val="0D0D0D" w:themeColor="text1" w:themeTint="F2"/>
          <w:kern w:val="2"/>
          <w:sz w:val="32"/>
          <w:szCs w:val="32"/>
          <w:lang w:bidi="ar-EG"/>
          <w14:ligatures w14:val="standardContextual"/>
        </w:rPr>
        <w:t>Mahalanobis</w:t>
      </w:r>
      <w:proofErr w:type="spellEnd"/>
      <w:r w:rsidRPr="00BF5EAB">
        <w:rPr>
          <w:rFonts w:ascii="Sakkal Majalla" w:eastAsia="Calibri" w:hAnsi="Sakkal Majalla" w:cs="Sakkal Majalla"/>
          <w:color w:val="0D0D0D" w:themeColor="text1" w:themeTint="F2"/>
          <w:kern w:val="2"/>
          <w:sz w:val="32"/>
          <w:szCs w:val="32"/>
          <w:lang w:bidi="ar-EG"/>
          <w14:ligatures w14:val="standardContextual"/>
        </w:rPr>
        <w:t xml:space="preserve"> Distance</w:t>
      </w:r>
      <w:r w:rsidRPr="00BF5EAB">
        <w:rPr>
          <w:rFonts w:ascii="Sakkal Majalla" w:eastAsia="Calibri" w:hAnsi="Sakkal Majalla" w:cs="Sakkal Majalla"/>
          <w:color w:val="0D0D0D" w:themeColor="text1" w:themeTint="F2"/>
          <w:kern w:val="2"/>
          <w:sz w:val="32"/>
          <w:szCs w:val="32"/>
          <w:rtl/>
          <w:lang w:bidi="ar-EG"/>
          <w14:ligatures w14:val="standardContextual"/>
        </w:rPr>
        <w:t>).</w:t>
      </w:r>
    </w:p>
    <w:p w14:paraId="70AF5D8B" w14:textId="668ADE3B" w:rsidR="00C47F36" w:rsidRPr="00BF5EAB" w:rsidRDefault="00C47F36"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lang w:bidi="ar-EG"/>
          <w14:ligatures w14:val="standardContextual"/>
        </w:rPr>
        <w:t xml:space="preserve">    تهدف هذه الإجراءات إلى ضمان الحصول على عينة نظيفة وممثلة بدقة لمجتمع الدراسة، مما يعزز الثقة في النتائج النهائية التي سيتم التوصل إليها.</w:t>
      </w:r>
    </w:p>
    <w:p w14:paraId="590E09D5" w14:textId="71D79B39" w:rsidR="000C2795" w:rsidRPr="00BF5EAB" w:rsidRDefault="00C47F36" w:rsidP="005501C8">
      <w:pPr>
        <w:spacing w:after="0" w:line="276" w:lineRule="auto"/>
        <w:jc w:val="both"/>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 xml:space="preserve">3-10 </w:t>
      </w:r>
      <w:r w:rsidR="000C2795" w:rsidRPr="00BF5EAB">
        <w:rPr>
          <w:rFonts w:ascii="Sakkal Majalla" w:hAnsi="Sakkal Majalla" w:cs="Sakkal Majalla"/>
          <w:b/>
          <w:bCs/>
          <w:color w:val="0D0D0D" w:themeColor="text1" w:themeTint="F2"/>
          <w:sz w:val="32"/>
          <w:szCs w:val="32"/>
          <w:rtl/>
          <w:lang w:bidi="ar-EG"/>
        </w:rPr>
        <w:t>إجراءات الدراسة</w:t>
      </w:r>
    </w:p>
    <w:p w14:paraId="70111273" w14:textId="72B04577" w:rsidR="000C2795" w:rsidRPr="00BF5EAB" w:rsidRDefault="000C2795" w:rsidP="005501C8">
      <w:pPr>
        <w:spacing w:after="0" w:line="276" w:lineRule="auto"/>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w:t>
      </w:r>
      <w:r w:rsidR="00AB73E0" w:rsidRPr="00BF5EAB">
        <w:rPr>
          <w:rFonts w:ascii="Sakkal Majalla" w:eastAsia="Calibri" w:hAnsi="Sakkal Majalla" w:cs="Sakkal Majalla"/>
          <w:color w:val="0D0D0D" w:themeColor="text1" w:themeTint="F2"/>
          <w:sz w:val="32"/>
          <w:szCs w:val="32"/>
          <w:rtl/>
          <w:lang w:bidi="ar-EG"/>
        </w:rPr>
        <w:t>تتمثل إجراءات الدراسة في الخطوات المنهجية والمتسلسلة التي اتبعتها الباحثة لتحقيق أهداف الدراسة والإجابة عن تساؤلاتها واختبار فرضياتها، وفق الآتي</w:t>
      </w:r>
      <w:r w:rsidR="005B20E7" w:rsidRPr="00BF5EAB">
        <w:rPr>
          <w:rFonts w:ascii="Sakkal Majalla" w:eastAsia="Calibri" w:hAnsi="Sakkal Majalla" w:cs="Sakkal Majalla"/>
          <w:color w:val="0D0D0D" w:themeColor="text1" w:themeTint="F2"/>
          <w:sz w:val="32"/>
          <w:szCs w:val="32"/>
          <w:rtl/>
          <w:lang w:bidi="ar-EG"/>
        </w:rPr>
        <w:t>:</w:t>
      </w:r>
    </w:p>
    <w:p w14:paraId="4392E44C" w14:textId="77777777" w:rsidR="000C2795" w:rsidRPr="00BF5EAB" w:rsidRDefault="008C2C62"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القيام</w:t>
      </w:r>
      <w:r w:rsidR="00AB73E0" w:rsidRPr="00BF5EAB">
        <w:rPr>
          <w:rFonts w:ascii="Sakkal Majalla" w:eastAsia="Calibri" w:hAnsi="Sakkal Majalla" w:cs="Sakkal Majalla"/>
          <w:color w:val="0D0D0D" w:themeColor="text1" w:themeTint="F2"/>
          <w:sz w:val="32"/>
          <w:szCs w:val="32"/>
          <w:rtl/>
          <w:lang w:bidi="ar-EG"/>
        </w:rPr>
        <w:t xml:space="preserve"> بمسح شامل للأطر النظرية والدراسات السابقة (المحلية والإقليمية والدولية) المتعلقة بقبول واستخدام التقنيات الحديثة ونموذج قبول التكنولوجيا، ونظم ذكاء الأعمال، وجودة القرارات الاستراتيجية، والابتكار التنظيمي في القطاع المصرفي؛ لبناء القاعدة المعرفية وتحديد الفجوة البحثية.</w:t>
      </w:r>
    </w:p>
    <w:p w14:paraId="7FE45148"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lastRenderedPageBreak/>
        <w:t>اعتماد المنهج الوصفي التحليلي، كونه المنهج الأكثر ملاءمة لطبيعة هذه الدراسة التي تسعى لتوصيف مستويات المتغيرات وتحليل العلاقات الارتباطية والسببية والوسيطة بينها.</w:t>
      </w:r>
    </w:p>
    <w:p w14:paraId="34140805"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تطوير استبانة قياسية كمية موجهة للمديرين في المصارف، استناداً إلى نماذج ومقاييس الأدبيات المستقرة، مع تكييف العبارات وترجمتها بدقة لتناسب البيئة المصرفية السعودية وتغطي أبعاد النموذج التحليلي المقترح.</w:t>
      </w:r>
    </w:p>
    <w:p w14:paraId="3D07F7CF"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عرض الاستبانة في صورتها الأولية على نخبة من المحكمين الأكاديميين المتخصصين (الصدق الظاهري)، ثم تطبيقها على عينة استطلاعية قوامها (30) فرداً من مجتمع الدراسة خارج العينة الأساسية؛ لحساب الصدق البنائي (الاتساق الداخلي) ومؤشرات الثبات (معامل ألفا كرونباخ، والتجزئة النصفية لسبيرمان-براون).</w:t>
      </w:r>
    </w:p>
    <w:p w14:paraId="4C0CFA16"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حصر المجتمع المستهدف والمتمثل في المديرين (بمختلف مستوياتهم الإدارية) بالمصارف التجارية العاملة بمدينة الرياض، واختيار عينة ممثلة منهم بأسلوب المعاينة العشوائية.</w:t>
      </w:r>
    </w:p>
    <w:p w14:paraId="3342793B" w14:textId="77777777" w:rsidR="000C2795" w:rsidRPr="00BF5EAB" w:rsidRDefault="00AB73E0" w:rsidP="005501C8">
      <w:pPr>
        <w:pStyle w:val="ListParagraph"/>
        <w:numPr>
          <w:ilvl w:val="0"/>
          <w:numId w:val="14"/>
        </w:numPr>
        <w:bidi/>
        <w:spacing w:after="0"/>
        <w:jc w:val="both"/>
        <w:rPr>
          <w:rFonts w:ascii="Sakkal Majalla" w:hAnsi="Sakkal Majalla" w:cs="Sakkal Majalla"/>
          <w:b/>
          <w:bCs/>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توزيع الاستبانة في صورتها النهائية إلكترونياً على أفراد العينة المستهدفة، ومتابعة جمع الاستجابات لضمان الحصول على الحجم الأمثل للعينة والمطلوب للتحليل الإحصائي المتقدم.</w:t>
      </w:r>
    </w:p>
    <w:p w14:paraId="5F952A08" w14:textId="18319950" w:rsidR="000C2795" w:rsidRPr="00BF5EAB" w:rsidRDefault="00AB73E0" w:rsidP="005501C8">
      <w:pPr>
        <w:pStyle w:val="ListParagraph"/>
        <w:numPr>
          <w:ilvl w:val="0"/>
          <w:numId w:val="14"/>
        </w:numPr>
        <w:bidi/>
        <w:spacing w:after="0"/>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ترميز البيانات وإدخالها للحاسب الآلي، وإجراء اختبارات الفحص الأولي للقيم الشاذة (</w:t>
      </w:r>
      <w:r w:rsidRPr="00BF5EAB">
        <w:rPr>
          <w:rFonts w:ascii="Sakkal Majalla" w:eastAsia="Calibri" w:hAnsi="Sakkal Majalla" w:cs="Sakkal Majalla"/>
          <w:color w:val="0D0D0D" w:themeColor="text1" w:themeTint="F2"/>
          <w:sz w:val="32"/>
          <w:szCs w:val="32"/>
          <w:lang w:bidi="ar-EG"/>
        </w:rPr>
        <w:t>Outliers</w:t>
      </w:r>
      <w:r w:rsidRPr="00BF5EAB">
        <w:rPr>
          <w:rFonts w:ascii="Sakkal Majalla" w:eastAsia="Calibri" w:hAnsi="Sakkal Majalla" w:cs="Sakkal Majalla"/>
          <w:color w:val="0D0D0D" w:themeColor="text1" w:themeTint="F2"/>
          <w:sz w:val="32"/>
          <w:szCs w:val="32"/>
          <w:rtl/>
          <w:lang w:bidi="ar-EG"/>
        </w:rPr>
        <w:t>)، والتحقق من التوزيع الطبيعي، وفحص انحياز الطريقة المشتركة (</w:t>
      </w:r>
      <w:r w:rsidRPr="00BF5EAB">
        <w:rPr>
          <w:rFonts w:ascii="Sakkal Majalla" w:eastAsia="Calibri" w:hAnsi="Sakkal Majalla" w:cs="Sakkal Majalla"/>
          <w:color w:val="0D0D0D" w:themeColor="text1" w:themeTint="F2"/>
          <w:sz w:val="32"/>
          <w:szCs w:val="32"/>
          <w:lang w:bidi="ar-EG"/>
        </w:rPr>
        <w:t>Common Method Bias</w:t>
      </w:r>
      <w:r w:rsidRPr="00BF5EAB">
        <w:rPr>
          <w:rFonts w:ascii="Sakkal Majalla" w:eastAsia="Calibri" w:hAnsi="Sakkal Majalla" w:cs="Sakkal Majalla"/>
          <w:color w:val="0D0D0D" w:themeColor="text1" w:themeTint="F2"/>
          <w:sz w:val="32"/>
          <w:szCs w:val="32"/>
          <w:rtl/>
          <w:lang w:bidi="ar-EG"/>
        </w:rPr>
        <w:t>) لضمان سلامة البيانات قبل التحليل.</w:t>
      </w:r>
    </w:p>
    <w:p w14:paraId="1C3930A2" w14:textId="77777777" w:rsidR="000C2795" w:rsidRPr="00BF5EAB" w:rsidRDefault="00AB73E0" w:rsidP="005501C8">
      <w:pPr>
        <w:pStyle w:val="ListParagraph"/>
        <w:numPr>
          <w:ilvl w:val="0"/>
          <w:numId w:val="14"/>
        </w:numPr>
        <w:bidi/>
        <w:spacing w:after="0"/>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معالجة البيانات باستخدام برنامج الحزمة الإحصائية للعلوم الاجتماعية (</w:t>
      </w:r>
      <w:r w:rsidRPr="00BF5EAB">
        <w:rPr>
          <w:rFonts w:ascii="Sakkal Majalla" w:eastAsia="Calibri" w:hAnsi="Sakkal Majalla" w:cs="Sakkal Majalla"/>
          <w:color w:val="0D0D0D" w:themeColor="text1" w:themeTint="F2"/>
          <w:sz w:val="32"/>
          <w:szCs w:val="32"/>
          <w:lang w:bidi="ar-EG"/>
        </w:rPr>
        <w:t>SPSS V.29</w:t>
      </w:r>
      <w:r w:rsidRPr="00BF5EAB">
        <w:rPr>
          <w:rFonts w:ascii="Sakkal Majalla" w:eastAsia="Calibri" w:hAnsi="Sakkal Majalla" w:cs="Sakkal Majalla"/>
          <w:color w:val="0D0D0D" w:themeColor="text1" w:themeTint="F2"/>
          <w:sz w:val="32"/>
          <w:szCs w:val="32"/>
          <w:rtl/>
          <w:lang w:bidi="ar-EG"/>
        </w:rPr>
        <w:t>)، بالإضافة إلى برنامج نمذجة المعادلات البنائية بمربعات القواسم المشتركة الصغرى الجزئية (</w:t>
      </w:r>
      <w:r w:rsidRPr="00BF5EAB">
        <w:rPr>
          <w:rFonts w:ascii="Sakkal Majalla" w:eastAsia="Calibri" w:hAnsi="Sakkal Majalla" w:cs="Sakkal Majalla"/>
          <w:color w:val="0D0D0D" w:themeColor="text1" w:themeTint="F2"/>
          <w:sz w:val="32"/>
          <w:szCs w:val="32"/>
          <w:lang w:bidi="ar-EG"/>
        </w:rPr>
        <w:t>PLS−SEM</w:t>
      </w:r>
      <w:r w:rsidRPr="00BF5EAB">
        <w:rPr>
          <w:rFonts w:ascii="Sakkal Majalla" w:eastAsia="Calibri" w:hAnsi="Sakkal Majalla" w:cs="Sakkal Majalla"/>
          <w:color w:val="0D0D0D" w:themeColor="text1" w:themeTint="F2"/>
          <w:sz w:val="32"/>
          <w:szCs w:val="32"/>
          <w:rtl/>
          <w:lang w:bidi="ar-EG"/>
        </w:rPr>
        <w:t>).</w:t>
      </w:r>
    </w:p>
    <w:p w14:paraId="53AAEE39" w14:textId="590B80F4" w:rsidR="00AB73E0" w:rsidRPr="00BF5EAB" w:rsidRDefault="00AB73E0" w:rsidP="005501C8">
      <w:pPr>
        <w:pStyle w:val="ListParagraph"/>
        <w:numPr>
          <w:ilvl w:val="0"/>
          <w:numId w:val="14"/>
        </w:numPr>
        <w:bidi/>
        <w:spacing w:after="0"/>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تفريغ النتائج في جداول إحصائية منظمة، وتفسيرها تحليلياً، ومناقشتها في ضوء فرضيات الدراسة ومقارنتها بما أسفرت عنه الدراسات السابقة.</w:t>
      </w:r>
    </w:p>
    <w:p w14:paraId="6A0B9F79" w14:textId="766830FD" w:rsidR="00332F62" w:rsidRPr="00BF5EAB" w:rsidRDefault="00AB73E0" w:rsidP="005501C8">
      <w:pPr>
        <w:pStyle w:val="ListParagraph"/>
        <w:numPr>
          <w:ilvl w:val="0"/>
          <w:numId w:val="14"/>
        </w:numPr>
        <w:bidi/>
        <w:spacing w:after="0"/>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صياغة رؤية وتوصيات إجرائية تطبيقية تساهم في تمكين القيادات المصرفية من توظيف تقنيات ذكاء الأعمال لرفع جودة قراراتهم ودعم الابتكار التنظيمي، بما يتسق مع مستهدفات رؤية السعودية 2030م.</w:t>
      </w:r>
    </w:p>
    <w:p w14:paraId="41D56A89" w14:textId="77777777" w:rsidR="003B07BF" w:rsidRPr="00BF5EAB" w:rsidRDefault="003B07BF" w:rsidP="003B07BF">
      <w:pPr>
        <w:spacing w:after="0"/>
        <w:jc w:val="both"/>
        <w:rPr>
          <w:rFonts w:ascii="Sakkal Majalla" w:eastAsia="Calibri" w:hAnsi="Sakkal Majalla" w:cs="Sakkal Majalla"/>
          <w:color w:val="0D0D0D" w:themeColor="text1" w:themeTint="F2"/>
          <w:sz w:val="32"/>
          <w:szCs w:val="32"/>
          <w:rtl/>
          <w:lang w:bidi="ar-EG"/>
        </w:rPr>
      </w:pPr>
    </w:p>
    <w:p w14:paraId="1F019B33" w14:textId="77777777" w:rsidR="003B07BF" w:rsidRPr="00BF5EAB" w:rsidRDefault="003B07BF" w:rsidP="003B07BF">
      <w:pPr>
        <w:spacing w:after="0"/>
        <w:jc w:val="both"/>
        <w:rPr>
          <w:rFonts w:ascii="Sakkal Majalla" w:eastAsia="Calibri" w:hAnsi="Sakkal Majalla" w:cs="Sakkal Majalla"/>
          <w:color w:val="0D0D0D" w:themeColor="text1" w:themeTint="F2"/>
          <w:sz w:val="32"/>
          <w:szCs w:val="32"/>
          <w:lang w:bidi="ar-EG"/>
        </w:rPr>
      </w:pPr>
    </w:p>
    <w:p w14:paraId="6A21D5D8" w14:textId="316784FF" w:rsidR="00041D9B" w:rsidRPr="00BF5EAB" w:rsidRDefault="00041D9B" w:rsidP="005501C8">
      <w:pPr>
        <w:spacing w:after="0" w:line="276" w:lineRule="auto"/>
        <w:rPr>
          <w:rFonts w:ascii="Sakkal Majalla" w:eastAsia="Calibri" w:hAnsi="Sakkal Majalla" w:cs="Sakkal Majalla"/>
          <w:b/>
          <w:bCs/>
          <w:color w:val="0D0D0D" w:themeColor="text1" w:themeTint="F2"/>
          <w:sz w:val="32"/>
          <w:szCs w:val="32"/>
          <w:rtl/>
          <w:lang w:bidi="ar-EG"/>
        </w:rPr>
      </w:pPr>
      <w:r w:rsidRPr="00BF5EAB">
        <w:rPr>
          <w:rFonts w:ascii="Sakkal Majalla" w:eastAsia="Calibri" w:hAnsi="Sakkal Majalla" w:cs="Sakkal Majalla"/>
          <w:b/>
          <w:bCs/>
          <w:color w:val="0D0D0D" w:themeColor="text1" w:themeTint="F2"/>
          <w:sz w:val="32"/>
          <w:szCs w:val="32"/>
          <w:rtl/>
          <w:lang w:bidi="ar-EG"/>
        </w:rPr>
        <w:lastRenderedPageBreak/>
        <w:t>3-</w:t>
      </w:r>
      <w:r w:rsidR="00C47F36" w:rsidRPr="00BF5EAB">
        <w:rPr>
          <w:rFonts w:ascii="Sakkal Majalla" w:eastAsia="Calibri" w:hAnsi="Sakkal Majalla" w:cs="Sakkal Majalla"/>
          <w:b/>
          <w:bCs/>
          <w:color w:val="0D0D0D" w:themeColor="text1" w:themeTint="F2"/>
          <w:sz w:val="32"/>
          <w:szCs w:val="32"/>
          <w:rtl/>
          <w:lang w:bidi="ar-EG"/>
        </w:rPr>
        <w:t>11</w:t>
      </w:r>
      <w:r w:rsidRPr="00BF5EAB">
        <w:rPr>
          <w:rFonts w:ascii="Sakkal Majalla" w:eastAsia="Calibri" w:hAnsi="Sakkal Majalla" w:cs="Sakkal Majalla"/>
          <w:b/>
          <w:bCs/>
          <w:color w:val="0D0D0D" w:themeColor="text1" w:themeTint="F2"/>
          <w:sz w:val="32"/>
          <w:szCs w:val="32"/>
          <w:rtl/>
          <w:lang w:bidi="ar-EG"/>
        </w:rPr>
        <w:t xml:space="preserve"> إجراءات تنظيف ومعالجة البيانات</w:t>
      </w:r>
      <w:r w:rsidR="005B20E7" w:rsidRPr="00BF5EAB">
        <w:rPr>
          <w:rFonts w:ascii="Sakkal Majalla" w:eastAsia="Calibri" w:hAnsi="Sakkal Majalla" w:cs="Sakkal Majalla"/>
          <w:b/>
          <w:bCs/>
          <w:color w:val="0D0D0D" w:themeColor="text1" w:themeTint="F2"/>
          <w:sz w:val="32"/>
          <w:szCs w:val="32"/>
          <w:rtl/>
          <w:lang w:bidi="ar-EG"/>
        </w:rPr>
        <w:t>:</w:t>
      </w:r>
    </w:p>
    <w:p w14:paraId="2F15BAA7" w14:textId="5ACE7966" w:rsidR="00041D9B" w:rsidRPr="00BF5EAB" w:rsidRDefault="00041D9B" w:rsidP="005501C8">
      <w:pPr>
        <w:spacing w:after="0" w:line="276" w:lineRule="auto"/>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قبل البدء بالتحليل الإحصائي المتقدم باستخدام نمذجة المعادلات البنائية (</w:t>
      </w:r>
      <w:r w:rsidRPr="00BF5EAB">
        <w:rPr>
          <w:rFonts w:ascii="Sakkal Majalla" w:eastAsia="Calibri" w:hAnsi="Sakkal Majalla" w:cs="Sakkal Majalla"/>
          <w:color w:val="0D0D0D" w:themeColor="text1" w:themeTint="F2"/>
          <w:sz w:val="32"/>
          <w:szCs w:val="32"/>
          <w:lang w:bidi="ar-EG"/>
        </w:rPr>
        <w:t>SEM-PLS</w:t>
      </w:r>
      <w:r w:rsidRPr="00BF5EAB">
        <w:rPr>
          <w:rFonts w:ascii="Sakkal Majalla" w:eastAsia="Calibri" w:hAnsi="Sakkal Majalla" w:cs="Sakkal Majalla"/>
          <w:color w:val="0D0D0D" w:themeColor="text1" w:themeTint="F2"/>
          <w:sz w:val="32"/>
          <w:szCs w:val="32"/>
          <w:rtl/>
          <w:lang w:bidi="ar-EG"/>
        </w:rPr>
        <w:t>)، اتخذت الباحثة إجراءات منهجية صارمة لتنظيف البيانات وضمان سلامتها، وذلك لضمان جودة الاستجابات وصدق النتائج، وفقاً للخطوات التالية</w:t>
      </w:r>
      <w:r w:rsidR="005B20E7" w:rsidRPr="00BF5EAB">
        <w:rPr>
          <w:rFonts w:ascii="Sakkal Majalla" w:eastAsia="Calibri" w:hAnsi="Sakkal Majalla" w:cs="Sakkal Majalla"/>
          <w:color w:val="0D0D0D" w:themeColor="text1" w:themeTint="F2"/>
          <w:sz w:val="32"/>
          <w:szCs w:val="32"/>
          <w:rtl/>
          <w:lang w:bidi="ar-EG"/>
        </w:rPr>
        <w:t>:</w:t>
      </w:r>
    </w:p>
    <w:p w14:paraId="6D235C86" w14:textId="261324C7" w:rsidR="00041D9B" w:rsidRPr="00BF5EAB" w:rsidRDefault="00041D9B" w:rsidP="005501C8">
      <w:pPr>
        <w:pStyle w:val="ListParagraph"/>
        <w:numPr>
          <w:ilvl w:val="0"/>
          <w:numId w:val="34"/>
        </w:numPr>
        <w:bidi/>
        <w:spacing w:after="0"/>
        <w:ind w:left="351"/>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فحص الاستجابات غير الجادة</w:t>
      </w:r>
      <w:r w:rsidR="005B20E7"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تم فحص الاستبانات للتأكد من عدم وجود "استجابات نمطية" (أي اختيار المستجيب لنفس الإجابة في جميع الفقرات مثل اختيار الدرجة "5" أو "3" بشكل متكرر دون قراءة الفقرات). الاستبانات التي أظهرت تبايناً صفرياً (</w:t>
      </w:r>
      <w:r w:rsidRPr="00BF5EAB">
        <w:rPr>
          <w:rFonts w:ascii="Sakkal Majalla" w:eastAsia="Calibri" w:hAnsi="Sakkal Majalla" w:cs="Sakkal Majalla"/>
          <w:color w:val="0D0D0D" w:themeColor="text1" w:themeTint="F2"/>
          <w:sz w:val="32"/>
          <w:szCs w:val="32"/>
          <w:lang w:bidi="ar-EG"/>
        </w:rPr>
        <w:t>Zero Variance</w:t>
      </w:r>
      <w:r w:rsidRPr="00BF5EAB">
        <w:rPr>
          <w:rFonts w:ascii="Sakkal Majalla" w:eastAsia="Calibri" w:hAnsi="Sakkal Majalla" w:cs="Sakkal Majalla"/>
          <w:color w:val="0D0D0D" w:themeColor="text1" w:themeTint="F2"/>
          <w:sz w:val="32"/>
          <w:szCs w:val="32"/>
          <w:rtl/>
          <w:lang w:bidi="ar-EG"/>
        </w:rPr>
        <w:t>) في الإجابات تم استبعادها لعدم جديتها (</w:t>
      </w:r>
      <w:r w:rsidRPr="00BF5EAB">
        <w:rPr>
          <w:rFonts w:ascii="Sakkal Majalla" w:eastAsia="Calibri" w:hAnsi="Sakkal Majalla" w:cs="Sakkal Majalla"/>
          <w:color w:val="0D0D0D" w:themeColor="text1" w:themeTint="F2"/>
          <w:sz w:val="32"/>
          <w:szCs w:val="32"/>
          <w:lang w:bidi="ar-EG"/>
        </w:rPr>
        <w:t>Hair et al., 2022</w:t>
      </w:r>
      <w:r w:rsidRPr="00BF5EAB">
        <w:rPr>
          <w:rFonts w:ascii="Sakkal Majalla" w:eastAsia="Calibri" w:hAnsi="Sakkal Majalla" w:cs="Sakkal Majalla"/>
          <w:color w:val="0D0D0D" w:themeColor="text1" w:themeTint="F2"/>
          <w:sz w:val="32"/>
          <w:szCs w:val="32"/>
          <w:rtl/>
          <w:lang w:bidi="ar-EG"/>
        </w:rPr>
        <w:t>).</w:t>
      </w:r>
    </w:p>
    <w:p w14:paraId="46B43849" w14:textId="2CD06269" w:rsidR="00041D9B" w:rsidRPr="00BF5EAB" w:rsidRDefault="00041D9B" w:rsidP="005501C8">
      <w:pPr>
        <w:pStyle w:val="ListParagraph"/>
        <w:numPr>
          <w:ilvl w:val="0"/>
          <w:numId w:val="34"/>
        </w:numPr>
        <w:bidi/>
        <w:spacing w:after="0"/>
        <w:ind w:left="351"/>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التعامل مع القيم المفقودة (</w:t>
      </w:r>
      <w:r w:rsidRPr="00BF5EAB">
        <w:rPr>
          <w:rFonts w:ascii="Sakkal Majalla" w:eastAsia="Calibri" w:hAnsi="Sakkal Majalla" w:cs="Sakkal Majalla"/>
          <w:color w:val="0D0D0D" w:themeColor="text1" w:themeTint="F2"/>
          <w:sz w:val="32"/>
          <w:szCs w:val="32"/>
          <w:lang w:bidi="ar-EG"/>
        </w:rPr>
        <w:t>Missing Values</w:t>
      </w:r>
      <w:r w:rsidRPr="00BF5EAB">
        <w:rPr>
          <w:rFonts w:ascii="Sakkal Majalla" w:eastAsia="Calibri" w:hAnsi="Sakkal Majalla" w:cs="Sakkal Majalla"/>
          <w:color w:val="0D0D0D" w:themeColor="text1" w:themeTint="F2"/>
          <w:sz w:val="32"/>
          <w:szCs w:val="32"/>
          <w:rtl/>
          <w:lang w:bidi="ar-EG"/>
        </w:rPr>
        <w:t>)</w:t>
      </w:r>
      <w:r w:rsidR="005B20E7"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في حال وجود قيم مفقودة بنسبة تقل عن 5% من إجمالي بيانات الفقرة الواحدة، سيتم معالجتها باستخدام تقنية (</w:t>
      </w:r>
      <w:r w:rsidRPr="00BF5EAB">
        <w:rPr>
          <w:rFonts w:ascii="Sakkal Majalla" w:eastAsia="Calibri" w:hAnsi="Sakkal Majalla" w:cs="Sakkal Majalla"/>
          <w:color w:val="0D0D0D" w:themeColor="text1" w:themeTint="F2"/>
          <w:sz w:val="32"/>
          <w:szCs w:val="32"/>
          <w:lang w:bidi="ar-EG"/>
        </w:rPr>
        <w:t>Mean Substitution</w:t>
      </w:r>
      <w:r w:rsidRPr="00BF5EAB">
        <w:rPr>
          <w:rFonts w:ascii="Sakkal Majalla" w:eastAsia="Calibri" w:hAnsi="Sakkal Majalla" w:cs="Sakkal Majalla"/>
          <w:color w:val="0D0D0D" w:themeColor="text1" w:themeTint="F2"/>
          <w:sz w:val="32"/>
          <w:szCs w:val="32"/>
          <w:rtl/>
          <w:lang w:bidi="ar-EG"/>
        </w:rPr>
        <w:t>) إذا كان التوزيع طبيعياً، أو (</w:t>
      </w:r>
      <w:r w:rsidRPr="00BF5EAB">
        <w:rPr>
          <w:rFonts w:ascii="Sakkal Majalla" w:eastAsia="Calibri" w:hAnsi="Sakkal Majalla" w:cs="Sakkal Majalla"/>
          <w:color w:val="0D0D0D" w:themeColor="text1" w:themeTint="F2"/>
          <w:sz w:val="32"/>
          <w:szCs w:val="32"/>
          <w:lang w:bidi="ar-EG"/>
        </w:rPr>
        <w:t>Multiple Imputation</w:t>
      </w:r>
      <w:r w:rsidRPr="00BF5EAB">
        <w:rPr>
          <w:rFonts w:ascii="Sakkal Majalla" w:eastAsia="Calibri" w:hAnsi="Sakkal Majalla" w:cs="Sakkal Majalla"/>
          <w:color w:val="0D0D0D" w:themeColor="text1" w:themeTint="F2"/>
          <w:sz w:val="32"/>
          <w:szCs w:val="32"/>
          <w:rtl/>
          <w:lang w:bidi="ar-EG"/>
        </w:rPr>
        <w:t>) لضمان عدم ضياع المعلومات. أما الاستبانات التي تتضمن نسبة كبيرة من القيم المفقودة (تتجاوز 10%) أو التي لا تكتمل فيها المحاور الرئيسية، فسيتم استبعادها نهائياً من التحليل النهائي (</w:t>
      </w:r>
      <w:r w:rsidRPr="00BF5EAB">
        <w:rPr>
          <w:rFonts w:ascii="Sakkal Majalla" w:eastAsia="Calibri" w:hAnsi="Sakkal Majalla" w:cs="Sakkal Majalla"/>
          <w:color w:val="0D0D0D" w:themeColor="text1" w:themeTint="F2"/>
          <w:sz w:val="32"/>
          <w:szCs w:val="32"/>
          <w:lang w:bidi="ar-EG"/>
        </w:rPr>
        <w:t>Hair et al., 2021</w:t>
      </w:r>
      <w:r w:rsidRPr="00BF5EAB">
        <w:rPr>
          <w:rFonts w:ascii="Sakkal Majalla" w:eastAsia="Calibri" w:hAnsi="Sakkal Majalla" w:cs="Sakkal Majalla"/>
          <w:color w:val="0D0D0D" w:themeColor="text1" w:themeTint="F2"/>
          <w:sz w:val="32"/>
          <w:szCs w:val="32"/>
          <w:rtl/>
          <w:lang w:bidi="ar-EG"/>
        </w:rPr>
        <w:t>).</w:t>
      </w:r>
    </w:p>
    <w:p w14:paraId="67E90020" w14:textId="2656D946" w:rsidR="00041D9B" w:rsidRPr="00BF5EAB" w:rsidRDefault="00041D9B" w:rsidP="005501C8">
      <w:pPr>
        <w:pStyle w:val="ListParagraph"/>
        <w:numPr>
          <w:ilvl w:val="0"/>
          <w:numId w:val="34"/>
        </w:numPr>
        <w:bidi/>
        <w:spacing w:after="0"/>
        <w:ind w:left="351"/>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فحص القيم المتطرفة (</w:t>
      </w:r>
      <w:r w:rsidRPr="00BF5EAB">
        <w:rPr>
          <w:rFonts w:ascii="Sakkal Majalla" w:eastAsia="Calibri" w:hAnsi="Sakkal Majalla" w:cs="Sakkal Majalla"/>
          <w:color w:val="0D0D0D" w:themeColor="text1" w:themeTint="F2"/>
          <w:sz w:val="32"/>
          <w:szCs w:val="32"/>
          <w:lang w:bidi="ar-EG"/>
        </w:rPr>
        <w:t>Outliers</w:t>
      </w:r>
      <w:r w:rsidRPr="00BF5EAB">
        <w:rPr>
          <w:rFonts w:ascii="Sakkal Majalla" w:eastAsia="Calibri" w:hAnsi="Sakkal Majalla" w:cs="Sakkal Majalla"/>
          <w:color w:val="0D0D0D" w:themeColor="text1" w:themeTint="F2"/>
          <w:sz w:val="32"/>
          <w:szCs w:val="32"/>
          <w:rtl/>
          <w:lang w:bidi="ar-EG"/>
        </w:rPr>
        <w:t>)</w:t>
      </w:r>
      <w:r w:rsidR="005B20E7"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تمت مراجعة البيانات لاكتشاف القيم المتطرفة التي قد تؤثر سلباً على تقديرات النموذج البنائي، وذلك عبر فحص المسافات الإحصائية</w:t>
      </w:r>
      <w:r w:rsidR="00555F05"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w:t>
      </w:r>
      <w:r w:rsidR="00555F05" w:rsidRPr="00BF5EAB">
        <w:rPr>
          <w:rFonts w:ascii="Sakkal Majalla" w:eastAsia="Calibri" w:hAnsi="Sakkal Majalla" w:cs="Sakkal Majalla"/>
          <w:color w:val="0D0D0D" w:themeColor="text1" w:themeTint="F2"/>
          <w:sz w:val="32"/>
          <w:szCs w:val="32"/>
          <w:rtl/>
          <w:lang w:bidi="ar-EG"/>
        </w:rPr>
        <w:t>مثل</w:t>
      </w:r>
      <w:r w:rsidR="005B20E7" w:rsidRPr="00BF5EAB">
        <w:rPr>
          <w:rFonts w:ascii="Sakkal Majalla" w:eastAsia="Calibri" w:hAnsi="Sakkal Majalla" w:cs="Sakkal Majalla"/>
          <w:color w:val="0D0D0D" w:themeColor="text1" w:themeTint="F2"/>
          <w:sz w:val="32"/>
          <w:szCs w:val="32"/>
          <w:rtl/>
          <w:lang w:bidi="ar-EG"/>
        </w:rPr>
        <w:t>:</w:t>
      </w:r>
      <w:r w:rsidR="00555F05" w:rsidRPr="00BF5EAB">
        <w:rPr>
          <w:rFonts w:ascii="Sakkal Majalla" w:eastAsia="Calibri" w:hAnsi="Sakkal Majalla" w:cs="Sakkal Majalla"/>
          <w:color w:val="0D0D0D" w:themeColor="text1" w:themeTint="F2"/>
          <w:sz w:val="32"/>
          <w:szCs w:val="32"/>
          <w:rtl/>
          <w:lang w:bidi="ar-EG"/>
        </w:rPr>
        <w:t xml:space="preserve"> </w:t>
      </w:r>
      <w:r w:rsidRPr="00BF5EAB">
        <w:rPr>
          <w:rFonts w:ascii="Sakkal Majalla" w:eastAsia="Calibri" w:hAnsi="Sakkal Majalla" w:cs="Sakkal Majalla"/>
          <w:color w:val="0D0D0D" w:themeColor="text1" w:themeTint="F2"/>
          <w:sz w:val="32"/>
          <w:szCs w:val="32"/>
          <w:rtl/>
          <w:lang w:bidi="ar-EG"/>
        </w:rPr>
        <w:t xml:space="preserve">مسافة ماهالانوبيس - </w:t>
      </w:r>
      <w:proofErr w:type="spellStart"/>
      <w:r w:rsidRPr="00BF5EAB">
        <w:rPr>
          <w:rFonts w:ascii="Sakkal Majalla" w:eastAsia="Calibri" w:hAnsi="Sakkal Majalla" w:cs="Sakkal Majalla"/>
          <w:color w:val="0D0D0D" w:themeColor="text1" w:themeTint="F2"/>
          <w:sz w:val="32"/>
          <w:szCs w:val="32"/>
          <w:lang w:bidi="ar-EG"/>
        </w:rPr>
        <w:t>Mahalanobis</w:t>
      </w:r>
      <w:proofErr w:type="spellEnd"/>
      <w:r w:rsidRPr="00BF5EAB">
        <w:rPr>
          <w:rFonts w:ascii="Sakkal Majalla" w:eastAsia="Calibri" w:hAnsi="Sakkal Majalla" w:cs="Sakkal Majalla"/>
          <w:color w:val="0D0D0D" w:themeColor="text1" w:themeTint="F2"/>
          <w:sz w:val="32"/>
          <w:szCs w:val="32"/>
          <w:lang w:bidi="ar-EG"/>
        </w:rPr>
        <w:t xml:space="preserve"> Distance</w:t>
      </w:r>
      <w:r w:rsidRPr="00BF5EAB">
        <w:rPr>
          <w:rFonts w:ascii="Sakkal Majalla" w:eastAsia="Calibri" w:hAnsi="Sakkal Majalla" w:cs="Sakkal Majalla"/>
          <w:color w:val="0D0D0D" w:themeColor="text1" w:themeTint="F2"/>
          <w:sz w:val="32"/>
          <w:szCs w:val="32"/>
          <w:rtl/>
          <w:lang w:bidi="ar-EG"/>
        </w:rPr>
        <w:t>. الإجابات التي تظهر انحرافاً شديداً وغير منطقي سيتم فحصها، وإذا تأكد أنها ناتجة عن خطأ في الإدراك أو عدم جدية، سيتم استبعادها للحفاظ على سلامة النموذج (</w:t>
      </w:r>
      <w:r w:rsidRPr="00BF5EAB">
        <w:rPr>
          <w:rFonts w:ascii="Sakkal Majalla" w:eastAsia="Calibri" w:hAnsi="Sakkal Majalla" w:cs="Sakkal Majalla"/>
          <w:color w:val="0D0D0D" w:themeColor="text1" w:themeTint="F2"/>
          <w:sz w:val="32"/>
          <w:szCs w:val="32"/>
          <w:lang w:bidi="ar-EG"/>
        </w:rPr>
        <w:t>Podsakoff et al., 2019</w:t>
      </w:r>
      <w:r w:rsidRPr="00BF5EAB">
        <w:rPr>
          <w:rFonts w:ascii="Sakkal Majalla" w:eastAsia="Calibri" w:hAnsi="Sakkal Majalla" w:cs="Sakkal Majalla"/>
          <w:color w:val="0D0D0D" w:themeColor="text1" w:themeTint="F2"/>
          <w:sz w:val="32"/>
          <w:szCs w:val="32"/>
          <w:rtl/>
          <w:lang w:bidi="ar-EG"/>
        </w:rPr>
        <w:t>).</w:t>
      </w:r>
    </w:p>
    <w:p w14:paraId="162C43DD" w14:textId="0845EBBA" w:rsidR="00041D9B" w:rsidRPr="00BF5EAB" w:rsidRDefault="00041D9B" w:rsidP="005501C8">
      <w:pPr>
        <w:pStyle w:val="ListParagraph"/>
        <w:numPr>
          <w:ilvl w:val="0"/>
          <w:numId w:val="34"/>
        </w:numPr>
        <w:bidi/>
        <w:spacing w:after="0"/>
        <w:ind w:left="351"/>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مراقبة جودة العينة</w:t>
      </w:r>
      <w:r w:rsidR="005B20E7"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بناءً على استهداف (344) استجابة صالحة، قامت الباحثة باستراتيجية استباقية من خلال إرسال الرابط لـ (400) فرد، وذلك لمواجهة احتمالية استبعاد أي استجابة غير مكتملة أو غير جادة، لضمان الوصول إلى العينة المطلوبة إحصائياً بأعلى معايير الدقة والنزاهة العلمية.</w:t>
      </w:r>
    </w:p>
    <w:p w14:paraId="3CA21A63" w14:textId="6FCC15FF" w:rsidR="00090D33" w:rsidRPr="00BF5EAB" w:rsidRDefault="00090D33" w:rsidP="005501C8">
      <w:pPr>
        <w:spacing w:after="0" w:line="276" w:lineRule="auto"/>
        <w:ind w:left="-9"/>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اعتمدت الدراسة خطة تحليل إحصائي متعددة المستويات لضمان دقة النتائج، وقد تم تنظيم الأساليب الإحصائية وفقاً لأهداف الدراسة وفرضياتها في الجدول التالي</w:t>
      </w:r>
      <w:r w:rsidR="005B20E7" w:rsidRPr="00BF5EAB">
        <w:rPr>
          <w:rFonts w:ascii="Sakkal Majalla" w:eastAsia="Calibri" w:hAnsi="Sakkal Majalla" w:cs="Sakkal Majalla"/>
          <w:color w:val="0D0D0D" w:themeColor="text1" w:themeTint="F2"/>
          <w:sz w:val="32"/>
          <w:szCs w:val="32"/>
          <w:rtl/>
          <w:lang w:bidi="ar-EG"/>
        </w:rPr>
        <w:t>:</w:t>
      </w:r>
    </w:p>
    <w:p w14:paraId="3AC1DB98" w14:textId="1120FC81" w:rsidR="00090D33" w:rsidRPr="00BF5EAB" w:rsidRDefault="00090D33" w:rsidP="003B07BF">
      <w:pPr>
        <w:spacing w:after="0" w:line="240" w:lineRule="auto"/>
        <w:ind w:left="-9"/>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جدول (3-</w:t>
      </w:r>
      <w:r w:rsidR="00C47F36" w:rsidRPr="00BF5EAB">
        <w:rPr>
          <w:rFonts w:ascii="Sakkal Majalla" w:eastAsia="Calibri" w:hAnsi="Sakkal Majalla" w:cs="Sakkal Majalla"/>
          <w:b/>
          <w:bCs/>
          <w:color w:val="0D0D0D" w:themeColor="text1" w:themeTint="F2"/>
          <w:sz w:val="28"/>
          <w:szCs w:val="28"/>
          <w:rtl/>
          <w:lang w:bidi="ar-EG"/>
        </w:rPr>
        <w:t>13</w:t>
      </w:r>
      <w:r w:rsidRPr="00BF5EAB">
        <w:rPr>
          <w:rFonts w:ascii="Sakkal Majalla" w:eastAsia="Calibri" w:hAnsi="Sakkal Majalla" w:cs="Sakkal Majalla"/>
          <w:b/>
          <w:bCs/>
          <w:color w:val="0D0D0D" w:themeColor="text1" w:themeTint="F2"/>
          <w:sz w:val="28"/>
          <w:szCs w:val="28"/>
          <w:rtl/>
          <w:lang w:bidi="ar-EG"/>
        </w:rPr>
        <w:t>) خطة تحليل البيانات والأساليب الإحصائية المستخدمة</w:t>
      </w:r>
    </w:p>
    <w:tbl>
      <w:tblPr>
        <w:tblStyle w:val="5"/>
        <w:bidiVisual/>
        <w:tblW w:w="0" w:type="auto"/>
        <w:jc w:val="center"/>
        <w:tblLook w:val="04A0" w:firstRow="1" w:lastRow="0" w:firstColumn="1" w:lastColumn="0" w:noHBand="0" w:noVBand="1"/>
      </w:tblPr>
      <w:tblGrid>
        <w:gridCol w:w="2611"/>
        <w:gridCol w:w="3188"/>
        <w:gridCol w:w="2694"/>
      </w:tblGrid>
      <w:tr w:rsidR="00BF5EAB" w:rsidRPr="00BF5EAB" w14:paraId="73D5FF3B" w14:textId="77777777" w:rsidTr="003B07BF">
        <w:trPr>
          <w:tblHeader/>
          <w:jc w:val="center"/>
        </w:trPr>
        <w:tc>
          <w:tcPr>
            <w:tcW w:w="2907" w:type="dxa"/>
            <w:vAlign w:val="center"/>
            <w:hideMark/>
          </w:tcPr>
          <w:p w14:paraId="3732E8EE" w14:textId="77777777" w:rsidR="00090D33" w:rsidRPr="00BF5EAB" w:rsidRDefault="00090D33" w:rsidP="003B07BF">
            <w:pPr>
              <w:ind w:left="-9"/>
              <w:jc w:val="center"/>
              <w:rPr>
                <w:rFonts w:ascii="Sakkal Majalla" w:eastAsia="Calibri" w:hAnsi="Sakkal Majalla" w:cs="Sakkal Majalla"/>
                <w:b/>
                <w:bCs/>
                <w:color w:val="0D0D0D" w:themeColor="text1" w:themeTint="F2"/>
                <w:sz w:val="28"/>
                <w:szCs w:val="28"/>
                <w:lang w:bidi="ar-EG"/>
              </w:rPr>
            </w:pPr>
            <w:r w:rsidRPr="00BF5EAB">
              <w:rPr>
                <w:rFonts w:ascii="Sakkal Majalla" w:eastAsia="Calibri" w:hAnsi="Sakkal Majalla" w:cs="Sakkal Majalla"/>
                <w:b/>
                <w:bCs/>
                <w:color w:val="0D0D0D" w:themeColor="text1" w:themeTint="F2"/>
                <w:sz w:val="28"/>
                <w:szCs w:val="28"/>
                <w:rtl/>
                <w:lang w:bidi="ar-EG"/>
              </w:rPr>
              <w:t>الغرض من التحليل</w:t>
            </w:r>
          </w:p>
        </w:tc>
        <w:tc>
          <w:tcPr>
            <w:tcW w:w="3544" w:type="dxa"/>
            <w:vAlign w:val="center"/>
            <w:hideMark/>
          </w:tcPr>
          <w:p w14:paraId="371EC376" w14:textId="77777777" w:rsidR="00090D33" w:rsidRPr="00BF5EAB" w:rsidRDefault="00090D33" w:rsidP="003B07BF">
            <w:pPr>
              <w:ind w:left="-9"/>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الأسلوب الإحصائي</w:t>
            </w:r>
          </w:p>
        </w:tc>
        <w:tc>
          <w:tcPr>
            <w:tcW w:w="2962" w:type="dxa"/>
            <w:vAlign w:val="center"/>
            <w:hideMark/>
          </w:tcPr>
          <w:p w14:paraId="323D46E8" w14:textId="16055B53" w:rsidR="00090D33" w:rsidRPr="00BF5EAB" w:rsidRDefault="00090D33" w:rsidP="003B07BF">
            <w:pPr>
              <w:ind w:left="-9"/>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الأسئلة / الفرضيات المرتبطة</w:t>
            </w:r>
          </w:p>
        </w:tc>
      </w:tr>
      <w:tr w:rsidR="00BF5EAB" w:rsidRPr="00BF5EAB" w14:paraId="34D3AD31" w14:textId="77777777" w:rsidTr="005B20E7">
        <w:trPr>
          <w:jc w:val="center"/>
        </w:trPr>
        <w:tc>
          <w:tcPr>
            <w:tcW w:w="2907" w:type="dxa"/>
            <w:vAlign w:val="center"/>
            <w:hideMark/>
          </w:tcPr>
          <w:p w14:paraId="73AD692D"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وصف عينة الدراسة</w:t>
            </w:r>
          </w:p>
        </w:tc>
        <w:tc>
          <w:tcPr>
            <w:tcW w:w="3544" w:type="dxa"/>
            <w:vAlign w:val="center"/>
            <w:hideMark/>
          </w:tcPr>
          <w:p w14:paraId="5EA8CF2B"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التكرارات والنسب المئوية</w:t>
            </w:r>
          </w:p>
        </w:tc>
        <w:tc>
          <w:tcPr>
            <w:tcW w:w="2962" w:type="dxa"/>
            <w:vAlign w:val="center"/>
            <w:hideMark/>
          </w:tcPr>
          <w:p w14:paraId="0D208D26"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الخصائص الديموغرافية والوظيفية</w:t>
            </w:r>
          </w:p>
        </w:tc>
      </w:tr>
      <w:tr w:rsidR="00BF5EAB" w:rsidRPr="00BF5EAB" w14:paraId="39CEE9E9" w14:textId="77777777" w:rsidTr="005B20E7">
        <w:trPr>
          <w:jc w:val="center"/>
        </w:trPr>
        <w:tc>
          <w:tcPr>
            <w:tcW w:w="2907" w:type="dxa"/>
            <w:vAlign w:val="center"/>
            <w:hideMark/>
          </w:tcPr>
          <w:p w14:paraId="37A80818"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lastRenderedPageBreak/>
              <w:t>تقنين الأداة (الصدق والثبات)</w:t>
            </w:r>
          </w:p>
        </w:tc>
        <w:tc>
          <w:tcPr>
            <w:tcW w:w="3544" w:type="dxa"/>
            <w:vAlign w:val="center"/>
            <w:hideMark/>
          </w:tcPr>
          <w:p w14:paraId="444B4BA6"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 xml:space="preserve">ألفا كرونباخ، الثبات المركب، </w:t>
            </w:r>
            <w:r w:rsidRPr="00BF5EAB">
              <w:rPr>
                <w:rFonts w:ascii="Sakkal Majalla" w:eastAsia="Calibri" w:hAnsi="Sakkal Majalla" w:cs="Sakkal Majalla"/>
                <w:color w:val="0D0D0D" w:themeColor="text1" w:themeTint="F2"/>
                <w:sz w:val="28"/>
                <w:szCs w:val="28"/>
                <w:lang w:bidi="ar-EG"/>
              </w:rPr>
              <w:t>AVE</w:t>
            </w:r>
          </w:p>
        </w:tc>
        <w:tc>
          <w:tcPr>
            <w:tcW w:w="2962" w:type="dxa"/>
            <w:vAlign w:val="center"/>
            <w:hideMark/>
          </w:tcPr>
          <w:p w14:paraId="17A1EB5C"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محور الاستبانة</w:t>
            </w:r>
          </w:p>
        </w:tc>
      </w:tr>
      <w:tr w:rsidR="00BF5EAB" w:rsidRPr="00BF5EAB" w14:paraId="63ECB179" w14:textId="77777777" w:rsidTr="005B20E7">
        <w:trPr>
          <w:jc w:val="center"/>
        </w:trPr>
        <w:tc>
          <w:tcPr>
            <w:tcW w:w="2907" w:type="dxa"/>
            <w:vAlign w:val="center"/>
            <w:hideMark/>
          </w:tcPr>
          <w:p w14:paraId="51F0600B"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اختبار الفرضيات المباشرة</w:t>
            </w:r>
          </w:p>
        </w:tc>
        <w:tc>
          <w:tcPr>
            <w:tcW w:w="3544" w:type="dxa"/>
            <w:vAlign w:val="center"/>
            <w:hideMark/>
          </w:tcPr>
          <w:p w14:paraId="0DA15C04" w14:textId="44DC5DE3"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lang w:bidi="ar-EG"/>
              </w:rPr>
              <w:t>Path Coefficients</w:t>
            </w:r>
            <w:r w:rsidR="005B20E7" w:rsidRPr="00BF5EAB">
              <w:rPr>
                <w:rFonts w:ascii="Sakkal Majalla" w:eastAsia="Calibri" w:hAnsi="Sakkal Majalla" w:cs="Sakkal Majalla"/>
                <w:color w:val="0D0D0D" w:themeColor="text1" w:themeTint="F2"/>
                <w:sz w:val="28"/>
                <w:szCs w:val="28"/>
                <w:lang w:bidi="ar-EG"/>
              </w:rPr>
              <w:t xml:space="preserve">, </w:t>
            </w:r>
            <w:r w:rsidRPr="00BF5EAB">
              <w:rPr>
                <w:rFonts w:ascii="Sakkal Majalla" w:eastAsia="Calibri" w:hAnsi="Sakkal Majalla" w:cs="Sakkal Majalla"/>
                <w:color w:val="0D0D0D" w:themeColor="text1" w:themeTint="F2"/>
                <w:sz w:val="28"/>
                <w:szCs w:val="28"/>
                <w:lang w:bidi="ar-EG"/>
              </w:rPr>
              <w:t>t-values</w:t>
            </w:r>
          </w:p>
        </w:tc>
        <w:tc>
          <w:tcPr>
            <w:tcW w:w="2962" w:type="dxa"/>
            <w:vAlign w:val="center"/>
            <w:hideMark/>
          </w:tcPr>
          <w:p w14:paraId="0253CD04" w14:textId="0F68550A"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الفرضيات المباشرة (</w:t>
            </w:r>
            <w:r w:rsidRPr="00BF5EAB">
              <w:rPr>
                <w:rFonts w:ascii="Sakkal Majalla" w:eastAsia="Calibri" w:hAnsi="Sakkal Majalla" w:cs="Sakkal Majalla"/>
                <w:color w:val="0D0D0D" w:themeColor="text1" w:themeTint="F2"/>
                <w:sz w:val="28"/>
                <w:szCs w:val="28"/>
                <w:lang w:bidi="ar-EG"/>
              </w:rPr>
              <w:t>H</w:t>
            </w:r>
            <w:r w:rsidRPr="00BF5EAB">
              <w:rPr>
                <w:rFonts w:ascii="Sakkal Majalla" w:eastAsia="Calibri" w:hAnsi="Sakkal Majalla" w:cs="Sakkal Majalla"/>
                <w:color w:val="0D0D0D" w:themeColor="text1" w:themeTint="F2"/>
                <w:sz w:val="28"/>
                <w:szCs w:val="28"/>
                <w:vertAlign w:val="subscript"/>
                <w:lang w:bidi="ar-EG"/>
              </w:rPr>
              <w:t>1</w:t>
            </w:r>
            <w:r w:rsidRPr="00BF5EAB">
              <w:rPr>
                <w:rFonts w:ascii="Sakkal Majalla" w:eastAsia="Calibri" w:hAnsi="Sakkal Majalla" w:cs="Sakkal Majalla"/>
                <w:color w:val="0D0D0D" w:themeColor="text1" w:themeTint="F2"/>
                <w:sz w:val="28"/>
                <w:szCs w:val="28"/>
                <w:lang w:bidi="ar-EG"/>
              </w:rPr>
              <w:t>, H</w:t>
            </w:r>
            <w:r w:rsidRPr="00BF5EAB">
              <w:rPr>
                <w:rFonts w:ascii="Sakkal Majalla" w:eastAsia="Calibri" w:hAnsi="Sakkal Majalla" w:cs="Sakkal Majalla"/>
                <w:color w:val="0D0D0D" w:themeColor="text1" w:themeTint="F2"/>
                <w:sz w:val="28"/>
                <w:szCs w:val="28"/>
                <w:vertAlign w:val="subscript"/>
                <w:lang w:bidi="ar-EG"/>
              </w:rPr>
              <w:t>2</w:t>
            </w:r>
            <w:r w:rsidRPr="00BF5EAB">
              <w:rPr>
                <w:rFonts w:ascii="Sakkal Majalla" w:eastAsia="Calibri" w:hAnsi="Sakkal Majalla" w:cs="Sakkal Majalla"/>
                <w:color w:val="0D0D0D" w:themeColor="text1" w:themeTint="F2"/>
                <w:sz w:val="28"/>
                <w:szCs w:val="28"/>
                <w:rtl/>
                <w:lang w:bidi="ar-EG"/>
              </w:rPr>
              <w:t>)</w:t>
            </w:r>
          </w:p>
        </w:tc>
      </w:tr>
      <w:tr w:rsidR="00BF5EAB" w:rsidRPr="00BF5EAB" w14:paraId="29EFF8B4" w14:textId="77777777" w:rsidTr="005B20E7">
        <w:trPr>
          <w:jc w:val="center"/>
        </w:trPr>
        <w:tc>
          <w:tcPr>
            <w:tcW w:w="2907" w:type="dxa"/>
            <w:vAlign w:val="center"/>
            <w:hideMark/>
          </w:tcPr>
          <w:p w14:paraId="0A615072"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اختبار الفرضيات الوسيطة</w:t>
            </w:r>
          </w:p>
        </w:tc>
        <w:tc>
          <w:tcPr>
            <w:tcW w:w="3544" w:type="dxa"/>
            <w:vAlign w:val="center"/>
            <w:hideMark/>
          </w:tcPr>
          <w:p w14:paraId="5257D598" w14:textId="2DCA3A0B"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التوسط المباشر وغير المباشر</w:t>
            </w:r>
          </w:p>
        </w:tc>
        <w:tc>
          <w:tcPr>
            <w:tcW w:w="2962" w:type="dxa"/>
            <w:vAlign w:val="center"/>
            <w:hideMark/>
          </w:tcPr>
          <w:p w14:paraId="0EA9FA32" w14:textId="54BA215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 xml:space="preserve">الفرضيات الوسيطة </w:t>
            </w:r>
            <w:r w:rsidR="00DF0E86" w:rsidRPr="00BF5EAB">
              <w:rPr>
                <w:rFonts w:ascii="Sakkal Majalla" w:eastAsia="Calibri" w:hAnsi="Sakkal Majalla" w:cs="Sakkal Majalla"/>
                <w:color w:val="0D0D0D" w:themeColor="text1" w:themeTint="F2"/>
                <w:sz w:val="28"/>
                <w:szCs w:val="28"/>
                <w:rtl/>
                <w:lang w:bidi="ar-EG"/>
              </w:rPr>
              <w:t>(</w:t>
            </w:r>
            <w:r w:rsidR="00DF0E86" w:rsidRPr="00BF5EAB">
              <w:rPr>
                <w:rFonts w:ascii="Sakkal Majalla" w:eastAsia="Calibri" w:hAnsi="Sakkal Majalla" w:cs="Sakkal Majalla"/>
                <w:color w:val="0D0D0D" w:themeColor="text1" w:themeTint="F2"/>
                <w:sz w:val="28"/>
                <w:szCs w:val="28"/>
                <w:lang w:bidi="ar-EG"/>
              </w:rPr>
              <w:t>H</w:t>
            </w:r>
            <w:r w:rsidR="00DF0E86" w:rsidRPr="00BF5EAB">
              <w:rPr>
                <w:rFonts w:ascii="Sakkal Majalla" w:eastAsia="Calibri" w:hAnsi="Sakkal Majalla" w:cs="Sakkal Majalla"/>
                <w:color w:val="0D0D0D" w:themeColor="text1" w:themeTint="F2"/>
                <w:sz w:val="28"/>
                <w:szCs w:val="28"/>
                <w:vertAlign w:val="subscript"/>
                <w:lang w:bidi="ar-EG"/>
              </w:rPr>
              <w:t>3</w:t>
            </w:r>
            <w:r w:rsidR="00DF0E86" w:rsidRPr="00BF5EAB">
              <w:rPr>
                <w:rFonts w:ascii="Sakkal Majalla" w:eastAsia="Calibri" w:hAnsi="Sakkal Majalla" w:cs="Sakkal Majalla"/>
                <w:color w:val="0D0D0D" w:themeColor="text1" w:themeTint="F2"/>
                <w:sz w:val="28"/>
                <w:szCs w:val="28"/>
                <w:lang w:bidi="ar-EG"/>
              </w:rPr>
              <w:t>, H</w:t>
            </w:r>
            <w:r w:rsidR="00DF0E86" w:rsidRPr="00BF5EAB">
              <w:rPr>
                <w:rFonts w:ascii="Sakkal Majalla" w:eastAsia="Calibri" w:hAnsi="Sakkal Majalla" w:cs="Sakkal Majalla"/>
                <w:color w:val="0D0D0D" w:themeColor="text1" w:themeTint="F2"/>
                <w:sz w:val="28"/>
                <w:szCs w:val="28"/>
                <w:vertAlign w:val="subscript"/>
                <w:lang w:bidi="ar-EG"/>
              </w:rPr>
              <w:t>4</w:t>
            </w:r>
            <w:r w:rsidR="00DF0E86" w:rsidRPr="00BF5EAB">
              <w:rPr>
                <w:rFonts w:ascii="Sakkal Majalla" w:eastAsia="Calibri" w:hAnsi="Sakkal Majalla" w:cs="Sakkal Majalla"/>
                <w:color w:val="0D0D0D" w:themeColor="text1" w:themeTint="F2"/>
                <w:sz w:val="28"/>
                <w:szCs w:val="28"/>
                <w:rtl/>
                <w:lang w:bidi="ar-EG"/>
              </w:rPr>
              <w:t>)</w:t>
            </w:r>
          </w:p>
        </w:tc>
      </w:tr>
      <w:tr w:rsidR="00BF5EAB" w:rsidRPr="00BF5EAB" w14:paraId="4D864FA9" w14:textId="77777777" w:rsidTr="005B20E7">
        <w:trPr>
          <w:jc w:val="center"/>
        </w:trPr>
        <w:tc>
          <w:tcPr>
            <w:tcW w:w="2907" w:type="dxa"/>
            <w:vAlign w:val="center"/>
            <w:hideMark/>
          </w:tcPr>
          <w:p w14:paraId="7624CF21"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قياس القوة التفسيرية</w:t>
            </w:r>
          </w:p>
        </w:tc>
        <w:tc>
          <w:tcPr>
            <w:tcW w:w="3544" w:type="dxa"/>
            <w:vAlign w:val="center"/>
            <w:hideMark/>
          </w:tcPr>
          <w:p w14:paraId="7D2B1899" w14:textId="086B4114"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معامل التحديد (</w:t>
            </w:r>
            <w:r w:rsidRPr="00BF5EAB">
              <w:rPr>
                <w:rFonts w:ascii="Sakkal Majalla" w:eastAsia="Calibri" w:hAnsi="Sakkal Majalla" w:cs="Sakkal Majalla"/>
                <w:color w:val="0D0D0D" w:themeColor="text1" w:themeTint="F2"/>
                <w:sz w:val="28"/>
                <w:szCs w:val="28"/>
                <w:lang w:bidi="ar-EG"/>
              </w:rPr>
              <w:t>R</w:t>
            </w:r>
            <w:r w:rsidRPr="00BF5EAB">
              <w:rPr>
                <w:rFonts w:ascii="Sakkal Majalla" w:eastAsia="Calibri" w:hAnsi="Sakkal Majalla" w:cs="Sakkal Majalla"/>
                <w:color w:val="0D0D0D" w:themeColor="text1" w:themeTint="F2"/>
                <w:sz w:val="28"/>
                <w:szCs w:val="28"/>
                <w:vertAlign w:val="superscript"/>
                <w:lang w:bidi="ar-EG"/>
              </w:rPr>
              <w:t>2</w:t>
            </w:r>
            <w:r w:rsidRPr="00BF5EAB">
              <w:rPr>
                <w:rFonts w:ascii="Sakkal Majalla" w:eastAsia="Calibri" w:hAnsi="Sakkal Majalla" w:cs="Sakkal Majalla"/>
                <w:color w:val="0D0D0D" w:themeColor="text1" w:themeTint="F2"/>
                <w:sz w:val="28"/>
                <w:szCs w:val="28"/>
                <w:rtl/>
                <w:lang w:bidi="ar-EG"/>
              </w:rPr>
              <w:t>)</w:t>
            </w:r>
            <w:r w:rsidR="00DF0E86" w:rsidRPr="00BF5EAB">
              <w:rPr>
                <w:rFonts w:ascii="Sakkal Majalla" w:eastAsia="Calibri" w:hAnsi="Sakkal Majalla" w:cs="Sakkal Majalla"/>
                <w:color w:val="0D0D0D" w:themeColor="text1" w:themeTint="F2"/>
                <w:sz w:val="28"/>
                <w:szCs w:val="28"/>
                <w:rtl/>
                <w:lang w:bidi="ar-EG"/>
              </w:rPr>
              <w:t>،</w:t>
            </w:r>
            <w:r w:rsidRPr="00BF5EAB">
              <w:rPr>
                <w:rFonts w:ascii="Sakkal Majalla" w:eastAsia="Calibri" w:hAnsi="Sakkal Majalla" w:cs="Sakkal Majalla"/>
                <w:color w:val="0D0D0D" w:themeColor="text1" w:themeTint="F2"/>
                <w:sz w:val="28"/>
                <w:szCs w:val="28"/>
                <w:rtl/>
                <w:lang w:bidi="ar-EG"/>
              </w:rPr>
              <w:t xml:space="preserve"> حجم الأثر (</w:t>
            </w:r>
            <w:r w:rsidRPr="00BF5EAB">
              <w:rPr>
                <w:rFonts w:ascii="Sakkal Majalla" w:eastAsia="Calibri" w:hAnsi="Sakkal Majalla" w:cs="Sakkal Majalla"/>
                <w:color w:val="0D0D0D" w:themeColor="text1" w:themeTint="F2"/>
                <w:sz w:val="28"/>
                <w:szCs w:val="28"/>
                <w:lang w:bidi="ar-EG"/>
              </w:rPr>
              <w:t>f</w:t>
            </w:r>
            <w:r w:rsidRPr="00BF5EAB">
              <w:rPr>
                <w:rFonts w:ascii="Sakkal Majalla" w:eastAsia="Calibri" w:hAnsi="Sakkal Majalla" w:cs="Sakkal Majalla"/>
                <w:color w:val="0D0D0D" w:themeColor="text1" w:themeTint="F2"/>
                <w:sz w:val="28"/>
                <w:szCs w:val="28"/>
                <w:vertAlign w:val="superscript"/>
                <w:lang w:bidi="ar-EG"/>
              </w:rPr>
              <w:t>2</w:t>
            </w:r>
            <w:r w:rsidRPr="00BF5EAB">
              <w:rPr>
                <w:rFonts w:ascii="Sakkal Majalla" w:eastAsia="Calibri" w:hAnsi="Sakkal Majalla" w:cs="Sakkal Majalla"/>
                <w:color w:val="0D0D0D" w:themeColor="text1" w:themeTint="F2"/>
                <w:sz w:val="28"/>
                <w:szCs w:val="28"/>
                <w:rtl/>
                <w:lang w:bidi="ar-EG"/>
              </w:rPr>
              <w:t>)</w:t>
            </w:r>
          </w:p>
        </w:tc>
        <w:tc>
          <w:tcPr>
            <w:tcW w:w="2962" w:type="dxa"/>
            <w:vAlign w:val="center"/>
            <w:hideMark/>
          </w:tcPr>
          <w:p w14:paraId="795BB045"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جودة النموذج البنائي</w:t>
            </w:r>
          </w:p>
        </w:tc>
      </w:tr>
    </w:tbl>
    <w:p w14:paraId="2ED33DC6" w14:textId="32333FC1" w:rsidR="005B20E7" w:rsidRPr="00BF5EAB" w:rsidRDefault="005B20E7" w:rsidP="005501C8">
      <w:p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سيتم تقييم نموذج القياس والنموذج البنائي</w:t>
      </w:r>
      <w:r w:rsidRPr="00BF5EAB">
        <w:rPr>
          <w:rFonts w:ascii="Sakkal Majalla" w:eastAsia="Times New Roman" w:hAnsi="Sakkal Majalla" w:cs="Sakkal Majalla"/>
          <w:color w:val="0D0D0D" w:themeColor="text1" w:themeTint="F2"/>
          <w:sz w:val="32"/>
          <w:szCs w:val="32"/>
          <w:lang w:bidi="ar-EG"/>
        </w:rPr>
        <w:t xml:space="preserve"> (PLS-SEM)</w:t>
      </w:r>
      <w:r w:rsidRPr="00BF5EAB">
        <w:rPr>
          <w:rFonts w:ascii="Sakkal Majalla" w:eastAsia="Times New Roman" w:hAnsi="Sakkal Majalla" w:cs="Sakkal Majalla"/>
          <w:color w:val="0D0D0D" w:themeColor="text1" w:themeTint="F2"/>
          <w:sz w:val="32"/>
          <w:szCs w:val="32"/>
          <w:rtl/>
        </w:rPr>
        <w:t xml:space="preserve">وفق معايير </w:t>
      </w:r>
      <w:r w:rsidRPr="00BF5EAB">
        <w:rPr>
          <w:rFonts w:ascii="Sakkal Majalla" w:eastAsia="Times New Roman" w:hAnsi="Sakkal Majalla" w:cs="Sakkal Majalla"/>
          <w:color w:val="0D0D0D" w:themeColor="text1" w:themeTint="F2"/>
          <w:sz w:val="32"/>
          <w:szCs w:val="32"/>
          <w:lang w:bidi="ar-EG"/>
        </w:rPr>
        <w:t xml:space="preserve">Hair et al. (2022) </w:t>
      </w:r>
      <w:r w:rsidRPr="00BF5EAB">
        <w:rPr>
          <w:rFonts w:ascii="Sakkal Majalla" w:eastAsia="Times New Roman" w:hAnsi="Sakkal Majalla" w:cs="Sakkal Majalla"/>
          <w:color w:val="0D0D0D" w:themeColor="text1" w:themeTint="F2"/>
          <w:sz w:val="32"/>
          <w:szCs w:val="32"/>
          <w:rtl/>
          <w:lang w:bidi="ar-EG"/>
        </w:rPr>
        <w:t xml:space="preserve"> ك</w:t>
      </w:r>
      <w:r w:rsidRPr="00BF5EAB">
        <w:rPr>
          <w:rFonts w:ascii="Sakkal Majalla" w:eastAsia="Times New Roman" w:hAnsi="Sakkal Majalla" w:cs="Sakkal Majalla"/>
          <w:color w:val="0D0D0D" w:themeColor="text1" w:themeTint="F2"/>
          <w:sz w:val="32"/>
          <w:szCs w:val="32"/>
          <w:rtl/>
        </w:rPr>
        <w:t>التالي</w:t>
      </w:r>
      <w:r w:rsidRPr="00BF5EAB">
        <w:rPr>
          <w:rFonts w:ascii="Sakkal Majalla" w:eastAsia="Times New Roman" w:hAnsi="Sakkal Majalla" w:cs="Sakkal Majalla"/>
          <w:color w:val="0D0D0D" w:themeColor="text1" w:themeTint="F2"/>
          <w:sz w:val="32"/>
          <w:szCs w:val="32"/>
          <w:rtl/>
          <w:lang w:bidi="ar-EG"/>
        </w:rPr>
        <w:t>:</w:t>
      </w:r>
    </w:p>
    <w:p w14:paraId="7DDD3265" w14:textId="431588A8" w:rsidR="005B20E7" w:rsidRPr="00BF5EAB" w:rsidRDefault="005B20E7" w:rsidP="005501C8">
      <w:pPr>
        <w:numPr>
          <w:ilvl w:val="0"/>
          <w:numId w:val="36"/>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نموذج القياس</w:t>
      </w:r>
      <w:r w:rsidRPr="00BF5EAB">
        <w:rPr>
          <w:rFonts w:ascii="Sakkal Majalla" w:eastAsia="Times New Roman" w:hAnsi="Sakkal Majalla" w:cs="Sakkal Majalla"/>
          <w:color w:val="0D0D0D" w:themeColor="text1" w:themeTint="F2"/>
          <w:sz w:val="32"/>
          <w:szCs w:val="32"/>
          <w:lang w:bidi="ar-EG"/>
        </w:rPr>
        <w:t xml:space="preserve"> (Outer Model) </w:t>
      </w:r>
      <w:r w:rsidRPr="00BF5EAB">
        <w:rPr>
          <w:rFonts w:ascii="Sakkal Majalla" w:eastAsia="Times New Roman" w:hAnsi="Sakkal Majalla" w:cs="Sakkal Majalla"/>
          <w:color w:val="0D0D0D" w:themeColor="text1" w:themeTint="F2"/>
          <w:sz w:val="32"/>
          <w:szCs w:val="32"/>
          <w:rtl/>
        </w:rPr>
        <w:t>فحص التشبعات العاملي</w:t>
      </w:r>
      <w:r w:rsidR="00337287" w:rsidRPr="00BF5EAB">
        <w:rPr>
          <w:rFonts w:ascii="Sakkal Majalla" w:eastAsia="Times New Roman" w:hAnsi="Sakkal Majalla" w:cs="Sakkal Majalla"/>
          <w:color w:val="0D0D0D" w:themeColor="text1" w:themeTint="F2"/>
          <w:sz w:val="32"/>
          <w:szCs w:val="32"/>
          <w:rtl/>
        </w:rPr>
        <w:t xml:space="preserve">ة </w:t>
      </w:r>
      <w:r w:rsidRPr="00BF5EAB">
        <w:rPr>
          <w:rFonts w:ascii="Sakkal Majalla" w:eastAsia="Times New Roman" w:hAnsi="Sakkal Majalla" w:cs="Sakkal Majalla"/>
          <w:color w:val="0D0D0D" w:themeColor="text1" w:themeTint="F2"/>
          <w:sz w:val="32"/>
          <w:szCs w:val="32"/>
          <w:lang w:bidi="ar-EG"/>
        </w:rPr>
        <w:t>(&gt; 0.70)</w:t>
      </w:r>
      <w:r w:rsidRPr="00BF5EAB">
        <w:rPr>
          <w:rFonts w:ascii="Sakkal Majalla" w:eastAsia="Times New Roman" w:hAnsi="Sakkal Majalla" w:cs="Sakkal Majalla"/>
          <w:color w:val="0D0D0D" w:themeColor="text1" w:themeTint="F2"/>
          <w:sz w:val="32"/>
          <w:szCs w:val="32"/>
          <w:rtl/>
        </w:rPr>
        <w:t>، الثبات المركب</w:t>
      </w:r>
      <w:r w:rsidRPr="00BF5EAB">
        <w:rPr>
          <w:rFonts w:ascii="Sakkal Majalla" w:eastAsia="Times New Roman" w:hAnsi="Sakkal Majalla" w:cs="Sakkal Majalla"/>
          <w:color w:val="0D0D0D" w:themeColor="text1" w:themeTint="F2"/>
          <w:sz w:val="32"/>
          <w:szCs w:val="32"/>
          <w:lang w:bidi="ar-EG"/>
        </w:rPr>
        <w:t xml:space="preserve"> (CR &gt; 0.70)</w:t>
      </w:r>
      <w:r w:rsidRPr="00BF5EAB">
        <w:rPr>
          <w:rFonts w:ascii="Sakkal Majalla" w:eastAsia="Times New Roman" w:hAnsi="Sakkal Majalla" w:cs="Sakkal Majalla"/>
          <w:color w:val="0D0D0D" w:themeColor="text1" w:themeTint="F2"/>
          <w:sz w:val="32"/>
          <w:szCs w:val="32"/>
          <w:rtl/>
        </w:rPr>
        <w:t>، وصدق التباين المستخر</w:t>
      </w:r>
      <w:r w:rsidRPr="00BF5EAB">
        <w:rPr>
          <w:rFonts w:ascii="Sakkal Majalla" w:eastAsia="Times New Roman" w:hAnsi="Sakkal Majalla" w:cs="Sakkal Majalla"/>
          <w:color w:val="0D0D0D" w:themeColor="text1" w:themeTint="F2"/>
          <w:sz w:val="32"/>
          <w:szCs w:val="32"/>
          <w:rtl/>
          <w:lang w:bidi="ar-EG"/>
        </w:rPr>
        <w:t xml:space="preserve">ج </w:t>
      </w:r>
      <w:r w:rsidRPr="00BF5EAB">
        <w:rPr>
          <w:rFonts w:ascii="Sakkal Majalla" w:eastAsia="Times New Roman" w:hAnsi="Sakkal Majalla" w:cs="Sakkal Majalla"/>
          <w:color w:val="0D0D0D" w:themeColor="text1" w:themeTint="F2"/>
          <w:sz w:val="32"/>
          <w:szCs w:val="32"/>
          <w:lang w:bidi="ar-EG"/>
        </w:rPr>
        <w:t xml:space="preserve"> (AVE &gt; 0.50)</w:t>
      </w:r>
    </w:p>
    <w:p w14:paraId="00FA12E0" w14:textId="046E878C" w:rsidR="005B20E7" w:rsidRPr="00BF5EAB" w:rsidRDefault="005B20E7" w:rsidP="005501C8">
      <w:pPr>
        <w:numPr>
          <w:ilvl w:val="0"/>
          <w:numId w:val="36"/>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النموذج البنائي</w:t>
      </w:r>
      <w:r w:rsidRPr="00BF5EAB">
        <w:rPr>
          <w:rFonts w:ascii="Sakkal Majalla" w:eastAsia="Times New Roman" w:hAnsi="Sakkal Majalla" w:cs="Sakkal Majalla"/>
          <w:color w:val="0D0D0D" w:themeColor="text1" w:themeTint="F2"/>
          <w:sz w:val="32"/>
          <w:szCs w:val="32"/>
          <w:lang w:bidi="ar-EG"/>
        </w:rPr>
        <w:t xml:space="preserve"> (Inner Model) </w:t>
      </w:r>
      <w:r w:rsidRPr="00BF5EAB">
        <w:rPr>
          <w:rFonts w:ascii="Sakkal Majalla" w:eastAsia="Times New Roman" w:hAnsi="Sakkal Majalla" w:cs="Sakkal Majalla"/>
          <w:color w:val="0D0D0D" w:themeColor="text1" w:themeTint="F2"/>
          <w:sz w:val="32"/>
          <w:szCs w:val="32"/>
          <w:rtl/>
        </w:rPr>
        <w:t xml:space="preserve">تم استخدام </w:t>
      </w:r>
      <w:r w:rsidR="00337287" w:rsidRPr="00BF5EAB">
        <w:rPr>
          <w:rFonts w:ascii="Sakkal Majalla" w:eastAsia="Times New Roman" w:hAnsi="Sakkal Majalla" w:cs="Sakkal Majalla"/>
          <w:color w:val="0D0D0D" w:themeColor="text1" w:themeTint="F2"/>
          <w:sz w:val="32"/>
          <w:szCs w:val="32"/>
          <w:rtl/>
        </w:rPr>
        <w:t xml:space="preserve">أسلوب </w:t>
      </w:r>
      <w:r w:rsidR="00337287" w:rsidRPr="00BF5EAB">
        <w:rPr>
          <w:rFonts w:ascii="Sakkal Majalla" w:eastAsia="Times New Roman" w:hAnsi="Sakkal Majalla" w:cs="Sakkal Majalla"/>
          <w:color w:val="0D0D0D" w:themeColor="text1" w:themeTint="F2"/>
          <w:sz w:val="32"/>
          <w:szCs w:val="32"/>
          <w:lang w:bidi="ar-EG"/>
        </w:rPr>
        <w:t>Bootstrapping</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(بـ 5,000 عينة فرعية) للحصول على قيم</w:t>
      </w:r>
      <w:r w:rsidRPr="00BF5EAB">
        <w:rPr>
          <w:rFonts w:ascii="Sakkal Majalla" w:eastAsia="Times New Roman" w:hAnsi="Sakkal Majalla" w:cs="Sakkal Majalla"/>
          <w:color w:val="0D0D0D" w:themeColor="text1" w:themeTint="F2"/>
          <w:sz w:val="32"/>
          <w:szCs w:val="32"/>
          <w:lang w:bidi="ar-EG"/>
        </w:rPr>
        <w:t xml:space="preserve"> (t &gt; 1.96) </w:t>
      </w:r>
      <w:r w:rsidRPr="00BF5EAB">
        <w:rPr>
          <w:rFonts w:ascii="Sakkal Majalla" w:eastAsia="Times New Roman" w:hAnsi="Sakkal Majalla" w:cs="Sakkal Majalla"/>
          <w:color w:val="0D0D0D" w:themeColor="text1" w:themeTint="F2"/>
          <w:sz w:val="32"/>
          <w:szCs w:val="32"/>
          <w:rtl/>
        </w:rPr>
        <w:t>و</w:t>
      </w:r>
      <w:r w:rsidRPr="00BF5EAB">
        <w:rPr>
          <w:rFonts w:ascii="Sakkal Majalla" w:eastAsia="Times New Roman" w:hAnsi="Sakkal Majalla" w:cs="Sakkal Majalla"/>
          <w:color w:val="0D0D0D" w:themeColor="text1" w:themeTint="F2"/>
          <w:sz w:val="32"/>
          <w:szCs w:val="32"/>
          <w:lang w:bidi="ar-EG"/>
        </w:rPr>
        <w:t xml:space="preserve"> (p &lt; 0.05) </w:t>
      </w:r>
      <w:r w:rsidRPr="00BF5EAB">
        <w:rPr>
          <w:rFonts w:ascii="Sakkal Majalla" w:eastAsia="Times New Roman" w:hAnsi="Sakkal Majalla" w:cs="Sakkal Majalla"/>
          <w:color w:val="0D0D0D" w:themeColor="text1" w:themeTint="F2"/>
          <w:sz w:val="32"/>
          <w:szCs w:val="32"/>
          <w:rtl/>
        </w:rPr>
        <w:t>مع فترات ثقة</w:t>
      </w:r>
      <w:r w:rsidRPr="00BF5EAB">
        <w:rPr>
          <w:rFonts w:ascii="Sakkal Majalla" w:eastAsia="Times New Roman" w:hAnsi="Sakkal Majalla" w:cs="Sakkal Majalla"/>
          <w:color w:val="0D0D0D" w:themeColor="text1" w:themeTint="F2"/>
          <w:sz w:val="32"/>
          <w:szCs w:val="32"/>
          <w:lang w:bidi="ar-EG"/>
        </w:rPr>
        <w:t xml:space="preserve"> (Confidence Intervals) </w:t>
      </w:r>
      <w:r w:rsidRPr="00BF5EAB">
        <w:rPr>
          <w:rFonts w:ascii="Sakkal Majalla" w:eastAsia="Times New Roman" w:hAnsi="Sakkal Majalla" w:cs="Sakkal Majalla"/>
          <w:color w:val="0D0D0D" w:themeColor="text1" w:themeTint="F2"/>
          <w:sz w:val="32"/>
          <w:szCs w:val="32"/>
          <w:rtl/>
        </w:rPr>
        <w:t>لا تتضمن الصفر</w:t>
      </w:r>
      <w:r w:rsidRPr="00BF5EAB">
        <w:rPr>
          <w:rFonts w:ascii="Sakkal Majalla" w:eastAsia="Times New Roman" w:hAnsi="Sakkal Majalla" w:cs="Sakkal Majalla"/>
          <w:color w:val="0D0D0D" w:themeColor="text1" w:themeTint="F2"/>
          <w:sz w:val="32"/>
          <w:szCs w:val="32"/>
          <w:lang w:bidi="ar-EG"/>
        </w:rPr>
        <w:t>.</w:t>
      </w:r>
    </w:p>
    <w:p w14:paraId="14B2D872" w14:textId="712A5BAE" w:rsidR="005B20E7" w:rsidRPr="00BF5EAB" w:rsidRDefault="005B20E7" w:rsidP="005501C8">
      <w:pPr>
        <w:numPr>
          <w:ilvl w:val="0"/>
          <w:numId w:val="36"/>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مؤشرات الجودة</w:t>
      </w:r>
      <w:r w:rsidRPr="00BF5EAB">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فحص</w:t>
      </w:r>
      <w:r w:rsidRPr="00BF5EAB">
        <w:rPr>
          <w:rFonts w:ascii="Sakkal Majalla" w:eastAsia="Times New Roman" w:hAnsi="Sakkal Majalla" w:cs="Sakkal Majalla"/>
          <w:color w:val="0D0D0D" w:themeColor="text1" w:themeTint="F2"/>
          <w:sz w:val="32"/>
          <w:szCs w:val="32"/>
          <w:lang w:bidi="ar-EG"/>
        </w:rPr>
        <w:t xml:space="preserve"> (R</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للقوة التفسيرية، و</w:t>
      </w:r>
      <w:r w:rsidRPr="00BF5EAB">
        <w:rPr>
          <w:rFonts w:ascii="Sakkal Majalla" w:eastAsia="Times New Roman" w:hAnsi="Sakkal Majalla" w:cs="Sakkal Majalla"/>
          <w:color w:val="0D0D0D" w:themeColor="text1" w:themeTint="F2"/>
          <w:sz w:val="32"/>
          <w:szCs w:val="32"/>
          <w:lang w:bidi="ar-EG"/>
        </w:rPr>
        <w:t>(f</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لحجم الأثر، و</w:t>
      </w:r>
      <w:r w:rsidRPr="00BF5EAB">
        <w:rPr>
          <w:rFonts w:ascii="Sakkal Majalla" w:eastAsia="Times New Roman" w:hAnsi="Sakkal Majalla" w:cs="Sakkal Majalla"/>
          <w:color w:val="0D0D0D" w:themeColor="text1" w:themeTint="F2"/>
          <w:sz w:val="32"/>
          <w:szCs w:val="32"/>
          <w:lang w:bidi="ar-EG"/>
        </w:rPr>
        <w:t>(Q</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للتنبؤ، و</w:t>
      </w:r>
      <w:r w:rsidRPr="00BF5EAB">
        <w:rPr>
          <w:rFonts w:ascii="Sakkal Majalla" w:eastAsia="Times New Roman" w:hAnsi="Sakkal Majalla" w:cs="Sakkal Majalla"/>
          <w:color w:val="0D0D0D" w:themeColor="text1" w:themeTint="F2"/>
          <w:sz w:val="32"/>
          <w:szCs w:val="32"/>
          <w:lang w:bidi="ar-EG"/>
        </w:rPr>
        <w:t xml:space="preserve">(HTMT) </w:t>
      </w:r>
      <w:r w:rsidR="00337287" w:rsidRPr="00BF5EAB">
        <w:rPr>
          <w:rFonts w:ascii="Sakkal Majalla" w:eastAsia="Times New Roman" w:hAnsi="Sakkal Majalla" w:cs="Sakkal Majalla"/>
          <w:color w:val="0D0D0D" w:themeColor="text1" w:themeTint="F2"/>
          <w:sz w:val="32"/>
          <w:szCs w:val="32"/>
        </w:rPr>
        <w:t xml:space="preserve"> </w:t>
      </w:r>
      <w:r w:rsidR="00BB6D01" w:rsidRPr="00BF5EAB">
        <w:rPr>
          <w:rFonts w:ascii="Sakkal Majalla" w:eastAsia="Times New Roman" w:hAnsi="Sakkal Majalla" w:cs="Sakkal Majalla"/>
          <w:color w:val="0D0D0D" w:themeColor="text1" w:themeTint="F2"/>
          <w:sz w:val="32"/>
          <w:szCs w:val="32"/>
          <w:rtl/>
          <w:lang w:bidi="ar-EG"/>
        </w:rPr>
        <w:t xml:space="preserve">  ل</w:t>
      </w:r>
      <w:r w:rsidRPr="00BF5EAB">
        <w:rPr>
          <w:rFonts w:ascii="Sakkal Majalla" w:eastAsia="Times New Roman" w:hAnsi="Sakkal Majalla" w:cs="Sakkal Majalla"/>
          <w:color w:val="0D0D0D" w:themeColor="text1" w:themeTint="F2"/>
          <w:sz w:val="32"/>
          <w:szCs w:val="32"/>
          <w:rtl/>
        </w:rPr>
        <w:t>لصدق التمييزي</w:t>
      </w:r>
      <w:r w:rsidRPr="00BF5EAB">
        <w:rPr>
          <w:rFonts w:ascii="Sakkal Majalla" w:eastAsia="Times New Roman" w:hAnsi="Sakkal Majalla" w:cs="Sakkal Majalla"/>
          <w:color w:val="0D0D0D" w:themeColor="text1" w:themeTint="F2"/>
          <w:sz w:val="32"/>
          <w:szCs w:val="32"/>
          <w:lang w:bidi="ar-EG"/>
        </w:rPr>
        <w:t>.</w:t>
      </w:r>
    </w:p>
    <w:p w14:paraId="52CAE58B" w14:textId="06A8024D" w:rsidR="005B20E7" w:rsidRPr="00BF5EAB" w:rsidRDefault="005B20E7" w:rsidP="005501C8">
      <w:p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 xml:space="preserve">    سيتم الحكم على نوع الوساطة بناءً على إجراءات </w:t>
      </w:r>
      <w:r w:rsidRPr="00BF5EAB">
        <w:rPr>
          <w:rFonts w:ascii="Sakkal Majalla" w:eastAsia="Times New Roman" w:hAnsi="Sakkal Majalla" w:cs="Sakkal Majalla"/>
          <w:color w:val="0D0D0D" w:themeColor="text1" w:themeTint="F2"/>
          <w:sz w:val="32"/>
          <w:szCs w:val="32"/>
          <w:lang w:bidi="ar-EG"/>
        </w:rPr>
        <w:t xml:space="preserve">Preacher &amp; Hayes </w:t>
      </w:r>
      <w:r w:rsidRPr="00BF5EAB">
        <w:rPr>
          <w:rFonts w:ascii="Sakkal Majalla" w:eastAsia="Times New Roman" w:hAnsi="Sakkal Majalla" w:cs="Sakkal Majalla"/>
          <w:color w:val="0D0D0D" w:themeColor="text1" w:themeTint="F2"/>
          <w:sz w:val="32"/>
          <w:szCs w:val="32"/>
          <w:rtl/>
        </w:rPr>
        <w:t xml:space="preserve"> المضمنة في </w:t>
      </w:r>
      <w:r w:rsidRPr="00BF5EAB">
        <w:rPr>
          <w:rFonts w:ascii="Sakkal Majalla" w:eastAsia="Times New Roman" w:hAnsi="Sakkal Majalla" w:cs="Sakkal Majalla"/>
          <w:color w:val="0D0D0D" w:themeColor="text1" w:themeTint="F2"/>
          <w:sz w:val="32"/>
          <w:szCs w:val="32"/>
          <w:lang w:bidi="ar-EG"/>
        </w:rPr>
        <w:t xml:space="preserve"> </w:t>
      </w:r>
      <w:proofErr w:type="spellStart"/>
      <w:r w:rsidRPr="00BF5EAB">
        <w:rPr>
          <w:rFonts w:ascii="Sakkal Majalla" w:eastAsia="Times New Roman" w:hAnsi="Sakkal Majalla" w:cs="Sakkal Majalla"/>
          <w:color w:val="0D0D0D" w:themeColor="text1" w:themeTint="F2"/>
          <w:sz w:val="32"/>
          <w:szCs w:val="32"/>
          <w:lang w:bidi="ar-EG"/>
        </w:rPr>
        <w:t>SmartPLS</w:t>
      </w:r>
      <w:proofErr w:type="spellEnd"/>
      <w:r w:rsidRPr="00BF5EAB">
        <w:rPr>
          <w:rFonts w:ascii="Sakkal Majalla" w:eastAsia="Times New Roman" w:hAnsi="Sakkal Majalla" w:cs="Sakkal Majalla"/>
          <w:color w:val="0D0D0D" w:themeColor="text1" w:themeTint="F2"/>
          <w:sz w:val="32"/>
          <w:szCs w:val="32"/>
          <w:rtl/>
        </w:rPr>
        <w:t>، من خلال فحص التأثيرات التالية</w:t>
      </w:r>
      <w:r w:rsidRPr="00BF5EAB">
        <w:rPr>
          <w:rFonts w:ascii="Sakkal Majalla" w:eastAsia="Times New Roman" w:hAnsi="Sakkal Majalla" w:cs="Sakkal Majalla"/>
          <w:color w:val="0D0D0D" w:themeColor="text1" w:themeTint="F2"/>
          <w:sz w:val="32"/>
          <w:szCs w:val="32"/>
          <w:rtl/>
          <w:lang w:bidi="ar-EG"/>
        </w:rPr>
        <w:t>:</w:t>
      </w:r>
    </w:p>
    <w:p w14:paraId="4CD4EBF6" w14:textId="0D45CB66" w:rsidR="005B20E7" w:rsidRPr="00BF5EAB" w:rsidRDefault="005B20E7" w:rsidP="005501C8">
      <w:pPr>
        <w:numPr>
          <w:ilvl w:val="0"/>
          <w:numId w:val="37"/>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المباشر</w:t>
      </w:r>
      <w:r w:rsidRPr="00BF5EAB">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العلاقة المباشرة بين المتغير المستقل والتابع</w:t>
      </w:r>
      <w:r w:rsidRPr="00BF5EAB">
        <w:rPr>
          <w:rFonts w:ascii="Sakkal Majalla" w:eastAsia="Times New Roman" w:hAnsi="Sakkal Majalla" w:cs="Sakkal Majalla"/>
          <w:color w:val="0D0D0D" w:themeColor="text1" w:themeTint="F2"/>
          <w:sz w:val="32"/>
          <w:szCs w:val="32"/>
          <w:lang w:bidi="ar-EG"/>
        </w:rPr>
        <w:t>.</w:t>
      </w:r>
    </w:p>
    <w:p w14:paraId="1F6D1216" w14:textId="6B84419E" w:rsidR="005B20E7" w:rsidRPr="00BF5EAB" w:rsidRDefault="005B20E7" w:rsidP="005501C8">
      <w:pPr>
        <w:numPr>
          <w:ilvl w:val="0"/>
          <w:numId w:val="37"/>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غير المباشر</w:t>
      </w:r>
      <w:r w:rsidRPr="00BF5EAB">
        <w:rPr>
          <w:rFonts w:ascii="Sakkal Majalla" w:eastAsia="Times New Roman" w:hAnsi="Sakkal Majalla" w:cs="Sakkal Majalla"/>
          <w:color w:val="0D0D0D" w:themeColor="text1" w:themeTint="F2"/>
          <w:sz w:val="32"/>
          <w:szCs w:val="32"/>
          <w:lang w:bidi="ar-EG"/>
        </w:rPr>
        <w:t>:</w:t>
      </w:r>
      <w:r w:rsidRPr="00BF5EAB">
        <w:rPr>
          <w:rFonts w:ascii="Sakkal Majalla" w:eastAsia="Times New Roman" w:hAnsi="Sakkal Majalla" w:cs="Sakkal Majalla"/>
          <w:color w:val="0D0D0D" w:themeColor="text1" w:themeTint="F2"/>
          <w:sz w:val="32"/>
          <w:szCs w:val="32"/>
          <w:rtl/>
          <w:lang w:bidi="ar-EG"/>
        </w:rPr>
        <w:t xml:space="preserve"> </w:t>
      </w:r>
      <w:r w:rsidRPr="00BF5EAB">
        <w:rPr>
          <w:rFonts w:ascii="Sakkal Majalla" w:eastAsia="Times New Roman" w:hAnsi="Sakkal Majalla" w:cs="Sakkal Majalla"/>
          <w:color w:val="0D0D0D" w:themeColor="text1" w:themeTint="F2"/>
          <w:sz w:val="32"/>
          <w:szCs w:val="32"/>
          <w:rtl/>
        </w:rPr>
        <w:t>حاصل ضرب مسارات التأثير عبر المتغير الوسيط</w:t>
      </w:r>
      <w:r w:rsidRPr="00BF5EAB">
        <w:rPr>
          <w:rFonts w:ascii="Sakkal Majalla" w:eastAsia="Times New Roman" w:hAnsi="Sakkal Majalla" w:cs="Sakkal Majalla"/>
          <w:color w:val="0D0D0D" w:themeColor="text1" w:themeTint="F2"/>
          <w:sz w:val="32"/>
          <w:szCs w:val="32"/>
          <w:lang w:bidi="ar-EG"/>
        </w:rPr>
        <w:t>.</w:t>
      </w:r>
    </w:p>
    <w:p w14:paraId="365BA80A" w14:textId="69960DCA" w:rsidR="005B20E7" w:rsidRPr="00BF5EAB" w:rsidRDefault="005B20E7" w:rsidP="005501C8">
      <w:pPr>
        <w:numPr>
          <w:ilvl w:val="0"/>
          <w:numId w:val="37"/>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 xml:space="preserve">التأثير الكلي: </w:t>
      </w:r>
      <w:r w:rsidRPr="00BF5EAB">
        <w:rPr>
          <w:rFonts w:ascii="Sakkal Majalla" w:eastAsia="Times New Roman" w:hAnsi="Sakkal Majalla" w:cs="Sakkal Majalla"/>
          <w:color w:val="0D0D0D" w:themeColor="text1" w:themeTint="F2"/>
          <w:sz w:val="32"/>
          <w:szCs w:val="32"/>
          <w:rtl/>
          <w:lang w:bidi="ar-EG"/>
        </w:rPr>
        <w:t>مجموع</w:t>
      </w:r>
      <w:r w:rsidRPr="00BF5EAB">
        <w:rPr>
          <w:rFonts w:ascii="Sakkal Majalla" w:eastAsia="Times New Roman" w:hAnsi="Sakkal Majalla" w:cs="Sakkal Majalla"/>
          <w:color w:val="0D0D0D" w:themeColor="text1" w:themeTint="F2"/>
          <w:sz w:val="32"/>
          <w:szCs w:val="32"/>
          <w:rtl/>
        </w:rPr>
        <w:t xml:space="preserve"> التأثير المباشر وغير المباشر</w:t>
      </w:r>
      <w:r w:rsidRPr="00BF5EAB">
        <w:rPr>
          <w:rFonts w:ascii="Sakkal Majalla" w:eastAsia="Times New Roman" w:hAnsi="Sakkal Majalla" w:cs="Sakkal Majalla"/>
          <w:color w:val="0D0D0D" w:themeColor="text1" w:themeTint="F2"/>
          <w:sz w:val="32"/>
          <w:szCs w:val="32"/>
          <w:lang w:bidi="ar-EG"/>
        </w:rPr>
        <w:t>.</w:t>
      </w:r>
    </w:p>
    <w:p w14:paraId="329779F8" w14:textId="240663B9" w:rsidR="005B20E7" w:rsidRPr="00BF5EAB" w:rsidRDefault="005B20E7" w:rsidP="005501C8">
      <w:pPr>
        <w:numPr>
          <w:ilvl w:val="0"/>
          <w:numId w:val="37"/>
        </w:numPr>
        <w:spacing w:after="0" w:line="276" w:lineRule="auto"/>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rPr>
        <w:t>نوع الوساطة</w:t>
      </w:r>
      <w:r w:rsidRPr="00BF5EAB">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إذا كان التأثير غير المباشر معنوياً، يتم تحديد "وساطة كاملة" (إذا تلاشى التأثير المباشر) أو "وساطة جزئية" (إذا ظل التأثير المباشر معنوياً)</w:t>
      </w:r>
      <w:r w:rsidRPr="00BF5EAB">
        <w:rPr>
          <w:rFonts w:ascii="Sakkal Majalla" w:eastAsia="Times New Roman" w:hAnsi="Sakkal Majalla" w:cs="Sakkal Majalla"/>
          <w:color w:val="0D0D0D" w:themeColor="text1" w:themeTint="F2"/>
          <w:sz w:val="32"/>
          <w:szCs w:val="32"/>
          <w:lang w:bidi="ar-EG"/>
        </w:rPr>
        <w:t>.</w:t>
      </w:r>
    </w:p>
    <w:p w14:paraId="5EDF5B19" w14:textId="5AA23431" w:rsidR="00DE4A69" w:rsidRPr="00BF5EAB" w:rsidRDefault="00DE4A69"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C47F36" w:rsidRPr="00BF5EAB">
        <w:rPr>
          <w:rFonts w:ascii="Sakkal Majalla" w:eastAsia="Times New Roman" w:hAnsi="Sakkal Majalla" w:cs="Sakkal Majalla"/>
          <w:b/>
          <w:bCs/>
          <w:color w:val="0D0D0D" w:themeColor="text1" w:themeTint="F2"/>
          <w:sz w:val="32"/>
          <w:szCs w:val="32"/>
          <w:rtl/>
          <w:lang w:bidi="ar-EG"/>
        </w:rPr>
        <w:t>12</w:t>
      </w:r>
      <w:r w:rsidRPr="00BF5EAB">
        <w:rPr>
          <w:rFonts w:ascii="Sakkal Majalla" w:eastAsia="Times New Roman" w:hAnsi="Sakkal Majalla" w:cs="Sakkal Majalla"/>
          <w:b/>
          <w:bCs/>
          <w:color w:val="0D0D0D" w:themeColor="text1" w:themeTint="F2"/>
          <w:sz w:val="32"/>
          <w:szCs w:val="32"/>
          <w:rtl/>
          <w:lang w:bidi="ar-EG"/>
        </w:rPr>
        <w:t xml:space="preserve"> الأساليب الإحصائية</w:t>
      </w:r>
    </w:p>
    <w:p w14:paraId="79BA7B0E" w14:textId="77777777" w:rsidR="0011448D" w:rsidRPr="00BF5EAB" w:rsidRDefault="008C2C62"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    لتحقيق أهداف الدراسة الحالية، والإجابة عن تساؤلاتها، والتحقق من صحة فرضياتها المقترحة، </w:t>
      </w:r>
      <w:r w:rsidR="0011448D" w:rsidRPr="00BF5EAB">
        <w:rPr>
          <w:rFonts w:ascii="Sakkal Majalla" w:eastAsia="Calibri" w:hAnsi="Sakkal Majalla" w:cs="Sakkal Majalla"/>
          <w:b/>
          <w:color w:val="0D0D0D" w:themeColor="text1" w:themeTint="F2"/>
          <w:sz w:val="32"/>
          <w:szCs w:val="32"/>
          <w:rtl/>
        </w:rPr>
        <w:t xml:space="preserve">تم معالجة البيانات باستخدام برنامج </w:t>
      </w:r>
      <w:r w:rsidR="0011448D" w:rsidRPr="00BF5EAB">
        <w:rPr>
          <w:rFonts w:ascii="Sakkal Majalla" w:eastAsia="Calibri" w:hAnsi="Sakkal Majalla" w:cs="Sakkal Majalla"/>
          <w:bCs/>
          <w:color w:val="0D0D0D" w:themeColor="text1" w:themeTint="F2"/>
          <w:sz w:val="32"/>
          <w:szCs w:val="32"/>
        </w:rPr>
        <w:t>SPSS V.29</w:t>
      </w:r>
      <w:r w:rsidR="0011448D" w:rsidRPr="00BF5EAB">
        <w:rPr>
          <w:rFonts w:ascii="Sakkal Majalla" w:eastAsia="Calibri" w:hAnsi="Sakkal Majalla" w:cs="Sakkal Majalla"/>
          <w:bCs/>
          <w:color w:val="0D0D0D" w:themeColor="text1" w:themeTint="F2"/>
          <w:sz w:val="32"/>
          <w:szCs w:val="32"/>
          <w:rtl/>
        </w:rPr>
        <w:t xml:space="preserve"> </w:t>
      </w:r>
      <w:r w:rsidR="0011448D" w:rsidRPr="00BF5EAB">
        <w:rPr>
          <w:rFonts w:ascii="Sakkal Majalla" w:eastAsia="Calibri" w:hAnsi="Sakkal Majalla" w:cs="Sakkal Majalla"/>
          <w:b/>
          <w:color w:val="0D0D0D" w:themeColor="text1" w:themeTint="F2"/>
          <w:sz w:val="32"/>
          <w:szCs w:val="32"/>
          <w:rtl/>
        </w:rPr>
        <w:t xml:space="preserve">للإحصاء الوصفي واختبارات الصدق والثبات الأولية، وبرنامج </w:t>
      </w:r>
      <w:proofErr w:type="spellStart"/>
      <w:r w:rsidR="0011448D" w:rsidRPr="00BF5EAB">
        <w:rPr>
          <w:rFonts w:ascii="Sakkal Majalla" w:eastAsia="Calibri" w:hAnsi="Sakkal Majalla" w:cs="Sakkal Majalla"/>
          <w:bCs/>
          <w:color w:val="0D0D0D" w:themeColor="text1" w:themeTint="F2"/>
          <w:sz w:val="32"/>
          <w:szCs w:val="32"/>
        </w:rPr>
        <w:t>SmartPLS</w:t>
      </w:r>
      <w:proofErr w:type="spellEnd"/>
      <w:r w:rsidR="0011448D" w:rsidRPr="00BF5EAB">
        <w:rPr>
          <w:rFonts w:ascii="Sakkal Majalla" w:eastAsia="Calibri" w:hAnsi="Sakkal Majalla" w:cs="Sakkal Majalla"/>
          <w:bCs/>
          <w:color w:val="0D0D0D" w:themeColor="text1" w:themeTint="F2"/>
          <w:sz w:val="32"/>
          <w:szCs w:val="32"/>
        </w:rPr>
        <w:t xml:space="preserve"> 4.0</w:t>
      </w:r>
      <w:r w:rsidR="0011448D" w:rsidRPr="00BF5EAB">
        <w:rPr>
          <w:rFonts w:ascii="Sakkal Majalla" w:eastAsia="Calibri" w:hAnsi="Sakkal Majalla" w:cs="Sakkal Majalla"/>
          <w:b/>
          <w:color w:val="0D0D0D" w:themeColor="text1" w:themeTint="F2"/>
          <w:sz w:val="32"/>
          <w:szCs w:val="32"/>
          <w:rtl/>
        </w:rPr>
        <w:t xml:space="preserve"> للنمذجة بالمعادلات البنائية </w:t>
      </w:r>
      <w:r w:rsidR="0011448D" w:rsidRPr="00BF5EAB">
        <w:rPr>
          <w:rFonts w:ascii="Sakkal Majalla" w:eastAsia="Calibri" w:hAnsi="Sakkal Majalla" w:cs="Sakkal Majalla"/>
          <w:bCs/>
          <w:color w:val="0D0D0D" w:themeColor="text1" w:themeTint="F2"/>
          <w:sz w:val="32"/>
          <w:szCs w:val="32"/>
          <w:rtl/>
        </w:rPr>
        <w:t>(</w:t>
      </w:r>
      <w:r w:rsidR="0011448D" w:rsidRPr="00BF5EAB">
        <w:rPr>
          <w:rFonts w:ascii="Sakkal Majalla" w:eastAsia="Calibri" w:hAnsi="Sakkal Majalla" w:cs="Sakkal Majalla"/>
          <w:bCs/>
          <w:color w:val="0D0D0D" w:themeColor="text1" w:themeTint="F2"/>
          <w:sz w:val="32"/>
          <w:szCs w:val="32"/>
        </w:rPr>
        <w:t>SEM-PLS</w:t>
      </w:r>
      <w:r w:rsidR="0011448D" w:rsidRPr="00BF5EAB">
        <w:rPr>
          <w:rFonts w:ascii="Sakkal Majalla" w:eastAsia="Calibri" w:hAnsi="Sakkal Majalla" w:cs="Sakkal Majalla"/>
          <w:bCs/>
          <w:color w:val="0D0D0D" w:themeColor="text1" w:themeTint="F2"/>
          <w:sz w:val="32"/>
          <w:szCs w:val="32"/>
          <w:rtl/>
        </w:rPr>
        <w:t>)</w:t>
      </w:r>
      <w:r w:rsidR="0011448D" w:rsidRPr="00BF5EAB">
        <w:rPr>
          <w:rFonts w:ascii="Sakkal Majalla" w:eastAsia="Calibri" w:hAnsi="Sakkal Majalla" w:cs="Sakkal Majalla"/>
          <w:b/>
          <w:color w:val="0D0D0D" w:themeColor="text1" w:themeTint="F2"/>
          <w:sz w:val="32"/>
          <w:szCs w:val="32"/>
          <w:rtl/>
        </w:rPr>
        <w:t xml:space="preserve">. وقد وقع الاختيار على </w:t>
      </w:r>
      <w:proofErr w:type="spellStart"/>
      <w:r w:rsidR="0011448D" w:rsidRPr="00BF5EAB">
        <w:rPr>
          <w:rFonts w:ascii="Sakkal Majalla" w:eastAsia="Calibri" w:hAnsi="Sakkal Majalla" w:cs="Sakkal Majalla"/>
          <w:bCs/>
          <w:color w:val="0D0D0D" w:themeColor="text1" w:themeTint="F2"/>
          <w:sz w:val="32"/>
          <w:szCs w:val="32"/>
        </w:rPr>
        <w:t>SmartPLS</w:t>
      </w:r>
      <w:proofErr w:type="spellEnd"/>
      <w:r w:rsidR="0011448D" w:rsidRPr="00BF5EAB">
        <w:rPr>
          <w:rFonts w:ascii="Sakkal Majalla" w:eastAsia="Calibri" w:hAnsi="Sakkal Majalla" w:cs="Sakkal Majalla"/>
          <w:bCs/>
          <w:color w:val="0D0D0D" w:themeColor="text1" w:themeTint="F2"/>
          <w:sz w:val="32"/>
          <w:szCs w:val="32"/>
        </w:rPr>
        <w:t xml:space="preserve"> 4.0</w:t>
      </w:r>
      <w:r w:rsidR="0011448D" w:rsidRPr="00BF5EAB">
        <w:rPr>
          <w:rFonts w:ascii="Sakkal Majalla" w:eastAsia="Calibri" w:hAnsi="Sakkal Majalla" w:cs="Sakkal Majalla"/>
          <w:b/>
          <w:color w:val="0D0D0D" w:themeColor="text1" w:themeTint="F2"/>
          <w:sz w:val="32"/>
          <w:szCs w:val="32"/>
          <w:rtl/>
        </w:rPr>
        <w:t xml:space="preserve"> لملاءمته الفائقة لنماذج الدراسة التي تحتوي على متغيرات كامنة ومتغيرات وسيطة، وقدرته على التعامل مع العينات التي لا تتبع بالضرورة التوزيع الطبيعي، بالإضافة إلى مرونته في اختبار التأثيرات غير المباشرة.</w:t>
      </w:r>
    </w:p>
    <w:p w14:paraId="34413A41" w14:textId="5EB17524" w:rsidR="008C2C62" w:rsidRPr="00BF5EAB" w:rsidRDefault="0011448D"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lastRenderedPageBreak/>
        <w:t xml:space="preserve">    و</w:t>
      </w:r>
      <w:r w:rsidR="008C2C62" w:rsidRPr="00BF5EAB">
        <w:rPr>
          <w:rFonts w:ascii="Sakkal Majalla" w:eastAsia="Calibri" w:hAnsi="Sakkal Majalla" w:cs="Sakkal Majalla"/>
          <w:b/>
          <w:color w:val="0D0D0D" w:themeColor="text1" w:themeTint="F2"/>
          <w:sz w:val="32"/>
          <w:szCs w:val="32"/>
          <w:rtl/>
        </w:rPr>
        <w:t>اعتمدت الباحثة على تكامل حزمتين إحصائيتين هما</w:t>
      </w:r>
      <w:r w:rsidR="005B20E7" w:rsidRPr="00BF5EAB">
        <w:rPr>
          <w:rFonts w:ascii="Sakkal Majalla" w:eastAsia="Calibri" w:hAnsi="Sakkal Majalla" w:cs="Sakkal Majalla"/>
          <w:b/>
          <w:color w:val="0D0D0D" w:themeColor="text1" w:themeTint="F2"/>
          <w:sz w:val="32"/>
          <w:szCs w:val="32"/>
          <w:rtl/>
        </w:rPr>
        <w:t>:</w:t>
      </w:r>
      <w:r w:rsidR="008C2C62" w:rsidRPr="00BF5EAB">
        <w:rPr>
          <w:rFonts w:ascii="Sakkal Majalla" w:eastAsia="Calibri" w:hAnsi="Sakkal Majalla" w:cs="Sakkal Majalla"/>
          <w:b/>
          <w:color w:val="0D0D0D" w:themeColor="text1" w:themeTint="F2"/>
          <w:sz w:val="32"/>
          <w:szCs w:val="32"/>
          <w:rtl/>
        </w:rPr>
        <w:t xml:space="preserve"> الحزمة الإحصائية للعلوم الاجتماعية </w:t>
      </w:r>
      <w:r w:rsidR="008C2C62" w:rsidRPr="00BF5EAB">
        <w:rPr>
          <w:rFonts w:ascii="Sakkal Majalla" w:eastAsia="Calibri" w:hAnsi="Sakkal Majalla" w:cs="Sakkal Majalla"/>
          <w:bCs/>
          <w:color w:val="0D0D0D" w:themeColor="text1" w:themeTint="F2"/>
          <w:sz w:val="32"/>
          <w:szCs w:val="32"/>
          <w:rtl/>
        </w:rPr>
        <w:t>(</w:t>
      </w:r>
      <w:r w:rsidR="008C2C62" w:rsidRPr="00BF5EAB">
        <w:rPr>
          <w:rFonts w:ascii="Sakkal Majalla" w:eastAsia="Calibri" w:hAnsi="Sakkal Majalla" w:cs="Sakkal Majalla"/>
          <w:bCs/>
          <w:color w:val="0D0D0D" w:themeColor="text1" w:themeTint="F2"/>
          <w:sz w:val="32"/>
          <w:szCs w:val="32"/>
        </w:rPr>
        <w:t>SPSS V.29</w:t>
      </w:r>
      <w:r w:rsidR="008C2C62" w:rsidRPr="00BF5EAB">
        <w:rPr>
          <w:rFonts w:ascii="Sakkal Majalla" w:eastAsia="Calibri" w:hAnsi="Sakkal Majalla" w:cs="Sakkal Majalla"/>
          <w:bCs/>
          <w:color w:val="0D0D0D" w:themeColor="text1" w:themeTint="F2"/>
          <w:sz w:val="32"/>
          <w:szCs w:val="32"/>
          <w:rtl/>
        </w:rPr>
        <w:t xml:space="preserve">)، </w:t>
      </w:r>
      <w:r w:rsidR="008C2C62" w:rsidRPr="00BF5EAB">
        <w:rPr>
          <w:rFonts w:ascii="Sakkal Majalla" w:eastAsia="Calibri" w:hAnsi="Sakkal Majalla" w:cs="Sakkal Majalla"/>
          <w:b/>
          <w:color w:val="0D0D0D" w:themeColor="text1" w:themeTint="F2"/>
          <w:sz w:val="32"/>
          <w:szCs w:val="32"/>
          <w:rtl/>
        </w:rPr>
        <w:t xml:space="preserve">وبرنامج نمذجة المعادلات البنائية بمربعات القواسم المشتركة الصغرى الجزئية </w:t>
      </w:r>
      <w:r w:rsidR="008C2C62" w:rsidRPr="00BF5EAB">
        <w:rPr>
          <w:rFonts w:ascii="Sakkal Majalla" w:eastAsia="Calibri" w:hAnsi="Sakkal Majalla" w:cs="Sakkal Majalla"/>
          <w:bCs/>
          <w:color w:val="0D0D0D" w:themeColor="text1" w:themeTint="F2"/>
          <w:sz w:val="32"/>
          <w:szCs w:val="32"/>
          <w:rtl/>
        </w:rPr>
        <w:t>(</w:t>
      </w:r>
      <w:proofErr w:type="spellStart"/>
      <w:r w:rsidR="008C2C62" w:rsidRPr="00BF5EAB">
        <w:rPr>
          <w:rFonts w:ascii="Sakkal Majalla" w:eastAsia="Calibri" w:hAnsi="Sakkal Majalla" w:cs="Sakkal Majalla"/>
          <w:bCs/>
          <w:color w:val="0D0D0D" w:themeColor="text1" w:themeTint="F2"/>
          <w:sz w:val="32"/>
          <w:szCs w:val="32"/>
        </w:rPr>
        <w:t>SmartPLS</w:t>
      </w:r>
      <w:proofErr w:type="spellEnd"/>
      <w:r w:rsidR="008C2C62" w:rsidRPr="00BF5EAB">
        <w:rPr>
          <w:rFonts w:ascii="Sakkal Majalla" w:eastAsia="Calibri" w:hAnsi="Sakkal Majalla" w:cs="Sakkal Majalla"/>
          <w:bCs/>
          <w:color w:val="0D0D0D" w:themeColor="text1" w:themeTint="F2"/>
          <w:sz w:val="32"/>
          <w:szCs w:val="32"/>
        </w:rPr>
        <w:t xml:space="preserve"> V.4</w:t>
      </w:r>
      <w:r w:rsidR="008C2C62" w:rsidRPr="00BF5EAB">
        <w:rPr>
          <w:rFonts w:ascii="Sakkal Majalla" w:eastAsia="Calibri" w:hAnsi="Sakkal Majalla" w:cs="Sakkal Majalla"/>
          <w:b/>
          <w:color w:val="0D0D0D" w:themeColor="text1" w:themeTint="F2"/>
          <w:sz w:val="32"/>
          <w:szCs w:val="32"/>
          <w:rtl/>
        </w:rPr>
        <w:t>). وجرى تطبيق الأساليب الإحصائية الوصفية والاستدلالية وفقاً للتفصيل المنهجي الآتي</w:t>
      </w:r>
      <w:r w:rsidR="005B20E7" w:rsidRPr="00BF5EAB">
        <w:rPr>
          <w:rFonts w:ascii="Sakkal Majalla" w:eastAsia="Calibri" w:hAnsi="Sakkal Majalla" w:cs="Sakkal Majalla"/>
          <w:b/>
          <w:color w:val="0D0D0D" w:themeColor="text1" w:themeTint="F2"/>
          <w:sz w:val="32"/>
          <w:szCs w:val="32"/>
          <w:rtl/>
        </w:rPr>
        <w:t>:</w:t>
      </w:r>
    </w:p>
    <w:p w14:paraId="45648E67" w14:textId="14F465EC"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أولاً</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الإحصاء الوصفي</w:t>
      </w:r>
      <w:r w:rsidR="005B20E7" w:rsidRPr="00BF5EAB">
        <w:rPr>
          <w:rFonts w:ascii="Sakkal Majalla" w:eastAsia="Calibri" w:hAnsi="Sakkal Majalla" w:cs="Sakkal Majalla"/>
          <w:bCs/>
          <w:color w:val="0D0D0D" w:themeColor="text1" w:themeTint="F2"/>
          <w:sz w:val="32"/>
          <w:szCs w:val="32"/>
          <w:rtl/>
        </w:rPr>
        <w:t>:</w:t>
      </w:r>
    </w:p>
    <w:p w14:paraId="5338EA6C" w14:textId="5C8DD764" w:rsidR="008C2C62" w:rsidRPr="00BF5EAB" w:rsidRDefault="008C2C62"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استُخدمت عبر برنامج (</w:t>
      </w:r>
      <w:r w:rsidRPr="00BF5EAB">
        <w:rPr>
          <w:rFonts w:ascii="Sakkal Majalla" w:eastAsia="Calibri" w:hAnsi="Sakkal Majalla" w:cs="Sakkal Majalla"/>
          <w:bCs/>
          <w:color w:val="0D0D0D" w:themeColor="text1" w:themeTint="F2"/>
          <w:sz w:val="32"/>
          <w:szCs w:val="32"/>
        </w:rPr>
        <w:t>SPSS</w:t>
      </w:r>
      <w:r w:rsidRPr="00BF5EAB">
        <w:rPr>
          <w:rFonts w:ascii="Sakkal Majalla" w:eastAsia="Calibri" w:hAnsi="Sakkal Majalla" w:cs="Sakkal Majalla"/>
          <w:b/>
          <w:color w:val="0D0D0D" w:themeColor="text1" w:themeTint="F2"/>
          <w:sz w:val="32"/>
          <w:szCs w:val="32"/>
          <w:rtl/>
        </w:rPr>
        <w:t>) بهدف تشخيص الواقع الراهن وتوصيف البيانات كالتالي</w:t>
      </w:r>
      <w:r w:rsidR="005B20E7" w:rsidRPr="00BF5EAB">
        <w:rPr>
          <w:rFonts w:ascii="Sakkal Majalla" w:eastAsia="Calibri" w:hAnsi="Sakkal Majalla" w:cs="Sakkal Majalla"/>
          <w:b/>
          <w:color w:val="0D0D0D" w:themeColor="text1" w:themeTint="F2"/>
          <w:sz w:val="32"/>
          <w:szCs w:val="32"/>
          <w:rtl/>
        </w:rPr>
        <w:t>:</w:t>
      </w:r>
    </w:p>
    <w:p w14:paraId="37609E32" w14:textId="62ADC90D" w:rsidR="008C2C62" w:rsidRPr="00BF5EAB" w:rsidRDefault="008C2C62" w:rsidP="005501C8">
      <w:pPr>
        <w:pStyle w:val="ListParagraph"/>
        <w:numPr>
          <w:ilvl w:val="0"/>
          <w:numId w:val="12"/>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التكرارات والنسب المئوية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Frequencies &amp; Percentages</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لتوصيف وتوزيع الخصائص الديموغرافية والوظيفية لأفراد عينة الدراسة من القيادات المصرفية (المستوى الإداري، سنوات الخبرة، نوع المصرف، وطبيعة الدور في اتخاذ القرار).</w:t>
      </w:r>
    </w:p>
    <w:p w14:paraId="2556DCD1" w14:textId="607A14CB" w:rsidR="008C2C62" w:rsidRPr="00BF5EAB" w:rsidRDefault="008C2C62" w:rsidP="005501C8">
      <w:pPr>
        <w:pStyle w:val="ListParagraph"/>
        <w:numPr>
          <w:ilvl w:val="0"/>
          <w:numId w:val="12"/>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المتوسطات الحسابية والانحرافات المعيارية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Means &amp; Standard Deviations</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لتحديد مستويات تقدير أفراد العينة وترتيب أهمية الفقرات والمحاور الرئيسة الثلاثة (قبول واستخدام أنظمة ذكاء الأعمال، جودة القرارات الاستراتيجية، الابتكار التنظيمي) بناءً على المحك الإحصائي المعتمد لطول الفئة.</w:t>
      </w:r>
    </w:p>
    <w:p w14:paraId="106206AF" w14:textId="2FDA0EA1"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ثانياً</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تقييم الصدق والثبات</w:t>
      </w:r>
      <w:r w:rsidR="005B20E7" w:rsidRPr="00BF5EAB">
        <w:rPr>
          <w:rFonts w:ascii="Sakkal Majalla" w:eastAsia="Calibri" w:hAnsi="Sakkal Majalla" w:cs="Sakkal Majalla"/>
          <w:bCs/>
          <w:color w:val="0D0D0D" w:themeColor="text1" w:themeTint="F2"/>
          <w:sz w:val="32"/>
          <w:szCs w:val="32"/>
          <w:rtl/>
        </w:rPr>
        <w:t>:</w:t>
      </w:r>
    </w:p>
    <w:p w14:paraId="76EA9AB1" w14:textId="724F594B" w:rsidR="008C2C62" w:rsidRPr="00BF5EAB" w:rsidRDefault="008C2C62" w:rsidP="005501C8">
      <w:pPr>
        <w:tabs>
          <w:tab w:val="right" w:pos="990"/>
        </w:tabs>
        <w:spacing w:after="0" w:line="276" w:lineRule="auto"/>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استُخدمت للتحقق من الكفاءة السيكومترية لأداة الدراسة (الاستبانة) عبر البرنامجين</w:t>
      </w:r>
      <w:r w:rsidR="005B20E7" w:rsidRPr="00BF5EAB">
        <w:rPr>
          <w:rFonts w:ascii="Sakkal Majalla" w:eastAsia="Calibri" w:hAnsi="Sakkal Majalla" w:cs="Sakkal Majalla"/>
          <w:b/>
          <w:color w:val="0D0D0D" w:themeColor="text1" w:themeTint="F2"/>
          <w:sz w:val="32"/>
          <w:szCs w:val="32"/>
          <w:rtl/>
        </w:rPr>
        <w:t>:</w:t>
      </w:r>
    </w:p>
    <w:p w14:paraId="213D6433" w14:textId="450AF968" w:rsidR="008C2C62" w:rsidRPr="00BF5EAB" w:rsidRDefault="008C2C62" w:rsidP="005501C8">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معامل ارتباط بيرسون</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Cs/>
          <w:color w:val="0D0D0D" w:themeColor="text1" w:themeTint="F2"/>
          <w:sz w:val="32"/>
          <w:szCs w:val="32"/>
        </w:rPr>
        <w:t>Pearson Correlation</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لحساب الصدق البنائي والاتساق الداخلي الأولي لفقرات الاستبانة وعلاقتها بالأبعاد الفرعية عبر العينة الاستطلاعية.</w:t>
      </w:r>
    </w:p>
    <w:p w14:paraId="77C96DA4" w14:textId="4534449D" w:rsidR="008C2C62" w:rsidRPr="00BF5EAB" w:rsidRDefault="008C2C62" w:rsidP="005501C8">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tl/>
          <w:lang w:bidi="ar-EG"/>
        </w:rPr>
      </w:pPr>
      <w:r w:rsidRPr="00BF5EAB">
        <w:rPr>
          <w:rFonts w:ascii="Sakkal Majalla" w:eastAsia="Calibri" w:hAnsi="Sakkal Majalla" w:cs="Sakkal Majalla"/>
          <w:b/>
          <w:color w:val="0D0D0D" w:themeColor="text1" w:themeTint="F2"/>
          <w:sz w:val="32"/>
          <w:szCs w:val="32"/>
          <w:rtl/>
        </w:rPr>
        <w:t xml:space="preserve">معامل ألفا كرونباخ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lang w:val="en-US"/>
        </w:rPr>
        <w:t>Cronbach</w:t>
      </w:r>
      <w:r w:rsidRPr="00BF5EAB">
        <w:rPr>
          <w:rFonts w:ascii="Times New Roman" w:eastAsia="Calibri" w:hAnsi="Times New Roman"/>
          <w:bCs/>
          <w:color w:val="0D0D0D" w:themeColor="text1" w:themeTint="F2"/>
          <w:sz w:val="32"/>
          <w:szCs w:val="32"/>
          <w:lang w:val="en-US"/>
        </w:rPr>
        <w:t>′</w:t>
      </w:r>
      <w:r w:rsidRPr="00BF5EAB">
        <w:rPr>
          <w:rFonts w:ascii="Sakkal Majalla" w:eastAsia="Calibri" w:hAnsi="Sakkal Majalla" w:cs="Sakkal Majalla"/>
          <w:bCs/>
          <w:color w:val="0D0D0D" w:themeColor="text1" w:themeTint="F2"/>
          <w:sz w:val="32"/>
          <w:szCs w:val="32"/>
          <w:lang w:val="en-US"/>
        </w:rPr>
        <w:t>s Alpha</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لقياس مدى التجانس الداخلي وموثوقية العبارات في قياس المتغيرات.</w:t>
      </w:r>
    </w:p>
    <w:p w14:paraId="6F1B2E5B" w14:textId="236C7FA4"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ثالثاً</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الإحصاء الاستدلالي واختبار الفرضيات</w:t>
      </w:r>
      <w:r w:rsidR="005B20E7" w:rsidRPr="00BF5EAB">
        <w:rPr>
          <w:rFonts w:ascii="Sakkal Majalla" w:eastAsia="Calibri" w:hAnsi="Sakkal Majalla" w:cs="Sakkal Majalla"/>
          <w:bCs/>
          <w:color w:val="0D0D0D" w:themeColor="text1" w:themeTint="F2"/>
          <w:sz w:val="32"/>
          <w:szCs w:val="32"/>
          <w:rtl/>
        </w:rPr>
        <w:t>:</w:t>
      </w:r>
    </w:p>
    <w:p w14:paraId="07968D44" w14:textId="2C66BDA1" w:rsidR="008C2C62" w:rsidRPr="00BF5EAB" w:rsidRDefault="008C2C62" w:rsidP="005501C8">
      <w:pPr>
        <w:tabs>
          <w:tab w:val="right" w:pos="990"/>
        </w:tabs>
        <w:spacing w:after="0" w:line="276" w:lineRule="auto"/>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استُخدمت لاختبار الفروض والنموذج الكلي للدراسة عبر برنامج </w:t>
      </w:r>
      <w:r w:rsidRPr="00BF5EAB">
        <w:rPr>
          <w:rFonts w:ascii="Sakkal Majalla" w:eastAsia="Calibri" w:hAnsi="Sakkal Majalla" w:cs="Sakkal Majalla"/>
          <w:bCs/>
          <w:color w:val="0D0D0D" w:themeColor="text1" w:themeTint="F2"/>
          <w:sz w:val="32"/>
          <w:szCs w:val="32"/>
          <w:rtl/>
          <w:lang w:val="x-none" w:eastAsia="x-none"/>
        </w:rPr>
        <w:t>(</w:t>
      </w:r>
      <w:proofErr w:type="spellStart"/>
      <w:r w:rsidRPr="00BF5EAB">
        <w:rPr>
          <w:rFonts w:ascii="Sakkal Majalla" w:eastAsia="Calibri" w:hAnsi="Sakkal Majalla" w:cs="Sakkal Majalla"/>
          <w:bCs/>
          <w:color w:val="0D0D0D" w:themeColor="text1" w:themeTint="F2"/>
          <w:sz w:val="32"/>
          <w:szCs w:val="32"/>
          <w:lang w:val="x-none" w:eastAsia="x-none"/>
        </w:rPr>
        <w:t>SmartPLS</w:t>
      </w:r>
      <w:proofErr w:type="spellEnd"/>
      <w:r w:rsidRPr="00BF5EAB">
        <w:rPr>
          <w:rFonts w:ascii="Sakkal Majalla" w:eastAsia="Calibri" w:hAnsi="Sakkal Majalla" w:cs="Sakkal Majalla"/>
          <w:bCs/>
          <w:color w:val="0D0D0D" w:themeColor="text1" w:themeTint="F2"/>
          <w:sz w:val="32"/>
          <w:szCs w:val="32"/>
          <w:rtl/>
          <w:lang w:val="x-none" w:eastAsia="x-none"/>
        </w:rPr>
        <w:t>)</w:t>
      </w:r>
      <w:r w:rsidR="005B20E7" w:rsidRPr="00BF5EAB">
        <w:rPr>
          <w:rFonts w:ascii="Sakkal Majalla" w:eastAsia="Calibri" w:hAnsi="Sakkal Majalla" w:cs="Sakkal Majalla"/>
          <w:b/>
          <w:color w:val="0D0D0D" w:themeColor="text1" w:themeTint="F2"/>
          <w:sz w:val="32"/>
          <w:szCs w:val="32"/>
          <w:rtl/>
        </w:rPr>
        <w:t>:</w:t>
      </w:r>
    </w:p>
    <w:p w14:paraId="25CF734B" w14:textId="2A81E599" w:rsidR="008C2C62" w:rsidRPr="00BF5EAB"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تحليل المسار الهيكلي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Structural Path Analysis</w:t>
      </w:r>
      <w:r w:rsidRPr="00BF5EAB">
        <w:rPr>
          <w:rFonts w:ascii="Sakkal Majalla" w:eastAsia="Calibri" w:hAnsi="Sakkal Majalla" w:cs="Sakkal Majalla"/>
          <w:b/>
          <w:color w:val="0D0D0D" w:themeColor="text1" w:themeTint="F2"/>
          <w:sz w:val="32"/>
          <w:szCs w:val="32"/>
          <w:rtl/>
        </w:rPr>
        <w:t>)</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لاختبار الأثر المباشر لمتغير (قبول واستخدام أنظمة ذكاء الأعمال) على كل من (جودة القرارات الاستراتيجية) و(الابتكار التنظيمي)، وأثر (جودة القرارات) على (الابتكار التنظيمي).</w:t>
      </w:r>
    </w:p>
    <w:p w14:paraId="2953DC01" w14:textId="6718DFE3" w:rsidR="00006CAE" w:rsidRPr="00BF5EAB"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أسلوب التمهيد الصدفي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Bootstrapping</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لحساب الأثر غير المباشر واختبار دلالة الدور الوسيط لـ (جودة القرارات الاستراتيجية) في العلاقة بين المتغير المستقل والتابع، وتحديد القيمة التنبؤية للنموذج الكلي.</w:t>
      </w:r>
    </w:p>
    <w:p w14:paraId="31CC1814" w14:textId="1F84240B" w:rsidR="00006CAE" w:rsidRPr="00BF5EAB" w:rsidRDefault="00006CAE"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lastRenderedPageBreak/>
        <w:t xml:space="preserve">اختبار الدور الوسيط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Mediation Analysis</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سيتم فحص الأثر غير المباشر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Indirect Effect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لجودة القرارات الاستراتيجية؛ وتحديد نوع الوساطة بناءً على دلالة المسار المباشر وغير المباشر</w:t>
      </w:r>
      <w:r w:rsidR="005B20E7" w:rsidRPr="00BF5EAB">
        <w:rPr>
          <w:rFonts w:ascii="Sakkal Majalla" w:eastAsia="Calibri" w:hAnsi="Sakkal Majalla" w:cs="Sakkal Majalla"/>
          <w:b/>
          <w:color w:val="0D0D0D" w:themeColor="text1" w:themeTint="F2"/>
          <w:sz w:val="32"/>
          <w:szCs w:val="32"/>
          <w:rtl/>
        </w:rPr>
        <w:t>:</w:t>
      </w:r>
    </w:p>
    <w:p w14:paraId="79C021D0" w14:textId="3D04686B" w:rsidR="00006CAE" w:rsidRPr="00BF5EAB" w:rsidRDefault="00006CAE" w:rsidP="005501C8">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وساطة كاملة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Full Mediation</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إذا كان الأثر غير المباشر دالاً، بينما الأثر المباشر غير دال.</w:t>
      </w:r>
    </w:p>
    <w:p w14:paraId="48E1DF2E" w14:textId="7EEB9FBC" w:rsidR="00006CAE" w:rsidRPr="00BF5EAB" w:rsidRDefault="00006CAE" w:rsidP="005501C8">
      <w:pPr>
        <w:pStyle w:val="ListParagraph"/>
        <w:numPr>
          <w:ilvl w:val="0"/>
          <w:numId w:val="15"/>
        </w:numPr>
        <w:tabs>
          <w:tab w:val="right" w:pos="990"/>
        </w:tabs>
        <w:bidi/>
        <w:spacing w:after="0"/>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وساطة جزئية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Partial Mediation</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إذا كان الأثر المباشر وغير المباشر دالين معاً.</w:t>
      </w:r>
    </w:p>
    <w:p w14:paraId="650A2544" w14:textId="519857E7" w:rsidR="008C2C62" w:rsidRPr="00BF5EAB"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معامل التحديد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R</w:t>
      </w:r>
      <w:r w:rsidRPr="00BF5EAB">
        <w:rPr>
          <w:rFonts w:ascii="Sakkal Majalla" w:eastAsia="Calibri" w:hAnsi="Sakkal Majalla" w:cs="Sakkal Majalla"/>
          <w:bCs/>
          <w:color w:val="0D0D0D" w:themeColor="text1" w:themeTint="F2"/>
          <w:sz w:val="32"/>
          <w:szCs w:val="32"/>
          <w:vertAlign w:val="superscript"/>
        </w:rPr>
        <w:t>2</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ومؤشر الأثر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w:t>
      </w:r>
      <w:r w:rsidRPr="00BF5EAB">
        <w:rPr>
          <w:rFonts w:ascii="Sakkal Majalla" w:eastAsia="Calibri" w:hAnsi="Sakkal Majalla" w:cs="Sakkal Majalla"/>
          <w:bCs/>
          <w:color w:val="0D0D0D" w:themeColor="text1" w:themeTint="F2"/>
          <w:sz w:val="32"/>
          <w:szCs w:val="32"/>
          <w:vertAlign w:val="superscript"/>
        </w:rPr>
        <w:t>2</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لتحديد حجم التباين المفسر في المتغيرات التابعة والوسيطة وقوة إسهام كل مسار داخل النموذج المصرفي المقترح.</w:t>
      </w:r>
    </w:p>
    <w:p w14:paraId="4FC7E12E" w14:textId="479A1D3E"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رابعاً</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اختبار الفروق والمتغيرات الضابطة</w:t>
      </w:r>
      <w:r w:rsidR="005B20E7" w:rsidRPr="00BF5EAB">
        <w:rPr>
          <w:rFonts w:ascii="Sakkal Majalla" w:eastAsia="Calibri" w:hAnsi="Sakkal Majalla" w:cs="Sakkal Majalla"/>
          <w:bCs/>
          <w:color w:val="0D0D0D" w:themeColor="text1" w:themeTint="F2"/>
          <w:sz w:val="32"/>
          <w:szCs w:val="32"/>
          <w:rtl/>
        </w:rPr>
        <w:t>:</w:t>
      </w:r>
    </w:p>
    <w:p w14:paraId="4216740F" w14:textId="5D43C1D4" w:rsidR="008C2C62" w:rsidRPr="00BF5EAB" w:rsidRDefault="008C2C62" w:rsidP="005501C8">
      <w:pPr>
        <w:tabs>
          <w:tab w:val="right" w:pos="990"/>
        </w:tabs>
        <w:spacing w:after="0" w:line="276" w:lineRule="auto"/>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استُخدمت عبر برنامج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SPSS</w:t>
      </w:r>
      <w:r w:rsidRPr="00BF5EAB">
        <w:rPr>
          <w:rFonts w:ascii="Sakkal Majalla" w:eastAsia="Calibri" w:hAnsi="Sakkal Majalla" w:cs="Sakkal Majalla"/>
          <w:b/>
          <w:color w:val="0D0D0D" w:themeColor="text1" w:themeTint="F2"/>
          <w:sz w:val="32"/>
          <w:szCs w:val="32"/>
          <w:rtl/>
        </w:rPr>
        <w:t>) للكشف عن المتغيرات التصنيفية</w:t>
      </w:r>
      <w:r w:rsidR="005B20E7" w:rsidRPr="00BF5EAB">
        <w:rPr>
          <w:rFonts w:ascii="Sakkal Majalla" w:eastAsia="Calibri" w:hAnsi="Sakkal Majalla" w:cs="Sakkal Majalla"/>
          <w:b/>
          <w:color w:val="0D0D0D" w:themeColor="text1" w:themeTint="F2"/>
          <w:sz w:val="32"/>
          <w:szCs w:val="32"/>
          <w:rtl/>
        </w:rPr>
        <w:t>:</w:t>
      </w:r>
    </w:p>
    <w:p w14:paraId="588B7927" w14:textId="32EA2AA4" w:rsidR="008C2C62" w:rsidRPr="00BF5EAB"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اختبار "ت" لعينتين مستقلتين</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Cs/>
          <w:color w:val="0D0D0D" w:themeColor="text1" w:themeTint="F2"/>
          <w:sz w:val="32"/>
          <w:szCs w:val="32"/>
        </w:rPr>
        <w:t>Independent Samples t-test</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للكشف عن دلالة الفروق في استجابات أفراد العينة والتي قد تعزى للمتغيرات ثنائية التصنيف (مثل نوع المصرف</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محلي / أجنبي).</w:t>
      </w:r>
    </w:p>
    <w:p w14:paraId="5ADBCC77" w14:textId="398392FE" w:rsidR="008C2C62" w:rsidRPr="00BF5EAB" w:rsidRDefault="008C2C62" w:rsidP="005501C8">
      <w:pPr>
        <w:pStyle w:val="ListParagraph"/>
        <w:numPr>
          <w:ilvl w:val="0"/>
          <w:numId w:val="17"/>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تحليل التباين الأحادي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One-Way ANOVA</w:t>
      </w:r>
      <w:r w:rsidRPr="00BF5EAB">
        <w:rPr>
          <w:rFonts w:ascii="Sakkal Majalla" w:eastAsia="Calibri" w:hAnsi="Sakkal Majalla" w:cs="Sakkal Majalla"/>
          <w:bCs/>
          <w:color w:val="0D0D0D" w:themeColor="text1" w:themeTint="F2"/>
          <w:sz w:val="32"/>
          <w:szCs w:val="32"/>
          <w:rtl/>
        </w:rPr>
        <w:t>)</w:t>
      </w:r>
      <w:r w:rsidR="005B20E7"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للكشف عن دلالة الفروق الإحصائية في مستويات متغيرات الدراسة تبعاً للمتغيرات الديموغرافية متعددة المستويات (مثل</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المستوى الإداري، سنوات الخبرة)، متبوعاً باختبارات المقارنات البعدية (مثل اختبار شيفيه أو توكي) في حال ثبوت دلالة الفروق.</w:t>
      </w:r>
    </w:p>
    <w:p w14:paraId="7E47BF6F" w14:textId="284F50B0" w:rsidR="00952BA0" w:rsidRPr="00BF5EAB" w:rsidRDefault="00952BA0" w:rsidP="005501C8">
      <w:pPr>
        <w:tabs>
          <w:tab w:val="right" w:pos="990"/>
        </w:tabs>
        <w:spacing w:after="0" w:line="276" w:lineRule="auto"/>
        <w:jc w:val="both"/>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3-</w:t>
      </w:r>
      <w:r w:rsidR="00C47F36" w:rsidRPr="00BF5EAB">
        <w:rPr>
          <w:rFonts w:ascii="Sakkal Majalla" w:eastAsia="Calibri" w:hAnsi="Sakkal Majalla" w:cs="Sakkal Majalla"/>
          <w:bCs/>
          <w:color w:val="0D0D0D" w:themeColor="text1" w:themeTint="F2"/>
          <w:sz w:val="32"/>
          <w:szCs w:val="32"/>
          <w:rtl/>
        </w:rPr>
        <w:t>13</w:t>
      </w:r>
      <w:r w:rsidRPr="00BF5EAB">
        <w:rPr>
          <w:rFonts w:ascii="Sakkal Majalla" w:eastAsia="Calibri" w:hAnsi="Sakkal Majalla" w:cs="Sakkal Majalla"/>
          <w:bCs/>
          <w:color w:val="0D0D0D" w:themeColor="text1" w:themeTint="F2"/>
          <w:sz w:val="32"/>
          <w:szCs w:val="32"/>
          <w:rtl/>
        </w:rPr>
        <w:t xml:space="preserve"> حدود تعميم نتائج الدراسة</w:t>
      </w:r>
      <w:r w:rsidR="005B20E7" w:rsidRPr="00BF5EAB">
        <w:rPr>
          <w:rFonts w:ascii="Sakkal Majalla" w:eastAsia="Calibri" w:hAnsi="Sakkal Majalla" w:cs="Sakkal Majalla"/>
          <w:bCs/>
          <w:color w:val="0D0D0D" w:themeColor="text1" w:themeTint="F2"/>
          <w:sz w:val="32"/>
          <w:szCs w:val="32"/>
          <w:rtl/>
        </w:rPr>
        <w:t>:</w:t>
      </w:r>
    </w:p>
    <w:p w14:paraId="21880275" w14:textId="604D777A" w:rsidR="00952BA0" w:rsidRPr="00BF5EAB" w:rsidRDefault="00952BA0"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   تُعد قابلية تعميم النتائج مطلباً أساسياً في البحوث العلمية، ومع ذلك، فقد راعت الباحثة وضع أطر منهجية دقيقة لتعميم نتائج هذه الدراسة، استناداً إلى طبيعة المجتمع المستهدف وتصميمه المنهجي، وذلك على النحو التالي</w:t>
      </w:r>
      <w:r w:rsidR="005B20E7" w:rsidRPr="00BF5EAB">
        <w:rPr>
          <w:rFonts w:ascii="Sakkal Majalla" w:eastAsia="Calibri" w:hAnsi="Sakkal Majalla" w:cs="Sakkal Majalla"/>
          <w:b/>
          <w:color w:val="0D0D0D" w:themeColor="text1" w:themeTint="F2"/>
          <w:sz w:val="32"/>
          <w:szCs w:val="32"/>
          <w:rtl/>
        </w:rPr>
        <w:t>:</w:t>
      </w:r>
    </w:p>
    <w:p w14:paraId="79BFCADA" w14:textId="2F742D85" w:rsidR="00952BA0" w:rsidRPr="00BF5EAB" w:rsidRDefault="00952BA0" w:rsidP="005501C8">
      <w:pPr>
        <w:pStyle w:val="ListParagraph"/>
        <w:numPr>
          <w:ilvl w:val="0"/>
          <w:numId w:val="35"/>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النطاق الجغرافي والتشغيلي للتعميم</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تقتصر نتائج هذه الدراسة في دلالتها المباشرة على المصارف التجارية والرقابية (المحلية والأجنبية) التي لها مقرات رئيسية أو إقليمية بمدينة الرياض، والتي تمتلك بنية تقنية متقدمة في مجال ذكاء الأعمال. وبناءً عليه، يمكن تعميم النتائج على مجتمعات مصرفية مشابهة من حيث الهيكل التنظيمي والتوجه التقني، خاصة في العواصم والمراكز المالية التي تتشابه فيها بيئات الأعمال مع البيئة المصرفية في مدينة الرياض.</w:t>
      </w:r>
    </w:p>
    <w:p w14:paraId="4AD4620E" w14:textId="6AC053DF" w:rsidR="00952BA0" w:rsidRPr="00BF5EAB" w:rsidRDefault="00952BA0" w:rsidP="005501C8">
      <w:pPr>
        <w:pStyle w:val="ListParagraph"/>
        <w:numPr>
          <w:ilvl w:val="0"/>
          <w:numId w:val="35"/>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lastRenderedPageBreak/>
        <w:t>التحفظ المنهجي في التعميم</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تُدرك الباحثة أن قطاع المصارف في المملكة العربية السعودية يتمتع بتنوع كبير في أحجام المصارف ونماذج عملها؛ لذا فإن تعميم نتائج هذه الدراسة على كامل القطاع المصرفي السعودي (بما في ذلك فروع المصارف في المدن الصغيرة أو المصارف ذات العمليات المحدودة) يجب أن يتم بحذر. إن تعميم النتائج على نطاق أوسع يتطلب إجراء دراسات تكرارية في بيئات جغرافية ومؤسسية متنوعة، لضمان ثبات العلاقات البنائية التي كشفت عنها الدراسة.</w:t>
      </w:r>
    </w:p>
    <w:p w14:paraId="7C1229C8" w14:textId="14FA74C2" w:rsidR="008C2C62" w:rsidRPr="00BF5EAB" w:rsidRDefault="00952BA0" w:rsidP="005501C8">
      <w:pPr>
        <w:pStyle w:val="ListParagraph"/>
        <w:numPr>
          <w:ilvl w:val="0"/>
          <w:numId w:val="35"/>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طبيعة المتغيرات وتأثيرها على التعميم</w:t>
      </w:r>
      <w:r w:rsidR="005B20E7" w:rsidRPr="00BF5EAB">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إن النتائج المستخلصة حول ذكاء الأعمال والابتكار التنظيمي تعكس تصورات القيادات في لحظة زمنية محددة (2026م). ونظراً للتسارع الكبير في تقنيات الذكاء الاصطناعي التوليدي، فإن قابليّة التعميم ترتبط ارتباطاً وثيقاً بمتغير الزمن؛ حيث تعبر الدراسة عن واقع ممارسات اتخاذ القرار في ظل المستويات التقنية الراهنة.</w:t>
      </w:r>
    </w:p>
    <w:p w14:paraId="508243DA" w14:textId="3C572C4B" w:rsidR="00DF64C4" w:rsidRPr="00BF5EAB" w:rsidRDefault="00DF64C4" w:rsidP="005501C8">
      <w:pPr>
        <w:spacing w:after="0" w:line="276" w:lineRule="auto"/>
        <w:rPr>
          <w:rFonts w:ascii="Sakkal Majalla" w:eastAsia="Calibri" w:hAnsi="Sakkal Majalla" w:cs="Sakkal Majalla"/>
          <w:b/>
          <w:bCs/>
          <w:color w:val="0D0D0D" w:themeColor="text1" w:themeTint="F2"/>
          <w:sz w:val="32"/>
          <w:szCs w:val="32"/>
          <w:rtl/>
          <w:lang w:bidi="ar-EG"/>
        </w:rPr>
      </w:pPr>
      <w:r w:rsidRPr="00BF5EAB">
        <w:rPr>
          <w:rFonts w:ascii="Sakkal Majalla" w:eastAsia="Calibri" w:hAnsi="Sakkal Majalla" w:cs="Sakkal Majalla"/>
          <w:b/>
          <w:bCs/>
          <w:color w:val="0D0D0D" w:themeColor="text1" w:themeTint="F2"/>
          <w:sz w:val="32"/>
          <w:szCs w:val="32"/>
          <w:rtl/>
        </w:rPr>
        <w:t>3-</w:t>
      </w:r>
      <w:r w:rsidR="00C47F36" w:rsidRPr="00BF5EAB">
        <w:rPr>
          <w:rFonts w:ascii="Sakkal Majalla" w:eastAsia="Calibri" w:hAnsi="Sakkal Majalla" w:cs="Sakkal Majalla"/>
          <w:b/>
          <w:bCs/>
          <w:color w:val="0D0D0D" w:themeColor="text1" w:themeTint="F2"/>
          <w:sz w:val="32"/>
          <w:szCs w:val="32"/>
          <w:rtl/>
        </w:rPr>
        <w:t>14</w:t>
      </w:r>
      <w:r w:rsidRPr="00BF5EAB">
        <w:rPr>
          <w:rFonts w:ascii="Sakkal Majalla" w:eastAsia="Calibri" w:hAnsi="Sakkal Majalla" w:cs="Sakkal Majalla"/>
          <w:b/>
          <w:bCs/>
          <w:color w:val="0D0D0D" w:themeColor="text1" w:themeTint="F2"/>
          <w:sz w:val="32"/>
          <w:szCs w:val="32"/>
          <w:rtl/>
        </w:rPr>
        <w:t xml:space="preserve"> أخلاقيات البحث وضمانات السرية </w:t>
      </w:r>
    </w:p>
    <w:p w14:paraId="3071DA9D" w14:textId="0A2EE98A" w:rsidR="00DF64C4" w:rsidRPr="00BF5EAB" w:rsidRDefault="00DF64C4"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التزاماً بالمعايير الأخلاقية الرفيعة في البحث العلمي، وحرصاً على حماية خصوصية المشاركين في القطاع المصرفي، تم اتخاذ الإجراءات والضمانات التالية:</w:t>
      </w:r>
    </w:p>
    <w:p w14:paraId="5C809508" w14:textId="6E7BF280" w:rsidR="00DF64C4" w:rsidRPr="00BF5EAB" w:rsidRDefault="00DF64C4" w:rsidP="005501C8">
      <w:pPr>
        <w:pStyle w:val="ListParagraph"/>
        <w:numPr>
          <w:ilvl w:val="0"/>
          <w:numId w:val="4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الموافقة المستنيرة وطوعية المشاركة: تم إرفاق نموذج "موافقة مستنيرة" في مقدمة الأداة، يوضح للمشاركين: (1) </w:t>
      </w:r>
      <w:r w:rsidRPr="00BF5EAB">
        <w:rPr>
          <w:rFonts w:ascii="Sakkal Majalla" w:eastAsia="Calibri" w:hAnsi="Sakkal Majalla" w:cs="Sakkal Majalla"/>
          <w:b/>
          <w:color w:val="0D0D0D" w:themeColor="text1" w:themeTint="F2"/>
          <w:sz w:val="32"/>
          <w:szCs w:val="32"/>
          <w:rtl/>
        </w:rPr>
        <w:t>الهدف الأكاديمي للدراسة، (2) طوعية المشاركة الكاملة، و(3) الحق المطلق للمشارك في الانسحاب من الدراسة في أي مرحلة دون إبداء أسباب ودون أي تبعات إدارية أو مهنية. ويُعد بدء المشارك في تعبئة الاستبانة إقراراً بموافقته المستنيرة على المشاركة.</w:t>
      </w:r>
    </w:p>
    <w:p w14:paraId="59842B9B" w14:textId="2412FD0E" w:rsidR="00DF64C4" w:rsidRPr="00BF5EAB" w:rsidRDefault="00DF64C4" w:rsidP="005501C8">
      <w:pPr>
        <w:pStyle w:val="ListParagraph"/>
        <w:numPr>
          <w:ilvl w:val="0"/>
          <w:numId w:val="4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حماية البيانات وإخفاء الهوية: تم تصميم الأداة لتكون "مجهولة الهوية" (</w:t>
      </w:r>
      <w:r w:rsidRPr="00BF5EAB">
        <w:rPr>
          <w:rFonts w:ascii="Sakkal Majalla" w:eastAsia="Calibri" w:hAnsi="Sakkal Majalla" w:cs="Sakkal Majalla"/>
          <w:b/>
          <w:color w:val="0D0D0D" w:themeColor="text1" w:themeTint="F2"/>
          <w:sz w:val="32"/>
          <w:szCs w:val="32"/>
        </w:rPr>
        <w:t>Anonymous</w:t>
      </w:r>
      <w:r w:rsidRPr="00BF5EAB">
        <w:rPr>
          <w:rFonts w:ascii="Sakkal Majalla" w:eastAsia="Calibri" w:hAnsi="Sakkal Majalla" w:cs="Sakkal Majalla"/>
          <w:b/>
          <w:color w:val="0D0D0D" w:themeColor="text1" w:themeTint="F2"/>
          <w:sz w:val="32"/>
          <w:szCs w:val="32"/>
          <w:rtl/>
        </w:rPr>
        <w:t>)؛ حيث لم تُطلب أسماء المشاركين أو أسماء المصارف بشكل مباشر. تم تخزين البيانات رقمياً في ملفات محمية بكلمات مرور خاصة لا يملك حق الوصول إليها إلا الباحثة، وذلك لضمان سرية المعلومات. تم تصميم أسئلة الخصائص الديموغرافية (مثل المسمى الوظيفي والخبرة) بصورة "فئات واسعة" تمنع إمكانية استنتاج هوية المشارك حتى في الفئات الصغيرة، مما يحمي خصوصية المديرين والمصارف.</w:t>
      </w:r>
    </w:p>
    <w:p w14:paraId="7ABB7A68" w14:textId="40E2F44A" w:rsidR="00DF64C4" w:rsidRPr="00BF5EAB" w:rsidRDefault="00DF64C4" w:rsidP="005501C8">
      <w:pPr>
        <w:pStyle w:val="ListParagraph"/>
        <w:numPr>
          <w:ilvl w:val="0"/>
          <w:numId w:val="4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طبيعة الدراسة وغرض النتائج: تم التأكيد صراحةً للمشاركين على أن هذه الدراسة هي "دراسة تقييمية للأداء المؤسسي العام" وليست "تقييماً لأداء الأفراد أو المصارف"، وأن الغرض الوحيد منها هو أغراض البحث العلمي والتطوير الإداري. وعليه، تم التعهد بأن تُعرض نتائج الدراسة </w:t>
      </w:r>
      <w:r w:rsidRPr="00BF5EAB">
        <w:rPr>
          <w:rFonts w:ascii="Sakkal Majalla" w:eastAsia="Calibri" w:hAnsi="Sakkal Majalla" w:cs="Sakkal Majalla"/>
          <w:b/>
          <w:color w:val="0D0D0D" w:themeColor="text1" w:themeTint="F2"/>
          <w:sz w:val="32"/>
          <w:szCs w:val="32"/>
          <w:rtl/>
        </w:rPr>
        <w:lastRenderedPageBreak/>
        <w:t>وتُحلل بصورة "مجمعة" فقط، مع استحالة فصل أو تخصيص أي إجابة لفرد أو مصرف بعينه، مما يضمن حيادية النتائج وعدم الإضرار بأي طرف.</w:t>
      </w:r>
    </w:p>
    <w:p w14:paraId="7BC9A767" w14:textId="5DC29013" w:rsidR="00DE4A69" w:rsidRPr="00BF5EAB" w:rsidRDefault="00DF64C4" w:rsidP="005501C8">
      <w:pPr>
        <w:pStyle w:val="ListParagraph"/>
        <w:numPr>
          <w:ilvl w:val="0"/>
          <w:numId w:val="41"/>
        </w:numPr>
        <w:tabs>
          <w:tab w:val="right" w:pos="990"/>
        </w:tabs>
        <w:bidi/>
        <w:spacing w:after="0"/>
        <w:ind w:left="351"/>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الموافقات الرسمية: استكمالاً</w:t>
      </w:r>
      <w:r w:rsidRPr="00BF5EAB">
        <w:rPr>
          <w:rFonts w:ascii="Sakkal Majalla" w:eastAsia="Calibri" w:hAnsi="Sakkal Majalla" w:cs="Sakkal Majalla"/>
          <w:color w:val="0D0D0D" w:themeColor="text1" w:themeTint="F2"/>
          <w:sz w:val="32"/>
          <w:szCs w:val="32"/>
          <w:rtl/>
        </w:rPr>
        <w:t xml:space="preserve"> للمتطلبات الإجرائية، تم الحصول على الموافقات الرسمية اللازمة من الجهات الإدارية والمصرفية المعنية في مدينة الرياض؛ حيث تم توجيه خطابات رسمية توضح طبيعة الدراسة، أهدافها، والضمانات الأخلاقية المتبعة، مما منح البحث الغطاء القانوني والمهني المطلوب للوصول إلى القيادات المصرفية بصفة رسمية وموثوقة.</w:t>
      </w:r>
    </w:p>
    <w:p w14:paraId="5CFD3C1E" w14:textId="77777777" w:rsidR="00C47F36" w:rsidRPr="00BF5EAB" w:rsidRDefault="00C47F36" w:rsidP="005501C8">
      <w:pPr>
        <w:tabs>
          <w:tab w:val="left" w:pos="2317"/>
        </w:tabs>
        <w:spacing w:after="0" w:line="276" w:lineRule="auto"/>
        <w:jc w:val="both"/>
        <w:rPr>
          <w:rFonts w:ascii="Sakkal Majalla" w:eastAsia="Calibri" w:hAnsi="Sakkal Majalla" w:cs="Sakkal Majalla"/>
          <w:b/>
          <w:bCs/>
          <w:color w:val="0D0D0D" w:themeColor="text1" w:themeTint="F2"/>
          <w:sz w:val="32"/>
          <w:szCs w:val="32"/>
          <w:rtl/>
        </w:rPr>
      </w:pPr>
    </w:p>
    <w:p w14:paraId="20893933" w14:textId="77777777" w:rsidR="003B07BF" w:rsidRPr="00BF5EAB" w:rsidRDefault="003B07BF">
      <w:pPr>
        <w:bidi w:val="0"/>
        <w:rPr>
          <w:rFonts w:ascii="Sakkal Majalla" w:eastAsia="Calibri" w:hAnsi="Sakkal Majalla" w:cs="Sakkal Majalla"/>
          <w:b/>
          <w:bCs/>
          <w:color w:val="0D0D0D" w:themeColor="text1" w:themeTint="F2"/>
          <w:sz w:val="36"/>
          <w:szCs w:val="36"/>
          <w:rtl/>
        </w:rPr>
      </w:pPr>
      <w:r w:rsidRPr="00BF5EAB">
        <w:rPr>
          <w:rFonts w:ascii="Sakkal Majalla" w:eastAsia="Calibri" w:hAnsi="Sakkal Majalla" w:cs="Sakkal Majalla"/>
          <w:b/>
          <w:bCs/>
          <w:color w:val="0D0D0D" w:themeColor="text1" w:themeTint="F2"/>
          <w:sz w:val="36"/>
          <w:szCs w:val="36"/>
          <w:rtl/>
        </w:rPr>
        <w:br w:type="page"/>
      </w:r>
    </w:p>
    <w:p w14:paraId="2ABEC596" w14:textId="4C3ECE9D" w:rsidR="00A80DE0" w:rsidRPr="00BF5EAB" w:rsidRDefault="00A641F3" w:rsidP="0074601C">
      <w:pPr>
        <w:tabs>
          <w:tab w:val="left" w:pos="2317"/>
        </w:tabs>
        <w:spacing w:after="0" w:line="276" w:lineRule="auto"/>
        <w:jc w:val="center"/>
        <w:rPr>
          <w:rFonts w:ascii="Sakkal Majalla" w:eastAsia="Calibri" w:hAnsi="Sakkal Majalla" w:cs="Sakkal Majalla"/>
          <w:b/>
          <w:bCs/>
          <w:color w:val="0D0D0D" w:themeColor="text1" w:themeTint="F2"/>
          <w:sz w:val="36"/>
          <w:szCs w:val="36"/>
          <w:rtl/>
        </w:rPr>
      </w:pPr>
      <w:r w:rsidRPr="00BF5EAB">
        <w:rPr>
          <w:rFonts w:ascii="Sakkal Majalla" w:eastAsia="Calibri" w:hAnsi="Sakkal Majalla" w:cs="Sakkal Majalla"/>
          <w:b/>
          <w:bCs/>
          <w:color w:val="0D0D0D" w:themeColor="text1" w:themeTint="F2"/>
          <w:sz w:val="36"/>
          <w:szCs w:val="36"/>
          <w:rtl/>
        </w:rPr>
        <w:lastRenderedPageBreak/>
        <w:t>ا</w:t>
      </w:r>
      <w:r w:rsidR="00A80DE0" w:rsidRPr="00BF5EAB">
        <w:rPr>
          <w:rFonts w:ascii="Sakkal Majalla" w:eastAsia="Calibri" w:hAnsi="Sakkal Majalla" w:cs="Sakkal Majalla"/>
          <w:b/>
          <w:bCs/>
          <w:color w:val="0D0D0D" w:themeColor="text1" w:themeTint="F2"/>
          <w:sz w:val="36"/>
          <w:szCs w:val="36"/>
          <w:rtl/>
        </w:rPr>
        <w:t>لمراجع</w:t>
      </w:r>
    </w:p>
    <w:p w14:paraId="53A3D62E" w14:textId="07993F89" w:rsidR="0074601C" w:rsidRPr="00BF5EAB" w:rsidRDefault="0074601C" w:rsidP="0074601C">
      <w:pPr>
        <w:tabs>
          <w:tab w:val="left" w:pos="2317"/>
        </w:tabs>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hint="cs"/>
          <w:b/>
          <w:bCs/>
          <w:color w:val="0D0D0D" w:themeColor="text1" w:themeTint="F2"/>
          <w:sz w:val="32"/>
          <w:szCs w:val="32"/>
          <w:rtl/>
        </w:rPr>
        <w:t xml:space="preserve">أولاً: المراجع العربية </w:t>
      </w:r>
    </w:p>
    <w:p w14:paraId="609F1306" w14:textId="5FBBB5F7" w:rsidR="001071BA" w:rsidRPr="00BF5EAB" w:rsidRDefault="001071BA" w:rsidP="0074601C">
      <w:pPr>
        <w:spacing w:after="0" w:line="276" w:lineRule="auto"/>
        <w:ind w:left="776" w:hanging="776"/>
        <w:jc w:val="both"/>
        <w:rPr>
          <w:rFonts w:ascii="Sakkal Majalla" w:eastAsia="Times New Roman" w:hAnsi="Sakkal Majalla" w:cs="Sakkal Majalla"/>
          <w:color w:val="0D0D0D" w:themeColor="text1" w:themeTint="F2"/>
          <w:sz w:val="32"/>
          <w:szCs w:val="32"/>
        </w:rPr>
      </w:pPr>
      <w:r w:rsidRPr="00BF5EAB">
        <w:rPr>
          <w:rFonts w:ascii="Sakkal Majalla" w:eastAsia="Times New Roman" w:hAnsi="Sakkal Majalla" w:cs="Sakkal Majalla"/>
          <w:color w:val="0D0D0D" w:themeColor="text1" w:themeTint="F2"/>
          <w:sz w:val="32"/>
          <w:szCs w:val="32"/>
          <w:rtl/>
        </w:rPr>
        <w:t>عبيدات، ذوقان، وعدس، عبد الرحمن، وعبد الحق، كايد</w:t>
      </w:r>
      <w:r w:rsidRPr="00BF5EAB">
        <w:rPr>
          <w:rFonts w:ascii="Sakkal Majalla" w:eastAsia="Times New Roman" w:hAnsi="Sakkal Majalla" w:cs="Sakkal Majalla"/>
          <w:color w:val="0D0D0D" w:themeColor="text1" w:themeTint="F2"/>
          <w:sz w:val="32"/>
          <w:szCs w:val="32"/>
        </w:rPr>
        <w:t xml:space="preserve"> (2014). </w:t>
      </w:r>
      <w:r w:rsidRPr="00BF5EAB">
        <w:rPr>
          <w:rFonts w:ascii="Sakkal Majalla" w:eastAsia="Times New Roman" w:hAnsi="Sakkal Majalla" w:cs="Sakkal Majalla"/>
          <w:i/>
          <w:iCs/>
          <w:color w:val="0D0D0D" w:themeColor="text1" w:themeTint="F2"/>
          <w:sz w:val="32"/>
          <w:szCs w:val="32"/>
          <w:rtl/>
        </w:rPr>
        <w:t>البحث العلمي</w:t>
      </w:r>
      <w:r w:rsidR="005B20E7" w:rsidRPr="00BF5EAB">
        <w:rPr>
          <w:rFonts w:ascii="Sakkal Majalla" w:eastAsia="Times New Roman" w:hAnsi="Sakkal Majalla" w:cs="Sakkal Majalla"/>
          <w:i/>
          <w:iCs/>
          <w:color w:val="0D0D0D" w:themeColor="text1" w:themeTint="F2"/>
          <w:sz w:val="32"/>
          <w:szCs w:val="32"/>
          <w:rtl/>
        </w:rPr>
        <w:t>:</w:t>
      </w:r>
      <w:r w:rsidRPr="00BF5EAB">
        <w:rPr>
          <w:rFonts w:ascii="Sakkal Majalla" w:eastAsia="Times New Roman" w:hAnsi="Sakkal Majalla" w:cs="Sakkal Majalla"/>
          <w:i/>
          <w:iCs/>
          <w:color w:val="0D0D0D" w:themeColor="text1" w:themeTint="F2"/>
          <w:sz w:val="32"/>
          <w:szCs w:val="32"/>
          <w:rtl/>
        </w:rPr>
        <w:t xml:space="preserve"> مفهومه وأدواته وأساليبه</w:t>
      </w:r>
      <w:r w:rsidRPr="00BF5EAB">
        <w:rPr>
          <w:rFonts w:ascii="Sakkal Majalla" w:eastAsia="Times New Roman" w:hAnsi="Sakkal Majalla" w:cs="Sakkal Majalla"/>
          <w:color w:val="0D0D0D" w:themeColor="text1" w:themeTint="F2"/>
          <w:sz w:val="32"/>
          <w:szCs w:val="32"/>
        </w:rPr>
        <w:t xml:space="preserve">. </w:t>
      </w:r>
      <w:r w:rsidRPr="00BF5EAB">
        <w:rPr>
          <w:rFonts w:ascii="Sakkal Majalla" w:eastAsia="Times New Roman" w:hAnsi="Sakkal Majalla" w:cs="Sakkal Majalla"/>
          <w:color w:val="0D0D0D" w:themeColor="text1" w:themeTint="F2"/>
          <w:sz w:val="32"/>
          <w:szCs w:val="32"/>
          <w:rtl/>
        </w:rPr>
        <w:t>عمّان</w:t>
      </w:r>
      <w:r w:rsidR="005B20E7" w:rsidRPr="00BF5EAB">
        <w:rPr>
          <w:rFonts w:ascii="Sakkal Majalla" w:eastAsia="Times New Roman" w:hAnsi="Sakkal Majalla" w:cs="Sakkal Majalla"/>
          <w:color w:val="0D0D0D" w:themeColor="text1" w:themeTint="F2"/>
          <w:sz w:val="32"/>
          <w:szCs w:val="32"/>
          <w:rtl/>
        </w:rPr>
        <w:t>:</w:t>
      </w:r>
      <w:r w:rsidRPr="00BF5EAB">
        <w:rPr>
          <w:rFonts w:ascii="Sakkal Majalla" w:eastAsia="Times New Roman" w:hAnsi="Sakkal Majalla" w:cs="Sakkal Majalla"/>
          <w:color w:val="0D0D0D" w:themeColor="text1" w:themeTint="F2"/>
          <w:sz w:val="32"/>
          <w:szCs w:val="32"/>
          <w:rtl/>
        </w:rPr>
        <w:t xml:space="preserve"> دار الفكر</w:t>
      </w:r>
      <w:r w:rsidRPr="00BF5EAB">
        <w:rPr>
          <w:rFonts w:ascii="Sakkal Majalla" w:eastAsia="Times New Roman" w:hAnsi="Sakkal Majalla" w:cs="Sakkal Majalla"/>
          <w:color w:val="0D0D0D" w:themeColor="text1" w:themeTint="F2"/>
          <w:sz w:val="32"/>
          <w:szCs w:val="32"/>
        </w:rPr>
        <w:t xml:space="preserve">. </w:t>
      </w:r>
    </w:p>
    <w:bookmarkEnd w:id="0"/>
    <w:p w14:paraId="7B46C19D" w14:textId="77777777"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المحمودي، محمد سرحان علي. (2019). </w:t>
      </w:r>
      <w:r w:rsidRPr="00BF5EAB">
        <w:rPr>
          <w:rFonts w:ascii="Sakkal Majalla" w:eastAsia="Times New Roman" w:hAnsi="Sakkal Majalla" w:cs="Sakkal Majalla"/>
          <w:i/>
          <w:iCs/>
          <w:color w:val="0D0D0D" w:themeColor="text1" w:themeTint="F2"/>
          <w:sz w:val="32"/>
          <w:szCs w:val="32"/>
          <w:rtl/>
        </w:rPr>
        <w:t>مناهج البحث العلمي</w:t>
      </w:r>
      <w:r w:rsidRPr="00BF5EAB">
        <w:rPr>
          <w:rFonts w:ascii="Sakkal Majalla" w:eastAsia="Times New Roman" w:hAnsi="Sakkal Majalla" w:cs="Sakkal Majalla"/>
          <w:color w:val="0D0D0D" w:themeColor="text1" w:themeTint="F2"/>
          <w:sz w:val="32"/>
          <w:szCs w:val="32"/>
          <w:rtl/>
        </w:rPr>
        <w:t xml:space="preserve"> (ط. 3). دار الكتب.</w:t>
      </w:r>
    </w:p>
    <w:p w14:paraId="647E909B" w14:textId="77777777"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العساف، صالح بن حمد. (2016). </w:t>
      </w:r>
      <w:r w:rsidRPr="00BF5EAB">
        <w:rPr>
          <w:rFonts w:ascii="Sakkal Majalla" w:eastAsia="Times New Roman" w:hAnsi="Sakkal Majalla" w:cs="Sakkal Majalla"/>
          <w:i/>
          <w:iCs/>
          <w:color w:val="0D0D0D" w:themeColor="text1" w:themeTint="F2"/>
          <w:sz w:val="32"/>
          <w:szCs w:val="32"/>
          <w:rtl/>
        </w:rPr>
        <w:t>المدخل إلى البحث في العلوم السلوكية</w:t>
      </w:r>
      <w:r w:rsidRPr="00BF5EAB">
        <w:rPr>
          <w:rFonts w:ascii="Sakkal Majalla" w:eastAsia="Times New Roman" w:hAnsi="Sakkal Majalla" w:cs="Sakkal Majalla"/>
          <w:color w:val="0D0D0D" w:themeColor="text1" w:themeTint="F2"/>
          <w:sz w:val="32"/>
          <w:szCs w:val="32"/>
          <w:rtl/>
        </w:rPr>
        <w:t xml:space="preserve"> (ط 5). دار الزهراء.</w:t>
      </w:r>
    </w:p>
    <w:p w14:paraId="1AFA0A4A" w14:textId="2382443F"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rPr>
        <w:t xml:space="preserve">أبو علام، رجاء محمود. (2009). </w:t>
      </w:r>
      <w:r w:rsidRPr="00BF5EAB">
        <w:rPr>
          <w:rFonts w:ascii="Sakkal Majalla" w:eastAsia="Times New Roman" w:hAnsi="Sakkal Majalla" w:cs="Sakkal Majalla"/>
          <w:i/>
          <w:iCs/>
          <w:color w:val="0D0D0D" w:themeColor="text1" w:themeTint="F2"/>
          <w:sz w:val="32"/>
          <w:szCs w:val="32"/>
          <w:rtl/>
        </w:rPr>
        <w:t>مناهج البحث في العلوم النفسية والتربوية</w:t>
      </w:r>
      <w:r w:rsidRPr="00BF5EAB">
        <w:rPr>
          <w:rFonts w:ascii="Sakkal Majalla" w:eastAsia="Times New Roman" w:hAnsi="Sakkal Majalla" w:cs="Sakkal Majalla"/>
          <w:color w:val="0D0D0D" w:themeColor="text1" w:themeTint="F2"/>
          <w:sz w:val="32"/>
          <w:szCs w:val="32"/>
          <w:rtl/>
        </w:rPr>
        <w:t xml:space="preserve"> (ط6). دار النشر للجامعات.</w:t>
      </w:r>
    </w:p>
    <w:p w14:paraId="30774C6B" w14:textId="55854C27" w:rsidR="00710B4D" w:rsidRPr="00BF5EAB" w:rsidRDefault="00710B4D" w:rsidP="0074601C">
      <w:pPr>
        <w:spacing w:after="0" w:line="276" w:lineRule="auto"/>
        <w:ind w:left="776" w:hanging="776"/>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lang w:bidi="ar-EG"/>
        </w:rPr>
        <w:t xml:space="preserve">مؤسسة النقد العربي السعودي. (2026). </w:t>
      </w:r>
      <w:r w:rsidRPr="00BF5EAB">
        <w:rPr>
          <w:rFonts w:ascii="Sakkal Majalla" w:eastAsia="Times New Roman" w:hAnsi="Sakkal Majalla" w:cs="Sakkal Majalla"/>
          <w:i/>
          <w:iCs/>
          <w:color w:val="0D0D0D" w:themeColor="text1" w:themeTint="F2"/>
          <w:sz w:val="32"/>
          <w:szCs w:val="32"/>
          <w:rtl/>
          <w:lang w:bidi="ar-EG"/>
        </w:rPr>
        <w:t>البنوك</w:t>
      </w:r>
      <w:r w:rsidRPr="00BF5EAB">
        <w:rPr>
          <w:rFonts w:ascii="Sakkal Majalla" w:eastAsia="Times New Roman" w:hAnsi="Sakkal Majalla" w:cs="Sakkal Majalla"/>
          <w:color w:val="0D0D0D" w:themeColor="text1" w:themeTint="F2"/>
          <w:sz w:val="32"/>
          <w:szCs w:val="32"/>
          <w:rtl/>
          <w:lang w:bidi="ar-EG"/>
        </w:rPr>
        <w:t>. متاح على</w:t>
      </w:r>
      <w:r w:rsidR="005B20E7" w:rsidRPr="00BF5EAB">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rtl/>
          <w:lang w:bidi="ar-EG"/>
        </w:rPr>
        <w:t xml:space="preserve"> </w:t>
      </w:r>
      <w:hyperlink r:id="rId9" w:history="1">
        <w:r w:rsidRPr="00BF5EAB">
          <w:rPr>
            <w:rStyle w:val="Hyperlink"/>
            <w:rFonts w:ascii="Sakkal Majalla" w:eastAsia="Times New Roman" w:hAnsi="Sakkal Majalla" w:cs="Sakkal Majalla"/>
            <w:color w:val="0D0D0D" w:themeColor="text1" w:themeTint="F2"/>
            <w:sz w:val="32"/>
            <w:szCs w:val="32"/>
            <w:lang w:bidi="ar-EG"/>
          </w:rPr>
          <w:t>https</w:t>
        </w:r>
        <w:r w:rsidR="005B20E7" w:rsidRPr="00BF5EAB">
          <w:rPr>
            <w:rStyle w:val="Hyperlink"/>
            <w:rFonts w:ascii="Sakkal Majalla" w:eastAsia="Times New Roman" w:hAnsi="Sakkal Majalla" w:cs="Sakkal Majalla"/>
            <w:color w:val="0D0D0D" w:themeColor="text1" w:themeTint="F2"/>
            <w:sz w:val="32"/>
            <w:szCs w:val="32"/>
            <w:lang w:bidi="ar-EG"/>
          </w:rPr>
          <w:t>:</w:t>
        </w:r>
        <w:r w:rsidRPr="00BF5EAB">
          <w:rPr>
            <w:rStyle w:val="Hyperlink"/>
            <w:rFonts w:ascii="Sakkal Majalla" w:eastAsia="Times New Roman" w:hAnsi="Sakkal Majalla" w:cs="Sakkal Majalla"/>
            <w:color w:val="0D0D0D" w:themeColor="text1" w:themeTint="F2"/>
            <w:sz w:val="32"/>
            <w:szCs w:val="32"/>
            <w:lang w:bidi="ar-EG"/>
          </w:rPr>
          <w:t>//2u.pw/ttodbd</w:t>
        </w:r>
      </w:hyperlink>
    </w:p>
    <w:p w14:paraId="636C1205" w14:textId="4A7F6E85" w:rsidR="0074601C" w:rsidRPr="00BF5EAB" w:rsidRDefault="0074601C" w:rsidP="0074601C">
      <w:pPr>
        <w:tabs>
          <w:tab w:val="left" w:pos="2317"/>
        </w:tabs>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hint="cs"/>
          <w:b/>
          <w:bCs/>
          <w:color w:val="0D0D0D" w:themeColor="text1" w:themeTint="F2"/>
          <w:sz w:val="32"/>
          <w:szCs w:val="32"/>
          <w:rtl/>
        </w:rPr>
        <w:t xml:space="preserve">ثانياً: المراجع الأجنبية </w:t>
      </w:r>
    </w:p>
    <w:p w14:paraId="4A48E465" w14:textId="264B023C"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Dillman, D., Smyth, J. &amp; Christian, L. (2014). Internet, phone, mail, and mixed-mode surveys: The tailored design method. Indianapolis, </w:t>
      </w:r>
      <w:r w:rsidRPr="00BF5EAB">
        <w:rPr>
          <w:rFonts w:ascii="Times New Roman" w:eastAsia="Calibri" w:hAnsi="Times New Roman" w:cs="Times New Roman"/>
          <w:i/>
          <w:iCs/>
          <w:color w:val="0D0D0D" w:themeColor="text1" w:themeTint="F2"/>
          <w:sz w:val="28"/>
          <w:szCs w:val="28"/>
        </w:rPr>
        <w:t>Indiana</w:t>
      </w:r>
      <w:r w:rsidRPr="00BF5EAB">
        <w:rPr>
          <w:rFonts w:ascii="Times New Roman" w:eastAsia="Calibri" w:hAnsi="Times New Roman" w:cs="Times New Roman"/>
          <w:color w:val="0D0D0D" w:themeColor="text1" w:themeTint="F2"/>
          <w:sz w:val="28"/>
          <w:szCs w:val="28"/>
        </w:rPr>
        <w:t>, 17</w:t>
      </w:r>
      <w:r w:rsidR="0074601C" w:rsidRPr="00BF5EAB">
        <w:rPr>
          <w:rFonts w:ascii="Times New Roman" w:eastAsia="Calibri" w:hAnsi="Times New Roman" w:cs="Times New Roman"/>
          <w:color w:val="0D0D0D" w:themeColor="text1" w:themeTint="F2"/>
          <w:sz w:val="28"/>
          <w:szCs w:val="28"/>
        </w:rPr>
        <w:t>, 1- 10.</w:t>
      </w:r>
      <w:r w:rsidRPr="00BF5EAB">
        <w:rPr>
          <w:rFonts w:ascii="Times New Roman" w:eastAsia="Calibri" w:hAnsi="Times New Roman" w:cs="Times New Roman"/>
          <w:color w:val="0D0D0D" w:themeColor="text1" w:themeTint="F2"/>
          <w:sz w:val="28"/>
          <w:szCs w:val="28"/>
          <w:rtl/>
        </w:rPr>
        <w:t>‏</w:t>
      </w:r>
    </w:p>
    <w:p w14:paraId="696EC058" w14:textId="3747A1E3"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Fuller, C</w:t>
      </w:r>
      <w:r w:rsidR="0074601C" w:rsidRPr="00BF5EAB">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Simmering, M., </w:t>
      </w:r>
      <w:proofErr w:type="spellStart"/>
      <w:r w:rsidRPr="00BF5EAB">
        <w:rPr>
          <w:rFonts w:ascii="Times New Roman" w:eastAsia="Calibri" w:hAnsi="Times New Roman" w:cs="Times New Roman"/>
          <w:color w:val="0D0D0D" w:themeColor="text1" w:themeTint="F2"/>
          <w:sz w:val="28"/>
          <w:szCs w:val="28"/>
        </w:rPr>
        <w:t>Atinc</w:t>
      </w:r>
      <w:proofErr w:type="spellEnd"/>
      <w:r w:rsidRPr="00BF5EAB">
        <w:rPr>
          <w:rFonts w:ascii="Times New Roman" w:eastAsia="Calibri" w:hAnsi="Times New Roman" w:cs="Times New Roman"/>
          <w:color w:val="0D0D0D" w:themeColor="text1" w:themeTint="F2"/>
          <w:sz w:val="28"/>
          <w:szCs w:val="28"/>
        </w:rPr>
        <w:t xml:space="preserve">, G., </w:t>
      </w:r>
      <w:proofErr w:type="spellStart"/>
      <w:r w:rsidRPr="00BF5EAB">
        <w:rPr>
          <w:rFonts w:ascii="Times New Roman" w:eastAsia="Calibri" w:hAnsi="Times New Roman" w:cs="Times New Roman"/>
          <w:color w:val="0D0D0D" w:themeColor="text1" w:themeTint="F2"/>
          <w:sz w:val="28"/>
          <w:szCs w:val="28"/>
        </w:rPr>
        <w:t>Atinc</w:t>
      </w:r>
      <w:proofErr w:type="spellEnd"/>
      <w:r w:rsidRPr="00BF5EAB">
        <w:rPr>
          <w:rFonts w:ascii="Times New Roman" w:eastAsia="Calibri" w:hAnsi="Times New Roman" w:cs="Times New Roman"/>
          <w:color w:val="0D0D0D" w:themeColor="text1" w:themeTint="F2"/>
          <w:sz w:val="28"/>
          <w:szCs w:val="28"/>
        </w:rPr>
        <w:t xml:space="preserve">, Y. &amp; Babin, B. (2016). Common methods variance detection in business research. </w:t>
      </w:r>
      <w:r w:rsidRPr="00BF5EAB">
        <w:rPr>
          <w:rFonts w:ascii="Times New Roman" w:eastAsia="Calibri" w:hAnsi="Times New Roman" w:cs="Times New Roman"/>
          <w:i/>
          <w:iCs/>
          <w:color w:val="0D0D0D" w:themeColor="text1" w:themeTint="F2"/>
          <w:sz w:val="28"/>
          <w:szCs w:val="28"/>
        </w:rPr>
        <w:t>Journal of business research, 69</w:t>
      </w:r>
      <w:r w:rsidRPr="00BF5EAB">
        <w:rPr>
          <w:rFonts w:ascii="Times New Roman" w:eastAsia="Calibri" w:hAnsi="Times New Roman" w:cs="Times New Roman"/>
          <w:color w:val="0D0D0D" w:themeColor="text1" w:themeTint="F2"/>
          <w:sz w:val="28"/>
          <w:szCs w:val="28"/>
        </w:rPr>
        <w:t>(8), 3192-3198.</w:t>
      </w:r>
      <w:r w:rsidRPr="00BF5EAB">
        <w:rPr>
          <w:rFonts w:ascii="Times New Roman" w:eastAsia="Calibri" w:hAnsi="Times New Roman" w:cs="Times New Roman"/>
          <w:color w:val="0D0D0D" w:themeColor="text1" w:themeTint="F2"/>
          <w:sz w:val="28"/>
          <w:szCs w:val="28"/>
          <w:rtl/>
        </w:rPr>
        <w:t>‏</w:t>
      </w:r>
    </w:p>
    <w:p w14:paraId="58D5DF03" w14:textId="411363C5"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Hair Jr, J., Hult, G., Ringle, C., Sarstedt, M., Danks, N. &amp; Ray, S. (2021). </w:t>
      </w:r>
      <w:r w:rsidRPr="00BF5EAB">
        <w:rPr>
          <w:rFonts w:ascii="Times New Roman" w:eastAsia="Calibri" w:hAnsi="Times New Roman" w:cs="Times New Roman"/>
          <w:i/>
          <w:iCs/>
          <w:color w:val="0D0D0D" w:themeColor="text1" w:themeTint="F2"/>
          <w:sz w:val="28"/>
          <w:szCs w:val="28"/>
        </w:rPr>
        <w:t>An introduction to structural equation modeling. In Partial least squares structural equation modeling (PLS-SEM) using R: a workbook (pp. 1-29)</w:t>
      </w:r>
      <w:r w:rsidRPr="00BF5EAB">
        <w:rPr>
          <w:rFonts w:ascii="Times New Roman" w:eastAsia="Calibri" w:hAnsi="Times New Roman" w:cs="Times New Roman"/>
          <w:color w:val="0D0D0D" w:themeColor="text1" w:themeTint="F2"/>
          <w:sz w:val="28"/>
          <w:szCs w:val="28"/>
        </w:rPr>
        <w:t>. Cham: Springer International Publishing.</w:t>
      </w:r>
      <w:r w:rsidRPr="00BF5EAB">
        <w:rPr>
          <w:rFonts w:ascii="Times New Roman" w:eastAsia="Calibri" w:hAnsi="Times New Roman" w:cs="Times New Roman"/>
          <w:color w:val="0D0D0D" w:themeColor="text1" w:themeTint="F2"/>
          <w:sz w:val="28"/>
          <w:szCs w:val="28"/>
          <w:rtl/>
        </w:rPr>
        <w:t>‏</w:t>
      </w:r>
    </w:p>
    <w:p w14:paraId="1FD95746" w14:textId="09643477"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Hair, J., Hult, G.</w:t>
      </w:r>
      <w:r w:rsidR="0074601C" w:rsidRPr="00BF5EAB">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Ringle, C.</w:t>
      </w:r>
      <w:r w:rsidR="0074601C" w:rsidRPr="00BF5EAB">
        <w:rPr>
          <w:rFonts w:ascii="Times New Roman" w:eastAsia="Calibri" w:hAnsi="Times New Roman" w:cs="Times New Roman"/>
          <w:color w:val="0D0D0D" w:themeColor="text1" w:themeTint="F2"/>
          <w:sz w:val="28"/>
          <w:szCs w:val="28"/>
        </w:rPr>
        <w:t xml:space="preserve"> </w:t>
      </w:r>
      <w:r w:rsidRPr="00BF5EAB">
        <w:rPr>
          <w:rFonts w:ascii="Times New Roman" w:eastAsia="Calibri" w:hAnsi="Times New Roman" w:cs="Times New Roman"/>
          <w:color w:val="0D0D0D" w:themeColor="text1" w:themeTint="F2"/>
          <w:sz w:val="28"/>
          <w:szCs w:val="28"/>
        </w:rPr>
        <w:t xml:space="preserve">&amp; Sarstedt, M. (2022). </w:t>
      </w:r>
      <w:r w:rsidRPr="00BF5EAB">
        <w:rPr>
          <w:rFonts w:ascii="Times New Roman" w:eastAsia="Calibri" w:hAnsi="Times New Roman" w:cs="Times New Roman"/>
          <w:i/>
          <w:iCs/>
          <w:color w:val="0D0D0D" w:themeColor="text1" w:themeTint="F2"/>
          <w:sz w:val="28"/>
          <w:szCs w:val="28"/>
        </w:rPr>
        <w:t>A Primer on Partial Least Squares Structural Equation Modeling (PLS-SEM)</w:t>
      </w:r>
      <w:r w:rsidRPr="00BF5EAB">
        <w:rPr>
          <w:rFonts w:ascii="Times New Roman" w:eastAsia="Calibri" w:hAnsi="Times New Roman" w:cs="Times New Roman"/>
          <w:color w:val="0D0D0D" w:themeColor="text1" w:themeTint="F2"/>
          <w:sz w:val="28"/>
          <w:szCs w:val="28"/>
        </w:rPr>
        <w:t>. SAGE Publications</w:t>
      </w:r>
      <w:r w:rsidRPr="00BF5EAB">
        <w:rPr>
          <w:rFonts w:ascii="Times New Roman" w:eastAsia="Calibri" w:hAnsi="Times New Roman" w:cs="Times New Roman"/>
          <w:color w:val="0D0D0D" w:themeColor="text1" w:themeTint="F2"/>
          <w:sz w:val="28"/>
          <w:szCs w:val="28"/>
          <w:rtl/>
        </w:rPr>
        <w:t>.</w:t>
      </w:r>
    </w:p>
    <w:p w14:paraId="6FF5E275" w14:textId="5160B97A"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Hair, J., Page, M. &amp; </w:t>
      </w:r>
      <w:proofErr w:type="spellStart"/>
      <w:r w:rsidRPr="00BF5EAB">
        <w:rPr>
          <w:rFonts w:ascii="Times New Roman" w:eastAsia="Calibri" w:hAnsi="Times New Roman" w:cs="Times New Roman"/>
          <w:color w:val="0D0D0D" w:themeColor="text1" w:themeTint="F2"/>
          <w:sz w:val="28"/>
          <w:szCs w:val="28"/>
        </w:rPr>
        <w:t>Brunsveld</w:t>
      </w:r>
      <w:proofErr w:type="spellEnd"/>
      <w:r w:rsidRPr="00BF5EAB">
        <w:rPr>
          <w:rFonts w:ascii="Times New Roman" w:eastAsia="Calibri" w:hAnsi="Times New Roman" w:cs="Times New Roman"/>
          <w:color w:val="0D0D0D" w:themeColor="text1" w:themeTint="F2"/>
          <w:sz w:val="28"/>
          <w:szCs w:val="28"/>
        </w:rPr>
        <w:t xml:space="preserve">, N. (2021). </w:t>
      </w:r>
      <w:r w:rsidRPr="00BF5EAB">
        <w:rPr>
          <w:rFonts w:ascii="Times New Roman" w:eastAsia="Calibri" w:hAnsi="Times New Roman" w:cs="Times New Roman"/>
          <w:i/>
          <w:iCs/>
          <w:color w:val="0D0D0D" w:themeColor="text1" w:themeTint="F2"/>
          <w:sz w:val="28"/>
          <w:szCs w:val="28"/>
        </w:rPr>
        <w:t>Essentials of Business Research Methods</w:t>
      </w:r>
      <w:r w:rsidRPr="00BF5EAB">
        <w:rPr>
          <w:rFonts w:ascii="Times New Roman" w:eastAsia="Calibri" w:hAnsi="Times New Roman" w:cs="Times New Roman"/>
          <w:color w:val="0D0D0D" w:themeColor="text1" w:themeTint="F2"/>
          <w:sz w:val="28"/>
          <w:szCs w:val="28"/>
        </w:rPr>
        <w:t>. Routledge</w:t>
      </w:r>
      <w:r w:rsidRPr="00BF5EAB">
        <w:rPr>
          <w:rFonts w:ascii="Times New Roman" w:eastAsia="Calibri" w:hAnsi="Times New Roman" w:cs="Times New Roman"/>
          <w:color w:val="0D0D0D" w:themeColor="text1" w:themeTint="F2"/>
          <w:sz w:val="28"/>
          <w:szCs w:val="28"/>
          <w:rtl/>
        </w:rPr>
        <w:t>.</w:t>
      </w:r>
    </w:p>
    <w:p w14:paraId="46FD8E07" w14:textId="736EFAA4"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proofErr w:type="spellStart"/>
      <w:r w:rsidRPr="00BF5EAB">
        <w:rPr>
          <w:rFonts w:ascii="Times New Roman" w:eastAsia="Calibri" w:hAnsi="Times New Roman" w:cs="Times New Roman"/>
          <w:color w:val="0D0D0D" w:themeColor="text1" w:themeTint="F2"/>
          <w:sz w:val="28"/>
          <w:szCs w:val="28"/>
        </w:rPr>
        <w:t>Krejcie</w:t>
      </w:r>
      <w:proofErr w:type="spellEnd"/>
      <w:r w:rsidRPr="00BF5EAB">
        <w:rPr>
          <w:rFonts w:ascii="Times New Roman" w:eastAsia="Calibri" w:hAnsi="Times New Roman" w:cs="Times New Roman"/>
          <w:color w:val="0D0D0D" w:themeColor="text1" w:themeTint="F2"/>
          <w:sz w:val="28"/>
          <w:szCs w:val="28"/>
        </w:rPr>
        <w:t xml:space="preserve">, R. &amp; Morgan, D. W. (1970). Determining sample size for research activities. </w:t>
      </w:r>
      <w:r w:rsidRPr="00BF5EAB">
        <w:rPr>
          <w:rFonts w:ascii="Times New Roman" w:eastAsia="Calibri" w:hAnsi="Times New Roman" w:cs="Times New Roman"/>
          <w:i/>
          <w:iCs/>
          <w:color w:val="0D0D0D" w:themeColor="text1" w:themeTint="F2"/>
          <w:sz w:val="28"/>
          <w:szCs w:val="28"/>
        </w:rPr>
        <w:t>Educational and Psychological Measurement, 30</w:t>
      </w:r>
      <w:r w:rsidRPr="00BF5EAB">
        <w:rPr>
          <w:rFonts w:ascii="Times New Roman" w:eastAsia="Calibri" w:hAnsi="Times New Roman" w:cs="Times New Roman"/>
          <w:color w:val="0D0D0D" w:themeColor="text1" w:themeTint="F2"/>
          <w:sz w:val="28"/>
          <w:szCs w:val="28"/>
        </w:rPr>
        <w:t>(3), 607-610.</w:t>
      </w:r>
    </w:p>
    <w:p w14:paraId="083E6F33" w14:textId="19EB17A4"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Podsakoff, P., </w:t>
      </w:r>
      <w:proofErr w:type="spellStart"/>
      <w:r w:rsidRPr="00BF5EAB">
        <w:rPr>
          <w:rFonts w:ascii="Times New Roman" w:eastAsia="Calibri" w:hAnsi="Times New Roman" w:cs="Times New Roman"/>
          <w:color w:val="0D0D0D" w:themeColor="text1" w:themeTint="F2"/>
          <w:sz w:val="28"/>
          <w:szCs w:val="28"/>
        </w:rPr>
        <w:t>MacKenzie</w:t>
      </w:r>
      <w:proofErr w:type="spellEnd"/>
      <w:r w:rsidRPr="00BF5EAB">
        <w:rPr>
          <w:rFonts w:ascii="Times New Roman" w:eastAsia="Calibri" w:hAnsi="Times New Roman" w:cs="Times New Roman"/>
          <w:color w:val="0D0D0D" w:themeColor="text1" w:themeTint="F2"/>
          <w:sz w:val="28"/>
          <w:szCs w:val="28"/>
        </w:rPr>
        <w:t xml:space="preserve">, S. &amp; Podsakoff, N. (2019). </w:t>
      </w:r>
      <w:r w:rsidRPr="00BF5EAB">
        <w:rPr>
          <w:rFonts w:ascii="Times New Roman" w:eastAsia="Calibri" w:hAnsi="Times New Roman" w:cs="Times New Roman"/>
          <w:i/>
          <w:iCs/>
          <w:color w:val="0D0D0D" w:themeColor="text1" w:themeTint="F2"/>
          <w:sz w:val="28"/>
          <w:szCs w:val="28"/>
        </w:rPr>
        <w:t>Sources of method bias in social science research and recommendations on how to control it</w:t>
      </w:r>
      <w:r w:rsidRPr="00BF5EAB">
        <w:rPr>
          <w:rFonts w:ascii="Times New Roman" w:eastAsia="Calibri" w:hAnsi="Times New Roman" w:cs="Times New Roman"/>
          <w:color w:val="0D0D0D" w:themeColor="text1" w:themeTint="F2"/>
          <w:sz w:val="28"/>
          <w:szCs w:val="28"/>
        </w:rPr>
        <w:t>. Annual Review of Psychology.</w:t>
      </w:r>
    </w:p>
    <w:sectPr w:rsidR="0086124B" w:rsidRPr="00BF5EAB" w:rsidSect="003B07BF">
      <w:pgSz w:w="11906" w:h="16838"/>
      <w:pgMar w:top="1418" w:right="1985" w:bottom="1418"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6A7BC" w14:textId="77777777" w:rsidR="00FD27F8" w:rsidRDefault="00FD27F8" w:rsidP="0025115F">
      <w:pPr>
        <w:spacing w:after="0" w:line="240" w:lineRule="auto"/>
      </w:pPr>
      <w:r>
        <w:separator/>
      </w:r>
    </w:p>
  </w:endnote>
  <w:endnote w:type="continuationSeparator" w:id="0">
    <w:p w14:paraId="08ABD390" w14:textId="77777777" w:rsidR="00FD27F8" w:rsidRDefault="00FD27F8" w:rsidP="00251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3015036"/>
      <w:docPartObj>
        <w:docPartGallery w:val="Page Numbers (Bottom of Page)"/>
        <w:docPartUnique/>
      </w:docPartObj>
    </w:sdtPr>
    <w:sdtContent>
      <w:p w14:paraId="4F7EDC4B" w14:textId="77777777" w:rsidR="008C2C62" w:rsidRDefault="008C2C62" w:rsidP="000C2795">
        <w:pPr>
          <w:pStyle w:val="Footer"/>
          <w:jc w:val="center"/>
        </w:pPr>
        <w:r>
          <w:fldChar w:fldCharType="begin"/>
        </w:r>
        <w:r>
          <w:instrText>PAGE   \* MERGEFORMAT</w:instrText>
        </w:r>
        <w:r>
          <w:fldChar w:fldCharType="separate"/>
        </w:r>
        <w:r w:rsidR="00006CAE" w:rsidRPr="00006CAE">
          <w:rPr>
            <w:noProof/>
            <w:rtl/>
            <w:lang w:val="ar-SA"/>
          </w:rPr>
          <w:t>16</w:t>
        </w:r>
        <w:r>
          <w:fldChar w:fldCharType="end"/>
        </w:r>
      </w:p>
    </w:sdtContent>
  </w:sdt>
  <w:p w14:paraId="50D600E9" w14:textId="77777777" w:rsidR="008C2C62" w:rsidRDefault="008C2C62">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5A1F6" w14:textId="77777777" w:rsidR="00FD27F8" w:rsidRDefault="00FD27F8" w:rsidP="0025115F">
      <w:pPr>
        <w:spacing w:after="0" w:line="240" w:lineRule="auto"/>
      </w:pPr>
      <w:r>
        <w:separator/>
      </w:r>
    </w:p>
  </w:footnote>
  <w:footnote w:type="continuationSeparator" w:id="0">
    <w:p w14:paraId="27470CC0" w14:textId="77777777" w:rsidR="00FD27F8" w:rsidRDefault="00FD27F8" w:rsidP="00251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0131"/>
    <w:multiLevelType w:val="hybridMultilevel"/>
    <w:tmpl w:val="B3F8A3AC"/>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E5D6B"/>
    <w:multiLevelType w:val="hybridMultilevel"/>
    <w:tmpl w:val="18306C50"/>
    <w:lvl w:ilvl="0" w:tplc="DDA6CF6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F0FB0"/>
    <w:multiLevelType w:val="hybridMultilevel"/>
    <w:tmpl w:val="F6CCBB4A"/>
    <w:lvl w:ilvl="0" w:tplc="3EB063D0">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6F437F"/>
    <w:multiLevelType w:val="hybridMultilevel"/>
    <w:tmpl w:val="45C63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6C027B"/>
    <w:multiLevelType w:val="hybridMultilevel"/>
    <w:tmpl w:val="E3E67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3C453A"/>
    <w:multiLevelType w:val="hybridMultilevel"/>
    <w:tmpl w:val="746A85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07D239E"/>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7F5DE6"/>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5419F6"/>
    <w:multiLevelType w:val="hybridMultilevel"/>
    <w:tmpl w:val="665C59F0"/>
    <w:lvl w:ilvl="0" w:tplc="DDA6CF6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E256F4"/>
    <w:multiLevelType w:val="multilevel"/>
    <w:tmpl w:val="200E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CD5202"/>
    <w:multiLevelType w:val="hybridMultilevel"/>
    <w:tmpl w:val="9F364F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0C25A4"/>
    <w:multiLevelType w:val="hybridMultilevel"/>
    <w:tmpl w:val="336AB52E"/>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BE036A"/>
    <w:multiLevelType w:val="hybridMultilevel"/>
    <w:tmpl w:val="746A8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674A94"/>
    <w:multiLevelType w:val="hybridMultilevel"/>
    <w:tmpl w:val="9F364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D12FFC"/>
    <w:multiLevelType w:val="hybridMultilevel"/>
    <w:tmpl w:val="7DD273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47D2BBD"/>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417F51"/>
    <w:multiLevelType w:val="hybridMultilevel"/>
    <w:tmpl w:val="4C84CC8C"/>
    <w:lvl w:ilvl="0" w:tplc="0409000F">
      <w:start w:val="1"/>
      <w:numFmt w:val="decimal"/>
      <w:lvlText w:val="%1."/>
      <w:lvlJc w:val="left"/>
      <w:pPr>
        <w:ind w:left="711" w:hanging="360"/>
      </w:p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17" w15:restartNumberingAfterBreak="0">
    <w:nsid w:val="47FC51D7"/>
    <w:multiLevelType w:val="multilevel"/>
    <w:tmpl w:val="B5029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FB18F0"/>
    <w:multiLevelType w:val="hybridMultilevel"/>
    <w:tmpl w:val="DF847DDA"/>
    <w:lvl w:ilvl="0" w:tplc="3EB063D0">
      <w:start w:val="1"/>
      <w:numFmt w:val="bullet"/>
      <w:lvlText w:val="-"/>
      <w:lvlJc w:val="left"/>
      <w:pPr>
        <w:ind w:left="711" w:hanging="360"/>
      </w:pPr>
      <w:rPr>
        <w:rFonts w:ascii="Simplified Arabic" w:eastAsiaTheme="minorHAnsi" w:hAnsi="Simplified Arabic" w:cs="Simplified Arabic"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19" w15:restartNumberingAfterBreak="0">
    <w:nsid w:val="4A020044"/>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566D09"/>
    <w:multiLevelType w:val="hybridMultilevel"/>
    <w:tmpl w:val="336AB52E"/>
    <w:lvl w:ilvl="0" w:tplc="2190E99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470A38"/>
    <w:multiLevelType w:val="hybridMultilevel"/>
    <w:tmpl w:val="5ADAB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E73596"/>
    <w:multiLevelType w:val="hybridMultilevel"/>
    <w:tmpl w:val="EA2660C6"/>
    <w:lvl w:ilvl="0" w:tplc="0409000F">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23" w15:restartNumberingAfterBreak="0">
    <w:nsid w:val="508C4871"/>
    <w:multiLevelType w:val="hybridMultilevel"/>
    <w:tmpl w:val="9BF469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36E6C89"/>
    <w:multiLevelType w:val="hybridMultilevel"/>
    <w:tmpl w:val="43E41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2202B2"/>
    <w:multiLevelType w:val="multilevel"/>
    <w:tmpl w:val="27E87630"/>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A663A4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F73F99"/>
    <w:multiLevelType w:val="hybridMultilevel"/>
    <w:tmpl w:val="16F03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B176D1"/>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FE34F8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7F1CDB"/>
    <w:multiLevelType w:val="hybridMultilevel"/>
    <w:tmpl w:val="5590E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7C58F9"/>
    <w:multiLevelType w:val="hybridMultilevel"/>
    <w:tmpl w:val="02548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944515"/>
    <w:multiLevelType w:val="hybridMultilevel"/>
    <w:tmpl w:val="9BF469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BD588B"/>
    <w:multiLevelType w:val="hybridMultilevel"/>
    <w:tmpl w:val="7DD273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8E275C6"/>
    <w:multiLevelType w:val="hybridMultilevel"/>
    <w:tmpl w:val="F634DF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6F7A64"/>
    <w:multiLevelType w:val="hybridMultilevel"/>
    <w:tmpl w:val="C862D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8B191E"/>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C25E1D"/>
    <w:multiLevelType w:val="hybridMultilevel"/>
    <w:tmpl w:val="9DA661CC"/>
    <w:lvl w:ilvl="0" w:tplc="0409000F">
      <w:start w:val="1"/>
      <w:numFmt w:val="decimal"/>
      <w:lvlText w:val="%1."/>
      <w:lvlJc w:val="left"/>
      <w:pPr>
        <w:ind w:left="711" w:hanging="360"/>
      </w:p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38" w15:restartNumberingAfterBreak="0">
    <w:nsid w:val="71644CD1"/>
    <w:multiLevelType w:val="hybridMultilevel"/>
    <w:tmpl w:val="7FA08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BF4C9C"/>
    <w:multiLevelType w:val="hybridMultilevel"/>
    <w:tmpl w:val="7DD27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E437DD"/>
    <w:multiLevelType w:val="hybridMultilevel"/>
    <w:tmpl w:val="9BF46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8279104">
    <w:abstractNumId w:val="35"/>
  </w:num>
  <w:num w:numId="2" w16cid:durableId="671762790">
    <w:abstractNumId w:val="39"/>
  </w:num>
  <w:num w:numId="3" w16cid:durableId="1235893277">
    <w:abstractNumId w:val="34"/>
  </w:num>
  <w:num w:numId="4" w16cid:durableId="1547986058">
    <w:abstractNumId w:val="15"/>
  </w:num>
  <w:num w:numId="5" w16cid:durableId="639770393">
    <w:abstractNumId w:val="19"/>
  </w:num>
  <w:num w:numId="6" w16cid:durableId="973481352">
    <w:abstractNumId w:val="29"/>
  </w:num>
  <w:num w:numId="7" w16cid:durableId="589779185">
    <w:abstractNumId w:val="36"/>
  </w:num>
  <w:num w:numId="8" w16cid:durableId="705565950">
    <w:abstractNumId w:val="26"/>
  </w:num>
  <w:num w:numId="9" w16cid:durableId="46535905">
    <w:abstractNumId w:val="7"/>
  </w:num>
  <w:num w:numId="10" w16cid:durableId="1571960516">
    <w:abstractNumId w:val="0"/>
  </w:num>
  <w:num w:numId="11" w16cid:durableId="229075726">
    <w:abstractNumId w:val="38"/>
  </w:num>
  <w:num w:numId="12" w16cid:durableId="1726097198">
    <w:abstractNumId w:val="3"/>
  </w:num>
  <w:num w:numId="13" w16cid:durableId="2074234622">
    <w:abstractNumId w:val="25"/>
  </w:num>
  <w:num w:numId="14" w16cid:durableId="437876143">
    <w:abstractNumId w:val="20"/>
  </w:num>
  <w:num w:numId="15" w16cid:durableId="46727834">
    <w:abstractNumId w:val="2"/>
  </w:num>
  <w:num w:numId="16" w16cid:durableId="191848585">
    <w:abstractNumId w:val="6"/>
  </w:num>
  <w:num w:numId="17" w16cid:durableId="1867212330">
    <w:abstractNumId w:val="28"/>
  </w:num>
  <w:num w:numId="18" w16cid:durableId="1346980725">
    <w:abstractNumId w:val="40"/>
  </w:num>
  <w:num w:numId="19" w16cid:durableId="197160826">
    <w:abstractNumId w:val="33"/>
  </w:num>
  <w:num w:numId="20" w16cid:durableId="474176065">
    <w:abstractNumId w:val="14"/>
  </w:num>
  <w:num w:numId="21" w16cid:durableId="1593975645">
    <w:abstractNumId w:val="22"/>
  </w:num>
  <w:num w:numId="22" w16cid:durableId="263458157">
    <w:abstractNumId w:val="18"/>
  </w:num>
  <w:num w:numId="23" w16cid:durableId="1790003183">
    <w:abstractNumId w:val="37"/>
  </w:num>
  <w:num w:numId="24" w16cid:durableId="269245117">
    <w:abstractNumId w:val="16"/>
  </w:num>
  <w:num w:numId="25" w16cid:durableId="84306958">
    <w:abstractNumId w:val="13"/>
  </w:num>
  <w:num w:numId="26" w16cid:durableId="1603369957">
    <w:abstractNumId w:val="10"/>
  </w:num>
  <w:num w:numId="27" w16cid:durableId="1200122094">
    <w:abstractNumId w:val="21"/>
  </w:num>
  <w:num w:numId="28" w16cid:durableId="25180789">
    <w:abstractNumId w:val="32"/>
  </w:num>
  <w:num w:numId="29" w16cid:durableId="1372995735">
    <w:abstractNumId w:val="23"/>
  </w:num>
  <w:num w:numId="30" w16cid:durableId="1711148684">
    <w:abstractNumId w:val="24"/>
  </w:num>
  <w:num w:numId="31" w16cid:durableId="1102333648">
    <w:abstractNumId w:val="27"/>
  </w:num>
  <w:num w:numId="32" w16cid:durableId="804158982">
    <w:abstractNumId w:val="4"/>
  </w:num>
  <w:num w:numId="33" w16cid:durableId="1606687284">
    <w:abstractNumId w:val="30"/>
  </w:num>
  <w:num w:numId="34" w16cid:durableId="1175682088">
    <w:abstractNumId w:val="11"/>
  </w:num>
  <w:num w:numId="35" w16cid:durableId="1230769530">
    <w:abstractNumId w:val="12"/>
  </w:num>
  <w:num w:numId="36" w16cid:durableId="1781870913">
    <w:abstractNumId w:val="17"/>
  </w:num>
  <w:num w:numId="37" w16cid:durableId="883248994">
    <w:abstractNumId w:val="9"/>
  </w:num>
  <w:num w:numId="38" w16cid:durableId="859003075">
    <w:abstractNumId w:val="31"/>
  </w:num>
  <w:num w:numId="39" w16cid:durableId="904993563">
    <w:abstractNumId w:val="8"/>
  </w:num>
  <w:num w:numId="40" w16cid:durableId="787161800">
    <w:abstractNumId w:val="1"/>
  </w:num>
  <w:num w:numId="41" w16cid:durableId="2033990318">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5B3"/>
    <w:rsid w:val="000049B1"/>
    <w:rsid w:val="00006CAE"/>
    <w:rsid w:val="00007687"/>
    <w:rsid w:val="00010FE6"/>
    <w:rsid w:val="000261A6"/>
    <w:rsid w:val="0003271B"/>
    <w:rsid w:val="00035AF4"/>
    <w:rsid w:val="000379CB"/>
    <w:rsid w:val="00040884"/>
    <w:rsid w:val="00041D9B"/>
    <w:rsid w:val="00044F35"/>
    <w:rsid w:val="00044FD6"/>
    <w:rsid w:val="00056CFC"/>
    <w:rsid w:val="00062349"/>
    <w:rsid w:val="000676DC"/>
    <w:rsid w:val="00070E8E"/>
    <w:rsid w:val="000759AB"/>
    <w:rsid w:val="00076897"/>
    <w:rsid w:val="00082494"/>
    <w:rsid w:val="00090D33"/>
    <w:rsid w:val="00091245"/>
    <w:rsid w:val="00091F0D"/>
    <w:rsid w:val="00092470"/>
    <w:rsid w:val="000937EC"/>
    <w:rsid w:val="00093FBD"/>
    <w:rsid w:val="000A0C87"/>
    <w:rsid w:val="000A3177"/>
    <w:rsid w:val="000B4A01"/>
    <w:rsid w:val="000B557F"/>
    <w:rsid w:val="000C2795"/>
    <w:rsid w:val="000D0105"/>
    <w:rsid w:val="000E1989"/>
    <w:rsid w:val="000E6B8D"/>
    <w:rsid w:val="000F1AF8"/>
    <w:rsid w:val="000F6EBD"/>
    <w:rsid w:val="00101162"/>
    <w:rsid w:val="001054F1"/>
    <w:rsid w:val="00107018"/>
    <w:rsid w:val="001071BA"/>
    <w:rsid w:val="0011107E"/>
    <w:rsid w:val="001142A8"/>
    <w:rsid w:val="0011448D"/>
    <w:rsid w:val="00114B6C"/>
    <w:rsid w:val="00116BE2"/>
    <w:rsid w:val="0011746D"/>
    <w:rsid w:val="0012308D"/>
    <w:rsid w:val="00125C2E"/>
    <w:rsid w:val="00126FC5"/>
    <w:rsid w:val="00131307"/>
    <w:rsid w:val="001315A2"/>
    <w:rsid w:val="001317FD"/>
    <w:rsid w:val="001338CB"/>
    <w:rsid w:val="00135626"/>
    <w:rsid w:val="00144E4C"/>
    <w:rsid w:val="001477DE"/>
    <w:rsid w:val="00152371"/>
    <w:rsid w:val="00152C21"/>
    <w:rsid w:val="001635E0"/>
    <w:rsid w:val="001641F6"/>
    <w:rsid w:val="00172F5B"/>
    <w:rsid w:val="00173763"/>
    <w:rsid w:val="00176D0D"/>
    <w:rsid w:val="0018474C"/>
    <w:rsid w:val="00192094"/>
    <w:rsid w:val="0019391D"/>
    <w:rsid w:val="001A0D15"/>
    <w:rsid w:val="001A0FF8"/>
    <w:rsid w:val="001A18B9"/>
    <w:rsid w:val="001A4142"/>
    <w:rsid w:val="001A5A1A"/>
    <w:rsid w:val="001A5BE4"/>
    <w:rsid w:val="001A7603"/>
    <w:rsid w:val="001A7DAA"/>
    <w:rsid w:val="001B048A"/>
    <w:rsid w:val="001B6DA8"/>
    <w:rsid w:val="001C084A"/>
    <w:rsid w:val="001C1DCD"/>
    <w:rsid w:val="001C2A44"/>
    <w:rsid w:val="001D12BE"/>
    <w:rsid w:val="001D1513"/>
    <w:rsid w:val="001D318A"/>
    <w:rsid w:val="001D6F80"/>
    <w:rsid w:val="001F0B15"/>
    <w:rsid w:val="001F267C"/>
    <w:rsid w:val="001F64EE"/>
    <w:rsid w:val="001F695F"/>
    <w:rsid w:val="002020FF"/>
    <w:rsid w:val="00206C89"/>
    <w:rsid w:val="00215A13"/>
    <w:rsid w:val="00216529"/>
    <w:rsid w:val="0021778F"/>
    <w:rsid w:val="002201E8"/>
    <w:rsid w:val="00222D29"/>
    <w:rsid w:val="00223E61"/>
    <w:rsid w:val="002241A5"/>
    <w:rsid w:val="00236EE7"/>
    <w:rsid w:val="002370C0"/>
    <w:rsid w:val="002370CF"/>
    <w:rsid w:val="00244706"/>
    <w:rsid w:val="0025115F"/>
    <w:rsid w:val="002533D6"/>
    <w:rsid w:val="00254AF7"/>
    <w:rsid w:val="00260FD7"/>
    <w:rsid w:val="002623DF"/>
    <w:rsid w:val="00267A8D"/>
    <w:rsid w:val="00270B8A"/>
    <w:rsid w:val="00276020"/>
    <w:rsid w:val="00276ED5"/>
    <w:rsid w:val="00283C33"/>
    <w:rsid w:val="00286504"/>
    <w:rsid w:val="00287ABB"/>
    <w:rsid w:val="0029013D"/>
    <w:rsid w:val="00294CB7"/>
    <w:rsid w:val="00297A84"/>
    <w:rsid w:val="002B0523"/>
    <w:rsid w:val="002B748E"/>
    <w:rsid w:val="002C1E4A"/>
    <w:rsid w:val="002C58F6"/>
    <w:rsid w:val="002C71EF"/>
    <w:rsid w:val="002C7A64"/>
    <w:rsid w:val="002D0567"/>
    <w:rsid w:val="002D3D16"/>
    <w:rsid w:val="002D6143"/>
    <w:rsid w:val="002E4DBF"/>
    <w:rsid w:val="002E796E"/>
    <w:rsid w:val="002F060A"/>
    <w:rsid w:val="0030283B"/>
    <w:rsid w:val="00307523"/>
    <w:rsid w:val="00312AA4"/>
    <w:rsid w:val="00312E5A"/>
    <w:rsid w:val="00325926"/>
    <w:rsid w:val="00327408"/>
    <w:rsid w:val="003279BB"/>
    <w:rsid w:val="00332F62"/>
    <w:rsid w:val="00337287"/>
    <w:rsid w:val="00337DA2"/>
    <w:rsid w:val="003402E9"/>
    <w:rsid w:val="0034455D"/>
    <w:rsid w:val="003445D3"/>
    <w:rsid w:val="00346316"/>
    <w:rsid w:val="00347474"/>
    <w:rsid w:val="003536D8"/>
    <w:rsid w:val="00356033"/>
    <w:rsid w:val="003607C4"/>
    <w:rsid w:val="00361910"/>
    <w:rsid w:val="003746E3"/>
    <w:rsid w:val="00381555"/>
    <w:rsid w:val="00384ACC"/>
    <w:rsid w:val="00390E38"/>
    <w:rsid w:val="0039236A"/>
    <w:rsid w:val="00394074"/>
    <w:rsid w:val="003A20FA"/>
    <w:rsid w:val="003A356F"/>
    <w:rsid w:val="003B07BF"/>
    <w:rsid w:val="003B38D7"/>
    <w:rsid w:val="003B63B1"/>
    <w:rsid w:val="003B7BAA"/>
    <w:rsid w:val="003C62A5"/>
    <w:rsid w:val="003C74EE"/>
    <w:rsid w:val="003D0ADF"/>
    <w:rsid w:val="003D1F3F"/>
    <w:rsid w:val="003D2592"/>
    <w:rsid w:val="003D30E2"/>
    <w:rsid w:val="003D5515"/>
    <w:rsid w:val="003D683F"/>
    <w:rsid w:val="003D7FAC"/>
    <w:rsid w:val="003E04EF"/>
    <w:rsid w:val="003E2199"/>
    <w:rsid w:val="003E3D03"/>
    <w:rsid w:val="003F1D9A"/>
    <w:rsid w:val="003F3433"/>
    <w:rsid w:val="00401E60"/>
    <w:rsid w:val="00402A94"/>
    <w:rsid w:val="004069AC"/>
    <w:rsid w:val="00406A21"/>
    <w:rsid w:val="00407D77"/>
    <w:rsid w:val="00414B8C"/>
    <w:rsid w:val="0041540C"/>
    <w:rsid w:val="00415EC4"/>
    <w:rsid w:val="00415EF3"/>
    <w:rsid w:val="00434AE0"/>
    <w:rsid w:val="00441938"/>
    <w:rsid w:val="00444792"/>
    <w:rsid w:val="00444E67"/>
    <w:rsid w:val="00445385"/>
    <w:rsid w:val="00446B0A"/>
    <w:rsid w:val="0045068A"/>
    <w:rsid w:val="00454368"/>
    <w:rsid w:val="004567F3"/>
    <w:rsid w:val="00464790"/>
    <w:rsid w:val="00467D0D"/>
    <w:rsid w:val="00471D21"/>
    <w:rsid w:val="00476C67"/>
    <w:rsid w:val="00481249"/>
    <w:rsid w:val="0048163A"/>
    <w:rsid w:val="00484CF9"/>
    <w:rsid w:val="00491A7D"/>
    <w:rsid w:val="0049541E"/>
    <w:rsid w:val="004A1DA9"/>
    <w:rsid w:val="004B459E"/>
    <w:rsid w:val="004B5C07"/>
    <w:rsid w:val="004C1254"/>
    <w:rsid w:val="004C1A71"/>
    <w:rsid w:val="004C6517"/>
    <w:rsid w:val="004C7810"/>
    <w:rsid w:val="004D5E52"/>
    <w:rsid w:val="004E267E"/>
    <w:rsid w:val="004E7E7D"/>
    <w:rsid w:val="00503322"/>
    <w:rsid w:val="0050431C"/>
    <w:rsid w:val="005049FA"/>
    <w:rsid w:val="00507AAB"/>
    <w:rsid w:val="00507AE1"/>
    <w:rsid w:val="00511DD8"/>
    <w:rsid w:val="005125E5"/>
    <w:rsid w:val="0052160D"/>
    <w:rsid w:val="00521DE5"/>
    <w:rsid w:val="00523D8A"/>
    <w:rsid w:val="00526BE6"/>
    <w:rsid w:val="00531102"/>
    <w:rsid w:val="005417DF"/>
    <w:rsid w:val="005501C8"/>
    <w:rsid w:val="005540B4"/>
    <w:rsid w:val="00555F05"/>
    <w:rsid w:val="00556260"/>
    <w:rsid w:val="0056196F"/>
    <w:rsid w:val="00561C2E"/>
    <w:rsid w:val="00562C96"/>
    <w:rsid w:val="005740D0"/>
    <w:rsid w:val="005753CA"/>
    <w:rsid w:val="00577644"/>
    <w:rsid w:val="00577BC8"/>
    <w:rsid w:val="00582CDC"/>
    <w:rsid w:val="00584ED3"/>
    <w:rsid w:val="00595F6B"/>
    <w:rsid w:val="005A2749"/>
    <w:rsid w:val="005A28BF"/>
    <w:rsid w:val="005A7E4B"/>
    <w:rsid w:val="005B20E7"/>
    <w:rsid w:val="005B5ED2"/>
    <w:rsid w:val="005B714D"/>
    <w:rsid w:val="005C0F94"/>
    <w:rsid w:val="005C27B9"/>
    <w:rsid w:val="005C70FE"/>
    <w:rsid w:val="005E1DBA"/>
    <w:rsid w:val="005E1FCE"/>
    <w:rsid w:val="005F0094"/>
    <w:rsid w:val="005F0668"/>
    <w:rsid w:val="005F2954"/>
    <w:rsid w:val="005F61B6"/>
    <w:rsid w:val="006000D8"/>
    <w:rsid w:val="00605064"/>
    <w:rsid w:val="0062131A"/>
    <w:rsid w:val="0062536D"/>
    <w:rsid w:val="00630316"/>
    <w:rsid w:val="0063204C"/>
    <w:rsid w:val="00636BB8"/>
    <w:rsid w:val="00652F4D"/>
    <w:rsid w:val="0066091E"/>
    <w:rsid w:val="0066198C"/>
    <w:rsid w:val="00662266"/>
    <w:rsid w:val="00666E30"/>
    <w:rsid w:val="006764E7"/>
    <w:rsid w:val="00677F8A"/>
    <w:rsid w:val="00682187"/>
    <w:rsid w:val="00694E44"/>
    <w:rsid w:val="006B5447"/>
    <w:rsid w:val="006B5BBD"/>
    <w:rsid w:val="006B60EB"/>
    <w:rsid w:val="006C08C4"/>
    <w:rsid w:val="006C1155"/>
    <w:rsid w:val="006C5F03"/>
    <w:rsid w:val="006C7840"/>
    <w:rsid w:val="006E2861"/>
    <w:rsid w:val="006E45E9"/>
    <w:rsid w:val="006F01E3"/>
    <w:rsid w:val="006F0DFB"/>
    <w:rsid w:val="006F202A"/>
    <w:rsid w:val="00702438"/>
    <w:rsid w:val="00703155"/>
    <w:rsid w:val="00707DB1"/>
    <w:rsid w:val="00710B4D"/>
    <w:rsid w:val="00712B3D"/>
    <w:rsid w:val="007155E3"/>
    <w:rsid w:val="0073040E"/>
    <w:rsid w:val="0074335A"/>
    <w:rsid w:val="0074601C"/>
    <w:rsid w:val="00756CCC"/>
    <w:rsid w:val="007570DA"/>
    <w:rsid w:val="007615AF"/>
    <w:rsid w:val="00761C80"/>
    <w:rsid w:val="00763921"/>
    <w:rsid w:val="0076498B"/>
    <w:rsid w:val="00766795"/>
    <w:rsid w:val="00770502"/>
    <w:rsid w:val="00773799"/>
    <w:rsid w:val="00776F0C"/>
    <w:rsid w:val="0077740F"/>
    <w:rsid w:val="0078587C"/>
    <w:rsid w:val="00786417"/>
    <w:rsid w:val="007919BA"/>
    <w:rsid w:val="007922E2"/>
    <w:rsid w:val="00792E58"/>
    <w:rsid w:val="007A4E87"/>
    <w:rsid w:val="007A5260"/>
    <w:rsid w:val="007A55A1"/>
    <w:rsid w:val="007A5622"/>
    <w:rsid w:val="007A6532"/>
    <w:rsid w:val="007B01A8"/>
    <w:rsid w:val="007B3AFB"/>
    <w:rsid w:val="007B505A"/>
    <w:rsid w:val="007C31F5"/>
    <w:rsid w:val="007C4B57"/>
    <w:rsid w:val="007D48E6"/>
    <w:rsid w:val="007E4F79"/>
    <w:rsid w:val="007E50BC"/>
    <w:rsid w:val="007F036E"/>
    <w:rsid w:val="007F7E33"/>
    <w:rsid w:val="0080387B"/>
    <w:rsid w:val="008068A7"/>
    <w:rsid w:val="00806C6D"/>
    <w:rsid w:val="00812E79"/>
    <w:rsid w:val="0081354E"/>
    <w:rsid w:val="008143EA"/>
    <w:rsid w:val="008204C1"/>
    <w:rsid w:val="00833707"/>
    <w:rsid w:val="00834AEA"/>
    <w:rsid w:val="0084045D"/>
    <w:rsid w:val="00846B93"/>
    <w:rsid w:val="00851C98"/>
    <w:rsid w:val="008556BA"/>
    <w:rsid w:val="00857ADE"/>
    <w:rsid w:val="0086124B"/>
    <w:rsid w:val="00861345"/>
    <w:rsid w:val="008620BC"/>
    <w:rsid w:val="00864B71"/>
    <w:rsid w:val="00875836"/>
    <w:rsid w:val="008803E3"/>
    <w:rsid w:val="008A4936"/>
    <w:rsid w:val="008A6916"/>
    <w:rsid w:val="008A74D7"/>
    <w:rsid w:val="008B653B"/>
    <w:rsid w:val="008C284B"/>
    <w:rsid w:val="008C2C62"/>
    <w:rsid w:val="008C4F14"/>
    <w:rsid w:val="008D18A3"/>
    <w:rsid w:val="008D3743"/>
    <w:rsid w:val="008D5CF6"/>
    <w:rsid w:val="008D62C1"/>
    <w:rsid w:val="008E268F"/>
    <w:rsid w:val="008E3379"/>
    <w:rsid w:val="008E355D"/>
    <w:rsid w:val="008F0001"/>
    <w:rsid w:val="008F4F99"/>
    <w:rsid w:val="008F6426"/>
    <w:rsid w:val="008F7925"/>
    <w:rsid w:val="009030F3"/>
    <w:rsid w:val="0090487D"/>
    <w:rsid w:val="0091031D"/>
    <w:rsid w:val="009123D9"/>
    <w:rsid w:val="00914BD3"/>
    <w:rsid w:val="00915077"/>
    <w:rsid w:val="009158AA"/>
    <w:rsid w:val="00927060"/>
    <w:rsid w:val="00935BC9"/>
    <w:rsid w:val="0093700B"/>
    <w:rsid w:val="009426A2"/>
    <w:rsid w:val="009434A9"/>
    <w:rsid w:val="00951EA2"/>
    <w:rsid w:val="00952454"/>
    <w:rsid w:val="00952BA0"/>
    <w:rsid w:val="009537DB"/>
    <w:rsid w:val="00955051"/>
    <w:rsid w:val="00956826"/>
    <w:rsid w:val="00957FBB"/>
    <w:rsid w:val="009605BD"/>
    <w:rsid w:val="00965815"/>
    <w:rsid w:val="0097383F"/>
    <w:rsid w:val="00981FA9"/>
    <w:rsid w:val="00982623"/>
    <w:rsid w:val="00984E4B"/>
    <w:rsid w:val="009862A6"/>
    <w:rsid w:val="00986ED0"/>
    <w:rsid w:val="0098738E"/>
    <w:rsid w:val="00987C2F"/>
    <w:rsid w:val="00993BC2"/>
    <w:rsid w:val="00995EC7"/>
    <w:rsid w:val="009968E2"/>
    <w:rsid w:val="009A0923"/>
    <w:rsid w:val="009A0934"/>
    <w:rsid w:val="009A46FB"/>
    <w:rsid w:val="009A6546"/>
    <w:rsid w:val="009B056D"/>
    <w:rsid w:val="009C298B"/>
    <w:rsid w:val="009C2B91"/>
    <w:rsid w:val="009C527E"/>
    <w:rsid w:val="009C6524"/>
    <w:rsid w:val="009C6A96"/>
    <w:rsid w:val="009D57BB"/>
    <w:rsid w:val="009E0B1D"/>
    <w:rsid w:val="009E2839"/>
    <w:rsid w:val="009E57EF"/>
    <w:rsid w:val="00A01BB6"/>
    <w:rsid w:val="00A0213D"/>
    <w:rsid w:val="00A040CA"/>
    <w:rsid w:val="00A04E31"/>
    <w:rsid w:val="00A05D34"/>
    <w:rsid w:val="00A065D4"/>
    <w:rsid w:val="00A10359"/>
    <w:rsid w:val="00A13D48"/>
    <w:rsid w:val="00A234AC"/>
    <w:rsid w:val="00A26151"/>
    <w:rsid w:val="00A31D16"/>
    <w:rsid w:val="00A367FC"/>
    <w:rsid w:val="00A44B0E"/>
    <w:rsid w:val="00A47330"/>
    <w:rsid w:val="00A5677D"/>
    <w:rsid w:val="00A641F3"/>
    <w:rsid w:val="00A65368"/>
    <w:rsid w:val="00A65AE3"/>
    <w:rsid w:val="00A67A33"/>
    <w:rsid w:val="00A72020"/>
    <w:rsid w:val="00A75697"/>
    <w:rsid w:val="00A80DE0"/>
    <w:rsid w:val="00A839C4"/>
    <w:rsid w:val="00A87E2A"/>
    <w:rsid w:val="00AA0A13"/>
    <w:rsid w:val="00AA12D0"/>
    <w:rsid w:val="00AA49A4"/>
    <w:rsid w:val="00AB1BA2"/>
    <w:rsid w:val="00AB73E0"/>
    <w:rsid w:val="00AC202C"/>
    <w:rsid w:val="00AC3DCC"/>
    <w:rsid w:val="00AC6825"/>
    <w:rsid w:val="00AE656F"/>
    <w:rsid w:val="00AF29F9"/>
    <w:rsid w:val="00AF6139"/>
    <w:rsid w:val="00B01150"/>
    <w:rsid w:val="00B01E28"/>
    <w:rsid w:val="00B03F04"/>
    <w:rsid w:val="00B04BA5"/>
    <w:rsid w:val="00B05E36"/>
    <w:rsid w:val="00B07A62"/>
    <w:rsid w:val="00B10357"/>
    <w:rsid w:val="00B15B01"/>
    <w:rsid w:val="00B17FF8"/>
    <w:rsid w:val="00B222D4"/>
    <w:rsid w:val="00B25542"/>
    <w:rsid w:val="00B268FA"/>
    <w:rsid w:val="00B32B75"/>
    <w:rsid w:val="00B41E21"/>
    <w:rsid w:val="00B43729"/>
    <w:rsid w:val="00B508CE"/>
    <w:rsid w:val="00B55D8F"/>
    <w:rsid w:val="00B6182E"/>
    <w:rsid w:val="00B65608"/>
    <w:rsid w:val="00B6700B"/>
    <w:rsid w:val="00B751C6"/>
    <w:rsid w:val="00B93E68"/>
    <w:rsid w:val="00BA018D"/>
    <w:rsid w:val="00BA24C1"/>
    <w:rsid w:val="00BB0575"/>
    <w:rsid w:val="00BB4953"/>
    <w:rsid w:val="00BB58E9"/>
    <w:rsid w:val="00BB6D01"/>
    <w:rsid w:val="00BB6EC9"/>
    <w:rsid w:val="00BC34BF"/>
    <w:rsid w:val="00BC4975"/>
    <w:rsid w:val="00BD0708"/>
    <w:rsid w:val="00BD3783"/>
    <w:rsid w:val="00BD5439"/>
    <w:rsid w:val="00BD76F8"/>
    <w:rsid w:val="00BE026F"/>
    <w:rsid w:val="00BE10CC"/>
    <w:rsid w:val="00BE3FCC"/>
    <w:rsid w:val="00BE6013"/>
    <w:rsid w:val="00BF008C"/>
    <w:rsid w:val="00BF1A64"/>
    <w:rsid w:val="00BF5EAB"/>
    <w:rsid w:val="00BF5F3D"/>
    <w:rsid w:val="00C05039"/>
    <w:rsid w:val="00C111F9"/>
    <w:rsid w:val="00C16D3D"/>
    <w:rsid w:val="00C249AD"/>
    <w:rsid w:val="00C2663C"/>
    <w:rsid w:val="00C26FBF"/>
    <w:rsid w:val="00C376BE"/>
    <w:rsid w:val="00C37859"/>
    <w:rsid w:val="00C47F36"/>
    <w:rsid w:val="00C526D6"/>
    <w:rsid w:val="00C56FA9"/>
    <w:rsid w:val="00C63B15"/>
    <w:rsid w:val="00C67630"/>
    <w:rsid w:val="00C80284"/>
    <w:rsid w:val="00C94707"/>
    <w:rsid w:val="00C94E35"/>
    <w:rsid w:val="00CC4D72"/>
    <w:rsid w:val="00CC7B11"/>
    <w:rsid w:val="00CD19B4"/>
    <w:rsid w:val="00CE0333"/>
    <w:rsid w:val="00CE2D34"/>
    <w:rsid w:val="00CE5082"/>
    <w:rsid w:val="00CF27E6"/>
    <w:rsid w:val="00D00195"/>
    <w:rsid w:val="00D00645"/>
    <w:rsid w:val="00D0597F"/>
    <w:rsid w:val="00D10F24"/>
    <w:rsid w:val="00D1260D"/>
    <w:rsid w:val="00D136F1"/>
    <w:rsid w:val="00D30416"/>
    <w:rsid w:val="00D3385C"/>
    <w:rsid w:val="00D34F20"/>
    <w:rsid w:val="00D367B2"/>
    <w:rsid w:val="00D37413"/>
    <w:rsid w:val="00D46993"/>
    <w:rsid w:val="00D46A0B"/>
    <w:rsid w:val="00D50CCE"/>
    <w:rsid w:val="00D52A3B"/>
    <w:rsid w:val="00D5567A"/>
    <w:rsid w:val="00D577B2"/>
    <w:rsid w:val="00D62C19"/>
    <w:rsid w:val="00D70AAE"/>
    <w:rsid w:val="00D733BC"/>
    <w:rsid w:val="00D775B3"/>
    <w:rsid w:val="00D8140D"/>
    <w:rsid w:val="00DA108C"/>
    <w:rsid w:val="00DA1AC3"/>
    <w:rsid w:val="00DA3087"/>
    <w:rsid w:val="00DA4631"/>
    <w:rsid w:val="00DA46EA"/>
    <w:rsid w:val="00DB07DE"/>
    <w:rsid w:val="00DB19B4"/>
    <w:rsid w:val="00DB2A37"/>
    <w:rsid w:val="00DB5410"/>
    <w:rsid w:val="00DB7F9C"/>
    <w:rsid w:val="00DC08B8"/>
    <w:rsid w:val="00DC3364"/>
    <w:rsid w:val="00DC34F7"/>
    <w:rsid w:val="00DC4649"/>
    <w:rsid w:val="00DC78B4"/>
    <w:rsid w:val="00DD3DA2"/>
    <w:rsid w:val="00DD59D1"/>
    <w:rsid w:val="00DD61E4"/>
    <w:rsid w:val="00DE25F6"/>
    <w:rsid w:val="00DE4A69"/>
    <w:rsid w:val="00DE542C"/>
    <w:rsid w:val="00DE6E91"/>
    <w:rsid w:val="00DE706A"/>
    <w:rsid w:val="00DF0E86"/>
    <w:rsid w:val="00DF64C4"/>
    <w:rsid w:val="00DF66D1"/>
    <w:rsid w:val="00DF7A97"/>
    <w:rsid w:val="00E2158B"/>
    <w:rsid w:val="00E2565F"/>
    <w:rsid w:val="00E31CB5"/>
    <w:rsid w:val="00E31CBA"/>
    <w:rsid w:val="00E3284C"/>
    <w:rsid w:val="00E40620"/>
    <w:rsid w:val="00E42904"/>
    <w:rsid w:val="00E539C4"/>
    <w:rsid w:val="00E65890"/>
    <w:rsid w:val="00E73C30"/>
    <w:rsid w:val="00E87D4B"/>
    <w:rsid w:val="00E9056C"/>
    <w:rsid w:val="00E94D1B"/>
    <w:rsid w:val="00E95A0B"/>
    <w:rsid w:val="00EA017E"/>
    <w:rsid w:val="00EA3115"/>
    <w:rsid w:val="00EA3FB2"/>
    <w:rsid w:val="00EA42D6"/>
    <w:rsid w:val="00EA58D0"/>
    <w:rsid w:val="00EA6C74"/>
    <w:rsid w:val="00EB68ED"/>
    <w:rsid w:val="00EC13C4"/>
    <w:rsid w:val="00EC3442"/>
    <w:rsid w:val="00EC4FD8"/>
    <w:rsid w:val="00EC5384"/>
    <w:rsid w:val="00EC65A3"/>
    <w:rsid w:val="00ED4BE5"/>
    <w:rsid w:val="00EE0842"/>
    <w:rsid w:val="00EF3F41"/>
    <w:rsid w:val="00F000D0"/>
    <w:rsid w:val="00F0088E"/>
    <w:rsid w:val="00F0410F"/>
    <w:rsid w:val="00F07B01"/>
    <w:rsid w:val="00F10956"/>
    <w:rsid w:val="00F145F6"/>
    <w:rsid w:val="00F14CEB"/>
    <w:rsid w:val="00F153AD"/>
    <w:rsid w:val="00F21013"/>
    <w:rsid w:val="00F308A0"/>
    <w:rsid w:val="00F32786"/>
    <w:rsid w:val="00F35D47"/>
    <w:rsid w:val="00F36187"/>
    <w:rsid w:val="00F372CA"/>
    <w:rsid w:val="00F4446B"/>
    <w:rsid w:val="00F557DF"/>
    <w:rsid w:val="00F748A7"/>
    <w:rsid w:val="00F77F98"/>
    <w:rsid w:val="00F8231B"/>
    <w:rsid w:val="00F83AAE"/>
    <w:rsid w:val="00F9566C"/>
    <w:rsid w:val="00FA0FDC"/>
    <w:rsid w:val="00FA112F"/>
    <w:rsid w:val="00FA332F"/>
    <w:rsid w:val="00FA784C"/>
    <w:rsid w:val="00FB06CD"/>
    <w:rsid w:val="00FB15BB"/>
    <w:rsid w:val="00FB56D6"/>
    <w:rsid w:val="00FB5B6B"/>
    <w:rsid w:val="00FC0BA3"/>
    <w:rsid w:val="00FC0C70"/>
    <w:rsid w:val="00FD09A9"/>
    <w:rsid w:val="00FD27F8"/>
    <w:rsid w:val="00FD60EE"/>
    <w:rsid w:val="00FE1F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60455"/>
  <w15:docId w15:val="{9F769504-F614-4FA6-B775-F4F89563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01C"/>
    <w:pPr>
      <w:bidi/>
    </w:pPr>
  </w:style>
  <w:style w:type="paragraph" w:styleId="Heading2">
    <w:name w:val="heading 2"/>
    <w:basedOn w:val="Normal"/>
    <w:next w:val="Normal"/>
    <w:link w:val="Heading2Char"/>
    <w:uiPriority w:val="9"/>
    <w:unhideWhenUsed/>
    <w:qFormat/>
    <w:rsid w:val="00446B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46B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7764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7764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775B3"/>
    <w:pPr>
      <w:bidi w:val="0"/>
      <w:spacing w:after="200" w:line="276" w:lineRule="auto"/>
      <w:ind w:left="720"/>
      <w:contextualSpacing/>
    </w:pPr>
    <w:rPr>
      <w:rFonts w:ascii="Calibri" w:eastAsia="Times New Roman" w:hAnsi="Calibri" w:cs="Times New Roman"/>
      <w:sz w:val="20"/>
      <w:szCs w:val="20"/>
      <w:lang w:val="x-none" w:eastAsia="x-none"/>
    </w:rPr>
  </w:style>
  <w:style w:type="character" w:customStyle="1" w:styleId="ListParagraphChar">
    <w:name w:val="List Paragraph Char"/>
    <w:link w:val="ListParagraph"/>
    <w:uiPriority w:val="34"/>
    <w:locked/>
    <w:rsid w:val="00D775B3"/>
    <w:rPr>
      <w:rFonts w:ascii="Calibri" w:eastAsia="Times New Roman" w:hAnsi="Calibri" w:cs="Times New Roman"/>
      <w:sz w:val="20"/>
      <w:szCs w:val="20"/>
      <w:lang w:val="x-none" w:eastAsia="x-none"/>
    </w:rPr>
  </w:style>
  <w:style w:type="table" w:styleId="TableGrid">
    <w:name w:val="Table Grid"/>
    <w:basedOn w:val="TableNormal"/>
    <w:uiPriority w:val="59"/>
    <w:rsid w:val="00D775B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115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5115F"/>
  </w:style>
  <w:style w:type="paragraph" w:styleId="Footer">
    <w:name w:val="footer"/>
    <w:basedOn w:val="Normal"/>
    <w:link w:val="FooterChar"/>
    <w:uiPriority w:val="99"/>
    <w:unhideWhenUsed/>
    <w:rsid w:val="002511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115F"/>
  </w:style>
  <w:style w:type="paragraph" w:styleId="BalloonText">
    <w:name w:val="Balloon Text"/>
    <w:basedOn w:val="Normal"/>
    <w:link w:val="BalloonTextChar"/>
    <w:uiPriority w:val="99"/>
    <w:semiHidden/>
    <w:unhideWhenUsed/>
    <w:rsid w:val="0025115F"/>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25115F"/>
    <w:rPr>
      <w:rFonts w:ascii="Tahoma" w:hAnsi="Tahoma" w:cs="Tahoma"/>
      <w:sz w:val="18"/>
      <w:szCs w:val="18"/>
    </w:rPr>
  </w:style>
  <w:style w:type="character" w:styleId="PlaceholderText">
    <w:name w:val="Placeholder Text"/>
    <w:basedOn w:val="DefaultParagraphFont"/>
    <w:uiPriority w:val="99"/>
    <w:semiHidden/>
    <w:rsid w:val="00F9566C"/>
    <w:rPr>
      <w:color w:val="808080"/>
    </w:rPr>
  </w:style>
  <w:style w:type="table" w:customStyle="1" w:styleId="1">
    <w:name w:val="شبكة جدول1"/>
    <w:basedOn w:val="TableNormal"/>
    <w:next w:val="TableGrid"/>
    <w:uiPriority w:val="59"/>
    <w:rsid w:val="00E40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E31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1C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CBA"/>
    <w:rPr>
      <w:sz w:val="20"/>
      <w:szCs w:val="20"/>
    </w:rPr>
  </w:style>
  <w:style w:type="table" w:customStyle="1" w:styleId="11">
    <w:name w:val="شبكة جدول11"/>
    <w:basedOn w:val="TableNormal"/>
    <w:next w:val="TableGrid"/>
    <w:uiPriority w:val="59"/>
    <w:rsid w:val="00E31CBA"/>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3"/>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7A97"/>
    <w:rPr>
      <w:sz w:val="16"/>
      <w:szCs w:val="16"/>
    </w:rPr>
  </w:style>
  <w:style w:type="paragraph" w:styleId="CommentText">
    <w:name w:val="annotation text"/>
    <w:basedOn w:val="Normal"/>
    <w:link w:val="CommentTextChar"/>
    <w:uiPriority w:val="99"/>
    <w:semiHidden/>
    <w:unhideWhenUsed/>
    <w:rsid w:val="00DF7A97"/>
    <w:pPr>
      <w:spacing w:line="240" w:lineRule="auto"/>
    </w:pPr>
    <w:rPr>
      <w:sz w:val="20"/>
      <w:szCs w:val="20"/>
    </w:rPr>
  </w:style>
  <w:style w:type="character" w:customStyle="1" w:styleId="CommentTextChar">
    <w:name w:val="Comment Text Char"/>
    <w:basedOn w:val="DefaultParagraphFont"/>
    <w:link w:val="CommentText"/>
    <w:uiPriority w:val="99"/>
    <w:semiHidden/>
    <w:rsid w:val="00DF7A97"/>
    <w:rPr>
      <w:sz w:val="20"/>
      <w:szCs w:val="20"/>
    </w:rPr>
  </w:style>
  <w:style w:type="paragraph" w:styleId="CommentSubject">
    <w:name w:val="annotation subject"/>
    <w:basedOn w:val="CommentText"/>
    <w:next w:val="CommentText"/>
    <w:link w:val="CommentSubjectChar"/>
    <w:uiPriority w:val="99"/>
    <w:semiHidden/>
    <w:unhideWhenUsed/>
    <w:rsid w:val="00DF7A97"/>
    <w:rPr>
      <w:b/>
      <w:bCs/>
    </w:rPr>
  </w:style>
  <w:style w:type="character" w:customStyle="1" w:styleId="CommentSubjectChar">
    <w:name w:val="Comment Subject Char"/>
    <w:basedOn w:val="CommentTextChar"/>
    <w:link w:val="CommentSubject"/>
    <w:uiPriority w:val="99"/>
    <w:semiHidden/>
    <w:rsid w:val="00DF7A97"/>
    <w:rPr>
      <w:b/>
      <w:bCs/>
      <w:sz w:val="20"/>
      <w:szCs w:val="20"/>
    </w:rPr>
  </w:style>
  <w:style w:type="table" w:customStyle="1" w:styleId="12">
    <w:name w:val="شبكة جدول12"/>
    <w:basedOn w:val="TableNormal"/>
    <w:next w:val="TableGrid"/>
    <w:uiPriority w:val="59"/>
    <w:rsid w:val="00D05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46B0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46B0A"/>
    <w:rPr>
      <w:rFonts w:asciiTheme="majorHAnsi" w:eastAsiaTheme="majorEastAsia" w:hAnsiTheme="majorHAnsi" w:cstheme="majorBidi"/>
      <w:color w:val="1F4D78" w:themeColor="accent1" w:themeShade="7F"/>
      <w:sz w:val="24"/>
      <w:szCs w:val="24"/>
    </w:rPr>
  </w:style>
  <w:style w:type="table" w:customStyle="1" w:styleId="4">
    <w:name w:val="شبكة جدول4"/>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2B0523"/>
    <w:rPr>
      <w:vertAlign w:val="superscript"/>
    </w:rPr>
  </w:style>
  <w:style w:type="table" w:customStyle="1" w:styleId="13">
    <w:name w:val="شبكة جدول13"/>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شبكة جدول24"/>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شبكة جدول3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شبكة جدول111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جدول21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شبكة جدول22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شبكة جدول23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5"/>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جدول112"/>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شبكة جدول21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شبكة جدول22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شبكة جدول23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39"/>
    <w:rsid w:val="00093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39"/>
    <w:rsid w:val="003D0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26151"/>
    <w:pPr>
      <w:spacing w:after="200" w:line="240" w:lineRule="auto"/>
    </w:pPr>
    <w:rPr>
      <w:i/>
      <w:iCs/>
      <w:color w:val="44546A" w:themeColor="text2"/>
      <w:sz w:val="18"/>
      <w:szCs w:val="18"/>
    </w:rPr>
  </w:style>
  <w:style w:type="paragraph" w:styleId="NormalWeb">
    <w:name w:val="Normal (Web)"/>
    <w:basedOn w:val="Normal"/>
    <w:uiPriority w:val="99"/>
    <w:unhideWhenUsed/>
    <w:rsid w:val="00523D8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3D8A"/>
    <w:rPr>
      <w:b/>
      <w:bCs/>
    </w:rPr>
  </w:style>
  <w:style w:type="table" w:customStyle="1" w:styleId="121">
    <w:name w:val="شبكة جدول121"/>
    <w:basedOn w:val="TableNormal"/>
    <w:next w:val="TableGrid"/>
    <w:uiPriority w:val="59"/>
    <w:rsid w:val="00BA24C1"/>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BB4953"/>
  </w:style>
  <w:style w:type="table" w:customStyle="1" w:styleId="51">
    <w:name w:val="شبكة جدول51"/>
    <w:basedOn w:val="TableNormal"/>
    <w:next w:val="TableGrid"/>
    <w:uiPriority w:val="59"/>
    <w:rsid w:val="000379CB"/>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TableNormal"/>
    <w:next w:val="TableGrid"/>
    <w:uiPriority w:val="59"/>
    <w:rsid w:val="00037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TableNormal"/>
    <w:uiPriority w:val="49"/>
    <w:rsid w:val="00BC34B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Hyperlink">
    <w:name w:val="Hyperlink"/>
    <w:basedOn w:val="DefaultParagraphFont"/>
    <w:uiPriority w:val="99"/>
    <w:unhideWhenUsed/>
    <w:rsid w:val="007B3AFB"/>
    <w:rPr>
      <w:color w:val="0563C1" w:themeColor="hyperlink"/>
      <w:u w:val="single"/>
    </w:rPr>
  </w:style>
  <w:style w:type="character" w:customStyle="1" w:styleId="UnresolvedMention1">
    <w:name w:val="Unresolved Mention1"/>
    <w:basedOn w:val="DefaultParagraphFont"/>
    <w:uiPriority w:val="99"/>
    <w:semiHidden/>
    <w:unhideWhenUsed/>
    <w:rsid w:val="007B3AFB"/>
    <w:rPr>
      <w:color w:val="605E5C"/>
      <w:shd w:val="clear" w:color="auto" w:fill="E1DFDD"/>
    </w:rPr>
  </w:style>
  <w:style w:type="character" w:customStyle="1" w:styleId="Heading4Char">
    <w:name w:val="Heading 4 Char"/>
    <w:basedOn w:val="DefaultParagraphFont"/>
    <w:link w:val="Heading4"/>
    <w:uiPriority w:val="9"/>
    <w:semiHidden/>
    <w:rsid w:val="0057764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77644"/>
    <w:rPr>
      <w:rFonts w:asciiTheme="majorHAnsi" w:eastAsiaTheme="majorEastAsia" w:hAnsiTheme="majorHAnsi" w:cstheme="majorBidi"/>
      <w:color w:val="2E74B5" w:themeColor="accent1" w:themeShade="BF"/>
    </w:rPr>
  </w:style>
  <w:style w:type="table" w:customStyle="1" w:styleId="GridTable5Dark-Accent41">
    <w:name w:val="Grid Table 5 Dark - Accent 41"/>
    <w:basedOn w:val="TableNormal"/>
    <w:uiPriority w:val="50"/>
    <w:rsid w:val="004C7810"/>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1">
    <w:name w:val="Grid Table 5 Dark Accent 41"/>
    <w:basedOn w:val="TableNormal"/>
    <w:uiPriority w:val="50"/>
    <w:rsid w:val="008F0001"/>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2">
    <w:name w:val="Grid Table 5 Dark Accent 42"/>
    <w:basedOn w:val="TableNormal"/>
    <w:uiPriority w:val="50"/>
    <w:rsid w:val="00BB58E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3">
    <w:name w:val="Grid Table 5 Dark Accent 43"/>
    <w:basedOn w:val="TableNormal"/>
    <w:uiPriority w:val="50"/>
    <w:rsid w:val="0080387B"/>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4">
    <w:name w:val="Grid Table 5 Dark Accent 44"/>
    <w:basedOn w:val="TableNormal"/>
    <w:uiPriority w:val="50"/>
    <w:rsid w:val="00C0503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character" w:styleId="UnresolvedMention">
    <w:name w:val="Unresolved Mention"/>
    <w:basedOn w:val="DefaultParagraphFont"/>
    <w:uiPriority w:val="99"/>
    <w:semiHidden/>
    <w:unhideWhenUsed/>
    <w:rsid w:val="001F6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1424">
      <w:bodyDiv w:val="1"/>
      <w:marLeft w:val="0"/>
      <w:marRight w:val="0"/>
      <w:marTop w:val="0"/>
      <w:marBottom w:val="0"/>
      <w:divBdr>
        <w:top w:val="none" w:sz="0" w:space="0" w:color="auto"/>
        <w:left w:val="none" w:sz="0" w:space="0" w:color="auto"/>
        <w:bottom w:val="none" w:sz="0" w:space="0" w:color="auto"/>
        <w:right w:val="none" w:sz="0" w:space="0" w:color="auto"/>
      </w:divBdr>
    </w:div>
    <w:div w:id="230162646">
      <w:bodyDiv w:val="1"/>
      <w:marLeft w:val="0"/>
      <w:marRight w:val="0"/>
      <w:marTop w:val="0"/>
      <w:marBottom w:val="0"/>
      <w:divBdr>
        <w:top w:val="none" w:sz="0" w:space="0" w:color="auto"/>
        <w:left w:val="none" w:sz="0" w:space="0" w:color="auto"/>
        <w:bottom w:val="none" w:sz="0" w:space="0" w:color="auto"/>
        <w:right w:val="none" w:sz="0" w:space="0" w:color="auto"/>
      </w:divBdr>
    </w:div>
    <w:div w:id="290673973">
      <w:bodyDiv w:val="1"/>
      <w:marLeft w:val="0"/>
      <w:marRight w:val="0"/>
      <w:marTop w:val="0"/>
      <w:marBottom w:val="0"/>
      <w:divBdr>
        <w:top w:val="none" w:sz="0" w:space="0" w:color="auto"/>
        <w:left w:val="none" w:sz="0" w:space="0" w:color="auto"/>
        <w:bottom w:val="none" w:sz="0" w:space="0" w:color="auto"/>
        <w:right w:val="none" w:sz="0" w:space="0" w:color="auto"/>
      </w:divBdr>
    </w:div>
    <w:div w:id="371460244">
      <w:bodyDiv w:val="1"/>
      <w:marLeft w:val="0"/>
      <w:marRight w:val="0"/>
      <w:marTop w:val="0"/>
      <w:marBottom w:val="0"/>
      <w:divBdr>
        <w:top w:val="none" w:sz="0" w:space="0" w:color="auto"/>
        <w:left w:val="none" w:sz="0" w:space="0" w:color="auto"/>
        <w:bottom w:val="none" w:sz="0" w:space="0" w:color="auto"/>
        <w:right w:val="none" w:sz="0" w:space="0" w:color="auto"/>
      </w:divBdr>
    </w:div>
    <w:div w:id="426775337">
      <w:bodyDiv w:val="1"/>
      <w:marLeft w:val="0"/>
      <w:marRight w:val="0"/>
      <w:marTop w:val="0"/>
      <w:marBottom w:val="0"/>
      <w:divBdr>
        <w:top w:val="none" w:sz="0" w:space="0" w:color="auto"/>
        <w:left w:val="none" w:sz="0" w:space="0" w:color="auto"/>
        <w:bottom w:val="none" w:sz="0" w:space="0" w:color="auto"/>
        <w:right w:val="none" w:sz="0" w:space="0" w:color="auto"/>
      </w:divBdr>
    </w:div>
    <w:div w:id="433014490">
      <w:bodyDiv w:val="1"/>
      <w:marLeft w:val="0"/>
      <w:marRight w:val="0"/>
      <w:marTop w:val="0"/>
      <w:marBottom w:val="0"/>
      <w:divBdr>
        <w:top w:val="none" w:sz="0" w:space="0" w:color="auto"/>
        <w:left w:val="none" w:sz="0" w:space="0" w:color="auto"/>
        <w:bottom w:val="none" w:sz="0" w:space="0" w:color="auto"/>
        <w:right w:val="none" w:sz="0" w:space="0" w:color="auto"/>
      </w:divBdr>
    </w:div>
    <w:div w:id="479736476">
      <w:bodyDiv w:val="1"/>
      <w:marLeft w:val="0"/>
      <w:marRight w:val="0"/>
      <w:marTop w:val="0"/>
      <w:marBottom w:val="0"/>
      <w:divBdr>
        <w:top w:val="none" w:sz="0" w:space="0" w:color="auto"/>
        <w:left w:val="none" w:sz="0" w:space="0" w:color="auto"/>
        <w:bottom w:val="none" w:sz="0" w:space="0" w:color="auto"/>
        <w:right w:val="none" w:sz="0" w:space="0" w:color="auto"/>
      </w:divBdr>
    </w:div>
    <w:div w:id="486435768">
      <w:bodyDiv w:val="1"/>
      <w:marLeft w:val="0"/>
      <w:marRight w:val="0"/>
      <w:marTop w:val="0"/>
      <w:marBottom w:val="0"/>
      <w:divBdr>
        <w:top w:val="none" w:sz="0" w:space="0" w:color="auto"/>
        <w:left w:val="none" w:sz="0" w:space="0" w:color="auto"/>
        <w:bottom w:val="none" w:sz="0" w:space="0" w:color="auto"/>
        <w:right w:val="none" w:sz="0" w:space="0" w:color="auto"/>
      </w:divBdr>
    </w:div>
    <w:div w:id="536312717">
      <w:bodyDiv w:val="1"/>
      <w:marLeft w:val="0"/>
      <w:marRight w:val="0"/>
      <w:marTop w:val="0"/>
      <w:marBottom w:val="0"/>
      <w:divBdr>
        <w:top w:val="none" w:sz="0" w:space="0" w:color="auto"/>
        <w:left w:val="none" w:sz="0" w:space="0" w:color="auto"/>
        <w:bottom w:val="none" w:sz="0" w:space="0" w:color="auto"/>
        <w:right w:val="none" w:sz="0" w:space="0" w:color="auto"/>
      </w:divBdr>
    </w:div>
    <w:div w:id="542979244">
      <w:bodyDiv w:val="1"/>
      <w:marLeft w:val="0"/>
      <w:marRight w:val="0"/>
      <w:marTop w:val="0"/>
      <w:marBottom w:val="0"/>
      <w:divBdr>
        <w:top w:val="none" w:sz="0" w:space="0" w:color="auto"/>
        <w:left w:val="none" w:sz="0" w:space="0" w:color="auto"/>
        <w:bottom w:val="none" w:sz="0" w:space="0" w:color="auto"/>
        <w:right w:val="none" w:sz="0" w:space="0" w:color="auto"/>
      </w:divBdr>
    </w:div>
    <w:div w:id="567151401">
      <w:bodyDiv w:val="1"/>
      <w:marLeft w:val="0"/>
      <w:marRight w:val="0"/>
      <w:marTop w:val="0"/>
      <w:marBottom w:val="0"/>
      <w:divBdr>
        <w:top w:val="none" w:sz="0" w:space="0" w:color="auto"/>
        <w:left w:val="none" w:sz="0" w:space="0" w:color="auto"/>
        <w:bottom w:val="none" w:sz="0" w:space="0" w:color="auto"/>
        <w:right w:val="none" w:sz="0" w:space="0" w:color="auto"/>
      </w:divBdr>
    </w:div>
    <w:div w:id="590818434">
      <w:bodyDiv w:val="1"/>
      <w:marLeft w:val="0"/>
      <w:marRight w:val="0"/>
      <w:marTop w:val="0"/>
      <w:marBottom w:val="0"/>
      <w:divBdr>
        <w:top w:val="none" w:sz="0" w:space="0" w:color="auto"/>
        <w:left w:val="none" w:sz="0" w:space="0" w:color="auto"/>
        <w:bottom w:val="none" w:sz="0" w:space="0" w:color="auto"/>
        <w:right w:val="none" w:sz="0" w:space="0" w:color="auto"/>
      </w:divBdr>
    </w:div>
    <w:div w:id="660356977">
      <w:bodyDiv w:val="1"/>
      <w:marLeft w:val="0"/>
      <w:marRight w:val="0"/>
      <w:marTop w:val="0"/>
      <w:marBottom w:val="0"/>
      <w:divBdr>
        <w:top w:val="none" w:sz="0" w:space="0" w:color="auto"/>
        <w:left w:val="none" w:sz="0" w:space="0" w:color="auto"/>
        <w:bottom w:val="none" w:sz="0" w:space="0" w:color="auto"/>
        <w:right w:val="none" w:sz="0" w:space="0" w:color="auto"/>
      </w:divBdr>
    </w:div>
    <w:div w:id="757602679">
      <w:bodyDiv w:val="1"/>
      <w:marLeft w:val="0"/>
      <w:marRight w:val="0"/>
      <w:marTop w:val="0"/>
      <w:marBottom w:val="0"/>
      <w:divBdr>
        <w:top w:val="none" w:sz="0" w:space="0" w:color="auto"/>
        <w:left w:val="none" w:sz="0" w:space="0" w:color="auto"/>
        <w:bottom w:val="none" w:sz="0" w:space="0" w:color="auto"/>
        <w:right w:val="none" w:sz="0" w:space="0" w:color="auto"/>
      </w:divBdr>
    </w:div>
    <w:div w:id="771050403">
      <w:bodyDiv w:val="1"/>
      <w:marLeft w:val="0"/>
      <w:marRight w:val="0"/>
      <w:marTop w:val="0"/>
      <w:marBottom w:val="0"/>
      <w:divBdr>
        <w:top w:val="none" w:sz="0" w:space="0" w:color="auto"/>
        <w:left w:val="none" w:sz="0" w:space="0" w:color="auto"/>
        <w:bottom w:val="none" w:sz="0" w:space="0" w:color="auto"/>
        <w:right w:val="none" w:sz="0" w:space="0" w:color="auto"/>
      </w:divBdr>
    </w:div>
    <w:div w:id="908535387">
      <w:bodyDiv w:val="1"/>
      <w:marLeft w:val="0"/>
      <w:marRight w:val="0"/>
      <w:marTop w:val="0"/>
      <w:marBottom w:val="0"/>
      <w:divBdr>
        <w:top w:val="none" w:sz="0" w:space="0" w:color="auto"/>
        <w:left w:val="none" w:sz="0" w:space="0" w:color="auto"/>
        <w:bottom w:val="none" w:sz="0" w:space="0" w:color="auto"/>
        <w:right w:val="none" w:sz="0" w:space="0" w:color="auto"/>
      </w:divBdr>
    </w:div>
    <w:div w:id="1035883743">
      <w:bodyDiv w:val="1"/>
      <w:marLeft w:val="0"/>
      <w:marRight w:val="0"/>
      <w:marTop w:val="0"/>
      <w:marBottom w:val="0"/>
      <w:divBdr>
        <w:top w:val="none" w:sz="0" w:space="0" w:color="auto"/>
        <w:left w:val="none" w:sz="0" w:space="0" w:color="auto"/>
        <w:bottom w:val="none" w:sz="0" w:space="0" w:color="auto"/>
        <w:right w:val="none" w:sz="0" w:space="0" w:color="auto"/>
      </w:divBdr>
    </w:div>
    <w:div w:id="1152719282">
      <w:bodyDiv w:val="1"/>
      <w:marLeft w:val="0"/>
      <w:marRight w:val="0"/>
      <w:marTop w:val="0"/>
      <w:marBottom w:val="0"/>
      <w:divBdr>
        <w:top w:val="none" w:sz="0" w:space="0" w:color="auto"/>
        <w:left w:val="none" w:sz="0" w:space="0" w:color="auto"/>
        <w:bottom w:val="none" w:sz="0" w:space="0" w:color="auto"/>
        <w:right w:val="none" w:sz="0" w:space="0" w:color="auto"/>
      </w:divBdr>
    </w:div>
    <w:div w:id="1155803551">
      <w:bodyDiv w:val="1"/>
      <w:marLeft w:val="0"/>
      <w:marRight w:val="0"/>
      <w:marTop w:val="0"/>
      <w:marBottom w:val="0"/>
      <w:divBdr>
        <w:top w:val="none" w:sz="0" w:space="0" w:color="auto"/>
        <w:left w:val="none" w:sz="0" w:space="0" w:color="auto"/>
        <w:bottom w:val="none" w:sz="0" w:space="0" w:color="auto"/>
        <w:right w:val="none" w:sz="0" w:space="0" w:color="auto"/>
      </w:divBdr>
    </w:div>
    <w:div w:id="1159688137">
      <w:bodyDiv w:val="1"/>
      <w:marLeft w:val="0"/>
      <w:marRight w:val="0"/>
      <w:marTop w:val="0"/>
      <w:marBottom w:val="0"/>
      <w:divBdr>
        <w:top w:val="none" w:sz="0" w:space="0" w:color="auto"/>
        <w:left w:val="none" w:sz="0" w:space="0" w:color="auto"/>
        <w:bottom w:val="none" w:sz="0" w:space="0" w:color="auto"/>
        <w:right w:val="none" w:sz="0" w:space="0" w:color="auto"/>
      </w:divBdr>
    </w:div>
    <w:div w:id="1303384789">
      <w:bodyDiv w:val="1"/>
      <w:marLeft w:val="0"/>
      <w:marRight w:val="0"/>
      <w:marTop w:val="0"/>
      <w:marBottom w:val="0"/>
      <w:divBdr>
        <w:top w:val="none" w:sz="0" w:space="0" w:color="auto"/>
        <w:left w:val="none" w:sz="0" w:space="0" w:color="auto"/>
        <w:bottom w:val="none" w:sz="0" w:space="0" w:color="auto"/>
        <w:right w:val="none" w:sz="0" w:space="0" w:color="auto"/>
      </w:divBdr>
    </w:div>
    <w:div w:id="1634099979">
      <w:bodyDiv w:val="1"/>
      <w:marLeft w:val="0"/>
      <w:marRight w:val="0"/>
      <w:marTop w:val="0"/>
      <w:marBottom w:val="0"/>
      <w:divBdr>
        <w:top w:val="none" w:sz="0" w:space="0" w:color="auto"/>
        <w:left w:val="none" w:sz="0" w:space="0" w:color="auto"/>
        <w:bottom w:val="none" w:sz="0" w:space="0" w:color="auto"/>
        <w:right w:val="none" w:sz="0" w:space="0" w:color="auto"/>
      </w:divBdr>
    </w:div>
    <w:div w:id="1640841449">
      <w:bodyDiv w:val="1"/>
      <w:marLeft w:val="0"/>
      <w:marRight w:val="0"/>
      <w:marTop w:val="0"/>
      <w:marBottom w:val="0"/>
      <w:divBdr>
        <w:top w:val="none" w:sz="0" w:space="0" w:color="auto"/>
        <w:left w:val="none" w:sz="0" w:space="0" w:color="auto"/>
        <w:bottom w:val="none" w:sz="0" w:space="0" w:color="auto"/>
        <w:right w:val="none" w:sz="0" w:space="0" w:color="auto"/>
      </w:divBdr>
    </w:div>
    <w:div w:id="1647736350">
      <w:bodyDiv w:val="1"/>
      <w:marLeft w:val="0"/>
      <w:marRight w:val="0"/>
      <w:marTop w:val="0"/>
      <w:marBottom w:val="0"/>
      <w:divBdr>
        <w:top w:val="none" w:sz="0" w:space="0" w:color="auto"/>
        <w:left w:val="none" w:sz="0" w:space="0" w:color="auto"/>
        <w:bottom w:val="none" w:sz="0" w:space="0" w:color="auto"/>
        <w:right w:val="none" w:sz="0" w:space="0" w:color="auto"/>
      </w:divBdr>
    </w:div>
    <w:div w:id="1651711084">
      <w:bodyDiv w:val="1"/>
      <w:marLeft w:val="0"/>
      <w:marRight w:val="0"/>
      <w:marTop w:val="0"/>
      <w:marBottom w:val="0"/>
      <w:divBdr>
        <w:top w:val="none" w:sz="0" w:space="0" w:color="auto"/>
        <w:left w:val="none" w:sz="0" w:space="0" w:color="auto"/>
        <w:bottom w:val="none" w:sz="0" w:space="0" w:color="auto"/>
        <w:right w:val="none" w:sz="0" w:space="0" w:color="auto"/>
      </w:divBdr>
    </w:div>
    <w:div w:id="1656837438">
      <w:bodyDiv w:val="1"/>
      <w:marLeft w:val="0"/>
      <w:marRight w:val="0"/>
      <w:marTop w:val="0"/>
      <w:marBottom w:val="0"/>
      <w:divBdr>
        <w:top w:val="none" w:sz="0" w:space="0" w:color="auto"/>
        <w:left w:val="none" w:sz="0" w:space="0" w:color="auto"/>
        <w:bottom w:val="none" w:sz="0" w:space="0" w:color="auto"/>
        <w:right w:val="none" w:sz="0" w:space="0" w:color="auto"/>
      </w:divBdr>
    </w:div>
    <w:div w:id="1834450122">
      <w:bodyDiv w:val="1"/>
      <w:marLeft w:val="0"/>
      <w:marRight w:val="0"/>
      <w:marTop w:val="0"/>
      <w:marBottom w:val="0"/>
      <w:divBdr>
        <w:top w:val="none" w:sz="0" w:space="0" w:color="auto"/>
        <w:left w:val="none" w:sz="0" w:space="0" w:color="auto"/>
        <w:bottom w:val="none" w:sz="0" w:space="0" w:color="auto"/>
        <w:right w:val="none" w:sz="0" w:space="0" w:color="auto"/>
      </w:divBdr>
      <w:divsChild>
        <w:div w:id="1232085154">
          <w:marLeft w:val="0"/>
          <w:marRight w:val="0"/>
          <w:marTop w:val="0"/>
          <w:marBottom w:val="0"/>
          <w:divBdr>
            <w:top w:val="none" w:sz="0" w:space="0" w:color="auto"/>
            <w:left w:val="none" w:sz="0" w:space="0" w:color="auto"/>
            <w:bottom w:val="none" w:sz="0" w:space="0" w:color="auto"/>
            <w:right w:val="none" w:sz="0" w:space="0" w:color="auto"/>
          </w:divBdr>
          <w:divsChild>
            <w:div w:id="458450836">
              <w:marLeft w:val="0"/>
              <w:marRight w:val="0"/>
              <w:marTop w:val="0"/>
              <w:marBottom w:val="0"/>
              <w:divBdr>
                <w:top w:val="none" w:sz="0" w:space="0" w:color="auto"/>
                <w:left w:val="none" w:sz="0" w:space="0" w:color="auto"/>
                <w:bottom w:val="none" w:sz="0" w:space="0" w:color="auto"/>
                <w:right w:val="none" w:sz="0" w:space="0" w:color="auto"/>
              </w:divBdr>
              <w:divsChild>
                <w:div w:id="82991561">
                  <w:marLeft w:val="0"/>
                  <w:marRight w:val="0"/>
                  <w:marTop w:val="0"/>
                  <w:marBottom w:val="0"/>
                  <w:divBdr>
                    <w:top w:val="none" w:sz="0" w:space="0" w:color="auto"/>
                    <w:left w:val="none" w:sz="0" w:space="0" w:color="auto"/>
                    <w:bottom w:val="none" w:sz="0" w:space="0" w:color="auto"/>
                    <w:right w:val="none" w:sz="0" w:space="0" w:color="auto"/>
                  </w:divBdr>
                  <w:divsChild>
                    <w:div w:id="1099064787">
                      <w:marLeft w:val="0"/>
                      <w:marRight w:val="0"/>
                      <w:marTop w:val="0"/>
                      <w:marBottom w:val="0"/>
                      <w:divBdr>
                        <w:top w:val="none" w:sz="0" w:space="0" w:color="auto"/>
                        <w:left w:val="none" w:sz="0" w:space="0" w:color="auto"/>
                        <w:bottom w:val="none" w:sz="0" w:space="0" w:color="auto"/>
                        <w:right w:val="none" w:sz="0" w:space="0" w:color="auto"/>
                      </w:divBdr>
                      <w:divsChild>
                        <w:div w:id="983197299">
                          <w:marLeft w:val="0"/>
                          <w:marRight w:val="0"/>
                          <w:marTop w:val="0"/>
                          <w:marBottom w:val="0"/>
                          <w:divBdr>
                            <w:top w:val="none" w:sz="0" w:space="0" w:color="auto"/>
                            <w:left w:val="none" w:sz="0" w:space="0" w:color="auto"/>
                            <w:bottom w:val="none" w:sz="0" w:space="0" w:color="auto"/>
                            <w:right w:val="none" w:sz="0" w:space="0" w:color="auto"/>
                          </w:divBdr>
                          <w:divsChild>
                            <w:div w:id="737635824">
                              <w:marLeft w:val="0"/>
                              <w:marRight w:val="0"/>
                              <w:marTop w:val="0"/>
                              <w:marBottom w:val="0"/>
                              <w:divBdr>
                                <w:top w:val="none" w:sz="0" w:space="0" w:color="auto"/>
                                <w:left w:val="none" w:sz="0" w:space="0" w:color="auto"/>
                                <w:bottom w:val="none" w:sz="0" w:space="0" w:color="auto"/>
                                <w:right w:val="none" w:sz="0" w:space="0" w:color="auto"/>
                              </w:divBdr>
                              <w:divsChild>
                                <w:div w:id="1289236001">
                                  <w:marLeft w:val="0"/>
                                  <w:marRight w:val="0"/>
                                  <w:marTop w:val="0"/>
                                  <w:marBottom w:val="0"/>
                                  <w:divBdr>
                                    <w:top w:val="none" w:sz="0" w:space="0" w:color="auto"/>
                                    <w:left w:val="none" w:sz="0" w:space="0" w:color="auto"/>
                                    <w:bottom w:val="none" w:sz="0" w:space="0" w:color="auto"/>
                                    <w:right w:val="none" w:sz="0" w:space="0" w:color="auto"/>
                                  </w:divBdr>
                                  <w:divsChild>
                                    <w:div w:id="4113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95978">
                          <w:marLeft w:val="0"/>
                          <w:marRight w:val="0"/>
                          <w:marTop w:val="0"/>
                          <w:marBottom w:val="0"/>
                          <w:divBdr>
                            <w:top w:val="none" w:sz="0" w:space="0" w:color="auto"/>
                            <w:left w:val="none" w:sz="0" w:space="0" w:color="auto"/>
                            <w:bottom w:val="none" w:sz="0" w:space="0" w:color="auto"/>
                            <w:right w:val="none" w:sz="0" w:space="0" w:color="auto"/>
                          </w:divBdr>
                          <w:divsChild>
                            <w:div w:id="1273829467">
                              <w:marLeft w:val="0"/>
                              <w:marRight w:val="0"/>
                              <w:marTop w:val="0"/>
                              <w:marBottom w:val="0"/>
                              <w:divBdr>
                                <w:top w:val="none" w:sz="0" w:space="0" w:color="auto"/>
                                <w:left w:val="none" w:sz="0" w:space="0" w:color="auto"/>
                                <w:bottom w:val="none" w:sz="0" w:space="0" w:color="auto"/>
                                <w:right w:val="none" w:sz="0" w:space="0" w:color="auto"/>
                              </w:divBdr>
                              <w:divsChild>
                                <w:div w:id="158768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660763">
      <w:bodyDiv w:val="1"/>
      <w:marLeft w:val="0"/>
      <w:marRight w:val="0"/>
      <w:marTop w:val="0"/>
      <w:marBottom w:val="0"/>
      <w:divBdr>
        <w:top w:val="none" w:sz="0" w:space="0" w:color="auto"/>
        <w:left w:val="none" w:sz="0" w:space="0" w:color="auto"/>
        <w:bottom w:val="none" w:sz="0" w:space="0" w:color="auto"/>
        <w:right w:val="none" w:sz="0" w:space="0" w:color="auto"/>
      </w:divBdr>
    </w:div>
    <w:div w:id="1872955165">
      <w:bodyDiv w:val="1"/>
      <w:marLeft w:val="0"/>
      <w:marRight w:val="0"/>
      <w:marTop w:val="0"/>
      <w:marBottom w:val="0"/>
      <w:divBdr>
        <w:top w:val="none" w:sz="0" w:space="0" w:color="auto"/>
        <w:left w:val="none" w:sz="0" w:space="0" w:color="auto"/>
        <w:bottom w:val="none" w:sz="0" w:space="0" w:color="auto"/>
        <w:right w:val="none" w:sz="0" w:space="0" w:color="auto"/>
      </w:divBdr>
    </w:div>
    <w:div w:id="1923640132">
      <w:bodyDiv w:val="1"/>
      <w:marLeft w:val="0"/>
      <w:marRight w:val="0"/>
      <w:marTop w:val="0"/>
      <w:marBottom w:val="0"/>
      <w:divBdr>
        <w:top w:val="none" w:sz="0" w:space="0" w:color="auto"/>
        <w:left w:val="none" w:sz="0" w:space="0" w:color="auto"/>
        <w:bottom w:val="none" w:sz="0" w:space="0" w:color="auto"/>
        <w:right w:val="none" w:sz="0" w:space="0" w:color="auto"/>
      </w:divBdr>
      <w:divsChild>
        <w:div w:id="563953314">
          <w:marLeft w:val="0"/>
          <w:marRight w:val="0"/>
          <w:marTop w:val="0"/>
          <w:marBottom w:val="0"/>
          <w:divBdr>
            <w:top w:val="none" w:sz="0" w:space="0" w:color="auto"/>
            <w:left w:val="none" w:sz="0" w:space="0" w:color="auto"/>
            <w:bottom w:val="none" w:sz="0" w:space="0" w:color="auto"/>
            <w:right w:val="none" w:sz="0" w:space="0" w:color="auto"/>
          </w:divBdr>
          <w:divsChild>
            <w:div w:id="785202308">
              <w:marLeft w:val="0"/>
              <w:marRight w:val="0"/>
              <w:marTop w:val="0"/>
              <w:marBottom w:val="0"/>
              <w:divBdr>
                <w:top w:val="none" w:sz="0" w:space="0" w:color="auto"/>
                <w:left w:val="none" w:sz="0" w:space="0" w:color="auto"/>
                <w:bottom w:val="none" w:sz="0" w:space="0" w:color="auto"/>
                <w:right w:val="none" w:sz="0" w:space="0" w:color="auto"/>
              </w:divBdr>
              <w:divsChild>
                <w:div w:id="1065685828">
                  <w:marLeft w:val="0"/>
                  <w:marRight w:val="0"/>
                  <w:marTop w:val="0"/>
                  <w:marBottom w:val="0"/>
                  <w:divBdr>
                    <w:top w:val="none" w:sz="0" w:space="0" w:color="auto"/>
                    <w:left w:val="none" w:sz="0" w:space="0" w:color="auto"/>
                    <w:bottom w:val="none" w:sz="0" w:space="0" w:color="auto"/>
                    <w:right w:val="none" w:sz="0" w:space="0" w:color="auto"/>
                  </w:divBdr>
                  <w:divsChild>
                    <w:div w:id="1699744627">
                      <w:marLeft w:val="0"/>
                      <w:marRight w:val="0"/>
                      <w:marTop w:val="0"/>
                      <w:marBottom w:val="0"/>
                      <w:divBdr>
                        <w:top w:val="none" w:sz="0" w:space="0" w:color="auto"/>
                        <w:left w:val="none" w:sz="0" w:space="0" w:color="auto"/>
                        <w:bottom w:val="none" w:sz="0" w:space="0" w:color="auto"/>
                        <w:right w:val="none" w:sz="0" w:space="0" w:color="auto"/>
                      </w:divBdr>
                      <w:divsChild>
                        <w:div w:id="1283533672">
                          <w:marLeft w:val="0"/>
                          <w:marRight w:val="0"/>
                          <w:marTop w:val="0"/>
                          <w:marBottom w:val="0"/>
                          <w:divBdr>
                            <w:top w:val="none" w:sz="0" w:space="0" w:color="auto"/>
                            <w:left w:val="none" w:sz="0" w:space="0" w:color="auto"/>
                            <w:bottom w:val="none" w:sz="0" w:space="0" w:color="auto"/>
                            <w:right w:val="none" w:sz="0" w:space="0" w:color="auto"/>
                          </w:divBdr>
                          <w:divsChild>
                            <w:div w:id="1836602145">
                              <w:marLeft w:val="0"/>
                              <w:marRight w:val="0"/>
                              <w:marTop w:val="0"/>
                              <w:marBottom w:val="0"/>
                              <w:divBdr>
                                <w:top w:val="none" w:sz="0" w:space="0" w:color="auto"/>
                                <w:left w:val="none" w:sz="0" w:space="0" w:color="auto"/>
                                <w:bottom w:val="none" w:sz="0" w:space="0" w:color="auto"/>
                                <w:right w:val="none" w:sz="0" w:space="0" w:color="auto"/>
                              </w:divBdr>
                              <w:divsChild>
                                <w:div w:id="1776244391">
                                  <w:marLeft w:val="0"/>
                                  <w:marRight w:val="0"/>
                                  <w:marTop w:val="0"/>
                                  <w:marBottom w:val="0"/>
                                  <w:divBdr>
                                    <w:top w:val="none" w:sz="0" w:space="0" w:color="auto"/>
                                    <w:left w:val="none" w:sz="0" w:space="0" w:color="auto"/>
                                    <w:bottom w:val="none" w:sz="0" w:space="0" w:color="auto"/>
                                    <w:right w:val="none" w:sz="0" w:space="0" w:color="auto"/>
                                  </w:divBdr>
                                  <w:divsChild>
                                    <w:div w:id="5400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425842">
                          <w:marLeft w:val="0"/>
                          <w:marRight w:val="0"/>
                          <w:marTop w:val="0"/>
                          <w:marBottom w:val="0"/>
                          <w:divBdr>
                            <w:top w:val="none" w:sz="0" w:space="0" w:color="auto"/>
                            <w:left w:val="none" w:sz="0" w:space="0" w:color="auto"/>
                            <w:bottom w:val="none" w:sz="0" w:space="0" w:color="auto"/>
                            <w:right w:val="none" w:sz="0" w:space="0" w:color="auto"/>
                          </w:divBdr>
                          <w:divsChild>
                            <w:div w:id="246499222">
                              <w:marLeft w:val="0"/>
                              <w:marRight w:val="0"/>
                              <w:marTop w:val="0"/>
                              <w:marBottom w:val="0"/>
                              <w:divBdr>
                                <w:top w:val="none" w:sz="0" w:space="0" w:color="auto"/>
                                <w:left w:val="none" w:sz="0" w:space="0" w:color="auto"/>
                                <w:bottom w:val="none" w:sz="0" w:space="0" w:color="auto"/>
                                <w:right w:val="none" w:sz="0" w:space="0" w:color="auto"/>
                              </w:divBdr>
                              <w:divsChild>
                                <w:div w:id="136335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2u.pw/ttodbd"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46D39-FBDD-4AC6-84D9-22F028FC2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9541</Words>
  <Characters>54386</Characters>
  <Application>Microsoft Office Word</Application>
  <DocSecurity>0</DocSecurity>
  <Lines>453</Lines>
  <Paragraphs>127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khaled waleed</cp:lastModifiedBy>
  <cp:revision>2</cp:revision>
  <cp:lastPrinted>2026-07-11T09:17:00Z</cp:lastPrinted>
  <dcterms:created xsi:type="dcterms:W3CDTF">2026-07-18T20:35:00Z</dcterms:created>
  <dcterms:modified xsi:type="dcterms:W3CDTF">2026-07-18T20:35:00Z</dcterms:modified>
</cp:coreProperties>
</file>