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7BF9" w14:textId="77777777" w:rsidR="006A2E70" w:rsidRPr="00C75E7C" w:rsidRDefault="006A2E70" w:rsidP="006A2E70">
      <w:pPr>
        <w:bidi/>
        <w:spacing w:line="240" w:lineRule="auto"/>
        <w:ind w:hanging="283"/>
        <w:jc w:val="both"/>
        <w:rPr>
          <w:rFonts w:ascii="ae_Cortoba" w:hAnsi="ae_Cortoba" w:cs="ae_Cortoba"/>
          <w:b/>
          <w:bCs/>
          <w:color w:val="8496B0" w:themeColor="text2" w:themeTint="99"/>
          <w:sz w:val="40"/>
          <w:szCs w:val="40"/>
          <w:rtl/>
        </w:rPr>
      </w:pPr>
      <w:r w:rsidRPr="00C75E7C">
        <w:rPr>
          <w:rFonts w:ascii="Times New Roman"/>
          <w:b/>
          <w:noProof/>
          <w:sz w:val="20"/>
        </w:rPr>
        <w:drawing>
          <wp:anchor distT="0" distB="0" distL="114300" distR="114300" simplePos="0" relativeHeight="251659264" behindDoc="0" locked="0" layoutInCell="1" allowOverlap="1" wp14:anchorId="2FB7C5DF" wp14:editId="382EBE8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7ACC2AC" w14:textId="77777777" w:rsidR="006A2E70" w:rsidRPr="00C75E7C" w:rsidRDefault="006A2E70" w:rsidP="006A2E70">
      <w:pPr>
        <w:bidi/>
        <w:spacing w:line="240" w:lineRule="auto"/>
        <w:jc w:val="both"/>
        <w:rPr>
          <w:rFonts w:ascii="Calibri" w:hAnsi="Calibri" w:cs="Calibri"/>
          <w:b/>
          <w:bCs/>
          <w:color w:val="8496B0" w:themeColor="text2" w:themeTint="99"/>
          <w:sz w:val="40"/>
          <w:szCs w:val="40"/>
          <w:rtl/>
        </w:rPr>
      </w:pPr>
    </w:p>
    <w:p w14:paraId="09B4F157" w14:textId="77777777" w:rsidR="006A2E70" w:rsidRPr="00C75E7C" w:rsidRDefault="006A2E70" w:rsidP="006A2E70">
      <w:pPr>
        <w:bidi/>
        <w:spacing w:line="276" w:lineRule="auto"/>
        <w:jc w:val="both"/>
        <w:rPr>
          <w:rFonts w:cs="Arial"/>
          <w:sz w:val="28"/>
          <w:szCs w:val="28"/>
          <w:rtl/>
        </w:rPr>
      </w:pPr>
    </w:p>
    <w:p w14:paraId="7D9B5A90" w14:textId="77777777" w:rsidR="006A2E70" w:rsidRPr="00C75E7C" w:rsidRDefault="006A2E70" w:rsidP="006A2E70">
      <w:pPr>
        <w:bidi/>
        <w:spacing w:line="276" w:lineRule="auto"/>
        <w:jc w:val="both"/>
        <w:rPr>
          <w:rFonts w:cs="Arial"/>
          <w:sz w:val="28"/>
          <w:szCs w:val="28"/>
          <w:rtl/>
        </w:rPr>
      </w:pPr>
    </w:p>
    <w:p w14:paraId="4BEE3CD9" w14:textId="77777777" w:rsidR="006A2E70" w:rsidRDefault="006A2E70" w:rsidP="006A2E70">
      <w:pPr>
        <w:bidi/>
        <w:rPr>
          <w:rFonts w:cs="Arial"/>
          <w:sz w:val="28"/>
          <w:szCs w:val="28"/>
          <w:rtl/>
        </w:rPr>
      </w:pPr>
    </w:p>
    <w:p w14:paraId="0DA13876" w14:textId="77777777" w:rsidR="006A2E70" w:rsidRDefault="006A2E70" w:rsidP="006A2E70">
      <w:pPr>
        <w:bidi/>
        <w:jc w:val="center"/>
        <w:rPr>
          <w:rFonts w:cs="Arial"/>
          <w:b/>
          <w:bCs/>
        </w:rPr>
      </w:pPr>
    </w:p>
    <w:p w14:paraId="7CFFC25B" w14:textId="77777777" w:rsidR="006A2E70" w:rsidRPr="00856EF4" w:rsidRDefault="006A2E70" w:rsidP="006A2E70">
      <w:pPr>
        <w:bidi/>
        <w:jc w:val="center"/>
        <w:rPr>
          <w:rFonts w:ascii="Arial" w:hAnsi="Arial" w:cs="Monotype Koufi"/>
          <w:b/>
          <w:bCs/>
          <w:sz w:val="44"/>
          <w:szCs w:val="44"/>
          <w:rtl/>
        </w:rPr>
      </w:pPr>
      <w:r w:rsidRPr="00856EF4">
        <w:rPr>
          <w:rFonts w:ascii="Arial" w:hAnsi="Arial" w:cs="Monotype Koufi" w:hint="cs"/>
          <w:b/>
          <w:bCs/>
          <w:sz w:val="44"/>
          <w:szCs w:val="44"/>
          <w:rtl/>
        </w:rPr>
        <w:t>بحث</w:t>
      </w:r>
      <w:r w:rsidRPr="00856EF4">
        <w:rPr>
          <w:rFonts w:ascii="Arial" w:hAnsi="Arial" w:cs="Monotype Koufi"/>
          <w:b/>
          <w:bCs/>
          <w:sz w:val="44"/>
          <w:szCs w:val="44"/>
        </w:rPr>
        <w:t xml:space="preserve"> </w:t>
      </w:r>
      <w:r w:rsidRPr="00856EF4">
        <w:rPr>
          <w:rFonts w:ascii="Arial" w:hAnsi="Arial" w:cs="Arial" w:hint="cs"/>
          <w:b/>
          <w:bCs/>
          <w:sz w:val="44"/>
          <w:szCs w:val="44"/>
          <w:rtl/>
        </w:rPr>
        <w:t>للتسجيل لدرجة</w:t>
      </w:r>
      <w:r>
        <w:rPr>
          <w:rFonts w:ascii="Arial" w:hAnsi="Arial" w:cs="Arial" w:hint="cs"/>
          <w:b/>
          <w:bCs/>
          <w:sz w:val="44"/>
          <w:szCs w:val="44"/>
          <w:rtl/>
        </w:rPr>
        <w:t xml:space="preserve"> الدكتوراة</w:t>
      </w:r>
    </w:p>
    <w:p w14:paraId="7AD025CD" w14:textId="77777777" w:rsidR="006A2E70" w:rsidRPr="00C75E7C" w:rsidRDefault="006A2E70" w:rsidP="006A2E70">
      <w:pPr>
        <w:bidi/>
        <w:spacing w:line="276" w:lineRule="auto"/>
        <w:jc w:val="center"/>
        <w:rPr>
          <w:rFonts w:cs="Arial"/>
          <w:b/>
          <w:bCs/>
        </w:rPr>
      </w:pPr>
    </w:p>
    <w:p w14:paraId="1E471659" w14:textId="77777777" w:rsidR="006A2E70" w:rsidRPr="00C75E7C" w:rsidRDefault="006A2E70" w:rsidP="006A2E70">
      <w:pPr>
        <w:bidi/>
        <w:spacing w:before="600" w:line="276" w:lineRule="auto"/>
        <w:jc w:val="center"/>
        <w:rPr>
          <w:rFonts w:ascii="Sakkal Majalla" w:hAnsi="Sakkal Majalla" w:cs="Sakkal Majalla"/>
          <w:b/>
          <w:bCs/>
          <w:sz w:val="40"/>
          <w:szCs w:val="40"/>
        </w:rPr>
      </w:pPr>
      <w:r w:rsidRPr="00C75E7C">
        <w:rPr>
          <w:rFonts w:ascii="Sakkal Majalla" w:hAnsi="Sakkal Majalla" w:cs="Sakkal Majalla" w:hint="cs"/>
          <w:b/>
          <w:bCs/>
          <w:sz w:val="40"/>
          <w:szCs w:val="40"/>
          <w:rtl/>
        </w:rPr>
        <w:t>أثر تبني تقنيات الذكاء الاصطناعي على فاعلية القرارات الاستراتيجية لدى</w:t>
      </w:r>
      <w:r w:rsidRPr="00C75E7C">
        <w:rPr>
          <w:rFonts w:ascii="Sakkal Majalla" w:hAnsi="Sakkal Majalla" w:cs="Sakkal Majalla" w:hint="cs"/>
          <w:b/>
          <w:bCs/>
          <w:sz w:val="40"/>
          <w:szCs w:val="40"/>
        </w:rPr>
        <w:t xml:space="preserve"> </w:t>
      </w:r>
      <w:r w:rsidRPr="00C75E7C">
        <w:rPr>
          <w:rFonts w:ascii="Sakkal Majalla" w:hAnsi="Sakkal Majalla" w:cs="Sakkal Majalla" w:hint="cs"/>
          <w:b/>
          <w:bCs/>
          <w:sz w:val="40"/>
          <w:szCs w:val="40"/>
          <w:rtl/>
        </w:rPr>
        <w:t>التنفيذيين في شركات الأغذية الكبرى في المملكة في ضوء رؤية 2030</w:t>
      </w:r>
    </w:p>
    <w:p w14:paraId="283104F6" w14:textId="77777777" w:rsidR="006A2E70" w:rsidRPr="00C75E7C" w:rsidRDefault="006A2E70" w:rsidP="006A2E70">
      <w:pPr>
        <w:bidi/>
        <w:spacing w:before="600" w:line="276" w:lineRule="auto"/>
        <w:jc w:val="center"/>
        <w:rPr>
          <w:rFonts w:ascii="Sakkal Majalla" w:hAnsi="Sakkal Majalla" w:cs="Sakkal Majalla"/>
          <w:b/>
          <w:bCs/>
          <w:sz w:val="36"/>
          <w:szCs w:val="36"/>
        </w:rPr>
      </w:pPr>
      <w:r w:rsidRPr="00C75E7C">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C75E7C">
        <w:rPr>
          <w:rFonts w:ascii="Sakkal Majalla" w:hAnsi="Sakkal Majalla" w:cs="Sakkal Majalla"/>
          <w:b/>
          <w:bCs/>
          <w:sz w:val="36"/>
          <w:szCs w:val="36"/>
        </w:rPr>
        <w:t>in light of</w:t>
      </w:r>
      <w:proofErr w:type="gramEnd"/>
      <w:r w:rsidRPr="00C75E7C">
        <w:rPr>
          <w:rFonts w:ascii="Sakkal Majalla" w:hAnsi="Sakkal Majalla" w:cs="Sakkal Majalla"/>
          <w:b/>
          <w:bCs/>
          <w:sz w:val="36"/>
          <w:szCs w:val="36"/>
        </w:rPr>
        <w:t xml:space="preserve"> Vision 2030</w:t>
      </w:r>
      <w:r w:rsidRPr="00C75E7C">
        <w:rPr>
          <w:rFonts w:ascii="Sakkal Majalla" w:hAnsi="Sakkal Majalla" w:cs="Sakkal Majalla"/>
          <w:b/>
          <w:bCs/>
          <w:sz w:val="36"/>
          <w:szCs w:val="36"/>
          <w:rtl/>
        </w:rPr>
        <w:t>.</w:t>
      </w:r>
    </w:p>
    <w:p w14:paraId="7B9826C8" w14:textId="77777777" w:rsidR="006A2E70" w:rsidRPr="00C75E7C" w:rsidRDefault="006A2E70" w:rsidP="006A2E70">
      <w:pPr>
        <w:bidi/>
        <w:spacing w:line="276" w:lineRule="auto"/>
        <w:jc w:val="center"/>
        <w:rPr>
          <w:rFonts w:ascii="Simplified Arabic" w:hAnsi="Simplified Arabic" w:cs="Simplified Arabic"/>
          <w:b/>
          <w:bCs/>
          <w:sz w:val="32"/>
          <w:szCs w:val="32"/>
          <w:rtl/>
        </w:rPr>
      </w:pPr>
      <w:r w:rsidRPr="00C75E7C">
        <w:rPr>
          <w:rFonts w:ascii="Simplified Arabic" w:hAnsi="Simplified Arabic" w:cs="Simplified Arabic"/>
          <w:b/>
          <w:bCs/>
          <w:sz w:val="32"/>
          <w:szCs w:val="32"/>
          <w:rtl/>
        </w:rPr>
        <w:t>اعداد</w:t>
      </w:r>
    </w:p>
    <w:p w14:paraId="1714C98F" w14:textId="77777777" w:rsidR="006A2E70" w:rsidRPr="008F7B21" w:rsidRDefault="006A2E70" w:rsidP="006A2E70">
      <w:pPr>
        <w:bidi/>
        <w:spacing w:line="276" w:lineRule="auto"/>
        <w:jc w:val="center"/>
        <w:rPr>
          <w:rFonts w:ascii="Simplified Arabic" w:hAnsi="Simplified Arabic" w:cs="Simplified Arabic"/>
          <w:b/>
          <w:bCs/>
          <w:sz w:val="32"/>
          <w:szCs w:val="32"/>
          <w:rtl/>
        </w:rPr>
      </w:pPr>
      <w:r w:rsidRPr="008F7B21">
        <w:rPr>
          <w:rFonts w:ascii="Simplified Arabic" w:hAnsi="Simplified Arabic" w:cs="Simplified Arabic"/>
          <w:b/>
          <w:bCs/>
          <w:sz w:val="32"/>
          <w:szCs w:val="32"/>
          <w:rtl/>
        </w:rPr>
        <w:t xml:space="preserve">علي حسن الشهري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8F7B21">
        <w:rPr>
          <w:rFonts w:ascii="Simplified Arabic" w:hAnsi="Simplified Arabic" w:cs="Simplified Arabic"/>
          <w:b/>
          <w:bCs/>
          <w:sz w:val="32"/>
          <w:szCs w:val="32"/>
          <w:rtl/>
        </w:rPr>
        <w:t>232001355</w:t>
      </w:r>
    </w:p>
    <w:p w14:paraId="13853304" w14:textId="77777777" w:rsidR="006A2E70" w:rsidRDefault="006A2E70" w:rsidP="006A2E70">
      <w:pPr>
        <w:bidi/>
        <w:spacing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اشراف / د. مضر علي </w:t>
      </w:r>
    </w:p>
    <w:p w14:paraId="7802DF8A" w14:textId="77777777" w:rsidR="006A2E70" w:rsidRPr="00C75E7C" w:rsidRDefault="006A2E70" w:rsidP="006A2E70">
      <w:pPr>
        <w:bidi/>
        <w:spacing w:line="276" w:lineRule="auto"/>
        <w:jc w:val="center"/>
        <w:rPr>
          <w:rFonts w:ascii="Sakkal Majalla" w:hAnsi="Sakkal Majalla" w:cs="Sakkal Majalla"/>
          <w:b/>
          <w:bCs/>
          <w:sz w:val="36"/>
          <w:szCs w:val="36"/>
        </w:rPr>
      </w:pPr>
      <w:r w:rsidRPr="00C75E7C">
        <w:rPr>
          <w:rFonts w:ascii="Sakkal Majalla" w:hAnsi="Sakkal Majalla" w:cs="Sakkal Majalla" w:hint="cs"/>
          <w:b/>
          <w:bCs/>
          <w:sz w:val="36"/>
          <w:szCs w:val="36"/>
          <w:rtl/>
        </w:rPr>
        <w:t xml:space="preserve">رسالة مقدمة لجامعة </w:t>
      </w:r>
      <w:proofErr w:type="spellStart"/>
      <w:r w:rsidRPr="00C75E7C">
        <w:rPr>
          <w:rFonts w:ascii="Sakkal Majalla" w:hAnsi="Sakkal Majalla" w:cs="Sakkal Majalla" w:hint="cs"/>
          <w:b/>
          <w:bCs/>
          <w:sz w:val="36"/>
          <w:szCs w:val="36"/>
          <w:rtl/>
        </w:rPr>
        <w:t>ميدأوشن</w:t>
      </w:r>
      <w:proofErr w:type="spellEnd"/>
      <w:r w:rsidRPr="00C75E7C">
        <w:rPr>
          <w:rFonts w:ascii="Sakkal Majalla" w:hAnsi="Sakkal Majalla" w:cs="Sakkal Majalla" w:hint="cs"/>
          <w:b/>
          <w:bCs/>
          <w:sz w:val="36"/>
          <w:szCs w:val="36"/>
          <w:rtl/>
        </w:rPr>
        <w:t xml:space="preserve"> لنيل درجة الدكتوراه في إدارة الأعمال</w:t>
      </w:r>
    </w:p>
    <w:p w14:paraId="2146AF17" w14:textId="04C899F7" w:rsidR="006A2E70" w:rsidRPr="00C75E7C" w:rsidRDefault="006A2E70" w:rsidP="006A2E70">
      <w:pPr>
        <w:bidi/>
        <w:spacing w:line="276" w:lineRule="auto"/>
        <w:jc w:val="center"/>
        <w:rPr>
          <w:rFonts w:ascii="Calibri" w:hAnsi="Calibri" w:cs="Calibri"/>
          <w:b/>
          <w:bCs/>
          <w:sz w:val="28"/>
          <w:szCs w:val="28"/>
          <w:rtl/>
          <w:lang w:bidi="ar-EG"/>
        </w:rPr>
        <w:sectPr w:rsidR="006A2E70" w:rsidRPr="00C75E7C" w:rsidSect="006A2E70">
          <w:footerReference w:type="default" r:id="rId6"/>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75E7C">
        <w:rPr>
          <w:rFonts w:ascii="Calibri" w:hAnsi="Calibri" w:cs="Calibri" w:hint="cs"/>
          <w:b/>
          <w:bCs/>
          <w:sz w:val="28"/>
          <w:szCs w:val="28"/>
          <w:rtl/>
        </w:rPr>
        <w:t>144</w:t>
      </w:r>
      <w:r>
        <w:rPr>
          <w:rFonts w:ascii="Calibri" w:hAnsi="Calibri" w:cs="Calibri" w:hint="cs"/>
          <w:b/>
          <w:bCs/>
          <w:sz w:val="28"/>
          <w:szCs w:val="28"/>
          <w:rtl/>
        </w:rPr>
        <w:t>7</w:t>
      </w:r>
      <w:r w:rsidRPr="00C75E7C">
        <w:rPr>
          <w:rFonts w:ascii="Calibri" w:hAnsi="Calibri" w:cs="Calibri" w:hint="cs"/>
          <w:b/>
          <w:bCs/>
          <w:sz w:val="28"/>
          <w:szCs w:val="28"/>
          <w:rtl/>
        </w:rPr>
        <w:t>ه - 202</w:t>
      </w:r>
      <w:r>
        <w:rPr>
          <w:rFonts w:ascii="Calibri" w:hAnsi="Calibri" w:cs="Calibri" w:hint="cs"/>
          <w:b/>
          <w:bCs/>
          <w:sz w:val="28"/>
          <w:szCs w:val="28"/>
          <w:rtl/>
        </w:rPr>
        <w:t>6</w:t>
      </w:r>
      <w:r w:rsidRPr="00C75E7C">
        <w:rPr>
          <w:rFonts w:ascii="Calibri" w:hAnsi="Calibri" w:cs="Calibri" w:hint="cs"/>
          <w:b/>
          <w:bCs/>
          <w:sz w:val="28"/>
          <w:szCs w:val="28"/>
          <w:rtl/>
        </w:rPr>
        <w:t>م</w:t>
      </w:r>
    </w:p>
    <w:p w14:paraId="47C327D3" w14:textId="77777777" w:rsidR="006A2E70" w:rsidRDefault="006A2E70" w:rsidP="006A2E70">
      <w:pPr>
        <w:bidi/>
        <w:jc w:val="center"/>
        <w:rPr>
          <w:rFonts w:asciiTheme="majorBidi" w:hAnsiTheme="majorBidi" w:cstheme="majorBidi"/>
          <w:b/>
          <w:bCs/>
          <w:sz w:val="28"/>
          <w:szCs w:val="28"/>
          <w:rtl/>
          <w:lang w:bidi="ar-EG"/>
        </w:rPr>
      </w:pPr>
    </w:p>
    <w:p w14:paraId="1B2CD2A7" w14:textId="77777777" w:rsidR="006A2E70" w:rsidRDefault="006A2E70" w:rsidP="006A2E70">
      <w:pPr>
        <w:bidi/>
        <w:jc w:val="center"/>
        <w:rPr>
          <w:rFonts w:asciiTheme="majorBidi" w:hAnsiTheme="majorBidi" w:cstheme="majorBidi"/>
          <w:b/>
          <w:bCs/>
          <w:sz w:val="28"/>
          <w:szCs w:val="28"/>
          <w:rtl/>
          <w:lang w:bidi="ar-EG"/>
        </w:rPr>
      </w:pPr>
    </w:p>
    <w:p w14:paraId="2DE5825F" w14:textId="77777777" w:rsidR="006A2E70" w:rsidRDefault="006A2E70" w:rsidP="006A2E70">
      <w:pPr>
        <w:bidi/>
        <w:jc w:val="center"/>
        <w:rPr>
          <w:rFonts w:asciiTheme="majorBidi" w:hAnsiTheme="majorBidi" w:cstheme="majorBidi"/>
          <w:b/>
          <w:bCs/>
          <w:sz w:val="28"/>
          <w:szCs w:val="28"/>
          <w:rtl/>
          <w:lang w:bidi="ar-EG"/>
        </w:rPr>
      </w:pPr>
    </w:p>
    <w:p w14:paraId="6FE6EF70" w14:textId="77777777" w:rsidR="006A2E70" w:rsidRDefault="006A2E70" w:rsidP="006A2E70">
      <w:pPr>
        <w:bidi/>
        <w:jc w:val="center"/>
        <w:rPr>
          <w:rFonts w:asciiTheme="majorBidi" w:hAnsiTheme="majorBidi" w:cstheme="majorBidi"/>
          <w:b/>
          <w:bCs/>
          <w:sz w:val="28"/>
          <w:szCs w:val="28"/>
          <w:rtl/>
          <w:lang w:bidi="ar-EG"/>
        </w:rPr>
      </w:pPr>
    </w:p>
    <w:p w14:paraId="6C9B2CAC" w14:textId="58C74676" w:rsidR="00B52242" w:rsidRPr="006A2E70" w:rsidRDefault="00B52242" w:rsidP="006A2E70">
      <w:pPr>
        <w:bidi/>
        <w:jc w:val="center"/>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الفصل الثاني</w:t>
      </w:r>
    </w:p>
    <w:p w14:paraId="180DAF6F" w14:textId="77777777" w:rsidR="00BB70EF" w:rsidRPr="006A2E70" w:rsidRDefault="0061595F" w:rsidP="00286260">
      <w:pPr>
        <w:bidi/>
        <w:jc w:val="center"/>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الإطار النظري</w:t>
      </w:r>
    </w:p>
    <w:p w14:paraId="600FECFF" w14:textId="77777777" w:rsidR="00791C39" w:rsidRPr="006A2E70" w:rsidRDefault="00E461E3" w:rsidP="0013066F">
      <w:pPr>
        <w:bidi/>
        <w:rPr>
          <w:rFonts w:asciiTheme="majorBidi" w:hAnsiTheme="majorBidi" w:cstheme="majorBidi"/>
          <w:b/>
          <w:bCs/>
          <w:sz w:val="28"/>
          <w:szCs w:val="28"/>
          <w:rtl/>
        </w:rPr>
      </w:pPr>
      <w:r w:rsidRPr="006A2E70">
        <w:rPr>
          <w:rFonts w:asciiTheme="majorBidi" w:hAnsiTheme="majorBidi" w:cstheme="majorBidi"/>
          <w:b/>
          <w:bCs/>
          <w:sz w:val="28"/>
          <w:szCs w:val="28"/>
          <w:rtl/>
        </w:rPr>
        <w:t xml:space="preserve">المبحث الأول: </w:t>
      </w:r>
      <w:r w:rsidR="0042670A" w:rsidRPr="006A2E70">
        <w:rPr>
          <w:rFonts w:asciiTheme="majorBidi" w:hAnsiTheme="majorBidi" w:cstheme="majorBidi"/>
          <w:b/>
          <w:bCs/>
          <w:sz w:val="28"/>
          <w:szCs w:val="28"/>
          <w:rtl/>
        </w:rPr>
        <w:t>تقنيات الذكاء الاصطناعي</w:t>
      </w:r>
    </w:p>
    <w:p w14:paraId="5E03CAE7" w14:textId="77777777" w:rsidR="0088508C" w:rsidRPr="006A2E70" w:rsidRDefault="0088508C" w:rsidP="0088508C">
      <w:pPr>
        <w:bidi/>
        <w:jc w:val="both"/>
        <w:rPr>
          <w:rFonts w:asciiTheme="majorBidi" w:hAnsiTheme="majorBidi" w:cstheme="majorBidi"/>
          <w:b/>
          <w:bCs/>
          <w:sz w:val="28"/>
          <w:szCs w:val="28"/>
          <w:rtl/>
        </w:rPr>
      </w:pPr>
      <w:r w:rsidRPr="006A2E70">
        <w:rPr>
          <w:rFonts w:asciiTheme="majorBidi" w:hAnsiTheme="majorBidi" w:cstheme="majorBidi"/>
          <w:b/>
          <w:bCs/>
          <w:sz w:val="28"/>
          <w:szCs w:val="28"/>
          <w:rtl/>
        </w:rPr>
        <w:t xml:space="preserve">أولاً: </w:t>
      </w:r>
      <w:r w:rsidR="00907458" w:rsidRPr="006A2E70">
        <w:rPr>
          <w:rFonts w:asciiTheme="majorBidi" w:hAnsiTheme="majorBidi" w:cstheme="majorBidi"/>
          <w:b/>
          <w:bCs/>
          <w:sz w:val="28"/>
          <w:szCs w:val="28"/>
          <w:rtl/>
        </w:rPr>
        <w:t xml:space="preserve">الإطار المفاهيمي </w:t>
      </w:r>
      <w:r w:rsidR="00A1165D" w:rsidRPr="006A2E70">
        <w:rPr>
          <w:rFonts w:asciiTheme="majorBidi" w:hAnsiTheme="majorBidi" w:cstheme="majorBidi"/>
          <w:b/>
          <w:bCs/>
          <w:sz w:val="28"/>
          <w:szCs w:val="28"/>
          <w:rtl/>
        </w:rPr>
        <w:t>لتقنيات الذكاء الاصطناعي</w:t>
      </w:r>
    </w:p>
    <w:p w14:paraId="528BD8B5" w14:textId="77777777" w:rsidR="0088508C" w:rsidRPr="006A2E70" w:rsidRDefault="0088508C" w:rsidP="0088508C">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يمثل الذكاء الاصطناعي محورًا أساسيًا في التحولات المعرفية والتكنولوجية الحديثة التي أعادت تشكيل نماذج العمل المؤسسي وطبيعة اتخاذ القرار في المنظمات. لم يعد الذكاء الاصطناعي مجرد أداة رقمية لمعالجة البيانات، بل أصبح إطارًا معرفيًا متكاملاً يتيح للأنظمة الحاسوبية محاكاة القدرات العقلية البشرية مثل التعلم، والاستدلال، والتنبؤ، والتحليل المعقد للعلاقات بين المتغيرات. وتظهر أهميته في توفير حلول تعتمد على المعرفة العلمية المستندة إلى البيانات، بدلًا من الاعتماد على الحدس البشري وحده، وهو ما أسهم في تعزيز فعالية القرارات على مستوى التخطيط الاستراتيجي. ويمكن النظر إلى الذكاء الاصطناعي ليس فقط كأداة تقنية، بل كمنظومة معرفية تسهم في إعادة ترتيب أولويات المؤسسات وتحسين قدرتها على التكيف مع البيئات المتغيرة بسرعة، وهو ما يتطلب قراءة نقدية تجمع بين الفهم التقني والتحليل الإداري العميق، بحيث يكون لدى الباحث رؤية شاملة حول الإمكانات والمحددات التي يفرضها هذا التحول الرقمي</w:t>
      </w:r>
      <w:r w:rsidRPr="006A2E70">
        <w:rPr>
          <w:rFonts w:asciiTheme="majorBidi" w:hAnsiTheme="majorBidi" w:cstheme="majorBidi"/>
          <w:sz w:val="28"/>
          <w:szCs w:val="28"/>
        </w:rPr>
        <w:t>.</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Aljohani</w:t>
      </w:r>
      <w:proofErr w:type="spellEnd"/>
      <w:r w:rsidR="00E27D71" w:rsidRPr="006A2E70">
        <w:rPr>
          <w:rFonts w:asciiTheme="majorBidi" w:hAnsiTheme="majorBidi" w:cstheme="majorBidi"/>
          <w:sz w:val="28"/>
          <w:szCs w:val="28"/>
        </w:rPr>
        <w:t xml:space="preserve"> &amp; </w:t>
      </w:r>
      <w:proofErr w:type="spellStart"/>
      <w:r w:rsidR="00E27D71" w:rsidRPr="006A2E70">
        <w:rPr>
          <w:rFonts w:asciiTheme="majorBidi" w:hAnsiTheme="majorBidi" w:cstheme="majorBidi"/>
          <w:sz w:val="28"/>
          <w:szCs w:val="28"/>
        </w:rPr>
        <w:t>Albliwi</w:t>
      </w:r>
      <w:proofErr w:type="spellEnd"/>
      <w:r w:rsidR="00E27D71" w:rsidRPr="006A2E70">
        <w:rPr>
          <w:rFonts w:asciiTheme="majorBidi" w:hAnsiTheme="majorBidi" w:cstheme="majorBidi"/>
          <w:sz w:val="28"/>
          <w:szCs w:val="28"/>
        </w:rPr>
        <w:t>, 2022, p.1)</w:t>
      </w:r>
    </w:p>
    <w:p w14:paraId="5A057AF5" w14:textId="77777777" w:rsidR="0088508C" w:rsidRPr="006A2E70" w:rsidRDefault="0088508C" w:rsidP="0088508C">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تاريخيًا، مرت تقنيات الذكاء الاصطناعي بمراحل تطورية تعكس طبيعة التقدم العلمي والتكنولوجي على مر العقود. فقد انطلقت هذه التقنيات في بداياتها من محاولات نظرية تهدف إلى تصميم أنظمة تعتمد على قواعد منطقية ثابتة لمحاكاة التفكير البشري، إلا أن محدودية هذه النماذج في التعامل مع المشكلات غير الهيكلية والبيئات الديناميكية دفعت إلى تطوير خوارزميات أكثر تعقيدًا، قادرة على التعلم من البيانات والتفاعل مع المتغيرات الجديدة. ومع توسع حجم البيانات الرقمية وزيادة قدرات الحوسبة، ظهرت أنظمة تستطيع بناء نماذج تنبؤية معقدة تعزز القدرة على استشراف المستقبل واتخاذ قرارات مدروسة. ويكشف التحليل النقدي لهذه المرحلة عن أن الذكاء الاصطناعي لم يكن مجرد تقدم تقني، بل تحول معرفي يعيد تشكيل السلطة المعرفية داخل المنظمات، إذ أصبح القرار الإداري يتأثر بشكل متزايد بنتائج التحليل الخوارزمي المستند إلى البيانات، ما يستدعي قدرة قيادية على الدمج بين التقدير البشري والاستنتاج الآلي</w:t>
      </w:r>
      <w:r w:rsidRPr="006A2E70">
        <w:rPr>
          <w:rFonts w:asciiTheme="majorBidi" w:hAnsiTheme="majorBidi" w:cstheme="majorBidi"/>
          <w:sz w:val="28"/>
          <w:szCs w:val="28"/>
        </w:rPr>
        <w:t>.</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(AlQahtani, 2023, p.1)</w:t>
      </w:r>
    </w:p>
    <w:p w14:paraId="1F4AF5BA" w14:textId="77777777" w:rsidR="0088508C" w:rsidRPr="006A2E70" w:rsidRDefault="0088508C" w:rsidP="0088508C">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 xml:space="preserve">تتميز أنظمة الذكاء الاصطناعي بمجموعة من الخصائص التشغيلية والمعرفية التي تجعلها متفوقة على الأنظمة التقليدية. فهي تمتلك القدرة على التعلم المستمر والتكيف مع البيئات المتغيرة، ما يمنحها مرونة فائقة في مواجهة التعقيدات التنظيمية. كما تستطيع معالجة كميات هائلة من البيانات بسرعة ودقة، واكتشاف أنماط خفية لا يمكن ملاحظتها بالطرق التقليدية، وهو ما يعزز التخطيط </w:t>
      </w:r>
      <w:r w:rsidRPr="006A2E70">
        <w:rPr>
          <w:rFonts w:asciiTheme="majorBidi" w:hAnsiTheme="majorBidi" w:cstheme="majorBidi"/>
          <w:sz w:val="28"/>
          <w:szCs w:val="28"/>
          <w:rtl/>
        </w:rPr>
        <w:lastRenderedPageBreak/>
        <w:t>الاستراتيجي واتخاذ القرار الاستباقي. غير أن هذه القدرات المثالية لا تخلو من أبعاد نقدية، إذ يمكن أن يؤدي الإفراط في الاعتماد على التحليل الخوارزمي إلى تهميش الدور البشري، خاصة في المواقف التي تتطلب تقديرًا سياقيًا أو حكماً أخلاقياً يتجاوز قدرة النماذج الرقمية. ومن هذا المنطلق، يصبح من الضروري اعتماد منظور تكاملي يوازن بين التحليل الذكي والحكم البشري لضمان استمرارية فعالية القرارات على المستويين التشغيلي والاستراتيجي</w:t>
      </w:r>
      <w:r w:rsidRPr="006A2E70">
        <w:rPr>
          <w:rFonts w:asciiTheme="majorBidi" w:hAnsiTheme="majorBidi" w:cstheme="majorBidi"/>
          <w:sz w:val="28"/>
          <w:szCs w:val="28"/>
        </w:rPr>
        <w:t>.</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Alarefi</w:t>
      </w:r>
      <w:proofErr w:type="spellEnd"/>
      <w:r w:rsidR="00E27D71" w:rsidRPr="006A2E70">
        <w:rPr>
          <w:rFonts w:asciiTheme="majorBidi" w:hAnsiTheme="majorBidi" w:cstheme="majorBidi"/>
          <w:sz w:val="28"/>
          <w:szCs w:val="28"/>
        </w:rPr>
        <w:t>, 2024, p.16802)</w:t>
      </w:r>
    </w:p>
    <w:p w14:paraId="19C1A98E" w14:textId="77777777" w:rsidR="0088508C" w:rsidRPr="006A2E70" w:rsidRDefault="0088508C" w:rsidP="0088508C">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تتمثل الفروق الجوهرية بين أنظمة الذكاء الاصطناعي والأنظمة التقليدية في طبيعة المعالجة المعرفية، إذ تعتمد الأخيرة على تعليمات برمجية محددة مسبقًا لتنفيذ المهام، بينما تمتلك الأولى قدرة ديناميكية على التعلم الذاتي واكتشاف العلاقات المعقدة بين المتغيرات. تمنح هذه الخاصية المنظمات مرونة أكبر في التعامل مع بيئات غير مستقرة أو متغيرة بسرعة، لكنها تضع مسؤولية كبيرة على القادة لضمان جودة البيانات المستخدمة، إذ إن موثوقية نتائج النماذج الذكية مرتبطة ارتباطًا مباشرًا بدقة وصحة المدخلات. ومن هنا، يتضح أن نجاح تبني هذه التقنيات لا يقتصر على الجانب الفني، بل يرتبط ارتباطًا وثيقًا بالحوكمة المؤسسية، وبناء ثقافة تنظيمية قادرة على دمج الابتكار التقني مع الخبرة البشرية</w:t>
      </w:r>
      <w:r w:rsidRPr="006A2E70">
        <w:rPr>
          <w:rFonts w:asciiTheme="majorBidi" w:hAnsiTheme="majorBidi" w:cstheme="majorBidi"/>
          <w:sz w:val="28"/>
          <w:szCs w:val="28"/>
        </w:rPr>
        <w:t>.</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Kazaba</w:t>
      </w:r>
      <w:proofErr w:type="spellEnd"/>
      <w:r w:rsidR="00E27D71" w:rsidRPr="006A2E70">
        <w:rPr>
          <w:rFonts w:asciiTheme="majorBidi" w:hAnsiTheme="majorBidi" w:cstheme="majorBidi"/>
          <w:sz w:val="28"/>
          <w:szCs w:val="28"/>
        </w:rPr>
        <w:t>, 2024, p.1291)</w:t>
      </w:r>
    </w:p>
    <w:p w14:paraId="35925CEA" w14:textId="77777777" w:rsidR="0088508C" w:rsidRPr="006A2E70" w:rsidRDefault="0088508C" w:rsidP="0088508C">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يمكن النظر إلى الذكاء الاصطناعي أيضًا كعنصر مزدوج الأثر؛ فهو يعزز الكفاءة التشغيلية ويزيد دقة القرارات، لكنه يفرض تحديات على صعيد إدارة التغيير وإعادة تأهيل الموارد البشرية. فالمؤسسات التي تسعى إلى تبني هذه التقنيات بحاجة إلى تطوير مهارات العاملين، وتبني سياسات تدريبية مستمرة لضمان القدرة على التعامل مع النظم الذكية بشكل فعّال. ومن ناحية أخرى، يوفر الذكاء الاصطناعي فرصة لإعادة صياغة العمليات المؤسسية، وتحويلها من نماذج روتينية محدودة إلى عمليات ديناميكية تعتمد على تحليل البيانات في الوقت الفعلي، ما يسهم في تحسين القدرة التنافسية وتحقيق استدامة الأداء المؤسسي</w:t>
      </w:r>
      <w:r w:rsidRPr="006A2E70">
        <w:rPr>
          <w:rFonts w:asciiTheme="majorBidi" w:hAnsiTheme="majorBidi" w:cstheme="majorBidi"/>
          <w:sz w:val="28"/>
          <w:szCs w:val="28"/>
        </w:rPr>
        <w:t>.</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Alsulami</w:t>
      </w:r>
      <w:proofErr w:type="spellEnd"/>
      <w:r w:rsidR="00E27D71" w:rsidRPr="006A2E70">
        <w:rPr>
          <w:rFonts w:asciiTheme="majorBidi" w:hAnsiTheme="majorBidi" w:cstheme="majorBidi"/>
          <w:sz w:val="28"/>
          <w:szCs w:val="28"/>
        </w:rPr>
        <w:t>, 2026, p.504)</w:t>
      </w:r>
    </w:p>
    <w:p w14:paraId="4B035CEA" w14:textId="77777777" w:rsidR="0013066F" w:rsidRPr="006A2E70" w:rsidRDefault="00A1165D" w:rsidP="007A6BF5">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 xml:space="preserve">يتضح مما سبق أن </w:t>
      </w:r>
      <w:r w:rsidR="0088508C" w:rsidRPr="006A2E70">
        <w:rPr>
          <w:rFonts w:asciiTheme="majorBidi" w:hAnsiTheme="majorBidi" w:cstheme="majorBidi"/>
          <w:sz w:val="28"/>
          <w:szCs w:val="28"/>
          <w:rtl/>
        </w:rPr>
        <w:t xml:space="preserve">الذكاء الاصطناعي </w:t>
      </w:r>
      <w:r w:rsidRPr="006A2E70">
        <w:rPr>
          <w:rFonts w:asciiTheme="majorBidi" w:hAnsiTheme="majorBidi" w:cstheme="majorBidi"/>
          <w:sz w:val="28"/>
          <w:szCs w:val="28"/>
          <w:rtl/>
        </w:rPr>
        <w:t xml:space="preserve">يشكل </w:t>
      </w:r>
      <w:r w:rsidR="0088508C" w:rsidRPr="006A2E70">
        <w:rPr>
          <w:rFonts w:asciiTheme="majorBidi" w:hAnsiTheme="majorBidi" w:cstheme="majorBidi"/>
          <w:sz w:val="28"/>
          <w:szCs w:val="28"/>
          <w:rtl/>
        </w:rPr>
        <w:t>عاملًا محفزًا لإعادة التفكير في طبيعة العلاقة بين المعرفة والقرار داخل المنظمات، إذ يعيد توزيع أدوار التفسير والتحليل والتنبؤ بين الإنسان والآلة. ويستلزم هذا التحول تطوير بيئة تنظيمية مرنة تستطيع استيعاب الابتكار الرقمي، مع ضمان التوازن بين الكفاءة التقنية والحكم البشري، بما يعزز قدرة المؤسسات على مواجهة التحولات الاقتصادية والتكنولوجية المعقدة. وبناءً على ذلك، يظهر الذكاء الاصطناعي ليس فقط كأداة لتحسين الأداء، بل كرافد استراتيجي يعيد تشكيل المنطق الإداري ويتيح للمؤسسات فهم ديناميات السوق واتخاذ قرارات أكثر استباقية ودقة، وهو ما يمثل قيمة معرفية واستراتيجية محورية لأي منظمة تسعى للبقاء والتميز في عصر الرقمنة</w:t>
      </w:r>
      <w:r w:rsidR="007A6BF5" w:rsidRPr="006A2E70">
        <w:rPr>
          <w:rFonts w:asciiTheme="majorBidi" w:hAnsiTheme="majorBidi" w:cstheme="majorBidi"/>
          <w:sz w:val="28"/>
          <w:szCs w:val="28"/>
          <w:rtl/>
        </w:rPr>
        <w:t>.</w:t>
      </w:r>
    </w:p>
    <w:p w14:paraId="5B106A07" w14:textId="77777777" w:rsidR="00791C39" w:rsidRPr="006A2E70" w:rsidRDefault="00791C39" w:rsidP="0099716B">
      <w:pPr>
        <w:bidi/>
        <w:rPr>
          <w:rFonts w:asciiTheme="majorBidi" w:hAnsiTheme="majorBidi" w:cstheme="majorBidi"/>
          <w:b/>
          <w:bCs/>
          <w:sz w:val="28"/>
          <w:szCs w:val="28"/>
          <w:rtl/>
          <w:lang w:bidi="ar-EG"/>
        </w:rPr>
      </w:pPr>
      <w:r w:rsidRPr="006A2E70">
        <w:rPr>
          <w:rFonts w:asciiTheme="majorBidi" w:hAnsiTheme="majorBidi" w:cstheme="majorBidi"/>
          <w:b/>
          <w:bCs/>
          <w:sz w:val="28"/>
          <w:szCs w:val="28"/>
          <w:rtl/>
        </w:rPr>
        <w:t>أنواع وتقنيات الذكاء الاصطناعي</w:t>
      </w:r>
    </w:p>
    <w:p w14:paraId="1FC07366" w14:textId="77777777" w:rsidR="007A6BF5" w:rsidRPr="006A2E70" w:rsidRDefault="007A6BF5" w:rsidP="007A6BF5">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تشكل تقنيات الذكاء الاصطناعي اليوم العمود الفقري للتطوير المؤسسي واتخاذ القرار الاستراتيجي، إذ تجاوزت كونها أدوات تحليلية إلى كونها أطرًا معرفية تمكن المؤسسات من التكيف مع بيئات العمل الديناميكية واستشراف المتغيرات المستقبلية. فالذكاء الاصطناعي لا يقتصر على معالجة البيانات الكمية، بل يمتد ليشمل القدرة على استنتاج الأنماط الخفية في المعلومات المعقدة، والتعامل مع بيانات غير منظمة، وتحليل العلاقات المتشابكة بين المتغيرات الداخلية والخارجية للمؤسسة. ومن هذا المنطلق، يمثل فهم أنواع وتقنيات الذكاء الاصطناعي ضرورة حيوية للباحثين </w:t>
      </w:r>
      <w:r w:rsidRPr="006A2E70">
        <w:rPr>
          <w:rFonts w:asciiTheme="majorBidi" w:hAnsiTheme="majorBidi" w:cstheme="majorBidi"/>
          <w:sz w:val="28"/>
          <w:szCs w:val="28"/>
          <w:rtl/>
        </w:rPr>
        <w:lastRenderedPageBreak/>
        <w:t>والمديرين على حد سواء، إذ يتيح لهم إدراك نقاط القوة والقيود المرتبطة بكل تقنية، بما يسهم في اتخاذ قرارات أكثر فاعلية واستدامة</w:t>
      </w:r>
      <w:r w:rsidR="002E2988"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(Hicham &amp; Hamza, 2024, p.185)</w:t>
      </w:r>
    </w:p>
    <w:p w14:paraId="3517D643"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التعلم الآلي</w:t>
      </w:r>
      <w:r w:rsidRPr="006A2E70">
        <w:rPr>
          <w:rFonts w:asciiTheme="majorBidi" w:hAnsiTheme="majorBidi" w:cstheme="majorBidi"/>
          <w:b/>
          <w:bCs/>
          <w:sz w:val="28"/>
          <w:szCs w:val="28"/>
          <w:lang w:bidi="ar-EG"/>
        </w:rPr>
        <w:t>:</w:t>
      </w:r>
    </w:p>
    <w:p w14:paraId="6E83A9BE" w14:textId="77777777" w:rsidR="002E2988" w:rsidRPr="006A2E70" w:rsidRDefault="002E2988" w:rsidP="002E298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يمثل التعلم الآلي الركيزة الأساسية للذكاء الاصطناعي، حيث يعتمد على تطوير خوارزميات قادرة على التعلم من البيانات التاريخية واستخلاص الأنماط والاتجاهات التي يمكن استخدامها للتنبؤ بالنتائج المستقبلية. هذه القدرة تتيح للمؤسسات تحسين جودة القرارات الاستراتيجية من خلال تزويد القيادات التنفيذية برؤى دقيقة حول الأسواق وسلوك العملاء والعمليات الداخلية. ومع ذلك، يتطلب الاستفادة المثلى من التعلم الآلي تحليلًا دقيقًا لجودة البيانات، إذ يمكن أن تؤدي البيانات المتحيزة أو غير المكتملة إلى نتائج مضللة، مما يستدعي وضع آليات إشرافية صارمة وتكامل هذه النماذج مع الخبرة البشرية لضمان توازن القرارات بين الدقة الرقمية والحكم الاستراتيجي</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Almheiri</w:t>
      </w:r>
      <w:proofErr w:type="spellEnd"/>
      <w:r w:rsidR="00E27D71" w:rsidRPr="006A2E70">
        <w:rPr>
          <w:rFonts w:asciiTheme="majorBidi" w:hAnsiTheme="majorBidi" w:cstheme="majorBidi"/>
          <w:sz w:val="28"/>
          <w:szCs w:val="28"/>
        </w:rPr>
        <w:t xml:space="preserve"> et al., 2024, p.953)</w:t>
      </w:r>
    </w:p>
    <w:p w14:paraId="4C13E352"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التعلم العميق</w:t>
      </w:r>
      <w:r w:rsidRPr="006A2E70">
        <w:rPr>
          <w:rFonts w:asciiTheme="majorBidi" w:hAnsiTheme="majorBidi" w:cstheme="majorBidi"/>
          <w:b/>
          <w:bCs/>
          <w:sz w:val="28"/>
          <w:szCs w:val="28"/>
          <w:lang w:bidi="ar-EG"/>
        </w:rPr>
        <w:t>:</w:t>
      </w:r>
    </w:p>
    <w:p w14:paraId="3204A006" w14:textId="77777777" w:rsidR="002E2988" w:rsidRPr="006A2E70" w:rsidRDefault="002E2988" w:rsidP="002E298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يتيح التعلم العميق للأنظمة القدرة على معالجة البيانات المعقدة متعددة الطبقات، من خلال شبكات عصبية تحاكي بنية الدماغ البشري. هذه التقنية تمكن المؤسسات من اكتشاف الأنماط المخفية في مجموعات البيانات الضخمة، مثل الصور والفيديو والنصوص، وتوليد رؤى دقيقة تساعد في اتخاذ قرارات استباقية. ومن منظور تحليلي، يتمثل التحدي في صعوبة تفسير كيفية الوصول إلى النتائج، ما يفرض على القيادات تطوير آليات حوكمة تسمح بمساءلة هذه القرارات وتقييم مصداقيتها، وهو ما يعكس الحاجة إلى دمج القدرات التقنية مع التفكير النقدي للقيادة لضمان استدامة النتائج الاستراتيجية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Aboalshamat</w:t>
      </w:r>
      <w:proofErr w:type="spellEnd"/>
      <w:r w:rsidR="00E27D71" w:rsidRPr="006A2E70">
        <w:rPr>
          <w:rFonts w:asciiTheme="majorBidi" w:hAnsiTheme="majorBidi" w:cstheme="majorBidi"/>
          <w:sz w:val="28"/>
          <w:szCs w:val="28"/>
        </w:rPr>
        <w:t xml:space="preserve"> et al., 2022, p.52)</w:t>
      </w:r>
    </w:p>
    <w:p w14:paraId="767BDAD8"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معالجة اللغة الطبيعية</w:t>
      </w:r>
      <w:r w:rsidRPr="006A2E70">
        <w:rPr>
          <w:rFonts w:asciiTheme="majorBidi" w:hAnsiTheme="majorBidi" w:cstheme="majorBidi"/>
          <w:b/>
          <w:bCs/>
          <w:sz w:val="28"/>
          <w:szCs w:val="28"/>
          <w:rtl/>
          <w:lang w:bidi="ar-EG"/>
        </w:rPr>
        <w:t>:</w:t>
      </w:r>
    </w:p>
    <w:p w14:paraId="08879A6A" w14:textId="77777777" w:rsidR="002E2988" w:rsidRPr="006A2E70" w:rsidRDefault="002E2988" w:rsidP="002E298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تمكّن تقنيات معالجة اللغة الطبيعية الأنظمة من فهم النصوص البشرية المكتوبة والمنطوقة وتحليلها وتحويلها إلى بيانات قابلة للتطبيق في صنع القرار. تلعب هذه التقنية دورًا محوريًا في استشراف توجهات العملاء والأسواق، وتحليل ردود الفعل على المنتجات والخدمات. ومع ذلك، يظهر بعد نقدي يتمثل في إمكانية تحيز النتائج أو سوء تفسير المعاني، خصوصًا عند التعامل مع لغات متعددة أو نصوص ثقافية متنوعة. من هذا المنظور، يصبح دمج معالجة اللغة الطبيعية ضمن استراتيجية شاملة لدعم القرار التنفيذي ضرورة لضمان أن تكون النتائج مفهومة وقابلة للاستخدام بشكل فعال</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Abalkhail</w:t>
      </w:r>
      <w:proofErr w:type="spellEnd"/>
      <w:r w:rsidR="00E27D71" w:rsidRPr="006A2E70">
        <w:rPr>
          <w:rFonts w:asciiTheme="majorBidi" w:hAnsiTheme="majorBidi" w:cstheme="majorBidi"/>
          <w:sz w:val="28"/>
          <w:szCs w:val="28"/>
        </w:rPr>
        <w:t xml:space="preserve"> &amp; Al Amri, 2022, p.1)</w:t>
      </w:r>
    </w:p>
    <w:p w14:paraId="553B976B"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الأنظمة الخبيرة</w:t>
      </w:r>
      <w:r w:rsidRPr="006A2E70">
        <w:rPr>
          <w:rFonts w:asciiTheme="majorBidi" w:hAnsiTheme="majorBidi" w:cstheme="majorBidi"/>
          <w:b/>
          <w:bCs/>
          <w:sz w:val="28"/>
          <w:szCs w:val="28"/>
          <w:rtl/>
          <w:lang w:bidi="ar-EG"/>
        </w:rPr>
        <w:t>:</w:t>
      </w:r>
    </w:p>
    <w:p w14:paraId="6A2CC593" w14:textId="77777777" w:rsidR="002E2988" w:rsidRPr="006A2E70" w:rsidRDefault="002E2988" w:rsidP="002E298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تعتمد الأنظمة الخبيرة على قواعد معرفة محددة مسبقًا تساعدها على تقديم توصيات أو حلول للمشكلات بناءً على الخبرات السابقة. هذه الأنظمة تُستخدم في دعم القرارات في المجالات التي تتطلب خبرة متخصصة، مثل الجودة وإدارة المخاطر وتقييم المنتجات. ورغم فعاليتها، تظل محدوديتها في مواجهة حالات جديدة أو غير متوقعة تحديًا رئيسيًا، ما يحتم على المؤسسات تحديث قواعد المعرفة باستمرار ودمجها مع أنظمة أخرى لضمان المرونة التشغيلية وتحقيق استدامة القرارات الاستراتيجية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 xml:space="preserve">(Akinwale &amp; </w:t>
      </w:r>
      <w:proofErr w:type="spellStart"/>
      <w:r w:rsidR="00E27D71" w:rsidRPr="006A2E70">
        <w:rPr>
          <w:rFonts w:asciiTheme="majorBidi" w:hAnsiTheme="majorBidi" w:cstheme="majorBidi"/>
          <w:sz w:val="28"/>
          <w:szCs w:val="28"/>
        </w:rPr>
        <w:t>AboAlsamh</w:t>
      </w:r>
      <w:proofErr w:type="spellEnd"/>
      <w:r w:rsidR="00E27D71" w:rsidRPr="006A2E70">
        <w:rPr>
          <w:rFonts w:asciiTheme="majorBidi" w:hAnsiTheme="majorBidi" w:cstheme="majorBidi"/>
          <w:sz w:val="28"/>
          <w:szCs w:val="28"/>
        </w:rPr>
        <w:t>, 2023, p.1)</w:t>
      </w:r>
    </w:p>
    <w:p w14:paraId="52A49336"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الرؤية الحاسوبية</w:t>
      </w:r>
      <w:r w:rsidRPr="006A2E70">
        <w:rPr>
          <w:rFonts w:asciiTheme="majorBidi" w:hAnsiTheme="majorBidi" w:cstheme="majorBidi"/>
          <w:b/>
          <w:bCs/>
          <w:sz w:val="28"/>
          <w:szCs w:val="28"/>
          <w:rtl/>
          <w:lang w:bidi="ar-EG"/>
        </w:rPr>
        <w:t>:</w:t>
      </w:r>
    </w:p>
    <w:p w14:paraId="0EB04D4C" w14:textId="77777777" w:rsidR="002E2988" w:rsidRPr="006A2E70" w:rsidRDefault="002E2988" w:rsidP="002E298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lastRenderedPageBreak/>
        <w:t>تتيح تقنيات الرؤية الحاسوبية للأنظمة فهم الصور والفيديو واستخلاص معلومات دقيقة تتعلق بالعمليات والمنتجات والبيئة التشغيلية. في قطاع الصناعات الغذائية، تُستخدم هذه التقنية لمراقبة الجودة، والتعرف على الشوائب، وتحسين الإنتاجية. ومع ذلك، تعتمد دقة الرؤية الحاسوبية على جودة الكاميرات والظروف البيئية مثل الإضاءة، ما يستلزم وجود آليات داعمة لضمان دقة النتائج. ويبرز البعد النقدي هنا في ضرورة دمج هذه التقنية مع أنظمة تحليلية أخرى لضمان اتخاذ قرارات متوازنة وموثوقة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(Alajmi et al., 2023, p.1)</w:t>
      </w:r>
    </w:p>
    <w:p w14:paraId="1C920573" w14:textId="77777777" w:rsidR="002E2988" w:rsidRPr="006A2E70" w:rsidRDefault="002E2988" w:rsidP="002E2988">
      <w:pPr>
        <w:pStyle w:val="a3"/>
        <w:numPr>
          <w:ilvl w:val="0"/>
          <w:numId w:val="8"/>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تحليل البيانات الضخمة</w:t>
      </w:r>
      <w:r w:rsidRPr="006A2E70">
        <w:rPr>
          <w:rFonts w:asciiTheme="majorBidi" w:hAnsiTheme="majorBidi" w:cstheme="majorBidi"/>
          <w:b/>
          <w:bCs/>
          <w:sz w:val="28"/>
          <w:szCs w:val="28"/>
          <w:rtl/>
          <w:lang w:bidi="ar-EG"/>
        </w:rPr>
        <w:t>:</w:t>
      </w:r>
    </w:p>
    <w:p w14:paraId="28E7C008" w14:textId="77777777" w:rsidR="00801D40" w:rsidRPr="006A2E70" w:rsidRDefault="002E2988" w:rsidP="00801D40">
      <w:pPr>
        <w:pStyle w:val="a3"/>
        <w:bidi/>
        <w:jc w:val="both"/>
        <w:rPr>
          <w:rFonts w:asciiTheme="majorBidi" w:hAnsiTheme="majorBidi" w:cstheme="majorBidi"/>
          <w:sz w:val="28"/>
          <w:szCs w:val="28"/>
          <w:rtl/>
          <w:lang w:bidi="ar-EG"/>
        </w:rPr>
      </w:pPr>
      <w:r w:rsidRPr="006A2E70">
        <w:rPr>
          <w:rFonts w:asciiTheme="majorBidi" w:hAnsiTheme="majorBidi" w:cstheme="majorBidi"/>
          <w:sz w:val="28"/>
          <w:szCs w:val="28"/>
          <w:rtl/>
        </w:rPr>
        <w:t>يمثل تحليل البيانات الضخمة أداة جوهرية للذكاء الاصطناعي، إذ يتيح استخلاص رؤى استراتيجية من كميات ضخمة من البيانات المتنوعة والمعقدة. يساعد هذا التحليل المؤسسات على التعرف على الاتجاهات المستقبلية، واستشراف الفرص والمخاطر، وتحسين الأداء العام للعمليات. ومع ذلك، يتطلب النجاح في تحليل البيانات الضخمة بنية تحتية متقدمة وقدرة على إدارة البيانات بشكل دقيق، بالإضافة إلى كفاءات بشرية قادرة على تفسير النتائج نقديًا. ومن هذا المنطلق، يبرز استنتاج الباحث أن تحقيق الاستفادة القصوى من هذه التقنية يتطلب تكامل القدرات التقنية مع الاستراتيجية المؤسسية لضمان الاستدامة والفعالية في اتخاذ القرارات</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Alasmri</w:t>
      </w:r>
      <w:proofErr w:type="spellEnd"/>
      <w:r w:rsidR="00E27D71" w:rsidRPr="006A2E70">
        <w:rPr>
          <w:rFonts w:asciiTheme="majorBidi" w:hAnsiTheme="majorBidi" w:cstheme="majorBidi"/>
          <w:sz w:val="28"/>
          <w:szCs w:val="28"/>
        </w:rPr>
        <w:t xml:space="preserve"> &amp; </w:t>
      </w:r>
      <w:proofErr w:type="spellStart"/>
      <w:r w:rsidR="00E27D71" w:rsidRPr="006A2E70">
        <w:rPr>
          <w:rFonts w:asciiTheme="majorBidi" w:hAnsiTheme="majorBidi" w:cstheme="majorBidi"/>
          <w:sz w:val="28"/>
          <w:szCs w:val="28"/>
        </w:rPr>
        <w:t>Basahel</w:t>
      </w:r>
      <w:proofErr w:type="spellEnd"/>
      <w:r w:rsidR="00E27D71" w:rsidRPr="006A2E70">
        <w:rPr>
          <w:rFonts w:asciiTheme="majorBidi" w:hAnsiTheme="majorBidi" w:cstheme="majorBidi"/>
          <w:sz w:val="28"/>
          <w:szCs w:val="28"/>
        </w:rPr>
        <w:t>, 2022, p.1)</w:t>
      </w:r>
    </w:p>
    <w:p w14:paraId="5DBEAFAC" w14:textId="77777777" w:rsidR="002E2988" w:rsidRPr="006A2E70" w:rsidRDefault="00801D40" w:rsidP="00E27D71">
      <w:pPr>
        <w:pStyle w:val="a3"/>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تقنيات الذكاء الاصطناعي تشكل محورًا تحويليًا يعيد تشكيل عملية اتخاذ القرار الاستراتيجي في المؤسسات، حيث توفر كل تقنية إمكانات تحليلية متقدمة تدعم التنبؤ واتخاذ القرارات المبنية على البيانات. ومع ذلك، فإن هذه الإمكانات تظل محدودة إذا لم تُدمج ضمن مقاربة استراتيجية تراعي السياق المؤسسي والقدرة البشرية. يُعزز التعلم الآلي والتعلم العميق القدرة على استشراف المستقبل، بينما توفر معالجة اللغة الطبيعية والأنظمة الخبيرة ثراء معرفيًا لدعم القرارات المتخصصة. كما تساهم الرؤية الحاسوبية وتحليل البيانات الضخمة في تحسين الكفاءة التشغيلية والتخطيط الاستراتيجي، إلا أن فعاليتها تتوقف على بنية تحتية متقدمة وكوادر قادرة على تفسير النتائج نقديًا. وبذلك، يظهر الذكاء الاصطناعي كأداة مساعدة تكمل الخبرة البشرية وتدعم الحوكمة المؤسسية لضمان قرارات دقيقة ومرنة تعكس رؤية المؤسسة وأهدافها الاستراتيجية</w:t>
      </w:r>
      <w:r w:rsidR="00E27D71" w:rsidRPr="006A2E70">
        <w:rPr>
          <w:rFonts w:asciiTheme="majorBidi" w:hAnsiTheme="majorBidi" w:cstheme="majorBidi"/>
          <w:sz w:val="28"/>
          <w:szCs w:val="28"/>
          <w:rtl/>
          <w:lang w:bidi="ar-EG"/>
        </w:rPr>
        <w:t>.</w:t>
      </w:r>
    </w:p>
    <w:p w14:paraId="77663F3C" w14:textId="77777777" w:rsidR="001A7D68" w:rsidRPr="006A2E70" w:rsidRDefault="00094A15" w:rsidP="001A7D68">
      <w:pPr>
        <w:bidi/>
        <w:rPr>
          <w:rFonts w:asciiTheme="majorBidi" w:hAnsiTheme="majorBidi" w:cstheme="majorBidi"/>
          <w:b/>
          <w:bCs/>
          <w:sz w:val="28"/>
          <w:szCs w:val="28"/>
          <w:rtl/>
          <w:lang w:bidi="ar-EG"/>
        </w:rPr>
      </w:pPr>
      <w:r w:rsidRPr="006A2E70">
        <w:rPr>
          <w:rFonts w:asciiTheme="majorBidi" w:hAnsiTheme="majorBidi" w:cstheme="majorBidi"/>
          <w:b/>
          <w:bCs/>
          <w:sz w:val="28"/>
          <w:szCs w:val="28"/>
          <w:rtl/>
        </w:rPr>
        <w:t xml:space="preserve">ركائز ومتطلبات </w:t>
      </w:r>
      <w:r w:rsidR="00791C39" w:rsidRPr="006A2E70">
        <w:rPr>
          <w:rFonts w:asciiTheme="majorBidi" w:hAnsiTheme="majorBidi" w:cstheme="majorBidi"/>
          <w:b/>
          <w:bCs/>
          <w:sz w:val="28"/>
          <w:szCs w:val="28"/>
          <w:rtl/>
        </w:rPr>
        <w:t>البنية</w:t>
      </w:r>
      <w:r w:rsidRPr="006A2E70">
        <w:rPr>
          <w:rFonts w:asciiTheme="majorBidi" w:hAnsiTheme="majorBidi" w:cstheme="majorBidi"/>
          <w:b/>
          <w:bCs/>
          <w:sz w:val="28"/>
          <w:szCs w:val="28"/>
          <w:rtl/>
        </w:rPr>
        <w:t xml:space="preserve"> التحتية الرقمية </w:t>
      </w:r>
      <w:r w:rsidR="00791C39" w:rsidRPr="006A2E70">
        <w:rPr>
          <w:rFonts w:asciiTheme="majorBidi" w:hAnsiTheme="majorBidi" w:cstheme="majorBidi"/>
          <w:b/>
          <w:bCs/>
          <w:sz w:val="28"/>
          <w:szCs w:val="28"/>
          <w:rtl/>
        </w:rPr>
        <w:t>لتطبيقات الذكاء الاصطناعي في المنظمات</w:t>
      </w:r>
    </w:p>
    <w:p w14:paraId="2894D443" w14:textId="77777777" w:rsidR="001A7D68" w:rsidRPr="006A2E70" w:rsidRDefault="001A7D68" w:rsidP="001A7D68">
      <w:pPr>
        <w:bidi/>
        <w:ind w:firstLine="720"/>
        <w:jc w:val="both"/>
        <w:rPr>
          <w:rFonts w:asciiTheme="majorBidi" w:hAnsiTheme="majorBidi" w:cstheme="majorBidi"/>
          <w:b/>
          <w:bCs/>
          <w:sz w:val="28"/>
          <w:szCs w:val="28"/>
          <w:lang w:bidi="ar-EG"/>
        </w:rPr>
      </w:pPr>
      <w:r w:rsidRPr="006A2E70">
        <w:rPr>
          <w:rFonts w:asciiTheme="majorBidi" w:hAnsiTheme="majorBidi" w:cstheme="majorBidi"/>
          <w:sz w:val="28"/>
          <w:szCs w:val="28"/>
          <w:rtl/>
        </w:rPr>
        <w:t>في ضوء التوسع المتسارع لتطبيقات الذكاء الاصطناعي في المؤسسات، باتت البنية التحتية الرقمية عنصرًا حاسمًا لضمان الفاعلية التشغيلية وتحقيق الأهداف الاستراتيجية. فنجاح استخدام الذكاء الاصطناعي لا يعتمد فقط على خوارزميات متقدمة، بل يتطلب منظومة متكاملة من الأجهزة، البرمجيات، والكوادر البشرية المؤهلة التي تضمن توافر البيانات ومعالجتها بشكل آمن وفعال. وفي هذا السياق، يبرز تحليل البنية التحتية الرقمية كعنصر جوهري لتقييم مدى قدرة المؤسسة على تبني وتطبيق تقنيات الذكاء الاصطناعي بكفاءة ومرونة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(Al-Baity, 2023, p.13725)</w:t>
      </w:r>
    </w:p>
    <w:p w14:paraId="709FE4BB" w14:textId="77777777" w:rsidR="001A7D68" w:rsidRPr="006A2E70" w:rsidRDefault="001A7D68" w:rsidP="001A7D68">
      <w:pPr>
        <w:pStyle w:val="a3"/>
        <w:numPr>
          <w:ilvl w:val="0"/>
          <w:numId w:val="9"/>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الأجهزة الحاسوبية المتقدمة</w:t>
      </w:r>
      <w:r w:rsidRPr="006A2E70">
        <w:rPr>
          <w:rFonts w:asciiTheme="majorBidi" w:hAnsiTheme="majorBidi" w:cstheme="majorBidi"/>
          <w:b/>
          <w:bCs/>
          <w:sz w:val="28"/>
          <w:szCs w:val="28"/>
          <w:lang w:bidi="ar-EG"/>
        </w:rPr>
        <w:t>:</w:t>
      </w:r>
    </w:p>
    <w:p w14:paraId="4116C455" w14:textId="77777777" w:rsidR="001A7D68" w:rsidRPr="006A2E70" w:rsidRDefault="001A7D68" w:rsidP="001A7D6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تشكل القدرة الحاسوبية القوية أساس أي نظام ذكاء اصطناعي فعال، إذ تعتمد النماذج المعقدة مثل التعلم العميق على معالجة كميات هائلة من البيانات بسرعة ودقة. يتطلب ذلك وحدات </w:t>
      </w:r>
      <w:r w:rsidRPr="006A2E70">
        <w:rPr>
          <w:rFonts w:asciiTheme="majorBidi" w:hAnsiTheme="majorBidi" w:cstheme="majorBidi"/>
          <w:sz w:val="28"/>
          <w:szCs w:val="28"/>
          <w:rtl/>
        </w:rPr>
        <w:lastRenderedPageBreak/>
        <w:t>معالجة مركزية قوية، ومعالجات رسومية متخصصة، وبنية شبكية عالية الأداء لضمان تدفق البيانات ومعالجتها في الوقت الفعلي. كما يشمل هذا الجانب التخزين السحابي والخوادم المحلية التي تتيح حفظ كميات ضخمة من البيانات مع إمكانية الوصول إليها بسرعة. ويبرز هنا البعد التنفيذي في ضرورة تقييم حجم العمليات ومستوى تعقيد البيانات لتحديد الموارد الحاسوبية المثلى، بما يحقق التوازن بين الأداء والكفاءة الاقتصادية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Alenezi</w:t>
      </w:r>
      <w:proofErr w:type="spellEnd"/>
      <w:r w:rsidR="00E27D71" w:rsidRPr="006A2E70">
        <w:rPr>
          <w:rFonts w:asciiTheme="majorBidi" w:hAnsiTheme="majorBidi" w:cstheme="majorBidi"/>
          <w:sz w:val="28"/>
          <w:szCs w:val="28"/>
        </w:rPr>
        <w:t xml:space="preserve"> et al., 2024, p.1)</w:t>
      </w:r>
    </w:p>
    <w:p w14:paraId="2176C806" w14:textId="77777777" w:rsidR="001A7D68" w:rsidRPr="006A2E70" w:rsidRDefault="001A7D68" w:rsidP="001A7D68">
      <w:pPr>
        <w:pStyle w:val="a3"/>
        <w:numPr>
          <w:ilvl w:val="0"/>
          <w:numId w:val="9"/>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البرمجيات وأنظمة إدارة البيانات</w:t>
      </w:r>
      <w:r w:rsidRPr="006A2E70">
        <w:rPr>
          <w:rFonts w:asciiTheme="majorBidi" w:hAnsiTheme="majorBidi" w:cstheme="majorBidi"/>
          <w:b/>
          <w:bCs/>
          <w:sz w:val="28"/>
          <w:szCs w:val="28"/>
          <w:rtl/>
          <w:lang w:bidi="ar-EG"/>
        </w:rPr>
        <w:t>:</w:t>
      </w:r>
    </w:p>
    <w:p w14:paraId="64E44B2B" w14:textId="77777777" w:rsidR="001A7D68" w:rsidRPr="006A2E70" w:rsidRDefault="001A7D68" w:rsidP="001A7D6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تتطلب تطبيقات الذكاء الاصطناعي أنظمة برمجية متقدمة لإدارة البيانات، وتنظيمها، وتحليلها بشكل متكامل. يشمل ذلك قواعد البيانات المهيكلة وغير المهيكلة، وأدوات تحليل البيانات الضخمة، ومنصات التعلم الآلي والتعلم العميق، إلى جانب واجهات برمجية تسمح بتكامل النظم المختلفة. ويكمن التحدي في ضمان توافق البرمجيات مع احتياجات المؤسسة الحالية والمستقبلية، مع مراعاة مرونة الأنظمة لتطوير النماذج وتحديثها بما يتماشى مع التغيرات السوقية والتكنولوجية. من منظور تنفيذي، يمثل اختيار المنصات المناسبة والمرنة جزءًا لا يتجزأ من استراتيجية إدارة البيانات لضمان استدامة العمليات ودقة القرارات</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(Alharbi, 2024, p.113)</w:t>
      </w:r>
    </w:p>
    <w:p w14:paraId="2524AB48" w14:textId="77777777" w:rsidR="001A7D68" w:rsidRPr="006A2E70" w:rsidRDefault="001A7D68" w:rsidP="001A7D68">
      <w:pPr>
        <w:pStyle w:val="a3"/>
        <w:numPr>
          <w:ilvl w:val="0"/>
          <w:numId w:val="9"/>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أمن البيانات وحوكمتها</w:t>
      </w:r>
      <w:r w:rsidRPr="006A2E70">
        <w:rPr>
          <w:rFonts w:asciiTheme="majorBidi" w:hAnsiTheme="majorBidi" w:cstheme="majorBidi"/>
          <w:b/>
          <w:bCs/>
          <w:sz w:val="28"/>
          <w:szCs w:val="28"/>
          <w:lang w:bidi="ar-EG"/>
        </w:rPr>
        <w:t>:</w:t>
      </w:r>
    </w:p>
    <w:p w14:paraId="0ACBA9E6" w14:textId="77777777" w:rsidR="001A7D68" w:rsidRPr="006A2E70" w:rsidRDefault="001A7D68" w:rsidP="001A7D6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تشكل حماية البيانات وأمنها محورًا أساسيًا في أي بنية تحتية رقمية، إذ تعتمد فعالية الذكاء الاصطناعي على موثوقية وجودة المعلومات. يتطلب ذلك تطبيق سياسات صارمة لإدارة الوصول، ومراقبة التدفقات، وحماية البيانات الحساسة من الهجمات السيبرانية. كما يشمل ذلك الحوكمة الرقمية لضمان الامتثال للقوانين والمعايير المحلية والدولية، وتحديد مسؤوليات واضحة لإدارة البيانات. ومن منظور تحليلي، يبرز أهمية دمج الأمن السيبراني مع إدارة البيانات لضمان أن تكون القرارات الناتجة عن النماذج الذكية دقيقة وقابلة للمساءلة، مما يعزز الثقة في العمليات الرقمية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(Alhazmi et al., 2025, p.1)</w:t>
      </w:r>
    </w:p>
    <w:p w14:paraId="42418DA2" w14:textId="77777777" w:rsidR="001A7D68" w:rsidRPr="006A2E70" w:rsidRDefault="001A7D68" w:rsidP="001A7D68">
      <w:pPr>
        <w:pStyle w:val="a3"/>
        <w:numPr>
          <w:ilvl w:val="0"/>
          <w:numId w:val="9"/>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الكوادر البشرية المؤهلة</w:t>
      </w:r>
      <w:r w:rsidRPr="006A2E70">
        <w:rPr>
          <w:rFonts w:asciiTheme="majorBidi" w:hAnsiTheme="majorBidi" w:cstheme="majorBidi"/>
          <w:b/>
          <w:bCs/>
          <w:sz w:val="28"/>
          <w:szCs w:val="28"/>
          <w:lang w:bidi="ar-EG"/>
        </w:rPr>
        <w:t>:</w:t>
      </w:r>
    </w:p>
    <w:p w14:paraId="67E358B7" w14:textId="77777777" w:rsidR="001A7D68" w:rsidRPr="006A2E70" w:rsidRDefault="001A7D68" w:rsidP="001A7D68">
      <w:pPr>
        <w:pStyle w:val="a3"/>
        <w:bidi/>
        <w:jc w:val="both"/>
        <w:rPr>
          <w:rFonts w:asciiTheme="majorBidi" w:hAnsiTheme="majorBidi" w:cstheme="majorBidi"/>
          <w:sz w:val="28"/>
          <w:szCs w:val="28"/>
          <w:rtl/>
          <w:lang w:bidi="ar-EG"/>
        </w:rPr>
      </w:pPr>
      <w:r w:rsidRPr="006A2E70">
        <w:rPr>
          <w:rFonts w:asciiTheme="majorBidi" w:hAnsiTheme="majorBidi" w:cstheme="majorBidi"/>
          <w:sz w:val="28"/>
          <w:szCs w:val="28"/>
          <w:rtl/>
        </w:rPr>
        <w:t>لا يمكن للبنية التحتية الرقمية أن تحقق أهدافها دون كوادر بشرية متخصصة في تحليل البيانات، تطوير النماذج، وإدارة العمليات التقنية. يتطلب ذلك تدريب الموظفين على استخدام الأدوات الرقمية، فهم خوارزميات الذكاء الاصطناعي، وتطوير مهارات التفكير النقدي لاتخاذ قرارات استراتيجية مستندة إلى نتائج التحليل. كما أن دمج الكفاءات البشرية مع القدرات التقنية يعزز من قدرة المؤسسات على الابتكار والتكيف مع المتغيرات، ويضمن استمرارية العمليات وتحقيق الأهداف التنظيمية بكفاءة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Almalawi</w:t>
      </w:r>
      <w:proofErr w:type="spellEnd"/>
      <w:r w:rsidR="00E27D71" w:rsidRPr="006A2E70">
        <w:rPr>
          <w:rFonts w:asciiTheme="majorBidi" w:hAnsiTheme="majorBidi" w:cstheme="majorBidi"/>
          <w:sz w:val="28"/>
          <w:szCs w:val="28"/>
        </w:rPr>
        <w:t xml:space="preserve"> et al., 2022, p.1)</w:t>
      </w:r>
    </w:p>
    <w:p w14:paraId="17CF4EA8" w14:textId="77777777" w:rsidR="00094A15" w:rsidRPr="006A2E70" w:rsidRDefault="001A7D68" w:rsidP="00E27D71">
      <w:pPr>
        <w:pStyle w:val="a3"/>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البنية التحتية الرقمية لتطبيقات الذكاء الاصطناعي تتجاوز كونها مجرد أدوات تقنية، لتصبح عنصراً استراتيجياً متعدد الأبعاد يجمع بين الأجهزة المتقدمة، البرمجيات المرنة، إدارة البيانات الفعالة، الأمن الرقمي، والكوادر المؤهلة. فنجاح الذكاء الاصطناعي في دعم القرارات الاستراتيجية يعتمد على تكامل هذه العناصر، بما يحقق التوازن بين القدرة التحليلية للأنظمة والدور الإنساني في تفسير النتائج ومساءلة القرارات. ومن هذا المنظور، تصبح البنية التحتية الرقمية ركيزة أساسية لتمكين المؤسسات من استغلال الذكاء الاصطناعي بطريقة مستدامة وفعالة، قادرة على تعزيز الكفاءة التشغيلية وتحقيق أهداف الرؤية المؤسسية</w:t>
      </w:r>
      <w:r w:rsidR="00E27D71" w:rsidRPr="006A2E70">
        <w:rPr>
          <w:rFonts w:asciiTheme="majorBidi" w:hAnsiTheme="majorBidi" w:cstheme="majorBidi"/>
          <w:sz w:val="28"/>
          <w:szCs w:val="28"/>
          <w:rtl/>
          <w:lang w:bidi="ar-EG"/>
        </w:rPr>
        <w:t>.</w:t>
      </w:r>
    </w:p>
    <w:p w14:paraId="07094546" w14:textId="77777777" w:rsidR="00791C39" w:rsidRPr="006A2E70" w:rsidRDefault="00791C39" w:rsidP="001A7D68">
      <w:pPr>
        <w:bidi/>
        <w:jc w:val="both"/>
        <w:rPr>
          <w:rFonts w:asciiTheme="majorBidi" w:hAnsiTheme="majorBidi" w:cstheme="majorBidi"/>
          <w:b/>
          <w:bCs/>
          <w:sz w:val="28"/>
          <w:szCs w:val="28"/>
          <w:rtl/>
        </w:rPr>
      </w:pPr>
      <w:r w:rsidRPr="006A2E70">
        <w:rPr>
          <w:rFonts w:asciiTheme="majorBidi" w:hAnsiTheme="majorBidi" w:cstheme="majorBidi"/>
          <w:b/>
          <w:bCs/>
          <w:sz w:val="28"/>
          <w:szCs w:val="28"/>
          <w:rtl/>
        </w:rPr>
        <w:lastRenderedPageBreak/>
        <w:t>تطبيقات الذكاء الاصطناعي في قطاع الصناعات الغذائية</w:t>
      </w:r>
    </w:p>
    <w:p w14:paraId="09B3316D" w14:textId="77777777" w:rsidR="001A7D68" w:rsidRPr="006A2E70" w:rsidRDefault="001A7D68" w:rsidP="001A7D6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يشهد قطاع الصناعات الغذائية في المملكة العربية السعودية تحولًا نوعيًا نتيجة تبني تقنيات الذكاء الاصطناعي، بما يتماشى مع أهداف رؤية 2030 لتعزيز الكفاءة التشغيلية وتحسين القدرة التنافسية للمؤسسات المحلية. توفر هذه التقنيات قدرة متقدمة على معالجة البيانات الضخمة وتحليل اتجاهات المستهلكين والمنافسة، فضلاً عن مراقبة جودة المنتجات وسلاسل الإمداد. ويعكس اعتماد الذكاء الاصطناعي في هذا القطاع التزام المؤسسات السعودية بالتحول الرقمي وتعزيز الابتكار، مع ضرورة توظيف هذه التقنيات ضمن إطار استراتيجي متكامل يضمن الفاعلية والاستدامة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(AlQahtani, 2024, p.14)</w:t>
      </w:r>
    </w:p>
    <w:p w14:paraId="3A7BCF68" w14:textId="77777777" w:rsidR="001A7D68" w:rsidRPr="006A2E70" w:rsidRDefault="001A7D68" w:rsidP="001A7D68">
      <w:pPr>
        <w:pStyle w:val="a3"/>
        <w:numPr>
          <w:ilvl w:val="0"/>
          <w:numId w:val="10"/>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تحسين الإنتاج والتنبؤ بالطلب</w:t>
      </w:r>
      <w:r w:rsidRPr="006A2E70">
        <w:rPr>
          <w:rFonts w:asciiTheme="majorBidi" w:hAnsiTheme="majorBidi" w:cstheme="majorBidi"/>
          <w:b/>
          <w:bCs/>
          <w:sz w:val="28"/>
          <w:szCs w:val="28"/>
          <w:lang w:bidi="ar-EG"/>
        </w:rPr>
        <w:t>:</w:t>
      </w:r>
    </w:p>
    <w:p w14:paraId="3AD09416" w14:textId="77777777" w:rsidR="001A7D68" w:rsidRPr="006A2E70" w:rsidRDefault="001A7D68" w:rsidP="001A7D68">
      <w:pPr>
        <w:pStyle w:val="a3"/>
        <w:bidi/>
        <w:jc w:val="both"/>
        <w:rPr>
          <w:rFonts w:asciiTheme="majorBidi" w:hAnsiTheme="majorBidi" w:cstheme="majorBidi"/>
          <w:sz w:val="28"/>
          <w:szCs w:val="28"/>
          <w:rtl/>
          <w:lang w:bidi="ar-EG"/>
        </w:rPr>
      </w:pPr>
      <w:r w:rsidRPr="006A2E70">
        <w:rPr>
          <w:rFonts w:asciiTheme="majorBidi" w:hAnsiTheme="majorBidi" w:cstheme="majorBidi"/>
          <w:sz w:val="28"/>
          <w:szCs w:val="28"/>
          <w:rtl/>
        </w:rPr>
        <w:t>تسهم تقنيات الذكاء الاصطناعي في المملكة بشكل فعال في تحسين الإنتاج الغذائي عبر التنبؤ بالطلب المحلي والإقليمي بدقة عالية، ما يقلل من الهدر ويزيد من كفاءة استخدام الموارد. تعتمد المؤسسات على خوارزميات التعلم الآلي لتحليل البيانات التاريخية المتعلقة بموسمية الطلب، اتجاهات المستهلكين، والتغيرات الاقتصادية المحلية. ومن منظور تنفيذي، يتيح هذا التنبؤ تحسين التخطيط المالي والإنتاجي، وتعزيز القدرة على الاستجابة للتقلبات السوقية، مع ضرورة ضمان جودة البيانات لتفادي النتائج المتحيزة أو غير الدقيقة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Alsanosi</w:t>
      </w:r>
      <w:proofErr w:type="spellEnd"/>
      <w:r w:rsidR="00E27D71" w:rsidRPr="006A2E70">
        <w:rPr>
          <w:rFonts w:asciiTheme="majorBidi" w:hAnsiTheme="majorBidi" w:cstheme="majorBidi"/>
          <w:sz w:val="28"/>
          <w:szCs w:val="28"/>
        </w:rPr>
        <w:t xml:space="preserve"> &amp; Padmanabhan, 2024, p.1)</w:t>
      </w:r>
    </w:p>
    <w:p w14:paraId="6ECDD885" w14:textId="77777777" w:rsidR="001A7D68" w:rsidRPr="006A2E70" w:rsidRDefault="001A7D68" w:rsidP="001A7D68">
      <w:pPr>
        <w:pStyle w:val="a3"/>
        <w:numPr>
          <w:ilvl w:val="0"/>
          <w:numId w:val="10"/>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تطوير سلاسل الإمداد الذكية</w:t>
      </w:r>
      <w:r w:rsidRPr="006A2E70">
        <w:rPr>
          <w:rFonts w:asciiTheme="majorBidi" w:hAnsiTheme="majorBidi" w:cstheme="majorBidi"/>
          <w:b/>
          <w:bCs/>
          <w:sz w:val="28"/>
          <w:szCs w:val="28"/>
          <w:lang w:bidi="ar-EG"/>
        </w:rPr>
        <w:t>:</w:t>
      </w:r>
    </w:p>
    <w:p w14:paraId="69F85FEC" w14:textId="77777777" w:rsidR="001A7D68" w:rsidRPr="006A2E70" w:rsidRDefault="001A7D68" w:rsidP="001A7D6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تعمل تقنيات الذكاء الاصطناعي على تحويل سلاسل الإمداد في المملكة إلى أنظمة ذكية قادرة على الاستجابة لمتغيرات السوق بسرعة ومرونة. تستخدم المؤسسات السعودية التحليلات التنبؤية وأجهزة الاستشعار الذكية لمراقبة المخزون وتحسين توزيع المنتجات، وتقليل زمن النقل والتخزين. وتبرز هنا أهمية تكامل هذه الأنظمة مع البنية التحتية الرقمية القائمة، إلى جانب تدريب الكوادر المحلية على إدارة العمليات الذكية، بما يضمن استدامة الأداء ويحقق الاستجابة السريعة للمتغيرات التشغيلية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Alshamsi</w:t>
      </w:r>
      <w:proofErr w:type="spellEnd"/>
      <w:r w:rsidR="00E27D71" w:rsidRPr="006A2E70">
        <w:rPr>
          <w:rFonts w:asciiTheme="majorBidi" w:hAnsiTheme="majorBidi" w:cstheme="majorBidi"/>
          <w:sz w:val="28"/>
          <w:szCs w:val="28"/>
        </w:rPr>
        <w:t xml:space="preserve"> et al., 2024, p.1)</w:t>
      </w:r>
    </w:p>
    <w:p w14:paraId="7884D971" w14:textId="77777777" w:rsidR="001A7D68" w:rsidRPr="006A2E70" w:rsidRDefault="001A7D68" w:rsidP="001A7D68">
      <w:pPr>
        <w:pStyle w:val="a3"/>
        <w:numPr>
          <w:ilvl w:val="0"/>
          <w:numId w:val="10"/>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تعزيز جودة وسلامة الغذاء</w:t>
      </w:r>
      <w:r w:rsidRPr="006A2E70">
        <w:rPr>
          <w:rFonts w:asciiTheme="majorBidi" w:hAnsiTheme="majorBidi" w:cstheme="majorBidi"/>
          <w:b/>
          <w:bCs/>
          <w:sz w:val="28"/>
          <w:szCs w:val="28"/>
          <w:lang w:bidi="ar-EG"/>
        </w:rPr>
        <w:t>:</w:t>
      </w:r>
    </w:p>
    <w:p w14:paraId="1B96B5CB" w14:textId="77777777" w:rsidR="001A7D68" w:rsidRPr="006A2E70" w:rsidRDefault="001A7D68" w:rsidP="001A7D68">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تعد سلامة الغذاء وجودته محورًا استراتيجيًا في المملكة، حيث تتيح تقنيات الذكاء الاصطناعي، بما في ذلك الرؤية الحاسوبية وأجهزة الاستشعار، الكشف المبكر عن الشوائب والتلوث أو الانحرافات في عمليات التصنيع. هذا يسهم في حماية المستهلكين وتعزيز الثقة في المنتجات المحلية، بما يتماشى مع متطلبات هيئة الغذاء والدواء السعودية. من منظور تحليلي، يتطلب دمج هذه التقنية ضبط المعايير التشغيلية وتحديث البروتوكولات بشكل مستمر لضمان مطابقة المنتجات للمعايير الوطنية والدولية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(Arabia, 2022, p.30)</w:t>
      </w:r>
    </w:p>
    <w:p w14:paraId="7FC8FC64" w14:textId="77777777" w:rsidR="001A7D68" w:rsidRPr="006A2E70" w:rsidRDefault="001A7D68" w:rsidP="001A7D68">
      <w:pPr>
        <w:pStyle w:val="a3"/>
        <w:numPr>
          <w:ilvl w:val="0"/>
          <w:numId w:val="10"/>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تحسين التسويق وتحليل سلوك المستهلك</w:t>
      </w:r>
      <w:r w:rsidRPr="006A2E70">
        <w:rPr>
          <w:rFonts w:asciiTheme="majorBidi" w:hAnsiTheme="majorBidi" w:cstheme="majorBidi"/>
          <w:b/>
          <w:bCs/>
          <w:sz w:val="28"/>
          <w:szCs w:val="28"/>
          <w:lang w:bidi="ar-EG"/>
        </w:rPr>
        <w:t>:</w:t>
      </w:r>
    </w:p>
    <w:p w14:paraId="5C878BC0" w14:textId="77777777" w:rsidR="001A7D68" w:rsidRPr="006A2E70" w:rsidRDefault="001A7D68" w:rsidP="00E27D71">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تتيح تقنيات الذكاء الاصطناعي للشركات السعودية تحليل سلوك المستهلكين المحليين وفهم تفضيلاتهم، مما يدعم تصميم حملات تسويقية فعالة وتطوير منتجات تتوافق مع الثقافة والاحتياجات المحلية. تستخدم المؤسسات أدوات معالجة اللغة الطبيعية وتحليل البيانات الضخمة لدراسة التوجهات الاستهلاكية، وتعزيز استراتيجيات الترويج. ومن الجانب النقدي، يستلزم ذلك مراعاة الجوانب الأخلاقية والخصوصية، والتأكد من أن التحليلات تعزز استدامة </w:t>
      </w:r>
      <w:r w:rsidRPr="006A2E70">
        <w:rPr>
          <w:rFonts w:asciiTheme="majorBidi" w:hAnsiTheme="majorBidi" w:cstheme="majorBidi"/>
          <w:sz w:val="28"/>
          <w:szCs w:val="28"/>
          <w:rtl/>
        </w:rPr>
        <w:lastRenderedPageBreak/>
        <w:t>العلاقات مع المستهلكين دون الإفراط في الاعتماد على الأتمتة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Binsaeed</w:t>
      </w:r>
      <w:proofErr w:type="spellEnd"/>
      <w:r w:rsidR="00E27D71" w:rsidRPr="006A2E70">
        <w:rPr>
          <w:rFonts w:asciiTheme="majorBidi" w:hAnsiTheme="majorBidi" w:cstheme="majorBidi"/>
          <w:sz w:val="28"/>
          <w:szCs w:val="28"/>
        </w:rPr>
        <w:t xml:space="preserve"> et al., 2023, p.1)</w:t>
      </w:r>
    </w:p>
    <w:p w14:paraId="570935AA" w14:textId="77777777" w:rsidR="001A7D68" w:rsidRPr="006A2E70" w:rsidRDefault="001A7D68" w:rsidP="001A7D68">
      <w:pPr>
        <w:pStyle w:val="a3"/>
        <w:numPr>
          <w:ilvl w:val="0"/>
          <w:numId w:val="10"/>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إدارة المخاطر التشغيلية</w:t>
      </w:r>
      <w:r w:rsidRPr="006A2E70">
        <w:rPr>
          <w:rFonts w:asciiTheme="majorBidi" w:hAnsiTheme="majorBidi" w:cstheme="majorBidi"/>
          <w:b/>
          <w:bCs/>
          <w:sz w:val="28"/>
          <w:szCs w:val="28"/>
          <w:lang w:bidi="ar-EG"/>
        </w:rPr>
        <w:t>:</w:t>
      </w:r>
    </w:p>
    <w:p w14:paraId="175CB0B3" w14:textId="77777777" w:rsidR="001A7D68" w:rsidRPr="006A2E70" w:rsidRDefault="001A7D68" w:rsidP="001A7D68">
      <w:pPr>
        <w:pStyle w:val="a3"/>
        <w:bidi/>
        <w:jc w:val="both"/>
        <w:rPr>
          <w:rFonts w:asciiTheme="majorBidi" w:hAnsiTheme="majorBidi" w:cstheme="majorBidi"/>
          <w:sz w:val="28"/>
          <w:szCs w:val="28"/>
          <w:rtl/>
          <w:lang w:bidi="ar-EG"/>
        </w:rPr>
      </w:pPr>
      <w:r w:rsidRPr="006A2E70">
        <w:rPr>
          <w:rFonts w:asciiTheme="majorBidi" w:hAnsiTheme="majorBidi" w:cstheme="majorBidi"/>
          <w:sz w:val="28"/>
          <w:szCs w:val="28"/>
          <w:rtl/>
        </w:rPr>
        <w:t>تسهم تطبيقات الذكاء الاصطناعي في الحد من المخاطر التشغيلية في المصانع والمستودعات الغذائية في المملكة من خلال التنبؤ بالأعطال، مراقبة المعدات، وتحليل البيانات التشغيلية للكشف المبكر عن المشكلات. يعزز هذا النهج القدرة على التخطيط الاستراتيجي وتقليل الخسائر المالية، لكنه يتطلب تكامل الأدوات التقنية مع الخبرة البشرية لضمان اتخاذ قرارات رشيدة في الحالات غير المتوقعة أو المعقدة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Badghish</w:t>
      </w:r>
      <w:proofErr w:type="spellEnd"/>
      <w:r w:rsidR="00E27D71" w:rsidRPr="006A2E70">
        <w:rPr>
          <w:rFonts w:asciiTheme="majorBidi" w:hAnsiTheme="majorBidi" w:cstheme="majorBidi"/>
          <w:sz w:val="28"/>
          <w:szCs w:val="28"/>
        </w:rPr>
        <w:t xml:space="preserve"> &amp; Soomro, 2024, p.1)</w:t>
      </w:r>
    </w:p>
    <w:p w14:paraId="59F372C1" w14:textId="77777777" w:rsidR="001A7D68" w:rsidRPr="006A2E70" w:rsidRDefault="001A7D68" w:rsidP="00A933EF">
      <w:pPr>
        <w:pStyle w:val="a3"/>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تطبيقات الذكاء الاصطناعي في قطاع الصناعات الغذائية بالمملكة العربية السعودية تشكل محورًا استراتيجيًا متعدد الأبعاد، يربط بين تحسين الإنتاج، تطوير سلاسل الإمداد، تعزيز الجودة وسلامة الغذاء، فهم المستهلكين، وإدارة المخاطر التشغيلية. تكامل هذه التطبيقات مع البنية التحتية الرقمية والكفاءات المحلية يتيح تحقيق قرارات استراتيجية دقيقة ومستدامة، ويعكس التزام المؤسسات السعودية بالابتكار والتحول الرقمي وفق أهداف رؤية 2030، مع الحفاظ على التوازن بين التكنولوجيا والخبرة البشرية لضمان كفاءة ومرونة الأداء</w:t>
      </w:r>
      <w:r w:rsidRPr="006A2E70">
        <w:rPr>
          <w:rFonts w:asciiTheme="majorBidi" w:hAnsiTheme="majorBidi" w:cstheme="majorBidi"/>
          <w:sz w:val="28"/>
          <w:szCs w:val="28"/>
          <w:rtl/>
          <w:lang w:bidi="ar-EG"/>
        </w:rPr>
        <w:t>.</w:t>
      </w:r>
    </w:p>
    <w:p w14:paraId="6B864B00" w14:textId="77777777" w:rsidR="00791C39" w:rsidRPr="006A2E70" w:rsidRDefault="00791C39" w:rsidP="00791C39">
      <w:pPr>
        <w:bidi/>
        <w:rPr>
          <w:rFonts w:asciiTheme="majorBidi" w:hAnsiTheme="majorBidi" w:cstheme="majorBidi"/>
          <w:b/>
          <w:bCs/>
          <w:sz w:val="28"/>
          <w:szCs w:val="28"/>
          <w:rtl/>
        </w:rPr>
      </w:pPr>
      <w:r w:rsidRPr="006A2E70">
        <w:rPr>
          <w:rFonts w:asciiTheme="majorBidi" w:hAnsiTheme="majorBidi" w:cstheme="majorBidi"/>
          <w:b/>
          <w:bCs/>
          <w:sz w:val="28"/>
          <w:szCs w:val="28"/>
          <w:rtl/>
        </w:rPr>
        <w:t>مزايا تبني تقنيات الذكاء الاصطناعي في المنظمات</w:t>
      </w:r>
    </w:p>
    <w:p w14:paraId="19F826A1" w14:textId="77777777" w:rsidR="00A85296" w:rsidRPr="006A2E70" w:rsidRDefault="00A85296" w:rsidP="00A85296">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أصبح تبني تقنيات الذكاء الاصطناعي في المؤسسات الحديثة عنصرًا محوريًا لتعزيز الأداء وتحقيق الميزة التنافسية، حيث توفر هذه التقنيات إمكانات واسعة لتحليل البيانات واتخاذ القرارات بشكل أكثر دقة وفعالية. ويعكس اعتماد الذكاء الاصطناعي التزام المؤسسات بتحسين العمليات التشغيلية، تطوير القدرات الابتكارية، وتحقيق استدامة طويلة الأمد. ومن هذا المنطلق، تعد دراسة مزايا هذه التقنيات أمرًا جوهريًا لفهم دورها الاستراتيجي في دعم القرارات الإدارية وتعزيز القدرة التنافسية للمؤسسات</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(Felemban et al., 2024, p.1)</w:t>
      </w:r>
    </w:p>
    <w:p w14:paraId="5FEEAA0E" w14:textId="77777777" w:rsidR="00A85296" w:rsidRPr="006A2E70" w:rsidRDefault="00A85296" w:rsidP="00A85296">
      <w:pPr>
        <w:pStyle w:val="a3"/>
        <w:numPr>
          <w:ilvl w:val="0"/>
          <w:numId w:val="11"/>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تحسين الكفاءة التشغيلية</w:t>
      </w:r>
      <w:r w:rsidRPr="006A2E70">
        <w:rPr>
          <w:rFonts w:asciiTheme="majorBidi" w:hAnsiTheme="majorBidi" w:cstheme="majorBidi"/>
          <w:b/>
          <w:bCs/>
          <w:sz w:val="28"/>
          <w:szCs w:val="28"/>
          <w:rtl/>
          <w:lang w:bidi="ar-EG"/>
        </w:rPr>
        <w:t>:</w:t>
      </w:r>
    </w:p>
    <w:p w14:paraId="61FEC46F" w14:textId="77777777" w:rsidR="00A85296" w:rsidRPr="006A2E70" w:rsidRDefault="00A85296" w:rsidP="00A85296">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تساهم تقنيات الذكاء الاصطناعي في رفع الكفاءة التشغيلية عبر أتمتة العمليات الروتينية، وتقليل الأخطاء البشرية، وتحسين تدفق المعلومات داخل المؤسسة. فعلى سبيل المثال، يمكن للأنظمة الذكية مراقبة الإنتاج والتوزيع بشكل مستمر، والتنبؤ بالاختناقات أو المشكلات التشغيلية قبل حدوثها. ومن منظور تحليلي، يظهر أن تحسين الكفاءة لا يقتصر على السرعة وحدها، بل يشمل أيضًا تعزيز المرونة التشغيلية، وتمكين المؤسسات من الاستجابة السريعة للتغيرات في الأسواق أو الطلب على المنتجات والخدمات</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(Kumar et al., 2025, p.1289)</w:t>
      </w:r>
    </w:p>
    <w:p w14:paraId="05C2BF01" w14:textId="77777777" w:rsidR="00A85296" w:rsidRPr="006A2E70" w:rsidRDefault="00A85296" w:rsidP="00A85296">
      <w:pPr>
        <w:pStyle w:val="a3"/>
        <w:numPr>
          <w:ilvl w:val="0"/>
          <w:numId w:val="11"/>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رفع جودة القرارات الإدارية</w:t>
      </w:r>
      <w:r w:rsidRPr="006A2E70">
        <w:rPr>
          <w:rFonts w:asciiTheme="majorBidi" w:hAnsiTheme="majorBidi" w:cstheme="majorBidi"/>
          <w:b/>
          <w:bCs/>
          <w:sz w:val="28"/>
          <w:szCs w:val="28"/>
          <w:lang w:bidi="ar-EG"/>
        </w:rPr>
        <w:t>:</w:t>
      </w:r>
    </w:p>
    <w:p w14:paraId="1B263353" w14:textId="77777777" w:rsidR="00A85296" w:rsidRPr="006A2E70" w:rsidRDefault="00A85296" w:rsidP="00A85296">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توفر تقنيات الذكاء الاصطناعي أدوات تحليلية متقدمة تدعم المديرين التنفيذيين في اتخاذ قرارات مستنيرة مبنية على بيانات دقيقة ومعالجة متعمقة. تسهم خوارزميات التعلم الآلي وتحليل البيانات الضخمة في تقليل المخاطر المرتبطة بالقرارات العشوائية أو المبنية على حدس محدود. ومن منظور نقدي، يشير التحليل إلى أن دمج الذكاء الاصطناعي مع الخبرة </w:t>
      </w:r>
      <w:r w:rsidRPr="006A2E70">
        <w:rPr>
          <w:rFonts w:asciiTheme="majorBidi" w:hAnsiTheme="majorBidi" w:cstheme="majorBidi"/>
          <w:sz w:val="28"/>
          <w:szCs w:val="28"/>
          <w:rtl/>
        </w:rPr>
        <w:lastRenderedPageBreak/>
        <w:t>البشرية يحقق توازنًا بين الدقة التحليلية والقدرة على فهم السياق التنظيمي، وهو ما يعزز جودة القرارات ويجعلها أكثر مواءمة مع الأهداف الاستراتيجية للمؤسسة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(Louati et al., 2024, p.1)</w:t>
      </w:r>
    </w:p>
    <w:p w14:paraId="238BC634" w14:textId="77777777" w:rsidR="00A85296" w:rsidRPr="006A2E70" w:rsidRDefault="00A85296" w:rsidP="00A85296">
      <w:pPr>
        <w:pStyle w:val="a3"/>
        <w:numPr>
          <w:ilvl w:val="0"/>
          <w:numId w:val="11"/>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تعزيز الابتكار والتنافسية</w:t>
      </w:r>
      <w:r w:rsidRPr="006A2E70">
        <w:rPr>
          <w:rFonts w:asciiTheme="majorBidi" w:hAnsiTheme="majorBidi" w:cstheme="majorBidi"/>
          <w:b/>
          <w:bCs/>
          <w:sz w:val="28"/>
          <w:szCs w:val="28"/>
          <w:lang w:bidi="ar-EG"/>
        </w:rPr>
        <w:t>:</w:t>
      </w:r>
    </w:p>
    <w:p w14:paraId="443F8491" w14:textId="77777777" w:rsidR="00A85296" w:rsidRPr="006A2E70" w:rsidRDefault="00A85296" w:rsidP="00E27D71">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يسهم تبني الذكاء الاصطناعي في تعزيز قدرات الابتكار داخل المؤسسات، من خلال تطوير منتجات وخدمات جديدة، وتحسين العمليات الحالية، واستشراف فرص السوق المستقبلية. توفر هذه التقنيات القدرة على تحليل البيانات بشكل إبداعي واكتشاف حلول غير تقليدية، ما يمنح المؤسسات ميزة تنافسية مستدامة. ومن منظور تنفيذي، يمثل الابتكار المعزز بالذكاء الاصطناعي عاملاً رئيسيًا في تمكين المؤسسات من التكيف مع متغيرات السوق وتحقيق التفوق على المنافسين، مع مراعاة أن الابتكار التقني يحتاج دائمًا إلى دعم استراتيجي وتخطيط منهجي لضمان تطبيقه بفاعلية</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lang w:bidi="ar-EG"/>
        </w:rPr>
        <w:t>(Saeed et al., 2023, p.1)</w:t>
      </w:r>
    </w:p>
    <w:p w14:paraId="53CD9A0C" w14:textId="77777777" w:rsidR="00A85296" w:rsidRPr="006A2E70" w:rsidRDefault="00A85296" w:rsidP="00A85296">
      <w:pPr>
        <w:pStyle w:val="a3"/>
        <w:numPr>
          <w:ilvl w:val="0"/>
          <w:numId w:val="11"/>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تقليل التكاليف التشغيلية</w:t>
      </w:r>
      <w:r w:rsidRPr="006A2E70">
        <w:rPr>
          <w:rFonts w:asciiTheme="majorBidi" w:hAnsiTheme="majorBidi" w:cstheme="majorBidi"/>
          <w:b/>
          <w:bCs/>
          <w:sz w:val="28"/>
          <w:szCs w:val="28"/>
          <w:lang w:bidi="ar-EG"/>
        </w:rPr>
        <w:t>:</w:t>
      </w:r>
    </w:p>
    <w:p w14:paraId="119BA35E" w14:textId="77777777" w:rsidR="00A85296" w:rsidRPr="006A2E70" w:rsidRDefault="00A85296" w:rsidP="00A85296">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يساهم الذكاء الاصطناعي في تقليل التكاليف من خلال تحسين استهلاك الموارد، أتمتة المهام المتكررة، وتجنب الأخطاء المكلفة. يمكن للمؤسسات توقع احتياجات الإنتاج بدقة أكبر، وتقليل الهدر، وتحسين كفاءة سلسلة الإمداد. ومع ذلك، يظهر التحليل النقدي أن تحقيق هذه الميزة يتطلب استثمارات أولية في البنية التحتية الرقمية والتدريب، وهو ما يجعل من الضروري تقييم العائد على الاستثمار بعناية لضمان استدامة التكاليف المنخفضة على المدى الطويل</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Aljohani</w:t>
      </w:r>
      <w:proofErr w:type="spellEnd"/>
      <w:r w:rsidR="00E27D71" w:rsidRPr="006A2E70">
        <w:rPr>
          <w:rFonts w:asciiTheme="majorBidi" w:hAnsiTheme="majorBidi" w:cstheme="majorBidi"/>
          <w:sz w:val="28"/>
          <w:szCs w:val="28"/>
        </w:rPr>
        <w:t xml:space="preserve"> &amp; </w:t>
      </w:r>
      <w:proofErr w:type="spellStart"/>
      <w:r w:rsidR="00E27D71" w:rsidRPr="006A2E70">
        <w:rPr>
          <w:rFonts w:asciiTheme="majorBidi" w:hAnsiTheme="majorBidi" w:cstheme="majorBidi"/>
          <w:sz w:val="28"/>
          <w:szCs w:val="28"/>
        </w:rPr>
        <w:t>Albliwi</w:t>
      </w:r>
      <w:proofErr w:type="spellEnd"/>
      <w:r w:rsidR="00E27D71" w:rsidRPr="006A2E70">
        <w:rPr>
          <w:rFonts w:asciiTheme="majorBidi" w:hAnsiTheme="majorBidi" w:cstheme="majorBidi"/>
          <w:sz w:val="28"/>
          <w:szCs w:val="28"/>
        </w:rPr>
        <w:t>, 2022, p.1)</w:t>
      </w:r>
    </w:p>
    <w:p w14:paraId="1AD6FAEF" w14:textId="77777777" w:rsidR="00A85296" w:rsidRPr="006A2E70" w:rsidRDefault="00A85296" w:rsidP="00A85296">
      <w:pPr>
        <w:pStyle w:val="a3"/>
        <w:numPr>
          <w:ilvl w:val="0"/>
          <w:numId w:val="11"/>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دعم الاستدامة المؤسسية</w:t>
      </w:r>
      <w:r w:rsidRPr="006A2E70">
        <w:rPr>
          <w:rFonts w:asciiTheme="majorBidi" w:hAnsiTheme="majorBidi" w:cstheme="majorBidi"/>
          <w:b/>
          <w:bCs/>
          <w:sz w:val="28"/>
          <w:szCs w:val="28"/>
          <w:lang w:bidi="ar-EG"/>
        </w:rPr>
        <w:t>:</w:t>
      </w:r>
    </w:p>
    <w:p w14:paraId="446555A0" w14:textId="77777777" w:rsidR="00A85296" w:rsidRPr="006A2E70" w:rsidRDefault="00A85296" w:rsidP="00A85296">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تمثل الاستدامة مؤشراً حيوياً لنجاح المؤسسات في بيئات الأعمال المعقدة، ويسهم الذكاء الاصطناعي في تحقيقها من خلال تحسين كفاءة استخدام الموارد، تعزيز الرقابة البيئية، وتحسين إدارة المخاطر. كما يمكن استخدام التقنيات الذكية لمراقبة الانبعاثات وتقليل الهدر في عمليات الإنتاج والتوزيع. ومن منظور تحليلي، يعكس دمج الذكاء الاصطناعي ضمن استراتيجيات الاستدامة رؤية مؤسسية متقدمة، توازن بين تحقيق الأهداف الاقتصادية والاجتماعية والبيئية، وتعزز القدرة على المنافسة طويلة الأمد.</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(AlQahtani, 2023, p.1)</w:t>
      </w:r>
    </w:p>
    <w:p w14:paraId="7E92BACE" w14:textId="77777777" w:rsidR="00252082" w:rsidRPr="006A2E70" w:rsidRDefault="00A85296" w:rsidP="00A85296">
      <w:pPr>
        <w:pStyle w:val="a3"/>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تبني تقنيات الذكاء الاصطناعي في المنظمات يوفر مجموعة متكاملة من المزايا الاستراتيجية، تشمل تحسين الكفاءة التشغيلية، رفع جودة القرارات الإدارية، تعزيز الابتكار والتنافسية، تقليل التكاليف التشغيلية، ودعم الاستدامة المؤسسية. ويظهر من التحليل أن الاستفادة القصوى من هذه المزايا تتطلب دمج القدرات التقنية مع الخبرة البشرية والبنية التحتية المؤسسية، بما يضمن اتخاذ قرارات دقيقة وفعالة، وتحقيق توازن مستدام بين الأداء المؤسسي والابتكار والمسؤولية الاجتماعية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Alarefi</w:t>
      </w:r>
      <w:proofErr w:type="spellEnd"/>
      <w:r w:rsidR="00E27D71" w:rsidRPr="006A2E70">
        <w:rPr>
          <w:rFonts w:asciiTheme="majorBidi" w:hAnsiTheme="majorBidi" w:cstheme="majorBidi"/>
          <w:sz w:val="28"/>
          <w:szCs w:val="28"/>
        </w:rPr>
        <w:t>, 2024, p.16802)</w:t>
      </w:r>
    </w:p>
    <w:p w14:paraId="5E156F50" w14:textId="77777777" w:rsidR="00791C39" w:rsidRPr="006A2E70" w:rsidRDefault="00791C39" w:rsidP="00791C39">
      <w:pPr>
        <w:bidi/>
        <w:rPr>
          <w:rFonts w:asciiTheme="majorBidi" w:hAnsiTheme="majorBidi" w:cstheme="majorBidi"/>
          <w:b/>
          <w:bCs/>
          <w:sz w:val="28"/>
          <w:szCs w:val="28"/>
          <w:rtl/>
        </w:rPr>
      </w:pPr>
      <w:r w:rsidRPr="006A2E70">
        <w:rPr>
          <w:rFonts w:asciiTheme="majorBidi" w:hAnsiTheme="majorBidi" w:cstheme="majorBidi"/>
          <w:b/>
          <w:bCs/>
          <w:sz w:val="28"/>
          <w:szCs w:val="28"/>
          <w:rtl/>
        </w:rPr>
        <w:t>التحديات والمعوقات المرتبطة بتبني تقنيات الذكاء الاصطناعي</w:t>
      </w:r>
    </w:p>
    <w:p w14:paraId="775C4147" w14:textId="77777777" w:rsidR="00372133" w:rsidRPr="006A2E70" w:rsidRDefault="00372133" w:rsidP="00372133">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يواجه تبني تقنيات الذكاء الاصطناعي في المؤسسات تحديات متعددة تتعلق بالجوانب التقنية والتنظيمية والبشرية والقانونية، والتي قد تؤثر على فاعلية استغلال هذه التقنيات لتحقيق الأهداف الاستراتيجية. ويبرز هذا الأمر بوضوح في قطاع الصناعات والخدمات بالمملكة العربية السعودية، </w:t>
      </w:r>
      <w:r w:rsidRPr="006A2E70">
        <w:rPr>
          <w:rFonts w:asciiTheme="majorBidi" w:hAnsiTheme="majorBidi" w:cstheme="majorBidi"/>
          <w:sz w:val="28"/>
          <w:szCs w:val="28"/>
          <w:rtl/>
        </w:rPr>
        <w:lastRenderedPageBreak/>
        <w:t>حيث تتطلب رؤية 2030 تعزيز الابتكار والتحول الرقمي، مع مواجهة العقبات المحتملة لضمان دمج الذكاء الاصطناعي بشكل فعال ومستدام. إن فهم هذه المعوقات بشكل دقيق يمكّن المؤسسات من تطوير استراتيجيات للتغلب عليها وتحقيق أعلى مستوى من الأداء المؤسسي</w:t>
      </w:r>
      <w:r w:rsidRPr="006A2E70">
        <w:rPr>
          <w:rFonts w:asciiTheme="majorBidi" w:hAnsiTheme="majorBidi" w:cstheme="majorBidi"/>
          <w:sz w:val="28"/>
          <w:szCs w:val="28"/>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Kazaba</w:t>
      </w:r>
      <w:proofErr w:type="spellEnd"/>
      <w:r w:rsidR="00E27D71" w:rsidRPr="006A2E70">
        <w:rPr>
          <w:rFonts w:asciiTheme="majorBidi" w:hAnsiTheme="majorBidi" w:cstheme="majorBidi"/>
          <w:sz w:val="28"/>
          <w:szCs w:val="28"/>
        </w:rPr>
        <w:t>, 2024, p.1291)</w:t>
      </w:r>
    </w:p>
    <w:p w14:paraId="29412C3E" w14:textId="77777777" w:rsidR="00372133" w:rsidRPr="006A2E70" w:rsidRDefault="00372133" w:rsidP="00372133">
      <w:pPr>
        <w:pStyle w:val="a3"/>
        <w:numPr>
          <w:ilvl w:val="0"/>
          <w:numId w:val="12"/>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التقنية والتكنولوجية</w:t>
      </w:r>
      <w:r w:rsidRPr="006A2E70">
        <w:rPr>
          <w:rFonts w:asciiTheme="majorBidi" w:hAnsiTheme="majorBidi" w:cstheme="majorBidi"/>
          <w:b/>
          <w:bCs/>
          <w:sz w:val="28"/>
          <w:szCs w:val="28"/>
          <w:lang w:bidi="ar-EG"/>
        </w:rPr>
        <w:t>:</w:t>
      </w:r>
    </w:p>
    <w:p w14:paraId="444B0C48" w14:textId="77777777" w:rsidR="00372133" w:rsidRPr="006A2E70" w:rsidRDefault="00372133" w:rsidP="00372133">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تتمثل أبرز التحديات التقنية في الحاجة إلى بنية تحتية رقمية متطورة، وقدرات حاسوبية عالية، وأنظمة برمجية متكاملة لمعالجة البيانات الضخمة وتطوير النماذج الذكية. بالإضافة إلى ذلك، يشكل تكامل الأنظمة القديمة مع التقنيات الحديثة تحديًا كبيرًا، حيث قد تتطلب التحديثات إعادة هندسة العمليات الحالية. ومن منظور تحليلي، يتضح أن التغلب على هذه التحديات يتطلب استثمارات كبيرة في البنية التحتية الرقمية، والتخطيط الاستراتيجي لاستخدام الموارد التقنية بكفاءة، لضمان استدامة وكفاءة تطبيقات الذكاء الاصطناعي</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Alsulami</w:t>
      </w:r>
      <w:proofErr w:type="spellEnd"/>
      <w:r w:rsidR="00E27D71" w:rsidRPr="006A2E70">
        <w:rPr>
          <w:rFonts w:asciiTheme="majorBidi" w:hAnsiTheme="majorBidi" w:cstheme="majorBidi"/>
          <w:sz w:val="28"/>
          <w:szCs w:val="28"/>
        </w:rPr>
        <w:t>, 2026, p.504)</w:t>
      </w:r>
    </w:p>
    <w:p w14:paraId="0E23041F" w14:textId="77777777" w:rsidR="00372133" w:rsidRPr="006A2E70" w:rsidRDefault="00372133" w:rsidP="00372133">
      <w:pPr>
        <w:pStyle w:val="a3"/>
        <w:numPr>
          <w:ilvl w:val="0"/>
          <w:numId w:val="12"/>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التنظيمية والثقافية</w:t>
      </w:r>
      <w:r w:rsidRPr="006A2E70">
        <w:rPr>
          <w:rFonts w:asciiTheme="majorBidi" w:hAnsiTheme="majorBidi" w:cstheme="majorBidi"/>
          <w:b/>
          <w:bCs/>
          <w:sz w:val="28"/>
          <w:szCs w:val="28"/>
          <w:lang w:bidi="ar-EG"/>
        </w:rPr>
        <w:t>:</w:t>
      </w:r>
    </w:p>
    <w:p w14:paraId="7061C431" w14:textId="77777777" w:rsidR="00372133" w:rsidRPr="006A2E70" w:rsidRDefault="00372133" w:rsidP="00372133">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تشكل مقاومة التغيير والتحديات الثقافية في المؤسسات عائقًا رئيسيًا أمام تبني الذكاء الاصطناعي، إذ قد يرفض بعض الموظفين أو المديرين تبني الأنظمة الذكية خوفًا من فقدان السيطرة أو الوظائف. كما يمكن أن تؤثر الثقافة المؤسسية على سرعة اعتماد الابتكارات التقنية وفعالية استخدام البيانات في صنع القرار. ويشير التحليل النقدي إلى أن معالجة هذه التحديات تتطلب تعزيز الوعي التنظيمي بالتقنيات الرقمية، وتطوير سياسات تدريبية وتشجيعية تدمج الموظفين في عملية التحول الرقمي لضمان نجاح الاستراتيجية المؤسسية</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(Hicham &amp; Hamza, 2024, p.185)</w:t>
      </w:r>
    </w:p>
    <w:p w14:paraId="71B08F13" w14:textId="77777777" w:rsidR="00372133" w:rsidRPr="006A2E70" w:rsidRDefault="00372133" w:rsidP="00372133">
      <w:pPr>
        <w:pStyle w:val="a3"/>
        <w:numPr>
          <w:ilvl w:val="0"/>
          <w:numId w:val="12"/>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نقص الكفاءات البشرية المتخصصة</w:t>
      </w:r>
      <w:r w:rsidRPr="006A2E70">
        <w:rPr>
          <w:rFonts w:asciiTheme="majorBidi" w:hAnsiTheme="majorBidi" w:cstheme="majorBidi"/>
          <w:b/>
          <w:bCs/>
          <w:sz w:val="28"/>
          <w:szCs w:val="28"/>
          <w:lang w:bidi="ar-EG"/>
        </w:rPr>
        <w:t>:</w:t>
      </w:r>
    </w:p>
    <w:p w14:paraId="1D6DAEBC" w14:textId="77777777" w:rsidR="00372133" w:rsidRPr="006A2E70" w:rsidRDefault="00372133" w:rsidP="00372133">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تعد الكفاءات البشرية المؤهلة في مجالات الذكاء الاصطناعي وتحليل البيانات من أهم عوامل النجاح، إلا أن نقص الخبرات المتخصصة يمثل تحديًا ملموسًا، خصوصًا في سوق العمل السعودي الذي يشهد تحولًا سريعًا نحو الاقتصاد الرقمي. يتطلب ذلك استراتيجيات تعليمية وتدريبية متقدمة لبناء القدرات المحلية، بالإضافة إلى التعاون مع الجامعات والمؤسسات التعليمية لتطوير برامج متخصصة. من منظور تنفيذي، فإن قدرة المؤسسات على سد فجوة الكفاءات تؤثر بشكل مباشر على جودة تطبيقات الذكاء الاصطناعي وفاعلية القرارات المستندة إليها</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Almheiri</w:t>
      </w:r>
      <w:proofErr w:type="spellEnd"/>
      <w:r w:rsidR="00E27D71" w:rsidRPr="006A2E70">
        <w:rPr>
          <w:rFonts w:asciiTheme="majorBidi" w:hAnsiTheme="majorBidi" w:cstheme="majorBidi"/>
          <w:sz w:val="28"/>
          <w:szCs w:val="28"/>
        </w:rPr>
        <w:t xml:space="preserve"> et al., 2024, p.953)</w:t>
      </w:r>
    </w:p>
    <w:p w14:paraId="13D52C41" w14:textId="77777777" w:rsidR="00372133" w:rsidRPr="006A2E70" w:rsidRDefault="00372133" w:rsidP="00372133">
      <w:pPr>
        <w:pStyle w:val="a3"/>
        <w:numPr>
          <w:ilvl w:val="0"/>
          <w:numId w:val="12"/>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القانونية والأخلاقية</w:t>
      </w:r>
      <w:r w:rsidRPr="006A2E70">
        <w:rPr>
          <w:rFonts w:asciiTheme="majorBidi" w:hAnsiTheme="majorBidi" w:cstheme="majorBidi"/>
          <w:b/>
          <w:bCs/>
          <w:sz w:val="28"/>
          <w:szCs w:val="28"/>
          <w:lang w:bidi="ar-EG"/>
        </w:rPr>
        <w:t>:</w:t>
      </w:r>
    </w:p>
    <w:p w14:paraId="740F77CD" w14:textId="77777777" w:rsidR="00372133" w:rsidRPr="006A2E70" w:rsidRDefault="00372133" w:rsidP="00372133">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تواجه المؤسسات تحديات تتعلق بالخصوصية وحماية البيانات، والامتثال للوائح المحلية والدولية، بما في ذلك قوانين حماية البيانات الشخصية في المملكة. كما تبرز القضايا الأخلاقية المتعلقة بتحليل البيانات واتخاذ القرارات عبر الذكاء الاصطناعي، مثل تحيّز النماذج أو تأثيرها على الفئات المختلفة من الموظفين والمستهلكين. ومن منظور تحليلي، يتضح أن تطوير سياسات واضحة للحوكمة الأخلاقية والقانونية يمثل عاملًا أساسيًا لضمان مسؤولية التطبيقات الذكية وموثوقية القرارات الناتجة</w:t>
      </w:r>
      <w:r w:rsidR="00E27D71" w:rsidRPr="006A2E70">
        <w:rPr>
          <w:rFonts w:asciiTheme="majorBidi" w:hAnsiTheme="majorBidi" w:cstheme="majorBidi"/>
          <w:sz w:val="28"/>
          <w:szCs w:val="28"/>
          <w:rtl/>
        </w:rPr>
        <w:t xml:space="preserve"> </w:t>
      </w:r>
      <w:r w:rsidRPr="006A2E70">
        <w:rPr>
          <w:rFonts w:asciiTheme="majorBidi" w:hAnsiTheme="majorBidi" w:cstheme="majorBidi"/>
          <w:sz w:val="28"/>
          <w:szCs w:val="28"/>
          <w:rtl/>
        </w:rPr>
        <w:t xml:space="preserve"> عنها</w:t>
      </w:r>
      <w:r w:rsidRPr="006A2E70">
        <w:rPr>
          <w:rFonts w:asciiTheme="majorBidi" w:hAnsiTheme="majorBidi" w:cstheme="majorBidi"/>
          <w:sz w:val="28"/>
          <w:szCs w:val="28"/>
          <w:rtl/>
          <w:lang w:bidi="ar-EG"/>
        </w:rPr>
        <w:t>.</w:t>
      </w:r>
      <w:r w:rsidR="00E27D71" w:rsidRPr="006A2E70">
        <w:rPr>
          <w:rFonts w:asciiTheme="majorBidi" w:hAnsiTheme="majorBidi" w:cstheme="majorBidi"/>
          <w:sz w:val="28"/>
          <w:szCs w:val="28"/>
          <w:rtl/>
          <w:lang w:bidi="ar-EG"/>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Aboalshamat</w:t>
      </w:r>
      <w:proofErr w:type="spellEnd"/>
      <w:r w:rsidR="00E27D71" w:rsidRPr="006A2E70">
        <w:rPr>
          <w:rFonts w:asciiTheme="majorBidi" w:hAnsiTheme="majorBidi" w:cstheme="majorBidi"/>
          <w:sz w:val="28"/>
          <w:szCs w:val="28"/>
        </w:rPr>
        <w:t xml:space="preserve"> et al., 2022, p.52)</w:t>
      </w:r>
    </w:p>
    <w:p w14:paraId="1073EA89" w14:textId="77777777" w:rsidR="00372133" w:rsidRPr="006A2E70" w:rsidRDefault="00372133" w:rsidP="00372133">
      <w:pPr>
        <w:pStyle w:val="a3"/>
        <w:numPr>
          <w:ilvl w:val="0"/>
          <w:numId w:val="12"/>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مخاطر الأمن السيبراني</w:t>
      </w:r>
      <w:r w:rsidRPr="006A2E70">
        <w:rPr>
          <w:rFonts w:asciiTheme="majorBidi" w:hAnsiTheme="majorBidi" w:cstheme="majorBidi"/>
          <w:b/>
          <w:bCs/>
          <w:sz w:val="28"/>
          <w:szCs w:val="28"/>
          <w:lang w:bidi="ar-EG"/>
        </w:rPr>
        <w:t>:</w:t>
      </w:r>
    </w:p>
    <w:p w14:paraId="49F9555F" w14:textId="77777777" w:rsidR="00372133" w:rsidRPr="006A2E70" w:rsidRDefault="00372133" w:rsidP="00372133">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 xml:space="preserve">يشكل الأمن السيبراني تحديًا محوريًا عند تبني الذكاء الاصطناعي، حيث تعتمد المؤسسات على البيانات الرقمية بشكل كبير، ما يزيد من احتمالية التعرض للاختراقات والهجمات </w:t>
      </w:r>
      <w:r w:rsidRPr="006A2E70">
        <w:rPr>
          <w:rFonts w:asciiTheme="majorBidi" w:hAnsiTheme="majorBidi" w:cstheme="majorBidi"/>
          <w:sz w:val="28"/>
          <w:szCs w:val="28"/>
          <w:rtl/>
        </w:rPr>
        <w:lastRenderedPageBreak/>
        <w:t>الإلكترونية. يتطلب ذلك تطبيق أنظمة حماية متقدمة، مراقبة مستمرة للبنية التحتية الرقمية، وإجراءات احترازية للتعامل مع الحوادث الأمنية. ومن منظور نقدي، يبرز أن دمج تقنيات الذكاء الاصطناعي مع استراتيجيات الأمن السيبراني يعزز الثقة في العمليات الرقمية، ويقلل المخاطر التشغيلية ويضمن استمرارية الأعمال في بيئة رقمية آمنة.</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Abalkhail</w:t>
      </w:r>
      <w:proofErr w:type="spellEnd"/>
      <w:r w:rsidR="00E27D71" w:rsidRPr="006A2E70">
        <w:rPr>
          <w:rFonts w:asciiTheme="majorBidi" w:hAnsiTheme="majorBidi" w:cstheme="majorBidi"/>
          <w:sz w:val="28"/>
          <w:szCs w:val="28"/>
        </w:rPr>
        <w:t xml:space="preserve"> &amp; Al Amri, 2022, p.1)</w:t>
      </w:r>
    </w:p>
    <w:p w14:paraId="7D4D01EA" w14:textId="77777777" w:rsidR="00A85296" w:rsidRPr="006A2E70" w:rsidRDefault="00372133" w:rsidP="00372133">
      <w:pPr>
        <w:pStyle w:val="a3"/>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تبني تقنيات الذكاء الاصطناعي في المؤسسات يواجه مجموعة متكاملة من التحديات تشمل التقنية، التنظيمية والثقافية، نقص الكفاءات البشرية، الجوانب القانونية والأخلاقية، ومخاطر الأمن السيبراني. وتتطلب الاستفادة المثلى من هذه التقنيات تطوير بنية تحتية رقمية قوية، تعزيز القدرات البشرية، وتطبيق سياسات حوكمة واضحة لضمان استدامة الأداء، وتحقيق توازن بين الابتكار الرقمي والمسؤولية المؤسسية، بما يضمن اتخاذ قرارات استراتيجية دقيقة وفعالة</w:t>
      </w:r>
      <w:r w:rsidRPr="006A2E70">
        <w:rPr>
          <w:rFonts w:asciiTheme="majorBidi" w:hAnsiTheme="majorBidi" w:cstheme="majorBidi"/>
          <w:sz w:val="28"/>
          <w:szCs w:val="28"/>
          <w:rtl/>
          <w:lang w:bidi="ar-EG"/>
        </w:rPr>
        <w:t>.</w:t>
      </w:r>
    </w:p>
    <w:p w14:paraId="0E4F5723" w14:textId="77777777" w:rsidR="00791C39" w:rsidRPr="006A2E70" w:rsidRDefault="00791C39" w:rsidP="00791C39">
      <w:pPr>
        <w:bidi/>
        <w:rPr>
          <w:rFonts w:asciiTheme="majorBidi" w:hAnsiTheme="majorBidi" w:cstheme="majorBidi"/>
          <w:b/>
          <w:bCs/>
          <w:sz w:val="28"/>
          <w:szCs w:val="28"/>
          <w:lang w:bidi="ar-EG"/>
        </w:rPr>
      </w:pPr>
      <w:r w:rsidRPr="006A2E70">
        <w:rPr>
          <w:rFonts w:asciiTheme="majorBidi" w:hAnsiTheme="majorBidi" w:cstheme="majorBidi"/>
          <w:b/>
          <w:bCs/>
          <w:sz w:val="28"/>
          <w:szCs w:val="28"/>
          <w:rtl/>
        </w:rPr>
        <w:t>متطلبات نجاح تبني تقنيات الذكاء الاصطناعي في المنظمات</w:t>
      </w:r>
    </w:p>
    <w:p w14:paraId="14CE8733" w14:textId="77777777" w:rsidR="00372133" w:rsidRPr="006A2E70" w:rsidRDefault="00372133" w:rsidP="00372133">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تحقيق الفاعلية المثلى لتقنيات الذكاء الاصطناعي في المؤسسات لا يقتصر على توافر الأنظمة والأدوات الرقمية، بل يتطلب مجموعة من العوامل التنظيمية والاستراتيجية التي تدعم التكامل بين التكنولوجيا والموارد البشرية. في المملكة العربية السعودية، يمثل هذا التبني جزءًا أساسيًا من مساعي التحول الرقمي في ضوء رؤية 2030، حيث تسعى المؤسسات إلى تحسين الإنتاجية وتعزيز القدرة التنافسية من خلال الذكاء الاصطناعي. ومن هذا المنظور، يشكل تحديد متطلبات النجاح خطوة حاسمة لضمان استدامة تطبيق هذه التقنيات وتحقيق تأثير إيجابي ملموس على الأداء المؤسسي.</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 xml:space="preserve">(Akinwale &amp; </w:t>
      </w:r>
      <w:proofErr w:type="spellStart"/>
      <w:r w:rsidR="00E27D71" w:rsidRPr="006A2E70">
        <w:rPr>
          <w:rFonts w:asciiTheme="majorBidi" w:hAnsiTheme="majorBidi" w:cstheme="majorBidi"/>
          <w:sz w:val="28"/>
          <w:szCs w:val="28"/>
        </w:rPr>
        <w:t>AboAlsamh</w:t>
      </w:r>
      <w:proofErr w:type="spellEnd"/>
      <w:r w:rsidR="00E27D71" w:rsidRPr="006A2E70">
        <w:rPr>
          <w:rFonts w:asciiTheme="majorBidi" w:hAnsiTheme="majorBidi" w:cstheme="majorBidi"/>
          <w:sz w:val="28"/>
          <w:szCs w:val="28"/>
        </w:rPr>
        <w:t>, 2023, p.1)</w:t>
      </w:r>
    </w:p>
    <w:p w14:paraId="52256CD1" w14:textId="77777777" w:rsidR="00372133" w:rsidRPr="006A2E70" w:rsidRDefault="00372133" w:rsidP="00372133">
      <w:pPr>
        <w:pStyle w:val="a3"/>
        <w:numPr>
          <w:ilvl w:val="0"/>
          <w:numId w:val="13"/>
        </w:numPr>
        <w:bidi/>
        <w:jc w:val="both"/>
        <w:rPr>
          <w:rFonts w:asciiTheme="majorBidi" w:hAnsiTheme="majorBidi" w:cstheme="majorBidi"/>
          <w:sz w:val="28"/>
          <w:szCs w:val="28"/>
        </w:rPr>
      </w:pPr>
      <w:r w:rsidRPr="006A2E70">
        <w:rPr>
          <w:rFonts w:asciiTheme="majorBidi" w:hAnsiTheme="majorBidi" w:cstheme="majorBidi"/>
          <w:b/>
          <w:bCs/>
          <w:sz w:val="28"/>
          <w:szCs w:val="28"/>
          <w:rtl/>
        </w:rPr>
        <w:t>دعم الإدارة العليا</w:t>
      </w:r>
      <w:r w:rsidRPr="006A2E70">
        <w:rPr>
          <w:rFonts w:asciiTheme="majorBidi" w:hAnsiTheme="majorBidi" w:cstheme="majorBidi"/>
          <w:b/>
          <w:bCs/>
          <w:sz w:val="28"/>
          <w:szCs w:val="28"/>
        </w:rPr>
        <w:t>:</w:t>
      </w:r>
    </w:p>
    <w:p w14:paraId="00CC7E19" w14:textId="77777777" w:rsidR="00372133" w:rsidRPr="006A2E70" w:rsidRDefault="00372133" w:rsidP="00372133">
      <w:pPr>
        <w:pStyle w:val="a3"/>
        <w:bidi/>
        <w:jc w:val="both"/>
        <w:rPr>
          <w:rFonts w:asciiTheme="majorBidi" w:hAnsiTheme="majorBidi" w:cstheme="majorBidi"/>
          <w:sz w:val="28"/>
          <w:szCs w:val="28"/>
        </w:rPr>
      </w:pPr>
      <w:r w:rsidRPr="006A2E70">
        <w:rPr>
          <w:rFonts w:asciiTheme="majorBidi" w:hAnsiTheme="majorBidi" w:cstheme="majorBidi"/>
          <w:sz w:val="28"/>
          <w:szCs w:val="28"/>
          <w:rtl/>
        </w:rPr>
        <w:t>يعد دعم الإدارة العليا عنصراً أساسياً لنجاح تبني الذكاء الاصطناعي، إذ يساهم في توفير الموارد المالية والبشرية، وتحديد الأولويات الاستراتيجية، وضمان التزام جميع المستويات التنظيمية بالتغيير الرقمي. يعزز حضور الإدارة العليا في قيادة المبادرات الرقمية من سرعة اتخاذ القرارات، وتجاوز مقاومة التغيير، ويضفي مصداقية على جهود التحول داخل المؤسسة. ومن منظور تحليلي، يبرز أن غياب هذا الدعم قد يؤدي إلى تباطؤ التبني أو عدم تكامل التطبيقات التقنية مع الأهداف الاستراتيجية، مما يقلل من فاعلية الذكاء الاصطناعي.</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(Alajmi et al., 2023, p.1)</w:t>
      </w:r>
    </w:p>
    <w:p w14:paraId="400E3556" w14:textId="77777777" w:rsidR="00372133" w:rsidRPr="006A2E70" w:rsidRDefault="00372133" w:rsidP="00372133">
      <w:pPr>
        <w:pStyle w:val="a3"/>
        <w:numPr>
          <w:ilvl w:val="0"/>
          <w:numId w:val="13"/>
        </w:numPr>
        <w:bidi/>
        <w:jc w:val="both"/>
        <w:rPr>
          <w:rFonts w:asciiTheme="majorBidi" w:hAnsiTheme="majorBidi" w:cstheme="majorBidi"/>
          <w:sz w:val="28"/>
          <w:szCs w:val="28"/>
        </w:rPr>
      </w:pPr>
      <w:r w:rsidRPr="006A2E70">
        <w:rPr>
          <w:rFonts w:asciiTheme="majorBidi" w:hAnsiTheme="majorBidi" w:cstheme="majorBidi"/>
          <w:b/>
          <w:bCs/>
          <w:sz w:val="28"/>
          <w:szCs w:val="28"/>
          <w:rtl/>
        </w:rPr>
        <w:t>تطوير المهارات الرقمية للموارد البشرية:</w:t>
      </w:r>
    </w:p>
    <w:p w14:paraId="7C20FD2E" w14:textId="77777777" w:rsidR="00372133" w:rsidRPr="006A2E70" w:rsidRDefault="00372133" w:rsidP="00372133">
      <w:pPr>
        <w:pStyle w:val="a3"/>
        <w:bidi/>
        <w:jc w:val="both"/>
        <w:rPr>
          <w:rFonts w:asciiTheme="majorBidi" w:hAnsiTheme="majorBidi" w:cstheme="majorBidi"/>
          <w:sz w:val="28"/>
          <w:szCs w:val="28"/>
        </w:rPr>
      </w:pPr>
      <w:r w:rsidRPr="006A2E70">
        <w:rPr>
          <w:rFonts w:asciiTheme="majorBidi" w:hAnsiTheme="majorBidi" w:cstheme="majorBidi"/>
          <w:sz w:val="28"/>
          <w:szCs w:val="28"/>
          <w:rtl/>
        </w:rPr>
        <w:t>يمثل الاستثمار في تنمية المهارات الرقمية للموارد البشرية ركيزة أساسية لاستغلال قدرات الذكاء الاصطناعي بفاعلية. يشمل ذلك التدريب على أدوات تحليل البيانات، خوارزميات التعلم الآلي، وإدارة النماذج الذكية، بالإضافة إلى تعزيز مهارات التفكير النقدي واتخاذ القرار المستند إلى البيانات. ومن منظور تنفيذي، يظهر أن الكفاءات البشرية المؤهلة تضمن استمرارية العمليات وتحقيق نتائج دقيقة، كما تعزز قدرة المؤسسات على الابتكار والتكيف مع التطورات التقنية المتسارعة في السوق السعودي.</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Alasmri</w:t>
      </w:r>
      <w:proofErr w:type="spellEnd"/>
      <w:r w:rsidR="00E27D71" w:rsidRPr="006A2E70">
        <w:rPr>
          <w:rFonts w:asciiTheme="majorBidi" w:hAnsiTheme="majorBidi" w:cstheme="majorBidi"/>
          <w:sz w:val="28"/>
          <w:szCs w:val="28"/>
        </w:rPr>
        <w:t xml:space="preserve"> &amp; </w:t>
      </w:r>
      <w:proofErr w:type="spellStart"/>
      <w:r w:rsidR="00E27D71" w:rsidRPr="006A2E70">
        <w:rPr>
          <w:rFonts w:asciiTheme="majorBidi" w:hAnsiTheme="majorBidi" w:cstheme="majorBidi"/>
          <w:sz w:val="28"/>
          <w:szCs w:val="28"/>
        </w:rPr>
        <w:t>Basahel</w:t>
      </w:r>
      <w:proofErr w:type="spellEnd"/>
      <w:r w:rsidR="00E27D71" w:rsidRPr="006A2E70">
        <w:rPr>
          <w:rFonts w:asciiTheme="majorBidi" w:hAnsiTheme="majorBidi" w:cstheme="majorBidi"/>
          <w:sz w:val="28"/>
          <w:szCs w:val="28"/>
        </w:rPr>
        <w:t>, 2022, p.1)</w:t>
      </w:r>
    </w:p>
    <w:p w14:paraId="189DCA52" w14:textId="77777777" w:rsidR="00372133" w:rsidRPr="006A2E70" w:rsidRDefault="00372133" w:rsidP="00372133">
      <w:pPr>
        <w:pStyle w:val="a3"/>
        <w:numPr>
          <w:ilvl w:val="0"/>
          <w:numId w:val="13"/>
        </w:numPr>
        <w:bidi/>
        <w:jc w:val="both"/>
        <w:rPr>
          <w:rFonts w:asciiTheme="majorBidi" w:hAnsiTheme="majorBidi" w:cstheme="majorBidi"/>
          <w:sz w:val="28"/>
          <w:szCs w:val="28"/>
        </w:rPr>
      </w:pPr>
      <w:r w:rsidRPr="006A2E70">
        <w:rPr>
          <w:rFonts w:asciiTheme="majorBidi" w:hAnsiTheme="majorBidi" w:cstheme="majorBidi"/>
          <w:b/>
          <w:bCs/>
          <w:sz w:val="28"/>
          <w:szCs w:val="28"/>
          <w:rtl/>
        </w:rPr>
        <w:t>جاهزية البنية التحتية التقنية</w:t>
      </w:r>
      <w:r w:rsidRPr="006A2E70">
        <w:rPr>
          <w:rFonts w:asciiTheme="majorBidi" w:hAnsiTheme="majorBidi" w:cstheme="majorBidi"/>
          <w:b/>
          <w:bCs/>
          <w:sz w:val="28"/>
          <w:szCs w:val="28"/>
        </w:rPr>
        <w:t>:</w:t>
      </w:r>
    </w:p>
    <w:p w14:paraId="786761F6" w14:textId="77777777" w:rsidR="00372133" w:rsidRPr="006A2E70" w:rsidRDefault="00372133" w:rsidP="00372133">
      <w:pPr>
        <w:pStyle w:val="a3"/>
        <w:bidi/>
        <w:jc w:val="both"/>
        <w:rPr>
          <w:rFonts w:asciiTheme="majorBidi" w:hAnsiTheme="majorBidi" w:cstheme="majorBidi"/>
          <w:sz w:val="28"/>
          <w:szCs w:val="28"/>
        </w:rPr>
      </w:pPr>
      <w:r w:rsidRPr="006A2E70">
        <w:rPr>
          <w:rFonts w:asciiTheme="majorBidi" w:hAnsiTheme="majorBidi" w:cstheme="majorBidi"/>
          <w:sz w:val="28"/>
          <w:szCs w:val="28"/>
          <w:rtl/>
        </w:rPr>
        <w:lastRenderedPageBreak/>
        <w:t>تتطلب تطبيقات الذكاء الاصطناعي بنية تحتية رقمية متقدمة، تشمل أجهزة حاسوبية عالية الأداء، نظم تخزين متطورة، شبكات اتصالات سريعة وآمنة، وبرمجيات تحليلية متكاملة. ويعتبر هذا الجانب أساسيًا لضمان معالجة البيانات الضخمة بكفاءة ودعم اتخاذ القرارات الاستراتيجية في الوقت المناسب. ومن منظور تحليلي، فإن نقص جاهزية البنية التحتية يحد من قدرة المؤسسات على الاستفادة من الذكاء الاصطناعي، مما يفرض ضرورة الاستثمار المستمر في تحديث الأنظمة والبنية التقنية بما يتماشى مع حجم البيانات وتعقيد العمليات.</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(Al-Baity, 2023, p.13725)</w:t>
      </w:r>
    </w:p>
    <w:p w14:paraId="312600B8" w14:textId="77777777" w:rsidR="00372133" w:rsidRPr="006A2E70" w:rsidRDefault="00372133" w:rsidP="00372133">
      <w:pPr>
        <w:pStyle w:val="a3"/>
        <w:numPr>
          <w:ilvl w:val="0"/>
          <w:numId w:val="13"/>
        </w:numPr>
        <w:bidi/>
        <w:jc w:val="both"/>
        <w:rPr>
          <w:rFonts w:asciiTheme="majorBidi" w:hAnsiTheme="majorBidi" w:cstheme="majorBidi"/>
          <w:sz w:val="28"/>
          <w:szCs w:val="28"/>
        </w:rPr>
      </w:pPr>
      <w:r w:rsidRPr="006A2E70">
        <w:rPr>
          <w:rFonts w:asciiTheme="majorBidi" w:hAnsiTheme="majorBidi" w:cstheme="majorBidi"/>
          <w:b/>
          <w:bCs/>
          <w:sz w:val="28"/>
          <w:szCs w:val="28"/>
          <w:rtl/>
        </w:rPr>
        <w:t>وجود استراتيجية رقمية واضحة</w:t>
      </w:r>
      <w:r w:rsidRPr="006A2E70">
        <w:rPr>
          <w:rFonts w:asciiTheme="majorBidi" w:hAnsiTheme="majorBidi" w:cstheme="majorBidi"/>
          <w:b/>
          <w:bCs/>
          <w:sz w:val="28"/>
          <w:szCs w:val="28"/>
        </w:rPr>
        <w:t>:</w:t>
      </w:r>
    </w:p>
    <w:p w14:paraId="19F6717B" w14:textId="77777777" w:rsidR="00372133" w:rsidRPr="006A2E70" w:rsidRDefault="00372133" w:rsidP="00372133">
      <w:pPr>
        <w:pStyle w:val="a3"/>
        <w:bidi/>
        <w:jc w:val="both"/>
        <w:rPr>
          <w:rFonts w:asciiTheme="majorBidi" w:hAnsiTheme="majorBidi" w:cstheme="majorBidi"/>
          <w:sz w:val="28"/>
          <w:szCs w:val="28"/>
        </w:rPr>
      </w:pPr>
      <w:r w:rsidRPr="006A2E70">
        <w:rPr>
          <w:rFonts w:asciiTheme="majorBidi" w:hAnsiTheme="majorBidi" w:cstheme="majorBidi"/>
          <w:sz w:val="28"/>
          <w:szCs w:val="28"/>
          <w:rtl/>
        </w:rPr>
        <w:t>تتطلب فعالية تبني الذكاء الاصطناعي وجود استراتيجية رقمية متكاملة تحدد الأهداف، وتحدد المجالات التي ستطبق فيها التقنيات الذكية، مع وضع مؤشرات أداء واضحة. تساعد الاستراتيجية الرقمية المؤسسات على تنظيم الجهود، وتوحيد معايير التنفيذ، وتقييم أثر التطبيقات الذكية على الأداء العام. ومن منظور نقدي، يشير التحليل إلى أن غياب استراتيجية واضحة يؤدي إلى مبادرات متفرقة وغير متناسقة، ما يقلل من قيمة الاستثمار في الذكاء الاصطناعي ويحد من تحقيق الأهداف المرجوة.</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w:t>
      </w:r>
      <w:proofErr w:type="spellStart"/>
      <w:r w:rsidR="00E27D71" w:rsidRPr="006A2E70">
        <w:rPr>
          <w:rFonts w:asciiTheme="majorBidi" w:hAnsiTheme="majorBidi" w:cstheme="majorBidi"/>
          <w:sz w:val="28"/>
          <w:szCs w:val="28"/>
        </w:rPr>
        <w:t>Alenezi</w:t>
      </w:r>
      <w:proofErr w:type="spellEnd"/>
      <w:r w:rsidR="00E27D71" w:rsidRPr="006A2E70">
        <w:rPr>
          <w:rFonts w:asciiTheme="majorBidi" w:hAnsiTheme="majorBidi" w:cstheme="majorBidi"/>
          <w:sz w:val="28"/>
          <w:szCs w:val="28"/>
        </w:rPr>
        <w:t xml:space="preserve"> et al., 2024, p.1)</w:t>
      </w:r>
    </w:p>
    <w:p w14:paraId="1E6C3EF9" w14:textId="77777777" w:rsidR="00372133" w:rsidRPr="006A2E70" w:rsidRDefault="00372133" w:rsidP="00372133">
      <w:pPr>
        <w:pStyle w:val="a3"/>
        <w:numPr>
          <w:ilvl w:val="0"/>
          <w:numId w:val="13"/>
        </w:numPr>
        <w:bidi/>
        <w:jc w:val="both"/>
        <w:rPr>
          <w:rFonts w:asciiTheme="majorBidi" w:hAnsiTheme="majorBidi" w:cstheme="majorBidi"/>
          <w:sz w:val="28"/>
          <w:szCs w:val="28"/>
        </w:rPr>
      </w:pPr>
      <w:r w:rsidRPr="006A2E70">
        <w:rPr>
          <w:rFonts w:asciiTheme="majorBidi" w:hAnsiTheme="majorBidi" w:cstheme="majorBidi"/>
          <w:b/>
          <w:bCs/>
          <w:sz w:val="28"/>
          <w:szCs w:val="28"/>
          <w:rtl/>
        </w:rPr>
        <w:t>إدارة التغيير التنظيمي</w:t>
      </w:r>
      <w:r w:rsidRPr="006A2E70">
        <w:rPr>
          <w:rFonts w:asciiTheme="majorBidi" w:hAnsiTheme="majorBidi" w:cstheme="majorBidi"/>
          <w:b/>
          <w:bCs/>
          <w:sz w:val="28"/>
          <w:szCs w:val="28"/>
        </w:rPr>
        <w:t>:</w:t>
      </w:r>
    </w:p>
    <w:p w14:paraId="39B88E48" w14:textId="77777777" w:rsidR="00372133" w:rsidRPr="006A2E70" w:rsidRDefault="00372133" w:rsidP="00372133">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تعد إدارة التغيير التنظيمي عنصرًا جوهريًا لضمان نجاح تبني الذكاء الاصطناعي، حيث تشمل تحفيز الموظفين، معالجة مقاومة التغيير، وضمان تواصل فعال بين جميع مستويات المؤسسة. كما تركز على دمج الابتكار الرقمي في الثقافة المؤسسية وتعزيز التعاون بين الفرق التقنية والإدارية. ومن منظور تنفيذي، يظهر أن إدارة التغيير المنظمة تسهم في تسريع تبني الذكاء الاصطناعي وتحقيق تأثيره الإيجابي على الأداء الاستراتيجي، مع الحفاظ على التوازن بين التكنولوجيا والموارد البشرية.</w:t>
      </w:r>
      <w:r w:rsidR="00E27D71" w:rsidRPr="006A2E70">
        <w:rPr>
          <w:rFonts w:asciiTheme="majorBidi" w:hAnsiTheme="majorBidi" w:cstheme="majorBidi"/>
          <w:sz w:val="28"/>
          <w:szCs w:val="28"/>
          <w:rtl/>
        </w:rPr>
        <w:t xml:space="preserve"> </w:t>
      </w:r>
      <w:r w:rsidR="00E27D71" w:rsidRPr="006A2E70">
        <w:rPr>
          <w:rFonts w:asciiTheme="majorBidi" w:hAnsiTheme="majorBidi" w:cstheme="majorBidi"/>
          <w:sz w:val="28"/>
          <w:szCs w:val="28"/>
        </w:rPr>
        <w:t>(Alharbi, 2024, p.113)</w:t>
      </w:r>
    </w:p>
    <w:p w14:paraId="78371FFE" w14:textId="77777777" w:rsidR="00D74D18" w:rsidRPr="006A2E70" w:rsidRDefault="00372133" w:rsidP="0090259A">
      <w:pPr>
        <w:pStyle w:val="a3"/>
        <w:bidi/>
        <w:ind w:firstLine="720"/>
        <w:jc w:val="both"/>
        <w:rPr>
          <w:rFonts w:asciiTheme="majorBidi" w:hAnsiTheme="majorBidi" w:cstheme="majorBidi"/>
          <w:sz w:val="28"/>
          <w:szCs w:val="28"/>
          <w:rtl/>
        </w:rPr>
      </w:pPr>
      <w:r w:rsidRPr="006A2E70">
        <w:rPr>
          <w:rFonts w:asciiTheme="majorBidi" w:hAnsiTheme="majorBidi" w:cstheme="majorBidi"/>
          <w:sz w:val="28"/>
          <w:szCs w:val="28"/>
          <w:rtl/>
        </w:rPr>
        <w:t>مما سبق يتضح أن نجاح تبني تقنيات الذكاء الاصطناعي في المنظمات يعتمد على مجموعة مترابطة من العوامل، تشمل دعم الإدارة العليا، تطوير المهارات الرقمية للموارد البشرية، جاهزية البنية التحتية التقنية، وجود استراتيجية رقمية واضحة، وإدارة التغيير التنظيمي. ويبرز من التحليل أن دمج هذه العناصر ضمن خطة متكاملة يضمن استدامة الأداء، تحقيق الفاعلية الاستراتيجية، وتعزيز القدرة التنافسية للمؤسسات، بما يعكس التزامها بالتحول الرقمي وفق رؤية المملكة 2030، مع الحفاظ على التوازن بين التكنولوجيا والكفاءات البشرية لضمان نتائج مستدامة وموثوقة.</w:t>
      </w:r>
    </w:p>
    <w:p w14:paraId="75D34A2F" w14:textId="77777777" w:rsidR="0061595F" w:rsidRPr="006A2E70" w:rsidRDefault="0042670A" w:rsidP="00D74D18">
      <w:pPr>
        <w:bidi/>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 xml:space="preserve">المبحث الثاني: فاعلية القرارات الاستراتيجية </w:t>
      </w:r>
    </w:p>
    <w:p w14:paraId="45D1D11A" w14:textId="77777777" w:rsidR="0046623A" w:rsidRPr="006A2E70" w:rsidRDefault="0046623A" w:rsidP="0046623A">
      <w:pPr>
        <w:bidi/>
        <w:rPr>
          <w:rFonts w:asciiTheme="majorBidi" w:hAnsiTheme="majorBidi" w:cstheme="majorBidi"/>
          <w:b/>
          <w:bCs/>
          <w:sz w:val="28"/>
          <w:szCs w:val="28"/>
          <w:rtl/>
          <w:lang w:bidi="ar-EG"/>
        </w:rPr>
      </w:pPr>
      <w:r w:rsidRPr="006A2E70">
        <w:rPr>
          <w:rFonts w:asciiTheme="majorBidi" w:hAnsiTheme="majorBidi" w:cstheme="majorBidi"/>
          <w:b/>
          <w:bCs/>
          <w:sz w:val="28"/>
          <w:szCs w:val="28"/>
          <w:rtl/>
        </w:rPr>
        <w:t>الإطار المفاهيمي للقرار الاستراتيجي</w:t>
      </w:r>
      <w:r w:rsidRPr="006A2E70">
        <w:rPr>
          <w:rFonts w:asciiTheme="majorBidi" w:hAnsiTheme="majorBidi" w:cstheme="majorBidi"/>
          <w:b/>
          <w:bCs/>
          <w:sz w:val="28"/>
          <w:szCs w:val="28"/>
          <w:rtl/>
          <w:lang w:bidi="ar-EG"/>
        </w:rPr>
        <w:t>:</w:t>
      </w:r>
    </w:p>
    <w:p w14:paraId="1D4FBF2B"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تعتبر القرارات الاستراتيجية حجر الزاوية في عملية الإدارة الحديثة، إذ تمثل الاختيارات طويلة الأجل التي تحدد اتجاه المؤسسة وتؤثر على قدرتها التنافسية واستدامتها. تُعرف القرارات الاستراتيجية بأنها تلك القرارات التي تتسم بالتعقيد، وغالبًا ما تتطلب تخصيص موارد كبيرة، كما أنها تحدد المسار المستقبلي للمؤسسة وتربط بين الأهداف التنظيمية والبيئة الخارجية. تختلف القرارات الاستراتيجية عن القرارات التشغيلية والتكتيكية من حيث نطاق التأثير، إذ تركز التشغيلية على العمليات </w:t>
      </w:r>
      <w:r w:rsidRPr="006A2E70">
        <w:rPr>
          <w:rFonts w:asciiTheme="majorBidi" w:hAnsiTheme="majorBidi" w:cstheme="majorBidi"/>
          <w:sz w:val="28"/>
          <w:szCs w:val="28"/>
          <w:rtl/>
        </w:rPr>
        <w:lastRenderedPageBreak/>
        <w:t>اليومية والتفاصيل التنفيذية، بينما تغطي التك</w:t>
      </w:r>
      <w:r w:rsidR="00887924" w:rsidRPr="006A2E70">
        <w:rPr>
          <w:rFonts w:asciiTheme="majorBidi" w:hAnsiTheme="majorBidi" w:cstheme="majorBidi"/>
          <w:sz w:val="28"/>
          <w:szCs w:val="28"/>
          <w:rtl/>
        </w:rPr>
        <w:t>س</w:t>
      </w:r>
      <w:r w:rsidRPr="006A2E70">
        <w:rPr>
          <w:rFonts w:asciiTheme="majorBidi" w:hAnsiTheme="majorBidi" w:cstheme="majorBidi"/>
          <w:sz w:val="28"/>
          <w:szCs w:val="28"/>
          <w:rtl/>
        </w:rPr>
        <w:t>تيكية الأطر الوسيطة التي تربط بين الاستراتيجية والتنفيذ. ويظهر من التحليل أن فاعلية هذه القرارات تعتمد بشكل أساسي على وضوح الرؤية، دقة المعلومات، وقدرة القيادات على التنبؤ بالمتغيرات الداخلية والخارجية</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(Ghonim et al., 2022, p. 1)</w:t>
      </w:r>
    </w:p>
    <w:p w14:paraId="17659D9B"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تتسم القرارات الاستراتيجية بعدة خصائص رئيسية تميزها عن غيرها من أنواع القرارات. أولها نطاق التأثير الواسع، إذ تشمل جميع مستويات المؤسسة وقد تمتد آثارها إلى السوق والمنافسين والمستهلكين. ثانيًا، عدم اليقين المصاحب للقرار، حيث تتعامل القيادة مع بيئة ديناميكية مليئة بالمخاطر والفرص غير المتوقعة، مما يتطلب قدرة تحليلية عالية واستعدادًا للتكيف مع السيناريوهات المختلفة. ثالثًا، الالتزام الطويل الأجل، إذ غالبًا ما يكون للقرار الاستراتيجي تداعيات مستمرة تتطلب متابعة وتقييم مستمر لضمان تحقيق النتائج المرجوة. رابعًا، التعقيد في المعلومات المستخدمة، إذ تحتاج القرارات الاستراتيجية إلى دمج معلومات داخلية وخارجية متعددة المصادر، بما في ذلك البيانات المالية، الاتجاهات السوقية، والتغيرات التنظيمية والسياسية</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w:t>
      </w:r>
      <w:proofErr w:type="spellStart"/>
      <w:r w:rsidR="00D74D18" w:rsidRPr="006A2E70">
        <w:rPr>
          <w:rFonts w:asciiTheme="majorBidi" w:hAnsiTheme="majorBidi" w:cstheme="majorBidi"/>
          <w:sz w:val="28"/>
          <w:szCs w:val="28"/>
        </w:rPr>
        <w:t>Vudugula</w:t>
      </w:r>
      <w:proofErr w:type="spellEnd"/>
      <w:r w:rsidR="00D74D18" w:rsidRPr="006A2E70">
        <w:rPr>
          <w:rFonts w:asciiTheme="majorBidi" w:hAnsiTheme="majorBidi" w:cstheme="majorBidi"/>
          <w:sz w:val="28"/>
          <w:szCs w:val="28"/>
        </w:rPr>
        <w:t xml:space="preserve"> et al., 2023, p. 1)</w:t>
      </w:r>
    </w:p>
    <w:p w14:paraId="305BF3A3"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تنبع أهمية القرارات الاستراتيجية من دورها في تحقيق فاعلية الإدارة على المستوى الكلي، حيث تحدد هذه القرارات أولويات المؤسسة وتوجه الموارد نحو تحقيق الأهداف الأكثر تأثيرًا. ويمكن القول إن الفاعلية هنا ليست مجرد تنفيذ القرار بحد ذاته، بل قياس النتائج المتحققة مقارنة بالأهداف المرجوة ومدى قدرة القرار على تعزيز الميزة التنافسية. من هذا المنظور، تبرز العلاقة بين جودة القرار الاستراتيجي وأداء المؤسسة في المدى الطويل، إذ تؤدي القرارات المتوازنة والمدروسة إلى تحسين الكفاءة، تعزيز الابتكار، وتحقيق الاستدامة المؤسسية</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(Csaszar et al., 2024, p. 322)</w:t>
      </w:r>
    </w:p>
    <w:p w14:paraId="529E941F"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عند دراسة الفروق بين القرارات الاستراتيجية والتشغيلية، يتضح أن الأخيرة تتعلق بتنفيذ الأنشطة اليومية وتطبيق السياسات القائمة، بينما ترتبط القرارات الاستراتيجية بتحديد الاتجاه العام للمؤسسة ووضع الإطار الذي تحكمه الأهداف الكبرى. على سبيل المثال، في قطاع الصناعات الغذائية بالمملكة العربية السعودية، قد يشمل القرار الاستراتيجي اعتماد تقنيات الذكاء الاصطناعي لتعزيز الإنتاجية والتنبؤ بالطلب، بينما القرارات التشغيلية تتعلق بإدارة خطوط الإنتاج اليومية وضمان جودة المنتجات. وتوضح هذه الأمثلة أن القرارات الاستراتيجية تتطلب منظورًا شاملًا يجمع بين التحليل الرقمي والمعرفة التنظيمية والخبرة التنفيذية</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w:t>
      </w:r>
      <w:proofErr w:type="spellStart"/>
      <w:r w:rsidR="00D74D18" w:rsidRPr="006A2E70">
        <w:rPr>
          <w:rFonts w:asciiTheme="majorBidi" w:hAnsiTheme="majorBidi" w:cstheme="majorBidi"/>
          <w:sz w:val="28"/>
          <w:szCs w:val="28"/>
        </w:rPr>
        <w:t>Sinnaiah</w:t>
      </w:r>
      <w:proofErr w:type="spellEnd"/>
      <w:r w:rsidR="00D74D18" w:rsidRPr="006A2E70">
        <w:rPr>
          <w:rFonts w:asciiTheme="majorBidi" w:hAnsiTheme="majorBidi" w:cstheme="majorBidi"/>
          <w:sz w:val="28"/>
          <w:szCs w:val="28"/>
        </w:rPr>
        <w:t xml:space="preserve"> &amp; Adam, 2023, p. 37)</w:t>
      </w:r>
    </w:p>
    <w:p w14:paraId="28A55649"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تتأثر فاعلية القرارات الاستراتيجية بعدة عوامل رئيسية، أبرزها جودة المعلومات المتاحة. تعتمد القيادة التنفيذية على بيانات دقيقة ومحدثة لدعم اتخاذ القرار، ويصبح تحليل البيانات الضخمة والأدوات التنبؤية جزءًا لا يتجزأ من العملية الاستراتيجية، خاصة في بيئة سريعة التغير مثل السوق السعودي. كما تلعب الثقافة التنظيمية دورًا حيويًا، حيث تؤثر المرونة والقدرة على التعلم المؤسسي على مدى نجاح تنفيذ القرارات، بينما قد تؤدي الثقافة التقليدية أو المقاومة الداخلية إلى تقليل فعالية القرارات أو تأخير تطبيقها</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(Eberhard, 2023, p. 167)</w:t>
      </w:r>
    </w:p>
    <w:p w14:paraId="69EBED02"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من منظور تحليلي، يمثل التفكير النقدي والاستباقي عناصر أساسية لضمان فاعلية القرارات الاستراتيجية. إذ يتطلب صياغة القرار تقييم السيناريوهات المختلفة، تحديد المخاطر المحتملة، ووضع آليات للمتابعة والتقييم المستمر. كما يشمل ذلك دمج الخبرة البشرية مع التحليلات الرقمية لتجنب التحيزات الناتجة عن الاعتماد الكامل على النماذج الذكية. في هذا الإطار، يمكن القول إن القرارات </w:t>
      </w:r>
      <w:r w:rsidRPr="006A2E70">
        <w:rPr>
          <w:rFonts w:asciiTheme="majorBidi" w:hAnsiTheme="majorBidi" w:cstheme="majorBidi"/>
          <w:sz w:val="28"/>
          <w:szCs w:val="28"/>
          <w:rtl/>
        </w:rPr>
        <w:lastRenderedPageBreak/>
        <w:t>الاستراتيجية الفعالة هي تلك التي تحقق التوازن بين الدقة التحليلية، القدرة على التكيف مع المتغيرات، واستثمار الموارد بشكل أمثل لدعم الأهداف المؤسسية</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(Rajagopal et al., 2022, p. 1)</w:t>
      </w:r>
    </w:p>
    <w:p w14:paraId="1AF0524D" w14:textId="77777777" w:rsidR="00ED3557" w:rsidRPr="006A2E70" w:rsidRDefault="00ED3557" w:rsidP="00D74D18">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علاوة على ذلك، يرتبط نجاح القرارات الاستراتيجية بالحوكمة المؤسسية وآليات المساءلة، إذ تساهم الهياكل التنظيمية الواضحة في ضمان تنفيذ القرارات وفق معايير دقيقة وتقييم نتائجها بشكل دوري. ويؤكد البحث التنفيذي أن القرارات التي تصاغ ضمن إطار حوكمة صارم تحقق قدرة أعلى على تحقيق الأهداف الاستراتيجية، وتقلل من المخاطر المرتبطة بالقرارات المتسرعة أو غير المدروسة، بما يعكس مستوى النضج المؤسسي في تبني التفكير الاستراتيجي</w:t>
      </w:r>
      <w:r w:rsidRPr="006A2E70">
        <w:rPr>
          <w:rFonts w:asciiTheme="majorBidi" w:hAnsiTheme="majorBidi" w:cstheme="majorBidi"/>
          <w:sz w:val="28"/>
          <w:szCs w:val="28"/>
          <w:rtl/>
          <w:lang w:bidi="ar-EG"/>
        </w:rPr>
        <w:t>.</w:t>
      </w:r>
      <w:r w:rsidR="00D74D18" w:rsidRPr="006A2E70">
        <w:rPr>
          <w:rFonts w:asciiTheme="majorBidi" w:hAnsiTheme="majorBidi" w:cstheme="majorBidi"/>
          <w:sz w:val="28"/>
          <w:szCs w:val="28"/>
          <w:rtl/>
          <w:lang w:bidi="ar-EG"/>
        </w:rPr>
        <w:t xml:space="preserve"> </w:t>
      </w:r>
      <w:r w:rsidR="00D74D18" w:rsidRPr="006A2E70">
        <w:rPr>
          <w:rFonts w:asciiTheme="majorBidi" w:hAnsiTheme="majorBidi" w:cstheme="majorBidi"/>
          <w:sz w:val="28"/>
          <w:szCs w:val="28"/>
        </w:rPr>
        <w:t>(Adesina et al., 2024, p. 1927)</w:t>
      </w:r>
    </w:p>
    <w:p w14:paraId="10920F05" w14:textId="77777777" w:rsidR="00ED3557" w:rsidRPr="006A2E70" w:rsidRDefault="00ED3557" w:rsidP="005050B7">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القرارات الاستراتيجية تمثل أداة محورية لضمان فاعلية الإدارة وتوجيه الموارد نحو تحقيق الأهداف الطويلة الأجل. تعتمد هذه الفاعلية على وضوح الرؤية، جودة المعلومات، تكامل الخبرة البشرية مع التحليل الرقمي، ووجود آليات حوكمة ومتابعة مستمرة. كما أن القرارات الاستراتيجية ليست مجرد إجراءات تنفيذية، بل هي اختيارات حاسمة تعكس قدرة المؤسسة على التكيف مع التغيرات البيئية، استثمار الفرص، وتقليل المخاطر، بما يعزز القدرة التنافسية واستدامة الأداء المؤسسي على المدى الطويل</w:t>
      </w:r>
      <w:r w:rsidR="005050B7" w:rsidRPr="006A2E70">
        <w:rPr>
          <w:rFonts w:asciiTheme="majorBidi" w:hAnsiTheme="majorBidi" w:cstheme="majorBidi"/>
          <w:sz w:val="28"/>
          <w:szCs w:val="28"/>
          <w:rtl/>
          <w:lang w:bidi="ar-EG"/>
        </w:rPr>
        <w:t>.</w:t>
      </w:r>
    </w:p>
    <w:p w14:paraId="4E56EB63" w14:textId="77777777" w:rsidR="00EB35F4" w:rsidRPr="006A2E70" w:rsidRDefault="0046623A" w:rsidP="00EB35F4">
      <w:pPr>
        <w:bidi/>
        <w:jc w:val="both"/>
        <w:rPr>
          <w:rFonts w:asciiTheme="majorBidi" w:hAnsiTheme="majorBidi" w:cstheme="majorBidi"/>
          <w:sz w:val="28"/>
          <w:szCs w:val="28"/>
          <w:rtl/>
          <w:lang w:bidi="ar-EG"/>
        </w:rPr>
      </w:pPr>
      <w:r w:rsidRPr="006A2E70">
        <w:rPr>
          <w:rFonts w:asciiTheme="majorBidi" w:hAnsiTheme="majorBidi" w:cstheme="majorBidi"/>
          <w:b/>
          <w:bCs/>
          <w:sz w:val="28"/>
          <w:szCs w:val="28"/>
          <w:rtl/>
        </w:rPr>
        <w:t>عوامل تؤثر على فاعلية القرارات الاستراتيجية</w:t>
      </w:r>
      <w:r w:rsidRPr="006A2E70">
        <w:rPr>
          <w:rFonts w:asciiTheme="majorBidi" w:hAnsiTheme="majorBidi" w:cstheme="majorBidi"/>
          <w:b/>
          <w:bCs/>
          <w:sz w:val="28"/>
          <w:szCs w:val="28"/>
          <w:lang w:bidi="ar-EG"/>
        </w:rPr>
        <w:t>:</w:t>
      </w:r>
    </w:p>
    <w:p w14:paraId="7791141F" w14:textId="77777777" w:rsidR="00EB35F4" w:rsidRPr="006A2E70" w:rsidRDefault="00EB35F4" w:rsidP="00D74D18">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تتأثر فاعلية القرارات الاستراتيجية بعدة عوامل متشابكة تتجاوز مجرد توفر البيانات أو الخبرة، لتشمل أبعادًا داخلية تتعلق بالمنظمة نفسها، وأخرى خارجية مرتبطة بالبيئة المحيطة. في سياق المؤسسات السعودية، خصوصًا في قطاع الصناعات الغذائية، تلعب هذه العوامل دورًا بالغ الأهمية في تحديد مدى نجاح القرارات الاستراتيجية في تحقيق الأهداف طويلة الأجل والمساهمة في استدامة الأداء المؤسسي. إن دراسة هذه العوامل بشكل دقيق يتيح للمؤسسات تطوير آليات فعالة لتعظيم نتائج قراراتها الاستراتيجية وتقليل المخاطر المرتبطة بها</w:t>
      </w:r>
      <w:r w:rsidRPr="006A2E70">
        <w:rPr>
          <w:rFonts w:asciiTheme="majorBidi" w:hAnsiTheme="majorBidi" w:cstheme="majorBidi"/>
          <w:sz w:val="28"/>
          <w:szCs w:val="28"/>
        </w:rPr>
        <w:t>.</w:t>
      </w:r>
      <w:r w:rsidR="00D74D18" w:rsidRPr="006A2E70">
        <w:rPr>
          <w:rFonts w:asciiTheme="majorBidi" w:hAnsiTheme="majorBidi" w:cstheme="majorBidi"/>
          <w:sz w:val="28"/>
          <w:szCs w:val="28"/>
          <w:rtl/>
        </w:rPr>
        <w:t xml:space="preserve"> </w:t>
      </w:r>
      <w:r w:rsidR="00D74D18" w:rsidRPr="006A2E70">
        <w:rPr>
          <w:rFonts w:asciiTheme="majorBidi" w:hAnsiTheme="majorBidi" w:cstheme="majorBidi"/>
          <w:sz w:val="28"/>
          <w:szCs w:val="28"/>
        </w:rPr>
        <w:t>(Meakin, 2022, p. 1)</w:t>
      </w:r>
    </w:p>
    <w:p w14:paraId="13BDDD54" w14:textId="77777777" w:rsidR="00EB35F4" w:rsidRPr="006A2E70" w:rsidRDefault="00EB35F4" w:rsidP="00EB35F4">
      <w:pPr>
        <w:pStyle w:val="a3"/>
        <w:numPr>
          <w:ilvl w:val="0"/>
          <w:numId w:val="14"/>
        </w:numPr>
        <w:bidi/>
        <w:jc w:val="both"/>
        <w:rPr>
          <w:rFonts w:asciiTheme="majorBidi" w:hAnsiTheme="majorBidi" w:cstheme="majorBidi"/>
          <w:sz w:val="28"/>
          <w:szCs w:val="28"/>
        </w:rPr>
      </w:pPr>
      <w:r w:rsidRPr="006A2E70">
        <w:rPr>
          <w:rFonts w:asciiTheme="majorBidi" w:hAnsiTheme="majorBidi" w:cstheme="majorBidi"/>
          <w:b/>
          <w:bCs/>
          <w:sz w:val="28"/>
          <w:szCs w:val="28"/>
          <w:rtl/>
        </w:rPr>
        <w:t>العوامل الداخلية:</w:t>
      </w:r>
    </w:p>
    <w:p w14:paraId="75E0A0ED" w14:textId="77777777" w:rsidR="00EB35F4" w:rsidRPr="006A2E70" w:rsidRDefault="00EB35F4" w:rsidP="00D74D18">
      <w:pPr>
        <w:pStyle w:val="a3"/>
        <w:bidi/>
        <w:jc w:val="both"/>
        <w:rPr>
          <w:rFonts w:asciiTheme="majorBidi" w:hAnsiTheme="majorBidi" w:cstheme="majorBidi"/>
          <w:sz w:val="28"/>
          <w:szCs w:val="28"/>
        </w:rPr>
      </w:pPr>
      <w:r w:rsidRPr="006A2E70">
        <w:rPr>
          <w:rFonts w:asciiTheme="majorBidi" w:hAnsiTheme="majorBidi" w:cstheme="majorBidi"/>
          <w:sz w:val="28"/>
          <w:szCs w:val="28"/>
          <w:rtl/>
        </w:rPr>
        <w:t>تشمل العوامل الداخلية عناصر مثل الثقافة التنظيمية، البنية المؤسسية، ونظم الحوكمة الداخلية. الثقافة التنظيمية تحدد درجة تقبل المؤسسة للتغيير، مدى مرونة الموظفين في تبني الابتكار، واستعداد الفرق التنفيذية لاتخاذ قرارات جريئة. تظهر التجربة العملية أن المؤسسات التي تتمتع بثقافة تنظيمية داعمة للابتكار والتحليل الاستراتيجي تحقق فاعلية أعلى في قراراتها، مقارنة بالمنظمات المحافظة التي تفضل الأساليب التقليدية. أما البنية المؤسسية، فتؤثر على توزيع السلطات والمسؤوليات، وتحديد خطوط الاتصال واتخاذ القرار، حيث تسهم الهياكل الواضحة والمرنة في تسريع عملية اتخاذ القرار وتحسين جودته.</w:t>
      </w:r>
      <w:r w:rsidR="00D74D18" w:rsidRPr="006A2E70">
        <w:rPr>
          <w:rFonts w:asciiTheme="majorBidi" w:hAnsiTheme="majorBidi" w:cstheme="majorBidi"/>
          <w:sz w:val="28"/>
          <w:szCs w:val="28"/>
          <w:rtl/>
        </w:rPr>
        <w:t xml:space="preserve"> </w:t>
      </w:r>
      <w:r w:rsidR="00D74D18" w:rsidRPr="006A2E70">
        <w:rPr>
          <w:rFonts w:asciiTheme="majorBidi" w:hAnsiTheme="majorBidi" w:cstheme="majorBidi"/>
          <w:sz w:val="28"/>
          <w:szCs w:val="28"/>
        </w:rPr>
        <w:t>(Rijal, 2023, p. 84)</w:t>
      </w:r>
    </w:p>
    <w:p w14:paraId="458A93E4" w14:textId="77777777" w:rsidR="00EB35F4" w:rsidRPr="006A2E70" w:rsidRDefault="00EB35F4" w:rsidP="00EB35F4">
      <w:pPr>
        <w:pStyle w:val="a3"/>
        <w:numPr>
          <w:ilvl w:val="0"/>
          <w:numId w:val="14"/>
        </w:numPr>
        <w:bidi/>
        <w:jc w:val="both"/>
        <w:rPr>
          <w:rFonts w:asciiTheme="majorBidi" w:hAnsiTheme="majorBidi" w:cstheme="majorBidi"/>
          <w:sz w:val="28"/>
          <w:szCs w:val="28"/>
        </w:rPr>
      </w:pPr>
      <w:r w:rsidRPr="006A2E70">
        <w:rPr>
          <w:rFonts w:asciiTheme="majorBidi" w:hAnsiTheme="majorBidi" w:cstheme="majorBidi"/>
          <w:b/>
          <w:bCs/>
          <w:sz w:val="28"/>
          <w:szCs w:val="28"/>
          <w:rtl/>
        </w:rPr>
        <w:t>العوامل المرتبطة بالقيادة:</w:t>
      </w:r>
    </w:p>
    <w:p w14:paraId="70586BF7" w14:textId="77777777" w:rsidR="00EB35F4" w:rsidRPr="006A2E70" w:rsidRDefault="00EB35F4" w:rsidP="00D74D18">
      <w:pPr>
        <w:pStyle w:val="a3"/>
        <w:bidi/>
        <w:jc w:val="both"/>
        <w:rPr>
          <w:rFonts w:asciiTheme="majorBidi" w:hAnsiTheme="majorBidi" w:cstheme="majorBidi"/>
          <w:sz w:val="28"/>
          <w:szCs w:val="28"/>
        </w:rPr>
      </w:pPr>
      <w:r w:rsidRPr="006A2E70">
        <w:rPr>
          <w:rFonts w:asciiTheme="majorBidi" w:hAnsiTheme="majorBidi" w:cstheme="majorBidi"/>
          <w:sz w:val="28"/>
          <w:szCs w:val="28"/>
          <w:rtl/>
        </w:rPr>
        <w:t xml:space="preserve">تلعب القيادة التنفيذية دورًا محوريًا في توجيه القرارات الاستراتيجية، إذ تحدد أسلوب التقييم، مستوى المخاطرة المقبول، ودرجة مشاركة الموظفين في عملية اتخاذ القرار. تشير الدراسات إلى أن القادة الذين يجمعون بين الرؤية الاستراتيجية والقدرة على التحليل النقدي يحققون قرارات أكثر فاعلية، ويستطيعون تكييف خططهم بما يتناسب مع التغيرات الاقتصادية والتنافسية. ومن منظور تنفيذي، يعزز إشراك القيادة في تحليل البيانات وتفسير النتائج من </w:t>
      </w:r>
      <w:r w:rsidRPr="006A2E70">
        <w:rPr>
          <w:rFonts w:asciiTheme="majorBidi" w:hAnsiTheme="majorBidi" w:cstheme="majorBidi"/>
          <w:sz w:val="28"/>
          <w:szCs w:val="28"/>
          <w:rtl/>
        </w:rPr>
        <w:lastRenderedPageBreak/>
        <w:t>جودة القرارات ويقلل من احتمالية التحيز أو اتخاذ خيارات غير مدروسة.</w:t>
      </w:r>
      <w:r w:rsidR="00D74D18" w:rsidRPr="006A2E70">
        <w:rPr>
          <w:rFonts w:asciiTheme="majorBidi" w:hAnsiTheme="majorBidi" w:cstheme="majorBidi"/>
          <w:sz w:val="28"/>
          <w:szCs w:val="28"/>
          <w:rtl/>
        </w:rPr>
        <w:t xml:space="preserve"> </w:t>
      </w:r>
      <w:r w:rsidR="00D74D18" w:rsidRPr="006A2E70">
        <w:rPr>
          <w:rFonts w:asciiTheme="majorBidi" w:hAnsiTheme="majorBidi" w:cstheme="majorBidi"/>
          <w:sz w:val="28"/>
          <w:szCs w:val="28"/>
        </w:rPr>
        <w:t>(Al-</w:t>
      </w:r>
      <w:proofErr w:type="spellStart"/>
      <w:r w:rsidR="00D74D18" w:rsidRPr="006A2E70">
        <w:rPr>
          <w:rFonts w:asciiTheme="majorBidi" w:hAnsiTheme="majorBidi" w:cstheme="majorBidi"/>
          <w:sz w:val="28"/>
          <w:szCs w:val="28"/>
        </w:rPr>
        <w:t>Surmi</w:t>
      </w:r>
      <w:proofErr w:type="spellEnd"/>
      <w:r w:rsidR="00D74D18" w:rsidRPr="006A2E70">
        <w:rPr>
          <w:rFonts w:asciiTheme="majorBidi" w:hAnsiTheme="majorBidi" w:cstheme="majorBidi"/>
          <w:sz w:val="28"/>
          <w:szCs w:val="28"/>
        </w:rPr>
        <w:t xml:space="preserve"> et al., 2022, p. 4464)</w:t>
      </w:r>
    </w:p>
    <w:p w14:paraId="0B32D047" w14:textId="77777777" w:rsidR="00EB35F4" w:rsidRPr="006A2E70" w:rsidRDefault="00EB35F4" w:rsidP="00EB35F4">
      <w:pPr>
        <w:pStyle w:val="a3"/>
        <w:numPr>
          <w:ilvl w:val="0"/>
          <w:numId w:val="14"/>
        </w:numPr>
        <w:bidi/>
        <w:jc w:val="both"/>
        <w:rPr>
          <w:rFonts w:asciiTheme="majorBidi" w:hAnsiTheme="majorBidi" w:cstheme="majorBidi"/>
          <w:sz w:val="28"/>
          <w:szCs w:val="28"/>
        </w:rPr>
      </w:pPr>
      <w:r w:rsidRPr="006A2E70">
        <w:rPr>
          <w:rFonts w:asciiTheme="majorBidi" w:hAnsiTheme="majorBidi" w:cstheme="majorBidi"/>
          <w:b/>
          <w:bCs/>
          <w:sz w:val="28"/>
          <w:szCs w:val="28"/>
          <w:rtl/>
        </w:rPr>
        <w:t>العوامل الخارجية</w:t>
      </w:r>
      <w:r w:rsidRPr="006A2E70">
        <w:rPr>
          <w:rFonts w:asciiTheme="majorBidi" w:hAnsiTheme="majorBidi" w:cstheme="majorBidi"/>
          <w:b/>
          <w:bCs/>
          <w:sz w:val="28"/>
          <w:szCs w:val="28"/>
        </w:rPr>
        <w:t>:</w:t>
      </w:r>
    </w:p>
    <w:p w14:paraId="376CFCD9" w14:textId="77777777" w:rsidR="00EB35F4" w:rsidRPr="006A2E70" w:rsidRDefault="00EB35F4" w:rsidP="00D74D18">
      <w:pPr>
        <w:pStyle w:val="a3"/>
        <w:bidi/>
        <w:jc w:val="both"/>
        <w:rPr>
          <w:rFonts w:asciiTheme="majorBidi" w:hAnsiTheme="majorBidi" w:cstheme="majorBidi"/>
          <w:sz w:val="28"/>
          <w:szCs w:val="28"/>
        </w:rPr>
      </w:pPr>
      <w:r w:rsidRPr="006A2E70">
        <w:rPr>
          <w:rFonts w:asciiTheme="majorBidi" w:hAnsiTheme="majorBidi" w:cstheme="majorBidi"/>
          <w:sz w:val="28"/>
          <w:szCs w:val="28"/>
          <w:rtl/>
        </w:rPr>
        <w:t>تمثل البيئة الاقتصادية، التنظيمية، والتنافسية من أبرز العوامل الخارجية التي تؤثر على فاعلية القرارات. يتعين على المؤسسات أخذ تقلبات السوق، معدلات الطلب، تكاليف الإنتاج، والتشريعات المحلية في الاعتبار عند صياغة القرارات الاستراتيجية. في المملكة العربية السعودية، على سبيل المثال، تتطلب رؤية 2030 من الشركات الالتزام بمعايير التحول الرقمي والاستدامة، مما يجعل القرارات الاستراتيجية أكثر تعقيدًا وتتطلب مراعاة التغيرات السياسية والاجتماعية والتكنولوجية. كما أن المنافسة الشديدة في قطاع الصناعات الغذائية تحتم على المؤسسات اتخاذ قرارات مرنة وسريعة الاستجابة للحفاظ على حصتها السوقية.</w:t>
      </w:r>
      <w:r w:rsidR="00D74D18" w:rsidRPr="006A2E70">
        <w:rPr>
          <w:rFonts w:asciiTheme="majorBidi" w:hAnsiTheme="majorBidi" w:cstheme="majorBidi"/>
          <w:sz w:val="28"/>
          <w:szCs w:val="28"/>
          <w:rtl/>
        </w:rPr>
        <w:t xml:space="preserve"> </w:t>
      </w:r>
      <w:r w:rsidR="00D74D18" w:rsidRPr="006A2E70">
        <w:rPr>
          <w:rFonts w:asciiTheme="majorBidi" w:hAnsiTheme="majorBidi" w:cstheme="majorBidi"/>
          <w:sz w:val="28"/>
          <w:szCs w:val="28"/>
        </w:rPr>
        <w:t>(Adeniran et al., 2024, p. 1517)</w:t>
      </w:r>
    </w:p>
    <w:p w14:paraId="6B2CEE7D" w14:textId="77777777" w:rsidR="00EB35F4" w:rsidRPr="006A2E70" w:rsidRDefault="00EB35F4" w:rsidP="00EB35F4">
      <w:pPr>
        <w:pStyle w:val="a3"/>
        <w:numPr>
          <w:ilvl w:val="0"/>
          <w:numId w:val="14"/>
        </w:numPr>
        <w:bidi/>
        <w:jc w:val="both"/>
        <w:rPr>
          <w:rFonts w:asciiTheme="majorBidi" w:hAnsiTheme="majorBidi" w:cstheme="majorBidi"/>
          <w:sz w:val="28"/>
          <w:szCs w:val="28"/>
        </w:rPr>
      </w:pPr>
      <w:r w:rsidRPr="006A2E70">
        <w:rPr>
          <w:rFonts w:asciiTheme="majorBidi" w:hAnsiTheme="majorBidi" w:cstheme="majorBidi"/>
          <w:b/>
          <w:bCs/>
          <w:sz w:val="28"/>
          <w:szCs w:val="28"/>
          <w:rtl/>
        </w:rPr>
        <w:t>دور المعلومات والتحليل</w:t>
      </w:r>
      <w:r w:rsidRPr="006A2E70">
        <w:rPr>
          <w:rFonts w:asciiTheme="majorBidi" w:hAnsiTheme="majorBidi" w:cstheme="majorBidi"/>
          <w:b/>
          <w:bCs/>
          <w:sz w:val="28"/>
          <w:szCs w:val="28"/>
        </w:rPr>
        <w:t>:</w:t>
      </w:r>
    </w:p>
    <w:p w14:paraId="35C63390" w14:textId="77777777" w:rsidR="00EB35F4" w:rsidRPr="006A2E70" w:rsidRDefault="00EB35F4" w:rsidP="00EB35F4">
      <w:pPr>
        <w:pStyle w:val="a3"/>
        <w:bidi/>
        <w:jc w:val="both"/>
        <w:rPr>
          <w:rFonts w:asciiTheme="majorBidi" w:hAnsiTheme="majorBidi" w:cstheme="majorBidi"/>
          <w:sz w:val="28"/>
          <w:szCs w:val="28"/>
        </w:rPr>
      </w:pPr>
      <w:r w:rsidRPr="006A2E70">
        <w:rPr>
          <w:rFonts w:asciiTheme="majorBidi" w:hAnsiTheme="majorBidi" w:cstheme="majorBidi"/>
          <w:sz w:val="28"/>
          <w:szCs w:val="28"/>
          <w:rtl/>
        </w:rPr>
        <w:t>تعتبر جودة المعلومات والتحليلات المقدمة للقيادة أحد العوامل الحاسمة في فاعلية القرارات الاستراتيجية. تعتمد المؤسسات على بيانات دقيقة ومحدثة عن السوق والمستهلكين والمنافسين لتحديد الفرص والمخاطر المستقبلية. كما أن استخدام أدوات التحليل الرقمي والذكاء الاصطناعي يتيح توقع الاتجاهات المستقبلية بدقة أكبر، إلا أن الاعتماد الكامل على التحليل الرقمي دون تكامل مع الخبرة البشرية قد يؤدي إلى نتائج متحيزة أو غير دقيقة. لذا، يتضح أن دمج المعلومات التقنية مع الخبرة المؤسسية يعزز قدرة القرارات على تحقيق أهدافها الاستراتيجية</w:t>
      </w:r>
      <w:r w:rsidR="00E70164" w:rsidRPr="006A2E70">
        <w:rPr>
          <w:rFonts w:asciiTheme="majorBidi" w:hAnsiTheme="majorBidi" w:cstheme="majorBidi"/>
          <w:sz w:val="28"/>
          <w:szCs w:val="28"/>
          <w:rtl/>
        </w:rPr>
        <w:t>.</w:t>
      </w:r>
      <w:r w:rsidR="00D74D18"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(Hicham et al., 2023, p. 139)</w:t>
      </w:r>
    </w:p>
    <w:p w14:paraId="0FB4E26C" w14:textId="77777777" w:rsidR="00EB35F4" w:rsidRPr="006A2E70" w:rsidRDefault="00EB35F4" w:rsidP="00EB35F4">
      <w:pPr>
        <w:pStyle w:val="a3"/>
        <w:numPr>
          <w:ilvl w:val="0"/>
          <w:numId w:val="14"/>
        </w:numPr>
        <w:bidi/>
        <w:jc w:val="both"/>
        <w:rPr>
          <w:rFonts w:asciiTheme="majorBidi" w:hAnsiTheme="majorBidi" w:cstheme="majorBidi"/>
          <w:sz w:val="28"/>
          <w:szCs w:val="28"/>
        </w:rPr>
      </w:pPr>
      <w:r w:rsidRPr="006A2E70">
        <w:rPr>
          <w:rFonts w:asciiTheme="majorBidi" w:hAnsiTheme="majorBidi" w:cstheme="majorBidi"/>
          <w:b/>
          <w:bCs/>
          <w:sz w:val="28"/>
          <w:szCs w:val="28"/>
          <w:rtl/>
        </w:rPr>
        <w:t>التكامل بين العوامل الداخلية والخارجية</w:t>
      </w:r>
      <w:r w:rsidRPr="006A2E70">
        <w:rPr>
          <w:rFonts w:asciiTheme="majorBidi" w:hAnsiTheme="majorBidi" w:cstheme="majorBidi"/>
          <w:b/>
          <w:bCs/>
          <w:sz w:val="28"/>
          <w:szCs w:val="28"/>
        </w:rPr>
        <w:t>:</w:t>
      </w:r>
    </w:p>
    <w:p w14:paraId="295F0B2C" w14:textId="77777777" w:rsidR="00E70164" w:rsidRPr="006A2E70" w:rsidRDefault="00EB35F4" w:rsidP="0090259A">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يتطلب تحقيق فاعلية القرارات الاستراتيجية قدرة المؤسسة على التكيف مع تفاعل العوامل الداخلية والخارجية. فالمؤسسة الناجحة هي تلك التي تستطيع مواءمة قدراتها الداخلية، مثل الكفاءات البشرية والهياكل التنظيمية، مع متطلبات البيئة الخارجية، بما يشمل التغيرات الاقتصادية والتكنولوجية والتنافسية. ويشير التحليل النقدي إلى أن الفشل في التعامل مع هذا التكامل يؤدي إلى قرارات غير متوازنة، قد تحقق بعض الأهداف لكنها تفشل في تعزيز الميزة التنافسية أو الاستدامة المؤسسية</w:t>
      </w:r>
      <w:r w:rsidR="00E70164" w:rsidRPr="006A2E70">
        <w:rPr>
          <w:rFonts w:asciiTheme="majorBidi" w:hAnsiTheme="majorBidi" w:cstheme="majorBidi"/>
          <w:sz w:val="28"/>
          <w:szCs w:val="28"/>
          <w:rtl/>
        </w:rPr>
        <w:t>.</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(Kaggwa et al., 2024, p. 423)</w:t>
      </w:r>
    </w:p>
    <w:p w14:paraId="3E3C6AD4" w14:textId="77777777" w:rsidR="00EB35F4" w:rsidRPr="006A2E70" w:rsidRDefault="00EB35F4" w:rsidP="006F5668">
      <w:pPr>
        <w:pStyle w:val="a3"/>
        <w:bidi/>
        <w:ind w:firstLine="720"/>
        <w:jc w:val="both"/>
        <w:rPr>
          <w:rFonts w:asciiTheme="majorBidi" w:hAnsiTheme="majorBidi" w:cstheme="majorBidi"/>
          <w:sz w:val="28"/>
          <w:szCs w:val="28"/>
          <w:rtl/>
        </w:rPr>
      </w:pPr>
      <w:r w:rsidRPr="006A2E70">
        <w:rPr>
          <w:rFonts w:asciiTheme="majorBidi" w:hAnsiTheme="majorBidi" w:cstheme="majorBidi"/>
          <w:sz w:val="28"/>
          <w:szCs w:val="28"/>
          <w:rtl/>
        </w:rPr>
        <w:t>مما سبق يتضح أن فاعلية القرارات الاستراتيجية تتأثر بمجموعة متشابكة من العوامل الداخلية والخارجية، بما في ذلك الثقافة التنظيمية، البنية المؤسسية، القيادة، البيئة الاقتصادية، وجودة المعلومات والتحليل، والتكامل بين هذه العوامل. ويبرز من التحليل أن المؤسسات التي تتمتع بالمرونة الداخلية، القدرة على التحليل النقدي، والاستجابة الذكية للتغيرات الخارجية تحقق قرارات أكثر دقة وفاعلية، مما يعزز قدرتها على تحقيق الأهداف الاستراتيجية، المحافظة على الميزة التنافسية، وضمان استدامة الأداء المؤسسي في بيئة متغيرة ومعقدة مثل المملكة العربية السعودية</w:t>
      </w:r>
      <w:r w:rsidR="00E70164" w:rsidRPr="006A2E70">
        <w:rPr>
          <w:rFonts w:asciiTheme="majorBidi" w:hAnsiTheme="majorBidi" w:cstheme="majorBidi"/>
          <w:sz w:val="28"/>
          <w:szCs w:val="28"/>
          <w:rtl/>
        </w:rPr>
        <w:t>.</w:t>
      </w:r>
    </w:p>
    <w:p w14:paraId="2EDB2AAC" w14:textId="77777777" w:rsidR="0046623A" w:rsidRPr="006A2E70" w:rsidRDefault="0046623A" w:rsidP="00E70164">
      <w:pPr>
        <w:bidi/>
        <w:rPr>
          <w:rFonts w:asciiTheme="majorBidi" w:hAnsiTheme="majorBidi" w:cstheme="majorBidi"/>
          <w:b/>
          <w:bCs/>
          <w:sz w:val="28"/>
          <w:szCs w:val="28"/>
          <w:rtl/>
          <w:lang w:bidi="ar-EG"/>
        </w:rPr>
      </w:pPr>
      <w:r w:rsidRPr="006A2E70">
        <w:rPr>
          <w:rFonts w:asciiTheme="majorBidi" w:hAnsiTheme="majorBidi" w:cstheme="majorBidi"/>
          <w:b/>
          <w:bCs/>
          <w:sz w:val="28"/>
          <w:szCs w:val="28"/>
          <w:rtl/>
        </w:rPr>
        <w:t>دور المعلومات والتحليل في تعزيز فعالية القرارات</w:t>
      </w:r>
      <w:r w:rsidR="00E70164" w:rsidRPr="006A2E70">
        <w:rPr>
          <w:rFonts w:asciiTheme="majorBidi" w:hAnsiTheme="majorBidi" w:cstheme="majorBidi"/>
          <w:b/>
          <w:bCs/>
          <w:sz w:val="28"/>
          <w:szCs w:val="28"/>
          <w:rtl/>
          <w:lang w:bidi="ar-EG"/>
        </w:rPr>
        <w:t>:</w:t>
      </w:r>
    </w:p>
    <w:p w14:paraId="2900D24A" w14:textId="77777777" w:rsidR="00E70164" w:rsidRPr="006A2E70" w:rsidRDefault="00E70164"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تلعب المعلومات والتحليل دورًا محوريًا في ضمان فاعلية القرارات الاستراتيجية داخل المؤسسات، إذ تعد أساسًا لاتخاذ خيارات دقيقة ومستندة إلى أدلة واضحة. تتيح المعلومات الدقيقة </w:t>
      </w:r>
      <w:r w:rsidRPr="006A2E70">
        <w:rPr>
          <w:rFonts w:asciiTheme="majorBidi" w:hAnsiTheme="majorBidi" w:cstheme="majorBidi"/>
          <w:sz w:val="28"/>
          <w:szCs w:val="28"/>
          <w:rtl/>
        </w:rPr>
        <w:lastRenderedPageBreak/>
        <w:t>والكاملة للقيادات التنفيذية تقييم الفرص والمخاطر بشكل موضوعي، مما يعزز قدرتها على صياغة قرارات تتماشى مع الأهداف الاستراتيجية للمؤسسة. في هذا السياق، يمثل التحليل المتعمق للبيانات، بما في ذلك البيانات الضخمة واستخدام تقنيات الذكاء الاصطناعي، أداة فعالة لاستشراف التوجهات المستقبلية وفهم أنماط السوق وسلوك العملاء. ويظهر من التجربة العملية في المؤسسات السعودية، خصوصًا في قطاع الصناعات الغذائية، أن الجمع بين المعلومات النوعية والكمية يوفر أساسًا متينًا لاتخاذ قرارات مدروسة تساهم في تحسين الأداء المؤسسي والقدرة التنافسية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(Basu et al., 2023, p. 2588)</w:t>
      </w:r>
    </w:p>
    <w:p w14:paraId="1F903781" w14:textId="77777777" w:rsidR="00E70164" w:rsidRPr="006A2E70" w:rsidRDefault="00E70164"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تعتبر جودة البيانات من أهم العوامل التي تحدد قيمة التحليل الاستراتيجي، إذ أن البيانات غير الدقيقة أو الناقصة قد تؤدي إلى استنتاجات مضللة وإضعاف القرارات الاستراتيجية. ومن هذا المنطلق، تحتاج المؤسسات إلى وضع آليات لجمع المعلومات والتحقق من صحتها ومصداقيتها، وتكاملها عبر المصادر الداخلية والخارجية لضمان شمولية التحليل ودقته. بالإضافة إلى ذلك، يعد فهم السياق التنظيمي والبيئة الاقتصادية والاجتماعية محوريًا، حيث أن البيانات وحدها لا تكفي دون تفسيرها بما يتناسب مع واقع المؤسسة وأهدافها طويلة المدى</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(Yu &amp; Li, 2022, p. 1)</w:t>
      </w:r>
    </w:p>
    <w:p w14:paraId="7AAE0270" w14:textId="77777777" w:rsidR="00E70164" w:rsidRPr="006A2E70" w:rsidRDefault="00E70164"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تتيح أدوات تحليل البيانات الضخمة والذكاء الاصطناعي للمنظمات استكشاف أنماط خفية في البيانات، والتنبؤ بالاتجاهات المستقبلية بشكل استباقي، وهو ما يعزز قدرة القيادات على اتخاذ قرارات أكثر دقة وفاعلية. على سبيل المثال، يمكن للتقنيات الحديثة التنبؤ بالطلب على المنتجات، تحسين عمليات سلسلة التوريد، وتقديم توصيات لتحسين الكفاءة التشغيلية. إلا أن هذه الأدوات تتطلب بنية تحتية تقنية متطورة وكفاءات بشرية قادرة على تفسير النتائج وربطها بالأهداف الاستراتيجية، حيث يظل العنصر البشري ضروريًا لضمان دمج التحليل الرقمي مع الخبرة المؤسسية والفكر النقدي</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(Doshi et al., 2025, p. 583)</w:t>
      </w:r>
    </w:p>
    <w:p w14:paraId="00A073D5" w14:textId="77777777" w:rsidR="00E70164" w:rsidRPr="006A2E70" w:rsidRDefault="00E70164"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من منظور تنفيذي، يمثل التكامل بين التحليل الرقمي والخبرة البشرية عاملاً حاسمًا في تعزيز الفاعلية. فالقيادة الناجحة لا تكتفي بالاعتماد على البيانات، بل تستخدمها كأداة لدعم التفكير الاستراتيجي، وتقييم المخاطر، ووضع افتراضات مستقبلية مبنية على الخبرة الميدانية. هذا التكامل يتيح للمؤسسات التعامل مع عدم اليقين والتعقيدات البيئية، وضمان أن القرارات الاستراتيجية ليست مجرد استجابة فورية للمتغيرات، بل جزءًا من خطة شاملة تعزز الاستدامة والقدرة التنافسية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(Wu et al., 2023, p. 1)</w:t>
      </w:r>
    </w:p>
    <w:p w14:paraId="268870A5" w14:textId="77777777" w:rsidR="00E70164" w:rsidRPr="006A2E70" w:rsidRDefault="00E70164"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كما يساهم التحليل الدقيق في تطوير مؤشرات الأداء، وتقييم النتائج بشكل مستمر، ما يسمح بإجراء تعديلات فورية أو استراتيجية على القرارات عند الضرورة. ويصبح دور المعلومات والتحليل أكثر أهمية في البيئات الديناميكية مثل السوق السعودي، حيث يتطلب التحول الرقمي ورؤية 2030 من المؤسسات القدرة على استشراف التغيرات والتكيف بسرعة مع التطورات الاقتصادية والتكنولوجية والمنافسة المتزايدة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(Basir et al., 2023, p. 1239)</w:t>
      </w:r>
    </w:p>
    <w:p w14:paraId="5B56419B" w14:textId="77777777" w:rsidR="0046623A" w:rsidRPr="006A2E70" w:rsidRDefault="00E70164" w:rsidP="005050B7">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مما سبق يتضح أن المعلومات والتحليل يمثلان عمودًا فقريًا في تعزيز فاعلية القرارات الاستراتيجية، إذ يضمنان اتخاذ قرارات دقيقة، مدروسة، ومرنة تستند إلى بيانات قوية وفهم معمق للسياق المؤسسي والبيئي. كما أن دمج الأدوات الرقمية الحديثة مثل الذكاء الاصطناعي مع الخبرة البشرية والتقييم النقدي يعزز القدرة على التعامل مع المخاطر واستغلال الفرص، ويضمن أن تكون </w:t>
      </w:r>
      <w:r w:rsidRPr="006A2E70">
        <w:rPr>
          <w:rFonts w:asciiTheme="majorBidi" w:hAnsiTheme="majorBidi" w:cstheme="majorBidi"/>
          <w:sz w:val="28"/>
          <w:szCs w:val="28"/>
          <w:rtl/>
        </w:rPr>
        <w:lastRenderedPageBreak/>
        <w:t>القرارات الاستراتيجية محفزة لتحقيق الأهداف طويلة الأجل، مستدامة، ومتماشية مع رؤية المملكة 2030 ومتطلبات السوق التنافس</w:t>
      </w:r>
      <w:r w:rsidR="005050B7" w:rsidRPr="006A2E70">
        <w:rPr>
          <w:rFonts w:asciiTheme="majorBidi" w:hAnsiTheme="majorBidi" w:cstheme="majorBidi"/>
          <w:sz w:val="28"/>
          <w:szCs w:val="28"/>
          <w:rtl/>
        </w:rPr>
        <w:t>ي.</w:t>
      </w:r>
    </w:p>
    <w:p w14:paraId="171FD095" w14:textId="77777777" w:rsidR="005050B7" w:rsidRPr="006A2E70" w:rsidRDefault="005050B7" w:rsidP="003C64B0">
      <w:pPr>
        <w:bidi/>
        <w:jc w:val="both"/>
        <w:rPr>
          <w:rFonts w:asciiTheme="majorBidi" w:hAnsiTheme="majorBidi" w:cstheme="majorBidi"/>
          <w:sz w:val="28"/>
          <w:szCs w:val="28"/>
          <w:rtl/>
          <w:lang w:bidi="ar-EG"/>
        </w:rPr>
      </w:pPr>
      <w:r w:rsidRPr="006A2E70">
        <w:rPr>
          <w:rFonts w:asciiTheme="majorBidi" w:hAnsiTheme="majorBidi" w:cstheme="majorBidi"/>
          <w:b/>
          <w:bCs/>
          <w:sz w:val="28"/>
          <w:szCs w:val="28"/>
          <w:rtl/>
        </w:rPr>
        <w:t xml:space="preserve">مؤشرات قياس </w:t>
      </w:r>
      <w:r w:rsidR="0046623A" w:rsidRPr="006A2E70">
        <w:rPr>
          <w:rFonts w:asciiTheme="majorBidi" w:hAnsiTheme="majorBidi" w:cstheme="majorBidi"/>
          <w:b/>
          <w:bCs/>
          <w:sz w:val="28"/>
          <w:szCs w:val="28"/>
          <w:rtl/>
        </w:rPr>
        <w:t>فاعلية القرارات الاستراتيجية</w:t>
      </w:r>
      <w:r w:rsidR="0046623A" w:rsidRPr="006A2E70">
        <w:rPr>
          <w:rFonts w:asciiTheme="majorBidi" w:hAnsiTheme="majorBidi" w:cstheme="majorBidi"/>
          <w:b/>
          <w:bCs/>
          <w:sz w:val="28"/>
          <w:szCs w:val="28"/>
          <w:lang w:bidi="ar-EG"/>
        </w:rPr>
        <w:t>:</w:t>
      </w:r>
    </w:p>
    <w:p w14:paraId="3A91AA43" w14:textId="77777777" w:rsidR="003C64B0" w:rsidRPr="006A2E70" w:rsidRDefault="003C64B0" w:rsidP="0090259A">
      <w:pPr>
        <w:bidi/>
        <w:ind w:firstLine="720"/>
        <w:jc w:val="both"/>
        <w:rPr>
          <w:rFonts w:asciiTheme="majorBidi" w:hAnsiTheme="majorBidi" w:cstheme="majorBidi"/>
          <w:sz w:val="28"/>
          <w:szCs w:val="28"/>
        </w:rPr>
      </w:pPr>
      <w:r w:rsidRPr="006A2E70">
        <w:rPr>
          <w:rFonts w:asciiTheme="majorBidi" w:hAnsiTheme="majorBidi" w:cstheme="majorBidi"/>
          <w:sz w:val="28"/>
          <w:szCs w:val="28"/>
          <w:rtl/>
        </w:rPr>
        <w:t>يمثل قياس فاعلية القرارات الاستراتيجية خطوة أساسية لضمان أن الاختيارات المؤسسية تحقق الأهداف المرجوة وتساهم في تعزيز الأداء العام للمؤسسة. فالقرار الاستراتيجي لا يقتصر دوره على صياغة الخيارات، بل يمتد إلى تقييم أثره على الموارد، العمليات، والمخرجات التنظيمية. في المؤسسات السعودية، بما فيها قطاع الصناعات الغذائية، تصبح مؤشرات القياس أداة حيوية لرصد مدى توافق القرارات مع الأهداف الاستراتيجية ورؤية 2030، بالإضافة إلى تعزيز القدرة على التكيف مع التغيرات الاقتصادية والتنافسية. ويتيح القياس الفعال التعرف على نقاط القوة والضعف، وتحديد المجالات التي تتطلب تدخلًا تصحيحيًا لضمان استدامة النتائج.</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w:t>
      </w:r>
      <w:proofErr w:type="spellStart"/>
      <w:r w:rsidR="0090259A" w:rsidRPr="006A2E70">
        <w:rPr>
          <w:rFonts w:asciiTheme="majorBidi" w:hAnsiTheme="majorBidi" w:cstheme="majorBidi"/>
          <w:sz w:val="28"/>
          <w:szCs w:val="28"/>
        </w:rPr>
        <w:t>Iastremska</w:t>
      </w:r>
      <w:proofErr w:type="spellEnd"/>
      <w:r w:rsidR="0090259A" w:rsidRPr="006A2E70">
        <w:rPr>
          <w:rFonts w:asciiTheme="majorBidi" w:hAnsiTheme="majorBidi" w:cstheme="majorBidi"/>
          <w:sz w:val="28"/>
          <w:szCs w:val="28"/>
        </w:rPr>
        <w:t xml:space="preserve"> et al., 2023, p. 117)</w:t>
      </w:r>
    </w:p>
    <w:p w14:paraId="013DA6C8" w14:textId="77777777" w:rsidR="003C64B0" w:rsidRPr="006A2E70" w:rsidRDefault="003C64B0" w:rsidP="003C64B0">
      <w:pPr>
        <w:pStyle w:val="a3"/>
        <w:numPr>
          <w:ilvl w:val="0"/>
          <w:numId w:val="15"/>
        </w:numPr>
        <w:bidi/>
        <w:jc w:val="both"/>
        <w:rPr>
          <w:rFonts w:asciiTheme="majorBidi" w:hAnsiTheme="majorBidi" w:cstheme="majorBidi"/>
          <w:sz w:val="28"/>
          <w:szCs w:val="28"/>
        </w:rPr>
      </w:pPr>
      <w:r w:rsidRPr="006A2E70">
        <w:rPr>
          <w:rFonts w:asciiTheme="majorBidi" w:hAnsiTheme="majorBidi" w:cstheme="majorBidi"/>
          <w:b/>
          <w:bCs/>
          <w:sz w:val="28"/>
          <w:szCs w:val="28"/>
          <w:rtl/>
        </w:rPr>
        <w:t>مؤشرات الأداء المالية</w:t>
      </w:r>
      <w:r w:rsidRPr="006A2E70">
        <w:rPr>
          <w:rFonts w:asciiTheme="majorBidi" w:hAnsiTheme="majorBidi" w:cstheme="majorBidi"/>
          <w:b/>
          <w:bCs/>
          <w:sz w:val="28"/>
          <w:szCs w:val="28"/>
        </w:rPr>
        <w:t>:</w:t>
      </w:r>
    </w:p>
    <w:p w14:paraId="35340359" w14:textId="77777777" w:rsidR="003C64B0" w:rsidRPr="006A2E70" w:rsidRDefault="003C64B0" w:rsidP="0090259A">
      <w:pPr>
        <w:pStyle w:val="a3"/>
        <w:bidi/>
        <w:jc w:val="both"/>
        <w:rPr>
          <w:rFonts w:asciiTheme="majorBidi" w:hAnsiTheme="majorBidi" w:cstheme="majorBidi"/>
          <w:sz w:val="28"/>
          <w:szCs w:val="28"/>
        </w:rPr>
      </w:pPr>
      <w:r w:rsidRPr="006A2E70">
        <w:rPr>
          <w:rFonts w:asciiTheme="majorBidi" w:hAnsiTheme="majorBidi" w:cstheme="majorBidi"/>
          <w:sz w:val="28"/>
          <w:szCs w:val="28"/>
          <w:rtl/>
        </w:rPr>
        <w:t>تشكل المقاييس المالية أحد الركائز الأساسية لقياس فاعلية القرارات الاستراتيجية، حيث تساعد في تقييم العائد على الاستثمار، التكلفة الفعلية للقرارات، وتحقيق الأهداف الربحية. على سبيل المثال، يمكن استخدام مؤشرات مثل معدل العائد على رأس المال، نمو الإيرادات، أو التوفير في التكاليف التشغيلية لتحديد مدى نجاح القرار الاستراتيجي في تحسين الأداء المالي للمؤسسة. وتعكس هذه المؤشرات القدرة على ترجمة القرارات إلى نتائج ملموسة تسهم في تعزيز الاستدامة المالية والكفاءة المؤسسية.</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w:t>
      </w:r>
      <w:proofErr w:type="spellStart"/>
      <w:r w:rsidR="0090259A" w:rsidRPr="006A2E70">
        <w:rPr>
          <w:rFonts w:asciiTheme="majorBidi" w:hAnsiTheme="majorBidi" w:cstheme="majorBidi"/>
          <w:sz w:val="28"/>
          <w:szCs w:val="28"/>
        </w:rPr>
        <w:t>Camuffo</w:t>
      </w:r>
      <w:proofErr w:type="spellEnd"/>
      <w:r w:rsidR="0090259A" w:rsidRPr="006A2E70">
        <w:rPr>
          <w:rFonts w:asciiTheme="majorBidi" w:hAnsiTheme="majorBidi" w:cstheme="majorBidi"/>
          <w:sz w:val="28"/>
          <w:szCs w:val="28"/>
        </w:rPr>
        <w:t xml:space="preserve"> et al., 2023, p. 127)</w:t>
      </w:r>
    </w:p>
    <w:p w14:paraId="27714C1F" w14:textId="77777777" w:rsidR="003C64B0" w:rsidRPr="006A2E70" w:rsidRDefault="003C64B0" w:rsidP="003C64B0">
      <w:pPr>
        <w:pStyle w:val="a3"/>
        <w:numPr>
          <w:ilvl w:val="0"/>
          <w:numId w:val="15"/>
        </w:numPr>
        <w:bidi/>
        <w:jc w:val="both"/>
        <w:rPr>
          <w:rFonts w:asciiTheme="majorBidi" w:hAnsiTheme="majorBidi" w:cstheme="majorBidi"/>
          <w:sz w:val="28"/>
          <w:szCs w:val="28"/>
        </w:rPr>
      </w:pPr>
      <w:r w:rsidRPr="006A2E70">
        <w:rPr>
          <w:rFonts w:asciiTheme="majorBidi" w:hAnsiTheme="majorBidi" w:cstheme="majorBidi"/>
          <w:b/>
          <w:bCs/>
          <w:sz w:val="28"/>
          <w:szCs w:val="28"/>
          <w:rtl/>
        </w:rPr>
        <w:t>مؤشرات الأداء التشغيلية</w:t>
      </w:r>
      <w:r w:rsidRPr="006A2E70">
        <w:rPr>
          <w:rFonts w:asciiTheme="majorBidi" w:hAnsiTheme="majorBidi" w:cstheme="majorBidi"/>
          <w:b/>
          <w:bCs/>
          <w:sz w:val="28"/>
          <w:szCs w:val="28"/>
        </w:rPr>
        <w:t>:</w:t>
      </w:r>
    </w:p>
    <w:p w14:paraId="4081F79F" w14:textId="77777777" w:rsidR="003C64B0" w:rsidRPr="006A2E70" w:rsidRDefault="003C64B0" w:rsidP="0090259A">
      <w:pPr>
        <w:pStyle w:val="a3"/>
        <w:bidi/>
        <w:jc w:val="both"/>
        <w:rPr>
          <w:rFonts w:asciiTheme="majorBidi" w:hAnsiTheme="majorBidi" w:cstheme="majorBidi"/>
          <w:sz w:val="28"/>
          <w:szCs w:val="28"/>
        </w:rPr>
      </w:pPr>
      <w:r w:rsidRPr="006A2E70">
        <w:rPr>
          <w:rFonts w:asciiTheme="majorBidi" w:hAnsiTheme="majorBidi" w:cstheme="majorBidi"/>
          <w:sz w:val="28"/>
          <w:szCs w:val="28"/>
          <w:rtl/>
        </w:rPr>
        <w:t>تقدم المقاييس التشغيلية رؤية دقيقة حول مدى كفاءة العمليات الداخلية بعد تنفيذ القرارات الاستراتيجية. يشمل ذلك قياس معدلات الإنتاج، جودة المنتجات، زمن دورة العمليات، وفعالية سلسلة الإمداد. في سياق المؤسسات الغذائية بالمملكة العربية السعودية، توفر هذه المؤشرات بيانات حيوية تساعد القيادات على تعديل استراتيجيات الإنتاج والتوزيع، بما يضمن توافقها مع الطلب السوقي، وتحسين الكفاءة التشغيلية بشكل مستمر</w:t>
      </w:r>
      <w:r w:rsidRPr="006A2E70">
        <w:rPr>
          <w:rFonts w:asciiTheme="majorBidi" w:hAnsiTheme="majorBidi" w:cstheme="majorBidi"/>
          <w:sz w:val="28"/>
          <w:szCs w:val="28"/>
        </w:rPr>
        <w:t>.</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(Alharbi &amp; Alnoor, 2024, p. 443)</w:t>
      </w:r>
    </w:p>
    <w:p w14:paraId="5505735A" w14:textId="77777777" w:rsidR="003C64B0" w:rsidRPr="006A2E70" w:rsidRDefault="003C64B0" w:rsidP="003C64B0">
      <w:pPr>
        <w:pStyle w:val="a3"/>
        <w:numPr>
          <w:ilvl w:val="0"/>
          <w:numId w:val="15"/>
        </w:numPr>
        <w:bidi/>
        <w:jc w:val="both"/>
        <w:rPr>
          <w:rFonts w:asciiTheme="majorBidi" w:hAnsiTheme="majorBidi" w:cstheme="majorBidi"/>
          <w:sz w:val="28"/>
          <w:szCs w:val="28"/>
        </w:rPr>
      </w:pPr>
      <w:r w:rsidRPr="006A2E70">
        <w:rPr>
          <w:rFonts w:asciiTheme="majorBidi" w:hAnsiTheme="majorBidi" w:cstheme="majorBidi"/>
          <w:b/>
          <w:bCs/>
          <w:sz w:val="28"/>
          <w:szCs w:val="28"/>
          <w:rtl/>
        </w:rPr>
        <w:t>مؤشرات الابتكار والتطوير</w:t>
      </w:r>
      <w:r w:rsidRPr="006A2E70">
        <w:rPr>
          <w:rFonts w:asciiTheme="majorBidi" w:hAnsiTheme="majorBidi" w:cstheme="majorBidi"/>
          <w:b/>
          <w:bCs/>
          <w:sz w:val="28"/>
          <w:szCs w:val="28"/>
        </w:rPr>
        <w:t>:</w:t>
      </w:r>
    </w:p>
    <w:p w14:paraId="4D272B19" w14:textId="77777777" w:rsidR="003C64B0" w:rsidRPr="006A2E70" w:rsidRDefault="003C64B0" w:rsidP="0090259A">
      <w:pPr>
        <w:pStyle w:val="a3"/>
        <w:bidi/>
        <w:jc w:val="both"/>
        <w:rPr>
          <w:rFonts w:asciiTheme="majorBidi" w:hAnsiTheme="majorBidi" w:cstheme="majorBidi"/>
          <w:sz w:val="28"/>
          <w:szCs w:val="28"/>
        </w:rPr>
      </w:pPr>
      <w:r w:rsidRPr="006A2E70">
        <w:rPr>
          <w:rFonts w:asciiTheme="majorBidi" w:hAnsiTheme="majorBidi" w:cstheme="majorBidi"/>
          <w:sz w:val="28"/>
          <w:szCs w:val="28"/>
          <w:rtl/>
        </w:rPr>
        <w:t>تعد القدرة على الابتكار والتطوير المستمر من علامات فاعلية القرارات الاستراتيجية، إذ تعكس مدى قدرة المؤسسات على خلق قيمة جديدة وتحقيق التميز التنافسي. تشمل هذه المؤشرات عدد المبادرات الابتكارية، معدل تطوير المنتجات، وتطبيق الحلول الرقمية الحديثة مثل الذكاء الاصطناعي والتحليل البياني. ويؤكد التحليل النقدي أن المؤسسات التي تركز على الابتكار تحقق استدامة أفضل في قراراتها الاستراتيجية مقارنة بالمنظمات التي تلتزم بالأساليب التقليدية فقط</w:t>
      </w:r>
      <w:r w:rsidRPr="006A2E70">
        <w:rPr>
          <w:rFonts w:asciiTheme="majorBidi" w:hAnsiTheme="majorBidi" w:cstheme="majorBidi"/>
          <w:sz w:val="28"/>
          <w:szCs w:val="28"/>
        </w:rPr>
        <w:t>.</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 xml:space="preserve">(Brundin &amp; </w:t>
      </w:r>
      <w:proofErr w:type="spellStart"/>
      <w:r w:rsidR="0090259A" w:rsidRPr="006A2E70">
        <w:rPr>
          <w:rFonts w:asciiTheme="majorBidi" w:hAnsiTheme="majorBidi" w:cstheme="majorBidi"/>
          <w:sz w:val="28"/>
          <w:szCs w:val="28"/>
        </w:rPr>
        <w:t>Languilaire</w:t>
      </w:r>
      <w:proofErr w:type="spellEnd"/>
      <w:r w:rsidR="0090259A" w:rsidRPr="006A2E70">
        <w:rPr>
          <w:rFonts w:asciiTheme="majorBidi" w:hAnsiTheme="majorBidi" w:cstheme="majorBidi"/>
          <w:sz w:val="28"/>
          <w:szCs w:val="28"/>
        </w:rPr>
        <w:t>, 2023, p. 1)</w:t>
      </w:r>
    </w:p>
    <w:p w14:paraId="72AD2B08" w14:textId="77777777" w:rsidR="003C64B0" w:rsidRPr="006A2E70" w:rsidRDefault="003C64B0" w:rsidP="003C64B0">
      <w:pPr>
        <w:pStyle w:val="a3"/>
        <w:numPr>
          <w:ilvl w:val="0"/>
          <w:numId w:val="15"/>
        </w:numPr>
        <w:bidi/>
        <w:jc w:val="both"/>
        <w:rPr>
          <w:rFonts w:asciiTheme="majorBidi" w:hAnsiTheme="majorBidi" w:cstheme="majorBidi"/>
          <w:sz w:val="28"/>
          <w:szCs w:val="28"/>
        </w:rPr>
      </w:pPr>
      <w:r w:rsidRPr="006A2E70">
        <w:rPr>
          <w:rFonts w:asciiTheme="majorBidi" w:hAnsiTheme="majorBidi" w:cstheme="majorBidi"/>
          <w:b/>
          <w:bCs/>
          <w:sz w:val="28"/>
          <w:szCs w:val="28"/>
          <w:rtl/>
        </w:rPr>
        <w:t>مؤشرات رضا أصحاب المصلحة والعملاء</w:t>
      </w:r>
      <w:r w:rsidRPr="006A2E70">
        <w:rPr>
          <w:rFonts w:asciiTheme="majorBidi" w:hAnsiTheme="majorBidi" w:cstheme="majorBidi"/>
          <w:b/>
          <w:bCs/>
          <w:sz w:val="28"/>
          <w:szCs w:val="28"/>
        </w:rPr>
        <w:t>:</w:t>
      </w:r>
    </w:p>
    <w:p w14:paraId="7858C0A6" w14:textId="77777777" w:rsidR="003C64B0" w:rsidRPr="006A2E70" w:rsidRDefault="003C64B0" w:rsidP="0090259A">
      <w:pPr>
        <w:pStyle w:val="a3"/>
        <w:bidi/>
        <w:jc w:val="both"/>
        <w:rPr>
          <w:rFonts w:asciiTheme="majorBidi" w:hAnsiTheme="majorBidi" w:cstheme="majorBidi"/>
          <w:sz w:val="28"/>
          <w:szCs w:val="28"/>
        </w:rPr>
      </w:pPr>
      <w:r w:rsidRPr="006A2E70">
        <w:rPr>
          <w:rFonts w:asciiTheme="majorBidi" w:hAnsiTheme="majorBidi" w:cstheme="majorBidi"/>
          <w:sz w:val="28"/>
          <w:szCs w:val="28"/>
          <w:rtl/>
        </w:rPr>
        <w:t xml:space="preserve">يعكس رضا العملاء وأصحاب المصلحة الخارجيين والداخليين مدى تأثير القرارات الاستراتيجية على البيئة المؤسسية والسوقية. ويشمل ذلك تقييم رضا العملاء، الثقة في </w:t>
      </w:r>
      <w:r w:rsidRPr="006A2E70">
        <w:rPr>
          <w:rFonts w:asciiTheme="majorBidi" w:hAnsiTheme="majorBidi" w:cstheme="majorBidi"/>
          <w:sz w:val="28"/>
          <w:szCs w:val="28"/>
          <w:rtl/>
        </w:rPr>
        <w:lastRenderedPageBreak/>
        <w:t>المؤسسة، ودرجة الالتزام المؤسسي من الموظفين. وتوفر هذه المؤشرات أساسًا لتقييم مدى نجاح القرار في تحسين العلاقة مع المستفيدين وتعزيز الصورة المؤسسية، وهو عامل حاسم في دعم الاستراتيجية العامة وتحقيق ميزة تنافسية مستدامة</w:t>
      </w:r>
      <w:r w:rsidRPr="006A2E70">
        <w:rPr>
          <w:rFonts w:asciiTheme="majorBidi" w:hAnsiTheme="majorBidi" w:cstheme="majorBidi"/>
          <w:sz w:val="28"/>
          <w:szCs w:val="28"/>
        </w:rPr>
        <w:t>.</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(Moinuddin &amp; Usman, 2025, p. 1)</w:t>
      </w:r>
    </w:p>
    <w:p w14:paraId="7FE38C1F" w14:textId="77777777" w:rsidR="003C64B0" w:rsidRPr="006A2E70" w:rsidRDefault="003C64B0" w:rsidP="003C64B0">
      <w:pPr>
        <w:pStyle w:val="a3"/>
        <w:numPr>
          <w:ilvl w:val="0"/>
          <w:numId w:val="15"/>
        </w:numPr>
        <w:bidi/>
        <w:jc w:val="both"/>
        <w:rPr>
          <w:rFonts w:asciiTheme="majorBidi" w:hAnsiTheme="majorBidi" w:cstheme="majorBidi"/>
          <w:sz w:val="28"/>
          <w:szCs w:val="28"/>
        </w:rPr>
      </w:pPr>
      <w:r w:rsidRPr="006A2E70">
        <w:rPr>
          <w:rFonts w:asciiTheme="majorBidi" w:hAnsiTheme="majorBidi" w:cstheme="majorBidi"/>
          <w:b/>
          <w:bCs/>
          <w:sz w:val="28"/>
          <w:szCs w:val="28"/>
          <w:rtl/>
        </w:rPr>
        <w:t>مؤشرات التوافق مع الأهداف الاستراتيجية</w:t>
      </w:r>
      <w:r w:rsidRPr="006A2E70">
        <w:rPr>
          <w:rFonts w:asciiTheme="majorBidi" w:hAnsiTheme="majorBidi" w:cstheme="majorBidi"/>
          <w:b/>
          <w:bCs/>
          <w:sz w:val="28"/>
          <w:szCs w:val="28"/>
        </w:rPr>
        <w:t>:</w:t>
      </w:r>
    </w:p>
    <w:p w14:paraId="57839026" w14:textId="77777777" w:rsidR="003C64B0" w:rsidRPr="006A2E70" w:rsidRDefault="003C64B0" w:rsidP="0090259A">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تتيح مؤشرات التوافق قياس مدى انسجام القرارات مع الأهداف طويلة المدى للمؤسسة ورؤيتها المستقبلية. ويشمل ذلك تقييم الإنجازات مقابل الخطط المرسومة، ودرجة الالتزام بالمعايير والغايات المؤسسية. ويبرز هنا دور الحوكمة المؤسسية في متابعة التنفيذ وضمان توافق القرارات مع التوجهات الاستراتيجية للمؤسسة، بما يضمن الاستمرارية والقدرة على التكيف مع المتغيرات البيئية.</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(Kolar et al., 2024, p. 99)</w:t>
      </w:r>
    </w:p>
    <w:p w14:paraId="6D3DEAA0" w14:textId="77777777" w:rsidR="003C64B0" w:rsidRPr="006A2E70" w:rsidRDefault="003C64B0" w:rsidP="003C64B0">
      <w:pPr>
        <w:pStyle w:val="a3"/>
        <w:bidi/>
        <w:ind w:firstLine="720"/>
        <w:jc w:val="both"/>
        <w:rPr>
          <w:rFonts w:asciiTheme="majorBidi" w:hAnsiTheme="majorBidi" w:cstheme="majorBidi"/>
          <w:sz w:val="28"/>
          <w:szCs w:val="28"/>
          <w:rtl/>
        </w:rPr>
      </w:pPr>
      <w:r w:rsidRPr="006A2E70">
        <w:rPr>
          <w:rFonts w:asciiTheme="majorBidi" w:hAnsiTheme="majorBidi" w:cstheme="majorBidi"/>
          <w:sz w:val="28"/>
          <w:szCs w:val="28"/>
          <w:rtl/>
        </w:rPr>
        <w:t>مما سبق يتضح أن قياس فاعلية القرارات الاستراتيجية يعتمد على مجموعة متكاملة من المقاييس المالية، التشغيلية، الابتكارية، ورضا أصحاب المصلحة، بالإضافة إلى التحقق من مدى التوافق مع الأهداف الاستراتيجية للمؤسسة. ويبرز التحليل النقدي أن المؤسسات التي تطبق آليات قياس شاملة تملك القدرة على تحسين قراراتها باستمرار، تعديل الاستراتيجيات عند الحاجة، وضمان تحقيق نتائج ملموسة ومستدامة تعزز القدرة التنافسية وتحقق الأهداف المؤسسية وفق رؤية المملكة 2030.</w:t>
      </w:r>
    </w:p>
    <w:p w14:paraId="7B5F00BF" w14:textId="77777777" w:rsidR="0042670A" w:rsidRPr="006A2E70" w:rsidRDefault="0046623A" w:rsidP="00950260">
      <w:pPr>
        <w:bidi/>
        <w:rPr>
          <w:rFonts w:asciiTheme="majorBidi" w:hAnsiTheme="majorBidi" w:cstheme="majorBidi"/>
          <w:sz w:val="28"/>
          <w:szCs w:val="28"/>
          <w:rtl/>
          <w:lang w:bidi="ar-EG"/>
        </w:rPr>
      </w:pPr>
      <w:r w:rsidRPr="006A2E70">
        <w:rPr>
          <w:rFonts w:asciiTheme="majorBidi" w:hAnsiTheme="majorBidi" w:cstheme="majorBidi"/>
          <w:b/>
          <w:bCs/>
          <w:sz w:val="28"/>
          <w:szCs w:val="28"/>
          <w:rtl/>
        </w:rPr>
        <w:t>التحديات والمخاطر التي تواجه القرارات الاستراتيجية</w:t>
      </w:r>
      <w:r w:rsidR="003C64B0" w:rsidRPr="006A2E70">
        <w:rPr>
          <w:rFonts w:asciiTheme="majorBidi" w:hAnsiTheme="majorBidi" w:cstheme="majorBidi"/>
          <w:b/>
          <w:bCs/>
          <w:sz w:val="28"/>
          <w:szCs w:val="28"/>
          <w:rtl/>
          <w:lang w:bidi="ar-EG"/>
        </w:rPr>
        <w:t>:</w:t>
      </w:r>
    </w:p>
    <w:p w14:paraId="06AC8CB6" w14:textId="77777777" w:rsidR="00950260" w:rsidRPr="006A2E70" w:rsidRDefault="00950260"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تواجه المؤسسات العديد من التحديات والمخاطر التي قد تحد من فاعلية القرارات الاستراتيجية، إذ لا يقتصر النجاح على وضع القرار نفسه، بل يتطلب تهيئة بيئة تنظيمية وتقنية مناسبة لضمان تنفيذ القرارات وتحقيق أهدافها. في السياق السعودي، خصوصًا في قطاع الصناعات الغذائية، تتداخل هذه التحديات بين عوامل داخلية وخارجية، تشمل الهيكل التنظيمي، الثقافة المؤسسية، التغيرات الاقتصادية، والتطورات التقنية. ويعد فهم هذه المعوقات وتحليلها بشكل نقدي خطوة أساسية لتطوير استراتيجيات مواجهة فعالة تضمن استدامة القرارات وتحسين جودة النتائج</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(Eberhard &amp; Wulf, 2025, p. 130)</w:t>
      </w:r>
    </w:p>
    <w:p w14:paraId="249ED632" w14:textId="77777777" w:rsidR="00950260" w:rsidRPr="006A2E70" w:rsidRDefault="00950260" w:rsidP="00950260">
      <w:pPr>
        <w:pStyle w:val="a3"/>
        <w:numPr>
          <w:ilvl w:val="0"/>
          <w:numId w:val="16"/>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التقنية والتكنولوجية</w:t>
      </w:r>
      <w:r w:rsidRPr="006A2E70">
        <w:rPr>
          <w:rFonts w:asciiTheme="majorBidi" w:hAnsiTheme="majorBidi" w:cstheme="majorBidi"/>
          <w:b/>
          <w:bCs/>
          <w:sz w:val="28"/>
          <w:szCs w:val="28"/>
          <w:lang w:bidi="ar-EG"/>
        </w:rPr>
        <w:t>:</w:t>
      </w:r>
    </w:p>
    <w:p w14:paraId="7C8BF8DA" w14:textId="77777777" w:rsidR="00950260" w:rsidRPr="006A2E70" w:rsidRDefault="00950260" w:rsidP="0090259A">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تتمثل أبرز التحديات في محدودية البنية التحتية التقنية، ضعف التكامل بين الأنظمة، وعدم توافر أدوات تحليل متقدمة. فغياب التحديث المستمر للأنظمة أو نقص التكامل بين البيانات يؤدي إلى صعوبة الحصول على معلومات دقيقة لدعم اتخاذ القرار. كما أن التعقيد التكنولوجي المتزايد في تطبيقات الذكاء الاصطناعي والتحليل الرقمي قد يخلق فجوة بين الإمكانات النظرية للتقنيات والقدرة الفعلية على استخدامها، ما يستدعي استثمارات كبيرة في البنية التحتية والتدريب المستمر للكوادر البشرية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lang w:bidi="ar-EG"/>
        </w:rPr>
        <w:t xml:space="preserve">(van Den </w:t>
      </w:r>
      <w:proofErr w:type="spellStart"/>
      <w:r w:rsidR="0090259A" w:rsidRPr="006A2E70">
        <w:rPr>
          <w:rFonts w:asciiTheme="majorBidi" w:hAnsiTheme="majorBidi" w:cstheme="majorBidi"/>
          <w:sz w:val="28"/>
          <w:szCs w:val="28"/>
          <w:lang w:bidi="ar-EG"/>
        </w:rPr>
        <w:t>Oever</w:t>
      </w:r>
      <w:proofErr w:type="spellEnd"/>
      <w:r w:rsidR="0090259A" w:rsidRPr="006A2E70">
        <w:rPr>
          <w:rFonts w:asciiTheme="majorBidi" w:hAnsiTheme="majorBidi" w:cstheme="majorBidi"/>
          <w:sz w:val="28"/>
          <w:szCs w:val="28"/>
          <w:lang w:bidi="ar-EG"/>
        </w:rPr>
        <w:t xml:space="preserve"> &amp; Shropshire, 2024, p. 1525)</w:t>
      </w:r>
    </w:p>
    <w:p w14:paraId="20D6C858" w14:textId="77777777" w:rsidR="00950260" w:rsidRPr="006A2E70" w:rsidRDefault="00950260" w:rsidP="00950260">
      <w:pPr>
        <w:pStyle w:val="a3"/>
        <w:numPr>
          <w:ilvl w:val="0"/>
          <w:numId w:val="16"/>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التنظيمية والثقافية</w:t>
      </w:r>
      <w:r w:rsidRPr="006A2E70">
        <w:rPr>
          <w:rFonts w:asciiTheme="majorBidi" w:hAnsiTheme="majorBidi" w:cstheme="majorBidi"/>
          <w:b/>
          <w:bCs/>
          <w:sz w:val="28"/>
          <w:szCs w:val="28"/>
          <w:lang w:bidi="ar-EG"/>
        </w:rPr>
        <w:t>:</w:t>
      </w:r>
    </w:p>
    <w:p w14:paraId="6AD0A943" w14:textId="77777777" w:rsidR="00950260" w:rsidRPr="006A2E70" w:rsidRDefault="00950260" w:rsidP="0090259A">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تلعب الثقافة التنظيمية دورًا حاسمًا في قدرة المؤسسة على تبني وتنفيذ القرارات الاستراتيجية بفعالية. قد تعيق مقاومة التغيير، ضعف التواصل الداخلي، أو نقص التعاون بين الأقسام تنفيذ </w:t>
      </w:r>
      <w:r w:rsidRPr="006A2E70">
        <w:rPr>
          <w:rFonts w:asciiTheme="majorBidi" w:hAnsiTheme="majorBidi" w:cstheme="majorBidi"/>
          <w:sz w:val="28"/>
          <w:szCs w:val="28"/>
          <w:rtl/>
        </w:rPr>
        <w:lastRenderedPageBreak/>
        <w:t>القرارات بشكل سلس. كما أن الهيكل التنظيمي التقليدي الذي يركز على التسلسل الهرمي قد يحد من سرعة اتخاذ القرارات، ويقلل من قدرتها على التكيف مع المتغيرات البيئية. ولذلك، يحتاج تعزيز فاعلية القرارات إلى بناء ثقافة تنظيمية مرنة تشجع المشاركة والابتكار وتدعم التواصل الفعال بين المستويات الإدارية المختلفة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(Ghonim et al., 2022, p. 1)</w:t>
      </w:r>
    </w:p>
    <w:p w14:paraId="61FA729D" w14:textId="77777777" w:rsidR="00950260" w:rsidRPr="006A2E70" w:rsidRDefault="00950260" w:rsidP="00950260">
      <w:pPr>
        <w:pStyle w:val="a3"/>
        <w:numPr>
          <w:ilvl w:val="0"/>
          <w:numId w:val="16"/>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نقص الكفاءات البشرية المتخصصة</w:t>
      </w:r>
      <w:r w:rsidRPr="006A2E70">
        <w:rPr>
          <w:rFonts w:asciiTheme="majorBidi" w:hAnsiTheme="majorBidi" w:cstheme="majorBidi"/>
          <w:b/>
          <w:bCs/>
          <w:sz w:val="28"/>
          <w:szCs w:val="28"/>
          <w:lang w:bidi="ar-EG"/>
        </w:rPr>
        <w:t>:</w:t>
      </w:r>
    </w:p>
    <w:p w14:paraId="600BD3DD" w14:textId="77777777" w:rsidR="00950260" w:rsidRPr="006A2E70" w:rsidRDefault="00950260" w:rsidP="0090259A">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تمثل القدرة البشرية على فهم البيانات وتحليلها، وكذلك القدرة على اتخاذ قرارات استراتيجية مستنيرة، عاملًا جوهريًا في نجاح القرارات. نقص الكفاءات الماهرة في مجالات التحليل الرقمي والذكاء الاصطناعي يحد من الاستفادة المثلى من الإمكانات التقنية. كما أن ضعف الخبرة في مجالات إدارة المخاطر والاستراتيجيات المعقدة يؤدي إلى قرارات غير متوازنة أو متأخرة، مما يقلل من فاعليتها ويعرض المؤسسة للمخاطر التشغيلية والاقتصادية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w:t>
      </w:r>
      <w:proofErr w:type="spellStart"/>
      <w:r w:rsidR="0090259A" w:rsidRPr="006A2E70">
        <w:rPr>
          <w:rFonts w:asciiTheme="majorBidi" w:hAnsiTheme="majorBidi" w:cstheme="majorBidi"/>
          <w:sz w:val="28"/>
          <w:szCs w:val="28"/>
        </w:rPr>
        <w:t>Vudugula</w:t>
      </w:r>
      <w:proofErr w:type="spellEnd"/>
      <w:r w:rsidR="0090259A" w:rsidRPr="006A2E70">
        <w:rPr>
          <w:rFonts w:asciiTheme="majorBidi" w:hAnsiTheme="majorBidi" w:cstheme="majorBidi"/>
          <w:sz w:val="28"/>
          <w:szCs w:val="28"/>
        </w:rPr>
        <w:t xml:space="preserve"> et al., 2023, p. 1)</w:t>
      </w:r>
    </w:p>
    <w:p w14:paraId="40CBB587" w14:textId="77777777" w:rsidR="00950260" w:rsidRPr="006A2E70" w:rsidRDefault="00950260" w:rsidP="00950260">
      <w:pPr>
        <w:pStyle w:val="a3"/>
        <w:numPr>
          <w:ilvl w:val="0"/>
          <w:numId w:val="16"/>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التحديات القانونية والأخلاقية</w:t>
      </w:r>
      <w:r w:rsidRPr="006A2E70">
        <w:rPr>
          <w:rFonts w:asciiTheme="majorBidi" w:hAnsiTheme="majorBidi" w:cstheme="majorBidi"/>
          <w:b/>
          <w:bCs/>
          <w:sz w:val="28"/>
          <w:szCs w:val="28"/>
          <w:lang w:bidi="ar-EG"/>
        </w:rPr>
        <w:t>:</w:t>
      </w:r>
    </w:p>
    <w:p w14:paraId="61FFD9A0" w14:textId="77777777" w:rsidR="00950260" w:rsidRPr="006A2E70" w:rsidRDefault="00950260" w:rsidP="0090259A">
      <w:pPr>
        <w:pStyle w:val="a3"/>
        <w:bidi/>
        <w:jc w:val="both"/>
        <w:rPr>
          <w:rFonts w:asciiTheme="majorBidi" w:hAnsiTheme="majorBidi" w:cstheme="majorBidi"/>
          <w:sz w:val="28"/>
          <w:szCs w:val="28"/>
          <w:lang w:bidi="ar-EG"/>
        </w:rPr>
      </w:pPr>
      <w:r w:rsidRPr="006A2E70">
        <w:rPr>
          <w:rFonts w:asciiTheme="majorBidi" w:hAnsiTheme="majorBidi" w:cstheme="majorBidi"/>
          <w:sz w:val="28"/>
          <w:szCs w:val="28"/>
          <w:rtl/>
        </w:rPr>
        <w:t>تتطلب القرارات الاستراتيجية الالتزام بالأطر القانونية والتنظيمية المحلية والدولية، بالإضافة إلى المبادئ الأخلاقية. تجاهل هذه المتطلبات قد يؤدي إلى تعرض المؤسسة لعقوبات أو خسائر سمعة. في المملكة العربية السعودية، تخضع المؤسسات لمعايير تنظيمية صارمة تشمل حماية المستهلك، سلامة المنتجات، وأحكام التوظيف والعمل. وعليه، يتعين على المؤسسات تضمين هذه الأطر ضمن عملية اتخاذ القرار لضمان توافقها مع القوانين المحلية والممارسات الأخلاقية العالمية</w:t>
      </w:r>
      <w:r w:rsidRPr="006A2E70">
        <w:rPr>
          <w:rFonts w:asciiTheme="majorBidi" w:hAnsiTheme="majorBidi" w:cstheme="majorBidi"/>
          <w:sz w:val="28"/>
          <w:szCs w:val="28"/>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(Csaszar et al., 2024, p. 322)</w:t>
      </w:r>
    </w:p>
    <w:p w14:paraId="2F4CCA4F" w14:textId="77777777" w:rsidR="00950260" w:rsidRPr="006A2E70" w:rsidRDefault="00950260" w:rsidP="00950260">
      <w:pPr>
        <w:pStyle w:val="a3"/>
        <w:numPr>
          <w:ilvl w:val="0"/>
          <w:numId w:val="16"/>
        </w:num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مخاطر الأمن السيبراني</w:t>
      </w:r>
      <w:r w:rsidRPr="006A2E70">
        <w:rPr>
          <w:rFonts w:asciiTheme="majorBidi" w:hAnsiTheme="majorBidi" w:cstheme="majorBidi"/>
          <w:b/>
          <w:bCs/>
          <w:sz w:val="28"/>
          <w:szCs w:val="28"/>
          <w:lang w:bidi="ar-EG"/>
        </w:rPr>
        <w:t>:</w:t>
      </w:r>
    </w:p>
    <w:p w14:paraId="2FFA03DB" w14:textId="77777777" w:rsidR="00950260" w:rsidRPr="006A2E70" w:rsidRDefault="00950260" w:rsidP="0090259A">
      <w:pPr>
        <w:pStyle w:val="a3"/>
        <w:bidi/>
        <w:jc w:val="both"/>
        <w:rPr>
          <w:rFonts w:asciiTheme="majorBidi" w:hAnsiTheme="majorBidi" w:cstheme="majorBidi"/>
          <w:sz w:val="28"/>
          <w:szCs w:val="28"/>
          <w:rtl/>
        </w:rPr>
      </w:pPr>
      <w:r w:rsidRPr="006A2E70">
        <w:rPr>
          <w:rFonts w:asciiTheme="majorBidi" w:hAnsiTheme="majorBidi" w:cstheme="majorBidi"/>
          <w:sz w:val="28"/>
          <w:szCs w:val="28"/>
          <w:rtl/>
        </w:rPr>
        <w:t>تزداد أهمية الأمن السيبراني مع اعتماد المؤسسات على البيانات الرقمية والتحليلات التقنية في القرارات الاستراتيجية. تعرض أنظمة المعلومات للاختراق أو فقدان البيانات يمكن أن يؤدي إلى قرارات خاطئة أو تسرب معلومات حساسة، ما يؤثر سلبًا على الأداء المؤسسي والموثوقية. ومن هذا المنطلق، يتطلب تعزيز فاعلية القرارات الاستثمار في نظم حماية متقدمة، وتطوير سياسات أمنية صارمة، بالإضافة إلى رفع وعي الموظفين بأهمية الأمن الرقمي.</w:t>
      </w:r>
      <w:r w:rsidR="0090259A" w:rsidRPr="006A2E70">
        <w:rPr>
          <w:rFonts w:asciiTheme="majorBidi" w:hAnsiTheme="majorBidi" w:cstheme="majorBidi"/>
          <w:sz w:val="28"/>
          <w:szCs w:val="28"/>
          <w:rtl/>
        </w:rPr>
        <w:t xml:space="preserve"> </w:t>
      </w:r>
      <w:r w:rsidR="0090259A" w:rsidRPr="006A2E70">
        <w:rPr>
          <w:rFonts w:asciiTheme="majorBidi" w:hAnsiTheme="majorBidi" w:cstheme="majorBidi"/>
          <w:sz w:val="28"/>
          <w:szCs w:val="28"/>
        </w:rPr>
        <w:t>(</w:t>
      </w:r>
      <w:proofErr w:type="spellStart"/>
      <w:r w:rsidR="0090259A" w:rsidRPr="006A2E70">
        <w:rPr>
          <w:rFonts w:asciiTheme="majorBidi" w:hAnsiTheme="majorBidi" w:cstheme="majorBidi"/>
          <w:sz w:val="28"/>
          <w:szCs w:val="28"/>
        </w:rPr>
        <w:t>Sinnaiah</w:t>
      </w:r>
      <w:proofErr w:type="spellEnd"/>
      <w:r w:rsidR="0090259A" w:rsidRPr="006A2E70">
        <w:rPr>
          <w:rFonts w:asciiTheme="majorBidi" w:hAnsiTheme="majorBidi" w:cstheme="majorBidi"/>
          <w:sz w:val="28"/>
          <w:szCs w:val="28"/>
        </w:rPr>
        <w:t xml:space="preserve"> &amp; Adam, 2023, p. 37)</w:t>
      </w:r>
    </w:p>
    <w:p w14:paraId="2572A328" w14:textId="77777777" w:rsidR="00950260" w:rsidRPr="006A2E70" w:rsidRDefault="00950260" w:rsidP="004E0C0B">
      <w:pPr>
        <w:pStyle w:val="a3"/>
        <w:bidi/>
        <w:ind w:firstLine="720"/>
        <w:jc w:val="both"/>
        <w:rPr>
          <w:rFonts w:asciiTheme="majorBidi" w:hAnsiTheme="majorBidi" w:cstheme="majorBidi"/>
          <w:sz w:val="28"/>
          <w:szCs w:val="28"/>
          <w:rtl/>
        </w:rPr>
      </w:pPr>
      <w:r w:rsidRPr="006A2E70">
        <w:rPr>
          <w:rFonts w:asciiTheme="majorBidi" w:hAnsiTheme="majorBidi" w:cstheme="majorBidi"/>
          <w:sz w:val="28"/>
          <w:szCs w:val="28"/>
          <w:rtl/>
        </w:rPr>
        <w:t>مما سبق يتضح أن فاعلية القرارات الاستراتيجية ليست مضمونة بمجرد صياغتها، بل تتأثر بمجموعة من التحديات والمخاطر المتشابكة، تشمل التقنية والتنظيمية والبشرية والقانونية والأمنية. ويشير التحليل النقدي إلى أن المؤسسات التي تعمل على التعرف المبكر على هذه المعوقات، ووضع استراتيجيات مواجهة متكاملة، تعزز قدرتها على اتخاذ قرارات فعالة ومستدامة، تقلل المخاطر المحتملة، وتحقق أهدافها الاستراتيجية بما يتوافق مع المتطلبات التنظيمية والسياق ال</w:t>
      </w:r>
      <w:r w:rsidR="004E0C0B" w:rsidRPr="006A2E70">
        <w:rPr>
          <w:rFonts w:asciiTheme="majorBidi" w:hAnsiTheme="majorBidi" w:cstheme="majorBidi"/>
          <w:sz w:val="28"/>
          <w:szCs w:val="28"/>
          <w:rtl/>
        </w:rPr>
        <w:t>بيئي في المملكة العربية السعودية.</w:t>
      </w:r>
    </w:p>
    <w:p w14:paraId="39E9EAA8" w14:textId="77777777" w:rsidR="004E0C0B" w:rsidRPr="006A2E70" w:rsidRDefault="00286260" w:rsidP="00286260">
      <w:pPr>
        <w:bidi/>
        <w:jc w:val="both"/>
        <w:rPr>
          <w:rFonts w:asciiTheme="majorBidi" w:hAnsiTheme="majorBidi" w:cstheme="majorBidi"/>
          <w:b/>
          <w:bCs/>
          <w:sz w:val="28"/>
          <w:szCs w:val="28"/>
          <w:rtl/>
        </w:rPr>
      </w:pPr>
      <w:r w:rsidRPr="006A2E70">
        <w:rPr>
          <w:rFonts w:asciiTheme="majorBidi" w:hAnsiTheme="majorBidi" w:cstheme="majorBidi"/>
          <w:b/>
          <w:bCs/>
          <w:sz w:val="28"/>
          <w:szCs w:val="28"/>
          <w:rtl/>
        </w:rPr>
        <w:t>أثر تبني تقنيات الذكاء الاصطناعي ع</w:t>
      </w:r>
      <w:r w:rsidR="008F69CF" w:rsidRPr="006A2E70">
        <w:rPr>
          <w:rFonts w:asciiTheme="majorBidi" w:hAnsiTheme="majorBidi" w:cstheme="majorBidi"/>
          <w:b/>
          <w:bCs/>
          <w:sz w:val="28"/>
          <w:szCs w:val="28"/>
          <w:rtl/>
        </w:rPr>
        <w:t>لى فاعلية القرارات الاستراتيجية</w:t>
      </w:r>
    </w:p>
    <w:p w14:paraId="5DDC008D" w14:textId="77777777" w:rsidR="008F69CF" w:rsidRPr="006A2E70" w:rsidRDefault="008F69CF"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 xml:space="preserve">يمثل تبني تقنيات الذكاء الاصطناعي عاملًا محوريًا في إعادة تشكيل طبيعة اتخاذ القرار الاستراتيجي داخل المؤسسات، إذ توفر هذه التقنيات القدرة على معالجة كميات ضخمة من البيانات وتحويلها إلى رؤى استراتيجية دقيقة تساعد القيادات التنفيذية على اتخاذ قرارات استباقية ومدروسة. في قطاع الصناعات الغذائية بالمملكة العربية السعودية، يتيح الذكاء الاصطناعي تحسين التخطيط </w:t>
      </w:r>
      <w:r w:rsidRPr="006A2E70">
        <w:rPr>
          <w:rFonts w:asciiTheme="majorBidi" w:hAnsiTheme="majorBidi" w:cstheme="majorBidi"/>
          <w:sz w:val="28"/>
          <w:szCs w:val="28"/>
          <w:rtl/>
        </w:rPr>
        <w:lastRenderedPageBreak/>
        <w:t>الإنتاجي، التنبؤ بالطلب، وتحسين كفاءة سلسلة الإمداد، بما يسهم في تعزيز القدرة التنافسية للمؤسسات وفق مستهدفات رؤية 2030. وتعكس هذه التجربة التحولية كيف يمكن للتقنيات الحديثة أن تدعم الاستراتيجية المؤسسية وتسرع عملية اتخاذ القرارات في بيئة ديناميكية ومعقدة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(Eberhard, 2023, p. 167)</w:t>
      </w:r>
    </w:p>
    <w:p w14:paraId="5C0E130A" w14:textId="77777777" w:rsidR="008F69CF" w:rsidRPr="006A2E70" w:rsidRDefault="008F69CF"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تسهم تقنيات التعلم الآلي والتعلم العميق في تعزيز الدقة التنبؤية للقرارات الاستراتيجية، إذ تتيح للقيادات فهم الأنماط الخفية في البيانات المتعلقة بسلوك العملاء، تقلبات السوق، وأداء العمليات التشغيلية. يوفر هذا التحليل إمكانية استشراف المخاطر والفرص المستقبلية، ما يمكّن التنفيذيين من اتخاذ قرارات أكثر فاعلية ومرونة. إلا أن الفاعلية الكاملة لهذه القرارات تعتمد على دمج هذه النماذج التحليلية مع الخبرة البشرية، لضمان تفسير النتائج ضمن السياق التنظيمي والاستراتيجي لكل مؤسسة، وتفادي الاعتماد الأعمى على التحليل الرقمي وحده</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(Rajagopal et al., 2022, p. 1)</w:t>
      </w:r>
    </w:p>
    <w:p w14:paraId="22FD3D1A" w14:textId="77777777" w:rsidR="008F69CF" w:rsidRPr="006A2E70" w:rsidRDefault="008F69CF"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تلعب معالجة اللغة الطبيعية والرؤية الحاسوبية دورًا مكملاً في دعم القرارات الاستراتيجية، إذ توفر قدرة على فهم وتحليل البيانات النوعية مثل تقييمات العملاء ومراقبة الجودة في خطوط الإنتاج. هذه الأدوات تعزز من قدرة القيادات على رصد الاتجاهات، الاستجابة للتغيرات في تفضيلات المستهلك، وتحسين الكفاءة التشغيلية، بما يتماشى مع مبادرات التحول الرقمي التي تشجع عليها رؤية 2030. كما أن استخدام هذه التقنيات يعزز من دقة القياس والتقييم المستمر للقرارات الاستراتيجية، ما يدعم الاستدامة وتحقيق أهداف النمو طويل الأجل</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(Adesina et al., 2024, p. 1927)</w:t>
      </w:r>
    </w:p>
    <w:p w14:paraId="681DD972" w14:textId="77777777" w:rsidR="008F69CF" w:rsidRPr="006A2E70" w:rsidRDefault="008F69CF"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يمثل الذكاء الاصطناعي أيضًا أداة لتعزيز التكامل بين الاستراتيجية المؤسسية والتنفيذ الميداني، إذ يتيح القيادات مراقبة الأداء، تحديد نقاط الاختناق، وإعادة تخصيص الموارد بشكل سريع وفعال. ويظهر التحليل النقدي أن المؤسسات التي تعتمد على هذه التقنيات بطريقة متوازنة تستطيع تعزيز الابتكار المؤسسي، تحسين جودة القرارات، وتقليل المخاطر التشغيلية والمالية، بما ينعكس على قدرتها على المنافسة وتحقيق الاستدامة المؤسسية في بيئة المملكة المتغيرة والمتسارعة النمو</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(Meakin, 2022, p. 1)</w:t>
      </w:r>
    </w:p>
    <w:p w14:paraId="5C2BE3CC" w14:textId="77777777" w:rsidR="008F69CF" w:rsidRPr="006A2E70" w:rsidRDefault="008F69CF" w:rsidP="0090259A">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بالإضافة إلى ذلك، يوفر تبني تقنيات الذكاء الاصطناعي إطارًا لدعم الحوكمة المؤسسية واتخاذ قرارات قابلة للمساءلة. إذ تسهم الأنظمة التحليلية في توثيق عملية اتخاذ القرار، متابعة مؤشرات الأداء، وتقييم النتائج بشكل دوري، مما يتيح للقيادات ضبط القرارات وضمان توافقها مع أهداف المؤسسة الاستراتيجية ومعايير الاستدامة المحددة في رؤية 2030. كما أن هذا التكامل بين التحليل الرقمي والإشراف البشري يعزز القدرة على التعامل مع التعقيدات القانونية والأخلاقية المرتبطة بالقرارات الاستراتيجية، ويحد من المخاطر المحتملة المرتبطة بالاعتماد الكامل على النماذج التكنولوجية</w:t>
      </w:r>
      <w:r w:rsidRPr="006A2E70">
        <w:rPr>
          <w:rFonts w:asciiTheme="majorBidi" w:hAnsiTheme="majorBidi" w:cstheme="majorBidi"/>
          <w:sz w:val="28"/>
          <w:szCs w:val="28"/>
          <w:rtl/>
          <w:lang w:bidi="ar-EG"/>
        </w:rPr>
        <w:t>.</w:t>
      </w:r>
      <w:r w:rsidR="0090259A" w:rsidRPr="006A2E70">
        <w:rPr>
          <w:rFonts w:asciiTheme="majorBidi" w:hAnsiTheme="majorBidi" w:cstheme="majorBidi"/>
          <w:sz w:val="28"/>
          <w:szCs w:val="28"/>
          <w:rtl/>
          <w:lang w:bidi="ar-EG"/>
        </w:rPr>
        <w:t xml:space="preserve"> </w:t>
      </w:r>
      <w:r w:rsidR="0090259A" w:rsidRPr="006A2E70">
        <w:rPr>
          <w:rFonts w:asciiTheme="majorBidi" w:hAnsiTheme="majorBidi" w:cstheme="majorBidi"/>
          <w:sz w:val="28"/>
          <w:szCs w:val="28"/>
        </w:rPr>
        <w:t>(Rijal, 2023, p. 84)</w:t>
      </w:r>
    </w:p>
    <w:p w14:paraId="1ACEECD7" w14:textId="77777777" w:rsidR="008F69CF" w:rsidRPr="006A2E70" w:rsidRDefault="008F69CF" w:rsidP="008F69CF">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مما سبق يتضح أن تبني تقنيات الذكاء الاصطناعي يمثل عنصرًا محوريًا لتعزيز فاعلية القرارات الاستراتيجية لدى التنفيذيين في شركات الأغذية الكبرى بالمملكة، إذ يتيح تحسين دقة التنبؤ، تعزيز التكامل بين التحليل الرقمي والخبرة البشرية، دعم الابتكار، وضمان استدامة الأداء المؤسسي. وتبرز أهمية هذا الأثر بشكل خاص في ضوء رؤية المملكة 2030، التي تشدد على التحول الرقمي، تعزيز الكفاءة المؤسسية، وتحقيق ميزة تنافسية مستدامة في الأسواق المحلية والعالمية</w:t>
      </w:r>
      <w:r w:rsidRPr="006A2E70">
        <w:rPr>
          <w:rFonts w:asciiTheme="majorBidi" w:hAnsiTheme="majorBidi" w:cstheme="majorBidi"/>
          <w:sz w:val="28"/>
          <w:szCs w:val="28"/>
          <w:rtl/>
          <w:lang w:bidi="ar-EG"/>
        </w:rPr>
        <w:t>.</w:t>
      </w:r>
    </w:p>
    <w:p w14:paraId="0F60C4E2" w14:textId="77777777" w:rsidR="0090259A" w:rsidRPr="006A2E70" w:rsidRDefault="0090259A" w:rsidP="001B3155">
      <w:pPr>
        <w:bidi/>
        <w:rPr>
          <w:rFonts w:asciiTheme="majorBidi" w:hAnsiTheme="majorBidi" w:cstheme="majorBidi"/>
          <w:b/>
          <w:bCs/>
          <w:sz w:val="28"/>
          <w:szCs w:val="28"/>
          <w:rtl/>
          <w:lang w:bidi="ar-EG"/>
        </w:rPr>
      </w:pPr>
    </w:p>
    <w:p w14:paraId="0E6DBE3D" w14:textId="77777777" w:rsidR="0090259A" w:rsidRPr="006A2E70" w:rsidRDefault="0090259A" w:rsidP="0090259A">
      <w:pPr>
        <w:bidi/>
        <w:rPr>
          <w:rFonts w:asciiTheme="majorBidi" w:hAnsiTheme="majorBidi" w:cstheme="majorBidi"/>
          <w:b/>
          <w:bCs/>
          <w:sz w:val="28"/>
          <w:szCs w:val="28"/>
          <w:rtl/>
          <w:lang w:bidi="ar-EG"/>
        </w:rPr>
      </w:pPr>
    </w:p>
    <w:p w14:paraId="2327DD1D" w14:textId="77777777" w:rsidR="0090259A" w:rsidRPr="006A2E70" w:rsidRDefault="0090259A" w:rsidP="0090259A">
      <w:pPr>
        <w:bidi/>
        <w:rPr>
          <w:rFonts w:asciiTheme="majorBidi" w:hAnsiTheme="majorBidi" w:cstheme="majorBidi"/>
          <w:b/>
          <w:bCs/>
          <w:sz w:val="28"/>
          <w:szCs w:val="28"/>
          <w:rtl/>
          <w:lang w:bidi="ar-EG"/>
        </w:rPr>
      </w:pPr>
    </w:p>
    <w:p w14:paraId="4B5A68CB" w14:textId="77777777" w:rsidR="0090259A" w:rsidRPr="006A2E70" w:rsidRDefault="0090259A" w:rsidP="0090259A">
      <w:pPr>
        <w:bidi/>
        <w:rPr>
          <w:rFonts w:asciiTheme="majorBidi" w:hAnsiTheme="majorBidi" w:cstheme="majorBidi"/>
          <w:b/>
          <w:bCs/>
          <w:sz w:val="28"/>
          <w:szCs w:val="28"/>
          <w:rtl/>
          <w:lang w:bidi="ar-EG"/>
        </w:rPr>
      </w:pPr>
    </w:p>
    <w:p w14:paraId="6673039E" w14:textId="77777777" w:rsidR="0090259A" w:rsidRPr="006A2E70" w:rsidRDefault="0090259A" w:rsidP="0090259A">
      <w:pPr>
        <w:bidi/>
        <w:rPr>
          <w:rFonts w:asciiTheme="majorBidi" w:hAnsiTheme="majorBidi" w:cstheme="majorBidi"/>
          <w:b/>
          <w:bCs/>
          <w:sz w:val="28"/>
          <w:szCs w:val="28"/>
          <w:rtl/>
          <w:lang w:bidi="ar-EG"/>
        </w:rPr>
      </w:pPr>
    </w:p>
    <w:p w14:paraId="655EB65D" w14:textId="77777777" w:rsidR="0090259A" w:rsidRPr="006A2E70" w:rsidRDefault="0090259A" w:rsidP="0090259A">
      <w:pPr>
        <w:bidi/>
        <w:rPr>
          <w:rFonts w:asciiTheme="majorBidi" w:hAnsiTheme="majorBidi" w:cstheme="majorBidi"/>
          <w:b/>
          <w:bCs/>
          <w:sz w:val="28"/>
          <w:szCs w:val="28"/>
          <w:rtl/>
          <w:lang w:bidi="ar-EG"/>
        </w:rPr>
      </w:pPr>
    </w:p>
    <w:p w14:paraId="7D86F230" w14:textId="77777777" w:rsidR="0090259A" w:rsidRPr="006A2E70" w:rsidRDefault="0090259A" w:rsidP="0090259A">
      <w:pPr>
        <w:bidi/>
        <w:rPr>
          <w:rFonts w:asciiTheme="majorBidi" w:hAnsiTheme="majorBidi" w:cstheme="majorBidi"/>
          <w:b/>
          <w:bCs/>
          <w:sz w:val="28"/>
          <w:szCs w:val="28"/>
          <w:rtl/>
          <w:lang w:bidi="ar-EG"/>
        </w:rPr>
      </w:pPr>
    </w:p>
    <w:p w14:paraId="3D060490" w14:textId="77777777" w:rsidR="0090259A" w:rsidRPr="006A2E70" w:rsidRDefault="0090259A" w:rsidP="0090259A">
      <w:pPr>
        <w:bidi/>
        <w:rPr>
          <w:rFonts w:asciiTheme="majorBidi" w:hAnsiTheme="majorBidi" w:cstheme="majorBidi"/>
          <w:b/>
          <w:bCs/>
          <w:sz w:val="28"/>
          <w:szCs w:val="28"/>
          <w:rtl/>
          <w:lang w:bidi="ar-EG"/>
        </w:rPr>
      </w:pPr>
    </w:p>
    <w:p w14:paraId="2AE9DC29" w14:textId="77777777" w:rsidR="0090259A" w:rsidRPr="006A2E70" w:rsidRDefault="0090259A" w:rsidP="0090259A">
      <w:pPr>
        <w:bidi/>
        <w:rPr>
          <w:rFonts w:asciiTheme="majorBidi" w:hAnsiTheme="majorBidi" w:cstheme="majorBidi"/>
          <w:b/>
          <w:bCs/>
          <w:sz w:val="28"/>
          <w:szCs w:val="28"/>
          <w:rtl/>
          <w:lang w:bidi="ar-EG"/>
        </w:rPr>
      </w:pPr>
    </w:p>
    <w:p w14:paraId="68AFCE2F" w14:textId="77777777" w:rsidR="0090259A" w:rsidRPr="006A2E70" w:rsidRDefault="0090259A" w:rsidP="0090259A">
      <w:pPr>
        <w:bidi/>
        <w:rPr>
          <w:rFonts w:asciiTheme="majorBidi" w:hAnsiTheme="majorBidi" w:cstheme="majorBidi"/>
          <w:b/>
          <w:bCs/>
          <w:sz w:val="28"/>
          <w:szCs w:val="28"/>
          <w:rtl/>
          <w:lang w:bidi="ar-EG"/>
        </w:rPr>
      </w:pPr>
    </w:p>
    <w:p w14:paraId="3B85D13E" w14:textId="77777777" w:rsidR="0090259A" w:rsidRPr="006A2E70" w:rsidRDefault="0090259A" w:rsidP="0090259A">
      <w:pPr>
        <w:bidi/>
        <w:rPr>
          <w:rFonts w:asciiTheme="majorBidi" w:hAnsiTheme="majorBidi" w:cstheme="majorBidi"/>
          <w:b/>
          <w:bCs/>
          <w:sz w:val="28"/>
          <w:szCs w:val="28"/>
          <w:rtl/>
          <w:lang w:bidi="ar-EG"/>
        </w:rPr>
      </w:pPr>
    </w:p>
    <w:p w14:paraId="17B90E25" w14:textId="77777777" w:rsidR="0090259A" w:rsidRPr="006A2E70" w:rsidRDefault="0090259A" w:rsidP="0090259A">
      <w:pPr>
        <w:bidi/>
        <w:rPr>
          <w:rFonts w:asciiTheme="majorBidi" w:hAnsiTheme="majorBidi" w:cstheme="majorBidi"/>
          <w:b/>
          <w:bCs/>
          <w:sz w:val="28"/>
          <w:szCs w:val="28"/>
          <w:rtl/>
          <w:lang w:bidi="ar-EG"/>
        </w:rPr>
      </w:pPr>
    </w:p>
    <w:p w14:paraId="31605405" w14:textId="77777777" w:rsidR="001B3155" w:rsidRPr="006A2E70" w:rsidRDefault="000E72B9" w:rsidP="0090259A">
      <w:pPr>
        <w:bidi/>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ثانياً: الدراسات السابقة</w:t>
      </w:r>
    </w:p>
    <w:p w14:paraId="57840E98" w14:textId="77777777" w:rsidR="00EA1603" w:rsidRPr="006A2E70" w:rsidRDefault="009F4125" w:rsidP="00DD440A">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الدراسات الخاصة بالمتغير المستقل: تقنيات الذكاء الاصطناعي</w:t>
      </w:r>
    </w:p>
    <w:p w14:paraId="0030C1B4" w14:textId="77777777" w:rsidR="000E5679" w:rsidRPr="006A2E70" w:rsidRDefault="000E5679" w:rsidP="000E567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(عبد النبي والعيوني، 2025) بعنوان أثر الذكاء الاصطناعي في تطوير رأس المال الفكري في شركة المراعي بالسعودية</w:t>
      </w:r>
    </w:p>
    <w:p w14:paraId="6983B9C1" w14:textId="77777777" w:rsidR="000E5679" w:rsidRPr="006A2E70" w:rsidRDefault="000E5679" w:rsidP="000E5679">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هدفت الدراسة إلى بيان أثر الذكاء الاصطناعي في تطوير رأس المال الفكري في شركة المراعي بالسعودية، من خلال تحليل مستوى توافر أبعاد الذكاء الاصطناعي المتمثلة في النظم الخبيرة، ونظم دعم القرارات، ونظم مشاركة المعرفة، وقياس مستوى رأس المال الفكري بأبعاده الهيكلية والعلائقية والبشرية. اعتمدت الدراسة على المنهج الوصفي التحليلي، وتكون مجتمع الدراسة من جميع العاملين في شركة المراعي والبالغ عددهم 46,233 فرداً، وتم اختيار عينة ميسرة قوامها 324 فرداً، وتم جمع البيانات باستخدام استبانة إلكترونية. أظهرت النتائج وجود مستوى مرتفع من تطبيق أبعاد الذكاء الاصطناعي في الشركة بمتوسط حسابي 3.56، ومستوى مرتفع من تطوير رأس المال الفكري بمتوسط حسابي 3.58، كما كشفت عن وجود تأثير طردي ذي دلالة إحصائية للذكاء الاصطناعي في تطوير رأس المال الفكري عند مستوى معنوية 0.05، حيث بلغ معامل الارتباط 0.906، وأظهرت النتائج أن النظم الخبيرة جاءت في المرتبة الأولى بين أبعاد الذكاء الاصطناعي، يليها نظم مشاركة المعرفة، ثم نظم دعم القرارات. أوصت الدراسة بضرورة توفير البنية التحتية التكنولوجية الداعمة لتطبيقات الذكاء الاصطناعي، وزيادة وعي الإدارات بأهمية تطوير العلاقات مع العاملين، وتعزيز استخدام النظم الخبيرة في حل المشكلات.</w:t>
      </w:r>
    </w:p>
    <w:p w14:paraId="7D7A1720" w14:textId="77777777" w:rsidR="002265B2" w:rsidRPr="006A2E70" w:rsidRDefault="00FD6D47" w:rsidP="000E5679">
      <w:pPr>
        <w:bidi/>
        <w:jc w:val="both"/>
        <w:rPr>
          <w:rFonts w:asciiTheme="majorBidi" w:hAnsiTheme="majorBidi" w:cstheme="majorBidi"/>
          <w:b/>
          <w:bCs/>
          <w:sz w:val="28"/>
          <w:szCs w:val="28"/>
          <w:lang w:bidi="ar-EG"/>
        </w:rPr>
      </w:pPr>
      <w:r w:rsidRPr="006A2E70">
        <w:rPr>
          <w:rFonts w:asciiTheme="majorBidi" w:hAnsiTheme="majorBidi" w:cstheme="majorBidi"/>
          <w:b/>
          <w:bCs/>
          <w:sz w:val="28"/>
          <w:szCs w:val="28"/>
          <w:rtl/>
          <w:lang w:bidi="ar-EG"/>
        </w:rPr>
        <w:lastRenderedPageBreak/>
        <w:t>دراسة (حمزة، 2024) بعنوان أثر التخطيط الاستراتيجي في تحسين أداء المشروعات باستخدام أدوات الذكاء الاصطناعي في ضوء رؤية المملكة العربية السعودية 2030</w:t>
      </w:r>
    </w:p>
    <w:p w14:paraId="4FD61212" w14:textId="77777777" w:rsidR="00E27801" w:rsidRPr="006A2E70" w:rsidRDefault="00E27801" w:rsidP="00E27801">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هدفت الدراسة إلى الكشف عن أثر التخطيط الاستراتيجي في تحسين أداء المشروعات باستخدام أدوات الذكاء الاصطناعي في ضوء رؤية المملكة العربية السعودية 2030، من خلال تحليل العلاقة بين التخطيط الاستراتيجي وتطوير أداء المشروعات الهندسية في القطاعين العام والخاص. اعتمدت الدراسة على المنهج الوصفي والمنهج التاريخي، وتمثل مجتمع الدراسة في الشركات الهندسية السعودية، حيث تم تحليل واقع ممارساتها التخطيطية ومدى توظيفها لتقنيات الذكاء الاصطناعي. أظهرت النتائج الرئيسية أن رسائل وأهداف العديد من الشركات تتسق مع مستهدفات رؤية 2030، ولكن هناك قصوراً في تحليل البيئة الداخلية والخارجية</w:t>
      </w:r>
      <w:r w:rsidRPr="006A2E70">
        <w:rPr>
          <w:rFonts w:asciiTheme="majorBidi" w:hAnsiTheme="majorBidi" w:cstheme="majorBidi"/>
          <w:sz w:val="28"/>
          <w:szCs w:val="28"/>
          <w:lang w:bidi="ar-EG"/>
        </w:rPr>
        <w:t xml:space="preserve"> (SWOT) </w:t>
      </w:r>
      <w:r w:rsidRPr="006A2E70">
        <w:rPr>
          <w:rFonts w:asciiTheme="majorBidi" w:hAnsiTheme="majorBidi" w:cstheme="majorBidi"/>
          <w:sz w:val="28"/>
          <w:szCs w:val="28"/>
          <w:rtl/>
        </w:rPr>
        <w:t>وضعفاً في توظيف تقنيات الذكاء الاصطناعي في التحليل الاستراتيجي وصياغة الخطط، إضافة إلى نقص الخبرات المتخصصة في التخطيط الاستراتيجي وضعف قياس مؤشرات أداء المشروعات المنفذة سابقاً. وأكدت الدراسة أن دمج التخطيط الاستراتيجي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أوصت الدراسة بمواءمة الرؤية والرسالة مع مستهدفات رؤية 2030، وبناء أهداف استراتيجية رقمية قابلة للقياس، وتوسيع مشاركة العاملين في صياغة الخطط، واستقطاب خبرات تخطيطية متخصصة، واعتماد أدوات الذكاء الاصطناعي في جميع مراحل المشروعات مع تطوير نظام مؤشرات أداء لرصد التقدم والتحسين المستمر</w:t>
      </w:r>
      <w:r w:rsidR="000E5679" w:rsidRPr="006A2E70">
        <w:rPr>
          <w:rFonts w:asciiTheme="majorBidi" w:hAnsiTheme="majorBidi" w:cstheme="majorBidi"/>
          <w:sz w:val="28"/>
          <w:szCs w:val="28"/>
          <w:rtl/>
          <w:lang w:bidi="ar-EG"/>
        </w:rPr>
        <w:t>.</w:t>
      </w:r>
    </w:p>
    <w:p w14:paraId="628028A9" w14:textId="77777777" w:rsidR="00581D0A" w:rsidRPr="006A2E70" w:rsidRDefault="00581D0A" w:rsidP="00235F9B">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(العتيبي واليوبي، 2024) بعنوان أثر تقنيات الذكاء الاصطناعي على الابتكار التسويقي: دراسة تطبيقية على شركة موبايلي بالمملكة العربية السعودية</w:t>
      </w:r>
    </w:p>
    <w:p w14:paraId="69A4B95A" w14:textId="77777777" w:rsidR="00581D0A" w:rsidRPr="006A2E70" w:rsidRDefault="00235F9B" w:rsidP="00235F9B">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هدفت الدراسة إلى التعرف على أثر تقنيات الذكاء الاصطناعي في الابتكار التسويقي بشركة موبايلي في المملكة العربية السعودية، من خلال تحليل واقع استخدام هذه التقنيات ومدى تأثيرها على عناصر المزيج التسويقي المبتكر. اعتمدت الدراسة على منهج دراسة الحالة، وتمثل مجتمع الدراسة في الفروع الرئيسية لشركة موبايلي بمدينة مكة المكرمة، حيث تم جمع البيانات باستخدام أداة الاستبانة التي طبقت على عينة قوامها 30 موظفاً، بالإضافة إلى استخدام منهج تحليل المحتوى. أظهرت النتائج أن واقع استخدام تقنيات الذكاء الاصطناعي في الشركة جاء بنسبة مرتفعة جداً بلغت 89.2%، كما كشفت عن وجود أثر إيجابي ذي دلالة إحصائية لتقنيات الذكاء الاصطناعي على الابتكار التسويقي وأبعاده بنسبة 80%، مع وجود علاقة ارتباط طردية قوية بين المتغيرين بلغت 93%. وتبين أن تقنية تحليل البيانات الضخمة هي الأكثر تأثيراً في الابتكار التسويقي، في حين كانت تقنية التعلم العميق الأقل تأثيراً. بناءً على هذه النتائج، قدمت الدراسة نموذجاً مقترحاً لكيفية توظيف تقنيات الذكاء الاصطناعي في دعم الابتكار التسويقي، وأوصت بضرورة الاهتمام بتطبيق هذه التقنيات، وتصميم برامج تدريبية متخصصة، وتوفير متطلبات تطبيقها، وإعداد خطط تطويرية للاستفادة من تحليل البيانات الضخمة في تعزيز القدرات الابتكارية.</w:t>
      </w:r>
    </w:p>
    <w:p w14:paraId="6F67A95A" w14:textId="77777777" w:rsidR="000E5679" w:rsidRPr="006A2E70" w:rsidRDefault="000E5679" w:rsidP="000E567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(الشمري، 2023) بعنوان انعكاس تقنيات الذكاء الاصطناعي على حوكمة الشركات في النظام السعودي</w:t>
      </w:r>
    </w:p>
    <w:p w14:paraId="76D8E4F7" w14:textId="77777777" w:rsidR="000E5679" w:rsidRPr="006A2E70" w:rsidRDefault="000E5679" w:rsidP="000E5679">
      <w:pPr>
        <w:bidi/>
        <w:ind w:firstLine="720"/>
        <w:jc w:val="both"/>
        <w:rPr>
          <w:rFonts w:asciiTheme="majorBidi" w:hAnsiTheme="majorBidi" w:cstheme="majorBidi"/>
          <w:sz w:val="28"/>
          <w:szCs w:val="28"/>
        </w:rPr>
      </w:pPr>
      <w:r w:rsidRPr="006A2E70">
        <w:rPr>
          <w:rFonts w:asciiTheme="majorBidi" w:hAnsiTheme="majorBidi" w:cstheme="majorBidi"/>
          <w:sz w:val="28"/>
          <w:szCs w:val="28"/>
          <w:rtl/>
        </w:rPr>
        <w:lastRenderedPageBreak/>
        <w:t>هدفت الدراسة إلى تحليل انعكاس تقنيات الذكاء الاصطناعي على حوكمة الشركات في المملكة العربية السعودية، من خلال توضيح مفهوم الحوكمة وآلياتها التنظيمية، وبيان دورها في تعزيز الإفصاح والشفافية، مع استكشاف الأطر النظامية التي يمكن عبرها توظيف تقنيات الذكاء الاصطناعي لتطوير قواعد وضوابط الحوكمة. اعتمدت الدراسة على المنهج الوصفي التحليلي، وركزت على الشركات الخاضعة لأنظمة الحوكمة في السعودية، ولا سيما الشركات المرتبطة بسوق المال ونظم التسجيل الإلكتروني. أظهرت النتائج أن تفعيل تقنيات الذكاء الاصطناعي يستند إلى التوجه الاستراتيجي للمملكة نحو التحول الرقمي، ويعزز الامتثال لمتطلبات الإفصاح والشفافية من خلال الأنظمة الإلكترونية. كما بينت الدراسة أن تبني هذه التقنيات يسهم في تقليص الوقت والجهد والتكاليف التشغيلية، ويرفع من كفاءة الرقابة الداخلية والخارجية، ويحد من مظاهر الفساد الإداري والمالي. وقد تجلى ذلك بوضوح في إجراءات التسجيل الإلكتروني للشركات، وإصدار التراخيص، وتنفيذ عمليات التداول في سوق الأوراق المالية. كما نادت الدراسة بضرورة تدخل المنظم السعودي لوضع إطار نظامي خاص بتطبيق تقنيات الذكاء الاصطناعي في مجال الحوكمة، مع إلزام الشركات بالتحول الرقمي الشامل لبياناتها بما يضمن تعزيز الشفافية وتحقيق كفاءة أعلى في الأداء المؤسسي.</w:t>
      </w:r>
    </w:p>
    <w:p w14:paraId="79D4E0EC" w14:textId="77777777" w:rsidR="000E5679" w:rsidRPr="006A2E70" w:rsidRDefault="000E5679" w:rsidP="000E567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(الجعافرة، 2023) بعنوان الذكاء الاصطناعي ودوره في إدارة الموارد البشرية في البلديات 2023</w:t>
      </w:r>
    </w:p>
    <w:p w14:paraId="76C5AE0D" w14:textId="77777777" w:rsidR="000E5679" w:rsidRPr="006A2E70" w:rsidRDefault="000E5679" w:rsidP="000E5679">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هدفت الدراسة إلى التعرف على الذكاء الاصطناعي ودوره في إدارة الموارد البشرية في البلديات الأردنية، من خلال تسليط الضوء على أهمية توظيف تقنيات الذكاء الاصطناعي في تطوير وظائف الموارد البشرية والانتقال من الأنظمة التقليدية اليدوية إلى الأنظمة الآلية القائمة على الأرشفة والأتمتة. اعتمدت الدراسة على المنهج الوصفي التحليلي، وتكون مجتمع الدراسة من البلديات الأردنية، في حين تمثلت العينة في بلدية الكرك الكبرى، واعتمدت الدراسة على جمع المعلومات من مصادرها الأولية والثانوية دون ذكر حجم عينة محدد. أظهرت النتائج أن إدارة الموارد البشرية تواجه تحديات كبيرة لا يمكن معالجتها إلا من خلال تطبيق تقنية الذكاء الاصطناعي في أقسامها، وأكدت أن اندماج الذكاء الاصطناعي مع ممارسات إدارة الموارد البشرية يعمل على تغيير كيفية تجنيد البلدية للقوى العاملة وإدارتها وإشراكها، كما أوضحت أن عمليات التحديث دفعت بتطوير الموارد البشرية بطريقة مدفوعة بالتكنولوجيا والبيانات لتعزيز دورها الاستراتيجي. أوصت الدراسة وزارة الإدارة المحلية بتعظيم أهمية الذكاء الاصطناعي لاستبدال العمالة البدنية بالآلات التقنية، وإحلال الذكاء الاصطناعي محل العقل البشري في إدارة شؤون الموظفين، وتعزيز فعالية وظائف الموارد البشرية من خلال استخداماته، ومعالجة التحديات التي تواجه تطبيقه.</w:t>
      </w:r>
    </w:p>
    <w:p w14:paraId="18B30D5B" w14:textId="77777777" w:rsidR="000E5679" w:rsidRPr="006A2E70" w:rsidRDefault="00AC2C89" w:rsidP="000E567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 xml:space="preserve">ثانياً: </w:t>
      </w:r>
      <w:r w:rsidR="009B4B26" w:rsidRPr="006A2E70">
        <w:rPr>
          <w:rFonts w:asciiTheme="majorBidi" w:hAnsiTheme="majorBidi" w:cstheme="majorBidi"/>
          <w:b/>
          <w:bCs/>
          <w:sz w:val="28"/>
          <w:szCs w:val="28"/>
          <w:rtl/>
          <w:lang w:bidi="ar-EG"/>
        </w:rPr>
        <w:t xml:space="preserve">الدراسات الخاصة بالمتغير التابع: </w:t>
      </w:r>
      <w:r w:rsidR="00202AFD" w:rsidRPr="006A2E70">
        <w:rPr>
          <w:rFonts w:asciiTheme="majorBidi" w:hAnsiTheme="majorBidi" w:cstheme="majorBidi"/>
          <w:b/>
          <w:bCs/>
          <w:sz w:val="28"/>
          <w:szCs w:val="28"/>
          <w:rtl/>
          <w:lang w:bidi="ar-EG"/>
        </w:rPr>
        <w:t>فاعلية القرارات الاستراتيجية</w:t>
      </w:r>
    </w:p>
    <w:p w14:paraId="28140D70" w14:textId="77777777" w:rsidR="00D321AB" w:rsidRPr="006A2E70" w:rsidRDefault="00D321AB" w:rsidP="00D321AB">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(ابراهيم، 2025) بعنوان الموائمة الاستراتيجية ودورها في دعم الأداء المؤسسي: الدور الوسيط لفعالية القرار، دراسة تطبيقية</w:t>
      </w:r>
    </w:p>
    <w:p w14:paraId="24545011" w14:textId="77777777" w:rsidR="00D321AB" w:rsidRPr="006A2E70" w:rsidRDefault="00F703B7" w:rsidP="00F703B7">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هدفت الدراسة إلى الكشف عن دور الموائمة الاستراتيجية في دعم الأداء المؤسسي من خلال الدور الوسيط لفعالية القرار، وذلك بالتطبيق على جامعة العريش في مصر. اعتمدت الدراسة على المنهج الوصفي التحليلي، وتكون مجتمع الدراسة من جميع أعضاء هيئة التدريس والإداريين بالجامعة والبالغ عددهم 1118 فرداً، وتم اختيار عينة عشوائية طبقية قوامها 230 فرداً، وتم جمع البيانات </w:t>
      </w:r>
      <w:r w:rsidRPr="006A2E70">
        <w:rPr>
          <w:rFonts w:asciiTheme="majorBidi" w:hAnsiTheme="majorBidi" w:cstheme="majorBidi"/>
          <w:sz w:val="28"/>
          <w:szCs w:val="28"/>
          <w:rtl/>
          <w:lang w:bidi="ar-EG"/>
        </w:rPr>
        <w:lastRenderedPageBreak/>
        <w:t>باستخدام استبانة إلكترونية، وبلغ معدل الاستجابة 82.7%. أظهرت النتائج وجود تأثير إيجابي ذي دلالة إحصائية للموائمة الاستراتيجية بأبعادها (الاتصالات، الكفاءة، الحوكمة، الشراكة، البنية التحتية، المهارات) على كل من فعالية القرار والأداء المؤسسي، كما تبين وجود تأثير إيجابي لفعالية القرار على الأداء المؤسسي، وأكدت النتائج وجود دور وسيط جزئي لفعالية القرار في العلاقة بين الموائمة الاستراتيجية والأداء المؤسسي، حيث أوضحت أن الموائمة الاستراتيجية تفسر 62% من التباين في فعالية القرار، و81% من التباين في الأداء المؤسسي. أوصت الدراسة بضرورة تقديم رؤى استباقية توجه التغييرات المستقبلية، وتطوير الهياكل التنظيمية والبرامج، وتحسين جودة الخدمات.</w:t>
      </w:r>
    </w:p>
    <w:p w14:paraId="51904F80" w14:textId="77777777" w:rsidR="004C33C9" w:rsidRPr="006A2E70" w:rsidRDefault="004C33C9" w:rsidP="00202AFD">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(الشيزاوي، 2024) بعنوان أثر الرقابة الإدارية على فاعلية القرارات في المؤسسات الحكومية العمانية</w:t>
      </w:r>
    </w:p>
    <w:p w14:paraId="2846CB9A" w14:textId="77777777" w:rsidR="004C33C9" w:rsidRPr="006A2E70" w:rsidRDefault="004C33C9" w:rsidP="004C33C9">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هدفت الدراسة إلى التعرف على أثر الرقابة الإدارية على فاعلية القرارات في المؤسسات الحكومية العمانية، من خلال دراسة ميدانية مطبقة في هيئة البيئة العمانية. اعتمدت الدراسة على المنهج الوصفي التحليلي، وتكون مجتمع الدراسة من جميع المديرين في الهيئة والبالغ عددهم 31 مديراً، وتم جمع البيانات باستخدام أداة الاستبانة التي شملت جميع أفراد المجتمع. أظهرت النتائج وجود أثر ذي دلالة إحصائية عند مستوى الدلالة (0.05 ≥ </w:t>
      </w:r>
      <w:r w:rsidRPr="006A2E70">
        <w:rPr>
          <w:rFonts w:asciiTheme="majorBidi" w:hAnsiTheme="majorBidi" w:cstheme="majorBidi"/>
          <w:sz w:val="28"/>
          <w:szCs w:val="28"/>
          <w:lang w:bidi="ar-EG"/>
        </w:rPr>
        <w:t>α</w:t>
      </w:r>
      <w:r w:rsidRPr="006A2E70">
        <w:rPr>
          <w:rFonts w:asciiTheme="majorBidi" w:hAnsiTheme="majorBidi" w:cstheme="majorBidi"/>
          <w:sz w:val="28"/>
          <w:szCs w:val="28"/>
          <w:rtl/>
          <w:lang w:bidi="ar-EG"/>
        </w:rPr>
        <w:t>)</w:t>
      </w:r>
      <w:r w:rsidRPr="006A2E70">
        <w:rPr>
          <w:rFonts w:asciiTheme="majorBidi" w:hAnsiTheme="majorBidi" w:cstheme="majorBidi"/>
          <w:sz w:val="28"/>
          <w:szCs w:val="28"/>
          <w:lang w:bidi="ar-EG"/>
        </w:rPr>
        <w:t xml:space="preserve"> </w:t>
      </w:r>
      <w:r w:rsidRPr="006A2E70">
        <w:rPr>
          <w:rFonts w:asciiTheme="majorBidi" w:hAnsiTheme="majorBidi" w:cstheme="majorBidi"/>
          <w:sz w:val="28"/>
          <w:szCs w:val="28"/>
          <w:rtl/>
          <w:lang w:bidi="ar-EG"/>
        </w:rPr>
        <w:t>للرقابة الإدارية بأبعادها (التقارير الإدارية، الملاحظات، الموازنة التقديرية، الشكاوى) على فاعلية عملية اتخاذ القرارات بمراحلها المختلفة (تحديد المشكلة، جمع المعلومات، تحديد البدائل الاستراتيجية، التنفيذ والرقابة) في هيئة البيئة العمانية. كما أظهرت النتائج وجود درجة موافقة كبيرة تجاه مستوى كفاءة التقارير الإدارية والملاحظات والموازنات التقديرية، في حين كانت الاستجابة محايدة تجاه مستوى كفاءة الشكاوى، وكذلك تجاه مرحلتي تحديد المشكلة والتنفيذ والرقابة. أوصت الدراسة بتعزيز قنوات التواصل بين إدارة الهيئة والعاملين، وتطوير نظام الشكاوى، وتكليف لجان مختصة لفحص الشكاوى، وتزويد الإدارة العليا بتقارير دورية حول نقاط القوة والضعف في القرارات.</w:t>
      </w:r>
    </w:p>
    <w:p w14:paraId="3EFD8E37" w14:textId="77777777" w:rsidR="00202AFD" w:rsidRPr="006A2E70" w:rsidRDefault="00F62D1F" w:rsidP="004C33C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(ابراهيم، 2023) بعنوان تأثير التحول الرقمي على فاعلية اتخاذ القرارات الاستراتيجية: الدور الوسيط الميزة التنافسية</w:t>
      </w:r>
    </w:p>
    <w:p w14:paraId="2045A175" w14:textId="77777777" w:rsidR="00EA1603" w:rsidRPr="006A2E70" w:rsidRDefault="00F62D1F" w:rsidP="00F62D1F">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هدفت الدراسة إلى قياس تأثير التحول الرقمي على فاعلية اتخاذ القرارات الاستراتيجية من خلال الدور الوسيط للميزة التنافسية في الأندية الرياضية المصرية، وذلك من خلال تحديد العلاقة بين التحول الرقمي بأبعاده (البنية التحتية التكنولوجية، التشريعات والسياسات، المهارات الرقمية، توافر التمويل) وتحقيق الميزة التنافسية، وقياس مدى تأثيرها على فاعلية القرارات الاستراتيجية بأبعادها (تحديد الموقف الاستراتيجي، تحديد الأهداف، جمع المعلومات، توليد البدائل، اختيار البديل). اعتمدت الدراسة على المنهج الميداني، وتكون مجتمع الدراسة من موظفي نادي الزهور الرياضي بفرعيه والبالغ عددهم 1100 موظف، وتم اختيار عينة ميسرة قوامها 285 مفردة، وتم جمع البيانات باستخدام استبانة إلكترونية. أظهرت النتائج أن الأندية الرياضية لا تتبنى عملية التحول الرقمي بدرجة كافية، حيث جاءت المتوسطات الحسابية لأبعاده متوسطة، كما أظهرت ضعفاً في مستوى فاعلية اتخاذ القرارات الاستراتيجية وعدم القدرة على تحقيق الميزة التنافسية. كما توصلت إلى قبول الفرض الرئيسي الأول والثالث جزئياً، وقبول الفرضين الرئيسيين الثاني والرابع كلياً. أوصت الدراسة </w:t>
      </w:r>
      <w:r w:rsidRPr="006A2E70">
        <w:rPr>
          <w:rFonts w:asciiTheme="majorBidi" w:hAnsiTheme="majorBidi" w:cstheme="majorBidi"/>
          <w:sz w:val="28"/>
          <w:szCs w:val="28"/>
          <w:rtl/>
          <w:lang w:bidi="ar-EG"/>
        </w:rPr>
        <w:lastRenderedPageBreak/>
        <w:t>بضرورة إدراك أهمية قدرة الموظفين على اكتساب مهارات وظيفية جديدة، والمبادرة إلى التحول الرقمي في الأندية الرياضية، وتهيئة الموظفين لمواكبة التقدم التكنولوجي، وتطوير الأجهزة والمعدات.</w:t>
      </w:r>
    </w:p>
    <w:p w14:paraId="2A4FD84D" w14:textId="77777777" w:rsidR="00A0386E" w:rsidRPr="006A2E70" w:rsidRDefault="00A0386E" w:rsidP="00A71409">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(الشعار، 2023) بعنوان فاعلية إدارة الأصول غير الملموسة وأثرها على نظم اتخاذ القرارات الاستراتيجية في المنظمات الدور المعدل للهدر التنظيمي: دراسة ميدانية على شركات الصناعات الدوائية الأردنية</w:t>
      </w:r>
    </w:p>
    <w:p w14:paraId="5429D0CC" w14:textId="77777777" w:rsidR="00C337D7" w:rsidRPr="006A2E70" w:rsidRDefault="00A0386E" w:rsidP="00D321AB">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هدفت الدراسة إلى الكشف عن أثر إدارة الأصول غير الملموسة في نظم اتخاذ القرارات الاستراتيجية في شركات الصناعات الدوائية الأردنية، مع اختبار الدور المعدل للهدر التنظيمي في هذه العلاقة. اعتمدت الدراسة على المنهج الوصفي التحليلي، وتكون مجتمع الدراسة من جميع المديرين والمشرفين في الشركات الدوائية الأردنية والبالغ عددهم 538 مديراً، وتم اختيار عينة عشوائية بسيطة قوامها 226 فرداً، وتم توزيع الاستبانة عليهم، واسترداد 218 استبانة، صالح منها للتحليل 213 استبانة بنسبة استرداد 94.3%. أظهرت النتائج أن مستوى إدارة الأصول غير الملموسة جاء متوسطاً، في حين جاء مستوى نظم اتخاذ القرارات الاستراتيجية مرتفعاً، ومستوى الهدر التنظيمي متوسطاً. كما كشفت عن وجود أثر ذي دلالة إحصائية لإدارة الأصول غير الملموسة بأبعادها (إدارة المعرفة، إدارة الابتكارات، إدارة براءة الاختراع، إدارة تكنولوجيا المعلومات، إدارة حقوق التأليف والنشر) في نظم اتخاذ القرارات الاستراتيجية، كما تبين وجود أثر لهذه الأبعاد في الهدر التنظيمي باستثناء بعدي إدارة المعرفة وإدارة براءة الاختراع. وأكدت النتائج وجود دور معدل للهدر التنظيمي في تعزيز تأثير إدارة الأصول غير الملموسة على القرارات الاستراتيجية. أوصت الدراسة بضرورة اهتمام الشركات الدوائية بإدارة أصولها غير الملموسة للحد من الهد</w:t>
      </w:r>
      <w:r w:rsidR="00D321AB" w:rsidRPr="006A2E70">
        <w:rPr>
          <w:rFonts w:asciiTheme="majorBidi" w:hAnsiTheme="majorBidi" w:cstheme="majorBidi"/>
          <w:sz w:val="28"/>
          <w:szCs w:val="28"/>
          <w:rtl/>
          <w:lang w:bidi="ar-EG"/>
        </w:rPr>
        <w:t>ر التنظيمي وتحسين جودة القرارات.</w:t>
      </w:r>
    </w:p>
    <w:p w14:paraId="633BFF3E" w14:textId="77777777" w:rsidR="00D321AB" w:rsidRPr="006A2E70" w:rsidRDefault="00D321AB" w:rsidP="00D321AB">
      <w:pPr>
        <w:bidi/>
        <w:jc w:val="both"/>
        <w:rPr>
          <w:rFonts w:asciiTheme="majorBidi" w:hAnsiTheme="majorBidi" w:cstheme="majorBidi"/>
          <w:sz w:val="28"/>
          <w:szCs w:val="28"/>
          <w:rtl/>
          <w:lang w:bidi="ar-EG"/>
        </w:rPr>
      </w:pPr>
    </w:p>
    <w:p w14:paraId="0FBBE543" w14:textId="77777777" w:rsidR="00A71409" w:rsidRPr="006A2E70" w:rsidRDefault="00A71409" w:rsidP="00A0386E">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دراسة (على، 2022) بعنوان دور الذكاء التنافسي في تعزيز فاعلية القرارات الاستراتيجية: بحث استطلاعي للآراء عينة من مديري شركة الاتصالات آسيا سيل في العراق</w:t>
      </w:r>
    </w:p>
    <w:p w14:paraId="3656F8DB" w14:textId="77777777" w:rsidR="00A71409" w:rsidRPr="006A2E70" w:rsidRDefault="004A0A2E" w:rsidP="004A0A2E">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هدفت الدراسة إلى التعرف على دور الذكاء التنافسي في تعزيز فاعلية القرارات الاستراتيجية في شركة آسيا سيل للاتصالات في العراق، من خلال تشخيص طبيعة علاقات الارتباط والتأثير بين الذكاء التنافسي بأبعاده (جمع المعلومات، التحليل، التجميع، النشر) وفاعلية القرارات الاستراتيجية بأبعادها (الملاءمة، القبول، الجودة). اعتمدت الدراسة على المنهج الوصفي التحليلي، وتكون مجتمع الدراسة من المديرين في الشركة، وتم اختيار عينة قصدية قوامها 61 فرداً من شاغلي المناصب الإدارية العليا، وتم جمع البيانات باستخدام استبانة صممت لهذا الغرض. أظهرت النتائج وجود علاقة ارتباط موجبة وذات دلالة معنوية بين الذكاء التنافسي وفاعلية القرارات الاستراتيجية، حيث بلغ معامل الارتباط الكلي 0.932 عند مستوى معنوية 1%، كما أظهرت وجود تأثير ذي دلالة معنوية للذكاء التنافسي في فاعلية القرارات الاستراتيجية، حيث بلغ معامل التحديد </w:t>
      </w:r>
      <w:r w:rsidRPr="006A2E70">
        <w:rPr>
          <w:rFonts w:asciiTheme="majorBidi" w:hAnsiTheme="majorBidi" w:cstheme="majorBidi"/>
          <w:sz w:val="28"/>
          <w:szCs w:val="28"/>
          <w:lang w:bidi="ar-EG"/>
        </w:rPr>
        <w:t>R² 0.869</w:t>
      </w:r>
      <w:r w:rsidRPr="006A2E70">
        <w:rPr>
          <w:rFonts w:asciiTheme="majorBidi" w:hAnsiTheme="majorBidi" w:cstheme="majorBidi"/>
          <w:sz w:val="28"/>
          <w:szCs w:val="28"/>
          <w:rtl/>
          <w:lang w:bidi="ar-EG"/>
        </w:rPr>
        <w:t>، مما يعني أن الذكاء التنافسي يفسر 86.9% من التغيرات في فاعلية القرارات الاستراتيجية. أوصت الدراسة بضرورة توجيه قيادة الشركة نحو التخلص من القيود التي تحد من قدرتها التنافسية، وتوفير المتطلبات اللازمة لاستمرار نجاحها وتطويرها في الجوانب البشرية والتقنية.</w:t>
      </w:r>
    </w:p>
    <w:p w14:paraId="4195C845" w14:textId="77777777" w:rsidR="00C26D6C" w:rsidRPr="006A2E70" w:rsidRDefault="00602942" w:rsidP="00602942">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ثالثاً الدراسات الخاصة بتأثير تقنيات الذكاء الاصطناعي على فعالية القرارات الاستراتيجية</w:t>
      </w:r>
    </w:p>
    <w:p w14:paraId="2A30C952" w14:textId="77777777" w:rsidR="00144CC4" w:rsidRPr="006A2E70" w:rsidRDefault="00144CC4" w:rsidP="00144CC4">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lastRenderedPageBreak/>
        <w:t xml:space="preserve">دراسة </w:t>
      </w:r>
      <w:r w:rsidRPr="006A2E70">
        <w:rPr>
          <w:rFonts w:asciiTheme="majorBidi" w:hAnsiTheme="majorBidi" w:cstheme="majorBidi"/>
          <w:b/>
          <w:bCs/>
          <w:sz w:val="28"/>
          <w:szCs w:val="28"/>
          <w:lang w:bidi="ar-EG"/>
        </w:rPr>
        <w:t>(</w:t>
      </w:r>
      <w:proofErr w:type="spellStart"/>
      <w:r w:rsidRPr="006A2E70">
        <w:rPr>
          <w:rFonts w:asciiTheme="majorBidi" w:hAnsiTheme="majorBidi" w:cstheme="majorBidi"/>
          <w:b/>
          <w:bCs/>
          <w:sz w:val="28"/>
          <w:szCs w:val="28"/>
          <w:lang w:bidi="ar-EG"/>
        </w:rPr>
        <w:t>Wasesa</w:t>
      </w:r>
      <w:proofErr w:type="spellEnd"/>
      <w:r w:rsidRPr="006A2E70">
        <w:rPr>
          <w:rFonts w:asciiTheme="majorBidi" w:hAnsiTheme="majorBidi" w:cstheme="majorBidi"/>
          <w:b/>
          <w:bCs/>
          <w:sz w:val="28"/>
          <w:szCs w:val="28"/>
          <w:lang w:bidi="ar-EG"/>
        </w:rPr>
        <w:t xml:space="preserve"> et al, 2025)</w:t>
      </w:r>
      <w:r w:rsidRPr="006A2E70">
        <w:rPr>
          <w:rFonts w:asciiTheme="majorBidi" w:hAnsiTheme="majorBidi" w:cstheme="majorBidi"/>
          <w:b/>
          <w:bCs/>
          <w:sz w:val="28"/>
          <w:szCs w:val="28"/>
          <w:rtl/>
          <w:lang w:bidi="ar-EG"/>
        </w:rPr>
        <w:t xml:space="preserve"> بعنوان </w:t>
      </w:r>
      <w:r w:rsidRPr="006A2E70">
        <w:rPr>
          <w:rFonts w:asciiTheme="majorBidi" w:hAnsiTheme="majorBidi" w:cstheme="majorBidi"/>
          <w:b/>
          <w:bCs/>
          <w:sz w:val="28"/>
          <w:szCs w:val="28"/>
          <w:lang w:bidi="ar-EG"/>
        </w:rPr>
        <w:t>Integration of artificial intelligence in management information systems to improve the effectiveness of strategic decision-making in the digital era</w:t>
      </w:r>
    </w:p>
    <w:p w14:paraId="2CA828DB" w14:textId="77777777" w:rsidR="00144CC4" w:rsidRPr="006A2E70" w:rsidRDefault="00144CC4" w:rsidP="00144CC4">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هدفت الدراسة إلى تحليل العوامل المؤثرة في نجاح تبني الذكاء الاصطناعي ضمن نظم المعلومات الإدارية، وتقييم تأثير هذا التكامل على فاعلية اتخاذ القرارات الاستراتيجية، واستكشاف الدور الوسيط للقدرات الديناميكية في هذه العلاقة. اعتمدت الدراسة على منهجية مختلطة، وتكون مجتمع الدراسة من المؤسسات العاملة في ستة قطاعات صناعية في إندونيسيا، وتم جمع البيانات الكمية من عينة قوامها 715 فرداً من المستويات الإدارية العليا والوسطى والمتخصصين، كما تم إجراء دراسات حالة نوعية في 25 منظمة ذات مستويات متفاوتة من نضج تطبيق الذكاء الاصطناعي. أظهرت نتائج تحليل النمذجة الهيكلية أن العوامل الرئيسية المؤثرة في تبني الذكاء الاصطناعي تشمل الفائدة المدركة، سهولة الاستخدام، الجاهزية التنظيمية، والدعم الإداري. كما أظهر التكامل تحسناً كبيراً في فاعلية القرارات الاستراتيجية تمثل في زيادة جودة القرار بنسبة 34.7%، سرعة اتخاذ القرار بنسبة 42.3%، دقة التنبؤ بنسبة 28.6%، التوافق الاستراتيجي بنسبة 31.2%، وقدرات تقييم المخاطر بنسبة 36.8%. كشفت النتائج النوعية عن تحديات رئيسية للتنفيذ تشمل جودة البيانات، الفجوات المهارية، مقاومة الموظفين، وتعقيد التكامل. أوصت الدراسة بتوفير إطار شامل لتوجيه تكامل الذكاء الاصطناعي في نظم المعلومات الإدارية لتحقيق ميزة تنافسية مستدامة.</w:t>
      </w:r>
    </w:p>
    <w:p w14:paraId="4A3419C6" w14:textId="77777777" w:rsidR="00602942" w:rsidRPr="006A2E70" w:rsidRDefault="00057390" w:rsidP="00144CC4">
      <w:pPr>
        <w:bidi/>
        <w:jc w:val="both"/>
        <w:rPr>
          <w:rFonts w:asciiTheme="majorBidi" w:hAnsiTheme="majorBidi" w:cstheme="majorBidi"/>
          <w:b/>
          <w:bCs/>
          <w:sz w:val="28"/>
          <w:szCs w:val="28"/>
          <w:lang w:bidi="ar-EG"/>
        </w:rPr>
      </w:pPr>
      <w:r w:rsidRPr="006A2E70">
        <w:rPr>
          <w:rFonts w:asciiTheme="majorBidi" w:hAnsiTheme="majorBidi" w:cstheme="majorBidi"/>
          <w:b/>
          <w:bCs/>
          <w:sz w:val="28"/>
          <w:szCs w:val="28"/>
          <w:rtl/>
          <w:lang w:bidi="ar-EG"/>
        </w:rPr>
        <w:t>دراسة</w:t>
      </w:r>
      <w:proofErr w:type="spellStart"/>
      <w:r w:rsidRPr="006A2E70">
        <w:rPr>
          <w:rFonts w:asciiTheme="majorBidi" w:hAnsiTheme="majorBidi" w:cstheme="majorBidi"/>
          <w:b/>
          <w:bCs/>
          <w:sz w:val="28"/>
          <w:szCs w:val="28"/>
          <w:lang w:bidi="ar-EG"/>
        </w:rPr>
        <w:t>Neiroukh</w:t>
      </w:r>
      <w:proofErr w:type="spellEnd"/>
      <w:r w:rsidRPr="006A2E70">
        <w:rPr>
          <w:rFonts w:asciiTheme="majorBidi" w:hAnsiTheme="majorBidi" w:cstheme="majorBidi"/>
          <w:b/>
          <w:bCs/>
          <w:sz w:val="28"/>
          <w:szCs w:val="28"/>
          <w:lang w:bidi="ar-EG"/>
        </w:rPr>
        <w:t xml:space="preserve"> et al, 2024) </w:t>
      </w:r>
      <w:r w:rsidRPr="006A2E70">
        <w:rPr>
          <w:rFonts w:asciiTheme="majorBidi" w:hAnsiTheme="majorBidi" w:cstheme="majorBidi"/>
          <w:b/>
          <w:bCs/>
          <w:sz w:val="28"/>
          <w:szCs w:val="28"/>
          <w:rtl/>
          <w:lang w:bidi="ar-EG"/>
        </w:rPr>
        <w:t xml:space="preserve">) بعنوان </w:t>
      </w:r>
      <w:r w:rsidRPr="006A2E70">
        <w:rPr>
          <w:rFonts w:asciiTheme="majorBidi" w:hAnsiTheme="majorBidi" w:cstheme="majorBidi"/>
          <w:b/>
          <w:bCs/>
          <w:sz w:val="28"/>
          <w:szCs w:val="28"/>
          <w:lang w:bidi="ar-EG"/>
        </w:rPr>
        <w:t>In the Era of Emerging Technologies: Discovering the Impact of Artificial Intelligence Capabilities on Timely Decision-Making and Business Performance</w:t>
      </w:r>
    </w:p>
    <w:p w14:paraId="4BCD8DF5" w14:textId="77777777" w:rsidR="00057390" w:rsidRPr="006A2E70" w:rsidRDefault="00057390" w:rsidP="00206B3F">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هدفت الدراسة إلى استكشاف تأثير قدرات الذكاء الاصطناعي على الأداء المؤسسي من خلال الدور الوسيط لسرعة اتخاذ القرار في سياق التقنيات الناشئة. اعتمدت الدراسة على المنهج الكمي، وتكون مجتمع الدراسة من الرؤساء التنفيذيين وكبار المديرين في مجموعة متنوعة من الشركات، وتم اختيار عينة قوامها 600 شركة من الساحلين الشرقي والغربي للولايات المتحدة، وتم جمع البيانات باستخدام استبانة إلكترونية، وبلغت العينة الصالحة للتحليل 184 شركة بعد استبعاد الشركات الصغيرة جداً والكبيرة جداً. أظهرت النتائج وجود تأثير إيجابي ذي دلالة إحصائية لقدرات الذكاء الاصطناعي على كل من سرعة اتخاذ القرار والأداء المؤسسي، كما تبين وجود تأثير إيجابي لسرعة اتخاذ القرار على الأداء المؤسسي. وأكدت النتائج وجود دور وسيط لسرعة اتخاذ القرار في العلاقة بين قدرات الذكاء الاصطناعي والأداء المؤسسي، حيث أوضحت أن قدرات الذكاء الاصطناعي تفسر 63.8% من التباين في سرعة اتخاذ القرار، و75.9% من التباين في الأداء المؤسسي. </w:t>
      </w:r>
      <w:r w:rsidR="00206B3F" w:rsidRPr="006A2E70">
        <w:rPr>
          <w:rFonts w:asciiTheme="majorBidi" w:hAnsiTheme="majorBidi" w:cstheme="majorBidi"/>
          <w:sz w:val="28"/>
          <w:szCs w:val="28"/>
          <w:rtl/>
          <w:lang w:bidi="ar-EG"/>
        </w:rPr>
        <w:t>ونادت</w:t>
      </w:r>
      <w:r w:rsidRPr="006A2E70">
        <w:rPr>
          <w:rFonts w:asciiTheme="majorBidi" w:hAnsiTheme="majorBidi" w:cstheme="majorBidi"/>
          <w:sz w:val="28"/>
          <w:szCs w:val="28"/>
          <w:rtl/>
          <w:lang w:bidi="ar-EG"/>
        </w:rPr>
        <w:t xml:space="preserve"> الدراسة بضرورة الاستثمار في تقنيات الذكاء الاصطناعي التي تتوافق مع الأهداف الاستراتيجية، وتدريب الموظفين لاستغلال هذه القدرات، وتعزيز ثقافة صنع القرار السريع والمرن داخل المؤسسات.</w:t>
      </w:r>
    </w:p>
    <w:p w14:paraId="27CBBF5B" w14:textId="77777777" w:rsidR="00057390" w:rsidRPr="006A2E70" w:rsidRDefault="00CB2159" w:rsidP="00057390">
      <w:pPr>
        <w:bidi/>
        <w:jc w:val="both"/>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 xml:space="preserve">دراسة </w:t>
      </w:r>
      <w:r w:rsidRPr="006A2E70">
        <w:rPr>
          <w:rFonts w:asciiTheme="majorBidi" w:hAnsiTheme="majorBidi" w:cstheme="majorBidi"/>
          <w:b/>
          <w:bCs/>
          <w:sz w:val="28"/>
          <w:szCs w:val="28"/>
          <w:lang w:bidi="ar-EG"/>
        </w:rPr>
        <w:t>(Kim &amp; Seo, 2023)</w:t>
      </w:r>
      <w:r w:rsidRPr="006A2E70">
        <w:rPr>
          <w:rFonts w:asciiTheme="majorBidi" w:hAnsiTheme="majorBidi" w:cstheme="majorBidi"/>
          <w:b/>
          <w:bCs/>
          <w:sz w:val="28"/>
          <w:szCs w:val="28"/>
          <w:rtl/>
          <w:lang w:bidi="ar-EG"/>
        </w:rPr>
        <w:t xml:space="preserve"> بعنوان </w:t>
      </w:r>
      <w:r w:rsidRPr="006A2E70">
        <w:rPr>
          <w:rFonts w:asciiTheme="majorBidi" w:hAnsiTheme="majorBidi" w:cstheme="majorBidi"/>
          <w:b/>
          <w:bCs/>
          <w:sz w:val="28"/>
          <w:szCs w:val="28"/>
          <w:lang w:bidi="ar-EG"/>
        </w:rPr>
        <w:t>Foresight and strategic decision-making framework from artificial intelligence technology development to utilization activities in small-and-medium-sized enterprises</w:t>
      </w:r>
    </w:p>
    <w:p w14:paraId="4E78C73F" w14:textId="77777777" w:rsidR="00206B3F" w:rsidRPr="006A2E70" w:rsidRDefault="00206B3F" w:rsidP="007330D8">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lastRenderedPageBreak/>
        <w:t>هدفت الدراسة إلى التنبؤ بتطور تكنولوجيا الذكاء الاصطناعي وتأثير أنشطة توظيفه على الشركات، وتحديد استراتيجيات الذكاء الاصطناعي التي تتعامل مع النشاط الابتكاري الواسع لهذه التكنولوجيا، وبناء إطار استراتيجي لاتخاذ القرارات الخاصة باستراتيجيات الذكاء الاصطناعي في الشركات الصغيرة والمتوسطة، بهدف تحسين ممارسات اتخاذ القرارات الاستراتيجية في هذا القطاع. اعتمدت الدراسة على منهجية متعددة الأساليب تضمنت مرحلتين لجمع البيانات؛ تمثلت المرحلة الأولى في منهج قائم على الخبراء من خلال تنظيم ثلاث مجموعات من الخبراء وإجراء مسح دلفي</w:t>
      </w:r>
      <w:r w:rsidRPr="006A2E70">
        <w:rPr>
          <w:rFonts w:asciiTheme="majorBidi" w:hAnsiTheme="majorBidi" w:cstheme="majorBidi"/>
          <w:sz w:val="28"/>
          <w:szCs w:val="28"/>
          <w:lang w:bidi="ar-EG"/>
        </w:rPr>
        <w:t xml:space="preserve"> (Delphi) </w:t>
      </w:r>
      <w:r w:rsidRPr="006A2E70">
        <w:rPr>
          <w:rFonts w:asciiTheme="majorBidi" w:hAnsiTheme="majorBidi" w:cstheme="majorBidi"/>
          <w:sz w:val="28"/>
          <w:szCs w:val="28"/>
          <w:rtl/>
        </w:rPr>
        <w:t xml:space="preserve">معهم، والمرحلة الثانية في استكمال النتائج عبر مراجعة الأدبيات وتحليل الأوراق الأكاديمية والتقارير والمواد الصوتية المتعلقة بتطور تكنولوجيا الذكاء الاصطناعي وأنواع الابتكار واستراتيجياته، بالإضافة إلى إجراء أربع مقابلات شبه منظمة، وتم استخدام الخريطة الذهنية وشجرة القرار لتحليل النتائج وتوليفها. توصلت الدراسة إلى تحديد أربعة مسارات لتطور تكنولوجيا الذكاء الاصطناعي (الذكاء الاصطناعي المتخصص، التقارب مع تقنيات أخرى، الذكاء الاصطناعي العام، أساليب التحكم)، كما حددت ستة أنواع من استراتيجيات الذكاء الاصطناعي وهي: استراتيجية المتفرج، بناء القدرات، امتلاك القدرات، تعزيز الإدارة، تعزيز السوق، وخلق أسواق جديدة، وتم بناء إطار استراتيجي لاتخاذ القرارات باستخدام شجرة القرار. </w:t>
      </w:r>
      <w:r w:rsidR="007330D8" w:rsidRPr="006A2E70">
        <w:rPr>
          <w:rFonts w:asciiTheme="majorBidi" w:hAnsiTheme="majorBidi" w:cstheme="majorBidi"/>
          <w:sz w:val="28"/>
          <w:szCs w:val="28"/>
          <w:rtl/>
        </w:rPr>
        <w:t>ونادت</w:t>
      </w:r>
      <w:r w:rsidRPr="006A2E70">
        <w:rPr>
          <w:rFonts w:asciiTheme="majorBidi" w:hAnsiTheme="majorBidi" w:cstheme="majorBidi"/>
          <w:sz w:val="28"/>
          <w:szCs w:val="28"/>
          <w:rtl/>
        </w:rPr>
        <w:t xml:space="preserve"> الدراسة </w:t>
      </w:r>
      <w:r w:rsidR="007330D8" w:rsidRPr="006A2E70">
        <w:rPr>
          <w:rFonts w:asciiTheme="majorBidi" w:hAnsiTheme="majorBidi" w:cstheme="majorBidi"/>
          <w:sz w:val="28"/>
          <w:szCs w:val="28"/>
          <w:rtl/>
        </w:rPr>
        <w:t xml:space="preserve">بضرورة </w:t>
      </w:r>
      <w:r w:rsidRPr="006A2E70">
        <w:rPr>
          <w:rFonts w:asciiTheme="majorBidi" w:hAnsiTheme="majorBidi" w:cstheme="majorBidi"/>
          <w:sz w:val="28"/>
          <w:szCs w:val="28"/>
          <w:rtl/>
        </w:rPr>
        <w:t>مساعدة المديرين التنفيذيين والمهندسين في الشركات الصغيرة والمتوسطة على تطوير ممارساتهم</w:t>
      </w:r>
      <w:r w:rsidR="00144CC4" w:rsidRPr="006A2E70">
        <w:rPr>
          <w:rFonts w:asciiTheme="majorBidi" w:hAnsiTheme="majorBidi" w:cstheme="majorBidi"/>
          <w:sz w:val="28"/>
          <w:szCs w:val="28"/>
          <w:rtl/>
        </w:rPr>
        <w:t xml:space="preserve"> الاستراتيجية من خلال هذا الإطار.</w:t>
      </w:r>
    </w:p>
    <w:p w14:paraId="0A8096C7" w14:textId="77777777" w:rsidR="00144CC4" w:rsidRPr="006A2E70" w:rsidRDefault="00144CC4" w:rsidP="00144CC4">
      <w:p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أولاً: أوجه التشابه بين الدراسات</w:t>
      </w:r>
    </w:p>
    <w:p w14:paraId="02251070" w14:textId="77777777" w:rsidR="002A6F9E" w:rsidRPr="006A2E70" w:rsidRDefault="00144CC4" w:rsidP="002A6F9E">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 xml:space="preserve">تتفق الدراسات السابقة في عدد من المرتكزات المنهجية والموضوعية. فمن حيث المنهجية، اعتمدت الغالبية العظمى على المنهج الوصفي التحليلي بوصفه الإطار الرئيس للبحث، كما في دراسات (عبد النبي والعيوني، 2025)، (الشمري، 2023)، (الجعافرة، 2023)، (إبراهيم، 2025)، (الشيزاوي، 2024)، (الشعار، 2023)، و(علي، 2022). كما استخدمت بعض الدراسات مناهج مساندة؛ إذ وظفت دراسة (العتيبي واليوبي، 2024) ودراسة (حمزة، 2024) منهج دراسة الحالة، بينما جمعت دراسة (حمزة، 2024) بينه وبين المنهج التاريخي، واعتمدت دراسة </w:t>
      </w:r>
      <w:r w:rsidR="002A6F9E" w:rsidRPr="006A2E70">
        <w:rPr>
          <w:rFonts w:asciiTheme="majorBidi" w:hAnsiTheme="majorBidi" w:cstheme="majorBidi"/>
          <w:sz w:val="28"/>
          <w:szCs w:val="28"/>
          <w:rtl/>
        </w:rPr>
        <w:t>(إبراهيم، 2023) المنهج الميداني،</w:t>
      </w:r>
      <w:r w:rsidRPr="006A2E70">
        <w:rPr>
          <w:rFonts w:asciiTheme="majorBidi" w:hAnsiTheme="majorBidi" w:cstheme="majorBidi"/>
          <w:sz w:val="28"/>
          <w:szCs w:val="28"/>
          <w:rtl/>
        </w:rPr>
        <w:t xml:space="preserve"> أما الدراسات الأجنبية، فقد تنوعت بين المنهج الكمي في دراسة</w:t>
      </w:r>
      <w:r w:rsidR="002A6F9E" w:rsidRPr="006A2E70">
        <w:rPr>
          <w:rFonts w:asciiTheme="majorBidi" w:hAnsiTheme="majorBidi" w:cstheme="majorBidi"/>
          <w:sz w:val="28"/>
          <w:szCs w:val="28"/>
          <w:rtl/>
        </w:rPr>
        <w:t xml:space="preserve"> </w:t>
      </w:r>
      <w:r w:rsidRPr="006A2E70">
        <w:rPr>
          <w:rFonts w:asciiTheme="majorBidi" w:hAnsiTheme="majorBidi" w:cstheme="majorBidi"/>
          <w:sz w:val="28"/>
          <w:szCs w:val="28"/>
          <w:lang w:bidi="ar-EG"/>
        </w:rPr>
        <w:t>(</w:t>
      </w:r>
      <w:proofErr w:type="spellStart"/>
      <w:r w:rsidRPr="006A2E70">
        <w:rPr>
          <w:rFonts w:asciiTheme="majorBidi" w:hAnsiTheme="majorBidi" w:cstheme="majorBidi"/>
          <w:sz w:val="28"/>
          <w:szCs w:val="28"/>
          <w:lang w:bidi="ar-EG"/>
        </w:rPr>
        <w:t>Neiroukh</w:t>
      </w:r>
      <w:proofErr w:type="spellEnd"/>
      <w:r w:rsidRPr="006A2E70">
        <w:rPr>
          <w:rFonts w:asciiTheme="majorBidi" w:hAnsiTheme="majorBidi" w:cstheme="majorBidi"/>
          <w:sz w:val="28"/>
          <w:szCs w:val="28"/>
          <w:lang w:bidi="ar-EG"/>
        </w:rPr>
        <w:t xml:space="preserve"> et al., 2024)</w:t>
      </w:r>
      <w:r w:rsidRPr="006A2E70">
        <w:rPr>
          <w:rFonts w:asciiTheme="majorBidi" w:hAnsiTheme="majorBidi" w:cstheme="majorBidi"/>
          <w:sz w:val="28"/>
          <w:szCs w:val="28"/>
          <w:rtl/>
        </w:rPr>
        <w:t xml:space="preserve">، والمنهج المختلط في </w:t>
      </w:r>
      <w:proofErr w:type="gramStart"/>
      <w:r w:rsidRPr="006A2E70">
        <w:rPr>
          <w:rFonts w:asciiTheme="majorBidi" w:hAnsiTheme="majorBidi" w:cstheme="majorBidi"/>
          <w:sz w:val="28"/>
          <w:szCs w:val="28"/>
          <w:rtl/>
        </w:rPr>
        <w:t xml:space="preserve">دراسة </w:t>
      </w:r>
      <w:r w:rsidRPr="006A2E70">
        <w:rPr>
          <w:rFonts w:asciiTheme="majorBidi" w:hAnsiTheme="majorBidi" w:cstheme="majorBidi"/>
          <w:sz w:val="28"/>
          <w:szCs w:val="28"/>
          <w:lang w:bidi="ar-EG"/>
        </w:rPr>
        <w:t xml:space="preserve"> (</w:t>
      </w:r>
      <w:proofErr w:type="spellStart"/>
      <w:proofErr w:type="gramEnd"/>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w:t>
      </w:r>
      <w:r w:rsidRPr="006A2E70">
        <w:rPr>
          <w:rFonts w:asciiTheme="majorBidi" w:hAnsiTheme="majorBidi" w:cstheme="majorBidi"/>
          <w:sz w:val="28"/>
          <w:szCs w:val="28"/>
          <w:rtl/>
        </w:rPr>
        <w:t>، والمنهج متعدد الأساليب (دلفي، مقابلات، تحليل محتوى) في دراسة</w:t>
      </w:r>
      <w:r w:rsidRPr="006A2E70">
        <w:rPr>
          <w:rFonts w:asciiTheme="majorBidi" w:hAnsiTheme="majorBidi" w:cstheme="majorBidi"/>
          <w:sz w:val="28"/>
          <w:szCs w:val="28"/>
          <w:lang w:bidi="ar-EG"/>
        </w:rPr>
        <w:t xml:space="preserve"> (Kim &amp; Seo, 2023)</w:t>
      </w:r>
      <w:r w:rsidR="002A6F9E" w:rsidRPr="006A2E70">
        <w:rPr>
          <w:rFonts w:asciiTheme="majorBidi" w:hAnsiTheme="majorBidi" w:cstheme="majorBidi"/>
          <w:sz w:val="28"/>
          <w:szCs w:val="28"/>
          <w:lang w:bidi="ar-EG"/>
        </w:rPr>
        <w:t xml:space="preserve"> </w:t>
      </w:r>
    </w:p>
    <w:p w14:paraId="62F43861" w14:textId="77777777" w:rsidR="002A6F9E" w:rsidRPr="006A2E70" w:rsidRDefault="00144CC4" w:rsidP="002A6F9E">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ومن حيث أدوات جمع البيانات، اتفقت جميع الدراسات على استخدام الاستبانة أداةً رئيسة، مع توظيف أدوات إضافية مثل تحليل المحتوى في دراستي (العتيبي واليوبي، 2024) و</w:t>
      </w:r>
      <w:r w:rsidRPr="006A2E70">
        <w:rPr>
          <w:rFonts w:asciiTheme="majorBidi" w:hAnsiTheme="majorBidi" w:cstheme="majorBidi"/>
          <w:sz w:val="28"/>
          <w:szCs w:val="28"/>
          <w:lang w:bidi="ar-EG"/>
        </w:rPr>
        <w:t>(Kim &amp; Seo, 2023)</w:t>
      </w:r>
      <w:r w:rsidRPr="006A2E70">
        <w:rPr>
          <w:rFonts w:asciiTheme="majorBidi" w:hAnsiTheme="majorBidi" w:cstheme="majorBidi"/>
          <w:sz w:val="28"/>
          <w:szCs w:val="28"/>
          <w:rtl/>
        </w:rPr>
        <w:t>، والمقابلات شبه المنظمة في</w:t>
      </w:r>
      <w:r w:rsidR="002A6F9E" w:rsidRPr="006A2E70">
        <w:rPr>
          <w:rFonts w:asciiTheme="majorBidi" w:hAnsiTheme="majorBidi" w:cstheme="majorBidi"/>
          <w:sz w:val="28"/>
          <w:szCs w:val="28"/>
          <w:rtl/>
        </w:rPr>
        <w:t xml:space="preserve"> </w:t>
      </w:r>
      <w:r w:rsidRPr="006A2E70">
        <w:rPr>
          <w:rFonts w:asciiTheme="majorBidi" w:hAnsiTheme="majorBidi" w:cstheme="majorBidi"/>
          <w:sz w:val="28"/>
          <w:szCs w:val="28"/>
          <w:lang w:bidi="ar-EG"/>
        </w:rPr>
        <w:t>(Kim &amp; Seo, 2023)</w:t>
      </w:r>
      <w:r w:rsidR="002A6F9E" w:rsidRPr="006A2E70">
        <w:rPr>
          <w:rFonts w:asciiTheme="majorBidi" w:hAnsiTheme="majorBidi" w:cstheme="majorBidi"/>
          <w:sz w:val="28"/>
          <w:szCs w:val="28"/>
          <w:rtl/>
        </w:rPr>
        <w:t>، ودراسات الحالة النوعية في</w:t>
      </w:r>
      <w:r w:rsidR="002A6F9E" w:rsidRPr="006A2E70">
        <w:rPr>
          <w:rFonts w:asciiTheme="majorBidi" w:hAnsiTheme="majorBidi" w:cstheme="majorBidi"/>
          <w:sz w:val="28"/>
          <w:szCs w:val="28"/>
          <w:rtl/>
          <w:lang w:bidi="ar-EG"/>
        </w:rPr>
        <w:t xml:space="preserve"> </w:t>
      </w:r>
      <w:r w:rsidRPr="006A2E70">
        <w:rPr>
          <w:rFonts w:asciiTheme="majorBidi" w:hAnsiTheme="majorBidi" w:cstheme="majorBidi"/>
          <w:sz w:val="28"/>
          <w:szCs w:val="28"/>
          <w:lang w:bidi="ar-EG"/>
        </w:rPr>
        <w:t>(</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w:t>
      </w:r>
    </w:p>
    <w:p w14:paraId="4E23DB13" w14:textId="77777777" w:rsidR="00144CC4" w:rsidRPr="006A2E70" w:rsidRDefault="00144CC4" w:rsidP="002A6F9E">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أما من حيث النتائج، فقد أجمعت الدراسات على وجود تأثير إيجابي وعلاقات ارتباط ذات دلالة إحصائية بين المتغيرات المستقلة (تقنيات الذكاء الاصطناعي، الذكاء التنافسي، التحول الرقمي، الموائمة الاستراتيجية، الرقابة الإدارية) والمتغيرات التابعة المرتبطة بفاعلية القرارات الاستراتيجية، سواء بصورة مباشرة أو غير مباشرة</w:t>
      </w:r>
      <w:r w:rsidR="002A6F9E" w:rsidRPr="006A2E70">
        <w:rPr>
          <w:rFonts w:asciiTheme="majorBidi" w:hAnsiTheme="majorBidi" w:cstheme="majorBidi"/>
          <w:sz w:val="28"/>
          <w:szCs w:val="28"/>
          <w:rtl/>
          <w:lang w:bidi="ar-EG"/>
        </w:rPr>
        <w:t>.</w:t>
      </w:r>
    </w:p>
    <w:p w14:paraId="50983FB8" w14:textId="77777777" w:rsidR="00144CC4" w:rsidRPr="006A2E70" w:rsidRDefault="00144CC4" w:rsidP="00144CC4">
      <w:p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ثانياً: أوجه الاختلاف بين الدراسات</w:t>
      </w:r>
    </w:p>
    <w:p w14:paraId="7BD14B2F" w14:textId="77777777" w:rsidR="002A6F9E" w:rsidRPr="006A2E70" w:rsidRDefault="00144CC4" w:rsidP="002A6F9E">
      <w:pPr>
        <w:bidi/>
        <w:ind w:firstLine="720"/>
        <w:jc w:val="both"/>
        <w:rPr>
          <w:rFonts w:asciiTheme="majorBidi" w:hAnsiTheme="majorBidi" w:cstheme="majorBidi"/>
          <w:sz w:val="28"/>
          <w:szCs w:val="28"/>
          <w:rtl/>
        </w:rPr>
      </w:pPr>
      <w:r w:rsidRPr="006A2E70">
        <w:rPr>
          <w:rFonts w:asciiTheme="majorBidi" w:hAnsiTheme="majorBidi" w:cstheme="majorBidi"/>
          <w:sz w:val="28"/>
          <w:szCs w:val="28"/>
          <w:rtl/>
        </w:rPr>
        <w:lastRenderedPageBreak/>
        <w:t>رغم اتفاق الدراسات في الإطار العام، إلا أنها تباينت في عدة أبعاد. فعلى مستوى مجتمع الدراسة والعينة، تراوحت الأحجام بين عينات كبيرة مثل دراسة (عبد النبي والعيوني، 2025) التي طبقت على مجتمع بلغ 46,233 فرداً في شركة المراعي بعينة ميسرة قوامها 324 فرداً، ودراسة</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 </w:t>
      </w:r>
      <w:r w:rsidRPr="006A2E70">
        <w:rPr>
          <w:rFonts w:asciiTheme="majorBidi" w:hAnsiTheme="majorBidi" w:cstheme="majorBidi"/>
          <w:sz w:val="28"/>
          <w:szCs w:val="28"/>
          <w:rtl/>
        </w:rPr>
        <w:t>بعينة 715 فرداً من ستة قطاعات صناعية في إندونيسيا، ودراسة</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Neiroukh</w:t>
      </w:r>
      <w:proofErr w:type="spellEnd"/>
      <w:r w:rsidRPr="006A2E70">
        <w:rPr>
          <w:rFonts w:asciiTheme="majorBidi" w:hAnsiTheme="majorBidi" w:cstheme="majorBidi"/>
          <w:sz w:val="28"/>
          <w:szCs w:val="28"/>
          <w:lang w:bidi="ar-EG"/>
        </w:rPr>
        <w:t xml:space="preserve"> et al., 2024) </w:t>
      </w:r>
      <w:r w:rsidRPr="006A2E70">
        <w:rPr>
          <w:rFonts w:asciiTheme="majorBidi" w:hAnsiTheme="majorBidi" w:cstheme="majorBidi"/>
          <w:sz w:val="28"/>
          <w:szCs w:val="28"/>
          <w:rtl/>
        </w:rPr>
        <w:t>التي شملت 184 شركة؛ وعينات متوسطة مثل (إبراهيم، 2025) بعدد 230 فرداً من جامعة العريش، و(الشعار، 2023) بعدد 226 من الشركات الدوائية الأردنية، و(إبراهيم، 2023) بعدد 285 من نادي الزهور؛ وعينات صغيرة مثل (العتيبي واليوبي، 2024) بعدد 30 موظفاً في موبايلي، و(الشيزاوي، 2024) بعدد 31 مديراً في هيئة البيئة العمانية، و(علي، 2022) بعدد 61 مديراً، في حين لم تحدد دراستا (الجعافرة، 2023) و(حمزة، 2024) الحجم بدقة، واعتمدت دراسة</w:t>
      </w:r>
      <w:r w:rsidRPr="006A2E70">
        <w:rPr>
          <w:rFonts w:asciiTheme="majorBidi" w:hAnsiTheme="majorBidi" w:cstheme="majorBidi"/>
          <w:sz w:val="28"/>
          <w:szCs w:val="28"/>
          <w:lang w:bidi="ar-EG"/>
        </w:rPr>
        <w:t xml:space="preserve"> (Kim &amp; Seo, 2023) </w:t>
      </w:r>
      <w:r w:rsidR="002A6F9E" w:rsidRPr="006A2E70">
        <w:rPr>
          <w:rFonts w:asciiTheme="majorBidi" w:hAnsiTheme="majorBidi" w:cstheme="majorBidi"/>
          <w:sz w:val="28"/>
          <w:szCs w:val="28"/>
          <w:rtl/>
          <w:lang w:bidi="ar-EG"/>
        </w:rPr>
        <w:t xml:space="preserve"> </w:t>
      </w:r>
      <w:r w:rsidRPr="006A2E70">
        <w:rPr>
          <w:rFonts w:asciiTheme="majorBidi" w:hAnsiTheme="majorBidi" w:cstheme="majorBidi"/>
          <w:sz w:val="28"/>
          <w:szCs w:val="28"/>
          <w:rtl/>
        </w:rPr>
        <w:t>على خبراء دون تحديد رقمي</w:t>
      </w:r>
      <w:r w:rsidR="002A6F9E" w:rsidRPr="006A2E70">
        <w:rPr>
          <w:rFonts w:asciiTheme="majorBidi" w:hAnsiTheme="majorBidi" w:cstheme="majorBidi"/>
          <w:sz w:val="28"/>
          <w:szCs w:val="28"/>
          <w:rtl/>
        </w:rPr>
        <w:t>.</w:t>
      </w:r>
    </w:p>
    <w:p w14:paraId="273E4602" w14:textId="77777777" w:rsidR="002A6F9E" w:rsidRPr="006A2E70" w:rsidRDefault="00144CC4" w:rsidP="002A6F9E">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كما اختلفت البيئات الجغرافية؛ إذ توزعت الدراسات العربية بين السعودية (عبد النبي والعيوني، 2025؛ حمزة، 2024؛ العتيبي واليوبي، 2024؛ الشمري، 2023)، والأردن (الجعافرة، 2023؛ الشعار، 2023)، ومصر (إبراهيم، 2025؛ إبراهيم، 2023)، وعُمان (الشيزاوي، 2024)، والعراق (علي، 2022)، مقابل دراسات دولية في إندونيسيا</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w:t>
      </w:r>
      <w:r w:rsidRPr="006A2E70">
        <w:rPr>
          <w:rFonts w:asciiTheme="majorBidi" w:hAnsiTheme="majorBidi" w:cstheme="majorBidi"/>
          <w:sz w:val="28"/>
          <w:szCs w:val="28"/>
          <w:rtl/>
        </w:rPr>
        <w:t>، والولايات المتحدة</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Neiroukh</w:t>
      </w:r>
      <w:proofErr w:type="spellEnd"/>
      <w:r w:rsidRPr="006A2E70">
        <w:rPr>
          <w:rFonts w:asciiTheme="majorBidi" w:hAnsiTheme="majorBidi" w:cstheme="majorBidi"/>
          <w:sz w:val="28"/>
          <w:szCs w:val="28"/>
          <w:lang w:bidi="ar-EG"/>
        </w:rPr>
        <w:t xml:space="preserve"> et al., 2024)</w:t>
      </w:r>
      <w:r w:rsidRPr="006A2E70">
        <w:rPr>
          <w:rFonts w:asciiTheme="majorBidi" w:hAnsiTheme="majorBidi" w:cstheme="majorBidi"/>
          <w:sz w:val="28"/>
          <w:szCs w:val="28"/>
          <w:rtl/>
        </w:rPr>
        <w:t>، ودراسة غير محددة الدولة</w:t>
      </w:r>
      <w:r w:rsidRPr="006A2E70">
        <w:rPr>
          <w:rFonts w:asciiTheme="majorBidi" w:hAnsiTheme="majorBidi" w:cstheme="majorBidi"/>
          <w:sz w:val="28"/>
          <w:szCs w:val="28"/>
          <w:lang w:bidi="ar-EG"/>
        </w:rPr>
        <w:t xml:space="preserve"> (Kim &amp; Seo, 2023).</w:t>
      </w:r>
    </w:p>
    <w:p w14:paraId="1B107EFD" w14:textId="77777777" w:rsidR="002A6F9E" w:rsidRPr="006A2E70" w:rsidRDefault="00144CC4" w:rsidP="002A6F9E">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وتباينت كذلك أبعاد تقنيات الذكاء الاصطناعي؛ فبينما اعتمدت دراسة (عبد النبي والعيوني، 2025) ثلاثة أبعاد (النظم الخبيرة، نظم دعم القرارات، نظم مشاركة المعرفة)، توسعت دراسة (العتيبي واليوبي، 2024) إلى 15 تقنية، في حين ركزت دراسة</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 </w:t>
      </w:r>
      <w:r w:rsidRPr="006A2E70">
        <w:rPr>
          <w:rFonts w:asciiTheme="majorBidi" w:hAnsiTheme="majorBidi" w:cstheme="majorBidi"/>
          <w:sz w:val="28"/>
          <w:szCs w:val="28"/>
          <w:rtl/>
        </w:rPr>
        <w:t>على تقنيات محددة مثل التعلم الآلي ومعالجة اللغات الطبيعية، واعتمدت</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Neiroukh</w:t>
      </w:r>
      <w:proofErr w:type="spellEnd"/>
      <w:r w:rsidRPr="006A2E70">
        <w:rPr>
          <w:rFonts w:asciiTheme="majorBidi" w:hAnsiTheme="majorBidi" w:cstheme="majorBidi"/>
          <w:sz w:val="28"/>
          <w:szCs w:val="28"/>
          <w:lang w:bidi="ar-EG"/>
        </w:rPr>
        <w:t xml:space="preserve"> et al., 2024) </w:t>
      </w:r>
      <w:r w:rsidRPr="006A2E70">
        <w:rPr>
          <w:rFonts w:asciiTheme="majorBidi" w:hAnsiTheme="majorBidi" w:cstheme="majorBidi"/>
          <w:sz w:val="28"/>
          <w:szCs w:val="28"/>
          <w:rtl/>
        </w:rPr>
        <w:t>مفهوم القدرات المركبة، بينما قدمت</w:t>
      </w:r>
      <w:r w:rsidRPr="006A2E70">
        <w:rPr>
          <w:rFonts w:asciiTheme="majorBidi" w:hAnsiTheme="majorBidi" w:cstheme="majorBidi"/>
          <w:sz w:val="28"/>
          <w:szCs w:val="28"/>
          <w:lang w:bidi="ar-EG"/>
        </w:rPr>
        <w:t xml:space="preserve"> (Kim &amp; Seo, 2023) </w:t>
      </w:r>
      <w:r w:rsidRPr="006A2E70">
        <w:rPr>
          <w:rFonts w:asciiTheme="majorBidi" w:hAnsiTheme="majorBidi" w:cstheme="majorBidi"/>
          <w:sz w:val="28"/>
          <w:szCs w:val="28"/>
          <w:rtl/>
        </w:rPr>
        <w:t>مسارات تطورية واستراتيجيات</w:t>
      </w:r>
      <w:r w:rsidRPr="006A2E70">
        <w:rPr>
          <w:rFonts w:asciiTheme="majorBidi" w:hAnsiTheme="majorBidi" w:cstheme="majorBidi"/>
          <w:sz w:val="28"/>
          <w:szCs w:val="28"/>
          <w:lang w:bidi="ar-EG"/>
        </w:rPr>
        <w:t>.</w:t>
      </w:r>
    </w:p>
    <w:p w14:paraId="62E47597" w14:textId="77777777" w:rsidR="00130FC6" w:rsidRPr="006A2E70" w:rsidRDefault="00144CC4" w:rsidP="002A6A74">
      <w:pPr>
        <w:bidi/>
        <w:ind w:firstLine="720"/>
        <w:jc w:val="both"/>
        <w:rPr>
          <w:rFonts w:asciiTheme="majorBidi" w:hAnsiTheme="majorBidi" w:cstheme="majorBidi"/>
          <w:sz w:val="28"/>
          <w:szCs w:val="28"/>
          <w:rtl/>
          <w:lang w:bidi="ar-EG"/>
        </w:rPr>
      </w:pPr>
      <w:r w:rsidRPr="006A2E70">
        <w:rPr>
          <w:rFonts w:asciiTheme="majorBidi" w:hAnsiTheme="majorBidi" w:cstheme="majorBidi"/>
          <w:sz w:val="28"/>
          <w:szCs w:val="28"/>
          <w:rtl/>
        </w:rPr>
        <w:t>كما اختلفت أبعاد فاعلية القرارات الاستراتيجية، وعددها بين ثلاثة وخمسة أبعاد وفقاً لكل دراسة، أو عولجت كمفهوم كلي دون تفصيل كما في (الشعار، 2023)، أو من خلال مؤشرات كمية دقيقة كما في</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 </w:t>
      </w:r>
      <w:r w:rsidRPr="006A2E70">
        <w:rPr>
          <w:rFonts w:asciiTheme="majorBidi" w:hAnsiTheme="majorBidi" w:cstheme="majorBidi"/>
          <w:sz w:val="28"/>
          <w:szCs w:val="28"/>
          <w:rtl/>
        </w:rPr>
        <w:t>وتباينت النتائج بين دراسات أظهرت معاملات ارتباط مرتفعة مثل (عبد النبي والعيوني، 2025) بمعامل 0.906 و(علي، 2022) بمعامل 0.932 وتفسير 86.9%، ودراسة</w:t>
      </w:r>
      <w:r w:rsidRPr="006A2E70">
        <w:rPr>
          <w:rFonts w:asciiTheme="majorBidi" w:hAnsiTheme="majorBidi" w:cstheme="majorBidi"/>
          <w:sz w:val="28"/>
          <w:szCs w:val="28"/>
          <w:lang w:bidi="ar-EG"/>
        </w:rPr>
        <w:t xml:space="preserve"> (</w:t>
      </w:r>
      <w:proofErr w:type="spellStart"/>
      <w:r w:rsidRPr="006A2E70">
        <w:rPr>
          <w:rFonts w:asciiTheme="majorBidi" w:hAnsiTheme="majorBidi" w:cstheme="majorBidi"/>
          <w:sz w:val="28"/>
          <w:szCs w:val="28"/>
          <w:lang w:bidi="ar-EG"/>
        </w:rPr>
        <w:t>Neiroukh</w:t>
      </w:r>
      <w:proofErr w:type="spellEnd"/>
      <w:r w:rsidRPr="006A2E70">
        <w:rPr>
          <w:rFonts w:asciiTheme="majorBidi" w:hAnsiTheme="majorBidi" w:cstheme="majorBidi"/>
          <w:sz w:val="28"/>
          <w:szCs w:val="28"/>
          <w:lang w:bidi="ar-EG"/>
        </w:rPr>
        <w:t xml:space="preserve"> et al., 2024) </w:t>
      </w:r>
      <w:r w:rsidRPr="006A2E70">
        <w:rPr>
          <w:rFonts w:asciiTheme="majorBidi" w:hAnsiTheme="majorBidi" w:cstheme="majorBidi"/>
          <w:sz w:val="28"/>
          <w:szCs w:val="28"/>
          <w:rtl/>
        </w:rPr>
        <w:t>بتفسير 75.9% من التباين، ودراسات قدمت نسب تحسن رقمية دقيقة مثل</w:t>
      </w:r>
      <w:r w:rsidR="002A6A74" w:rsidRPr="006A2E70">
        <w:rPr>
          <w:rFonts w:asciiTheme="majorBidi" w:hAnsiTheme="majorBidi" w:cstheme="majorBidi"/>
          <w:sz w:val="28"/>
          <w:szCs w:val="28"/>
          <w:rtl/>
        </w:rPr>
        <w:t xml:space="preserve"> </w:t>
      </w:r>
      <w:r w:rsidRPr="006A2E70">
        <w:rPr>
          <w:rFonts w:asciiTheme="majorBidi" w:hAnsiTheme="majorBidi" w:cstheme="majorBidi"/>
          <w:sz w:val="28"/>
          <w:szCs w:val="28"/>
          <w:lang w:bidi="ar-EG"/>
        </w:rPr>
        <w:t>(</w:t>
      </w:r>
      <w:proofErr w:type="spellStart"/>
      <w:r w:rsidRPr="006A2E70">
        <w:rPr>
          <w:rFonts w:asciiTheme="majorBidi" w:hAnsiTheme="majorBidi" w:cstheme="majorBidi"/>
          <w:sz w:val="28"/>
          <w:szCs w:val="28"/>
          <w:lang w:bidi="ar-EG"/>
        </w:rPr>
        <w:t>Wasesa</w:t>
      </w:r>
      <w:proofErr w:type="spellEnd"/>
      <w:r w:rsidRPr="006A2E70">
        <w:rPr>
          <w:rFonts w:asciiTheme="majorBidi" w:hAnsiTheme="majorBidi" w:cstheme="majorBidi"/>
          <w:sz w:val="28"/>
          <w:szCs w:val="28"/>
          <w:lang w:bidi="ar-EG"/>
        </w:rPr>
        <w:t xml:space="preserve"> et al., 2025)</w:t>
      </w:r>
      <w:r w:rsidRPr="006A2E70">
        <w:rPr>
          <w:rFonts w:asciiTheme="majorBidi" w:hAnsiTheme="majorBidi" w:cstheme="majorBidi"/>
          <w:sz w:val="28"/>
          <w:szCs w:val="28"/>
          <w:rtl/>
        </w:rPr>
        <w:t>، وأخرى كشفت عن قصور وضعف مثل (حمزة، 2024) و(إبراهيم، 2023)، أو قدمت تصنيفات استراتيجية كما في</w:t>
      </w:r>
      <w:r w:rsidRPr="006A2E70">
        <w:rPr>
          <w:rFonts w:asciiTheme="majorBidi" w:hAnsiTheme="majorBidi" w:cstheme="majorBidi"/>
          <w:sz w:val="28"/>
          <w:szCs w:val="28"/>
          <w:lang w:bidi="ar-EG"/>
        </w:rPr>
        <w:t xml:space="preserve"> (Kim &amp; Seo, 2023)</w:t>
      </w:r>
      <w:r w:rsidRPr="006A2E70">
        <w:rPr>
          <w:rFonts w:asciiTheme="majorBidi" w:hAnsiTheme="majorBidi" w:cstheme="majorBidi"/>
          <w:sz w:val="28"/>
          <w:szCs w:val="28"/>
          <w:rtl/>
        </w:rPr>
        <w:t>، أو أبرزت تحديات تنفيذية كنسب جودة البيانات (78%) والفجوات المهارية (72%) وغيرها في</w:t>
      </w:r>
      <w:r w:rsidR="002A6F9E" w:rsidRPr="006A2E70">
        <w:rPr>
          <w:rFonts w:asciiTheme="majorBidi" w:hAnsiTheme="majorBidi" w:cstheme="majorBidi"/>
          <w:sz w:val="28"/>
          <w:szCs w:val="28"/>
          <w:lang w:bidi="ar-EG"/>
        </w:rPr>
        <w:t xml:space="preserve"> (</w:t>
      </w:r>
      <w:proofErr w:type="spellStart"/>
      <w:r w:rsidR="002A6F9E" w:rsidRPr="006A2E70">
        <w:rPr>
          <w:rFonts w:asciiTheme="majorBidi" w:hAnsiTheme="majorBidi" w:cstheme="majorBidi"/>
          <w:sz w:val="28"/>
          <w:szCs w:val="28"/>
          <w:lang w:bidi="ar-EG"/>
        </w:rPr>
        <w:t>Wasesa</w:t>
      </w:r>
      <w:proofErr w:type="spellEnd"/>
      <w:r w:rsidR="002A6F9E" w:rsidRPr="006A2E70">
        <w:rPr>
          <w:rFonts w:asciiTheme="majorBidi" w:hAnsiTheme="majorBidi" w:cstheme="majorBidi"/>
          <w:sz w:val="28"/>
          <w:szCs w:val="28"/>
          <w:lang w:bidi="ar-EG"/>
        </w:rPr>
        <w:t xml:space="preserve"> et al., 2025)</w:t>
      </w:r>
    </w:p>
    <w:p w14:paraId="71801F35" w14:textId="77777777" w:rsidR="002A6A74" w:rsidRPr="006A2E70" w:rsidRDefault="002A6A74" w:rsidP="0090259A">
      <w:pPr>
        <w:bidi/>
        <w:jc w:val="both"/>
        <w:rPr>
          <w:rFonts w:asciiTheme="majorBidi" w:hAnsiTheme="majorBidi" w:cstheme="majorBidi"/>
          <w:sz w:val="28"/>
          <w:szCs w:val="28"/>
          <w:lang w:bidi="ar-EG"/>
        </w:rPr>
      </w:pPr>
      <w:r w:rsidRPr="006A2E70">
        <w:rPr>
          <w:rFonts w:asciiTheme="majorBidi" w:hAnsiTheme="majorBidi" w:cstheme="majorBidi"/>
          <w:b/>
          <w:bCs/>
          <w:sz w:val="28"/>
          <w:szCs w:val="28"/>
          <w:rtl/>
        </w:rPr>
        <w:t xml:space="preserve">الفجوة البحثية </w:t>
      </w:r>
    </w:p>
    <w:p w14:paraId="5B3A3009" w14:textId="77777777" w:rsidR="002A6A74" w:rsidRPr="006A2E70" w:rsidRDefault="002A6A74" w:rsidP="002A6A74">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على الرغم من تعدد الدراسات التي تناولت أثر تقنيات الذكاء الاصطناعي في تحسين الأداء المؤسسي وفاعلية القرارات الاستراتيجية، إلا أن استعراض الأدبيات يكشف عن مجموعة من الفجوات التي لم تُعالج بصورة متكاملة، وهو ما تسعى هذه الدراسة إلى معالجته</w:t>
      </w:r>
      <w:r w:rsidRPr="006A2E70">
        <w:rPr>
          <w:rFonts w:asciiTheme="majorBidi" w:hAnsiTheme="majorBidi" w:cstheme="majorBidi"/>
          <w:sz w:val="28"/>
          <w:szCs w:val="28"/>
          <w:rtl/>
          <w:lang w:bidi="ar-EG"/>
        </w:rPr>
        <w:t>.</w:t>
      </w:r>
    </w:p>
    <w:p w14:paraId="6251A5CE" w14:textId="77777777" w:rsidR="002A6A74" w:rsidRPr="006A2E70" w:rsidRDefault="002A6A74" w:rsidP="0090259A">
      <w:pPr>
        <w:bidi/>
        <w:jc w:val="both"/>
        <w:rPr>
          <w:rFonts w:asciiTheme="majorBidi" w:hAnsiTheme="majorBidi" w:cstheme="majorBidi"/>
          <w:sz w:val="28"/>
          <w:szCs w:val="28"/>
          <w:lang w:bidi="ar-EG"/>
        </w:rPr>
      </w:pPr>
      <w:r w:rsidRPr="006A2E70">
        <w:rPr>
          <w:rFonts w:asciiTheme="majorBidi" w:hAnsiTheme="majorBidi" w:cstheme="majorBidi"/>
          <w:sz w:val="28"/>
          <w:szCs w:val="28"/>
          <w:rtl/>
        </w:rPr>
        <w:lastRenderedPageBreak/>
        <w:t>أولاً، تركزت معظم الدراسات السابقة على قطاعات متنوعة (صناعية، خدمية، تعليمية، بلدية، اتصالات)، دون تخصيص بحث معمق لقطاع الأغذية الكبرى في المملكة العربية السعودية، رغم ما يتسم به هذا القطاع من حساسية استراتيجية، وكثافة بيانات، وتعقيد في سلاسل الإمداد، وارتباط مباشر بالأمن الغذائي وأهداف رؤية 2030. وبالتالي، توجد فجوة قطاعية واضحة تتعلق بغياب دراسة كمية موجهة لكبار التنفيذيين في شركات الأغذية الكبرى تحديداً</w:t>
      </w:r>
      <w:r w:rsidRPr="006A2E70">
        <w:rPr>
          <w:rFonts w:asciiTheme="majorBidi" w:hAnsiTheme="majorBidi" w:cstheme="majorBidi"/>
          <w:sz w:val="28"/>
          <w:szCs w:val="28"/>
          <w:rtl/>
          <w:lang w:bidi="ar-EG"/>
        </w:rPr>
        <w:t>.</w:t>
      </w:r>
    </w:p>
    <w:p w14:paraId="7152B62F" w14:textId="77777777" w:rsidR="002A6A74" w:rsidRPr="006A2E70" w:rsidRDefault="002A6A74" w:rsidP="0090259A">
      <w:pPr>
        <w:bidi/>
        <w:jc w:val="both"/>
        <w:rPr>
          <w:rFonts w:asciiTheme="majorBidi" w:hAnsiTheme="majorBidi" w:cstheme="majorBidi"/>
          <w:sz w:val="28"/>
          <w:szCs w:val="28"/>
          <w:lang w:bidi="ar-EG"/>
        </w:rPr>
      </w:pPr>
      <w:r w:rsidRPr="006A2E70">
        <w:rPr>
          <w:rFonts w:asciiTheme="majorBidi" w:hAnsiTheme="majorBidi" w:cstheme="majorBidi"/>
          <w:sz w:val="28"/>
          <w:szCs w:val="28"/>
          <w:rtl/>
        </w:rPr>
        <w:t>ثانياً، عالجت غالبية الدراسات العلاقة بين الذكاء الاصطناعي وفاعلية القرارات بصورة مباشرة، بينما لم تتناول بشكل كافٍ الدور الوسيط لكفاءة استخدام الذكاء الاصطناعي، ولم تدمج العوامل التنظيمية والقيادية والتقنية والبشرية في نموذج سببي متكامل يفسر كيفية انتقال أثر التبني إلى فاعلية القرار الاستراتيجي. ومن ثم، تظهر فجوة نظرية تتعلق بغياب نموذج تفسيري شامل يجمع بين محددات التبني، وكفاءة الاستخدام، ونتائج القرار</w:t>
      </w:r>
      <w:r w:rsidRPr="006A2E70">
        <w:rPr>
          <w:rFonts w:asciiTheme="majorBidi" w:hAnsiTheme="majorBidi" w:cstheme="majorBidi"/>
          <w:sz w:val="28"/>
          <w:szCs w:val="28"/>
          <w:rtl/>
          <w:lang w:bidi="ar-EG"/>
        </w:rPr>
        <w:t>.</w:t>
      </w:r>
    </w:p>
    <w:p w14:paraId="0D242DED" w14:textId="77777777" w:rsidR="002A6A74" w:rsidRPr="006A2E70" w:rsidRDefault="002A6A74" w:rsidP="0090259A">
      <w:pPr>
        <w:bidi/>
        <w:jc w:val="both"/>
        <w:rPr>
          <w:rFonts w:asciiTheme="majorBidi" w:hAnsiTheme="majorBidi" w:cstheme="majorBidi"/>
          <w:sz w:val="28"/>
          <w:szCs w:val="28"/>
          <w:lang w:bidi="ar-EG"/>
        </w:rPr>
      </w:pPr>
      <w:r w:rsidRPr="006A2E70">
        <w:rPr>
          <w:rFonts w:asciiTheme="majorBidi" w:hAnsiTheme="majorBidi" w:cstheme="majorBidi"/>
          <w:sz w:val="28"/>
          <w:szCs w:val="28"/>
          <w:rtl/>
        </w:rPr>
        <w:t>ثالثاً، اتسمت بعض الدراسات السابقة بالاعتماد على عينات صغيرة أو مجتمعات غير قيادية، في حين أن القرارات الاستراتيجية تصدر أساساً عن التنفيذيين في المناصب العليا. وعليه، تبرز فجوة منهجية تتعلق بندرة الدراسات الكمية التي تستهدف شريحة كبار التنفيذيين باستخدام تحليلات متقدمة مثل تحليل المسار والانحدار المتعدد لاختبار العلاقات السببية والوساطة</w:t>
      </w:r>
      <w:r w:rsidRPr="006A2E70">
        <w:rPr>
          <w:rFonts w:asciiTheme="majorBidi" w:hAnsiTheme="majorBidi" w:cstheme="majorBidi"/>
          <w:sz w:val="28"/>
          <w:szCs w:val="28"/>
          <w:rtl/>
          <w:lang w:bidi="ar-EG"/>
        </w:rPr>
        <w:t>.</w:t>
      </w:r>
    </w:p>
    <w:p w14:paraId="40029286" w14:textId="77777777" w:rsidR="002A6A74" w:rsidRPr="006A2E70" w:rsidRDefault="002A6A74" w:rsidP="0090259A">
      <w:pPr>
        <w:bidi/>
        <w:jc w:val="both"/>
        <w:rPr>
          <w:rFonts w:asciiTheme="majorBidi" w:hAnsiTheme="majorBidi" w:cstheme="majorBidi"/>
          <w:sz w:val="28"/>
          <w:szCs w:val="28"/>
          <w:lang w:bidi="ar-EG"/>
        </w:rPr>
      </w:pPr>
      <w:r w:rsidRPr="006A2E70">
        <w:rPr>
          <w:rFonts w:asciiTheme="majorBidi" w:hAnsiTheme="majorBidi" w:cstheme="majorBidi"/>
          <w:sz w:val="28"/>
          <w:szCs w:val="28"/>
          <w:rtl/>
        </w:rPr>
        <w:t>رابعاً، ورغم ارتباط التحول الرقمي برؤية المملكة 2030، إلا أن الأدبيات لم تربط بصورة مباشرة بين تبني تقنيات الذكاء الاصطناعي في قطاع الأغذية وأهداف الرؤية الوطنية في رفع الكفاءة، وتعزيز التنافسية، وتحسين جودة القرار الاستراتيجي</w:t>
      </w:r>
      <w:r w:rsidRPr="006A2E70">
        <w:rPr>
          <w:rFonts w:asciiTheme="majorBidi" w:hAnsiTheme="majorBidi" w:cstheme="majorBidi"/>
          <w:sz w:val="28"/>
          <w:szCs w:val="28"/>
          <w:rtl/>
          <w:lang w:bidi="ar-EG"/>
        </w:rPr>
        <w:t>.</w:t>
      </w:r>
    </w:p>
    <w:p w14:paraId="3DBBE5B6" w14:textId="77777777" w:rsidR="002A6A74" w:rsidRPr="006A2E70" w:rsidRDefault="002A6A74" w:rsidP="002A6A74">
      <w:pPr>
        <w:bidi/>
        <w:ind w:firstLine="720"/>
        <w:jc w:val="both"/>
        <w:rPr>
          <w:rFonts w:asciiTheme="majorBidi" w:hAnsiTheme="majorBidi" w:cstheme="majorBidi"/>
          <w:sz w:val="28"/>
          <w:szCs w:val="28"/>
          <w:lang w:bidi="ar-EG"/>
        </w:rPr>
      </w:pPr>
      <w:r w:rsidRPr="006A2E70">
        <w:rPr>
          <w:rFonts w:asciiTheme="majorBidi" w:hAnsiTheme="majorBidi" w:cstheme="majorBidi"/>
          <w:sz w:val="28"/>
          <w:szCs w:val="28"/>
          <w:rtl/>
        </w:rPr>
        <w:t>بناءً على ذلك، تتمثل الفجوة البحثية في الحاجة إلى دراسة كمية تحليلية متكاملة تركز على شركات الأغذية الكبرى في المملكة، وتختبر نموذجاً سببياً يربط بين محددات تبني الذكاء الاصطناعي، وكفاءة استخدامه، وفاعلية القرارات الاستراتيجية لدى التنفيذيين، في سياق وطني يتسق مع مستهدفات رؤية 2030</w:t>
      </w:r>
      <w:r w:rsidRPr="006A2E70">
        <w:rPr>
          <w:rFonts w:asciiTheme="majorBidi" w:hAnsiTheme="majorBidi" w:cstheme="majorBidi"/>
          <w:sz w:val="28"/>
          <w:szCs w:val="28"/>
          <w:rtl/>
          <w:lang w:bidi="ar-EG"/>
        </w:rPr>
        <w:t>.</w:t>
      </w:r>
    </w:p>
    <w:p w14:paraId="6C685872" w14:textId="77777777" w:rsidR="002A6F9E" w:rsidRPr="006A2E70" w:rsidRDefault="002A6F9E" w:rsidP="002A6F9E">
      <w:pPr>
        <w:bidi/>
        <w:ind w:firstLine="720"/>
        <w:jc w:val="both"/>
        <w:rPr>
          <w:rFonts w:asciiTheme="majorBidi" w:hAnsiTheme="majorBidi" w:cstheme="majorBidi"/>
          <w:sz w:val="28"/>
          <w:szCs w:val="28"/>
          <w:rtl/>
          <w:lang w:bidi="ar-EG"/>
        </w:rPr>
      </w:pPr>
    </w:p>
    <w:p w14:paraId="7A160BBD" w14:textId="77777777" w:rsidR="0090259A" w:rsidRPr="006A2E70" w:rsidRDefault="0090259A" w:rsidP="0090259A">
      <w:pPr>
        <w:bidi/>
        <w:ind w:firstLine="720"/>
        <w:jc w:val="both"/>
        <w:rPr>
          <w:rFonts w:asciiTheme="majorBidi" w:hAnsiTheme="majorBidi" w:cstheme="majorBidi"/>
          <w:sz w:val="28"/>
          <w:szCs w:val="28"/>
          <w:rtl/>
          <w:lang w:bidi="ar-EG"/>
        </w:rPr>
      </w:pPr>
    </w:p>
    <w:p w14:paraId="3ACD5B74" w14:textId="77777777" w:rsidR="0090259A" w:rsidRPr="006A2E70" w:rsidRDefault="0090259A" w:rsidP="00EA1603">
      <w:pPr>
        <w:bidi/>
        <w:rPr>
          <w:rFonts w:asciiTheme="majorBidi" w:hAnsiTheme="majorBidi" w:cstheme="majorBidi"/>
          <w:b/>
          <w:bCs/>
          <w:sz w:val="28"/>
          <w:szCs w:val="28"/>
          <w:rtl/>
          <w:lang w:bidi="ar-EG"/>
        </w:rPr>
      </w:pPr>
    </w:p>
    <w:p w14:paraId="733A4C7A" w14:textId="77777777" w:rsidR="0090259A" w:rsidRPr="006A2E70" w:rsidRDefault="0090259A" w:rsidP="0090259A">
      <w:pPr>
        <w:bidi/>
        <w:rPr>
          <w:rFonts w:asciiTheme="majorBidi" w:hAnsiTheme="majorBidi" w:cstheme="majorBidi"/>
          <w:b/>
          <w:bCs/>
          <w:sz w:val="28"/>
          <w:szCs w:val="28"/>
          <w:rtl/>
          <w:lang w:bidi="ar-EG"/>
        </w:rPr>
      </w:pPr>
    </w:p>
    <w:p w14:paraId="1E94CE45" w14:textId="77777777" w:rsidR="0090259A" w:rsidRPr="006A2E70" w:rsidRDefault="0090259A" w:rsidP="0090259A">
      <w:pPr>
        <w:bidi/>
        <w:rPr>
          <w:rFonts w:asciiTheme="majorBidi" w:hAnsiTheme="majorBidi" w:cstheme="majorBidi"/>
          <w:b/>
          <w:bCs/>
          <w:sz w:val="28"/>
          <w:szCs w:val="28"/>
          <w:rtl/>
          <w:lang w:bidi="ar-EG"/>
        </w:rPr>
      </w:pPr>
    </w:p>
    <w:p w14:paraId="4DBA00E9" w14:textId="77777777" w:rsidR="0090259A" w:rsidRPr="006A2E70" w:rsidRDefault="0090259A" w:rsidP="0090259A">
      <w:pPr>
        <w:bidi/>
        <w:rPr>
          <w:rFonts w:asciiTheme="majorBidi" w:hAnsiTheme="majorBidi" w:cstheme="majorBidi"/>
          <w:b/>
          <w:bCs/>
          <w:sz w:val="28"/>
          <w:szCs w:val="28"/>
          <w:rtl/>
          <w:lang w:bidi="ar-EG"/>
        </w:rPr>
      </w:pPr>
    </w:p>
    <w:p w14:paraId="73C1CE4C" w14:textId="77777777" w:rsidR="0090259A" w:rsidRPr="006A2E70" w:rsidRDefault="0090259A" w:rsidP="0090259A">
      <w:pPr>
        <w:bidi/>
        <w:rPr>
          <w:rFonts w:asciiTheme="majorBidi" w:hAnsiTheme="majorBidi" w:cstheme="majorBidi"/>
          <w:b/>
          <w:bCs/>
          <w:sz w:val="28"/>
          <w:szCs w:val="28"/>
          <w:rtl/>
          <w:lang w:bidi="ar-EG"/>
        </w:rPr>
      </w:pPr>
    </w:p>
    <w:p w14:paraId="6D1429C6" w14:textId="77777777" w:rsidR="0090259A" w:rsidRPr="006A2E70" w:rsidRDefault="0090259A" w:rsidP="0090259A">
      <w:pPr>
        <w:bidi/>
        <w:rPr>
          <w:rFonts w:asciiTheme="majorBidi" w:hAnsiTheme="majorBidi" w:cstheme="majorBidi"/>
          <w:b/>
          <w:bCs/>
          <w:sz w:val="28"/>
          <w:szCs w:val="28"/>
          <w:rtl/>
          <w:lang w:bidi="ar-EG"/>
        </w:rPr>
      </w:pPr>
    </w:p>
    <w:p w14:paraId="39938DFC" w14:textId="77777777" w:rsidR="0090259A" w:rsidRPr="006A2E70" w:rsidRDefault="0090259A" w:rsidP="0090259A">
      <w:pPr>
        <w:bidi/>
        <w:rPr>
          <w:rFonts w:asciiTheme="majorBidi" w:hAnsiTheme="majorBidi" w:cstheme="majorBidi"/>
          <w:b/>
          <w:bCs/>
          <w:sz w:val="28"/>
          <w:szCs w:val="28"/>
          <w:rtl/>
          <w:lang w:bidi="ar-EG"/>
        </w:rPr>
      </w:pPr>
    </w:p>
    <w:p w14:paraId="6CBADC87" w14:textId="77777777" w:rsidR="0090259A" w:rsidRPr="006A2E70" w:rsidRDefault="0090259A" w:rsidP="0090259A">
      <w:pPr>
        <w:bidi/>
        <w:rPr>
          <w:rFonts w:asciiTheme="majorBidi" w:hAnsiTheme="majorBidi" w:cstheme="majorBidi"/>
          <w:b/>
          <w:bCs/>
          <w:sz w:val="28"/>
          <w:szCs w:val="28"/>
          <w:rtl/>
          <w:lang w:bidi="ar-EG"/>
        </w:rPr>
      </w:pPr>
    </w:p>
    <w:p w14:paraId="57AB1B08" w14:textId="77777777" w:rsidR="0090259A" w:rsidRPr="006A2E70" w:rsidRDefault="0090259A" w:rsidP="0090259A">
      <w:pPr>
        <w:bidi/>
        <w:rPr>
          <w:rFonts w:asciiTheme="majorBidi" w:hAnsiTheme="majorBidi" w:cstheme="majorBidi"/>
          <w:b/>
          <w:bCs/>
          <w:sz w:val="28"/>
          <w:szCs w:val="28"/>
          <w:rtl/>
          <w:lang w:bidi="ar-EG"/>
        </w:rPr>
      </w:pPr>
    </w:p>
    <w:p w14:paraId="5A38E2A3" w14:textId="77777777" w:rsidR="0090259A" w:rsidRPr="006A2E70" w:rsidRDefault="0090259A" w:rsidP="0090259A">
      <w:pPr>
        <w:bidi/>
        <w:rPr>
          <w:rFonts w:asciiTheme="majorBidi" w:hAnsiTheme="majorBidi" w:cstheme="majorBidi"/>
          <w:b/>
          <w:bCs/>
          <w:sz w:val="28"/>
          <w:szCs w:val="28"/>
          <w:rtl/>
          <w:lang w:bidi="ar-EG"/>
        </w:rPr>
      </w:pPr>
    </w:p>
    <w:p w14:paraId="535B7429" w14:textId="77777777" w:rsidR="0090259A" w:rsidRPr="006A2E70" w:rsidRDefault="0090259A" w:rsidP="0090259A">
      <w:pPr>
        <w:bidi/>
        <w:rPr>
          <w:rFonts w:asciiTheme="majorBidi" w:hAnsiTheme="majorBidi" w:cstheme="majorBidi"/>
          <w:b/>
          <w:bCs/>
          <w:sz w:val="28"/>
          <w:szCs w:val="28"/>
          <w:rtl/>
          <w:lang w:bidi="ar-EG"/>
        </w:rPr>
      </w:pPr>
    </w:p>
    <w:p w14:paraId="768426C7" w14:textId="77777777" w:rsidR="0090259A" w:rsidRPr="006A2E70" w:rsidRDefault="0090259A" w:rsidP="0090259A">
      <w:pPr>
        <w:bidi/>
        <w:rPr>
          <w:rFonts w:asciiTheme="majorBidi" w:hAnsiTheme="majorBidi" w:cstheme="majorBidi"/>
          <w:b/>
          <w:bCs/>
          <w:sz w:val="28"/>
          <w:szCs w:val="28"/>
          <w:rtl/>
          <w:lang w:bidi="ar-EG"/>
        </w:rPr>
      </w:pPr>
    </w:p>
    <w:p w14:paraId="46D090FC" w14:textId="77777777" w:rsidR="006F48BF" w:rsidRPr="006A2E70" w:rsidRDefault="006F48BF" w:rsidP="0090259A">
      <w:pPr>
        <w:bidi/>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المراجع:</w:t>
      </w:r>
    </w:p>
    <w:p w14:paraId="4A56F494" w14:textId="77777777" w:rsidR="002450AC" w:rsidRPr="006A2E70" w:rsidRDefault="002450AC" w:rsidP="002450AC">
      <w:pPr>
        <w:bidi/>
        <w:rPr>
          <w:rFonts w:asciiTheme="majorBidi" w:hAnsiTheme="majorBidi" w:cstheme="majorBidi"/>
          <w:b/>
          <w:bCs/>
          <w:sz w:val="28"/>
          <w:szCs w:val="28"/>
          <w:rtl/>
          <w:lang w:bidi="ar-EG"/>
        </w:rPr>
      </w:pPr>
      <w:r w:rsidRPr="006A2E70">
        <w:rPr>
          <w:rFonts w:asciiTheme="majorBidi" w:hAnsiTheme="majorBidi" w:cstheme="majorBidi"/>
          <w:b/>
          <w:bCs/>
          <w:sz w:val="28"/>
          <w:szCs w:val="28"/>
          <w:rtl/>
          <w:lang w:bidi="ar-EG"/>
        </w:rPr>
        <w:t>المراجع العربية</w:t>
      </w:r>
    </w:p>
    <w:p w14:paraId="04F1B43A"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عبدالنبي, هدى أحمد ابراهيم, العيوني, &amp; عهد علي حمد. (2025). أثر الذكاء الاصطناعي في تطوير راس المال الفكري في شركة المراعي بالسعودية. </w:t>
      </w:r>
      <w:r w:rsidRPr="006A2E70">
        <w:rPr>
          <w:rFonts w:asciiTheme="majorBidi" w:hAnsiTheme="majorBidi" w:cstheme="majorBidi"/>
          <w:i/>
          <w:iCs/>
          <w:sz w:val="28"/>
          <w:szCs w:val="28"/>
          <w:rtl/>
          <w:lang w:bidi="ar-EG"/>
        </w:rPr>
        <w:t>المجلة الدولية للتنمية</w:t>
      </w:r>
      <w:r w:rsidRPr="006A2E70">
        <w:rPr>
          <w:rFonts w:asciiTheme="majorBidi" w:hAnsiTheme="majorBidi" w:cstheme="majorBidi"/>
          <w:sz w:val="28"/>
          <w:szCs w:val="28"/>
          <w:rtl/>
          <w:lang w:bidi="ar-EG"/>
        </w:rPr>
        <w:t>, 14(1), 53-78.</w:t>
      </w:r>
    </w:p>
    <w:p w14:paraId="479BBC1C"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w:t>
      </w:r>
      <w:r w:rsidRPr="006A2E70">
        <w:rPr>
          <w:rFonts w:asciiTheme="majorBidi" w:hAnsiTheme="majorBidi" w:cstheme="majorBidi"/>
          <w:i/>
          <w:iCs/>
          <w:sz w:val="28"/>
          <w:szCs w:val="28"/>
          <w:rtl/>
          <w:lang w:bidi="ar-EG"/>
        </w:rPr>
        <w:t>مجلة العلوم الإنسانية والطبيعية</w:t>
      </w:r>
      <w:r w:rsidRPr="006A2E70">
        <w:rPr>
          <w:rFonts w:asciiTheme="majorBidi" w:hAnsiTheme="majorBidi" w:cstheme="majorBidi"/>
          <w:sz w:val="28"/>
          <w:szCs w:val="28"/>
          <w:rtl/>
          <w:lang w:bidi="ar-EG"/>
        </w:rPr>
        <w:t>, 6(12), 90-107.</w:t>
      </w:r>
    </w:p>
    <w:p w14:paraId="3C8C4A00"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مها محمد العتيبي, &amp; ليلى عابد اليوبي. (2024). أثر تقنيات الذكاء الاصطناعي على الابتكار التسويقي: دراسة تطبيقية على شركة موبايلي بالمملكة العربية السعودية. </w:t>
      </w:r>
      <w:r w:rsidRPr="006A2E70">
        <w:rPr>
          <w:rFonts w:asciiTheme="majorBidi" w:hAnsiTheme="majorBidi" w:cstheme="majorBidi"/>
          <w:i/>
          <w:iCs/>
          <w:sz w:val="28"/>
          <w:szCs w:val="28"/>
          <w:rtl/>
          <w:lang w:bidi="ar-EG"/>
        </w:rPr>
        <w:t>مجلة العلوم الإنسانية و الإجتماعية</w:t>
      </w:r>
      <w:r w:rsidRPr="006A2E70">
        <w:rPr>
          <w:rFonts w:asciiTheme="majorBidi" w:hAnsiTheme="majorBidi" w:cstheme="majorBidi"/>
          <w:sz w:val="28"/>
          <w:szCs w:val="28"/>
          <w:rtl/>
          <w:lang w:bidi="ar-EG"/>
        </w:rPr>
        <w:t>, 8(11), 10-26.</w:t>
      </w:r>
    </w:p>
    <w:p w14:paraId="6CFFB4F1"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مشعان حاتم ابن عج. (2023). انعكاس تقنيات الذكاء الاصطناعي على الشركات في النظام السعودي. </w:t>
      </w:r>
      <w:r w:rsidRPr="006A2E70">
        <w:rPr>
          <w:rFonts w:asciiTheme="majorBidi" w:hAnsiTheme="majorBidi" w:cstheme="majorBidi"/>
          <w:i/>
          <w:iCs/>
          <w:sz w:val="28"/>
          <w:szCs w:val="28"/>
          <w:rtl/>
          <w:lang w:bidi="ar-EG"/>
        </w:rPr>
        <w:t>مجلة الأندلس للعلوم الإنسانية والاجتماعية</w:t>
      </w:r>
      <w:r w:rsidRPr="006A2E70">
        <w:rPr>
          <w:rFonts w:asciiTheme="majorBidi" w:hAnsiTheme="majorBidi" w:cstheme="majorBidi"/>
          <w:sz w:val="28"/>
          <w:szCs w:val="28"/>
          <w:rtl/>
          <w:lang w:bidi="ar-EG"/>
        </w:rPr>
        <w:t>، 10(73).</w:t>
      </w:r>
    </w:p>
    <w:p w14:paraId="28CD84AD"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تهامه سميح موسى الجعافرة. (2023). الذكاء الاصطناعي ودوره في إدارة الموارد البشرية في البلديات 2023. </w:t>
      </w:r>
      <w:r w:rsidRPr="006A2E70">
        <w:rPr>
          <w:rFonts w:asciiTheme="majorBidi" w:hAnsiTheme="majorBidi" w:cstheme="majorBidi"/>
          <w:i/>
          <w:iCs/>
          <w:sz w:val="28"/>
          <w:szCs w:val="28"/>
          <w:rtl/>
          <w:lang w:bidi="ar-EG"/>
        </w:rPr>
        <w:t>مجلة العلوم الإنسانية والطبيعية</w:t>
      </w:r>
      <w:r w:rsidRPr="006A2E70">
        <w:rPr>
          <w:rFonts w:asciiTheme="majorBidi" w:hAnsiTheme="majorBidi" w:cstheme="majorBidi"/>
          <w:sz w:val="28"/>
          <w:szCs w:val="28"/>
          <w:rtl/>
          <w:lang w:bidi="ar-EG"/>
        </w:rPr>
        <w:t>, 4(2), 986-1002.</w:t>
      </w:r>
    </w:p>
    <w:p w14:paraId="6F67B5E4"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عبد المنعم محمد إبراهيم. (2025). الموائمة الاستراتيجية ودورها في دعم الأداء المؤسسي: الدور الوسيط لفعالية القرار، دراسة تطبيقية. </w:t>
      </w:r>
      <w:r w:rsidRPr="006A2E70">
        <w:rPr>
          <w:rFonts w:asciiTheme="majorBidi" w:hAnsiTheme="majorBidi" w:cstheme="majorBidi"/>
          <w:i/>
          <w:iCs/>
          <w:sz w:val="28"/>
          <w:szCs w:val="28"/>
          <w:rtl/>
          <w:lang w:bidi="ar-EG"/>
        </w:rPr>
        <w:t>المجلة العلمية للدراسات التجارية والبيئية</w:t>
      </w:r>
      <w:r w:rsidRPr="006A2E70">
        <w:rPr>
          <w:rFonts w:asciiTheme="majorBidi" w:hAnsiTheme="majorBidi" w:cstheme="majorBidi"/>
          <w:sz w:val="28"/>
          <w:szCs w:val="28"/>
          <w:rtl/>
          <w:lang w:bidi="ar-EG"/>
        </w:rPr>
        <w:t>, 16(2), 186-242.</w:t>
      </w:r>
    </w:p>
    <w:p w14:paraId="78B9CBE2"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حاتم عبدالله محمد الشيزاوي. (2024). أثر الرقابة الإدارية على فاعلية القرارات في المؤسسات الحكومية العمانية. </w:t>
      </w:r>
      <w:r w:rsidRPr="006A2E70">
        <w:rPr>
          <w:rFonts w:asciiTheme="majorBidi" w:hAnsiTheme="majorBidi" w:cstheme="majorBidi"/>
          <w:i/>
          <w:iCs/>
          <w:sz w:val="28"/>
          <w:szCs w:val="28"/>
          <w:rtl/>
          <w:lang w:bidi="ar-EG"/>
        </w:rPr>
        <w:t>مجلة العلوم الإقتصادية و الإدارية و القانونية</w:t>
      </w:r>
      <w:r w:rsidRPr="006A2E70">
        <w:rPr>
          <w:rFonts w:asciiTheme="majorBidi" w:hAnsiTheme="majorBidi" w:cstheme="majorBidi"/>
          <w:sz w:val="28"/>
          <w:szCs w:val="28"/>
          <w:rtl/>
          <w:lang w:bidi="ar-EG"/>
        </w:rPr>
        <w:t>, 8(5), 17-36.</w:t>
      </w:r>
    </w:p>
    <w:p w14:paraId="0ACF9836"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محمد بيرم عبدالعزيز ابراهيم, أيمن, &amp; سعد. (2023). تأثير التحول الرقمى على فاعلية اتخاذ القرارات الإستراتيجية: الدور الوسيط الميزة التنافسية. </w:t>
      </w:r>
      <w:r w:rsidRPr="006A2E70">
        <w:rPr>
          <w:rFonts w:asciiTheme="majorBidi" w:hAnsiTheme="majorBidi" w:cstheme="majorBidi"/>
          <w:i/>
          <w:iCs/>
          <w:sz w:val="28"/>
          <w:szCs w:val="28"/>
          <w:rtl/>
          <w:lang w:bidi="ar-EG"/>
        </w:rPr>
        <w:t>المجلة العلمية للدراسات التجارية والبيئية</w:t>
      </w:r>
      <w:r w:rsidRPr="006A2E70">
        <w:rPr>
          <w:rFonts w:asciiTheme="majorBidi" w:hAnsiTheme="majorBidi" w:cstheme="majorBidi"/>
          <w:sz w:val="28"/>
          <w:szCs w:val="28"/>
          <w:rtl/>
          <w:lang w:bidi="ar-EG"/>
        </w:rPr>
        <w:t>, 14(3), 2297-2323.</w:t>
      </w:r>
    </w:p>
    <w:p w14:paraId="590F13E0"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lastRenderedPageBreak/>
        <w:t xml:space="preserve">يوسف صالح الشعار, &amp; حمزة. (2023). فاعلية إدارة الأصول غير الملموسة وأثرها على نظم اتخاذ القرارات الاستراتيجية في المنظمات الدور المعدل للهدر التنظيمي: دراسة ميدانية على شركات الصناعات الدوائية الأردنية. </w:t>
      </w:r>
      <w:r w:rsidRPr="006A2E70">
        <w:rPr>
          <w:rFonts w:asciiTheme="majorBidi" w:hAnsiTheme="majorBidi" w:cstheme="majorBidi"/>
          <w:i/>
          <w:iCs/>
          <w:sz w:val="28"/>
          <w:szCs w:val="28"/>
          <w:rtl/>
          <w:lang w:bidi="ar-EG"/>
        </w:rPr>
        <w:t>المجلة المصرية للدراسات التجارية</w:t>
      </w:r>
      <w:r w:rsidRPr="006A2E70">
        <w:rPr>
          <w:rFonts w:asciiTheme="majorBidi" w:hAnsiTheme="majorBidi" w:cstheme="majorBidi"/>
          <w:sz w:val="28"/>
          <w:szCs w:val="28"/>
          <w:rtl/>
          <w:lang w:bidi="ar-EG"/>
        </w:rPr>
        <w:t>, 844-868.</w:t>
      </w:r>
    </w:p>
    <w:p w14:paraId="327A646C" w14:textId="77777777" w:rsidR="002450AC" w:rsidRPr="006A2E70" w:rsidRDefault="002450AC" w:rsidP="002450AC">
      <w:pPr>
        <w:bidi/>
        <w:ind w:left="1440" w:hanging="720"/>
        <w:jc w:val="both"/>
        <w:rPr>
          <w:rFonts w:asciiTheme="majorBidi" w:hAnsiTheme="majorBidi" w:cstheme="majorBidi"/>
          <w:sz w:val="28"/>
          <w:szCs w:val="28"/>
          <w:rtl/>
          <w:lang w:bidi="ar-EG"/>
        </w:rPr>
      </w:pPr>
      <w:r w:rsidRPr="006A2E70">
        <w:rPr>
          <w:rFonts w:asciiTheme="majorBidi" w:hAnsiTheme="majorBidi" w:cstheme="majorBidi"/>
          <w:sz w:val="28"/>
          <w:szCs w:val="28"/>
          <w:rtl/>
          <w:lang w:bidi="ar-EG"/>
        </w:rPr>
        <w:t xml:space="preserve">عبد علي. (2022). دور الجمال يتنافس في شدة التحديد تحديدا: تم النظر في الاستطلاع للآراء الفنية من مديري شركة الاتصالات آسيا سيل في العراق. </w:t>
      </w:r>
      <w:r w:rsidRPr="006A2E70">
        <w:rPr>
          <w:rFonts w:asciiTheme="majorBidi" w:hAnsiTheme="majorBidi" w:cstheme="majorBidi"/>
          <w:i/>
          <w:iCs/>
          <w:sz w:val="28"/>
          <w:szCs w:val="28"/>
          <w:rtl/>
          <w:lang w:bidi="ar-EG"/>
        </w:rPr>
        <w:t>المجلة العراقية للعلوم الادارية</w:t>
      </w:r>
      <w:r w:rsidRPr="006A2E70">
        <w:rPr>
          <w:rFonts w:asciiTheme="majorBidi" w:hAnsiTheme="majorBidi" w:cstheme="majorBidi"/>
          <w:sz w:val="28"/>
          <w:szCs w:val="28"/>
          <w:rtl/>
          <w:lang w:bidi="ar-EG"/>
        </w:rPr>
        <w:t>, 18(71), 145-168.‏</w:t>
      </w:r>
    </w:p>
    <w:p w14:paraId="1C6B5A3B" w14:textId="77777777" w:rsidR="002450AC" w:rsidRPr="006A2E70" w:rsidRDefault="002450AC" w:rsidP="002450AC">
      <w:pPr>
        <w:bidi/>
        <w:jc w:val="both"/>
        <w:rPr>
          <w:rFonts w:asciiTheme="majorBidi" w:hAnsiTheme="majorBidi" w:cstheme="majorBidi"/>
          <w:b/>
          <w:bCs/>
          <w:sz w:val="32"/>
          <w:szCs w:val="32"/>
          <w:rtl/>
          <w:lang w:bidi="ar-EG"/>
        </w:rPr>
      </w:pPr>
    </w:p>
    <w:p w14:paraId="5D71387D" w14:textId="77777777" w:rsidR="002450AC" w:rsidRPr="006A2E70" w:rsidRDefault="002450AC" w:rsidP="002450AC">
      <w:pPr>
        <w:bidi/>
        <w:jc w:val="both"/>
        <w:rPr>
          <w:rFonts w:asciiTheme="majorBidi" w:hAnsiTheme="majorBidi" w:cstheme="majorBidi"/>
          <w:b/>
          <w:bCs/>
          <w:sz w:val="32"/>
          <w:szCs w:val="32"/>
          <w:rtl/>
          <w:lang w:bidi="ar-EG"/>
        </w:rPr>
      </w:pPr>
      <w:r w:rsidRPr="006A2E70">
        <w:rPr>
          <w:rFonts w:asciiTheme="majorBidi" w:hAnsiTheme="majorBidi" w:cstheme="majorBidi"/>
          <w:b/>
          <w:bCs/>
          <w:sz w:val="32"/>
          <w:szCs w:val="32"/>
          <w:rtl/>
          <w:lang w:bidi="ar-EG"/>
        </w:rPr>
        <w:t>المراجع الأجنبية:</w:t>
      </w:r>
    </w:p>
    <w:p w14:paraId="5B90EFF2" w14:textId="77777777" w:rsidR="002450AC" w:rsidRPr="006A2E70" w:rsidRDefault="002450AC" w:rsidP="002450AC">
      <w:pPr>
        <w:bidi/>
        <w:jc w:val="both"/>
        <w:rPr>
          <w:rFonts w:asciiTheme="majorBidi" w:hAnsiTheme="majorBidi" w:cstheme="majorBidi"/>
          <w:b/>
          <w:bCs/>
          <w:sz w:val="32"/>
          <w:szCs w:val="32"/>
          <w:lang w:bidi="ar-EG"/>
        </w:rPr>
      </w:pPr>
    </w:p>
    <w:p w14:paraId="6251FD44"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Abalkhail</w:t>
      </w:r>
      <w:proofErr w:type="spellEnd"/>
      <w:r w:rsidRPr="006A2E70">
        <w:rPr>
          <w:rFonts w:asciiTheme="majorBidi" w:hAnsiTheme="majorBidi" w:cstheme="majorBidi"/>
          <w:color w:val="222222"/>
          <w:sz w:val="28"/>
          <w:szCs w:val="28"/>
          <w:shd w:val="clear" w:color="auto" w:fill="FFFFFF"/>
        </w:rPr>
        <w:t>, A. A. A., &amp; Al Amri, S. M. A. (2022). Saudi Arabia’s management of the Hajj season through artificial intelligence and sustainability. </w:t>
      </w:r>
      <w:r w:rsidRPr="006A2E70">
        <w:rPr>
          <w:rFonts w:asciiTheme="majorBidi" w:hAnsiTheme="majorBidi" w:cstheme="majorBidi"/>
          <w:i/>
          <w:iCs/>
          <w:color w:val="222222"/>
          <w:sz w:val="28"/>
          <w:szCs w:val="28"/>
          <w:shd w:val="clear" w:color="auto" w:fill="FFFFFF"/>
        </w:rPr>
        <w:t>Sustainability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w:t>
      </w:r>
      <w:r w:rsidRPr="006A2E70">
        <w:rPr>
          <w:rFonts w:asciiTheme="majorBidi" w:hAnsiTheme="majorBidi" w:cstheme="majorBidi"/>
          <w:color w:val="222222"/>
          <w:sz w:val="28"/>
          <w:szCs w:val="28"/>
          <w:shd w:val="clear" w:color="auto" w:fill="FFFFFF"/>
        </w:rPr>
        <w:t>(21), 14142.</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1-19</w:t>
      </w:r>
    </w:p>
    <w:p w14:paraId="7E6DF82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Aboalshamat</w:t>
      </w:r>
      <w:proofErr w:type="spellEnd"/>
      <w:r w:rsidRPr="006A2E70">
        <w:rPr>
          <w:rFonts w:asciiTheme="majorBidi" w:hAnsiTheme="majorBidi" w:cstheme="majorBidi"/>
          <w:color w:val="222222"/>
          <w:sz w:val="28"/>
          <w:szCs w:val="28"/>
          <w:shd w:val="clear" w:color="auto" w:fill="FFFFFF"/>
        </w:rPr>
        <w:t xml:space="preserve">, K., </w:t>
      </w:r>
      <w:proofErr w:type="spellStart"/>
      <w:r w:rsidRPr="006A2E70">
        <w:rPr>
          <w:rFonts w:asciiTheme="majorBidi" w:hAnsiTheme="majorBidi" w:cstheme="majorBidi"/>
          <w:color w:val="222222"/>
          <w:sz w:val="28"/>
          <w:szCs w:val="28"/>
          <w:shd w:val="clear" w:color="auto" w:fill="FFFFFF"/>
        </w:rPr>
        <w:t>Alhuzali</w:t>
      </w:r>
      <w:proofErr w:type="spellEnd"/>
      <w:r w:rsidRPr="006A2E70">
        <w:rPr>
          <w:rFonts w:asciiTheme="majorBidi" w:hAnsiTheme="majorBidi" w:cstheme="majorBidi"/>
          <w:color w:val="222222"/>
          <w:sz w:val="28"/>
          <w:szCs w:val="28"/>
          <w:shd w:val="clear" w:color="auto" w:fill="FFFFFF"/>
        </w:rPr>
        <w:t xml:space="preserve">, R., </w:t>
      </w:r>
      <w:proofErr w:type="spellStart"/>
      <w:r w:rsidRPr="006A2E70">
        <w:rPr>
          <w:rFonts w:asciiTheme="majorBidi" w:hAnsiTheme="majorBidi" w:cstheme="majorBidi"/>
          <w:color w:val="222222"/>
          <w:sz w:val="28"/>
          <w:szCs w:val="28"/>
          <w:shd w:val="clear" w:color="auto" w:fill="FFFFFF"/>
        </w:rPr>
        <w:t>Alalyani</w:t>
      </w:r>
      <w:proofErr w:type="spellEnd"/>
      <w:r w:rsidRPr="006A2E70">
        <w:rPr>
          <w:rFonts w:asciiTheme="majorBidi" w:hAnsiTheme="majorBidi" w:cstheme="majorBidi"/>
          <w:color w:val="222222"/>
          <w:sz w:val="28"/>
          <w:szCs w:val="28"/>
          <w:shd w:val="clear" w:color="auto" w:fill="FFFFFF"/>
        </w:rPr>
        <w:t xml:space="preserve">, A., Alsharif, S., Qadhi, H., </w:t>
      </w:r>
      <w:proofErr w:type="spellStart"/>
      <w:r w:rsidRPr="006A2E70">
        <w:rPr>
          <w:rFonts w:asciiTheme="majorBidi" w:hAnsiTheme="majorBidi" w:cstheme="majorBidi"/>
          <w:color w:val="222222"/>
          <w:sz w:val="28"/>
          <w:szCs w:val="28"/>
          <w:shd w:val="clear" w:color="auto" w:fill="FFFFFF"/>
        </w:rPr>
        <w:t>Almatrafi</w:t>
      </w:r>
      <w:proofErr w:type="spellEnd"/>
      <w:r w:rsidRPr="006A2E70">
        <w:rPr>
          <w:rFonts w:asciiTheme="majorBidi" w:hAnsiTheme="majorBidi" w:cstheme="majorBidi"/>
          <w:color w:val="222222"/>
          <w:sz w:val="28"/>
          <w:szCs w:val="28"/>
          <w:shd w:val="clear" w:color="auto" w:fill="FFFFFF"/>
        </w:rPr>
        <w:t xml:space="preserve">, R., ... &amp; Alotaibi, S. (2022). Medical and dental </w:t>
      </w:r>
      <w:proofErr w:type="gramStart"/>
      <w:r w:rsidRPr="006A2E70">
        <w:rPr>
          <w:rFonts w:asciiTheme="majorBidi" w:hAnsiTheme="majorBidi" w:cstheme="majorBidi"/>
          <w:color w:val="222222"/>
          <w:sz w:val="28"/>
          <w:szCs w:val="28"/>
          <w:shd w:val="clear" w:color="auto" w:fill="FFFFFF"/>
        </w:rPr>
        <w:t>professionals</w:t>
      </w:r>
      <w:proofErr w:type="gramEnd"/>
      <w:r w:rsidRPr="006A2E70">
        <w:rPr>
          <w:rFonts w:asciiTheme="majorBidi" w:hAnsiTheme="majorBidi" w:cstheme="majorBidi"/>
          <w:color w:val="222222"/>
          <w:sz w:val="28"/>
          <w:szCs w:val="28"/>
          <w:shd w:val="clear" w:color="auto" w:fill="FFFFFF"/>
        </w:rPr>
        <w:t xml:space="preserve"> readiness for artificial intelligence for Saudi Arabia vision 2030. </w:t>
      </w:r>
      <w:r w:rsidRPr="006A2E70">
        <w:rPr>
          <w:rFonts w:asciiTheme="majorBidi" w:hAnsiTheme="majorBidi" w:cstheme="majorBidi"/>
          <w:i/>
          <w:iCs/>
          <w:color w:val="222222"/>
          <w:sz w:val="28"/>
          <w:szCs w:val="28"/>
          <w:shd w:val="clear" w:color="auto" w:fill="FFFFFF"/>
        </w:rPr>
        <w:t>International Journal of Pharmaceutical Research and Allied Sciences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11</w:t>
      </w:r>
      <w:r w:rsidRPr="006A2E70">
        <w:rPr>
          <w:rFonts w:asciiTheme="majorBidi" w:hAnsiTheme="majorBidi" w:cstheme="majorBidi"/>
          <w:color w:val="222222"/>
          <w:sz w:val="28"/>
          <w:szCs w:val="28"/>
          <w:shd w:val="clear" w:color="auto" w:fill="FFFFFF"/>
        </w:rPr>
        <w:t>(4-2022), 52-59.</w:t>
      </w:r>
      <w:r w:rsidRPr="006A2E70">
        <w:rPr>
          <w:rFonts w:asciiTheme="majorBidi" w:hAnsiTheme="majorBidi" w:cstheme="majorBidi"/>
          <w:color w:val="222222"/>
          <w:sz w:val="28"/>
          <w:szCs w:val="28"/>
          <w:shd w:val="clear" w:color="auto" w:fill="FFFFFF"/>
          <w:rtl/>
        </w:rPr>
        <w:t>‏</w:t>
      </w:r>
    </w:p>
    <w:p w14:paraId="5BD72526"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Adeniran, I. A., </w:t>
      </w:r>
      <w:proofErr w:type="spellStart"/>
      <w:r w:rsidRPr="006A2E70">
        <w:rPr>
          <w:rFonts w:asciiTheme="majorBidi" w:hAnsiTheme="majorBidi" w:cstheme="majorBidi"/>
          <w:color w:val="222222"/>
          <w:sz w:val="28"/>
          <w:szCs w:val="28"/>
          <w:shd w:val="clear" w:color="auto" w:fill="FFFFFF"/>
        </w:rPr>
        <w:t>Efunniyi</w:t>
      </w:r>
      <w:proofErr w:type="spellEnd"/>
      <w:r w:rsidRPr="006A2E70">
        <w:rPr>
          <w:rFonts w:asciiTheme="majorBidi" w:hAnsiTheme="majorBidi" w:cstheme="majorBidi"/>
          <w:color w:val="222222"/>
          <w:sz w:val="28"/>
          <w:szCs w:val="28"/>
          <w:shd w:val="clear" w:color="auto" w:fill="FFFFFF"/>
        </w:rPr>
        <w:t xml:space="preserve">, C. P., </w:t>
      </w:r>
      <w:proofErr w:type="spellStart"/>
      <w:r w:rsidRPr="006A2E70">
        <w:rPr>
          <w:rFonts w:asciiTheme="majorBidi" w:hAnsiTheme="majorBidi" w:cstheme="majorBidi"/>
          <w:color w:val="222222"/>
          <w:sz w:val="28"/>
          <w:szCs w:val="28"/>
          <w:shd w:val="clear" w:color="auto" w:fill="FFFFFF"/>
        </w:rPr>
        <w:t>Osundare</w:t>
      </w:r>
      <w:proofErr w:type="spellEnd"/>
      <w:r w:rsidRPr="006A2E70">
        <w:rPr>
          <w:rFonts w:asciiTheme="majorBidi" w:hAnsiTheme="majorBidi" w:cstheme="majorBidi"/>
          <w:color w:val="222222"/>
          <w:sz w:val="28"/>
          <w:szCs w:val="28"/>
          <w:shd w:val="clear" w:color="auto" w:fill="FFFFFF"/>
        </w:rPr>
        <w:t xml:space="preserve">, O. S., </w:t>
      </w:r>
      <w:proofErr w:type="spellStart"/>
      <w:r w:rsidRPr="006A2E70">
        <w:rPr>
          <w:rFonts w:asciiTheme="majorBidi" w:hAnsiTheme="majorBidi" w:cstheme="majorBidi"/>
          <w:color w:val="222222"/>
          <w:sz w:val="28"/>
          <w:szCs w:val="28"/>
          <w:shd w:val="clear" w:color="auto" w:fill="FFFFFF"/>
        </w:rPr>
        <w:t>Abhulimen</w:t>
      </w:r>
      <w:proofErr w:type="spellEnd"/>
      <w:r w:rsidRPr="006A2E70">
        <w:rPr>
          <w:rFonts w:asciiTheme="majorBidi" w:hAnsiTheme="majorBidi" w:cstheme="majorBidi"/>
          <w:color w:val="222222"/>
          <w:sz w:val="28"/>
          <w:szCs w:val="28"/>
          <w:shd w:val="clear" w:color="auto" w:fill="FFFFFF"/>
        </w:rPr>
        <w:t xml:space="preserve">, A. O., &amp; </w:t>
      </w:r>
      <w:proofErr w:type="spellStart"/>
      <w:r w:rsidRPr="006A2E70">
        <w:rPr>
          <w:rFonts w:asciiTheme="majorBidi" w:hAnsiTheme="majorBidi" w:cstheme="majorBidi"/>
          <w:color w:val="222222"/>
          <w:sz w:val="28"/>
          <w:szCs w:val="28"/>
          <w:shd w:val="clear" w:color="auto" w:fill="FFFFFF"/>
        </w:rPr>
        <w:t>OneAdvanced</w:t>
      </w:r>
      <w:proofErr w:type="spellEnd"/>
      <w:r w:rsidRPr="006A2E70">
        <w:rPr>
          <w:rFonts w:asciiTheme="majorBidi" w:hAnsiTheme="majorBidi" w:cstheme="majorBidi"/>
          <w:color w:val="222222"/>
          <w:sz w:val="28"/>
          <w:szCs w:val="28"/>
          <w:shd w:val="clear" w:color="auto" w:fill="FFFFFF"/>
        </w:rPr>
        <w:t>, U. K. (2024). Integrating business intelligence and predictive analytics in banking: A framework for optimizing financial decision-making. </w:t>
      </w:r>
      <w:r w:rsidRPr="006A2E70">
        <w:rPr>
          <w:rFonts w:asciiTheme="majorBidi" w:hAnsiTheme="majorBidi" w:cstheme="majorBidi"/>
          <w:i/>
          <w:iCs/>
          <w:color w:val="222222"/>
          <w:sz w:val="28"/>
          <w:szCs w:val="28"/>
          <w:shd w:val="clear" w:color="auto" w:fill="FFFFFF"/>
        </w:rPr>
        <w:t>Finance &amp; Accounting Research Journal</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6</w:t>
      </w:r>
      <w:r w:rsidRPr="006A2E70">
        <w:rPr>
          <w:rFonts w:asciiTheme="majorBidi" w:hAnsiTheme="majorBidi" w:cstheme="majorBidi"/>
          <w:color w:val="222222"/>
          <w:sz w:val="28"/>
          <w:szCs w:val="28"/>
          <w:shd w:val="clear" w:color="auto" w:fill="FFFFFF"/>
        </w:rPr>
        <w:t>(8), 1517-1530.</w:t>
      </w:r>
      <w:r w:rsidRPr="006A2E70">
        <w:rPr>
          <w:rFonts w:asciiTheme="majorBidi" w:hAnsiTheme="majorBidi" w:cstheme="majorBidi"/>
          <w:color w:val="222222"/>
          <w:sz w:val="28"/>
          <w:szCs w:val="28"/>
          <w:shd w:val="clear" w:color="auto" w:fill="FFFFFF"/>
          <w:rtl/>
        </w:rPr>
        <w:t>‏</w:t>
      </w:r>
    </w:p>
    <w:p w14:paraId="67B9093B"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Adesina, A. A., </w:t>
      </w:r>
      <w:proofErr w:type="spellStart"/>
      <w:r w:rsidRPr="006A2E70">
        <w:rPr>
          <w:rFonts w:asciiTheme="majorBidi" w:hAnsiTheme="majorBidi" w:cstheme="majorBidi"/>
          <w:color w:val="222222"/>
          <w:sz w:val="28"/>
          <w:szCs w:val="28"/>
          <w:shd w:val="clear" w:color="auto" w:fill="FFFFFF"/>
        </w:rPr>
        <w:t>Iyelolu</w:t>
      </w:r>
      <w:proofErr w:type="spellEnd"/>
      <w:r w:rsidRPr="006A2E70">
        <w:rPr>
          <w:rFonts w:asciiTheme="majorBidi" w:hAnsiTheme="majorBidi" w:cstheme="majorBidi"/>
          <w:color w:val="222222"/>
          <w:sz w:val="28"/>
          <w:szCs w:val="28"/>
          <w:shd w:val="clear" w:color="auto" w:fill="FFFFFF"/>
        </w:rPr>
        <w:t>, T. V., &amp; Paul, P. O. (2024). Leveraging predictive analytics for strategic decision-making: Enhancing business performance through data-driven insights. </w:t>
      </w:r>
      <w:r w:rsidRPr="006A2E70">
        <w:rPr>
          <w:rFonts w:asciiTheme="majorBidi" w:hAnsiTheme="majorBidi" w:cstheme="majorBidi"/>
          <w:i/>
          <w:iCs/>
          <w:color w:val="222222"/>
          <w:sz w:val="28"/>
          <w:szCs w:val="28"/>
          <w:shd w:val="clear" w:color="auto" w:fill="FFFFFF"/>
        </w:rPr>
        <w:t>World Journal of Advanced Research and Reviews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22</w:t>
      </w:r>
      <w:r w:rsidRPr="006A2E70">
        <w:rPr>
          <w:rFonts w:asciiTheme="majorBidi" w:hAnsiTheme="majorBidi" w:cstheme="majorBidi"/>
          <w:color w:val="222222"/>
          <w:sz w:val="28"/>
          <w:szCs w:val="28"/>
          <w:shd w:val="clear" w:color="auto" w:fill="FFFFFF"/>
        </w:rPr>
        <w:t>(3), 1927-1934.</w:t>
      </w:r>
      <w:r w:rsidRPr="006A2E70">
        <w:rPr>
          <w:rFonts w:asciiTheme="majorBidi" w:hAnsiTheme="majorBidi" w:cstheme="majorBidi"/>
          <w:color w:val="222222"/>
          <w:sz w:val="28"/>
          <w:szCs w:val="28"/>
          <w:shd w:val="clear" w:color="auto" w:fill="FFFFFF"/>
          <w:rtl/>
        </w:rPr>
        <w:t>‏</w:t>
      </w:r>
    </w:p>
    <w:p w14:paraId="40A401E3"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lastRenderedPageBreak/>
        <w:t xml:space="preserve">Akinwale, Y. O., &amp; </w:t>
      </w:r>
      <w:proofErr w:type="spellStart"/>
      <w:r w:rsidRPr="006A2E70">
        <w:rPr>
          <w:rFonts w:asciiTheme="majorBidi" w:hAnsiTheme="majorBidi" w:cstheme="majorBidi"/>
          <w:color w:val="222222"/>
          <w:sz w:val="28"/>
          <w:szCs w:val="28"/>
          <w:shd w:val="clear" w:color="auto" w:fill="FFFFFF"/>
        </w:rPr>
        <w:t>AboAlsamh</w:t>
      </w:r>
      <w:proofErr w:type="spellEnd"/>
      <w:r w:rsidRPr="006A2E70">
        <w:rPr>
          <w:rFonts w:asciiTheme="majorBidi" w:hAnsiTheme="majorBidi" w:cstheme="majorBidi"/>
          <w:color w:val="222222"/>
          <w:sz w:val="28"/>
          <w:szCs w:val="28"/>
          <w:shd w:val="clear" w:color="auto" w:fill="FFFFFF"/>
        </w:rPr>
        <w:t>, H. M. (2023). Technology innovation and healthcare performance among healthcare organizations in Saudi Arabia: A structural equation model analysis. </w:t>
      </w:r>
      <w:r w:rsidRPr="006A2E70">
        <w:rPr>
          <w:rFonts w:asciiTheme="majorBidi" w:hAnsiTheme="majorBidi" w:cstheme="majorBidi"/>
          <w:i/>
          <w:iCs/>
          <w:color w:val="222222"/>
          <w:sz w:val="28"/>
          <w:szCs w:val="28"/>
          <w:shd w:val="clear" w:color="auto" w:fill="FFFFFF"/>
        </w:rPr>
        <w:t>Sustainability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(5), 3962.</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1-15</w:t>
      </w:r>
    </w:p>
    <w:p w14:paraId="6EE9390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Alajmi, M., Mohammadian, M., &amp; Talukder, M. (2023). The determinants of smart government systems adoption by public sector organizations in Saudi Arabia. </w:t>
      </w:r>
      <w:proofErr w:type="spellStart"/>
      <w:r w:rsidRPr="006A2E70">
        <w:rPr>
          <w:rFonts w:asciiTheme="majorBidi" w:hAnsiTheme="majorBidi" w:cstheme="majorBidi"/>
          <w:i/>
          <w:iCs/>
          <w:color w:val="222222"/>
          <w:sz w:val="28"/>
          <w:szCs w:val="28"/>
          <w:shd w:val="clear" w:color="auto" w:fill="FFFFFF"/>
        </w:rPr>
        <w:t>Heliyon</w:t>
      </w:r>
      <w:proofErr w:type="spellEnd"/>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9</w:t>
      </w:r>
      <w:r w:rsidRPr="006A2E70">
        <w:rPr>
          <w:rFonts w:asciiTheme="majorBidi" w:hAnsiTheme="majorBidi" w:cstheme="majorBidi"/>
          <w:color w:val="222222"/>
          <w:sz w:val="28"/>
          <w:szCs w:val="28"/>
          <w:shd w:val="clear" w:color="auto" w:fill="FFFFFF"/>
        </w:rPr>
        <w:t>(10).</w:t>
      </w:r>
      <w:r w:rsidRPr="006A2E70">
        <w:rPr>
          <w:rFonts w:asciiTheme="majorBidi" w:hAnsiTheme="majorBidi" w:cstheme="majorBidi"/>
          <w:color w:val="222222"/>
          <w:sz w:val="28"/>
          <w:szCs w:val="28"/>
          <w:shd w:val="clear" w:color="auto" w:fill="FFFFFF"/>
          <w:rtl/>
        </w:rPr>
        <w:t>‏</w:t>
      </w:r>
    </w:p>
    <w:p w14:paraId="043EB4E4"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Alarefi</w:t>
      </w:r>
      <w:proofErr w:type="spellEnd"/>
      <w:r w:rsidRPr="006A2E70">
        <w:rPr>
          <w:rFonts w:asciiTheme="majorBidi" w:hAnsiTheme="majorBidi" w:cstheme="majorBidi"/>
          <w:color w:val="222222"/>
          <w:sz w:val="28"/>
          <w:szCs w:val="28"/>
          <w:shd w:val="clear" w:color="auto" w:fill="FFFFFF"/>
        </w:rPr>
        <w:t>, M. (2024). The impact of artificial intelligence on business performance in Saudi Arabia: The role of technological readiness and data quality. </w:t>
      </w:r>
      <w:r w:rsidRPr="006A2E70">
        <w:rPr>
          <w:rFonts w:asciiTheme="majorBidi" w:hAnsiTheme="majorBidi" w:cstheme="majorBidi"/>
          <w:i/>
          <w:iCs/>
          <w:color w:val="222222"/>
          <w:sz w:val="28"/>
          <w:szCs w:val="28"/>
          <w:shd w:val="clear" w:color="auto" w:fill="FFFFFF"/>
        </w:rPr>
        <w:t>Engineering, Technology &amp; Applied Science Research</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w:t>
      </w:r>
      <w:r w:rsidRPr="006A2E70">
        <w:rPr>
          <w:rFonts w:asciiTheme="majorBidi" w:hAnsiTheme="majorBidi" w:cstheme="majorBidi"/>
          <w:color w:val="222222"/>
          <w:sz w:val="28"/>
          <w:szCs w:val="28"/>
          <w:shd w:val="clear" w:color="auto" w:fill="FFFFFF"/>
        </w:rPr>
        <w:t>(5), 16802-16807.</w:t>
      </w:r>
      <w:r w:rsidRPr="006A2E70">
        <w:rPr>
          <w:rFonts w:asciiTheme="majorBidi" w:hAnsiTheme="majorBidi" w:cstheme="majorBidi"/>
          <w:color w:val="222222"/>
          <w:sz w:val="28"/>
          <w:szCs w:val="28"/>
          <w:shd w:val="clear" w:color="auto" w:fill="FFFFFF"/>
          <w:rtl/>
        </w:rPr>
        <w:t>‏</w:t>
      </w:r>
    </w:p>
    <w:p w14:paraId="74AE4A6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Alasmri</w:t>
      </w:r>
      <w:proofErr w:type="spellEnd"/>
      <w:r w:rsidRPr="006A2E70">
        <w:rPr>
          <w:rFonts w:asciiTheme="majorBidi" w:hAnsiTheme="majorBidi" w:cstheme="majorBidi"/>
          <w:color w:val="222222"/>
          <w:sz w:val="28"/>
          <w:szCs w:val="28"/>
          <w:shd w:val="clear" w:color="auto" w:fill="FFFFFF"/>
        </w:rPr>
        <w:t xml:space="preserve">, N., &amp; </w:t>
      </w:r>
      <w:proofErr w:type="spellStart"/>
      <w:r w:rsidRPr="006A2E70">
        <w:rPr>
          <w:rFonts w:asciiTheme="majorBidi" w:hAnsiTheme="majorBidi" w:cstheme="majorBidi"/>
          <w:color w:val="222222"/>
          <w:sz w:val="28"/>
          <w:szCs w:val="28"/>
          <w:shd w:val="clear" w:color="auto" w:fill="FFFFFF"/>
        </w:rPr>
        <w:t>Basahel</w:t>
      </w:r>
      <w:proofErr w:type="spellEnd"/>
      <w:r w:rsidRPr="006A2E70">
        <w:rPr>
          <w:rFonts w:asciiTheme="majorBidi" w:hAnsiTheme="majorBidi" w:cstheme="majorBidi"/>
          <w:color w:val="222222"/>
          <w:sz w:val="28"/>
          <w:szCs w:val="28"/>
          <w:shd w:val="clear" w:color="auto" w:fill="FFFFFF"/>
        </w:rPr>
        <w:t>, S. (2022). Linking artificial intelligence use to improved decision-making, individual and organizational outcomes. </w:t>
      </w:r>
      <w:r w:rsidRPr="006A2E70">
        <w:rPr>
          <w:rFonts w:asciiTheme="majorBidi" w:hAnsiTheme="majorBidi" w:cstheme="majorBidi"/>
          <w:i/>
          <w:iCs/>
          <w:color w:val="222222"/>
          <w:sz w:val="28"/>
          <w:szCs w:val="28"/>
          <w:shd w:val="clear" w:color="auto" w:fill="FFFFFF"/>
        </w:rPr>
        <w:t>International Business Research</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(10), 1-15.</w:t>
      </w:r>
    </w:p>
    <w:p w14:paraId="5D68EE0A"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Al-Baity, H. H. (2023). The artificial intelligence revolution in digital finance in Saudi Arabia: A comprehensive review and proposed framework. </w:t>
      </w:r>
      <w:r w:rsidRPr="006A2E70">
        <w:rPr>
          <w:rFonts w:asciiTheme="majorBidi" w:hAnsiTheme="majorBidi" w:cstheme="majorBidi"/>
          <w:i/>
          <w:iCs/>
          <w:color w:val="222222"/>
          <w:sz w:val="28"/>
          <w:szCs w:val="28"/>
          <w:shd w:val="clear" w:color="auto" w:fill="FFFFFF"/>
        </w:rPr>
        <w:t>Sustainability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(18), 13725.</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1-16</w:t>
      </w:r>
    </w:p>
    <w:p w14:paraId="1D80DE76"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Alenezi</w:t>
      </w:r>
      <w:proofErr w:type="spellEnd"/>
      <w:r w:rsidRPr="006A2E70">
        <w:rPr>
          <w:rFonts w:asciiTheme="majorBidi" w:hAnsiTheme="majorBidi" w:cstheme="majorBidi"/>
          <w:color w:val="222222"/>
          <w:sz w:val="28"/>
          <w:szCs w:val="28"/>
          <w:shd w:val="clear" w:color="auto" w:fill="FFFFFF"/>
        </w:rPr>
        <w:t>, A., Alshammari, M. H., &amp; Ibrahim, I. A. (2024). Optimizing nursing productivity: exploring the role of artificial intelligence, technology integration, competencies, and leadership. </w:t>
      </w:r>
      <w:r w:rsidRPr="006A2E70">
        <w:rPr>
          <w:rFonts w:asciiTheme="majorBidi" w:hAnsiTheme="majorBidi" w:cstheme="majorBidi"/>
          <w:i/>
          <w:iCs/>
          <w:color w:val="222222"/>
          <w:sz w:val="28"/>
          <w:szCs w:val="28"/>
          <w:shd w:val="clear" w:color="auto" w:fill="FFFFFF"/>
        </w:rPr>
        <w:t>Journal of Nursing Management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2024</w:t>
      </w:r>
      <w:r w:rsidRPr="006A2E70">
        <w:rPr>
          <w:rFonts w:asciiTheme="majorBidi" w:hAnsiTheme="majorBidi" w:cstheme="majorBidi"/>
          <w:color w:val="222222"/>
          <w:sz w:val="28"/>
          <w:szCs w:val="28"/>
          <w:shd w:val="clear" w:color="auto" w:fill="FFFFFF"/>
        </w:rPr>
        <w:t>(1), 8371068.</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1-15</w:t>
      </w:r>
    </w:p>
    <w:p w14:paraId="73E30CC3"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Alharbi, R., &amp; Alnoor, A. (2024). The influence of emotional intelligence and personal styles of dealing with conflict on strategic decisions. </w:t>
      </w:r>
      <w:r w:rsidRPr="006A2E70">
        <w:rPr>
          <w:rFonts w:asciiTheme="majorBidi" w:hAnsiTheme="majorBidi" w:cstheme="majorBidi"/>
          <w:i/>
          <w:iCs/>
          <w:color w:val="222222"/>
          <w:sz w:val="28"/>
          <w:szCs w:val="28"/>
          <w:shd w:val="clear" w:color="auto" w:fill="FFFFFF"/>
        </w:rPr>
        <w:t>PSU research review</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8</w:t>
      </w:r>
      <w:r w:rsidRPr="006A2E70">
        <w:rPr>
          <w:rFonts w:asciiTheme="majorBidi" w:hAnsiTheme="majorBidi" w:cstheme="majorBidi"/>
          <w:color w:val="222222"/>
          <w:sz w:val="28"/>
          <w:szCs w:val="28"/>
          <w:shd w:val="clear" w:color="auto" w:fill="FFFFFF"/>
        </w:rPr>
        <w:t>(2), 443-454.</w:t>
      </w:r>
      <w:r w:rsidRPr="006A2E70">
        <w:rPr>
          <w:rFonts w:asciiTheme="majorBidi" w:hAnsiTheme="majorBidi" w:cstheme="majorBidi"/>
          <w:color w:val="222222"/>
          <w:sz w:val="28"/>
          <w:szCs w:val="28"/>
          <w:shd w:val="clear" w:color="auto" w:fill="FFFFFF"/>
          <w:rtl/>
        </w:rPr>
        <w:t>‏</w:t>
      </w:r>
    </w:p>
    <w:p w14:paraId="686D8202"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lastRenderedPageBreak/>
        <w:t>Alharbi, S. H. (2024). Using Artificial Intelligence to Foster Performance: A Case Study of Public Organizations in the Kingdom of Saudi Arabia. </w:t>
      </w:r>
      <w:r w:rsidRPr="006A2E70">
        <w:rPr>
          <w:rFonts w:asciiTheme="majorBidi" w:hAnsiTheme="majorBidi" w:cstheme="majorBidi"/>
          <w:i/>
          <w:iCs/>
          <w:color w:val="222222"/>
          <w:sz w:val="28"/>
          <w:szCs w:val="28"/>
          <w:shd w:val="clear" w:color="auto" w:fill="FFFFFF"/>
        </w:rPr>
        <w:t>Proc. VIAC</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2024</w:t>
      </w:r>
      <w:r w:rsidRPr="006A2E70">
        <w:rPr>
          <w:rFonts w:asciiTheme="majorBidi" w:hAnsiTheme="majorBidi" w:cstheme="majorBidi"/>
          <w:color w:val="222222"/>
          <w:sz w:val="28"/>
          <w:szCs w:val="28"/>
          <w:shd w:val="clear" w:color="auto" w:fill="FFFFFF"/>
        </w:rPr>
        <w:t>, 113-121</w:t>
      </w:r>
    </w:p>
    <w:p w14:paraId="4C217997"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Alhazmi, A. H. J., Islam, S. M., &amp; </w:t>
      </w:r>
      <w:proofErr w:type="spellStart"/>
      <w:r w:rsidRPr="006A2E70">
        <w:rPr>
          <w:rFonts w:asciiTheme="majorBidi" w:hAnsiTheme="majorBidi" w:cstheme="majorBidi"/>
          <w:color w:val="222222"/>
          <w:sz w:val="28"/>
          <w:szCs w:val="28"/>
          <w:shd w:val="clear" w:color="auto" w:fill="FFFFFF"/>
        </w:rPr>
        <w:t>Prokofieva</w:t>
      </w:r>
      <w:proofErr w:type="spellEnd"/>
      <w:r w:rsidRPr="006A2E70">
        <w:rPr>
          <w:rFonts w:asciiTheme="majorBidi" w:hAnsiTheme="majorBidi" w:cstheme="majorBidi"/>
          <w:color w:val="222222"/>
          <w:sz w:val="28"/>
          <w:szCs w:val="28"/>
          <w:shd w:val="clear" w:color="auto" w:fill="FFFFFF"/>
        </w:rPr>
        <w:t>, M. (2025). The impact of artificial intelligence adoption on the quality of financial reports on the Saudi Stock Exchange. </w:t>
      </w:r>
      <w:r w:rsidRPr="006A2E70">
        <w:rPr>
          <w:rFonts w:asciiTheme="majorBidi" w:hAnsiTheme="majorBidi" w:cstheme="majorBidi"/>
          <w:i/>
          <w:iCs/>
          <w:color w:val="222222"/>
          <w:sz w:val="28"/>
          <w:szCs w:val="28"/>
          <w:shd w:val="clear" w:color="auto" w:fill="FFFFFF"/>
        </w:rPr>
        <w:t>International Journal of Financial Studies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13</w:t>
      </w:r>
      <w:r w:rsidRPr="006A2E70">
        <w:rPr>
          <w:rFonts w:asciiTheme="majorBidi" w:hAnsiTheme="majorBidi" w:cstheme="majorBidi"/>
          <w:color w:val="222222"/>
          <w:sz w:val="28"/>
          <w:szCs w:val="28"/>
          <w:shd w:val="clear" w:color="auto" w:fill="FFFFFF"/>
        </w:rPr>
        <w:t>(1), 1-38.</w:t>
      </w:r>
    </w:p>
    <w:p w14:paraId="3B428127"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Aljohani</w:t>
      </w:r>
      <w:proofErr w:type="spellEnd"/>
      <w:r w:rsidRPr="006A2E70">
        <w:rPr>
          <w:rFonts w:asciiTheme="majorBidi" w:hAnsiTheme="majorBidi" w:cstheme="majorBidi"/>
          <w:color w:val="222222"/>
          <w:sz w:val="28"/>
          <w:szCs w:val="28"/>
          <w:shd w:val="clear" w:color="auto" w:fill="FFFFFF"/>
        </w:rPr>
        <w:t xml:space="preserve">, N. B., &amp; </w:t>
      </w:r>
      <w:proofErr w:type="spellStart"/>
      <w:r w:rsidRPr="006A2E70">
        <w:rPr>
          <w:rFonts w:asciiTheme="majorBidi" w:hAnsiTheme="majorBidi" w:cstheme="majorBidi"/>
          <w:color w:val="222222"/>
          <w:sz w:val="28"/>
          <w:szCs w:val="28"/>
          <w:shd w:val="clear" w:color="auto" w:fill="FFFFFF"/>
        </w:rPr>
        <w:t>Albliwi</w:t>
      </w:r>
      <w:proofErr w:type="spellEnd"/>
      <w:r w:rsidRPr="006A2E70">
        <w:rPr>
          <w:rFonts w:asciiTheme="majorBidi" w:hAnsiTheme="majorBidi" w:cstheme="majorBidi"/>
          <w:color w:val="222222"/>
          <w:sz w:val="28"/>
          <w:szCs w:val="28"/>
          <w:shd w:val="clear" w:color="auto" w:fill="FFFFFF"/>
        </w:rPr>
        <w:t>, S. (2022). Impacts of applying artificial intelligence on decision-making quality: a descriptive study in Saudi Arabian private sector organizations. </w:t>
      </w:r>
      <w:r w:rsidRPr="006A2E70">
        <w:rPr>
          <w:rFonts w:asciiTheme="majorBidi" w:hAnsiTheme="majorBidi" w:cstheme="majorBidi"/>
          <w:i/>
          <w:iCs/>
          <w:color w:val="222222"/>
          <w:sz w:val="28"/>
          <w:szCs w:val="28"/>
          <w:shd w:val="clear" w:color="auto" w:fill="FFFFFF"/>
        </w:rPr>
        <w:t>International Transaction Journal of Engineering, Management, &amp; Applied Sciences &amp; Technologies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13</w:t>
      </w:r>
      <w:r w:rsidRPr="006A2E70">
        <w:rPr>
          <w:rFonts w:asciiTheme="majorBidi" w:hAnsiTheme="majorBidi" w:cstheme="majorBidi"/>
          <w:color w:val="222222"/>
          <w:sz w:val="28"/>
          <w:szCs w:val="28"/>
          <w:shd w:val="clear" w:color="auto" w:fill="FFFFFF"/>
        </w:rPr>
        <w:t>(5), 1-1</w:t>
      </w:r>
      <w:r w:rsidRPr="006A2E70">
        <w:rPr>
          <w:rFonts w:asciiTheme="majorBidi" w:hAnsiTheme="majorBidi" w:cstheme="majorBidi"/>
          <w:color w:val="222222"/>
          <w:sz w:val="28"/>
          <w:szCs w:val="28"/>
          <w:shd w:val="clear" w:color="auto" w:fill="FFFFFF"/>
          <w:rtl/>
        </w:rPr>
        <w:t>4</w:t>
      </w:r>
      <w:r w:rsidRPr="006A2E70">
        <w:rPr>
          <w:rFonts w:asciiTheme="majorBidi" w:hAnsiTheme="majorBidi" w:cstheme="majorBidi"/>
          <w:color w:val="222222"/>
          <w:sz w:val="28"/>
          <w:szCs w:val="28"/>
          <w:shd w:val="clear" w:color="auto" w:fill="FFFFFF"/>
        </w:rPr>
        <w:t>.</w:t>
      </w:r>
    </w:p>
    <w:p w14:paraId="0161933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Almalawi</w:t>
      </w:r>
      <w:proofErr w:type="spellEnd"/>
      <w:r w:rsidRPr="006A2E70">
        <w:rPr>
          <w:rFonts w:asciiTheme="majorBidi" w:hAnsiTheme="majorBidi" w:cstheme="majorBidi"/>
          <w:color w:val="222222"/>
          <w:sz w:val="28"/>
          <w:szCs w:val="28"/>
          <w:shd w:val="clear" w:color="auto" w:fill="FFFFFF"/>
        </w:rPr>
        <w:t xml:space="preserve">, A., Khan, A. I., </w:t>
      </w:r>
      <w:proofErr w:type="spellStart"/>
      <w:r w:rsidRPr="006A2E70">
        <w:rPr>
          <w:rFonts w:asciiTheme="majorBidi" w:hAnsiTheme="majorBidi" w:cstheme="majorBidi"/>
          <w:color w:val="222222"/>
          <w:sz w:val="28"/>
          <w:szCs w:val="28"/>
          <w:shd w:val="clear" w:color="auto" w:fill="FFFFFF"/>
        </w:rPr>
        <w:t>Alsolami</w:t>
      </w:r>
      <w:proofErr w:type="spellEnd"/>
      <w:r w:rsidRPr="006A2E70">
        <w:rPr>
          <w:rFonts w:asciiTheme="majorBidi" w:hAnsiTheme="majorBidi" w:cstheme="majorBidi"/>
          <w:color w:val="222222"/>
          <w:sz w:val="28"/>
          <w:szCs w:val="28"/>
          <w:shd w:val="clear" w:color="auto" w:fill="FFFFFF"/>
        </w:rPr>
        <w:t xml:space="preserve">, F., </w:t>
      </w:r>
      <w:proofErr w:type="spellStart"/>
      <w:r w:rsidRPr="006A2E70">
        <w:rPr>
          <w:rFonts w:asciiTheme="majorBidi" w:hAnsiTheme="majorBidi" w:cstheme="majorBidi"/>
          <w:color w:val="222222"/>
          <w:sz w:val="28"/>
          <w:szCs w:val="28"/>
          <w:shd w:val="clear" w:color="auto" w:fill="FFFFFF"/>
        </w:rPr>
        <w:t>Abushark</w:t>
      </w:r>
      <w:proofErr w:type="spellEnd"/>
      <w:r w:rsidRPr="006A2E70">
        <w:rPr>
          <w:rFonts w:asciiTheme="majorBidi" w:hAnsiTheme="majorBidi" w:cstheme="majorBidi"/>
          <w:color w:val="222222"/>
          <w:sz w:val="28"/>
          <w:szCs w:val="28"/>
          <w:shd w:val="clear" w:color="auto" w:fill="FFFFFF"/>
        </w:rPr>
        <w:t xml:space="preserve">, Y. B., </w:t>
      </w:r>
      <w:proofErr w:type="spellStart"/>
      <w:r w:rsidRPr="006A2E70">
        <w:rPr>
          <w:rFonts w:asciiTheme="majorBidi" w:hAnsiTheme="majorBidi" w:cstheme="majorBidi"/>
          <w:color w:val="222222"/>
          <w:sz w:val="28"/>
          <w:szCs w:val="28"/>
          <w:shd w:val="clear" w:color="auto" w:fill="FFFFFF"/>
        </w:rPr>
        <w:t>Alfakeeh</w:t>
      </w:r>
      <w:proofErr w:type="spellEnd"/>
      <w:r w:rsidRPr="006A2E70">
        <w:rPr>
          <w:rFonts w:asciiTheme="majorBidi" w:hAnsiTheme="majorBidi" w:cstheme="majorBidi"/>
          <w:color w:val="222222"/>
          <w:sz w:val="28"/>
          <w:szCs w:val="28"/>
          <w:shd w:val="clear" w:color="auto" w:fill="FFFFFF"/>
        </w:rPr>
        <w:t xml:space="preserve">, A. S., &amp; </w:t>
      </w:r>
      <w:proofErr w:type="spellStart"/>
      <w:r w:rsidRPr="006A2E70">
        <w:rPr>
          <w:rFonts w:asciiTheme="majorBidi" w:hAnsiTheme="majorBidi" w:cstheme="majorBidi"/>
          <w:color w:val="222222"/>
          <w:sz w:val="28"/>
          <w:szCs w:val="28"/>
          <w:shd w:val="clear" w:color="auto" w:fill="FFFFFF"/>
        </w:rPr>
        <w:t>Mekuriyaw</w:t>
      </w:r>
      <w:proofErr w:type="spellEnd"/>
      <w:r w:rsidRPr="006A2E70">
        <w:rPr>
          <w:rFonts w:asciiTheme="majorBidi" w:hAnsiTheme="majorBidi" w:cstheme="majorBidi"/>
          <w:color w:val="222222"/>
          <w:sz w:val="28"/>
          <w:szCs w:val="28"/>
          <w:shd w:val="clear" w:color="auto" w:fill="FFFFFF"/>
        </w:rPr>
        <w:t>, W. D. (2022). Analysis of the exploration of security and privacy for healthcare management using artificial intelligence: Saudi hospitals. </w:t>
      </w:r>
      <w:r w:rsidRPr="006A2E70">
        <w:rPr>
          <w:rFonts w:asciiTheme="majorBidi" w:hAnsiTheme="majorBidi" w:cstheme="majorBidi"/>
          <w:i/>
          <w:iCs/>
          <w:color w:val="222222"/>
          <w:sz w:val="28"/>
          <w:szCs w:val="28"/>
          <w:shd w:val="clear" w:color="auto" w:fill="FFFFFF"/>
        </w:rPr>
        <w:t>Computational intelligence and neuroscience</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2022</w:t>
      </w:r>
      <w:r w:rsidRPr="006A2E70">
        <w:rPr>
          <w:rFonts w:asciiTheme="majorBidi" w:hAnsiTheme="majorBidi" w:cstheme="majorBidi"/>
          <w:color w:val="222222"/>
          <w:sz w:val="28"/>
          <w:szCs w:val="28"/>
          <w:shd w:val="clear" w:color="auto" w:fill="FFFFFF"/>
        </w:rPr>
        <w:t>(1), 4048197. 1-10.</w:t>
      </w:r>
    </w:p>
    <w:p w14:paraId="17590A29"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Almheiri</w:t>
      </w:r>
      <w:proofErr w:type="spellEnd"/>
      <w:r w:rsidRPr="006A2E70">
        <w:rPr>
          <w:rFonts w:asciiTheme="majorBidi" w:hAnsiTheme="majorBidi" w:cstheme="majorBidi"/>
          <w:color w:val="222222"/>
          <w:sz w:val="28"/>
          <w:szCs w:val="28"/>
          <w:shd w:val="clear" w:color="auto" w:fill="FFFFFF"/>
        </w:rPr>
        <w:t>, H. M., Ahmad, S. Z., Abu Bakar, A. R., &amp; Khalid, K. (2024). Artificial intelligence capabilities, dynamic capabilities and organizational creativity: contributing factors to the United Arab Emirates Government’s organizational performance. </w:t>
      </w:r>
      <w:r w:rsidRPr="006A2E70">
        <w:rPr>
          <w:rFonts w:asciiTheme="majorBidi" w:hAnsiTheme="majorBidi" w:cstheme="majorBidi"/>
          <w:i/>
          <w:iCs/>
          <w:color w:val="222222"/>
          <w:sz w:val="28"/>
          <w:szCs w:val="28"/>
          <w:shd w:val="clear" w:color="auto" w:fill="FFFFFF"/>
        </w:rPr>
        <w:t>Journal of Modelling in Management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19</w:t>
      </w:r>
      <w:r w:rsidRPr="006A2E70">
        <w:rPr>
          <w:rFonts w:asciiTheme="majorBidi" w:hAnsiTheme="majorBidi" w:cstheme="majorBidi"/>
          <w:color w:val="222222"/>
          <w:sz w:val="28"/>
          <w:szCs w:val="28"/>
          <w:shd w:val="clear" w:color="auto" w:fill="FFFFFF"/>
        </w:rPr>
        <w:t>(3), 953-979.</w:t>
      </w:r>
      <w:r w:rsidRPr="006A2E70">
        <w:rPr>
          <w:rFonts w:asciiTheme="majorBidi" w:hAnsiTheme="majorBidi" w:cstheme="majorBidi"/>
          <w:color w:val="222222"/>
          <w:sz w:val="28"/>
          <w:szCs w:val="28"/>
          <w:shd w:val="clear" w:color="auto" w:fill="FFFFFF"/>
          <w:rtl/>
        </w:rPr>
        <w:t>‏</w:t>
      </w:r>
    </w:p>
    <w:p w14:paraId="4DE77952"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AlQahtani, D. M. S. (2023). Artificial intelligence and its influence on digital transformation, development, and productivity in Saudi </w:t>
      </w:r>
      <w:r w:rsidRPr="006A2E70">
        <w:rPr>
          <w:rFonts w:asciiTheme="majorBidi" w:hAnsiTheme="majorBidi" w:cstheme="majorBidi"/>
          <w:color w:val="222222"/>
          <w:sz w:val="28"/>
          <w:szCs w:val="28"/>
          <w:shd w:val="clear" w:color="auto" w:fill="FFFFFF"/>
        </w:rPr>
        <w:lastRenderedPageBreak/>
        <w:t>Arabian organizations: A critical evaluation. Arab Journal of Management, 1-14.</w:t>
      </w:r>
    </w:p>
    <w:p w14:paraId="44262D7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AlQahtani, M. A. (2024). Impact of artificial intelligence on knowledge management: an investigation on the public sector in Saudi Arabia. </w:t>
      </w:r>
      <w:r w:rsidRPr="006A2E70">
        <w:rPr>
          <w:rFonts w:asciiTheme="majorBidi" w:hAnsiTheme="majorBidi" w:cstheme="majorBidi"/>
          <w:i/>
          <w:iCs/>
          <w:color w:val="222222"/>
          <w:sz w:val="28"/>
          <w:szCs w:val="28"/>
          <w:shd w:val="clear" w:color="auto" w:fill="FFFFFF"/>
        </w:rPr>
        <w:t>American Academic &amp; Scholarly Research Journal</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w:t>
      </w:r>
      <w:r w:rsidRPr="006A2E70">
        <w:rPr>
          <w:rFonts w:asciiTheme="majorBidi" w:hAnsiTheme="majorBidi" w:cstheme="majorBidi"/>
          <w:color w:val="222222"/>
          <w:sz w:val="28"/>
          <w:szCs w:val="28"/>
          <w:shd w:val="clear" w:color="auto" w:fill="FFFFFF"/>
        </w:rPr>
        <w:t>(7).</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14-29</w:t>
      </w:r>
    </w:p>
    <w:p w14:paraId="07AC361C"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Alsanosi, S. M., &amp; Padmanabhan, S. (2024, April). Potential applications of artificial intelligence (AI) in managing polypharmacy in Saudi Arabia: a narrative review. In </w:t>
      </w:r>
      <w:r w:rsidRPr="006A2E70">
        <w:rPr>
          <w:rFonts w:asciiTheme="majorBidi" w:hAnsiTheme="majorBidi" w:cstheme="majorBidi"/>
          <w:i/>
          <w:iCs/>
          <w:color w:val="222222"/>
          <w:sz w:val="28"/>
          <w:szCs w:val="28"/>
          <w:shd w:val="clear" w:color="auto" w:fill="FFFFFF"/>
        </w:rPr>
        <w:t>Healthcare</w:t>
      </w:r>
      <w:r w:rsidRPr="006A2E70">
        <w:rPr>
          <w:rFonts w:asciiTheme="majorBidi" w:hAnsiTheme="majorBidi" w:cstheme="majorBidi"/>
          <w:color w:val="222222"/>
          <w:sz w:val="28"/>
          <w:szCs w:val="28"/>
          <w:shd w:val="clear" w:color="auto" w:fill="FFFFFF"/>
        </w:rPr>
        <w:t> (Vol. 12, No. 7, p. 788). MDPI.</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1-15</w:t>
      </w:r>
    </w:p>
    <w:p w14:paraId="74A482E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Alshamsi</w:t>
      </w:r>
      <w:proofErr w:type="spellEnd"/>
      <w:r w:rsidRPr="006A2E70">
        <w:rPr>
          <w:rFonts w:asciiTheme="majorBidi" w:hAnsiTheme="majorBidi" w:cstheme="majorBidi"/>
          <w:color w:val="222222"/>
          <w:sz w:val="28"/>
          <w:szCs w:val="28"/>
          <w:shd w:val="clear" w:color="auto" w:fill="FFFFFF"/>
        </w:rPr>
        <w:t>, S., Hussain, T. P. R. S., &amp; Ali, S. S. S. (2024). The role of artificial intelligence on the public energy sector performance in the United Arab Emirates: The mediation role of organizational agility. </w:t>
      </w:r>
      <w:r w:rsidRPr="006A2E70">
        <w:rPr>
          <w:rFonts w:asciiTheme="majorBidi" w:hAnsiTheme="majorBidi" w:cstheme="majorBidi"/>
          <w:i/>
          <w:iCs/>
          <w:color w:val="222222"/>
          <w:sz w:val="28"/>
          <w:szCs w:val="28"/>
          <w:shd w:val="clear" w:color="auto" w:fill="FFFFFF"/>
        </w:rPr>
        <w:t>Journal of Law and Sustainable Development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12</w:t>
      </w:r>
      <w:r w:rsidRPr="006A2E70">
        <w:rPr>
          <w:rFonts w:asciiTheme="majorBidi" w:hAnsiTheme="majorBidi" w:cstheme="majorBidi"/>
          <w:color w:val="222222"/>
          <w:sz w:val="28"/>
          <w:szCs w:val="28"/>
          <w:shd w:val="clear" w:color="auto" w:fill="FFFFFF"/>
        </w:rPr>
        <w:t>(1), e2808-e2808.</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1-32</w:t>
      </w:r>
    </w:p>
    <w:p w14:paraId="663E8A4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Alsulami</w:t>
      </w:r>
      <w:proofErr w:type="spellEnd"/>
      <w:r w:rsidRPr="006A2E70">
        <w:rPr>
          <w:rFonts w:asciiTheme="majorBidi" w:hAnsiTheme="majorBidi" w:cstheme="majorBidi"/>
          <w:color w:val="222222"/>
          <w:sz w:val="28"/>
          <w:szCs w:val="28"/>
          <w:shd w:val="clear" w:color="auto" w:fill="FFFFFF"/>
        </w:rPr>
        <w:t>, A. N. (2026). The Impact of Adopting Artificial Intelligence Systems on the Efficiency of Knowledge Management Processes: An Applied Study at Noon Saudi Arabia. </w:t>
      </w:r>
      <w:r w:rsidRPr="006A2E70">
        <w:rPr>
          <w:rFonts w:asciiTheme="majorBidi" w:hAnsiTheme="majorBidi" w:cstheme="majorBidi"/>
          <w:i/>
          <w:iCs/>
          <w:color w:val="222222"/>
          <w:sz w:val="28"/>
          <w:szCs w:val="28"/>
          <w:shd w:val="clear" w:color="auto" w:fill="FFFFFF"/>
        </w:rPr>
        <w:t>European Journal of Sustainable Development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(1), 504-504.</w:t>
      </w:r>
      <w:r w:rsidRPr="006A2E70">
        <w:rPr>
          <w:rFonts w:asciiTheme="majorBidi" w:hAnsiTheme="majorBidi" w:cstheme="majorBidi"/>
          <w:color w:val="222222"/>
          <w:sz w:val="28"/>
          <w:szCs w:val="28"/>
          <w:shd w:val="clear" w:color="auto" w:fill="FFFFFF"/>
          <w:rtl/>
        </w:rPr>
        <w:t>‏</w:t>
      </w:r>
    </w:p>
    <w:p w14:paraId="084B554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Al-</w:t>
      </w:r>
      <w:proofErr w:type="spellStart"/>
      <w:r w:rsidRPr="006A2E70">
        <w:rPr>
          <w:rFonts w:asciiTheme="majorBidi" w:hAnsiTheme="majorBidi" w:cstheme="majorBidi"/>
          <w:color w:val="222222"/>
          <w:sz w:val="28"/>
          <w:szCs w:val="28"/>
          <w:shd w:val="clear" w:color="auto" w:fill="FFFFFF"/>
        </w:rPr>
        <w:t>Surmi</w:t>
      </w:r>
      <w:proofErr w:type="spellEnd"/>
      <w:r w:rsidRPr="006A2E70">
        <w:rPr>
          <w:rFonts w:asciiTheme="majorBidi" w:hAnsiTheme="majorBidi" w:cstheme="majorBidi"/>
          <w:color w:val="222222"/>
          <w:sz w:val="28"/>
          <w:szCs w:val="28"/>
          <w:shd w:val="clear" w:color="auto" w:fill="FFFFFF"/>
        </w:rPr>
        <w:t xml:space="preserve">, A., Bashiri, M., &amp; </w:t>
      </w:r>
      <w:proofErr w:type="spellStart"/>
      <w:r w:rsidRPr="006A2E70">
        <w:rPr>
          <w:rFonts w:asciiTheme="majorBidi" w:hAnsiTheme="majorBidi" w:cstheme="majorBidi"/>
          <w:color w:val="222222"/>
          <w:sz w:val="28"/>
          <w:szCs w:val="28"/>
          <w:shd w:val="clear" w:color="auto" w:fill="FFFFFF"/>
        </w:rPr>
        <w:t>Koliousis</w:t>
      </w:r>
      <w:proofErr w:type="spellEnd"/>
      <w:r w:rsidRPr="006A2E70">
        <w:rPr>
          <w:rFonts w:asciiTheme="majorBidi" w:hAnsiTheme="majorBidi" w:cstheme="majorBidi"/>
          <w:color w:val="222222"/>
          <w:sz w:val="28"/>
          <w:szCs w:val="28"/>
          <w:shd w:val="clear" w:color="auto" w:fill="FFFFFF"/>
        </w:rPr>
        <w:t>, I. (2022). AI based decision making: combining strategies to improve operational performance. </w:t>
      </w:r>
      <w:r w:rsidRPr="006A2E70">
        <w:rPr>
          <w:rFonts w:asciiTheme="majorBidi" w:hAnsiTheme="majorBidi" w:cstheme="majorBidi"/>
          <w:i/>
          <w:iCs/>
          <w:color w:val="222222"/>
          <w:sz w:val="28"/>
          <w:szCs w:val="28"/>
          <w:shd w:val="clear" w:color="auto" w:fill="FFFFFF"/>
        </w:rPr>
        <w:t>International Journal of Production Research</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60</w:t>
      </w:r>
      <w:r w:rsidRPr="006A2E70">
        <w:rPr>
          <w:rFonts w:asciiTheme="majorBidi" w:hAnsiTheme="majorBidi" w:cstheme="majorBidi"/>
          <w:color w:val="222222"/>
          <w:sz w:val="28"/>
          <w:szCs w:val="28"/>
          <w:shd w:val="clear" w:color="auto" w:fill="FFFFFF"/>
        </w:rPr>
        <w:t>(14), 4464-4486.</w:t>
      </w:r>
      <w:r w:rsidRPr="006A2E70">
        <w:rPr>
          <w:rFonts w:asciiTheme="majorBidi" w:hAnsiTheme="majorBidi" w:cstheme="majorBidi"/>
          <w:color w:val="222222"/>
          <w:sz w:val="28"/>
          <w:szCs w:val="28"/>
          <w:shd w:val="clear" w:color="auto" w:fill="FFFFFF"/>
          <w:rtl/>
        </w:rPr>
        <w:t>‏</w:t>
      </w:r>
    </w:p>
    <w:p w14:paraId="4D145BD0"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lastRenderedPageBreak/>
        <w:t>Arabia, R. S. (2022). Readiness of HRM Departments in the Kingdom of Saudi Arabia to Integrate Artificial Intelligence Technologies into Their Practices.</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30-36</w:t>
      </w:r>
    </w:p>
    <w:p w14:paraId="21132989"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Badghish</w:t>
      </w:r>
      <w:proofErr w:type="spellEnd"/>
      <w:r w:rsidRPr="006A2E70">
        <w:rPr>
          <w:rFonts w:asciiTheme="majorBidi" w:hAnsiTheme="majorBidi" w:cstheme="majorBidi"/>
          <w:color w:val="222222"/>
          <w:sz w:val="28"/>
          <w:szCs w:val="28"/>
          <w:shd w:val="clear" w:color="auto" w:fill="FFFFFF"/>
        </w:rPr>
        <w:t xml:space="preserve">, S., &amp; Soomro, Y. A. (2024). Artificial intelligence adoption by SMEs to achieve sustainable business performance: application of technology–organization–environment framework. </w:t>
      </w:r>
      <w:r w:rsidRPr="006A2E70">
        <w:rPr>
          <w:rFonts w:asciiTheme="majorBidi" w:hAnsiTheme="majorBidi" w:cstheme="majorBidi"/>
          <w:i/>
          <w:iCs/>
          <w:color w:val="222222"/>
          <w:sz w:val="28"/>
          <w:szCs w:val="28"/>
          <w:shd w:val="clear" w:color="auto" w:fill="FFFFFF"/>
        </w:rPr>
        <w:t>Sustainability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16</w:t>
      </w:r>
      <w:r w:rsidRPr="006A2E70">
        <w:rPr>
          <w:rFonts w:asciiTheme="majorBidi" w:hAnsiTheme="majorBidi" w:cstheme="majorBidi"/>
          <w:color w:val="222222"/>
          <w:sz w:val="28"/>
          <w:szCs w:val="28"/>
          <w:shd w:val="clear" w:color="auto" w:fill="FFFFFF"/>
        </w:rPr>
        <w:t>(5), 1864.</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1-24</w:t>
      </w:r>
    </w:p>
    <w:p w14:paraId="772D209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Basir, A., </w:t>
      </w:r>
      <w:proofErr w:type="spellStart"/>
      <w:r w:rsidRPr="006A2E70">
        <w:rPr>
          <w:rFonts w:asciiTheme="majorBidi" w:hAnsiTheme="majorBidi" w:cstheme="majorBidi"/>
          <w:color w:val="222222"/>
          <w:sz w:val="28"/>
          <w:szCs w:val="28"/>
          <w:shd w:val="clear" w:color="auto" w:fill="FFFFFF"/>
        </w:rPr>
        <w:t>Puspitasari</w:t>
      </w:r>
      <w:proofErr w:type="spellEnd"/>
      <w:r w:rsidRPr="006A2E70">
        <w:rPr>
          <w:rFonts w:asciiTheme="majorBidi" w:hAnsiTheme="majorBidi" w:cstheme="majorBidi"/>
          <w:color w:val="222222"/>
          <w:sz w:val="28"/>
          <w:szCs w:val="28"/>
          <w:shd w:val="clear" w:color="auto" w:fill="FFFFFF"/>
        </w:rPr>
        <w:t xml:space="preserve">, E. D., </w:t>
      </w:r>
      <w:proofErr w:type="spellStart"/>
      <w:r w:rsidRPr="006A2E70">
        <w:rPr>
          <w:rFonts w:asciiTheme="majorBidi" w:hAnsiTheme="majorBidi" w:cstheme="majorBidi"/>
          <w:color w:val="222222"/>
          <w:sz w:val="28"/>
          <w:szCs w:val="28"/>
          <w:shd w:val="clear" w:color="auto" w:fill="FFFFFF"/>
        </w:rPr>
        <w:t>Aristarini</w:t>
      </w:r>
      <w:proofErr w:type="spellEnd"/>
      <w:r w:rsidRPr="006A2E70">
        <w:rPr>
          <w:rFonts w:asciiTheme="majorBidi" w:hAnsiTheme="majorBidi" w:cstheme="majorBidi"/>
          <w:color w:val="222222"/>
          <w:sz w:val="28"/>
          <w:szCs w:val="28"/>
          <w:shd w:val="clear" w:color="auto" w:fill="FFFFFF"/>
        </w:rPr>
        <w:t xml:space="preserve">, C. C., Sulastri, P. D., &amp; </w:t>
      </w:r>
      <w:proofErr w:type="spellStart"/>
      <w:r w:rsidRPr="006A2E70">
        <w:rPr>
          <w:rFonts w:asciiTheme="majorBidi" w:hAnsiTheme="majorBidi" w:cstheme="majorBidi"/>
          <w:color w:val="222222"/>
          <w:sz w:val="28"/>
          <w:szCs w:val="28"/>
          <w:shd w:val="clear" w:color="auto" w:fill="FFFFFF"/>
        </w:rPr>
        <w:t>Ausat</w:t>
      </w:r>
      <w:proofErr w:type="spellEnd"/>
      <w:r w:rsidRPr="006A2E70">
        <w:rPr>
          <w:rFonts w:asciiTheme="majorBidi" w:hAnsiTheme="majorBidi" w:cstheme="majorBidi"/>
          <w:color w:val="222222"/>
          <w:sz w:val="28"/>
          <w:szCs w:val="28"/>
          <w:shd w:val="clear" w:color="auto" w:fill="FFFFFF"/>
        </w:rPr>
        <w:t>, A. M. A. (2023). Ethical use of ChatGPT in the context of leadership and strategic decisions. </w:t>
      </w:r>
      <w:proofErr w:type="spellStart"/>
      <w:r w:rsidRPr="006A2E70">
        <w:rPr>
          <w:rFonts w:asciiTheme="majorBidi" w:hAnsiTheme="majorBidi" w:cstheme="majorBidi"/>
          <w:i/>
          <w:iCs/>
          <w:color w:val="222222"/>
          <w:sz w:val="28"/>
          <w:szCs w:val="28"/>
          <w:shd w:val="clear" w:color="auto" w:fill="FFFFFF"/>
        </w:rPr>
        <w:t>Jurnal</w:t>
      </w:r>
      <w:proofErr w:type="spellEnd"/>
      <w:r w:rsidRPr="006A2E70">
        <w:rPr>
          <w:rFonts w:asciiTheme="majorBidi" w:hAnsiTheme="majorBidi" w:cstheme="majorBidi"/>
          <w:i/>
          <w:iCs/>
          <w:color w:val="222222"/>
          <w:sz w:val="28"/>
          <w:szCs w:val="28"/>
          <w:shd w:val="clear" w:color="auto" w:fill="FFFFFF"/>
        </w:rPr>
        <w:t xml:space="preserve"> </w:t>
      </w:r>
      <w:proofErr w:type="spellStart"/>
      <w:r w:rsidRPr="006A2E70">
        <w:rPr>
          <w:rFonts w:asciiTheme="majorBidi" w:hAnsiTheme="majorBidi" w:cstheme="majorBidi"/>
          <w:i/>
          <w:iCs/>
          <w:color w:val="222222"/>
          <w:sz w:val="28"/>
          <w:szCs w:val="28"/>
          <w:shd w:val="clear" w:color="auto" w:fill="FFFFFF"/>
        </w:rPr>
        <w:t>Minfo</w:t>
      </w:r>
      <w:proofErr w:type="spellEnd"/>
      <w:r w:rsidRPr="006A2E70">
        <w:rPr>
          <w:rFonts w:asciiTheme="majorBidi" w:hAnsiTheme="majorBidi" w:cstheme="majorBidi"/>
          <w:i/>
          <w:iCs/>
          <w:color w:val="222222"/>
          <w:sz w:val="28"/>
          <w:szCs w:val="28"/>
          <w:shd w:val="clear" w:color="auto" w:fill="FFFFFF"/>
        </w:rPr>
        <w:t xml:space="preserve"> </w:t>
      </w:r>
      <w:proofErr w:type="spellStart"/>
      <w:r w:rsidRPr="006A2E70">
        <w:rPr>
          <w:rFonts w:asciiTheme="majorBidi" w:hAnsiTheme="majorBidi" w:cstheme="majorBidi"/>
          <w:i/>
          <w:iCs/>
          <w:color w:val="222222"/>
          <w:sz w:val="28"/>
          <w:szCs w:val="28"/>
          <w:shd w:val="clear" w:color="auto" w:fill="FFFFFF"/>
        </w:rPr>
        <w:t>Polgan</w:t>
      </w:r>
      <w:proofErr w:type="spellEnd"/>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12</w:t>
      </w:r>
      <w:r w:rsidRPr="006A2E70">
        <w:rPr>
          <w:rFonts w:asciiTheme="majorBidi" w:hAnsiTheme="majorBidi" w:cstheme="majorBidi"/>
          <w:color w:val="222222"/>
          <w:sz w:val="28"/>
          <w:szCs w:val="28"/>
          <w:shd w:val="clear" w:color="auto" w:fill="FFFFFF"/>
        </w:rPr>
        <w:t>(1), 1239-1246.</w:t>
      </w:r>
      <w:r w:rsidRPr="006A2E70">
        <w:rPr>
          <w:rFonts w:asciiTheme="majorBidi" w:hAnsiTheme="majorBidi" w:cstheme="majorBidi"/>
          <w:color w:val="222222"/>
          <w:sz w:val="28"/>
          <w:szCs w:val="28"/>
          <w:shd w:val="clear" w:color="auto" w:fill="FFFFFF"/>
          <w:rtl/>
        </w:rPr>
        <w:t>‏</w:t>
      </w:r>
    </w:p>
    <w:p w14:paraId="194941EA"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Basu, R., Lim, W. M., Kumar, A., &amp; Kumar, S. (2023). Marketing analytics: The bridge between customer psychology and marketing decision‐making. </w:t>
      </w:r>
      <w:r w:rsidRPr="006A2E70">
        <w:rPr>
          <w:rFonts w:asciiTheme="majorBidi" w:hAnsiTheme="majorBidi" w:cstheme="majorBidi"/>
          <w:i/>
          <w:iCs/>
          <w:color w:val="222222"/>
          <w:sz w:val="28"/>
          <w:szCs w:val="28"/>
          <w:shd w:val="clear" w:color="auto" w:fill="FFFFFF"/>
        </w:rPr>
        <w:t>Psychology &amp; Marketing</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40</w:t>
      </w:r>
      <w:r w:rsidRPr="006A2E70">
        <w:rPr>
          <w:rFonts w:asciiTheme="majorBidi" w:hAnsiTheme="majorBidi" w:cstheme="majorBidi"/>
          <w:color w:val="222222"/>
          <w:sz w:val="28"/>
          <w:szCs w:val="28"/>
          <w:shd w:val="clear" w:color="auto" w:fill="FFFFFF"/>
        </w:rPr>
        <w:t>(12), 2588-2611.</w:t>
      </w:r>
      <w:r w:rsidRPr="006A2E70">
        <w:rPr>
          <w:rFonts w:asciiTheme="majorBidi" w:hAnsiTheme="majorBidi" w:cstheme="majorBidi"/>
          <w:color w:val="222222"/>
          <w:sz w:val="28"/>
          <w:szCs w:val="28"/>
          <w:shd w:val="clear" w:color="auto" w:fill="FFFFFF"/>
          <w:rtl/>
        </w:rPr>
        <w:t>‏</w:t>
      </w:r>
    </w:p>
    <w:p w14:paraId="2A7272D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Binsaeed</w:t>
      </w:r>
      <w:proofErr w:type="spellEnd"/>
      <w:r w:rsidRPr="006A2E70">
        <w:rPr>
          <w:rFonts w:asciiTheme="majorBidi" w:hAnsiTheme="majorBidi" w:cstheme="majorBidi"/>
          <w:color w:val="222222"/>
          <w:sz w:val="28"/>
          <w:szCs w:val="28"/>
          <w:shd w:val="clear" w:color="auto" w:fill="FFFFFF"/>
        </w:rPr>
        <w:t xml:space="preserve">, R. H., Yousaf, Z., Grigorescu, A., Samoila, A., Chitescu, R. I., &amp; </w:t>
      </w:r>
      <w:proofErr w:type="spellStart"/>
      <w:r w:rsidRPr="006A2E70">
        <w:rPr>
          <w:rFonts w:asciiTheme="majorBidi" w:hAnsiTheme="majorBidi" w:cstheme="majorBidi"/>
          <w:color w:val="222222"/>
          <w:sz w:val="28"/>
          <w:szCs w:val="28"/>
          <w:shd w:val="clear" w:color="auto" w:fill="FFFFFF"/>
        </w:rPr>
        <w:t>Nassani</w:t>
      </w:r>
      <w:proofErr w:type="spellEnd"/>
      <w:r w:rsidRPr="006A2E70">
        <w:rPr>
          <w:rFonts w:asciiTheme="majorBidi" w:hAnsiTheme="majorBidi" w:cstheme="majorBidi"/>
          <w:color w:val="222222"/>
          <w:sz w:val="28"/>
          <w:szCs w:val="28"/>
          <w:shd w:val="clear" w:color="auto" w:fill="FFFFFF"/>
        </w:rPr>
        <w:t>, A. A. (2023). Knowledge sharing key issue for digital technology and artificial intelligence adoption. </w:t>
      </w:r>
      <w:r w:rsidRPr="006A2E70">
        <w:rPr>
          <w:rFonts w:asciiTheme="majorBidi" w:hAnsiTheme="majorBidi" w:cstheme="majorBidi"/>
          <w:i/>
          <w:iCs/>
          <w:color w:val="222222"/>
          <w:sz w:val="28"/>
          <w:szCs w:val="28"/>
          <w:shd w:val="clear" w:color="auto" w:fill="FFFFFF"/>
        </w:rPr>
        <w:t>Systems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11</w:t>
      </w:r>
      <w:r w:rsidRPr="006A2E70">
        <w:rPr>
          <w:rFonts w:asciiTheme="majorBidi" w:hAnsiTheme="majorBidi" w:cstheme="majorBidi"/>
          <w:color w:val="222222"/>
          <w:sz w:val="28"/>
          <w:szCs w:val="28"/>
          <w:shd w:val="clear" w:color="auto" w:fill="FFFFFF"/>
        </w:rPr>
        <w:t>(7), 316.</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1-16</w:t>
      </w:r>
    </w:p>
    <w:p w14:paraId="03AD85B8"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Brundin, E., &amp; </w:t>
      </w:r>
      <w:proofErr w:type="spellStart"/>
      <w:r w:rsidRPr="006A2E70">
        <w:rPr>
          <w:rFonts w:asciiTheme="majorBidi" w:hAnsiTheme="majorBidi" w:cstheme="majorBidi"/>
          <w:color w:val="222222"/>
          <w:sz w:val="28"/>
          <w:szCs w:val="28"/>
          <w:shd w:val="clear" w:color="auto" w:fill="FFFFFF"/>
        </w:rPr>
        <w:t>Languilaire</w:t>
      </w:r>
      <w:proofErr w:type="spellEnd"/>
      <w:r w:rsidRPr="006A2E70">
        <w:rPr>
          <w:rFonts w:asciiTheme="majorBidi" w:hAnsiTheme="majorBidi" w:cstheme="majorBidi"/>
          <w:color w:val="222222"/>
          <w:sz w:val="28"/>
          <w:szCs w:val="28"/>
          <w:shd w:val="clear" w:color="auto" w:fill="FFFFFF"/>
        </w:rPr>
        <w:t>, J. C. (2023). When the display of emotion is not enough: An emotion boundary management perspective on the quality of strategic decisions. </w:t>
      </w:r>
      <w:r w:rsidRPr="006A2E70">
        <w:rPr>
          <w:rFonts w:asciiTheme="majorBidi" w:hAnsiTheme="majorBidi" w:cstheme="majorBidi"/>
          <w:i/>
          <w:iCs/>
          <w:color w:val="222222"/>
          <w:sz w:val="28"/>
          <w:szCs w:val="28"/>
          <w:shd w:val="clear" w:color="auto" w:fill="FFFFFF"/>
        </w:rPr>
        <w:t>Long Range Planning</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56</w:t>
      </w:r>
      <w:r w:rsidRPr="006A2E70">
        <w:rPr>
          <w:rFonts w:asciiTheme="majorBidi" w:hAnsiTheme="majorBidi" w:cstheme="majorBidi"/>
          <w:color w:val="222222"/>
          <w:sz w:val="28"/>
          <w:szCs w:val="28"/>
          <w:shd w:val="clear" w:color="auto" w:fill="FFFFFF"/>
        </w:rPr>
        <w:t>(5), 102245.</w:t>
      </w:r>
      <w:r w:rsidRPr="006A2E70">
        <w:rPr>
          <w:rFonts w:asciiTheme="majorBidi" w:hAnsiTheme="majorBidi" w:cstheme="majorBidi"/>
          <w:color w:val="222222"/>
          <w:sz w:val="28"/>
          <w:szCs w:val="28"/>
          <w:shd w:val="clear" w:color="auto" w:fill="FFFFFF"/>
          <w:rtl/>
        </w:rPr>
        <w:t>‏</w:t>
      </w:r>
    </w:p>
    <w:p w14:paraId="32EF99D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lastRenderedPageBreak/>
        <w:t>Camuffo, A., Gambardella, A., &amp; Pignataro, A. (2023). Framing strategic decisions in the digital world. </w:t>
      </w:r>
      <w:r w:rsidRPr="006A2E70">
        <w:rPr>
          <w:rFonts w:asciiTheme="majorBidi" w:hAnsiTheme="majorBidi" w:cstheme="majorBidi"/>
          <w:i/>
          <w:iCs/>
          <w:color w:val="222222"/>
          <w:sz w:val="28"/>
          <w:szCs w:val="28"/>
          <w:shd w:val="clear" w:color="auto" w:fill="FFFFFF"/>
        </w:rPr>
        <w:t>Strategic Management Review</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4</w:t>
      </w:r>
      <w:r w:rsidRPr="006A2E70">
        <w:rPr>
          <w:rFonts w:asciiTheme="majorBidi" w:hAnsiTheme="majorBidi" w:cstheme="majorBidi"/>
          <w:color w:val="222222"/>
          <w:sz w:val="28"/>
          <w:szCs w:val="28"/>
          <w:shd w:val="clear" w:color="auto" w:fill="FFFFFF"/>
        </w:rPr>
        <w:t>(2), 127-160.</w:t>
      </w:r>
      <w:r w:rsidRPr="006A2E70">
        <w:rPr>
          <w:rFonts w:asciiTheme="majorBidi" w:hAnsiTheme="majorBidi" w:cstheme="majorBidi"/>
          <w:color w:val="222222"/>
          <w:sz w:val="28"/>
          <w:szCs w:val="28"/>
          <w:shd w:val="clear" w:color="auto" w:fill="FFFFFF"/>
          <w:rtl/>
        </w:rPr>
        <w:t>‏</w:t>
      </w:r>
    </w:p>
    <w:p w14:paraId="2CEEB211"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Csaszar, F. A., Ketkar, H., &amp; Kim, H. (2024). Artificial intelligence and strategic decision-making: Evidence from entrepreneurs and investors. </w:t>
      </w:r>
      <w:r w:rsidRPr="006A2E70">
        <w:rPr>
          <w:rFonts w:asciiTheme="majorBidi" w:hAnsiTheme="majorBidi" w:cstheme="majorBidi"/>
          <w:i/>
          <w:iCs/>
          <w:color w:val="222222"/>
          <w:sz w:val="28"/>
          <w:szCs w:val="28"/>
          <w:shd w:val="clear" w:color="auto" w:fill="FFFFFF"/>
        </w:rPr>
        <w:t>Strategy Science</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9</w:t>
      </w:r>
      <w:r w:rsidRPr="006A2E70">
        <w:rPr>
          <w:rFonts w:asciiTheme="majorBidi" w:hAnsiTheme="majorBidi" w:cstheme="majorBidi"/>
          <w:color w:val="222222"/>
          <w:sz w:val="28"/>
          <w:szCs w:val="28"/>
          <w:shd w:val="clear" w:color="auto" w:fill="FFFFFF"/>
        </w:rPr>
        <w:t>(4), 322-345.</w:t>
      </w:r>
      <w:r w:rsidRPr="006A2E70">
        <w:rPr>
          <w:rFonts w:asciiTheme="majorBidi" w:hAnsiTheme="majorBidi" w:cstheme="majorBidi"/>
          <w:color w:val="222222"/>
          <w:sz w:val="28"/>
          <w:szCs w:val="28"/>
          <w:shd w:val="clear" w:color="auto" w:fill="FFFFFF"/>
          <w:rtl/>
        </w:rPr>
        <w:t>‏</w:t>
      </w:r>
    </w:p>
    <w:p w14:paraId="5C31F68A"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Doshi, A. R., Bell, J. J., Mirzayev, E., &amp; Vanneste, B. S. (2025). Generative artificial intelligence and evaluating strategic decisions. </w:t>
      </w:r>
      <w:r w:rsidRPr="006A2E70">
        <w:rPr>
          <w:rFonts w:asciiTheme="majorBidi" w:hAnsiTheme="majorBidi" w:cstheme="majorBidi"/>
          <w:i/>
          <w:iCs/>
          <w:color w:val="222222"/>
          <w:sz w:val="28"/>
          <w:szCs w:val="28"/>
          <w:shd w:val="clear" w:color="auto" w:fill="FFFFFF"/>
        </w:rPr>
        <w:t>Strategic Management Journal</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46</w:t>
      </w:r>
      <w:r w:rsidRPr="006A2E70">
        <w:rPr>
          <w:rFonts w:asciiTheme="majorBidi" w:hAnsiTheme="majorBidi" w:cstheme="majorBidi"/>
          <w:color w:val="222222"/>
          <w:sz w:val="28"/>
          <w:szCs w:val="28"/>
          <w:shd w:val="clear" w:color="auto" w:fill="FFFFFF"/>
        </w:rPr>
        <w:t>(3), 583-610.</w:t>
      </w:r>
      <w:r w:rsidRPr="006A2E70">
        <w:rPr>
          <w:rFonts w:asciiTheme="majorBidi" w:hAnsiTheme="majorBidi" w:cstheme="majorBidi"/>
          <w:color w:val="222222"/>
          <w:sz w:val="28"/>
          <w:szCs w:val="28"/>
          <w:shd w:val="clear" w:color="auto" w:fill="FFFFFF"/>
          <w:rtl/>
        </w:rPr>
        <w:t>‏</w:t>
      </w:r>
    </w:p>
    <w:p w14:paraId="03CBE71A"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Eberhard, K. (2023). The effects of visualization on judgment and decision-making: a systematic literature review. </w:t>
      </w:r>
      <w:r w:rsidRPr="006A2E70">
        <w:rPr>
          <w:rFonts w:asciiTheme="majorBidi" w:hAnsiTheme="majorBidi" w:cstheme="majorBidi"/>
          <w:i/>
          <w:iCs/>
          <w:color w:val="222222"/>
          <w:sz w:val="28"/>
          <w:szCs w:val="28"/>
          <w:shd w:val="clear" w:color="auto" w:fill="FFFFFF"/>
        </w:rPr>
        <w:t>Management Review Quarterly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73</w:t>
      </w:r>
      <w:r w:rsidRPr="006A2E70">
        <w:rPr>
          <w:rFonts w:asciiTheme="majorBidi" w:hAnsiTheme="majorBidi" w:cstheme="majorBidi"/>
          <w:color w:val="222222"/>
          <w:sz w:val="28"/>
          <w:szCs w:val="28"/>
          <w:shd w:val="clear" w:color="auto" w:fill="FFFFFF"/>
        </w:rPr>
        <w:t>(1), 167-214.</w:t>
      </w:r>
      <w:r w:rsidRPr="006A2E70">
        <w:rPr>
          <w:rFonts w:asciiTheme="majorBidi" w:hAnsiTheme="majorBidi" w:cstheme="majorBidi"/>
          <w:color w:val="222222"/>
          <w:sz w:val="28"/>
          <w:szCs w:val="28"/>
          <w:shd w:val="clear" w:color="auto" w:fill="FFFFFF"/>
          <w:rtl/>
        </w:rPr>
        <w:t>‏</w:t>
      </w:r>
    </w:p>
    <w:p w14:paraId="406D7130"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Eberhard, K., &amp; Wulf, T. (2025). Information visualization and strategic problem comprehension as drivers of strategic decisions. </w:t>
      </w:r>
      <w:r w:rsidRPr="006A2E70">
        <w:rPr>
          <w:rFonts w:asciiTheme="majorBidi" w:hAnsiTheme="majorBidi" w:cstheme="majorBidi"/>
          <w:i/>
          <w:iCs/>
          <w:color w:val="222222"/>
          <w:sz w:val="28"/>
          <w:szCs w:val="28"/>
          <w:shd w:val="clear" w:color="auto" w:fill="FFFFFF"/>
        </w:rPr>
        <w:t>European Management Journal</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43</w:t>
      </w:r>
      <w:r w:rsidRPr="006A2E70">
        <w:rPr>
          <w:rFonts w:asciiTheme="majorBidi" w:hAnsiTheme="majorBidi" w:cstheme="majorBidi"/>
          <w:color w:val="222222"/>
          <w:sz w:val="28"/>
          <w:szCs w:val="28"/>
          <w:shd w:val="clear" w:color="auto" w:fill="FFFFFF"/>
        </w:rPr>
        <w:t>(1), 130-141.</w:t>
      </w:r>
      <w:r w:rsidRPr="006A2E70">
        <w:rPr>
          <w:rFonts w:asciiTheme="majorBidi" w:hAnsiTheme="majorBidi" w:cstheme="majorBidi"/>
          <w:color w:val="222222"/>
          <w:sz w:val="28"/>
          <w:szCs w:val="28"/>
          <w:shd w:val="clear" w:color="auto" w:fill="FFFFFF"/>
          <w:rtl/>
        </w:rPr>
        <w:t>‏</w:t>
      </w:r>
    </w:p>
    <w:p w14:paraId="419C26BD"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Felemban, H., Sohail, M., &amp; </w:t>
      </w:r>
      <w:proofErr w:type="spellStart"/>
      <w:r w:rsidRPr="006A2E70">
        <w:rPr>
          <w:rFonts w:asciiTheme="majorBidi" w:hAnsiTheme="majorBidi" w:cstheme="majorBidi"/>
          <w:color w:val="222222"/>
          <w:sz w:val="28"/>
          <w:szCs w:val="28"/>
          <w:shd w:val="clear" w:color="auto" w:fill="FFFFFF"/>
        </w:rPr>
        <w:t>Ruikar</w:t>
      </w:r>
      <w:proofErr w:type="spellEnd"/>
      <w:r w:rsidRPr="006A2E70">
        <w:rPr>
          <w:rFonts w:asciiTheme="majorBidi" w:hAnsiTheme="majorBidi" w:cstheme="majorBidi"/>
          <w:color w:val="222222"/>
          <w:sz w:val="28"/>
          <w:szCs w:val="28"/>
          <w:shd w:val="clear" w:color="auto" w:fill="FFFFFF"/>
        </w:rPr>
        <w:t xml:space="preserve">, K. (2024). Exploring the readiness of </w:t>
      </w:r>
      <w:proofErr w:type="spellStart"/>
      <w:r w:rsidRPr="006A2E70">
        <w:rPr>
          <w:rFonts w:asciiTheme="majorBidi" w:hAnsiTheme="majorBidi" w:cstheme="majorBidi"/>
          <w:color w:val="222222"/>
          <w:sz w:val="28"/>
          <w:szCs w:val="28"/>
          <w:shd w:val="clear" w:color="auto" w:fill="FFFFFF"/>
        </w:rPr>
        <w:t>organisations</w:t>
      </w:r>
      <w:proofErr w:type="spellEnd"/>
      <w:r w:rsidRPr="006A2E70">
        <w:rPr>
          <w:rFonts w:asciiTheme="majorBidi" w:hAnsiTheme="majorBidi" w:cstheme="majorBidi"/>
          <w:color w:val="222222"/>
          <w:sz w:val="28"/>
          <w:szCs w:val="28"/>
          <w:shd w:val="clear" w:color="auto" w:fill="FFFFFF"/>
        </w:rPr>
        <w:t xml:space="preserve"> to adopt artificial intelligence. </w:t>
      </w:r>
      <w:r w:rsidRPr="006A2E70">
        <w:rPr>
          <w:rFonts w:asciiTheme="majorBidi" w:hAnsiTheme="majorBidi" w:cstheme="majorBidi"/>
          <w:i/>
          <w:iCs/>
          <w:color w:val="222222"/>
          <w:sz w:val="28"/>
          <w:szCs w:val="28"/>
          <w:shd w:val="clear" w:color="auto" w:fill="FFFFFF"/>
        </w:rPr>
        <w:t>Buildings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w:t>
      </w:r>
      <w:r w:rsidRPr="006A2E70">
        <w:rPr>
          <w:rFonts w:asciiTheme="majorBidi" w:hAnsiTheme="majorBidi" w:cstheme="majorBidi"/>
          <w:color w:val="222222"/>
          <w:sz w:val="28"/>
          <w:szCs w:val="28"/>
          <w:shd w:val="clear" w:color="auto" w:fill="FFFFFF"/>
        </w:rPr>
        <w:t>(8), 2460.</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1-21</w:t>
      </w:r>
    </w:p>
    <w:p w14:paraId="1E86F482"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Ghonim, M. A., </w:t>
      </w:r>
      <w:proofErr w:type="spellStart"/>
      <w:r w:rsidRPr="006A2E70">
        <w:rPr>
          <w:rFonts w:asciiTheme="majorBidi" w:hAnsiTheme="majorBidi" w:cstheme="majorBidi"/>
          <w:color w:val="222222"/>
          <w:sz w:val="28"/>
          <w:szCs w:val="28"/>
          <w:shd w:val="clear" w:color="auto" w:fill="FFFFFF"/>
        </w:rPr>
        <w:t>Khashaba</w:t>
      </w:r>
      <w:proofErr w:type="spellEnd"/>
      <w:r w:rsidRPr="006A2E70">
        <w:rPr>
          <w:rFonts w:asciiTheme="majorBidi" w:hAnsiTheme="majorBidi" w:cstheme="majorBidi"/>
          <w:color w:val="222222"/>
          <w:sz w:val="28"/>
          <w:szCs w:val="28"/>
          <w:shd w:val="clear" w:color="auto" w:fill="FFFFFF"/>
        </w:rPr>
        <w:t>, N. M., Al-</w:t>
      </w:r>
      <w:proofErr w:type="spellStart"/>
      <w:r w:rsidRPr="006A2E70">
        <w:rPr>
          <w:rFonts w:asciiTheme="majorBidi" w:hAnsiTheme="majorBidi" w:cstheme="majorBidi"/>
          <w:color w:val="222222"/>
          <w:sz w:val="28"/>
          <w:szCs w:val="28"/>
          <w:shd w:val="clear" w:color="auto" w:fill="FFFFFF"/>
        </w:rPr>
        <w:t>Najaar</w:t>
      </w:r>
      <w:proofErr w:type="spellEnd"/>
      <w:r w:rsidRPr="006A2E70">
        <w:rPr>
          <w:rFonts w:asciiTheme="majorBidi" w:hAnsiTheme="majorBidi" w:cstheme="majorBidi"/>
          <w:color w:val="222222"/>
          <w:sz w:val="28"/>
          <w:szCs w:val="28"/>
          <w:shd w:val="clear" w:color="auto" w:fill="FFFFFF"/>
        </w:rPr>
        <w:t>, H. M., &amp; Khashan, M. A. (2022). Strategic alignment and its impact on decision effectiveness: a comprehensive model. </w:t>
      </w:r>
      <w:r w:rsidRPr="006A2E70">
        <w:rPr>
          <w:rFonts w:asciiTheme="majorBidi" w:hAnsiTheme="majorBidi" w:cstheme="majorBidi"/>
          <w:i/>
          <w:iCs/>
          <w:color w:val="222222"/>
          <w:sz w:val="28"/>
          <w:szCs w:val="28"/>
          <w:shd w:val="clear" w:color="auto" w:fill="FFFFFF"/>
        </w:rPr>
        <w:t>International Journal of Emerging Markets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17</w:t>
      </w:r>
      <w:r w:rsidRPr="006A2E70">
        <w:rPr>
          <w:rFonts w:asciiTheme="majorBidi" w:hAnsiTheme="majorBidi" w:cstheme="majorBidi"/>
          <w:color w:val="222222"/>
          <w:sz w:val="28"/>
          <w:szCs w:val="28"/>
          <w:shd w:val="clear" w:color="auto" w:fill="FFFFFF"/>
        </w:rPr>
        <w:t>(1), 198-218.</w:t>
      </w:r>
      <w:r w:rsidRPr="006A2E70">
        <w:rPr>
          <w:rFonts w:asciiTheme="majorBidi" w:hAnsiTheme="majorBidi" w:cstheme="majorBidi"/>
          <w:color w:val="222222"/>
          <w:sz w:val="28"/>
          <w:szCs w:val="28"/>
          <w:shd w:val="clear" w:color="auto" w:fill="FFFFFF"/>
          <w:rtl/>
        </w:rPr>
        <w:t>‏</w:t>
      </w:r>
    </w:p>
    <w:p w14:paraId="3A5EDC8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Hicham, B., &amp; Hamza, D. T. (2024). Dimensions of artificial intelligence and data strategies in industrial enterprises and </w:t>
      </w:r>
      <w:r w:rsidRPr="006A2E70">
        <w:rPr>
          <w:rFonts w:asciiTheme="majorBidi" w:hAnsiTheme="majorBidi" w:cstheme="majorBidi"/>
          <w:color w:val="222222"/>
          <w:sz w:val="28"/>
          <w:szCs w:val="28"/>
          <w:shd w:val="clear" w:color="auto" w:fill="FFFFFF"/>
        </w:rPr>
        <w:lastRenderedPageBreak/>
        <w:t>achieving sustainable leadership: A reading in the Saudi Industrial National Strategy 2016-2030. </w:t>
      </w:r>
      <w:r w:rsidRPr="006A2E70">
        <w:rPr>
          <w:rFonts w:asciiTheme="majorBidi" w:hAnsiTheme="majorBidi" w:cstheme="majorBidi"/>
          <w:i/>
          <w:iCs/>
          <w:color w:val="222222"/>
          <w:sz w:val="28"/>
          <w:szCs w:val="28"/>
          <w:shd w:val="clear" w:color="auto" w:fill="FFFFFF"/>
        </w:rPr>
        <w:t>Journal of North African Economies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20</w:t>
      </w:r>
      <w:r w:rsidRPr="006A2E70">
        <w:rPr>
          <w:rFonts w:asciiTheme="majorBidi" w:hAnsiTheme="majorBidi" w:cstheme="majorBidi"/>
          <w:color w:val="222222"/>
          <w:sz w:val="28"/>
          <w:szCs w:val="28"/>
          <w:shd w:val="clear" w:color="auto" w:fill="FFFFFF"/>
        </w:rPr>
        <w:t>(34), 185-204.</w:t>
      </w:r>
      <w:r w:rsidRPr="006A2E70">
        <w:rPr>
          <w:rFonts w:asciiTheme="majorBidi" w:hAnsiTheme="majorBidi" w:cstheme="majorBidi"/>
          <w:color w:val="222222"/>
          <w:sz w:val="28"/>
          <w:szCs w:val="28"/>
          <w:shd w:val="clear" w:color="auto" w:fill="FFFFFF"/>
          <w:rtl/>
        </w:rPr>
        <w:t>‏</w:t>
      </w:r>
    </w:p>
    <w:p w14:paraId="643EA41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Hicham, N., </w:t>
      </w:r>
      <w:proofErr w:type="spellStart"/>
      <w:r w:rsidRPr="006A2E70">
        <w:rPr>
          <w:rFonts w:asciiTheme="majorBidi" w:hAnsiTheme="majorBidi" w:cstheme="majorBidi"/>
          <w:color w:val="222222"/>
          <w:sz w:val="28"/>
          <w:szCs w:val="28"/>
          <w:shd w:val="clear" w:color="auto" w:fill="FFFFFF"/>
        </w:rPr>
        <w:t>Nassera</w:t>
      </w:r>
      <w:proofErr w:type="spellEnd"/>
      <w:r w:rsidRPr="006A2E70">
        <w:rPr>
          <w:rFonts w:asciiTheme="majorBidi" w:hAnsiTheme="majorBidi" w:cstheme="majorBidi"/>
          <w:color w:val="222222"/>
          <w:sz w:val="28"/>
          <w:szCs w:val="28"/>
          <w:shd w:val="clear" w:color="auto" w:fill="FFFFFF"/>
        </w:rPr>
        <w:t>, H., &amp; Karim, S. (2023). Strategic framework for leveraging artificial intelligence in future marketing decision-making. </w:t>
      </w:r>
      <w:r w:rsidRPr="006A2E70">
        <w:rPr>
          <w:rFonts w:asciiTheme="majorBidi" w:hAnsiTheme="majorBidi" w:cstheme="majorBidi"/>
          <w:i/>
          <w:iCs/>
          <w:color w:val="222222"/>
          <w:sz w:val="28"/>
          <w:szCs w:val="28"/>
          <w:shd w:val="clear" w:color="auto" w:fill="FFFFFF"/>
        </w:rPr>
        <w:t>Journal of Intelligent Management Decision</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w:t>
      </w:r>
      <w:r w:rsidRPr="006A2E70">
        <w:rPr>
          <w:rFonts w:asciiTheme="majorBidi" w:hAnsiTheme="majorBidi" w:cstheme="majorBidi"/>
          <w:color w:val="222222"/>
          <w:sz w:val="28"/>
          <w:szCs w:val="28"/>
          <w:shd w:val="clear" w:color="auto" w:fill="FFFFFF"/>
        </w:rPr>
        <w:t>(3), 139-150.</w:t>
      </w:r>
      <w:r w:rsidRPr="006A2E70">
        <w:rPr>
          <w:rFonts w:asciiTheme="majorBidi" w:hAnsiTheme="majorBidi" w:cstheme="majorBidi"/>
          <w:color w:val="222222"/>
          <w:sz w:val="28"/>
          <w:szCs w:val="28"/>
          <w:shd w:val="clear" w:color="auto" w:fill="FFFFFF"/>
          <w:rtl/>
        </w:rPr>
        <w:t>‏</w:t>
      </w:r>
    </w:p>
    <w:p w14:paraId="522B0FE1"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6A2E70">
        <w:rPr>
          <w:rFonts w:asciiTheme="majorBidi" w:hAnsiTheme="majorBidi" w:cstheme="majorBidi"/>
          <w:color w:val="222222"/>
          <w:sz w:val="28"/>
          <w:szCs w:val="28"/>
          <w:shd w:val="clear" w:color="auto" w:fill="FFFFFF"/>
        </w:rPr>
        <w:t>Iastremska</w:t>
      </w:r>
      <w:proofErr w:type="spellEnd"/>
      <w:r w:rsidRPr="006A2E70">
        <w:rPr>
          <w:rFonts w:asciiTheme="majorBidi" w:hAnsiTheme="majorBidi" w:cstheme="majorBidi"/>
          <w:color w:val="222222"/>
          <w:sz w:val="28"/>
          <w:szCs w:val="28"/>
          <w:shd w:val="clear" w:color="auto" w:fill="FFFFFF"/>
        </w:rPr>
        <w:t xml:space="preserve">, O., Tryfonova, O., Mantaliuk, O., &amp; </w:t>
      </w:r>
      <w:proofErr w:type="spellStart"/>
      <w:r w:rsidRPr="006A2E70">
        <w:rPr>
          <w:rFonts w:asciiTheme="majorBidi" w:hAnsiTheme="majorBidi" w:cstheme="majorBidi"/>
          <w:color w:val="222222"/>
          <w:sz w:val="28"/>
          <w:szCs w:val="28"/>
          <w:shd w:val="clear" w:color="auto" w:fill="FFFFFF"/>
        </w:rPr>
        <w:t>Baranets</w:t>
      </w:r>
      <w:proofErr w:type="spellEnd"/>
      <w:r w:rsidRPr="006A2E70">
        <w:rPr>
          <w:rFonts w:asciiTheme="majorBidi" w:hAnsiTheme="majorBidi" w:cstheme="majorBidi"/>
          <w:color w:val="222222"/>
          <w:sz w:val="28"/>
          <w:szCs w:val="28"/>
          <w:shd w:val="clear" w:color="auto" w:fill="FFFFFF"/>
        </w:rPr>
        <w:t xml:space="preserve">, H. (2023). The impact of strategic decisions on the future development of </w:t>
      </w:r>
      <w:proofErr w:type="spellStart"/>
      <w:r w:rsidRPr="006A2E70">
        <w:rPr>
          <w:rFonts w:asciiTheme="majorBidi" w:hAnsiTheme="majorBidi" w:cstheme="majorBidi"/>
          <w:color w:val="222222"/>
          <w:sz w:val="28"/>
          <w:szCs w:val="28"/>
          <w:shd w:val="clear" w:color="auto" w:fill="FFFFFF"/>
        </w:rPr>
        <w:t>organisations</w:t>
      </w:r>
      <w:proofErr w:type="spellEnd"/>
      <w:r w:rsidRPr="006A2E70">
        <w:rPr>
          <w:rFonts w:asciiTheme="majorBidi" w:hAnsiTheme="majorBidi" w:cstheme="majorBidi"/>
          <w:color w:val="222222"/>
          <w:sz w:val="28"/>
          <w:szCs w:val="28"/>
          <w:shd w:val="clear" w:color="auto" w:fill="FFFFFF"/>
        </w:rPr>
        <w:t xml:space="preserve"> and economic dynamics. </w:t>
      </w:r>
      <w:r w:rsidRPr="006A2E70">
        <w:rPr>
          <w:rFonts w:asciiTheme="majorBidi" w:hAnsiTheme="majorBidi" w:cstheme="majorBidi"/>
          <w:i/>
          <w:iCs/>
          <w:color w:val="222222"/>
          <w:sz w:val="28"/>
          <w:szCs w:val="28"/>
          <w:shd w:val="clear" w:color="auto" w:fill="FFFFFF"/>
        </w:rPr>
        <w:t xml:space="preserve">Futurity </w:t>
      </w:r>
      <w:proofErr w:type="spellStart"/>
      <w:r w:rsidRPr="006A2E70">
        <w:rPr>
          <w:rFonts w:asciiTheme="majorBidi" w:hAnsiTheme="majorBidi" w:cstheme="majorBidi"/>
          <w:i/>
          <w:iCs/>
          <w:color w:val="222222"/>
          <w:sz w:val="28"/>
          <w:szCs w:val="28"/>
          <w:shd w:val="clear" w:color="auto" w:fill="FFFFFF"/>
        </w:rPr>
        <w:t>Economics&amp;Law</w:t>
      </w:r>
      <w:proofErr w:type="spellEnd"/>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3</w:t>
      </w:r>
      <w:r w:rsidRPr="006A2E70">
        <w:rPr>
          <w:rFonts w:asciiTheme="majorBidi" w:hAnsiTheme="majorBidi" w:cstheme="majorBidi"/>
          <w:color w:val="222222"/>
          <w:sz w:val="28"/>
          <w:szCs w:val="28"/>
          <w:shd w:val="clear" w:color="auto" w:fill="FFFFFF"/>
        </w:rPr>
        <w:t>(4), 117-133.</w:t>
      </w:r>
      <w:r w:rsidRPr="006A2E70">
        <w:rPr>
          <w:rFonts w:asciiTheme="majorBidi" w:hAnsiTheme="majorBidi" w:cstheme="majorBidi"/>
          <w:color w:val="222222"/>
          <w:sz w:val="28"/>
          <w:szCs w:val="28"/>
          <w:shd w:val="clear" w:color="auto" w:fill="FFFFFF"/>
          <w:rtl/>
        </w:rPr>
        <w:t>‏</w:t>
      </w:r>
    </w:p>
    <w:p w14:paraId="590D03AD"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Kaggwa, S., </w:t>
      </w:r>
      <w:proofErr w:type="spellStart"/>
      <w:r w:rsidRPr="006A2E70">
        <w:rPr>
          <w:rFonts w:asciiTheme="majorBidi" w:hAnsiTheme="majorBidi" w:cstheme="majorBidi"/>
          <w:color w:val="222222"/>
          <w:sz w:val="28"/>
          <w:szCs w:val="28"/>
          <w:shd w:val="clear" w:color="auto" w:fill="FFFFFF"/>
        </w:rPr>
        <w:t>Eleogu</w:t>
      </w:r>
      <w:proofErr w:type="spellEnd"/>
      <w:r w:rsidRPr="006A2E70">
        <w:rPr>
          <w:rFonts w:asciiTheme="majorBidi" w:hAnsiTheme="majorBidi" w:cstheme="majorBidi"/>
          <w:color w:val="222222"/>
          <w:sz w:val="28"/>
          <w:szCs w:val="28"/>
          <w:shd w:val="clear" w:color="auto" w:fill="FFFFFF"/>
        </w:rPr>
        <w:t xml:space="preserve">, T. F., Okonkwo, F., </w:t>
      </w:r>
      <w:proofErr w:type="spellStart"/>
      <w:r w:rsidRPr="006A2E70">
        <w:rPr>
          <w:rFonts w:asciiTheme="majorBidi" w:hAnsiTheme="majorBidi" w:cstheme="majorBidi"/>
          <w:color w:val="222222"/>
          <w:sz w:val="28"/>
          <w:szCs w:val="28"/>
          <w:shd w:val="clear" w:color="auto" w:fill="FFFFFF"/>
        </w:rPr>
        <w:t>Farayola</w:t>
      </w:r>
      <w:proofErr w:type="spellEnd"/>
      <w:r w:rsidRPr="006A2E70">
        <w:rPr>
          <w:rFonts w:asciiTheme="majorBidi" w:hAnsiTheme="majorBidi" w:cstheme="majorBidi"/>
          <w:color w:val="222222"/>
          <w:sz w:val="28"/>
          <w:szCs w:val="28"/>
          <w:shd w:val="clear" w:color="auto" w:fill="FFFFFF"/>
        </w:rPr>
        <w:t xml:space="preserve">, O. A., </w:t>
      </w:r>
      <w:proofErr w:type="spellStart"/>
      <w:r w:rsidRPr="006A2E70">
        <w:rPr>
          <w:rFonts w:asciiTheme="majorBidi" w:hAnsiTheme="majorBidi" w:cstheme="majorBidi"/>
          <w:color w:val="222222"/>
          <w:sz w:val="28"/>
          <w:szCs w:val="28"/>
          <w:shd w:val="clear" w:color="auto" w:fill="FFFFFF"/>
        </w:rPr>
        <w:t>Uwaoma</w:t>
      </w:r>
      <w:proofErr w:type="spellEnd"/>
      <w:r w:rsidRPr="006A2E70">
        <w:rPr>
          <w:rFonts w:asciiTheme="majorBidi" w:hAnsiTheme="majorBidi" w:cstheme="majorBidi"/>
          <w:color w:val="222222"/>
          <w:sz w:val="28"/>
          <w:szCs w:val="28"/>
          <w:shd w:val="clear" w:color="auto" w:fill="FFFFFF"/>
        </w:rPr>
        <w:t>, P. U., &amp; Akinoso, A. (2024). AI in decision making: transforming business strategies. </w:t>
      </w:r>
      <w:r w:rsidRPr="006A2E70">
        <w:rPr>
          <w:rFonts w:asciiTheme="majorBidi" w:hAnsiTheme="majorBidi" w:cstheme="majorBidi"/>
          <w:i/>
          <w:iCs/>
          <w:color w:val="222222"/>
          <w:sz w:val="28"/>
          <w:szCs w:val="28"/>
          <w:shd w:val="clear" w:color="auto" w:fill="FFFFFF"/>
        </w:rPr>
        <w:t>International Journal of Research and Scientific Innovation</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10</w:t>
      </w:r>
      <w:r w:rsidRPr="006A2E70">
        <w:rPr>
          <w:rFonts w:asciiTheme="majorBidi" w:hAnsiTheme="majorBidi" w:cstheme="majorBidi"/>
          <w:color w:val="222222"/>
          <w:sz w:val="28"/>
          <w:szCs w:val="28"/>
          <w:shd w:val="clear" w:color="auto" w:fill="FFFFFF"/>
        </w:rPr>
        <w:t>(12), 423-444.</w:t>
      </w:r>
      <w:r w:rsidRPr="006A2E70">
        <w:rPr>
          <w:rFonts w:asciiTheme="majorBidi" w:hAnsiTheme="majorBidi" w:cstheme="majorBidi"/>
          <w:color w:val="222222"/>
          <w:sz w:val="28"/>
          <w:szCs w:val="28"/>
          <w:shd w:val="clear" w:color="auto" w:fill="FFFFFF"/>
          <w:rtl/>
        </w:rPr>
        <w:t>‏</w:t>
      </w:r>
    </w:p>
    <w:p w14:paraId="6352F4FD"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6A2E70">
        <w:rPr>
          <w:rFonts w:asciiTheme="majorBidi" w:hAnsiTheme="majorBidi" w:cstheme="majorBidi"/>
          <w:color w:val="222222"/>
          <w:sz w:val="28"/>
          <w:szCs w:val="28"/>
          <w:shd w:val="clear" w:color="auto" w:fill="FFFFFF"/>
        </w:rPr>
        <w:t>Kazaba</w:t>
      </w:r>
      <w:proofErr w:type="spellEnd"/>
      <w:r w:rsidRPr="006A2E70">
        <w:rPr>
          <w:rFonts w:asciiTheme="majorBidi" w:hAnsiTheme="majorBidi" w:cstheme="majorBidi"/>
          <w:color w:val="222222"/>
          <w:sz w:val="28"/>
          <w:szCs w:val="28"/>
          <w:shd w:val="clear" w:color="auto" w:fill="FFFFFF"/>
        </w:rPr>
        <w:t>, F. (2024). The Role of Artificial Intelligence in Improving Project Management Processes: An Applied Study on the Information Technology Sector in the Kingdom of Saudi Arabia. </w:t>
      </w:r>
      <w:r w:rsidRPr="006A2E70">
        <w:rPr>
          <w:rFonts w:asciiTheme="majorBidi" w:hAnsiTheme="majorBidi" w:cstheme="majorBidi"/>
          <w:i/>
          <w:iCs/>
          <w:color w:val="222222"/>
          <w:sz w:val="28"/>
          <w:szCs w:val="28"/>
          <w:shd w:val="clear" w:color="auto" w:fill="FFFFFF"/>
        </w:rPr>
        <w:t>International Journal of Financial, Administrative, and Economic Sciences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3</w:t>
      </w:r>
      <w:r w:rsidRPr="006A2E70">
        <w:rPr>
          <w:rFonts w:asciiTheme="majorBidi" w:hAnsiTheme="majorBidi" w:cstheme="majorBidi"/>
          <w:color w:val="222222"/>
          <w:sz w:val="28"/>
          <w:szCs w:val="28"/>
          <w:shd w:val="clear" w:color="auto" w:fill="FFFFFF"/>
        </w:rPr>
        <w:t>(10), 1291-1328.</w:t>
      </w:r>
    </w:p>
    <w:p w14:paraId="008D726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Kim, J. S., &amp; Seo, D. (2023). Foresight and strategic decision-making framework from artificial intelligence technology development to utilization activities in small-and-medium-sized enterprises. </w:t>
      </w:r>
      <w:r w:rsidRPr="006A2E70">
        <w:rPr>
          <w:rFonts w:asciiTheme="majorBidi" w:hAnsiTheme="majorBidi" w:cstheme="majorBidi"/>
          <w:i/>
          <w:iCs/>
          <w:color w:val="222222"/>
          <w:sz w:val="28"/>
          <w:szCs w:val="28"/>
          <w:shd w:val="clear" w:color="auto" w:fill="FFFFFF"/>
        </w:rPr>
        <w:t>foresight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25</w:t>
      </w:r>
      <w:r w:rsidRPr="006A2E70">
        <w:rPr>
          <w:rFonts w:asciiTheme="majorBidi" w:hAnsiTheme="majorBidi" w:cstheme="majorBidi"/>
          <w:color w:val="222222"/>
          <w:sz w:val="28"/>
          <w:szCs w:val="28"/>
          <w:shd w:val="clear" w:color="auto" w:fill="FFFFFF"/>
        </w:rPr>
        <w:t>(6), 769-787.</w:t>
      </w:r>
      <w:r w:rsidRPr="006A2E70">
        <w:rPr>
          <w:rFonts w:asciiTheme="majorBidi" w:hAnsiTheme="majorBidi" w:cstheme="majorBidi"/>
          <w:color w:val="222222"/>
          <w:sz w:val="28"/>
          <w:szCs w:val="28"/>
          <w:shd w:val="clear" w:color="auto" w:fill="FFFFFF"/>
          <w:rtl/>
        </w:rPr>
        <w:t>‏</w:t>
      </w:r>
    </w:p>
    <w:p w14:paraId="4D6A300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lastRenderedPageBreak/>
        <w:t xml:space="preserve">Kolar, E., </w:t>
      </w:r>
      <w:proofErr w:type="spellStart"/>
      <w:r w:rsidRPr="006A2E70">
        <w:rPr>
          <w:rFonts w:asciiTheme="majorBidi" w:hAnsiTheme="majorBidi" w:cstheme="majorBidi"/>
          <w:color w:val="222222"/>
          <w:sz w:val="28"/>
          <w:szCs w:val="28"/>
          <w:shd w:val="clear" w:color="auto" w:fill="FFFFFF"/>
        </w:rPr>
        <w:t>Tušak</w:t>
      </w:r>
      <w:proofErr w:type="spellEnd"/>
      <w:r w:rsidRPr="006A2E70">
        <w:rPr>
          <w:rFonts w:asciiTheme="majorBidi" w:hAnsiTheme="majorBidi" w:cstheme="majorBidi"/>
          <w:color w:val="222222"/>
          <w:sz w:val="28"/>
          <w:szCs w:val="28"/>
          <w:shd w:val="clear" w:color="auto" w:fill="FFFFFF"/>
        </w:rPr>
        <w:t xml:space="preserve">, M., Robnik, P., &amp; Biloslavo, R. (2024). Strategic decisions: How good does it fit the decision-making process into the strategic management </w:t>
      </w:r>
      <w:proofErr w:type="gramStart"/>
      <w:r w:rsidRPr="006A2E70">
        <w:rPr>
          <w:rFonts w:asciiTheme="majorBidi" w:hAnsiTheme="majorBidi" w:cstheme="majorBidi"/>
          <w:color w:val="222222"/>
          <w:sz w:val="28"/>
          <w:szCs w:val="28"/>
          <w:shd w:val="clear" w:color="auto" w:fill="FFFFFF"/>
        </w:rPr>
        <w:t>process?.</w:t>
      </w:r>
      <w:proofErr w:type="gramEnd"/>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Journal of engineering management and competitiveness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w:t>
      </w:r>
      <w:r w:rsidRPr="006A2E70">
        <w:rPr>
          <w:rFonts w:asciiTheme="majorBidi" w:hAnsiTheme="majorBidi" w:cstheme="majorBidi"/>
          <w:color w:val="222222"/>
          <w:sz w:val="28"/>
          <w:szCs w:val="28"/>
          <w:shd w:val="clear" w:color="auto" w:fill="FFFFFF"/>
        </w:rPr>
        <w:t>(2), 99-111.</w:t>
      </w:r>
      <w:r w:rsidRPr="006A2E70">
        <w:rPr>
          <w:rFonts w:asciiTheme="majorBidi" w:hAnsiTheme="majorBidi" w:cstheme="majorBidi"/>
          <w:color w:val="222222"/>
          <w:sz w:val="28"/>
          <w:szCs w:val="28"/>
          <w:shd w:val="clear" w:color="auto" w:fill="FFFFFF"/>
          <w:rtl/>
        </w:rPr>
        <w:t>‏</w:t>
      </w:r>
    </w:p>
    <w:p w14:paraId="7DC27F19"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Kumar, R., Singh, A., Subahi, A., Humaida, M., Joshi, S., &amp; Sharma, M. (2025). Leveraging artificial intelligence to achieve sustainable public healthcare services in Saudi Arabia: a systematic literature review of critical success factors. </w:t>
      </w:r>
      <w:r w:rsidRPr="006A2E70">
        <w:rPr>
          <w:rFonts w:asciiTheme="majorBidi" w:hAnsiTheme="majorBidi" w:cstheme="majorBidi"/>
          <w:i/>
          <w:iCs/>
          <w:color w:val="222222"/>
          <w:sz w:val="28"/>
          <w:szCs w:val="28"/>
          <w:shd w:val="clear" w:color="auto" w:fill="FFFFFF"/>
        </w:rPr>
        <w:t>Computer Modeling in Engineering &amp; Sciences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142</w:t>
      </w:r>
      <w:r w:rsidRPr="006A2E70">
        <w:rPr>
          <w:rFonts w:asciiTheme="majorBidi" w:hAnsiTheme="majorBidi" w:cstheme="majorBidi"/>
          <w:color w:val="222222"/>
          <w:sz w:val="28"/>
          <w:szCs w:val="28"/>
          <w:shd w:val="clear" w:color="auto" w:fill="FFFFFF"/>
        </w:rPr>
        <w:t>(2), 1289-1349</w:t>
      </w:r>
    </w:p>
    <w:p w14:paraId="2992CA9C"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Louati, A., Louati, H., Alharbi, M., </w:t>
      </w:r>
      <w:proofErr w:type="spellStart"/>
      <w:r w:rsidRPr="006A2E70">
        <w:rPr>
          <w:rFonts w:asciiTheme="majorBidi" w:hAnsiTheme="majorBidi" w:cstheme="majorBidi"/>
          <w:color w:val="222222"/>
          <w:sz w:val="28"/>
          <w:szCs w:val="28"/>
          <w:shd w:val="clear" w:color="auto" w:fill="FFFFFF"/>
        </w:rPr>
        <w:t>Kariri</w:t>
      </w:r>
      <w:proofErr w:type="spellEnd"/>
      <w:r w:rsidRPr="006A2E70">
        <w:rPr>
          <w:rFonts w:asciiTheme="majorBidi" w:hAnsiTheme="majorBidi" w:cstheme="majorBidi"/>
          <w:color w:val="222222"/>
          <w:sz w:val="28"/>
          <w:szCs w:val="28"/>
          <w:shd w:val="clear" w:color="auto" w:fill="FFFFFF"/>
        </w:rPr>
        <w:t xml:space="preserve">, E., </w:t>
      </w:r>
      <w:proofErr w:type="spellStart"/>
      <w:r w:rsidRPr="006A2E70">
        <w:rPr>
          <w:rFonts w:asciiTheme="majorBidi" w:hAnsiTheme="majorBidi" w:cstheme="majorBidi"/>
          <w:color w:val="222222"/>
          <w:sz w:val="28"/>
          <w:szCs w:val="28"/>
          <w:shd w:val="clear" w:color="auto" w:fill="FFFFFF"/>
        </w:rPr>
        <w:t>Khawaji</w:t>
      </w:r>
      <w:proofErr w:type="spellEnd"/>
      <w:r w:rsidRPr="006A2E70">
        <w:rPr>
          <w:rFonts w:asciiTheme="majorBidi" w:hAnsiTheme="majorBidi" w:cstheme="majorBidi"/>
          <w:color w:val="222222"/>
          <w:sz w:val="28"/>
          <w:szCs w:val="28"/>
          <w:shd w:val="clear" w:color="auto" w:fill="FFFFFF"/>
        </w:rPr>
        <w:t xml:space="preserve">, T., </w:t>
      </w:r>
      <w:proofErr w:type="spellStart"/>
      <w:r w:rsidRPr="006A2E70">
        <w:rPr>
          <w:rFonts w:asciiTheme="majorBidi" w:hAnsiTheme="majorBidi" w:cstheme="majorBidi"/>
          <w:color w:val="222222"/>
          <w:sz w:val="28"/>
          <w:szCs w:val="28"/>
          <w:shd w:val="clear" w:color="auto" w:fill="FFFFFF"/>
        </w:rPr>
        <w:t>Almubaddil</w:t>
      </w:r>
      <w:proofErr w:type="spellEnd"/>
      <w:r w:rsidRPr="006A2E70">
        <w:rPr>
          <w:rFonts w:asciiTheme="majorBidi" w:hAnsiTheme="majorBidi" w:cstheme="majorBidi"/>
          <w:color w:val="222222"/>
          <w:sz w:val="28"/>
          <w:szCs w:val="28"/>
          <w:shd w:val="clear" w:color="auto" w:fill="FFFFFF"/>
        </w:rPr>
        <w:t xml:space="preserve">, Y., &amp; </w:t>
      </w:r>
      <w:proofErr w:type="spellStart"/>
      <w:r w:rsidRPr="006A2E70">
        <w:rPr>
          <w:rFonts w:asciiTheme="majorBidi" w:hAnsiTheme="majorBidi" w:cstheme="majorBidi"/>
          <w:color w:val="222222"/>
          <w:sz w:val="28"/>
          <w:szCs w:val="28"/>
          <w:shd w:val="clear" w:color="auto" w:fill="FFFFFF"/>
        </w:rPr>
        <w:t>Aldwsary</w:t>
      </w:r>
      <w:proofErr w:type="spellEnd"/>
      <w:r w:rsidRPr="006A2E70">
        <w:rPr>
          <w:rFonts w:asciiTheme="majorBidi" w:hAnsiTheme="majorBidi" w:cstheme="majorBidi"/>
          <w:color w:val="222222"/>
          <w:sz w:val="28"/>
          <w:szCs w:val="28"/>
          <w:shd w:val="clear" w:color="auto" w:fill="FFFFFF"/>
        </w:rPr>
        <w:t>, S. (2024). Machine learning and artificial intelligence for a sustainable tourism: a case study on Saudi Arabia. </w:t>
      </w:r>
      <w:r w:rsidRPr="006A2E70">
        <w:rPr>
          <w:rFonts w:asciiTheme="majorBidi" w:hAnsiTheme="majorBidi" w:cstheme="majorBidi"/>
          <w:i/>
          <w:iCs/>
          <w:color w:val="222222"/>
          <w:sz w:val="28"/>
          <w:szCs w:val="28"/>
          <w:shd w:val="clear" w:color="auto" w:fill="FFFFFF"/>
        </w:rPr>
        <w:t>Information</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(9), 516.</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1-30</w:t>
      </w:r>
    </w:p>
    <w:p w14:paraId="7F738521"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Meakin, J. (2022). </w:t>
      </w:r>
      <w:proofErr w:type="spellStart"/>
      <w:r w:rsidRPr="006A2E70">
        <w:rPr>
          <w:rFonts w:asciiTheme="majorBidi" w:hAnsiTheme="majorBidi" w:cstheme="majorBidi"/>
          <w:color w:val="222222"/>
          <w:sz w:val="28"/>
          <w:szCs w:val="28"/>
          <w:shd w:val="clear" w:color="auto" w:fill="FFFFFF"/>
        </w:rPr>
        <w:t>Labour</w:t>
      </w:r>
      <w:proofErr w:type="spellEnd"/>
      <w:r w:rsidRPr="006A2E70">
        <w:rPr>
          <w:rFonts w:asciiTheme="majorBidi" w:hAnsiTheme="majorBidi" w:cstheme="majorBidi"/>
          <w:color w:val="222222"/>
          <w:sz w:val="28"/>
          <w:szCs w:val="28"/>
          <w:shd w:val="clear" w:color="auto" w:fill="FFFFFF"/>
        </w:rPr>
        <w:t xml:space="preserve"> movements and the effectiveness of legal strategy: Three tenets. </w:t>
      </w:r>
      <w:r w:rsidRPr="006A2E70">
        <w:rPr>
          <w:rFonts w:asciiTheme="majorBidi" w:hAnsiTheme="majorBidi" w:cstheme="majorBidi"/>
          <w:i/>
          <w:iCs/>
          <w:color w:val="222222"/>
          <w:sz w:val="28"/>
          <w:szCs w:val="28"/>
          <w:shd w:val="clear" w:color="auto" w:fill="FFFFFF"/>
        </w:rPr>
        <w:t xml:space="preserve">International Journal of Comparative </w:t>
      </w:r>
      <w:proofErr w:type="spellStart"/>
      <w:r w:rsidRPr="006A2E70">
        <w:rPr>
          <w:rFonts w:asciiTheme="majorBidi" w:hAnsiTheme="majorBidi" w:cstheme="majorBidi"/>
          <w:i/>
          <w:iCs/>
          <w:color w:val="222222"/>
          <w:sz w:val="28"/>
          <w:szCs w:val="28"/>
          <w:shd w:val="clear" w:color="auto" w:fill="FFFFFF"/>
        </w:rPr>
        <w:t>Labour</w:t>
      </w:r>
      <w:proofErr w:type="spellEnd"/>
      <w:r w:rsidRPr="006A2E70">
        <w:rPr>
          <w:rFonts w:asciiTheme="majorBidi" w:hAnsiTheme="majorBidi" w:cstheme="majorBidi"/>
          <w:i/>
          <w:iCs/>
          <w:color w:val="222222"/>
          <w:sz w:val="28"/>
          <w:szCs w:val="28"/>
          <w:shd w:val="clear" w:color="auto" w:fill="FFFFFF"/>
        </w:rPr>
        <w:t xml:space="preserve"> Law and Industrial Relations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38</w:t>
      </w:r>
      <w:r w:rsidRPr="006A2E70">
        <w:rPr>
          <w:rFonts w:asciiTheme="majorBidi" w:hAnsiTheme="majorBidi" w:cstheme="majorBidi"/>
          <w:color w:val="222222"/>
          <w:sz w:val="28"/>
          <w:szCs w:val="28"/>
          <w:shd w:val="clear" w:color="auto" w:fill="FFFFFF"/>
        </w:rPr>
        <w:t>(2).</w:t>
      </w:r>
      <w:r w:rsidRPr="006A2E70">
        <w:rPr>
          <w:rFonts w:asciiTheme="majorBidi" w:hAnsiTheme="majorBidi" w:cstheme="majorBidi"/>
          <w:color w:val="222222"/>
          <w:sz w:val="28"/>
          <w:szCs w:val="28"/>
          <w:shd w:val="clear" w:color="auto" w:fill="FFFFFF"/>
          <w:rtl/>
        </w:rPr>
        <w:t>‏</w:t>
      </w:r>
    </w:p>
    <w:p w14:paraId="0DC7479D"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Moinuddin, M., &amp; Usman, M. (2025). Driving strategic decisions: Business intelligence in supply chain and marketing. </w:t>
      </w:r>
      <w:r w:rsidRPr="006A2E70">
        <w:rPr>
          <w:rFonts w:asciiTheme="majorBidi" w:hAnsiTheme="majorBidi" w:cstheme="majorBidi"/>
          <w:i/>
          <w:iCs/>
          <w:color w:val="222222"/>
          <w:sz w:val="28"/>
          <w:szCs w:val="28"/>
          <w:shd w:val="clear" w:color="auto" w:fill="FFFFFF"/>
        </w:rPr>
        <w:t>American Journal of Business, Commerce and Economics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6</w:t>
      </w:r>
      <w:r w:rsidRPr="006A2E70">
        <w:rPr>
          <w:rFonts w:asciiTheme="majorBidi" w:hAnsiTheme="majorBidi" w:cstheme="majorBidi"/>
          <w:color w:val="222222"/>
          <w:sz w:val="28"/>
          <w:szCs w:val="28"/>
          <w:shd w:val="clear" w:color="auto" w:fill="FFFFFF"/>
        </w:rPr>
        <w:t>(4), 1-14.</w:t>
      </w:r>
      <w:r w:rsidRPr="006A2E70">
        <w:rPr>
          <w:rFonts w:asciiTheme="majorBidi" w:hAnsiTheme="majorBidi" w:cstheme="majorBidi"/>
          <w:color w:val="222222"/>
          <w:sz w:val="28"/>
          <w:szCs w:val="28"/>
          <w:shd w:val="clear" w:color="auto" w:fill="FFFFFF"/>
          <w:rtl/>
        </w:rPr>
        <w:t>‏</w:t>
      </w:r>
    </w:p>
    <w:p w14:paraId="311318F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6A2E70">
        <w:rPr>
          <w:rFonts w:asciiTheme="majorBidi" w:hAnsiTheme="majorBidi" w:cstheme="majorBidi"/>
          <w:color w:val="222222"/>
          <w:sz w:val="28"/>
          <w:szCs w:val="28"/>
          <w:shd w:val="clear" w:color="auto" w:fill="FFFFFF"/>
        </w:rPr>
        <w:t>Neiroukh</w:t>
      </w:r>
      <w:proofErr w:type="spellEnd"/>
      <w:r w:rsidRPr="006A2E70">
        <w:rPr>
          <w:rFonts w:asciiTheme="majorBidi" w:hAnsiTheme="majorBidi" w:cstheme="majorBidi"/>
          <w:color w:val="222222"/>
          <w:sz w:val="28"/>
          <w:szCs w:val="28"/>
          <w:shd w:val="clear" w:color="auto" w:fill="FFFFFF"/>
        </w:rPr>
        <w:t xml:space="preserve">, S., </w:t>
      </w:r>
      <w:proofErr w:type="spellStart"/>
      <w:r w:rsidRPr="006A2E70">
        <w:rPr>
          <w:rFonts w:asciiTheme="majorBidi" w:hAnsiTheme="majorBidi" w:cstheme="majorBidi"/>
          <w:color w:val="222222"/>
          <w:sz w:val="28"/>
          <w:szCs w:val="28"/>
          <w:shd w:val="clear" w:color="auto" w:fill="FFFFFF"/>
        </w:rPr>
        <w:t>Aljuhmani</w:t>
      </w:r>
      <w:proofErr w:type="spellEnd"/>
      <w:r w:rsidRPr="006A2E70">
        <w:rPr>
          <w:rFonts w:asciiTheme="majorBidi" w:hAnsiTheme="majorBidi" w:cstheme="majorBidi"/>
          <w:color w:val="222222"/>
          <w:sz w:val="28"/>
          <w:szCs w:val="28"/>
          <w:shd w:val="clear" w:color="auto" w:fill="FFFFFF"/>
        </w:rPr>
        <w:t xml:space="preserve">, H. Y., &amp; </w:t>
      </w:r>
      <w:proofErr w:type="spellStart"/>
      <w:r w:rsidRPr="006A2E70">
        <w:rPr>
          <w:rFonts w:asciiTheme="majorBidi" w:hAnsiTheme="majorBidi" w:cstheme="majorBidi"/>
          <w:color w:val="222222"/>
          <w:sz w:val="28"/>
          <w:szCs w:val="28"/>
          <w:shd w:val="clear" w:color="auto" w:fill="FFFFFF"/>
        </w:rPr>
        <w:t>Alnajdawi</w:t>
      </w:r>
      <w:proofErr w:type="spellEnd"/>
      <w:r w:rsidRPr="006A2E70">
        <w:rPr>
          <w:rFonts w:asciiTheme="majorBidi" w:hAnsiTheme="majorBidi" w:cstheme="majorBidi"/>
          <w:color w:val="222222"/>
          <w:sz w:val="28"/>
          <w:szCs w:val="28"/>
          <w:shd w:val="clear" w:color="auto" w:fill="FFFFFF"/>
        </w:rPr>
        <w:t>, S. (2024, January). In the era of emerging technologies: discovering the impact of artificial intelligence capabilities on timely decision-making and business performance. In </w:t>
      </w:r>
      <w:r w:rsidRPr="006A2E70">
        <w:rPr>
          <w:rFonts w:asciiTheme="majorBidi" w:hAnsiTheme="majorBidi" w:cstheme="majorBidi"/>
          <w:i/>
          <w:iCs/>
          <w:color w:val="222222"/>
          <w:sz w:val="28"/>
          <w:szCs w:val="28"/>
          <w:shd w:val="clear" w:color="auto" w:fill="FFFFFF"/>
        </w:rPr>
        <w:t>2024 ASU International Conference in Emerging Technologies for Sustainability and Intelligent Systems (ICETSIS)</w:t>
      </w:r>
      <w:r w:rsidRPr="006A2E70">
        <w:rPr>
          <w:rFonts w:asciiTheme="majorBidi" w:hAnsiTheme="majorBidi" w:cstheme="majorBidi"/>
          <w:color w:val="222222"/>
          <w:sz w:val="28"/>
          <w:szCs w:val="28"/>
          <w:shd w:val="clear" w:color="auto" w:fill="FFFFFF"/>
        </w:rPr>
        <w:t> (pp. 1-6). IEEE.</w:t>
      </w:r>
      <w:r w:rsidRPr="006A2E70">
        <w:rPr>
          <w:rFonts w:asciiTheme="majorBidi" w:hAnsiTheme="majorBidi" w:cstheme="majorBidi"/>
          <w:color w:val="222222"/>
          <w:sz w:val="28"/>
          <w:szCs w:val="28"/>
          <w:shd w:val="clear" w:color="auto" w:fill="FFFFFF"/>
          <w:rtl/>
        </w:rPr>
        <w:t>‏</w:t>
      </w:r>
    </w:p>
    <w:p w14:paraId="44B2A2A3"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lastRenderedPageBreak/>
        <w:t>Rajagopal, N. K., Qureshi, N. I., Durga, S., Ramirez Asis, E. H., Huerta Soto, R. M., Gupta, S. K., &amp; Deepak, S. (2022). Future of business culture: An artificial intelligence‐driven digital framework for organization decision‐making process. </w:t>
      </w:r>
      <w:r w:rsidRPr="006A2E70">
        <w:rPr>
          <w:rFonts w:asciiTheme="majorBidi" w:hAnsiTheme="majorBidi" w:cstheme="majorBidi"/>
          <w:i/>
          <w:iCs/>
          <w:color w:val="222222"/>
          <w:sz w:val="28"/>
          <w:szCs w:val="28"/>
          <w:shd w:val="clear" w:color="auto" w:fill="FFFFFF"/>
        </w:rPr>
        <w:t>Complexity</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2022</w:t>
      </w:r>
      <w:r w:rsidRPr="006A2E70">
        <w:rPr>
          <w:rFonts w:asciiTheme="majorBidi" w:hAnsiTheme="majorBidi" w:cstheme="majorBidi"/>
          <w:color w:val="222222"/>
          <w:sz w:val="28"/>
          <w:szCs w:val="28"/>
          <w:shd w:val="clear" w:color="auto" w:fill="FFFFFF"/>
        </w:rPr>
        <w:t>(1), 7796507.</w:t>
      </w:r>
      <w:r w:rsidRPr="006A2E70">
        <w:rPr>
          <w:rFonts w:asciiTheme="majorBidi" w:hAnsiTheme="majorBidi" w:cstheme="majorBidi"/>
          <w:color w:val="222222"/>
          <w:sz w:val="28"/>
          <w:szCs w:val="28"/>
          <w:shd w:val="clear" w:color="auto" w:fill="FFFFFF"/>
          <w:rtl/>
        </w:rPr>
        <w:t>‏</w:t>
      </w:r>
    </w:p>
    <w:p w14:paraId="1416234E"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Rijal, S. (2023). The importance of community involvement in public management planning and decision-making processes. </w:t>
      </w:r>
      <w:r w:rsidRPr="006A2E70">
        <w:rPr>
          <w:rFonts w:asciiTheme="majorBidi" w:hAnsiTheme="majorBidi" w:cstheme="majorBidi"/>
          <w:i/>
          <w:iCs/>
          <w:color w:val="222222"/>
          <w:sz w:val="28"/>
          <w:szCs w:val="28"/>
          <w:shd w:val="clear" w:color="auto" w:fill="FFFFFF"/>
        </w:rPr>
        <w:t>Journal of Contemporary Administration and Management (ADMAN)</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w:t>
      </w:r>
      <w:r w:rsidRPr="006A2E70">
        <w:rPr>
          <w:rFonts w:asciiTheme="majorBidi" w:hAnsiTheme="majorBidi" w:cstheme="majorBidi"/>
          <w:color w:val="222222"/>
          <w:sz w:val="28"/>
          <w:szCs w:val="28"/>
          <w:shd w:val="clear" w:color="auto" w:fill="FFFFFF"/>
        </w:rPr>
        <w:t>(2), 84-92.</w:t>
      </w:r>
      <w:r w:rsidRPr="006A2E70">
        <w:rPr>
          <w:rFonts w:asciiTheme="majorBidi" w:hAnsiTheme="majorBidi" w:cstheme="majorBidi"/>
          <w:color w:val="222222"/>
          <w:sz w:val="28"/>
          <w:szCs w:val="28"/>
          <w:shd w:val="clear" w:color="auto" w:fill="FFFFFF"/>
          <w:rtl/>
        </w:rPr>
        <w:t>‏</w:t>
      </w:r>
    </w:p>
    <w:p w14:paraId="305523E1"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Pr>
      </w:pPr>
      <w:r w:rsidRPr="006A2E70">
        <w:rPr>
          <w:rFonts w:asciiTheme="majorBidi" w:hAnsiTheme="majorBidi" w:cstheme="majorBidi"/>
          <w:color w:val="222222"/>
          <w:sz w:val="28"/>
          <w:szCs w:val="28"/>
          <w:shd w:val="clear" w:color="auto" w:fill="FFFFFF"/>
        </w:rPr>
        <w:t xml:space="preserve">Saeed, A., Saeed, A. B., &amp; </w:t>
      </w:r>
      <w:proofErr w:type="spellStart"/>
      <w:r w:rsidRPr="006A2E70">
        <w:rPr>
          <w:rFonts w:asciiTheme="majorBidi" w:hAnsiTheme="majorBidi" w:cstheme="majorBidi"/>
          <w:color w:val="222222"/>
          <w:sz w:val="28"/>
          <w:szCs w:val="28"/>
          <w:shd w:val="clear" w:color="auto" w:fill="FFFFFF"/>
        </w:rPr>
        <w:t>AlAhmri</w:t>
      </w:r>
      <w:proofErr w:type="spellEnd"/>
      <w:r w:rsidRPr="006A2E70">
        <w:rPr>
          <w:rFonts w:asciiTheme="majorBidi" w:hAnsiTheme="majorBidi" w:cstheme="majorBidi"/>
          <w:color w:val="222222"/>
          <w:sz w:val="28"/>
          <w:szCs w:val="28"/>
          <w:shd w:val="clear" w:color="auto" w:fill="FFFFFF"/>
        </w:rPr>
        <w:t>, F. A. (2023). Saudi Arabia health systems: challenging and future transformations with artificial intelligence. </w:t>
      </w:r>
      <w:r w:rsidRPr="006A2E70">
        <w:rPr>
          <w:rFonts w:asciiTheme="majorBidi" w:hAnsiTheme="majorBidi" w:cstheme="majorBidi"/>
          <w:i/>
          <w:iCs/>
          <w:color w:val="222222"/>
          <w:sz w:val="28"/>
          <w:szCs w:val="28"/>
          <w:shd w:val="clear" w:color="auto" w:fill="FFFFFF"/>
        </w:rPr>
        <w:t>Cureus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(4).</w:t>
      </w:r>
      <w:r w:rsidRPr="006A2E70">
        <w:rPr>
          <w:rFonts w:asciiTheme="majorBidi" w:hAnsiTheme="majorBidi" w:cstheme="majorBidi"/>
          <w:color w:val="222222"/>
          <w:sz w:val="28"/>
          <w:szCs w:val="28"/>
          <w:shd w:val="clear" w:color="auto" w:fill="FFFFFF"/>
          <w:rtl/>
        </w:rPr>
        <w:t>‏</w:t>
      </w:r>
      <w:r w:rsidRPr="006A2E70">
        <w:rPr>
          <w:rFonts w:asciiTheme="majorBidi" w:hAnsiTheme="majorBidi" w:cstheme="majorBidi"/>
          <w:color w:val="222222"/>
          <w:sz w:val="28"/>
          <w:szCs w:val="28"/>
          <w:shd w:val="clear" w:color="auto" w:fill="FFFFFF"/>
        </w:rPr>
        <w:t xml:space="preserve"> 1-2</w:t>
      </w:r>
    </w:p>
    <w:p w14:paraId="4D4E3F96"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6A2E70">
        <w:rPr>
          <w:rFonts w:asciiTheme="majorBidi" w:hAnsiTheme="majorBidi" w:cstheme="majorBidi"/>
          <w:color w:val="222222"/>
          <w:sz w:val="28"/>
          <w:szCs w:val="28"/>
          <w:shd w:val="clear" w:color="auto" w:fill="FFFFFF"/>
        </w:rPr>
        <w:t>Sinnaiah</w:t>
      </w:r>
      <w:proofErr w:type="spellEnd"/>
      <w:r w:rsidRPr="006A2E70">
        <w:rPr>
          <w:rFonts w:asciiTheme="majorBidi" w:hAnsiTheme="majorBidi" w:cstheme="majorBidi"/>
          <w:color w:val="222222"/>
          <w:sz w:val="28"/>
          <w:szCs w:val="28"/>
          <w:shd w:val="clear" w:color="auto" w:fill="FFFFFF"/>
        </w:rPr>
        <w:t xml:space="preserve">, T., Adam, S., &amp; Mahadi, B. (2023). A strategic management process: the role of decision-making style and </w:t>
      </w:r>
      <w:proofErr w:type="spellStart"/>
      <w:r w:rsidRPr="006A2E70">
        <w:rPr>
          <w:rFonts w:asciiTheme="majorBidi" w:hAnsiTheme="majorBidi" w:cstheme="majorBidi"/>
          <w:color w:val="222222"/>
          <w:sz w:val="28"/>
          <w:szCs w:val="28"/>
          <w:shd w:val="clear" w:color="auto" w:fill="FFFFFF"/>
        </w:rPr>
        <w:t>organisational</w:t>
      </w:r>
      <w:proofErr w:type="spellEnd"/>
      <w:r w:rsidRPr="006A2E70">
        <w:rPr>
          <w:rFonts w:asciiTheme="majorBidi" w:hAnsiTheme="majorBidi" w:cstheme="majorBidi"/>
          <w:color w:val="222222"/>
          <w:sz w:val="28"/>
          <w:szCs w:val="28"/>
          <w:shd w:val="clear" w:color="auto" w:fill="FFFFFF"/>
        </w:rPr>
        <w:t xml:space="preserve"> performance. </w:t>
      </w:r>
      <w:r w:rsidRPr="006A2E70">
        <w:rPr>
          <w:rFonts w:asciiTheme="majorBidi" w:hAnsiTheme="majorBidi" w:cstheme="majorBidi"/>
          <w:i/>
          <w:iCs/>
          <w:color w:val="222222"/>
          <w:sz w:val="28"/>
          <w:szCs w:val="28"/>
          <w:shd w:val="clear" w:color="auto" w:fill="FFFFFF"/>
        </w:rPr>
        <w:t>Journal of work-applied management</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15</w:t>
      </w:r>
      <w:r w:rsidRPr="006A2E70">
        <w:rPr>
          <w:rFonts w:asciiTheme="majorBidi" w:hAnsiTheme="majorBidi" w:cstheme="majorBidi"/>
          <w:color w:val="222222"/>
          <w:sz w:val="28"/>
          <w:szCs w:val="28"/>
          <w:shd w:val="clear" w:color="auto" w:fill="FFFFFF"/>
        </w:rPr>
        <w:t>(1), 37-50.</w:t>
      </w:r>
      <w:r w:rsidRPr="006A2E70">
        <w:rPr>
          <w:rFonts w:asciiTheme="majorBidi" w:hAnsiTheme="majorBidi" w:cstheme="majorBidi"/>
          <w:color w:val="222222"/>
          <w:sz w:val="28"/>
          <w:szCs w:val="28"/>
          <w:shd w:val="clear" w:color="auto" w:fill="FFFFFF"/>
          <w:rtl/>
        </w:rPr>
        <w:t>‏</w:t>
      </w:r>
    </w:p>
    <w:p w14:paraId="4DEA36F5"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van Den Oever, K., &amp; Shropshire, C. (2024). More than a feeling: how board member displays of anger and happiness influence strategic decisions. </w:t>
      </w:r>
      <w:r w:rsidRPr="006A2E70">
        <w:rPr>
          <w:rFonts w:asciiTheme="majorBidi" w:hAnsiTheme="majorBidi" w:cstheme="majorBidi"/>
          <w:i/>
          <w:iCs/>
          <w:color w:val="222222"/>
          <w:sz w:val="28"/>
          <w:szCs w:val="28"/>
          <w:shd w:val="clear" w:color="auto" w:fill="FFFFFF"/>
        </w:rPr>
        <w:t>Academy of Management Journal</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67</w:t>
      </w:r>
      <w:r w:rsidRPr="006A2E70">
        <w:rPr>
          <w:rFonts w:asciiTheme="majorBidi" w:hAnsiTheme="majorBidi" w:cstheme="majorBidi"/>
          <w:color w:val="222222"/>
          <w:sz w:val="28"/>
          <w:szCs w:val="28"/>
          <w:shd w:val="clear" w:color="auto" w:fill="FFFFFF"/>
        </w:rPr>
        <w:t>(6), 1525-1552.</w:t>
      </w:r>
      <w:r w:rsidRPr="006A2E70">
        <w:rPr>
          <w:rFonts w:asciiTheme="majorBidi" w:hAnsiTheme="majorBidi" w:cstheme="majorBidi"/>
          <w:color w:val="222222"/>
          <w:sz w:val="28"/>
          <w:szCs w:val="28"/>
          <w:shd w:val="clear" w:color="auto" w:fill="FFFFFF"/>
          <w:rtl/>
        </w:rPr>
        <w:t>‏</w:t>
      </w:r>
    </w:p>
    <w:p w14:paraId="2D4B2A33"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6A2E70">
        <w:rPr>
          <w:rFonts w:asciiTheme="majorBidi" w:hAnsiTheme="majorBidi" w:cstheme="majorBidi"/>
          <w:color w:val="222222"/>
          <w:sz w:val="28"/>
          <w:szCs w:val="28"/>
          <w:shd w:val="clear" w:color="auto" w:fill="FFFFFF"/>
        </w:rPr>
        <w:t>Vudugula</w:t>
      </w:r>
      <w:proofErr w:type="spellEnd"/>
      <w:r w:rsidRPr="006A2E70">
        <w:rPr>
          <w:rFonts w:asciiTheme="majorBidi" w:hAnsiTheme="majorBidi" w:cstheme="majorBidi"/>
          <w:color w:val="222222"/>
          <w:sz w:val="28"/>
          <w:szCs w:val="28"/>
          <w:shd w:val="clear" w:color="auto" w:fill="FFFFFF"/>
        </w:rPr>
        <w:t xml:space="preserve">, S., </w:t>
      </w:r>
      <w:proofErr w:type="spellStart"/>
      <w:r w:rsidRPr="006A2E70">
        <w:rPr>
          <w:rFonts w:asciiTheme="majorBidi" w:hAnsiTheme="majorBidi" w:cstheme="majorBidi"/>
          <w:color w:val="222222"/>
          <w:sz w:val="28"/>
          <w:szCs w:val="28"/>
          <w:shd w:val="clear" w:color="auto" w:fill="FFFFFF"/>
        </w:rPr>
        <w:t>Chebrolu</w:t>
      </w:r>
      <w:proofErr w:type="spellEnd"/>
      <w:r w:rsidRPr="006A2E70">
        <w:rPr>
          <w:rFonts w:asciiTheme="majorBidi" w:hAnsiTheme="majorBidi" w:cstheme="majorBidi"/>
          <w:color w:val="222222"/>
          <w:sz w:val="28"/>
          <w:szCs w:val="28"/>
          <w:shd w:val="clear" w:color="auto" w:fill="FFFFFF"/>
        </w:rPr>
        <w:t xml:space="preserve">, S. K., Bhuiyan, M., &amp; </w:t>
      </w:r>
      <w:proofErr w:type="spellStart"/>
      <w:r w:rsidRPr="006A2E70">
        <w:rPr>
          <w:rFonts w:asciiTheme="majorBidi" w:hAnsiTheme="majorBidi" w:cstheme="majorBidi"/>
          <w:color w:val="222222"/>
          <w:sz w:val="28"/>
          <w:szCs w:val="28"/>
          <w:shd w:val="clear" w:color="auto" w:fill="FFFFFF"/>
        </w:rPr>
        <w:t>Rozony</w:t>
      </w:r>
      <w:proofErr w:type="spellEnd"/>
      <w:r w:rsidRPr="006A2E70">
        <w:rPr>
          <w:rFonts w:asciiTheme="majorBidi" w:hAnsiTheme="majorBidi" w:cstheme="majorBidi"/>
          <w:color w:val="222222"/>
          <w:sz w:val="28"/>
          <w:szCs w:val="28"/>
          <w:shd w:val="clear" w:color="auto" w:fill="FFFFFF"/>
        </w:rPr>
        <w:t>, F. Z. (2023). Integrating artificial intelligence in strategic business decision-making: A systematic review of predictive models. </w:t>
      </w:r>
      <w:r w:rsidRPr="006A2E70">
        <w:rPr>
          <w:rFonts w:asciiTheme="majorBidi" w:hAnsiTheme="majorBidi" w:cstheme="majorBidi"/>
          <w:i/>
          <w:iCs/>
          <w:color w:val="222222"/>
          <w:sz w:val="28"/>
          <w:szCs w:val="28"/>
          <w:shd w:val="clear" w:color="auto" w:fill="FFFFFF"/>
        </w:rPr>
        <w:t>International Journal of Scientific Interdisciplinary Research</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4</w:t>
      </w:r>
      <w:r w:rsidRPr="006A2E70">
        <w:rPr>
          <w:rFonts w:asciiTheme="majorBidi" w:hAnsiTheme="majorBidi" w:cstheme="majorBidi"/>
          <w:color w:val="222222"/>
          <w:sz w:val="28"/>
          <w:szCs w:val="28"/>
          <w:shd w:val="clear" w:color="auto" w:fill="FFFFFF"/>
        </w:rPr>
        <w:t>(1), 01-26.</w:t>
      </w:r>
      <w:r w:rsidRPr="006A2E70">
        <w:rPr>
          <w:rFonts w:asciiTheme="majorBidi" w:hAnsiTheme="majorBidi" w:cstheme="majorBidi"/>
          <w:color w:val="222222"/>
          <w:sz w:val="28"/>
          <w:szCs w:val="28"/>
          <w:shd w:val="clear" w:color="auto" w:fill="FFFFFF"/>
          <w:rtl/>
        </w:rPr>
        <w:t>‏</w:t>
      </w:r>
    </w:p>
    <w:p w14:paraId="379EAE29"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6A2E70">
        <w:rPr>
          <w:rFonts w:asciiTheme="majorBidi" w:hAnsiTheme="majorBidi" w:cstheme="majorBidi"/>
          <w:color w:val="222222"/>
          <w:sz w:val="28"/>
          <w:szCs w:val="28"/>
          <w:shd w:val="clear" w:color="auto" w:fill="FFFFFF"/>
        </w:rPr>
        <w:lastRenderedPageBreak/>
        <w:t>Wasesa</w:t>
      </w:r>
      <w:proofErr w:type="spellEnd"/>
      <w:r w:rsidRPr="006A2E70">
        <w:rPr>
          <w:rFonts w:asciiTheme="majorBidi" w:hAnsiTheme="majorBidi" w:cstheme="majorBidi"/>
          <w:color w:val="222222"/>
          <w:sz w:val="28"/>
          <w:szCs w:val="28"/>
          <w:shd w:val="clear" w:color="auto" w:fill="FFFFFF"/>
        </w:rPr>
        <w:t xml:space="preserve">, I. R. H., </w:t>
      </w:r>
      <w:proofErr w:type="spellStart"/>
      <w:r w:rsidRPr="006A2E70">
        <w:rPr>
          <w:rFonts w:asciiTheme="majorBidi" w:hAnsiTheme="majorBidi" w:cstheme="majorBidi"/>
          <w:color w:val="222222"/>
          <w:sz w:val="28"/>
          <w:szCs w:val="28"/>
          <w:shd w:val="clear" w:color="auto" w:fill="FFFFFF"/>
        </w:rPr>
        <w:t>Permatasari</w:t>
      </w:r>
      <w:proofErr w:type="spellEnd"/>
      <w:r w:rsidRPr="006A2E70">
        <w:rPr>
          <w:rFonts w:asciiTheme="majorBidi" w:hAnsiTheme="majorBidi" w:cstheme="majorBidi"/>
          <w:color w:val="222222"/>
          <w:sz w:val="28"/>
          <w:szCs w:val="28"/>
          <w:shd w:val="clear" w:color="auto" w:fill="FFFFFF"/>
        </w:rPr>
        <w:t xml:space="preserve">, D., </w:t>
      </w:r>
      <w:proofErr w:type="spellStart"/>
      <w:r w:rsidRPr="006A2E70">
        <w:rPr>
          <w:rFonts w:asciiTheme="majorBidi" w:hAnsiTheme="majorBidi" w:cstheme="majorBidi"/>
          <w:color w:val="222222"/>
          <w:sz w:val="28"/>
          <w:szCs w:val="28"/>
          <w:shd w:val="clear" w:color="auto" w:fill="FFFFFF"/>
        </w:rPr>
        <w:t>Angkat</w:t>
      </w:r>
      <w:proofErr w:type="spellEnd"/>
      <w:r w:rsidRPr="006A2E70">
        <w:rPr>
          <w:rFonts w:asciiTheme="majorBidi" w:hAnsiTheme="majorBidi" w:cstheme="majorBidi"/>
          <w:color w:val="222222"/>
          <w:sz w:val="28"/>
          <w:szCs w:val="28"/>
          <w:shd w:val="clear" w:color="auto" w:fill="FFFFFF"/>
        </w:rPr>
        <w:t>, F. A., &amp; Al-</w:t>
      </w:r>
      <w:proofErr w:type="spellStart"/>
      <w:r w:rsidRPr="006A2E70">
        <w:rPr>
          <w:rFonts w:asciiTheme="majorBidi" w:hAnsiTheme="majorBidi" w:cstheme="majorBidi"/>
          <w:color w:val="222222"/>
          <w:sz w:val="28"/>
          <w:szCs w:val="28"/>
          <w:shd w:val="clear" w:color="auto" w:fill="FFFFFF"/>
        </w:rPr>
        <w:t>Khowarizmi</w:t>
      </w:r>
      <w:proofErr w:type="spellEnd"/>
      <w:r w:rsidRPr="006A2E70">
        <w:rPr>
          <w:rFonts w:asciiTheme="majorBidi" w:hAnsiTheme="majorBidi" w:cstheme="majorBidi"/>
          <w:color w:val="222222"/>
          <w:sz w:val="28"/>
          <w:szCs w:val="28"/>
          <w:shd w:val="clear" w:color="auto" w:fill="FFFFFF"/>
        </w:rPr>
        <w:t>, A. K. (2025). Integration of artificial intelligence in management information systems to improve the effectiveness of strategic decision-making in the digital era. </w:t>
      </w:r>
      <w:r w:rsidRPr="006A2E70">
        <w:rPr>
          <w:rFonts w:asciiTheme="majorBidi" w:hAnsiTheme="majorBidi" w:cstheme="majorBidi"/>
          <w:i/>
          <w:iCs/>
          <w:color w:val="222222"/>
          <w:sz w:val="28"/>
          <w:szCs w:val="28"/>
          <w:shd w:val="clear" w:color="auto" w:fill="FFFFFF"/>
        </w:rPr>
        <w:t>Journal of Computer Science, Information Technology and Telecommunication Engineering</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6</w:t>
      </w:r>
      <w:r w:rsidRPr="006A2E70">
        <w:rPr>
          <w:rFonts w:asciiTheme="majorBidi" w:hAnsiTheme="majorBidi" w:cstheme="majorBidi"/>
          <w:color w:val="222222"/>
          <w:sz w:val="28"/>
          <w:szCs w:val="28"/>
          <w:shd w:val="clear" w:color="auto" w:fill="FFFFFF"/>
        </w:rPr>
        <w:t>(2), 923-929.</w:t>
      </w:r>
      <w:r w:rsidRPr="006A2E70">
        <w:rPr>
          <w:rFonts w:asciiTheme="majorBidi" w:hAnsiTheme="majorBidi" w:cstheme="majorBidi"/>
          <w:color w:val="222222"/>
          <w:sz w:val="28"/>
          <w:szCs w:val="28"/>
          <w:shd w:val="clear" w:color="auto" w:fill="FFFFFF"/>
          <w:rtl/>
        </w:rPr>
        <w:t>‏</w:t>
      </w:r>
    </w:p>
    <w:p w14:paraId="5D8C273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 xml:space="preserve">Wu, C., Zhang, R., Kotagiri, R., &amp; </w:t>
      </w:r>
      <w:proofErr w:type="spellStart"/>
      <w:r w:rsidRPr="006A2E70">
        <w:rPr>
          <w:rFonts w:asciiTheme="majorBidi" w:hAnsiTheme="majorBidi" w:cstheme="majorBidi"/>
          <w:color w:val="222222"/>
          <w:sz w:val="28"/>
          <w:szCs w:val="28"/>
          <w:shd w:val="clear" w:color="auto" w:fill="FFFFFF"/>
        </w:rPr>
        <w:t>Bouvry</w:t>
      </w:r>
      <w:proofErr w:type="spellEnd"/>
      <w:r w:rsidRPr="006A2E70">
        <w:rPr>
          <w:rFonts w:asciiTheme="majorBidi" w:hAnsiTheme="majorBidi" w:cstheme="majorBidi"/>
          <w:color w:val="222222"/>
          <w:sz w:val="28"/>
          <w:szCs w:val="28"/>
          <w:shd w:val="clear" w:color="auto" w:fill="FFFFFF"/>
        </w:rPr>
        <w:t>, P. (2023). Strategic decisions: survey, taxonomy, and future directions from artificial intelligence perspective. </w:t>
      </w:r>
      <w:r w:rsidRPr="006A2E70">
        <w:rPr>
          <w:rFonts w:asciiTheme="majorBidi" w:hAnsiTheme="majorBidi" w:cstheme="majorBidi"/>
          <w:i/>
          <w:iCs/>
          <w:color w:val="222222"/>
          <w:sz w:val="28"/>
          <w:szCs w:val="28"/>
          <w:shd w:val="clear" w:color="auto" w:fill="FFFFFF"/>
        </w:rPr>
        <w:t>ACM Computing Surveys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55</w:t>
      </w:r>
      <w:r w:rsidRPr="006A2E70">
        <w:rPr>
          <w:rFonts w:asciiTheme="majorBidi" w:hAnsiTheme="majorBidi" w:cstheme="majorBidi"/>
          <w:color w:val="222222"/>
          <w:sz w:val="28"/>
          <w:szCs w:val="28"/>
          <w:shd w:val="clear" w:color="auto" w:fill="FFFFFF"/>
        </w:rPr>
        <w:t>(12), 1-30.</w:t>
      </w:r>
      <w:r w:rsidRPr="006A2E70">
        <w:rPr>
          <w:rFonts w:asciiTheme="majorBidi" w:hAnsiTheme="majorBidi" w:cstheme="majorBidi"/>
          <w:color w:val="222222"/>
          <w:sz w:val="28"/>
          <w:szCs w:val="28"/>
          <w:shd w:val="clear" w:color="auto" w:fill="FFFFFF"/>
          <w:rtl/>
        </w:rPr>
        <w:t>‏</w:t>
      </w:r>
    </w:p>
    <w:p w14:paraId="64CA793F" w14:textId="77777777" w:rsidR="0090259A" w:rsidRPr="006A2E70" w:rsidRDefault="0090259A" w:rsidP="0090259A">
      <w:pPr>
        <w:spacing w:line="360" w:lineRule="auto"/>
        <w:ind w:left="1440" w:hanging="720"/>
        <w:jc w:val="both"/>
        <w:rPr>
          <w:rFonts w:asciiTheme="majorBidi" w:hAnsiTheme="majorBidi" w:cstheme="majorBidi"/>
          <w:color w:val="222222"/>
          <w:sz w:val="28"/>
          <w:szCs w:val="28"/>
          <w:shd w:val="clear" w:color="auto" w:fill="FFFFFF"/>
          <w:rtl/>
        </w:rPr>
      </w:pPr>
      <w:r w:rsidRPr="006A2E70">
        <w:rPr>
          <w:rFonts w:asciiTheme="majorBidi" w:hAnsiTheme="majorBidi" w:cstheme="majorBidi"/>
          <w:color w:val="222222"/>
          <w:sz w:val="28"/>
          <w:szCs w:val="28"/>
          <w:shd w:val="clear" w:color="auto" w:fill="FFFFFF"/>
        </w:rPr>
        <w:t>Yu, L., &amp; Li, Y. (2022). Artificial intelligence decision-making transparency and employees’ trust: The parallel multiple mediating effect of effectiveness and discomfort. </w:t>
      </w:r>
      <w:r w:rsidRPr="006A2E70">
        <w:rPr>
          <w:rFonts w:asciiTheme="majorBidi" w:hAnsiTheme="majorBidi" w:cstheme="majorBidi"/>
          <w:i/>
          <w:iCs/>
          <w:color w:val="222222"/>
          <w:sz w:val="28"/>
          <w:szCs w:val="28"/>
          <w:shd w:val="clear" w:color="auto" w:fill="FFFFFF"/>
        </w:rPr>
        <w:t>Behavioral Sciences</w:t>
      </w:r>
      <w:r w:rsidRPr="006A2E70">
        <w:rPr>
          <w:rFonts w:asciiTheme="majorBidi" w:hAnsiTheme="majorBidi" w:cstheme="majorBidi"/>
          <w:color w:val="222222"/>
          <w:sz w:val="28"/>
          <w:szCs w:val="28"/>
          <w:shd w:val="clear" w:color="auto" w:fill="FFFFFF"/>
        </w:rPr>
        <w:t>, </w:t>
      </w:r>
      <w:r w:rsidRPr="006A2E70">
        <w:rPr>
          <w:rFonts w:asciiTheme="majorBidi" w:hAnsiTheme="majorBidi" w:cstheme="majorBidi"/>
          <w:i/>
          <w:iCs/>
          <w:color w:val="222222"/>
          <w:sz w:val="28"/>
          <w:szCs w:val="28"/>
          <w:shd w:val="clear" w:color="auto" w:fill="FFFFFF"/>
        </w:rPr>
        <w:t>12</w:t>
      </w:r>
      <w:r w:rsidRPr="006A2E70">
        <w:rPr>
          <w:rFonts w:asciiTheme="majorBidi" w:hAnsiTheme="majorBidi" w:cstheme="majorBidi"/>
          <w:color w:val="222222"/>
          <w:sz w:val="28"/>
          <w:szCs w:val="28"/>
          <w:shd w:val="clear" w:color="auto" w:fill="FFFFFF"/>
        </w:rPr>
        <w:t>(5), 127.</w:t>
      </w:r>
      <w:r w:rsidRPr="006A2E70">
        <w:rPr>
          <w:rFonts w:asciiTheme="majorBidi" w:hAnsiTheme="majorBidi" w:cstheme="majorBidi"/>
          <w:color w:val="222222"/>
          <w:sz w:val="28"/>
          <w:szCs w:val="28"/>
          <w:shd w:val="clear" w:color="auto" w:fill="FFFFFF"/>
          <w:rtl/>
        </w:rPr>
        <w:t>‏</w:t>
      </w:r>
    </w:p>
    <w:sectPr w:rsidR="0090259A" w:rsidRPr="006A2E70" w:rsidSect="006A2E70">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450E616" w14:textId="77777777" w:rsidR="006A2E70" w:rsidRDefault="006A2E70">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E97C30A" w14:textId="77777777" w:rsidR="006A2E70" w:rsidRDefault="006A2E70">
    <w:pPr>
      <w:pStyle w:val="a5"/>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8992789">
    <w:abstractNumId w:val="6"/>
  </w:num>
  <w:num w:numId="2" w16cid:durableId="1638997926">
    <w:abstractNumId w:val="3"/>
  </w:num>
  <w:num w:numId="3" w16cid:durableId="1306735496">
    <w:abstractNumId w:val="13"/>
  </w:num>
  <w:num w:numId="4" w16cid:durableId="983656761">
    <w:abstractNumId w:val="11"/>
  </w:num>
  <w:num w:numId="5" w16cid:durableId="2023973253">
    <w:abstractNumId w:val="2"/>
  </w:num>
  <w:num w:numId="6" w16cid:durableId="782000475">
    <w:abstractNumId w:val="8"/>
  </w:num>
  <w:num w:numId="7" w16cid:durableId="2050760726">
    <w:abstractNumId w:val="5"/>
  </w:num>
  <w:num w:numId="8" w16cid:durableId="1157302940">
    <w:abstractNumId w:val="15"/>
  </w:num>
  <w:num w:numId="9" w16cid:durableId="1876195424">
    <w:abstractNumId w:val="9"/>
  </w:num>
  <w:num w:numId="10" w16cid:durableId="1926331819">
    <w:abstractNumId w:val="0"/>
  </w:num>
  <w:num w:numId="11" w16cid:durableId="148863661">
    <w:abstractNumId w:val="4"/>
  </w:num>
  <w:num w:numId="12" w16cid:durableId="1664971490">
    <w:abstractNumId w:val="12"/>
  </w:num>
  <w:num w:numId="13" w16cid:durableId="922765635">
    <w:abstractNumId w:val="7"/>
  </w:num>
  <w:num w:numId="14" w16cid:durableId="1399935573">
    <w:abstractNumId w:val="14"/>
  </w:num>
  <w:num w:numId="15" w16cid:durableId="349111255">
    <w:abstractNumId w:val="10"/>
  </w:num>
  <w:num w:numId="16" w16cid:durableId="53519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4B"/>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86260"/>
    <w:rsid w:val="002A6A74"/>
    <w:rsid w:val="002A6F9E"/>
    <w:rsid w:val="002E2988"/>
    <w:rsid w:val="002F31E0"/>
    <w:rsid w:val="002F4DFE"/>
    <w:rsid w:val="003570B0"/>
    <w:rsid w:val="00372133"/>
    <w:rsid w:val="0038473F"/>
    <w:rsid w:val="003C64B0"/>
    <w:rsid w:val="003F0047"/>
    <w:rsid w:val="0042670A"/>
    <w:rsid w:val="004553F9"/>
    <w:rsid w:val="0046623A"/>
    <w:rsid w:val="004A0A2E"/>
    <w:rsid w:val="004C33C9"/>
    <w:rsid w:val="004E0C0B"/>
    <w:rsid w:val="005050B7"/>
    <w:rsid w:val="005617FB"/>
    <w:rsid w:val="00581D0A"/>
    <w:rsid w:val="005B7750"/>
    <w:rsid w:val="005D684B"/>
    <w:rsid w:val="005E3FCF"/>
    <w:rsid w:val="00602942"/>
    <w:rsid w:val="0061595F"/>
    <w:rsid w:val="00694ED8"/>
    <w:rsid w:val="006A2E70"/>
    <w:rsid w:val="006F48BF"/>
    <w:rsid w:val="006F5668"/>
    <w:rsid w:val="00720953"/>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50260"/>
    <w:rsid w:val="0099716B"/>
    <w:rsid w:val="009B4B26"/>
    <w:rsid w:val="009F4125"/>
    <w:rsid w:val="009F7331"/>
    <w:rsid w:val="00A0386E"/>
    <w:rsid w:val="00A1165D"/>
    <w:rsid w:val="00A71409"/>
    <w:rsid w:val="00A85296"/>
    <w:rsid w:val="00A933EF"/>
    <w:rsid w:val="00AC2C89"/>
    <w:rsid w:val="00AE394B"/>
    <w:rsid w:val="00AF6B65"/>
    <w:rsid w:val="00B52242"/>
    <w:rsid w:val="00B663D4"/>
    <w:rsid w:val="00B804CF"/>
    <w:rsid w:val="00B94435"/>
    <w:rsid w:val="00BB70EF"/>
    <w:rsid w:val="00C26D6C"/>
    <w:rsid w:val="00C337D7"/>
    <w:rsid w:val="00C448D9"/>
    <w:rsid w:val="00C80DAC"/>
    <w:rsid w:val="00CB2159"/>
    <w:rsid w:val="00CE066D"/>
    <w:rsid w:val="00CE7982"/>
    <w:rsid w:val="00D321AB"/>
    <w:rsid w:val="00D42C46"/>
    <w:rsid w:val="00D45C4B"/>
    <w:rsid w:val="00D6132D"/>
    <w:rsid w:val="00D74D18"/>
    <w:rsid w:val="00D81CB0"/>
    <w:rsid w:val="00D849B5"/>
    <w:rsid w:val="00DD440A"/>
    <w:rsid w:val="00E27801"/>
    <w:rsid w:val="00E27D71"/>
    <w:rsid w:val="00E461E3"/>
    <w:rsid w:val="00E50E11"/>
    <w:rsid w:val="00E70164"/>
    <w:rsid w:val="00E70EFC"/>
    <w:rsid w:val="00E77D96"/>
    <w:rsid w:val="00EA1603"/>
    <w:rsid w:val="00EB35F4"/>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988"/>
    <w:pPr>
      <w:ind w:left="720"/>
      <w:contextualSpacing/>
    </w:pPr>
  </w:style>
  <w:style w:type="paragraph" w:styleId="a4">
    <w:name w:val="Normal (Web)"/>
    <w:basedOn w:val="a"/>
    <w:uiPriority w:val="99"/>
    <w:semiHidden/>
    <w:unhideWhenUsed/>
    <w:rsid w:val="00E27D71"/>
    <w:rPr>
      <w:rFonts w:ascii="Times New Roman" w:hAnsi="Times New Roman" w:cs="Times New Roman"/>
      <w:sz w:val="24"/>
      <w:szCs w:val="24"/>
    </w:rPr>
  </w:style>
  <w:style w:type="paragraph" w:styleId="a5">
    <w:name w:val="footer"/>
    <w:basedOn w:val="a"/>
    <w:link w:val="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Char">
    <w:name w:val="تذييل الصفحة Char"/>
    <w:basedOn w:val="a0"/>
    <w:link w:val="a5"/>
    <w:uiPriority w:val="99"/>
    <w:rsid w:val="006A2E70"/>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40</Pages>
  <Words>13054</Words>
  <Characters>74414</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A K</cp:lastModifiedBy>
  <cp:revision>2</cp:revision>
  <cp:lastPrinted>2026-03-01T01:42:00Z</cp:lastPrinted>
  <dcterms:created xsi:type="dcterms:W3CDTF">2026-03-01T01:44:00Z</dcterms:created>
  <dcterms:modified xsi:type="dcterms:W3CDTF">2026-03-01T01:44:00Z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