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C10" w:rsidRDefault="00706C10" w:rsidP="00706C10">
      <w:pPr>
        <w:spacing w:after="160" w:line="360" w:lineRule="auto"/>
        <w:jc w:val="both"/>
        <w:rPr>
          <w:rFonts w:ascii="Simplified Arabic" w:hAnsi="Simplified Arabic" w:cs="Simplified Arabic"/>
        </w:rPr>
      </w:pPr>
      <w:r>
        <w:rPr>
          <w:noProof/>
        </w:rPr>
        <mc:AlternateContent>
          <mc:Choice Requires="wps">
            <w:drawing>
              <wp:anchor distT="45720" distB="45720" distL="114300" distR="114300" simplePos="0" relativeHeight="251658240" behindDoc="0" locked="0" layoutInCell="1" allowOverlap="1">
                <wp:simplePos x="0" y="0"/>
                <wp:positionH relativeFrom="margin">
                  <wp:posOffset>3271520</wp:posOffset>
                </wp:positionH>
                <wp:positionV relativeFrom="margin">
                  <wp:posOffset>228600</wp:posOffset>
                </wp:positionV>
                <wp:extent cx="2893060" cy="1495425"/>
                <wp:effectExtent l="0" t="0" r="0" b="0"/>
                <wp:wrapTopAndBottom/>
                <wp:docPr id="361060956" name="Rectangle 3610609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893060" cy="1495425"/>
                        </a:xfrm>
                        <a:prstGeom prst="rect">
                          <a:avLst/>
                        </a:prstGeom>
                        <a:noFill/>
                        <a:ln w="9525">
                          <a:noFill/>
                          <a:miter/>
                        </a:ln>
                      </wps:spPr>
                      <wps:txbx>
                        <w:txbxContent>
                          <w:p w:rsidR="00706C10" w:rsidRDefault="00706C10" w:rsidP="00706C10">
                            <w:pPr>
                              <w:spacing w:line="254" w:lineRule="auto"/>
                              <w:jc w:val="center"/>
                              <w:rPr>
                                <w:rFonts w:ascii="Century Gothic"/>
                                <w:b/>
                                <w:bCs/>
                                <w:sz w:val="32"/>
                                <w:szCs w:val="32"/>
                              </w:rPr>
                            </w:pPr>
                            <w:r>
                              <w:rPr>
                                <w:rFonts w:ascii="Century Gothic"/>
                                <w:b/>
                                <w:bCs/>
                                <w:sz w:val="32"/>
                                <w:szCs w:val="32"/>
                                <w:rtl/>
                              </w:rPr>
                              <w:t>جامعة ميد أوشن</w:t>
                            </w:r>
                          </w:p>
                          <w:p w:rsidR="00706C10" w:rsidRDefault="00706C10" w:rsidP="00706C10">
                            <w:pPr>
                              <w:spacing w:line="254" w:lineRule="auto"/>
                              <w:jc w:val="center"/>
                              <w:rPr>
                                <w:rFonts w:ascii="Century Gothic"/>
                                <w:b/>
                                <w:bCs/>
                                <w:sz w:val="32"/>
                                <w:szCs w:val="32"/>
                              </w:rPr>
                            </w:pPr>
                            <w:r>
                              <w:rPr>
                                <w:rFonts w:ascii="Century Gothic"/>
                                <w:b/>
                                <w:bCs/>
                                <w:sz w:val="32"/>
                                <w:szCs w:val="32"/>
                                <w:rtl/>
                              </w:rPr>
                              <w:t>كلية الإدارة</w:t>
                            </w:r>
                          </w:p>
                          <w:p w:rsidR="00706C10" w:rsidRDefault="00706C10" w:rsidP="00706C10">
                            <w:pPr>
                              <w:spacing w:line="254" w:lineRule="auto"/>
                              <w:jc w:val="center"/>
                              <w:rPr>
                                <w:rFonts w:ascii="Century Gothic"/>
                                <w:b/>
                                <w:bCs/>
                                <w:sz w:val="32"/>
                                <w:szCs w:val="32"/>
                              </w:rPr>
                            </w:pPr>
                            <w:r>
                              <w:rPr>
                                <w:rFonts w:ascii="Century Gothic"/>
                                <w:b/>
                                <w:bCs/>
                                <w:sz w:val="32"/>
                                <w:szCs w:val="32"/>
                                <w:rtl/>
                              </w:rPr>
                              <w:t>ماجستير إدارة</w:t>
                            </w:r>
                            <w:r>
                              <w:rPr>
                                <w:rFonts w:ascii="Century Gothic" w:hint="cs"/>
                                <w:b/>
                                <w:bCs/>
                                <w:sz w:val="32"/>
                                <w:szCs w:val="32"/>
                              </w:rPr>
                              <w:t xml:space="preserve"> </w:t>
                            </w:r>
                            <w:r>
                              <w:rPr>
                                <w:rFonts w:ascii="Century Gothic"/>
                                <w:b/>
                                <w:bCs/>
                                <w:color w:val="000000"/>
                                <w:sz w:val="32"/>
                                <w:szCs w:val="32"/>
                                <w:rtl/>
                              </w:rPr>
                              <w:t>المشاريع</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id="Rectangle 361060956" o:spid="_x0000_s1026" style="position:absolute;left:0;text-align:left;margin-left:257.6pt;margin-top:18pt;width:227.8pt;height:117.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" filled="f" stroked="f">
                <v:textbox>
                  <w:txbxContent>
                    <w:p w:rsidR="00706C10" w:rsidRDefault="00706C10" w:rsidP="00706C10">
                      <w:pPr>
                        <w:spacing w:line="254" w:lineRule="auto"/>
                        <w:jc w:val="center"/>
                        <w:rPr>
                          <w:rFonts w:ascii="Century Gothic"/>
                          <w:b/>
                          <w:bCs/>
                          <w:sz w:val="32"/>
                          <w:szCs w:val="32"/>
                        </w:rPr>
                      </w:pPr>
                      <w:r>
                        <w:rPr>
                          <w:rFonts w:ascii="Century Gothic"/>
                          <w:b/>
                          <w:bCs/>
                          <w:sz w:val="32"/>
                          <w:szCs w:val="32"/>
                          <w:rtl/>
                        </w:rPr>
                        <w:t>جامعة ميد أوشن</w:t>
                      </w:r>
                    </w:p>
                    <w:p w:rsidR="00706C10" w:rsidRDefault="00706C10" w:rsidP="00706C10">
                      <w:pPr>
                        <w:spacing w:line="254" w:lineRule="auto"/>
                        <w:jc w:val="center"/>
                        <w:rPr>
                          <w:rFonts w:ascii="Century Gothic"/>
                          <w:b/>
                          <w:bCs/>
                          <w:sz w:val="32"/>
                          <w:szCs w:val="32"/>
                        </w:rPr>
                      </w:pPr>
                      <w:r>
                        <w:rPr>
                          <w:rFonts w:ascii="Century Gothic"/>
                          <w:b/>
                          <w:bCs/>
                          <w:sz w:val="32"/>
                          <w:szCs w:val="32"/>
                          <w:rtl/>
                        </w:rPr>
                        <w:t>كلية الإدارة</w:t>
                      </w:r>
                    </w:p>
                    <w:p w:rsidR="00706C10" w:rsidRDefault="00706C10" w:rsidP="00706C10">
                      <w:pPr>
                        <w:spacing w:line="254" w:lineRule="auto"/>
                        <w:jc w:val="center"/>
                        <w:rPr>
                          <w:rFonts w:ascii="Century Gothic"/>
                          <w:b/>
                          <w:bCs/>
                          <w:sz w:val="32"/>
                          <w:szCs w:val="32"/>
                        </w:rPr>
                      </w:pPr>
                      <w:r>
                        <w:rPr>
                          <w:rFonts w:ascii="Century Gothic"/>
                          <w:b/>
                          <w:bCs/>
                          <w:sz w:val="32"/>
                          <w:szCs w:val="32"/>
                          <w:rtl/>
                        </w:rPr>
                        <w:t>ماجستير إدارة</w:t>
                      </w:r>
                      <w:r>
                        <w:rPr>
                          <w:rFonts w:ascii="Century Gothic" w:hint="cs"/>
                          <w:b/>
                          <w:bCs/>
                          <w:sz w:val="32"/>
                          <w:szCs w:val="32"/>
                        </w:rPr>
                        <w:t xml:space="preserve"> </w:t>
                      </w:r>
                      <w:r>
                        <w:rPr>
                          <w:rFonts w:ascii="Century Gothic"/>
                          <w:b/>
                          <w:bCs/>
                          <w:color w:val="000000"/>
                          <w:sz w:val="32"/>
                          <w:szCs w:val="32"/>
                          <w:rtl/>
                        </w:rPr>
                        <w:t>المشاريع</w:t>
                      </w:r>
                    </w:p>
                  </w:txbxContent>
                </v:textbox>
                <w10:wrap type="topAndBottom" anchorx="margin" anchory="margin"/>
              </v:rect>
            </w:pict>
          </mc:Fallback>
        </mc:AlternateContent>
      </w:r>
      <w:r>
        <w:rPr>
          <w:noProof/>
        </w:rPr>
        <w:drawing>
          <wp:anchor distT="0" distB="0" distL="114300" distR="114300" simplePos="0" relativeHeight="251658240" behindDoc="0" locked="0" layoutInCell="1" allowOverlap="1">
            <wp:simplePos x="0" y="0"/>
            <wp:positionH relativeFrom="column">
              <wp:align>left</wp:align>
            </wp:positionH>
            <wp:positionV relativeFrom="paragraph">
              <wp:posOffset>0</wp:posOffset>
            </wp:positionV>
            <wp:extent cx="2226945" cy="1299845"/>
            <wp:effectExtent l="0" t="0" r="1905" b="0"/>
            <wp:wrapSquare wrapText="bothSides"/>
            <wp:docPr id="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1299845"/>
                    </a:xfrm>
                    <a:prstGeom prst="rect">
                      <a:avLst/>
                    </a:prstGeom>
                    <a:noFill/>
                  </pic:spPr>
                </pic:pic>
              </a:graphicData>
            </a:graphic>
            <wp14:sizeRelH relativeFrom="page">
              <wp14:pctWidth>0</wp14:pctWidth>
            </wp14:sizeRelH>
            <wp14:sizeRelV relativeFrom="page">
              <wp14:pctHeight>0</wp14:pctHeight>
            </wp14:sizeRelV>
          </wp:anchor>
        </w:drawing>
      </w:r>
    </w:p>
    <w:p w:rsidR="00706C10" w:rsidRDefault="00706C10" w:rsidP="00706C10">
      <w:pPr>
        <w:spacing w:after="0" w:line="360" w:lineRule="auto"/>
        <w:ind w:left="48" w:hanging="94"/>
        <w:jc w:val="center"/>
        <w:rPr>
          <w:rFonts w:ascii="Simplified Arabic" w:eastAsia="Calibri" w:hAnsi="Simplified Arabic" w:cs="Simplified Arabic"/>
          <w:b/>
          <w:bCs/>
          <w:sz w:val="44"/>
          <w:szCs w:val="44"/>
        </w:rPr>
      </w:pPr>
    </w:p>
    <w:p w:rsidR="00706C10" w:rsidRDefault="00706C10" w:rsidP="00706C10">
      <w:pPr>
        <w:spacing w:after="0" w:line="360" w:lineRule="auto"/>
        <w:ind w:left="48" w:hanging="94"/>
        <w:jc w:val="center"/>
        <w:rPr>
          <w:rFonts w:ascii="Simplified Arabic" w:eastAsia="Calibri" w:hAnsi="Simplified Arabic" w:cs="Simplified Arabic"/>
          <w:b/>
          <w:bCs/>
          <w:sz w:val="44"/>
          <w:szCs w:val="44"/>
          <w:lang w:bidi="ar-EG"/>
        </w:rPr>
      </w:pPr>
      <w:r>
        <w:rPr>
          <w:rFonts w:ascii="Simplified Arabic" w:eastAsia="Calibri" w:hAnsi="Simplified Arabic" w:cs="Simplified Arabic"/>
          <w:b/>
          <w:bCs/>
          <w:sz w:val="44"/>
          <w:szCs w:val="44"/>
          <w:rtl/>
        </w:rPr>
        <w:t>أثر التقنيات الناشئة في رفع جودة خدمات مؤسسات البلديات والإسكان في المملكة العربية السعودية</w:t>
      </w:r>
    </w:p>
    <w:p w:rsidR="00706C10" w:rsidRDefault="00706C10" w:rsidP="00706C10">
      <w:pPr>
        <w:spacing w:after="0" w:line="360" w:lineRule="auto"/>
        <w:ind w:left="-46"/>
        <w:jc w:val="center"/>
        <w:rPr>
          <w:rFonts w:ascii="Simplified Arabic" w:eastAsia="Calibri" w:hAnsi="Simplified Arabic" w:cs="Simplified Arabic"/>
          <w:b/>
          <w:bCs/>
          <w:sz w:val="28"/>
          <w:szCs w:val="28"/>
          <w:rtl/>
          <w:lang w:bidi="ar-EG"/>
        </w:rPr>
      </w:pPr>
    </w:p>
    <w:p w:rsidR="00706C10" w:rsidRDefault="00706C10" w:rsidP="00706C10">
      <w:pPr>
        <w:spacing w:after="0" w:line="360" w:lineRule="auto"/>
        <w:ind w:left="48" w:hanging="94"/>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مشروع تخرج</w:t>
      </w:r>
    </w:p>
    <w:p w:rsidR="00706C10" w:rsidRDefault="00706C10" w:rsidP="00706C10">
      <w:pPr>
        <w:spacing w:after="160" w:line="360" w:lineRule="auto"/>
        <w:ind w:left="48"/>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إعداد</w:t>
      </w:r>
    </w:p>
    <w:p w:rsidR="00706C10" w:rsidRDefault="00706C10" w:rsidP="00706C10">
      <w:pPr>
        <w:spacing w:after="160" w:line="360" w:lineRule="auto"/>
        <w:ind w:left="48"/>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محمد خلف العنزي</w:t>
      </w:r>
    </w:p>
    <w:p w:rsidR="00706C10" w:rsidRDefault="00706C10" w:rsidP="00706C10">
      <w:pPr>
        <w:spacing w:after="160" w:line="360" w:lineRule="auto"/>
        <w:ind w:left="48"/>
        <w:jc w:val="center"/>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241000023</w:t>
      </w:r>
    </w:p>
    <w:p w:rsidR="00706C10" w:rsidRDefault="00706C10" w:rsidP="00706C10">
      <w:pPr>
        <w:spacing w:after="160" w:line="360" w:lineRule="auto"/>
        <w:ind w:left="48"/>
        <w:jc w:val="center"/>
        <w:rPr>
          <w:rFonts w:ascii="Simplified Arabic" w:eastAsia="Calibri" w:hAnsi="Simplified Arabic" w:cs="Simplified Arabic"/>
          <w:sz w:val="28"/>
          <w:szCs w:val="28"/>
          <w:rtl/>
          <w:lang w:bidi="ar-EG"/>
        </w:rPr>
      </w:pPr>
    </w:p>
    <w:p w:rsidR="00706C10" w:rsidRDefault="00706C10" w:rsidP="00706C10">
      <w:pPr>
        <w:spacing w:after="160" w:line="360" w:lineRule="auto"/>
        <w:ind w:left="48"/>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إشراف</w:t>
      </w:r>
    </w:p>
    <w:p w:rsidR="00706C10" w:rsidRDefault="00706C10" w:rsidP="00706C10">
      <w:pPr>
        <w:spacing w:after="160" w:line="360" w:lineRule="auto"/>
        <w:jc w:val="center"/>
        <w:rPr>
          <w:rFonts w:ascii="Simplified Arabic" w:eastAsia="Calibri" w:hAnsi="Simplified Arabic" w:cs="Simplified Arabic"/>
          <w:b/>
          <w:bCs/>
          <w:sz w:val="28"/>
          <w:szCs w:val="28"/>
          <w:rtl/>
        </w:rPr>
      </w:pPr>
      <w:r>
        <w:rPr>
          <w:rFonts w:ascii="Simplified Arabic" w:eastAsia="Calibri" w:hAnsi="Simplified Arabic" w:cs="Simplified Arabic"/>
          <w:b/>
          <w:bCs/>
          <w:kern w:val="2"/>
          <w:sz w:val="28"/>
          <w:szCs w:val="28"/>
          <w:rtl/>
          <w:lang w:bidi="ar-EG"/>
        </w:rPr>
        <w:t>د.</w:t>
      </w:r>
      <w:r>
        <w:rPr>
          <w:rFonts w:ascii="Simplified Arabic" w:eastAsia="Calibri" w:hAnsi="Simplified Arabic" w:cs="Simplified Arabic"/>
          <w:b/>
          <w:bCs/>
          <w:kern w:val="2"/>
          <w:sz w:val="28"/>
          <w:szCs w:val="28"/>
          <w:rtl/>
        </w:rPr>
        <w:t>اسماء ابو عنزة</w:t>
      </w:r>
      <w:r>
        <w:rPr>
          <w:rFonts w:ascii="Simplified Arabic" w:hAnsi="Simplified Arabic" w:cs="Simplified Arabic"/>
        </w:rPr>
        <w:tab/>
      </w:r>
      <w:r>
        <w:rPr>
          <w:rFonts w:ascii="Simplified Arabic" w:hAnsi="Simplified Arabic" w:cs="Simplified Arabic"/>
        </w:rPr>
        <w:tab/>
      </w:r>
      <w:r>
        <w:rPr>
          <w:rFonts w:ascii="Simplified Arabic" w:hAnsi="Simplified Arabic" w:cs="Simplified Arabic"/>
        </w:rPr>
        <w:tab/>
      </w:r>
      <w:r>
        <w:rPr>
          <w:rFonts w:ascii="Simplified Arabic" w:hAnsi="Simplified Arabic" w:cs="Simplified Arabic"/>
        </w:rPr>
        <w:tab/>
      </w:r>
      <w:r>
        <w:rPr>
          <w:rFonts w:ascii="Simplified Arabic" w:hAnsi="Simplified Arabic" w:cs="Simplified Arabic"/>
        </w:rPr>
        <w:tab/>
      </w:r>
      <w:r>
        <w:rPr>
          <w:rFonts w:ascii="Simplified Arabic" w:eastAsia="Calibri" w:hAnsi="Simplified Arabic" w:cs="Simplified Arabic"/>
          <w:b/>
          <w:bCs/>
          <w:sz w:val="28"/>
          <w:szCs w:val="28"/>
          <w:rtl/>
        </w:rPr>
        <w:t>د. ميرنا عماد مكرم</w:t>
      </w:r>
    </w:p>
    <w:p w:rsidR="00706C10" w:rsidRDefault="00706C10" w:rsidP="00706C10">
      <w:pPr>
        <w:spacing w:after="160" w:line="360" w:lineRule="auto"/>
        <w:ind w:left="2880" w:firstLine="720"/>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 xml:space="preserve">العام الدراسي: </w:t>
      </w:r>
      <w:r>
        <w:rPr>
          <w:rFonts w:ascii="Simplified Arabic" w:eastAsia="Calibri" w:hAnsi="Simplified Arabic" w:cs="Simplified Arabic"/>
          <w:b/>
          <w:bCs/>
          <w:sz w:val="28"/>
          <w:szCs w:val="28"/>
          <w:lang w:bidi="ar-EG"/>
        </w:rPr>
        <w:t>2024</w:t>
      </w:r>
      <w:bookmarkStart w:id="0" w:name="_Toc143987399"/>
      <w:r>
        <w:rPr>
          <w:rFonts w:ascii="Simplified Arabic" w:eastAsia="Calibri" w:hAnsi="Simplified Arabic" w:cs="Simplified Arabic"/>
          <w:b/>
          <w:bCs/>
          <w:sz w:val="28"/>
          <w:szCs w:val="28"/>
          <w:rtl/>
          <w:lang w:bidi="ar-EG"/>
        </w:rPr>
        <w:t>م</w:t>
      </w:r>
    </w:p>
    <w:p w:rsidR="00706C10" w:rsidRDefault="00706C10" w:rsidP="00706C10">
      <w:pPr>
        <w:bidi w:val="0"/>
        <w:spacing w:after="0" w:line="360" w:lineRule="auto"/>
        <w:rPr>
          <w:rFonts w:ascii="Simplified Arabic" w:eastAsia="Times New Roman" w:hAnsi="Simplified Arabic" w:cs="Simplified Arabic"/>
          <w:b/>
          <w:bCs/>
          <w:sz w:val="28"/>
          <w:szCs w:val="28"/>
          <w:rtl/>
        </w:rPr>
        <w:sectPr w:rsidR="00706C10">
          <w:pgSz w:w="11906" w:h="16838"/>
          <w:pgMar w:top="1440" w:right="1440" w:bottom="1440" w:left="1440" w:header="720" w:footer="720" w:gutter="0"/>
          <w:cols w:space="720"/>
          <w:bidi/>
          <w:rtlGutter/>
        </w:sectPr>
      </w:pPr>
      <w:bookmarkStart w:id="1" w:name="_GoBack"/>
      <w:bookmarkEnd w:id="1"/>
    </w:p>
    <w:p w:rsidR="00706C10" w:rsidRDefault="00706C10" w:rsidP="00706C10">
      <w:pPr>
        <w:keepNext/>
        <w:keepLines/>
        <w:spacing w:before="240" w:after="0" w:line="360" w:lineRule="auto"/>
        <w:outlineLvl w:val="0"/>
        <w:rPr>
          <w:rFonts w:ascii="Simplified Arabic" w:eastAsia="Times New Roman" w:hAnsi="Simplified Arabic" w:cs="Simplified Arabic"/>
          <w:b/>
          <w:bCs/>
          <w:sz w:val="40"/>
          <w:szCs w:val="40"/>
        </w:rPr>
      </w:pPr>
      <w:bookmarkStart w:id="2" w:name="_Toc181308864"/>
      <w:r>
        <w:rPr>
          <w:rFonts w:ascii="Simplified Arabic" w:eastAsia="Times New Roman" w:hAnsi="Simplified Arabic" w:cs="Simplified Arabic"/>
          <w:b/>
          <w:bCs/>
          <w:sz w:val="40"/>
          <w:szCs w:val="40"/>
          <w:rtl/>
        </w:rPr>
        <w:lastRenderedPageBreak/>
        <w:t>الفصل الأول: الإطار العام للدارسة</w:t>
      </w:r>
      <w:bookmarkEnd w:id="0"/>
      <w:bookmarkEnd w:id="2"/>
    </w:p>
    <w:p w:rsidR="00706C10" w:rsidRDefault="00706C10" w:rsidP="00706C10">
      <w:pPr>
        <w:pStyle w:val="ListParagraph"/>
        <w:numPr>
          <w:ilvl w:val="1"/>
          <w:numId w:val="1"/>
        </w:numPr>
        <w:tabs>
          <w:tab w:val="left" w:pos="2966"/>
        </w:tabs>
        <w:spacing w:line="360" w:lineRule="auto"/>
        <w:jc w:val="both"/>
        <w:outlineLvl w:val="0"/>
        <w:rPr>
          <w:rFonts w:ascii="Simplified Arabic" w:hAnsi="Simplified Arabic" w:cs="Simplified Arabic"/>
          <w:b/>
          <w:bCs/>
          <w:sz w:val="36"/>
          <w:szCs w:val="36"/>
          <w:rtl/>
        </w:rPr>
      </w:pPr>
      <w:bookmarkStart w:id="3" w:name="_Toc181308865"/>
      <w:r>
        <w:rPr>
          <w:rFonts w:ascii="Simplified Arabic" w:hAnsi="Simplified Arabic" w:cs="Simplified Arabic"/>
          <w:b/>
          <w:bCs/>
          <w:sz w:val="36"/>
          <w:szCs w:val="36"/>
          <w:rtl/>
        </w:rPr>
        <w:t>المقدمة:</w:t>
      </w:r>
      <w:bookmarkEnd w:id="3"/>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تُعتبر الخدمات البلدية والإسكان من العناصر الحيوية التي تؤثر بشكل مباشر على حياة المواطنين وجودة معيشتهم. مع تزايد التحضر والنمو السكاني، تواجه البلديات تحديات كبيرة في توفير خدمات فعّالة ومناسبة تلبي احتياجات المجتمع. في هذا السياق، أصبحت التقنيات الناشئة من أدوات التحول الأساسية التي يمكن أن تسهم في تحسين جودة هذه الخدمات</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تشمل هذه التقنيات الذكاء الاصطناعي، وإنترنت الأشياء، والبيانات الضخمة، وتطبيقات الهواتف الذكية، وغيرها. تتيح هذه الابتكارات للبلديات تحسين آليات التواصل مع المواطنين، وتحسين كفاءة إدارة الموارد، وتعزيز الشفافية والمساءلة. من خلال استخدام البيانات الضخمة، يمكن تحليل أنماط السكن والاحتياجات الحقيقية للمجتمع، مما يساعد في التخطيط الحضري بشكل أكثر فعالية</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كما أن التقنيات الناشئة تساهم في تحسين جودة الإسكان من خلال توفير حلول ذكية مثل المنازل الذكية وأنظمة إدارة الطاقة، مما يزيد من راحة السكان ويقلل من التكاليف. تتيح هذه الابتكارات أيضًا تقنيات البناء الحديثة التي تسهم في تسريع عمليات البناء وتخفيض التكاليف</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 xml:space="preserve">يهدف هذا البحث إلى استكشاف أثر التقنيات الناشئة على تحسين جودة الخدمات البلدية والإسكان، من خلال تحليل التطبيقات العملية والتحديات التي تواجهها البلديات في هذا المجال. </w:t>
      </w:r>
      <w:r>
        <w:rPr>
          <w:rFonts w:ascii="Simplified Arabic" w:hAnsi="Simplified Arabic" w:cs="Simplified Arabic"/>
          <w:sz w:val="28"/>
          <w:szCs w:val="28"/>
          <w:rtl/>
        </w:rPr>
        <w:lastRenderedPageBreak/>
        <w:t>سنناقش أيضًا كيف يمكن لهذه التقنيات أن تسهم في تحقيق التنمية المستدامة ورفع مستوى رضا المواطنين عن الخدمات المقدمة</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تعتبر الخدمات البلدية من العناصر الأساسية التي تسهم في تحسين جودة الحياة للمواطنين وتعزيز التنمية المستدامة في المجتمعات. في السنوات الأخيرة، شهدت التقنيات الناشئة تطورات ملحوظة، مما أتاح للبلديات الفرصة لتبني هذه التقنيات بهدف تحسين الخدمات المقدمة. تشمل هذه التقنيات الذكاء الاصطناعي، وإنترنت الأشياء، والبيانات الضخمة، والروبوتات، والتطبيقات الذكية، وغيرها</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تسهم هذه التقنيات في تعزيز كفاءة الخدمات البلدية من خلال تحسين آليات التواصل مع المواطنين، تسريع استجابة الإدارة لمتطلبات المجتمع، وتحليل البيانات لاتخاذ قرارات مستنيرة. كما تساعد التقنيات الناشئة في تطوير نظام الخدمات الذكية الذي يتيح تقديم خدمات مخصصة ومرنة تلبي احتياجات الأفراد بشكل أفضل</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يتناول هذا البحث أثر هذه التقنيات على جودة الخدمات البلدية، من خلال دراسة التطبيقات العملية والتحديات التي تواجهها البلديات في تنفيذ هذه الابتكارات، بالإضافة إلى تحليل نتائج تطبيق هذه التقنيات في مختلف المجالات مثل إدارة النفايات، النقل، والرعاية الصحية</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من خلال هذه الدراسة، نسعى إلى تقديم رؤية شاملة حول كيفية استغلال التقنيات الناشئة لتحقيق تحسينات فعلية في جودة الخدمات البلدية، مما يسهم في بناء مدن ذكية مستدامة تلبي احتياجات المستقبل</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في ظل التطورات السريعة والمتلاحقة في مجال التكنولوجيا، أصبحت التقنيات الناشئة تلعب دورًا محوريًا في تحسين جودة الخدمات المقدمة في مختلف القطاعات، بما في ذلك الخدمات البلدية والإسكان. فمع توسع المدن وزيادة الطلب على الخدمات العامة، ظهرت الحاجة الملحة لتطوير حلول تقنية مبتكرة تساعد في تلبية احتياجات السكان وتحسين أداء الجهات المعنية بتقديم هذه الخدمات. يتزامن ذلك مع ظهور التقنيات الناشئة مثل النظم الخبيرة والتعلم الآلي والتكنولوجيا التفاعلية، التي تساهم في تغيير الطريقة التي تتم بها إدارة المشاريع والخدمات في هذه القطاعات</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الخدمات البلدية والإسكان من القطاعات الحيوية التي ترتبط ارتباطًا وثيقًا بحياة المواطنين اليومية. فهي تشمل تقديم خدمات تتعلق بالتخطيط الحضري، إدارة المرافق العامة، وتحسين البيئة العمرانية، بالإضافة إلى مشاريع الإسكان التي توفر مأوى ملائم للأسر. هذه الخدمات، في ظل التحديات الحضرية الحديثة مثل النمو السكاني السريع وزيادة التوسع العمراني، تحتاج إلى تقنيات مبتكرة لتحسين الكفاءة والفعالية في تنفيذها وضمان استدامتها. من هنا، يأتي دور التقنيات الناشئة التي تقدم حلولًا فعالة لمشاكل تواجه القطاع، بدءًا من إدارة البيانات وتحليلها، وصولًا إلى تحسين آليات اتخاذ القرارات وتنفيذ المشروعات</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تعتبر النظم الخبيرة إحدى أبرز التقنيات الناشئة التي توفر القدرة على معالجة كم هائل من المعلومات واتخاذ قرارات دقيقة بناءً على البيانات المتاحة. في قطاع البلديات والإسكان، يمكن لهذه النظم تحسين التخطيط العمراني من خلال تحليل البيانات المتعلقة بالكثافة السكانية والبنية التحتية والموارد المتاحة. بالإضافة إلى ذلك، تسهم النظم الخبيرة في تحسين إدارة الموارد وتوزيعها بشكل أمثل، مما يساعد في توفير خدمات ذات جودة أعلى وتلبية احتياجات المواطنين بشكل أكثر كفاءة</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lastRenderedPageBreak/>
        <w:t>التعلم الآلي أيضًا يعد من التقنيات الناشئة التي يمكن أن تحدث نقلة نوعية في إدارة الخدمات البلدية والإسكان. فهو يتيح تحسين القدرة على التنبؤ بالتحديات المحتملة، من خلال تحليل البيانات التاريخية وتوقع الاتجاهات المستقبلية. هذا يسهم في تحسين التخطيط واتخاذ قرارات أفضل تتعلق بالمشاريع الحضرية وإدارة الأحياء السكنية. كما أن التعلم الآلي يمكنه تحسين عملية تخصيص الموارد وتوجيهها إلى الأماكن التي تحتاجها بشكل أكبر، مما يقلل من الهدر ويحسن من مستوى الخدمات المقدمة</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سهولة الاستعمال هي بُعد آخر للتقنيات الناشئة يجب تسليط الضوء عليه. إن تقنيات مثل التطبيقات الذكية والمنصات الرقمية تتيح للمواطنين التفاعل بشكل مباشر وسهل مع الجهات المسؤولة عن تقديم الخدمات. من خلال هذه الوسائل، يمكن للمواطنين الإبلاغ عن المشكلات في الأحياء السكنية أو متابعة طلبات الخدمات مثل رخص البناء أو تسجيل العقارات، مما يسهم في تحسين التواصل بين الجهات الحكومية والمواطنين ويعزز من الشفافية والمساءلة</w:t>
      </w:r>
      <w:r>
        <w:rPr>
          <w:rFonts w:ascii="Simplified Arabic" w:hAnsi="Simplified Arabic" w:cs="Simplified Arabic"/>
          <w:sz w:val="28"/>
          <w:szCs w:val="28"/>
        </w:rPr>
        <w:t>.</w:t>
      </w:r>
    </w:p>
    <w:p w:rsidR="00706C10" w:rsidRDefault="00706C10" w:rsidP="00706C10">
      <w:pPr>
        <w:tabs>
          <w:tab w:val="left" w:pos="2966"/>
        </w:tabs>
        <w:spacing w:line="360" w:lineRule="auto"/>
        <w:ind w:left="720" w:firstLine="680"/>
        <w:jc w:val="both"/>
        <w:rPr>
          <w:rFonts w:ascii="Simplified Arabic" w:hAnsi="Simplified Arabic" w:cs="Simplified Arabic"/>
          <w:sz w:val="28"/>
          <w:szCs w:val="28"/>
        </w:rPr>
      </w:pPr>
      <w:r>
        <w:rPr>
          <w:rFonts w:ascii="Simplified Arabic" w:hAnsi="Simplified Arabic" w:cs="Simplified Arabic"/>
          <w:sz w:val="28"/>
          <w:szCs w:val="28"/>
          <w:rtl/>
        </w:rPr>
        <w:t>من خلال دمج هذه التقنيات الناشئة في قطاع البلديات والإسكان، يمكن تحسين جودة الخدمات بشكل ملحوظ، سواء من حيث الكفاءة أو الفعالية. فالاستفادة من التكنولوجيا تسهم في تقليل التكلفة، تسريع العمليات، وزيادة رضا المواطنين عن الخدمات المقدمة. في ضوء هذه التحديات الحضرية الحديثة، أصبح من الضروري تبني التقنيات الناشئة كجزء أساسي من استراتيجية التطوير والتحسين في هذا القطاع الحيوي</w:t>
      </w:r>
      <w:r>
        <w:rPr>
          <w:rFonts w:ascii="Simplified Arabic" w:hAnsi="Simplified Arabic" w:cs="Simplified Arabic"/>
          <w:sz w:val="28"/>
          <w:szCs w:val="28"/>
        </w:rPr>
        <w:t>.</w:t>
      </w:r>
    </w:p>
    <w:p w:rsidR="00706C10" w:rsidRDefault="00706C10" w:rsidP="00706C10">
      <w:pPr>
        <w:pStyle w:val="ListParagraph"/>
        <w:numPr>
          <w:ilvl w:val="1"/>
          <w:numId w:val="1"/>
        </w:numPr>
        <w:tabs>
          <w:tab w:val="left" w:pos="2966"/>
        </w:tabs>
        <w:spacing w:line="360" w:lineRule="auto"/>
        <w:jc w:val="both"/>
        <w:outlineLvl w:val="0"/>
        <w:rPr>
          <w:rFonts w:ascii="Simplified Arabic" w:hAnsi="Simplified Arabic" w:cs="Simplified Arabic"/>
          <w:b/>
          <w:bCs/>
          <w:sz w:val="36"/>
          <w:szCs w:val="36"/>
        </w:rPr>
      </w:pPr>
      <w:bookmarkStart w:id="4" w:name="_Toc181308866"/>
      <w:r>
        <w:rPr>
          <w:rFonts w:ascii="Simplified Arabic" w:hAnsi="Simplified Arabic" w:cs="Simplified Arabic"/>
          <w:b/>
          <w:bCs/>
          <w:sz w:val="36"/>
          <w:szCs w:val="36"/>
          <w:rtl/>
        </w:rPr>
        <w:t>مشكلة الدراسة:</w:t>
      </w:r>
      <w:bookmarkEnd w:id="4"/>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Pr>
      </w:pPr>
      <w:r>
        <w:rPr>
          <w:rFonts w:ascii="Simplified Arabic" w:hAnsi="Simplified Arabic" w:cs="Simplified Arabic"/>
          <w:sz w:val="28"/>
          <w:szCs w:val="28"/>
          <w:rtl/>
        </w:rPr>
        <w:lastRenderedPageBreak/>
        <w:t>تشكل التقنيات الناشئة أحد المحاور الأساسية للتطوير والتحسين في مختلف القطاعات الحيوية، وفي مقدمتها قطاع الخدمات البلدية والإسكان. هذا القطاع الذي يمثل حجر الزاوية في تحقيق رفاهية المواطنين وجودة الحياة، يواجه اليوم تحديات متزايدة تتعلق بالتوسع العمراني، النمو السكاني، وارتفاع الطلب على الخدمات الأساسية، مثل الإسكان والبنية التحتية. مع استمرار هذه التحديات، تبرز مشكلة أساسية تتعلق بكيفية استخدام التقنيات الناشئة لتحسين جودة هذه الخدمات وتلبية احتياجات المجتمعات بشكل أفضل.</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في العقود الأخيرة، شهدت العديد من المدن في العالم العربي، بما فيها المملكة العربية السعودية، طفرة سكانية كبيرة أدت إلى زيادة الطلب على خدمات الإسكان والبنية التحتية. هذه الزيادة فرضت ضغطاً هائلاً على الحكومات المحلية والبلديات لتوفير خدمات سريعة، فعالة، وعالية الجودة. إلا أن الاعتماد على الأساليب التقليدية في تقديم هذه الخدمات لم يعد كافياً لمواكبة التطور السريع في احتياجات المواطنين والتحديات الاقتصادية والبيئية. الأمر الذي دفع نحو البحث عن حلول مبتكرة ومستدامة، وهنا يأتي دور التقنيات الناشئة كأحد الحلول الممكنة.</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التقنيات الناشئة تشمل مجموعة واسعة من الحلول التكنولوجية مثل الذكاء الاصطناعي، التعلم الآلي، النظم الخبيرة، وإنترنت الأشياء. هذه التقنيات لديها القدرة على تحسين جودة الخدمات من خلال تحسين الكفاءة، السرعة، والدقة في تقديم الخدمات، بالإضافة إلى تمكين الحكومات المحلية من إدارة الموارد بشكل أكثر فعالية.</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 xml:space="preserve">إحدى المشكلات الأساسية التي تواجه البلديات هي إدارة البيانات الضخمة الناتجة عن مختلف العمليات والخدمات. فالاعتماد على النظم التقليدية يجعل من الصعب تحليل هذه البيانات واتخاذ </w:t>
      </w:r>
      <w:r>
        <w:rPr>
          <w:rFonts w:ascii="Simplified Arabic" w:hAnsi="Simplified Arabic" w:cs="Simplified Arabic"/>
          <w:sz w:val="28"/>
          <w:szCs w:val="28"/>
          <w:rtl/>
        </w:rPr>
        <w:lastRenderedPageBreak/>
        <w:t>القرارات بناءً على معلومات دقيقة وواقعية. هنا تأتي التقنيات الناشئة، مثل النظم الخبيرة والتعلم الآلي، لتوفير حلول قادرة على تحليل كميات هائلة من البيانات في وقت قصير. من خلال هذه الأدوات، يمكن للبلديات تتبع احتياجات المواطنين، مراقبة أداء المشاريع العمرانية، والتنبؤ بالتحديات المستقبلية، مثل الأزمات الإسكانية أو تدهور البنية التحتية.</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جودة الخدمات لا تعتمد فقط على تقديم الخدمة نفسها، بل تتعلق بكيفية استجابة الجهات المعنية لاحتياجات المواطنين والتحديات التي يواجهونها. تعد سرعة الاستجابة ودقة الخدمة من المعايير الأساسية التي تقيس جودة الخدمات البلدية والإسكان. المشكلة التي تعاني منها العديد من البلديات في العالم العربي هي البطء في تنفيذ المشاريع والتعامل مع الطلبات بسبب البيروقراطية والتعقيدات الإدارية. إلا أن استخدام التقنيات الناشئة، مثل أنظمة إدارة المشاريع المتقدمة، يمكن أن يساهم في تسريع هذه العمليات، وتبسيط الإجراءات الإدارية، وتحقيق رضا المواطنين.</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تساهم التقنيات الناشئة أيضًا في تحسين الشفافية والمساءلة في تقديم الخدمات. فمن خلال التطبيقات الرقمية والأنظمة الذكية، يمكن للمواطنين متابعة طلباتهم ومراقبة تقدم المشاريع بسهولة، مما يعزز من ثقتهم في الجهات الحكومية ويقلل من احتمالات الفساد الإداري. هذا الاستخدام للتكنولوجيا لا يسهم فقط في رفع جودة الخدمات، بل يفتح آفاقًا جديدة لتحسين العلاقة بين المواطنين والبلديات.</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 xml:space="preserve">جانب آخر من المشكلة يتعلق بالتحديات البيئية المرتبطة بالنمو العمراني. فالتوسع في المدن وزيادة مشاريع الإسكان قد يؤدي إلى استنزاف الموارد الطبيعية وتدهور البيئة المحيطة. هنا يظهر دور التقنيات الناشئة في إيجاد حلول تكنولوجية مبتكرة تدعم الاستدامة. فعلى سبيل المثال، يمكن </w:t>
      </w:r>
      <w:r>
        <w:rPr>
          <w:rFonts w:ascii="Simplified Arabic" w:hAnsi="Simplified Arabic" w:cs="Simplified Arabic"/>
          <w:sz w:val="28"/>
          <w:szCs w:val="28"/>
          <w:rtl/>
        </w:rPr>
        <w:lastRenderedPageBreak/>
        <w:t>استخدام تقنيات الذكاء الاصطناعي وأنظمة تحليل البيانات لمراقبة استهلاك الطاقة والمياه، وتوجيه الجهود نحو تحسين كفاءة استخدام الموارد وتقليل الهدر. كذلك يمكن استخدام أنظمة الإنذار المبكر لتجنب الكوارث الطبيعية والتعامل مع الآثار البيئية الناجمة عن التوسع العمراني.</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رغم الفوائد المحتملة لاستخدام التقنيات الناشئة في تحسين جودة الخدمات البلدية والإسكان، هناك عدد من التحديات التي تواجه تطبيقها. أولاً، هناك حاجة ملحة لتوفير البنية التحتية التكنولوجية اللازمة، مثل شبكات الإنترنت عالية السرعة والأجهزة الذكية، لضمان عمل هذه التقنيات بشكل فعال. ثانيًا، يتطلب استخدام هذه التقنيات تطوير مهارات العاملين في القطاع، من خلال تدريبهم على استخدام الأنظمة الذكية وتحليل البيانات. ثالثًا، قد تواجه البلديات صعوبات في تمويل هذه المشاريع التقنية الضخمة، خاصة في ظل محدودية الميزانيات والموارد المالية.</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تعد مسألة تقبل الجمهور للتقنيات الناشئة تحديًا آخر يجب التعامل معه. فالكثير من المواطنين قد لا يكونون على دراية بكيفية استخدام الأنظمة الذكية أو قد يبدون تحفظًا تجاه الاعتماد الكبير على التكنولوجيا في حياتهم اليومية. لذا، فإن التوعية العامة وتوفير قنوات الدعم الفني والتدريب تعتبر من العوامل الأساسية لتجاوز هذه المشكلة.</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t>تكمن المشكلة في كيفية الاستفادة من التقنيات الناشئة لتحسين جودة الخدمات البلدية والإسكان بطريقة تضمن الكفاءة والاستدامة. ورغم التحديات التي تواجه تطبيق هذه التقنيات، إلا أنها تمثل أداة قوية لتحسين حياة المواطنين وتعزيز دور الحكومات المحلية في تقديم خدمات تتسم بالجودة والفعالية.</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Pr>
          <w:rFonts w:ascii="Simplified Arabic" w:hAnsi="Simplified Arabic" w:cs="Simplified Arabic"/>
          <w:sz w:val="28"/>
          <w:szCs w:val="28"/>
          <w:rtl/>
        </w:rPr>
        <w:t>ويمكن صياغة مشكلة البحث في السؤال التالي</w:t>
      </w:r>
      <w:r>
        <w:rPr>
          <w:rFonts w:ascii="Simplified Arabic" w:hAnsi="Simplified Arabic" w:cs="Simplified Arabic"/>
          <w:sz w:val="28"/>
          <w:szCs w:val="28"/>
        </w:rPr>
        <w:t>:</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ما هو أثر التقنيات الناشئة على رفع جودة الخدمات في البلدية والإسكان في المملكة العربية السعودية؟</w:t>
      </w:r>
      <w:r>
        <w:rPr>
          <w:rFonts w:ascii="Simplified Arabic" w:hAnsi="Simplified Arabic" w:cs="Simplified Arabic"/>
          <w:sz w:val="28"/>
          <w:szCs w:val="28"/>
        </w:rPr>
        <w:t xml:space="preserve"> </w:t>
      </w: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tl/>
        </w:rPr>
      </w:pP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Pr>
      </w:pP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Pr>
      </w:pP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Pr>
      </w:pP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Pr>
      </w:pPr>
    </w:p>
    <w:p w:rsidR="00706C10" w:rsidRDefault="00706C10" w:rsidP="00706C10">
      <w:pPr>
        <w:pStyle w:val="ListParagraph"/>
        <w:tabs>
          <w:tab w:val="left" w:pos="2966"/>
        </w:tabs>
        <w:spacing w:line="360" w:lineRule="auto"/>
        <w:ind w:left="1080"/>
        <w:jc w:val="both"/>
        <w:rPr>
          <w:rFonts w:ascii="Simplified Arabic" w:hAnsi="Simplified Arabic" w:cs="Simplified Arabic"/>
          <w:sz w:val="28"/>
          <w:szCs w:val="28"/>
        </w:rPr>
      </w:pPr>
    </w:p>
    <w:p w:rsidR="00706C10" w:rsidRDefault="00706C10" w:rsidP="00706C10">
      <w:pPr>
        <w:pStyle w:val="ListParagraph"/>
        <w:numPr>
          <w:ilvl w:val="1"/>
          <w:numId w:val="1"/>
        </w:numPr>
        <w:tabs>
          <w:tab w:val="left" w:pos="2966"/>
        </w:tabs>
        <w:spacing w:line="360" w:lineRule="auto"/>
        <w:ind w:left="656" w:hanging="630"/>
        <w:jc w:val="both"/>
        <w:outlineLvl w:val="0"/>
        <w:rPr>
          <w:rFonts w:ascii="Simplified Arabic" w:hAnsi="Simplified Arabic" w:cs="Simplified Arabic"/>
          <w:b/>
          <w:bCs/>
          <w:sz w:val="36"/>
          <w:szCs w:val="36"/>
        </w:rPr>
      </w:pPr>
      <w:bookmarkStart w:id="5" w:name="_Toc181308867"/>
      <w:r>
        <w:rPr>
          <w:rFonts w:ascii="Simplified Arabic" w:hAnsi="Simplified Arabic" w:cs="Simplified Arabic"/>
          <w:b/>
          <w:bCs/>
          <w:sz w:val="36"/>
          <w:szCs w:val="36"/>
          <w:rtl/>
        </w:rPr>
        <w:t>أهمية الدراسة:</w:t>
      </w:r>
      <w:bookmarkEnd w:id="5"/>
    </w:p>
    <w:p w:rsidR="00706C10" w:rsidRDefault="00706C10" w:rsidP="00706C10">
      <w:pPr>
        <w:tabs>
          <w:tab w:val="left" w:pos="2966"/>
        </w:tabs>
        <w:spacing w:line="360" w:lineRule="auto"/>
        <w:jc w:val="both"/>
        <w:outlineLvl w:val="0"/>
        <w:rPr>
          <w:rFonts w:ascii="Simplified Arabic" w:hAnsi="Simplified Arabic" w:cs="Simplified Arabic"/>
          <w:b/>
          <w:bCs/>
          <w:sz w:val="32"/>
          <w:szCs w:val="32"/>
        </w:rPr>
      </w:pPr>
      <w:bookmarkStart w:id="6" w:name="_Toc181308868"/>
      <w:r>
        <w:rPr>
          <w:rFonts w:ascii="Simplified Arabic" w:hAnsi="Simplified Arabic" w:cs="Simplified Arabic"/>
          <w:b/>
          <w:bCs/>
          <w:sz w:val="32"/>
          <w:szCs w:val="32"/>
          <w:rtl/>
        </w:rPr>
        <w:t>الأهمية العلمية</w:t>
      </w:r>
      <w:r>
        <w:rPr>
          <w:rFonts w:ascii="Simplified Arabic" w:hAnsi="Simplified Arabic" w:cs="Simplified Arabic"/>
          <w:b/>
          <w:bCs/>
          <w:sz w:val="32"/>
          <w:szCs w:val="32"/>
        </w:rPr>
        <w:t>:</w:t>
      </w:r>
      <w:bookmarkEnd w:id="6"/>
    </w:p>
    <w:p w:rsidR="00706C10" w:rsidRDefault="00706C10" w:rsidP="00706C10">
      <w:pPr>
        <w:numPr>
          <w:ilvl w:val="0"/>
          <w:numId w:val="2"/>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تطوير المعرفة حول التقنيات الناشئة</w:t>
      </w:r>
      <w:r>
        <w:rPr>
          <w:rFonts w:ascii="Simplified Arabic" w:hAnsi="Simplified Arabic" w:cs="Simplified Arabic"/>
          <w:sz w:val="28"/>
          <w:szCs w:val="28"/>
        </w:rPr>
        <w:t xml:space="preserve">: </w:t>
      </w:r>
      <w:r>
        <w:rPr>
          <w:rFonts w:ascii="Simplified Arabic" w:hAnsi="Simplified Arabic" w:cs="Simplified Arabic"/>
          <w:sz w:val="28"/>
          <w:szCs w:val="28"/>
          <w:rtl/>
        </w:rPr>
        <w:t>تساهم الدراسة في إثراء المعرفة حول دور التقنيات الناشئة مثل الذكاء الاصطناعي، النظم الخبيرة، وإنترنت الأشياء في تحسين جودة الخدمات في مجال البلديات والإسكان، مما يفتح آفاقاً جديدة للبحث العلمي في هذا المجال</w:t>
      </w:r>
      <w:r>
        <w:rPr>
          <w:rFonts w:ascii="Simplified Arabic" w:hAnsi="Simplified Arabic" w:cs="Simplified Arabic"/>
          <w:sz w:val="28"/>
          <w:szCs w:val="28"/>
        </w:rPr>
        <w:t>.</w:t>
      </w:r>
    </w:p>
    <w:p w:rsidR="00706C10" w:rsidRDefault="00706C10" w:rsidP="00706C10">
      <w:pPr>
        <w:numPr>
          <w:ilvl w:val="0"/>
          <w:numId w:val="2"/>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توفير قاعدة علمية للتطبيقات التقنية</w:t>
      </w:r>
      <w:r>
        <w:rPr>
          <w:rFonts w:ascii="Simplified Arabic" w:hAnsi="Simplified Arabic" w:cs="Simplified Arabic"/>
          <w:sz w:val="28"/>
          <w:szCs w:val="28"/>
        </w:rPr>
        <w:t xml:space="preserve">: </w:t>
      </w:r>
      <w:r>
        <w:rPr>
          <w:rFonts w:ascii="Simplified Arabic" w:hAnsi="Simplified Arabic" w:cs="Simplified Arabic"/>
          <w:sz w:val="28"/>
          <w:szCs w:val="28"/>
          <w:rtl/>
        </w:rPr>
        <w:t>تساعد الدراسة في توفير قاعدة علمية لتطبيقات التكنولوجيا الحديثة في التخطيط العمراني وتطوير خدمات الإسكان، مما يساعد الأكاديميين والباحثين في فهم تأثير هذه التقنيات بشكل أعمق</w:t>
      </w:r>
      <w:r>
        <w:rPr>
          <w:rFonts w:ascii="Simplified Arabic" w:hAnsi="Simplified Arabic" w:cs="Simplified Arabic"/>
          <w:sz w:val="28"/>
          <w:szCs w:val="28"/>
        </w:rPr>
        <w:t>.</w:t>
      </w:r>
    </w:p>
    <w:p w:rsidR="00706C10" w:rsidRDefault="00706C10" w:rsidP="00706C10">
      <w:pPr>
        <w:numPr>
          <w:ilvl w:val="0"/>
          <w:numId w:val="2"/>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تحليل الآثار المتعددة للتكنولوجيا</w:t>
      </w:r>
      <w:r>
        <w:rPr>
          <w:rFonts w:ascii="Simplified Arabic" w:hAnsi="Simplified Arabic" w:cs="Simplified Arabic"/>
          <w:sz w:val="28"/>
          <w:szCs w:val="28"/>
        </w:rPr>
        <w:t xml:space="preserve">: </w:t>
      </w:r>
      <w:r>
        <w:rPr>
          <w:rFonts w:ascii="Simplified Arabic" w:hAnsi="Simplified Arabic" w:cs="Simplified Arabic"/>
          <w:sz w:val="28"/>
          <w:szCs w:val="28"/>
          <w:rtl/>
        </w:rPr>
        <w:t>تعزز الدراسة الفهم حول الآثار المتعددة للتكنولوجيا الناشئة على مختلف أبعاد الخدمات البلدية والإسكان، بما في ذلك تحسين الكفاءة الإدارية وتعزيز الشفافية والمساءلة</w:t>
      </w:r>
      <w:r>
        <w:rPr>
          <w:rFonts w:ascii="Simplified Arabic" w:hAnsi="Simplified Arabic" w:cs="Simplified Arabic"/>
          <w:sz w:val="28"/>
          <w:szCs w:val="28"/>
        </w:rPr>
        <w:t>.</w:t>
      </w:r>
    </w:p>
    <w:p w:rsidR="00706C10" w:rsidRDefault="00706C10" w:rsidP="00706C10">
      <w:pPr>
        <w:numPr>
          <w:ilvl w:val="0"/>
          <w:numId w:val="2"/>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فتح مجالات بحث جديدة</w:t>
      </w:r>
      <w:r>
        <w:rPr>
          <w:rFonts w:ascii="Simplified Arabic" w:hAnsi="Simplified Arabic" w:cs="Simplified Arabic"/>
          <w:sz w:val="28"/>
          <w:szCs w:val="28"/>
        </w:rPr>
        <w:t xml:space="preserve">: </w:t>
      </w:r>
      <w:r>
        <w:rPr>
          <w:rFonts w:ascii="Simplified Arabic" w:hAnsi="Simplified Arabic" w:cs="Simplified Arabic"/>
          <w:sz w:val="28"/>
          <w:szCs w:val="28"/>
          <w:rtl/>
        </w:rPr>
        <w:t>تفتح هذه الدراسة مجالات بحث جديدة للأكاديميين لتطوير نماذج وأطر عمل تكنولوجية أكثر فعالية في تحسين جودة الخدمات العامة، بما يساهم في توجيه الدراسات المستقبلية</w:t>
      </w:r>
      <w:r>
        <w:rPr>
          <w:rFonts w:ascii="Simplified Arabic" w:hAnsi="Simplified Arabic" w:cs="Simplified Arabic"/>
          <w:sz w:val="28"/>
          <w:szCs w:val="28"/>
        </w:rPr>
        <w:t>.</w:t>
      </w:r>
    </w:p>
    <w:p w:rsidR="00706C10" w:rsidRDefault="00706C10" w:rsidP="00706C10">
      <w:pPr>
        <w:numPr>
          <w:ilvl w:val="0"/>
          <w:numId w:val="2"/>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تعزيز النظريات المتعلقة بالإدارة الذكية</w:t>
      </w:r>
      <w:r>
        <w:rPr>
          <w:rFonts w:ascii="Simplified Arabic" w:hAnsi="Simplified Arabic" w:cs="Simplified Arabic"/>
          <w:sz w:val="28"/>
          <w:szCs w:val="28"/>
        </w:rPr>
        <w:t xml:space="preserve">: </w:t>
      </w:r>
      <w:r>
        <w:rPr>
          <w:rFonts w:ascii="Simplified Arabic" w:hAnsi="Simplified Arabic" w:cs="Simplified Arabic"/>
          <w:sz w:val="28"/>
          <w:szCs w:val="28"/>
          <w:rtl/>
        </w:rPr>
        <w:t>تساهم الدراسة في تطوير وتطبيق النظريات المرتبطة بالإدارة الذكية للمدن والخدمات، مما يساعد على ربط التقدم التكنولوجي بالنظريات الإدارية الحديثة</w:t>
      </w:r>
      <w:r>
        <w:rPr>
          <w:rFonts w:ascii="Simplified Arabic" w:hAnsi="Simplified Arabic" w:cs="Simplified Arabic"/>
          <w:sz w:val="28"/>
          <w:szCs w:val="28"/>
        </w:rPr>
        <w:t>.</w:t>
      </w:r>
    </w:p>
    <w:p w:rsidR="00706C10" w:rsidRDefault="00706C10" w:rsidP="00706C10">
      <w:pPr>
        <w:tabs>
          <w:tab w:val="left" w:pos="2966"/>
        </w:tabs>
        <w:spacing w:line="360" w:lineRule="auto"/>
        <w:ind w:left="720"/>
        <w:jc w:val="both"/>
        <w:rPr>
          <w:rFonts w:ascii="Simplified Arabic" w:hAnsi="Simplified Arabic" w:cs="Simplified Arabic"/>
          <w:sz w:val="28"/>
          <w:szCs w:val="28"/>
        </w:rPr>
      </w:pPr>
    </w:p>
    <w:p w:rsidR="00706C10" w:rsidRDefault="00706C10" w:rsidP="00706C10">
      <w:pPr>
        <w:tabs>
          <w:tab w:val="left" w:pos="2966"/>
        </w:tabs>
        <w:spacing w:line="360" w:lineRule="auto"/>
        <w:jc w:val="both"/>
        <w:outlineLvl w:val="0"/>
        <w:rPr>
          <w:rFonts w:ascii="Simplified Arabic" w:hAnsi="Simplified Arabic" w:cs="Simplified Arabic"/>
          <w:b/>
          <w:bCs/>
          <w:sz w:val="32"/>
          <w:szCs w:val="32"/>
        </w:rPr>
      </w:pPr>
      <w:bookmarkStart w:id="7" w:name="_Toc181308869"/>
      <w:r>
        <w:rPr>
          <w:rFonts w:ascii="Simplified Arabic" w:hAnsi="Simplified Arabic" w:cs="Simplified Arabic"/>
          <w:b/>
          <w:bCs/>
          <w:sz w:val="32"/>
          <w:szCs w:val="32"/>
          <w:rtl/>
        </w:rPr>
        <w:t>الأهمية العملية</w:t>
      </w:r>
      <w:r>
        <w:rPr>
          <w:rFonts w:ascii="Simplified Arabic" w:hAnsi="Simplified Arabic" w:cs="Simplified Arabic"/>
          <w:b/>
          <w:bCs/>
          <w:sz w:val="32"/>
          <w:szCs w:val="32"/>
        </w:rPr>
        <w:t>:</w:t>
      </w:r>
      <w:bookmarkEnd w:id="7"/>
    </w:p>
    <w:p w:rsidR="00706C10" w:rsidRDefault="00706C10" w:rsidP="00706C10">
      <w:pPr>
        <w:numPr>
          <w:ilvl w:val="0"/>
          <w:numId w:val="3"/>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كفاءة الخدمات البلدية</w:t>
      </w:r>
      <w:r>
        <w:rPr>
          <w:rFonts w:ascii="Simplified Arabic" w:hAnsi="Simplified Arabic" w:cs="Simplified Arabic"/>
          <w:sz w:val="28"/>
          <w:szCs w:val="28"/>
        </w:rPr>
        <w:t xml:space="preserve">: </w:t>
      </w:r>
      <w:r>
        <w:rPr>
          <w:rFonts w:ascii="Simplified Arabic" w:hAnsi="Simplified Arabic" w:cs="Simplified Arabic"/>
          <w:sz w:val="28"/>
          <w:szCs w:val="28"/>
          <w:rtl/>
        </w:rPr>
        <w:t>تسلط الدراسة الضوء على كيفية استخدام التقنيات الناشئة لتحسين الكفاءة في تقديم الخدمات البلدية والإسكان، مما يساعد البلديات على توفير خدمات أفضل للمواطنين بأقل تكلفة ووقت</w:t>
      </w:r>
      <w:r>
        <w:rPr>
          <w:rFonts w:ascii="Simplified Arabic" w:hAnsi="Simplified Arabic" w:cs="Simplified Arabic"/>
          <w:sz w:val="28"/>
          <w:szCs w:val="28"/>
        </w:rPr>
        <w:t>.</w:t>
      </w:r>
    </w:p>
    <w:p w:rsidR="00706C10" w:rsidRDefault="00706C10" w:rsidP="00706C10">
      <w:pPr>
        <w:numPr>
          <w:ilvl w:val="0"/>
          <w:numId w:val="3"/>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دعم اتخاذ القرارات السريعة</w:t>
      </w:r>
      <w:r>
        <w:rPr>
          <w:rFonts w:ascii="Simplified Arabic" w:hAnsi="Simplified Arabic" w:cs="Simplified Arabic"/>
          <w:sz w:val="28"/>
          <w:szCs w:val="28"/>
        </w:rPr>
        <w:t xml:space="preserve">: </w:t>
      </w:r>
      <w:r>
        <w:rPr>
          <w:rFonts w:ascii="Simplified Arabic" w:hAnsi="Simplified Arabic" w:cs="Simplified Arabic"/>
          <w:sz w:val="28"/>
          <w:szCs w:val="28"/>
          <w:rtl/>
        </w:rPr>
        <w:t>تساعد نتائج الدراسة صناع القرار في البلديات وقطاع الإسكان على اتخاذ قرارات أكثر دقة وسرعة بناءً على تحليل البيانات الضخمة واستخدام النظم الذكية</w:t>
      </w:r>
      <w:r>
        <w:rPr>
          <w:rFonts w:ascii="Simplified Arabic" w:hAnsi="Simplified Arabic" w:cs="Simplified Arabic"/>
          <w:sz w:val="28"/>
          <w:szCs w:val="28"/>
        </w:rPr>
        <w:t>.</w:t>
      </w:r>
    </w:p>
    <w:p w:rsidR="00706C10" w:rsidRDefault="00706C10" w:rsidP="00706C10">
      <w:pPr>
        <w:numPr>
          <w:ilvl w:val="0"/>
          <w:numId w:val="3"/>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تحقيق استدامة الخدمات</w:t>
      </w:r>
      <w:r>
        <w:rPr>
          <w:rFonts w:ascii="Simplified Arabic" w:hAnsi="Simplified Arabic" w:cs="Simplified Arabic"/>
          <w:sz w:val="28"/>
          <w:szCs w:val="28"/>
        </w:rPr>
        <w:t xml:space="preserve">: </w:t>
      </w:r>
      <w:r>
        <w:rPr>
          <w:rFonts w:ascii="Simplified Arabic" w:hAnsi="Simplified Arabic" w:cs="Simplified Arabic"/>
          <w:sz w:val="28"/>
          <w:szCs w:val="28"/>
          <w:rtl/>
        </w:rPr>
        <w:t>تساهم الدراسة في توجيه البلديات نحو استخدام تقنيات صديقة للبيئة ومستدامة في تقديم الخدمات، مما يعزز الجهود نحو التنمية المستدامة في المدن</w:t>
      </w:r>
      <w:r>
        <w:rPr>
          <w:rFonts w:ascii="Simplified Arabic" w:hAnsi="Simplified Arabic" w:cs="Simplified Arabic"/>
          <w:sz w:val="28"/>
          <w:szCs w:val="28"/>
        </w:rPr>
        <w:t>.</w:t>
      </w:r>
    </w:p>
    <w:p w:rsidR="00706C10" w:rsidRDefault="00706C10" w:rsidP="00706C10">
      <w:pPr>
        <w:numPr>
          <w:ilvl w:val="0"/>
          <w:numId w:val="3"/>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تعزيز رضا المواطنين</w:t>
      </w:r>
      <w:r>
        <w:rPr>
          <w:rFonts w:ascii="Simplified Arabic" w:hAnsi="Simplified Arabic" w:cs="Simplified Arabic"/>
          <w:sz w:val="28"/>
          <w:szCs w:val="28"/>
        </w:rPr>
        <w:t xml:space="preserve">: </w:t>
      </w:r>
      <w:r>
        <w:rPr>
          <w:rFonts w:ascii="Simplified Arabic" w:hAnsi="Simplified Arabic" w:cs="Simplified Arabic"/>
          <w:sz w:val="28"/>
          <w:szCs w:val="28"/>
          <w:rtl/>
        </w:rPr>
        <w:t>تساعد التقنيات الناشئة التي تتناولها الدراسة في تحسين التواصل بين المواطنين والجهات الحكومية، مما يعزز الشفافية والمساءلة ويرفع مستوى رضا المواطنين عن الخدمات المقدمة</w:t>
      </w:r>
      <w:r>
        <w:rPr>
          <w:rFonts w:ascii="Simplified Arabic" w:hAnsi="Simplified Arabic" w:cs="Simplified Arabic"/>
          <w:sz w:val="28"/>
          <w:szCs w:val="28"/>
        </w:rPr>
        <w:t>.</w:t>
      </w:r>
    </w:p>
    <w:p w:rsidR="00706C10" w:rsidRDefault="00706C10" w:rsidP="00706C10">
      <w:pPr>
        <w:numPr>
          <w:ilvl w:val="0"/>
          <w:numId w:val="3"/>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تقليل الأخطاء البشرية والإدارية</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تطبيق أنظمة ذكية، يمكن تقليل الأخطاء الإدارية وتحسين دقة وكفاءة العمليات اليومية في قطاع الخدمات البلدية والإسكان، مما يساهم في تحسين الجودة الشاملة</w:t>
      </w:r>
      <w:r>
        <w:rPr>
          <w:rFonts w:ascii="Simplified Arabic" w:hAnsi="Simplified Arabic" w:cs="Simplified Arabic"/>
          <w:sz w:val="28"/>
          <w:szCs w:val="28"/>
        </w:rPr>
        <w:t>.</w:t>
      </w:r>
    </w:p>
    <w:p w:rsidR="00706C10" w:rsidRDefault="00706C10" w:rsidP="00706C10">
      <w:pPr>
        <w:tabs>
          <w:tab w:val="left" w:pos="2966"/>
        </w:tabs>
        <w:spacing w:line="360" w:lineRule="auto"/>
        <w:ind w:left="720"/>
        <w:jc w:val="both"/>
        <w:rPr>
          <w:rFonts w:ascii="Simplified Arabic" w:hAnsi="Simplified Arabic" w:cs="Simplified Arabic"/>
          <w:sz w:val="28"/>
          <w:szCs w:val="28"/>
        </w:rPr>
      </w:pPr>
    </w:p>
    <w:p w:rsidR="00706C10" w:rsidRDefault="00706C10" w:rsidP="00706C10">
      <w:pPr>
        <w:tabs>
          <w:tab w:val="left" w:pos="2966"/>
        </w:tabs>
        <w:spacing w:line="360" w:lineRule="auto"/>
        <w:ind w:left="720"/>
        <w:jc w:val="both"/>
        <w:rPr>
          <w:rFonts w:ascii="Simplified Arabic" w:hAnsi="Simplified Arabic" w:cs="Simplified Arabic"/>
          <w:sz w:val="28"/>
          <w:szCs w:val="28"/>
        </w:rPr>
      </w:pPr>
    </w:p>
    <w:p w:rsidR="00706C10" w:rsidRDefault="00706C10" w:rsidP="00706C10">
      <w:pPr>
        <w:tabs>
          <w:tab w:val="left" w:pos="2966"/>
        </w:tabs>
        <w:spacing w:line="360" w:lineRule="auto"/>
        <w:ind w:left="720"/>
        <w:jc w:val="both"/>
        <w:rPr>
          <w:rFonts w:ascii="Simplified Arabic" w:hAnsi="Simplified Arabic" w:cs="Simplified Arabic"/>
          <w:sz w:val="28"/>
          <w:szCs w:val="28"/>
        </w:rPr>
      </w:pPr>
    </w:p>
    <w:p w:rsidR="00706C10" w:rsidRDefault="00706C10" w:rsidP="00706C10">
      <w:pPr>
        <w:pStyle w:val="ListParagraph"/>
        <w:numPr>
          <w:ilvl w:val="1"/>
          <w:numId w:val="1"/>
        </w:numPr>
        <w:tabs>
          <w:tab w:val="left" w:pos="2966"/>
        </w:tabs>
        <w:spacing w:line="360" w:lineRule="auto"/>
        <w:ind w:left="656" w:hanging="630"/>
        <w:jc w:val="both"/>
        <w:outlineLvl w:val="0"/>
        <w:rPr>
          <w:rFonts w:ascii="Simplified Arabic" w:hAnsi="Simplified Arabic" w:cs="Simplified Arabic"/>
          <w:b/>
          <w:bCs/>
          <w:sz w:val="36"/>
          <w:szCs w:val="36"/>
          <w:rtl/>
        </w:rPr>
      </w:pPr>
      <w:bookmarkStart w:id="8" w:name="_Toc181308870"/>
      <w:r>
        <w:rPr>
          <w:rFonts w:ascii="Simplified Arabic" w:hAnsi="Simplified Arabic" w:cs="Simplified Arabic"/>
          <w:b/>
          <w:bCs/>
          <w:sz w:val="36"/>
          <w:szCs w:val="36"/>
          <w:rtl/>
        </w:rPr>
        <w:t>أهداف الدراسة:</w:t>
      </w:r>
      <w:bookmarkEnd w:id="8"/>
    </w:p>
    <w:p w:rsidR="00706C10" w:rsidRDefault="00706C10" w:rsidP="00706C10">
      <w:p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تهدف هذه الدراسة إلى التعرف على أثر التقنيات الناشئة بأبعادها المختلفة (النظم الخبيرة، التعلم الآلي التلقائي، سهولة الاستعمال) في رفع جودة الخدمات البلدية والإسكان. وتتناول الدراسة الأثر المباشر لهذه </w:t>
      </w:r>
      <w:r>
        <w:rPr>
          <w:rFonts w:ascii="Simplified Arabic" w:hAnsi="Simplified Arabic" w:cs="Simplified Arabic"/>
          <w:b/>
          <w:bCs/>
          <w:sz w:val="28"/>
          <w:szCs w:val="28"/>
          <w:rtl/>
        </w:rPr>
        <w:t>التقنيات على تحسين الكفاءة والفعالية في تقديم الخدمات البلدية والإسكان. وتتفرع من هذا الهدف الرئيسي عدة أهداف فرعية تشمل:</w:t>
      </w:r>
    </w:p>
    <w:p w:rsidR="00706C10" w:rsidRDefault="00706C10" w:rsidP="00706C10">
      <w:pPr>
        <w:pStyle w:val="ListParagraph"/>
        <w:numPr>
          <w:ilvl w:val="0"/>
          <w:numId w:val="4"/>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تحليل أثر التقنيات الناشئة بأبعادها المختلفة (النظم الخبيرة، التعلم الآلي التلقائي، سهولة الاستعمال) على رفع جودة الخدمات في قطاع البلدية والإسكان في المملكة العربية السعودية.</w:t>
      </w:r>
    </w:p>
    <w:p w:rsidR="00706C10" w:rsidRDefault="00706C10" w:rsidP="00706C10">
      <w:pPr>
        <w:pStyle w:val="ListParagraph"/>
        <w:numPr>
          <w:ilvl w:val="0"/>
          <w:numId w:val="4"/>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استقصاء دور التقنيات الناشئة في تعزيز فعالية وكفاءة الخدمات المقدمة في البلديات والإسكان، وكيف يمكن أن تساهم هذه التقنيات في تحسين العمليات اليومية وخدمات المواطنين.</w:t>
      </w:r>
    </w:p>
    <w:p w:rsidR="00706C10" w:rsidRDefault="00706C10" w:rsidP="00706C10">
      <w:pPr>
        <w:pStyle w:val="ListParagraph"/>
        <w:numPr>
          <w:ilvl w:val="0"/>
          <w:numId w:val="4"/>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تحليل كيفية تأثير التقنيات الناشئة على الكفاءة والفعالية العامة في قطاع الخدمات البلدية والإسكان، وكيف يمكن للتطبيق الفعال لهذه التقنيات أن يساهم في تحقيق أهداف الاستدامة والتميز في تقديم الخدمات العامة.</w:t>
      </w:r>
    </w:p>
    <w:p w:rsidR="00706C10" w:rsidRDefault="00706C10" w:rsidP="00706C10">
      <w:pPr>
        <w:pStyle w:val="ListParagraph"/>
        <w:numPr>
          <w:ilvl w:val="0"/>
          <w:numId w:val="4"/>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دراسة التفاعل بين مكونات التقنيات الناشئة وتأثيرها المباشر على الأداء المؤسسي في قطاع البلديات والإسكان، وتحديد أي من هذه المكونات يؤثر بشكل أكبر على رفع جودة الخدمات المقدمة للمواطنين.</w:t>
      </w:r>
    </w:p>
    <w:p w:rsidR="00706C10" w:rsidRDefault="00706C10" w:rsidP="00706C10">
      <w:pPr>
        <w:pStyle w:val="ListParagraph"/>
        <w:numPr>
          <w:ilvl w:val="0"/>
          <w:numId w:val="4"/>
        </w:numPr>
        <w:tabs>
          <w:tab w:val="left" w:pos="2966"/>
        </w:tabs>
        <w:spacing w:line="360" w:lineRule="auto"/>
        <w:jc w:val="both"/>
        <w:rPr>
          <w:rFonts w:ascii="Simplified Arabic" w:hAnsi="Simplified Arabic" w:cs="Simplified Arabic"/>
          <w:b/>
          <w:bCs/>
          <w:sz w:val="28"/>
          <w:szCs w:val="28"/>
          <w:rtl/>
        </w:rPr>
      </w:pPr>
      <w:r>
        <w:rPr>
          <w:rFonts w:ascii="Simplified Arabic" w:hAnsi="Simplified Arabic" w:cs="Simplified Arabic"/>
          <w:sz w:val="28"/>
          <w:szCs w:val="28"/>
          <w:rtl/>
        </w:rPr>
        <w:t>تحديد تأثير سهولة الاستعمال للتقنيات الناشئة على تعزيز الشفافية والمساءلة في تقديم خدمات البلديات والإسكان، وكيف يمكن أن يسهم هذا في تحسين تجربة المستخدم وتسهيل الوصول إلى الخدمات</w:t>
      </w:r>
      <w:r>
        <w:rPr>
          <w:rFonts w:ascii="Simplified Arabic" w:hAnsi="Simplified Arabic" w:cs="Simplified Arabic"/>
          <w:b/>
          <w:bCs/>
          <w:sz w:val="28"/>
          <w:szCs w:val="28"/>
          <w:rtl/>
        </w:rPr>
        <w:t>.</w:t>
      </w:r>
    </w:p>
    <w:p w:rsidR="00706C10" w:rsidRDefault="00706C10" w:rsidP="00706C10">
      <w:pPr>
        <w:pStyle w:val="ListParagraph"/>
        <w:tabs>
          <w:tab w:val="left" w:pos="2966"/>
        </w:tabs>
        <w:spacing w:line="360" w:lineRule="auto"/>
        <w:jc w:val="both"/>
        <w:rPr>
          <w:rFonts w:ascii="Simplified Arabic" w:hAnsi="Simplified Arabic" w:cs="Simplified Arabic"/>
          <w:b/>
          <w:bCs/>
          <w:sz w:val="28"/>
          <w:szCs w:val="28"/>
        </w:rPr>
      </w:pPr>
    </w:p>
    <w:p w:rsidR="00706C10" w:rsidRDefault="00706C10" w:rsidP="00706C10">
      <w:pPr>
        <w:tabs>
          <w:tab w:val="left" w:pos="2966"/>
        </w:tabs>
        <w:spacing w:line="360" w:lineRule="auto"/>
        <w:jc w:val="both"/>
        <w:outlineLvl w:val="0"/>
        <w:rPr>
          <w:rFonts w:ascii="Simplified Arabic" w:hAnsi="Simplified Arabic" w:cs="Simplified Arabic"/>
          <w:sz w:val="36"/>
          <w:szCs w:val="36"/>
          <w:rtl/>
        </w:rPr>
      </w:pPr>
      <w:bookmarkStart w:id="9" w:name="_Toc181308871"/>
      <w:r>
        <w:rPr>
          <w:rFonts w:ascii="Simplified Arabic" w:hAnsi="Simplified Arabic" w:cs="Simplified Arabic"/>
          <w:b/>
          <w:bCs/>
          <w:sz w:val="36"/>
          <w:szCs w:val="36"/>
          <w:rtl/>
        </w:rPr>
        <w:t>1.5 أسئلة الدراسة</w:t>
      </w:r>
      <w:bookmarkEnd w:id="9"/>
      <w:r>
        <w:rPr>
          <w:rFonts w:ascii="Simplified Arabic" w:hAnsi="Simplified Arabic" w:cs="Simplified Arabic"/>
          <w:b/>
          <w:bCs/>
          <w:sz w:val="36"/>
          <w:szCs w:val="36"/>
          <w:rtl/>
        </w:rPr>
        <w:t xml:space="preserve"> </w:t>
      </w:r>
    </w:p>
    <w:p w:rsidR="00706C10" w:rsidRDefault="00706C10" w:rsidP="00706C10">
      <w:pPr>
        <w:pStyle w:val="ListParagraph"/>
        <w:numPr>
          <w:ilvl w:val="1"/>
          <w:numId w:val="5"/>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السؤال الرئيسي الأول</w:t>
      </w:r>
      <w:r>
        <w:rPr>
          <w:rFonts w:ascii="Simplified Arabic" w:hAnsi="Simplified Arabic" w:cs="Simplified Arabic"/>
          <w:sz w:val="28"/>
          <w:szCs w:val="28"/>
        </w:rPr>
        <w:t xml:space="preserve">: </w:t>
      </w:r>
      <w:r>
        <w:rPr>
          <w:rFonts w:ascii="Simplified Arabic" w:hAnsi="Simplified Arabic" w:cs="Simplified Arabic"/>
          <w:sz w:val="28"/>
          <w:szCs w:val="28"/>
          <w:rtl/>
        </w:rPr>
        <w:t>ما أثر التقنيات الناشئة بأبعادها (النظم الخبيرة، التعلم الآلي التلقائي، سهولة الاستعمال) على جودة الخدمات في قطاع البلديات والإسكان في المملكة العربية السعودية؟</w:t>
      </w:r>
    </w:p>
    <w:p w:rsidR="00706C10" w:rsidRDefault="00706C10" w:rsidP="00706C10">
      <w:pPr>
        <w:pStyle w:val="ListParagraph"/>
        <w:numPr>
          <w:ilvl w:val="1"/>
          <w:numId w:val="5"/>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السؤال الرئيسي الثاني</w:t>
      </w:r>
      <w:r>
        <w:rPr>
          <w:rFonts w:ascii="Simplified Arabic" w:hAnsi="Simplified Arabic" w:cs="Simplified Arabic"/>
          <w:sz w:val="28"/>
          <w:szCs w:val="28"/>
        </w:rPr>
        <w:t xml:space="preserve">: </w:t>
      </w:r>
      <w:r>
        <w:rPr>
          <w:rFonts w:ascii="Simplified Arabic" w:hAnsi="Simplified Arabic" w:cs="Simplified Arabic"/>
          <w:sz w:val="28"/>
          <w:szCs w:val="28"/>
          <w:rtl/>
        </w:rPr>
        <w:t>كيف تساهم التقنيات الناشئة بأبعادها (النظم الخبيرة، التعلم الآلي التلقائي، سهولة الاستعمال) في رفع جودة الخدمات المقدمة في قطاع البلديات والإسكان في المملكة العربية السعودية؟</w:t>
      </w:r>
    </w:p>
    <w:p w:rsidR="00706C10" w:rsidRDefault="00706C10" w:rsidP="00706C10">
      <w:pPr>
        <w:pStyle w:val="ListParagraph"/>
        <w:numPr>
          <w:ilvl w:val="1"/>
          <w:numId w:val="5"/>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السؤال الرئيسي الثالث</w:t>
      </w:r>
      <w:r>
        <w:rPr>
          <w:rFonts w:ascii="Simplified Arabic" w:hAnsi="Simplified Arabic" w:cs="Simplified Arabic"/>
          <w:sz w:val="28"/>
          <w:szCs w:val="28"/>
        </w:rPr>
        <w:t xml:space="preserve">: </w:t>
      </w:r>
      <w:r>
        <w:rPr>
          <w:rFonts w:ascii="Simplified Arabic" w:hAnsi="Simplified Arabic" w:cs="Simplified Arabic"/>
          <w:sz w:val="28"/>
          <w:szCs w:val="28"/>
          <w:rtl/>
        </w:rPr>
        <w:t>ما أثر رفع جودة الخدمات على تحسين أبعاد جودة الخدمات (الكفاءة، الفعالية) في قطاع البلديات والإسكان في المملكة العربية السعودية؟</w:t>
      </w:r>
    </w:p>
    <w:p w:rsidR="00706C10" w:rsidRDefault="00706C10" w:rsidP="00706C10">
      <w:pPr>
        <w:pStyle w:val="ListParagraph"/>
        <w:numPr>
          <w:ilvl w:val="1"/>
          <w:numId w:val="5"/>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السؤال الرئيسي الرابع</w:t>
      </w:r>
      <w:r>
        <w:rPr>
          <w:rFonts w:ascii="Simplified Arabic" w:hAnsi="Simplified Arabic" w:cs="Simplified Arabic"/>
          <w:sz w:val="28"/>
          <w:szCs w:val="28"/>
        </w:rPr>
        <w:t xml:space="preserve">: </w:t>
      </w:r>
      <w:r>
        <w:rPr>
          <w:rFonts w:ascii="Simplified Arabic" w:hAnsi="Simplified Arabic" w:cs="Simplified Arabic"/>
          <w:sz w:val="28"/>
          <w:szCs w:val="28"/>
          <w:rtl/>
        </w:rPr>
        <w:t>ما هو أثر التقنيات الناشئة بأبعادها (النظم الخبيرة، التعلم الآلي التلقائي، سهولة الاستعمال) على جودة الخدمات في قطاع البلديات والإسكان، من خلال الوسيط المتمثل في رفع جودة الخدمات في المملكة العربية السعودية؟</w:t>
      </w:r>
    </w:p>
    <w:p w:rsidR="00706C10" w:rsidRDefault="00706C10" w:rsidP="00706C10">
      <w:pPr>
        <w:pStyle w:val="ListParagraph"/>
        <w:tabs>
          <w:tab w:val="left" w:pos="2966"/>
        </w:tabs>
        <w:spacing w:line="360" w:lineRule="auto"/>
        <w:jc w:val="both"/>
        <w:rPr>
          <w:rFonts w:ascii="Simplified Arabic" w:hAnsi="Simplified Arabic" w:cs="Simplified Arabic"/>
          <w:sz w:val="28"/>
          <w:szCs w:val="28"/>
        </w:rPr>
      </w:pPr>
    </w:p>
    <w:p w:rsidR="00706C10" w:rsidRDefault="00706C10" w:rsidP="00706C10">
      <w:pPr>
        <w:tabs>
          <w:tab w:val="left" w:pos="2966"/>
        </w:tabs>
        <w:spacing w:line="360" w:lineRule="auto"/>
        <w:ind w:left="26"/>
        <w:jc w:val="both"/>
        <w:outlineLvl w:val="0"/>
        <w:rPr>
          <w:rFonts w:ascii="Simplified Arabic" w:hAnsi="Simplified Arabic" w:cs="Simplified Arabic"/>
          <w:b/>
          <w:bCs/>
          <w:sz w:val="36"/>
          <w:szCs w:val="36"/>
        </w:rPr>
      </w:pPr>
      <w:bookmarkStart w:id="10" w:name="_Toc181308872"/>
      <w:r>
        <w:rPr>
          <w:rFonts w:ascii="Simplified Arabic" w:hAnsi="Simplified Arabic" w:cs="Simplified Arabic"/>
          <w:b/>
          <w:bCs/>
          <w:sz w:val="36"/>
          <w:szCs w:val="36"/>
          <w:rtl/>
        </w:rPr>
        <w:t>1.6 فرضيات الدراسة:</w:t>
      </w:r>
      <w:bookmarkEnd w:id="10"/>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tl/>
        </w:rPr>
      </w:pPr>
      <w:r>
        <w:rPr>
          <w:rFonts w:ascii="Simplified Arabic" w:hAnsi="Simplified Arabic" w:cs="Simplified Arabic"/>
          <w:b/>
          <w:bCs/>
          <w:sz w:val="32"/>
          <w:szCs w:val="32"/>
          <w:rtl/>
        </w:rPr>
        <w:t>الفرضية الرئيسة الأولى</w:t>
      </w:r>
      <w:r>
        <w:rPr>
          <w:rFonts w:ascii="Simplified Arabic" w:hAnsi="Simplified Arabic" w:cs="Simplified Arabic"/>
          <w:sz w:val="28"/>
          <w:szCs w:val="28"/>
        </w:rPr>
        <w:t xml:space="preserve">: </w:t>
      </w:r>
      <w:r>
        <w:rPr>
          <w:rFonts w:ascii="Simplified Arabic" w:hAnsi="Simplified Arabic" w:cs="Simplified Arabic"/>
          <w:sz w:val="28"/>
          <w:szCs w:val="28"/>
          <w:rtl/>
        </w:rPr>
        <w:t>لا يوجد أثر ذو دلالة إحصائية عند مستوى دلالة</w:t>
      </w:r>
      <w:r>
        <w:rPr>
          <w:rFonts w:ascii="Simplified Arabic" w:hAnsi="Simplified Arabic" w:cs="Simplified Arabic"/>
          <w:sz w:val="28"/>
          <w:szCs w:val="28"/>
        </w:rPr>
        <w:t xml:space="preserve"> (0.05</w:t>
      </w:r>
      <w:r>
        <w:rPr>
          <w:rFonts w:ascii="Times New Roman" w:hAnsi="Times New Roman" w:cs="Times New Roman"/>
          <w:sz w:val="28"/>
          <w:szCs w:val="28"/>
        </w:rPr>
        <w:t>≥</w:t>
      </w:r>
      <w:r>
        <w:rPr>
          <w:rFonts w:ascii="Simplified Arabic" w:hAnsi="Simplified Arabic" w:cs="Simplified Arabic"/>
          <w:sz w:val="28"/>
          <w:szCs w:val="28"/>
        </w:rPr>
        <w:t xml:space="preserve">a) </w:t>
      </w:r>
      <w:r>
        <w:rPr>
          <w:rFonts w:ascii="Simplified Arabic" w:hAnsi="Simplified Arabic" w:cs="Simplified Arabic"/>
          <w:sz w:val="28"/>
          <w:szCs w:val="28"/>
          <w:rtl/>
        </w:rPr>
        <w:t xml:space="preserve">للتقنيات الناشئة بأبعادها (النظم الخبيرة، التعلم الآلي التلقائي، سهولة الاستعمال) على </w:t>
      </w:r>
      <w:r>
        <w:rPr>
          <w:rFonts w:ascii="Simplified Arabic" w:hAnsi="Simplified Arabic" w:cs="Simplified Arabic"/>
          <w:b/>
          <w:bCs/>
          <w:sz w:val="28"/>
          <w:szCs w:val="28"/>
          <w:rtl/>
        </w:rPr>
        <w:t>جودة الخدمات</w:t>
      </w:r>
      <w:r>
        <w:rPr>
          <w:rFonts w:ascii="Simplified Arabic" w:hAnsi="Simplified Arabic" w:cs="Simplified Arabic"/>
          <w:sz w:val="28"/>
          <w:szCs w:val="28"/>
          <w:rtl/>
        </w:rPr>
        <w:t xml:space="preserve"> بأبعادها (الكفاءة، الفعالية) في قطاع البلديات والإسكان في المملكة العربية السعودية</w:t>
      </w:r>
      <w:r>
        <w:rPr>
          <w:rFonts w:ascii="Simplified Arabic" w:hAnsi="Simplified Arabic" w:cs="Simplified Arabic"/>
          <w:sz w:val="28"/>
          <w:szCs w:val="28"/>
        </w:rPr>
        <w:t>.</w:t>
      </w: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Pr>
      </w:pPr>
      <w:r>
        <w:rPr>
          <w:rFonts w:ascii="Simplified Arabic" w:hAnsi="Simplified Arabic" w:cs="Simplified Arabic"/>
          <w:sz w:val="28"/>
          <w:szCs w:val="28"/>
          <w:rtl/>
        </w:rPr>
        <w:t>وينبثق من هذه الفرضية الفرضيات الفرعية التالية</w:t>
      </w:r>
      <w:r>
        <w:rPr>
          <w:rFonts w:ascii="Simplified Arabic" w:hAnsi="Simplified Arabic" w:cs="Simplified Arabic"/>
          <w:sz w:val="28"/>
          <w:szCs w:val="28"/>
        </w:rPr>
        <w:t>:</w:t>
      </w:r>
    </w:p>
    <w:p w:rsidR="00706C10" w:rsidRDefault="00706C10" w:rsidP="00706C10">
      <w:pPr>
        <w:pStyle w:val="ListParagraph"/>
        <w:numPr>
          <w:ilvl w:val="0"/>
          <w:numId w:val="6"/>
        </w:num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الفرضية الفرعية الأولى</w:t>
      </w:r>
      <w:r>
        <w:rPr>
          <w:rFonts w:ascii="Simplified Arabic" w:hAnsi="Simplified Arabic" w:cs="Simplified Arabic"/>
          <w:sz w:val="28"/>
          <w:szCs w:val="28"/>
        </w:rPr>
        <w:t xml:space="preserve">: </w:t>
      </w:r>
      <w:r>
        <w:rPr>
          <w:rFonts w:ascii="Simplified Arabic" w:hAnsi="Simplified Arabic" w:cs="Simplified Arabic"/>
          <w:sz w:val="28"/>
          <w:szCs w:val="28"/>
          <w:rtl/>
        </w:rPr>
        <w:t>لا يوجد أثر ذو دلالة إحصائية عند مستوى دلالة</w:t>
      </w:r>
      <w:r>
        <w:rPr>
          <w:rFonts w:ascii="Simplified Arabic" w:hAnsi="Simplified Arabic" w:cs="Simplified Arabic"/>
          <w:sz w:val="28"/>
          <w:szCs w:val="28"/>
        </w:rPr>
        <w:t xml:space="preserve"> (0.05</w:t>
      </w:r>
      <w:r>
        <w:rPr>
          <w:rFonts w:ascii="Times New Roman" w:hAnsi="Times New Roman" w:cs="Times New Roman"/>
          <w:sz w:val="28"/>
          <w:szCs w:val="28"/>
        </w:rPr>
        <w:t>≥</w:t>
      </w:r>
      <w:r>
        <w:rPr>
          <w:rFonts w:ascii="Simplified Arabic" w:hAnsi="Simplified Arabic" w:cs="Simplified Arabic"/>
          <w:sz w:val="28"/>
          <w:szCs w:val="28"/>
        </w:rPr>
        <w:t xml:space="preserve">a) </w:t>
      </w:r>
      <w:r>
        <w:rPr>
          <w:rFonts w:ascii="Simplified Arabic" w:hAnsi="Simplified Arabic" w:cs="Simplified Arabic"/>
          <w:sz w:val="28"/>
          <w:szCs w:val="28"/>
          <w:rtl/>
        </w:rPr>
        <w:t xml:space="preserve">للتقنيات الناشئة في </w:t>
      </w:r>
      <w:r>
        <w:rPr>
          <w:rFonts w:ascii="Simplified Arabic" w:hAnsi="Simplified Arabic" w:cs="Simplified Arabic"/>
          <w:b/>
          <w:bCs/>
          <w:sz w:val="28"/>
          <w:szCs w:val="28"/>
          <w:rtl/>
        </w:rPr>
        <w:t>الكفاءة</w:t>
      </w:r>
      <w:r>
        <w:rPr>
          <w:rFonts w:ascii="Simplified Arabic" w:hAnsi="Simplified Arabic" w:cs="Simplified Arabic"/>
          <w:sz w:val="28"/>
          <w:szCs w:val="28"/>
          <w:rtl/>
        </w:rPr>
        <w:t xml:space="preserve"> ضمن قطاع البلديات والإسكان في المملكة العربية السعودية</w:t>
      </w:r>
      <w:r>
        <w:rPr>
          <w:rFonts w:ascii="Simplified Arabic" w:hAnsi="Simplified Arabic" w:cs="Simplified Arabic"/>
          <w:sz w:val="28"/>
          <w:szCs w:val="28"/>
        </w:rPr>
        <w:t>.</w:t>
      </w:r>
    </w:p>
    <w:p w:rsidR="00706C10" w:rsidRDefault="00706C10" w:rsidP="00706C10">
      <w:pPr>
        <w:pStyle w:val="ListParagraph"/>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الفرضية الفرعية الثانية</w:t>
      </w:r>
      <w:r>
        <w:rPr>
          <w:rFonts w:ascii="Simplified Arabic" w:hAnsi="Simplified Arabic" w:cs="Simplified Arabic"/>
          <w:sz w:val="24"/>
          <w:szCs w:val="24"/>
        </w:rPr>
        <w:t xml:space="preserve">: </w:t>
      </w:r>
      <w:r>
        <w:rPr>
          <w:rFonts w:ascii="Simplified Arabic" w:hAnsi="Simplified Arabic" w:cs="Simplified Arabic"/>
          <w:sz w:val="28"/>
          <w:szCs w:val="28"/>
          <w:rtl/>
        </w:rPr>
        <w:t>لا يوجد أثر ذو دلالة إحصائية عند مستوى دلالة</w:t>
      </w:r>
      <w:r>
        <w:rPr>
          <w:rFonts w:ascii="Simplified Arabic" w:hAnsi="Simplified Arabic" w:cs="Simplified Arabic"/>
          <w:sz w:val="28"/>
          <w:szCs w:val="28"/>
        </w:rPr>
        <w:t xml:space="preserve"> (0.05</w:t>
      </w:r>
      <w:r>
        <w:rPr>
          <w:rFonts w:ascii="Times New Roman" w:hAnsi="Times New Roman" w:cs="Times New Roman"/>
          <w:sz w:val="28"/>
          <w:szCs w:val="28"/>
        </w:rPr>
        <w:t>≥</w:t>
      </w:r>
      <w:r>
        <w:rPr>
          <w:rFonts w:ascii="Simplified Arabic" w:hAnsi="Simplified Arabic" w:cs="Simplified Arabic"/>
          <w:sz w:val="28"/>
          <w:szCs w:val="28"/>
        </w:rPr>
        <w:t xml:space="preserve">a) </w:t>
      </w:r>
      <w:r>
        <w:rPr>
          <w:rFonts w:ascii="Simplified Arabic" w:hAnsi="Simplified Arabic" w:cs="Simplified Arabic"/>
          <w:sz w:val="28"/>
          <w:szCs w:val="28"/>
          <w:rtl/>
        </w:rPr>
        <w:t xml:space="preserve">للتقنيات الناشئة في </w:t>
      </w:r>
      <w:r>
        <w:rPr>
          <w:rFonts w:ascii="Simplified Arabic" w:hAnsi="Simplified Arabic" w:cs="Simplified Arabic"/>
          <w:b/>
          <w:bCs/>
          <w:sz w:val="28"/>
          <w:szCs w:val="28"/>
          <w:rtl/>
        </w:rPr>
        <w:t>الفعالية</w:t>
      </w:r>
      <w:r>
        <w:rPr>
          <w:rFonts w:ascii="Simplified Arabic" w:hAnsi="Simplified Arabic" w:cs="Simplified Arabic"/>
          <w:sz w:val="28"/>
          <w:szCs w:val="28"/>
          <w:rtl/>
        </w:rPr>
        <w:t xml:space="preserve"> ضمن قطاع البلديات والإسكان في المملكة العربية السعودية</w:t>
      </w:r>
      <w:r>
        <w:rPr>
          <w:rFonts w:ascii="Simplified Arabic" w:hAnsi="Simplified Arabic" w:cs="Simplified Arabic"/>
          <w:sz w:val="28"/>
          <w:szCs w:val="28"/>
        </w:rPr>
        <w:t>.</w:t>
      </w: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Pr>
      </w:pPr>
      <w:r>
        <w:rPr>
          <w:rFonts w:ascii="Simplified Arabic" w:hAnsi="Simplified Arabic" w:cs="Simplified Arabic"/>
          <w:b/>
          <w:bCs/>
          <w:sz w:val="32"/>
          <w:szCs w:val="32"/>
          <w:rtl/>
        </w:rPr>
        <w:lastRenderedPageBreak/>
        <w:t>الفرضية الرئيسة الثانية</w:t>
      </w:r>
      <w:r>
        <w:rPr>
          <w:rFonts w:ascii="Simplified Arabic" w:hAnsi="Simplified Arabic" w:cs="Simplified Arabic"/>
          <w:sz w:val="28"/>
          <w:szCs w:val="28"/>
        </w:rPr>
        <w:t xml:space="preserve">: </w:t>
      </w:r>
      <w:r>
        <w:rPr>
          <w:rFonts w:ascii="Simplified Arabic" w:hAnsi="Simplified Arabic" w:cs="Simplified Arabic"/>
          <w:sz w:val="28"/>
          <w:szCs w:val="28"/>
          <w:rtl/>
        </w:rPr>
        <w:t>لا يوجد أثر ذو دلالة إحصائية عند مستوى دلالة</w:t>
      </w:r>
      <w:r>
        <w:rPr>
          <w:rFonts w:ascii="Simplified Arabic" w:hAnsi="Simplified Arabic" w:cs="Simplified Arabic"/>
          <w:sz w:val="28"/>
          <w:szCs w:val="28"/>
        </w:rPr>
        <w:t xml:space="preserve"> (0.05</w:t>
      </w:r>
      <w:r>
        <w:rPr>
          <w:rFonts w:ascii="Times New Roman" w:hAnsi="Times New Roman" w:cs="Times New Roman"/>
          <w:sz w:val="28"/>
          <w:szCs w:val="28"/>
        </w:rPr>
        <w:t>≥</w:t>
      </w:r>
      <w:r>
        <w:rPr>
          <w:rFonts w:ascii="Simplified Arabic" w:hAnsi="Simplified Arabic" w:cs="Simplified Arabic"/>
          <w:sz w:val="28"/>
          <w:szCs w:val="28"/>
        </w:rPr>
        <w:t xml:space="preserve">a) </w:t>
      </w:r>
      <w:r>
        <w:rPr>
          <w:rFonts w:ascii="Simplified Arabic" w:hAnsi="Simplified Arabic" w:cs="Simplified Arabic"/>
          <w:sz w:val="28"/>
          <w:szCs w:val="28"/>
          <w:rtl/>
        </w:rPr>
        <w:t xml:space="preserve">للتقنيات الناشئة بأبعادها (النظم الخبيرة، التعلم الآلي التلقائي، سهولة الاستعمال) في </w:t>
      </w:r>
      <w:r>
        <w:rPr>
          <w:rFonts w:ascii="Simplified Arabic" w:hAnsi="Simplified Arabic" w:cs="Simplified Arabic"/>
          <w:b/>
          <w:bCs/>
          <w:sz w:val="28"/>
          <w:szCs w:val="28"/>
          <w:rtl/>
        </w:rPr>
        <w:t>رفع جودة الخدمات</w:t>
      </w:r>
      <w:r>
        <w:rPr>
          <w:rFonts w:ascii="Simplified Arabic" w:hAnsi="Simplified Arabic" w:cs="Simplified Arabic"/>
          <w:sz w:val="28"/>
          <w:szCs w:val="28"/>
          <w:rtl/>
        </w:rPr>
        <w:t xml:space="preserve"> في قطاع البلديات والإسكان في المملكة العربية السعودية</w:t>
      </w:r>
      <w:r>
        <w:rPr>
          <w:rFonts w:ascii="Simplified Arabic" w:hAnsi="Simplified Arabic" w:cs="Simplified Arabic"/>
          <w:sz w:val="28"/>
          <w:szCs w:val="28"/>
        </w:rPr>
        <w:t>.</w:t>
      </w: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Pr>
      </w:pPr>
      <w:r>
        <w:rPr>
          <w:rFonts w:ascii="Simplified Arabic" w:hAnsi="Simplified Arabic" w:cs="Simplified Arabic"/>
          <w:b/>
          <w:bCs/>
          <w:sz w:val="32"/>
          <w:szCs w:val="32"/>
          <w:rtl/>
        </w:rPr>
        <w:t>الفرضية الرئيسة الثالثة</w:t>
      </w:r>
      <w:r>
        <w:rPr>
          <w:rFonts w:ascii="Simplified Arabic" w:hAnsi="Simplified Arabic" w:cs="Simplified Arabic"/>
          <w:sz w:val="28"/>
          <w:szCs w:val="28"/>
        </w:rPr>
        <w:t xml:space="preserve">: </w:t>
      </w:r>
      <w:r>
        <w:rPr>
          <w:rFonts w:ascii="Simplified Arabic" w:hAnsi="Simplified Arabic" w:cs="Simplified Arabic"/>
          <w:sz w:val="28"/>
          <w:szCs w:val="28"/>
          <w:rtl/>
        </w:rPr>
        <w:t>لا يوجد أثر ذو دلالة إحصائية عند مستوى دلالة</w:t>
      </w:r>
      <w:r>
        <w:rPr>
          <w:rFonts w:ascii="Simplified Arabic" w:hAnsi="Simplified Arabic" w:cs="Simplified Arabic"/>
          <w:sz w:val="28"/>
          <w:szCs w:val="28"/>
        </w:rPr>
        <w:t xml:space="preserve"> (0.05</w:t>
      </w:r>
      <w:r>
        <w:rPr>
          <w:rFonts w:ascii="Times New Roman" w:hAnsi="Times New Roman" w:cs="Times New Roman"/>
          <w:sz w:val="28"/>
          <w:szCs w:val="28"/>
        </w:rPr>
        <w:t>≥</w:t>
      </w:r>
      <w:r>
        <w:rPr>
          <w:rFonts w:ascii="Simplified Arabic" w:hAnsi="Simplified Arabic" w:cs="Simplified Arabic"/>
          <w:sz w:val="28"/>
          <w:szCs w:val="28"/>
        </w:rPr>
        <w:t xml:space="preserve">a) </w:t>
      </w:r>
      <w:r>
        <w:rPr>
          <w:rFonts w:ascii="Simplified Arabic" w:hAnsi="Simplified Arabic" w:cs="Simplified Arabic"/>
          <w:sz w:val="28"/>
          <w:szCs w:val="28"/>
          <w:rtl/>
        </w:rPr>
        <w:t xml:space="preserve">لرفع جودة الخدمات على </w:t>
      </w:r>
      <w:r>
        <w:rPr>
          <w:rFonts w:ascii="Simplified Arabic" w:hAnsi="Simplified Arabic" w:cs="Simplified Arabic"/>
          <w:b/>
          <w:bCs/>
          <w:sz w:val="28"/>
          <w:szCs w:val="28"/>
          <w:rtl/>
        </w:rPr>
        <w:t>جودة الخدمات</w:t>
      </w:r>
      <w:r>
        <w:rPr>
          <w:rFonts w:ascii="Simplified Arabic" w:hAnsi="Simplified Arabic" w:cs="Simplified Arabic"/>
          <w:sz w:val="28"/>
          <w:szCs w:val="28"/>
          <w:rtl/>
        </w:rPr>
        <w:t xml:space="preserve"> في قطاع البلديات والإسكان في المملكة العربية السعودية</w:t>
      </w:r>
      <w:r>
        <w:rPr>
          <w:rFonts w:ascii="Simplified Arabic" w:hAnsi="Simplified Arabic" w:cs="Simplified Arabic"/>
          <w:sz w:val="28"/>
          <w:szCs w:val="28"/>
        </w:rPr>
        <w:t>.</w:t>
      </w: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Pr>
      </w:pPr>
      <w:r>
        <w:rPr>
          <w:rFonts w:ascii="Simplified Arabic" w:hAnsi="Simplified Arabic" w:cs="Simplified Arabic"/>
          <w:b/>
          <w:bCs/>
          <w:sz w:val="32"/>
          <w:szCs w:val="32"/>
          <w:rtl/>
        </w:rPr>
        <w:t>الفرضية الرئيسة الرابعة</w:t>
      </w:r>
      <w:r>
        <w:rPr>
          <w:rFonts w:ascii="Simplified Arabic" w:hAnsi="Simplified Arabic" w:cs="Simplified Arabic"/>
          <w:sz w:val="28"/>
          <w:szCs w:val="28"/>
          <w:rtl/>
        </w:rPr>
        <w:t>: لا يوجد أثر ذو دلالة إحصائية عند مستوى دلالة (0.05</w:t>
      </w:r>
      <w:r>
        <w:rPr>
          <w:rFonts w:ascii="Times New Roman" w:hAnsi="Times New Roman" w:cs="Times New Roman"/>
          <w:sz w:val="28"/>
          <w:szCs w:val="28"/>
        </w:rPr>
        <w:t>≥</w:t>
      </w:r>
      <w:r>
        <w:rPr>
          <w:rFonts w:ascii="Simplified Arabic" w:hAnsi="Simplified Arabic" w:cs="Simplified Arabic"/>
          <w:sz w:val="28"/>
          <w:szCs w:val="28"/>
        </w:rPr>
        <w:t xml:space="preserve">a) </w:t>
      </w:r>
      <w:r>
        <w:rPr>
          <w:rFonts w:ascii="Simplified Arabic" w:hAnsi="Simplified Arabic" w:cs="Simplified Arabic"/>
          <w:sz w:val="28"/>
          <w:szCs w:val="28"/>
          <w:rtl/>
        </w:rPr>
        <w:t xml:space="preserve">للتقنيات الناشئة بأبعادها (النظم الخبيرة، التعلم الآلي التلقائي، سهولة الاستعمال) على </w:t>
      </w:r>
      <w:r>
        <w:rPr>
          <w:rFonts w:ascii="Simplified Arabic" w:hAnsi="Simplified Arabic" w:cs="Simplified Arabic"/>
          <w:b/>
          <w:bCs/>
          <w:sz w:val="28"/>
          <w:szCs w:val="28"/>
          <w:rtl/>
        </w:rPr>
        <w:t>جودة الخدمات</w:t>
      </w:r>
      <w:r>
        <w:rPr>
          <w:rFonts w:ascii="Simplified Arabic" w:hAnsi="Simplified Arabic" w:cs="Simplified Arabic"/>
          <w:sz w:val="28"/>
          <w:szCs w:val="28"/>
          <w:rtl/>
        </w:rPr>
        <w:t xml:space="preserve"> بأبعادها مجتمعة (الكفاءة، الفعالية) من خلال </w:t>
      </w:r>
      <w:r>
        <w:rPr>
          <w:rFonts w:ascii="Simplified Arabic" w:hAnsi="Simplified Arabic" w:cs="Simplified Arabic"/>
          <w:b/>
          <w:bCs/>
          <w:sz w:val="28"/>
          <w:szCs w:val="28"/>
          <w:rtl/>
        </w:rPr>
        <w:t>رفع جودة الخدمات</w:t>
      </w:r>
      <w:r>
        <w:rPr>
          <w:rFonts w:ascii="Simplified Arabic" w:hAnsi="Simplified Arabic" w:cs="Simplified Arabic"/>
          <w:sz w:val="28"/>
          <w:szCs w:val="28"/>
          <w:rtl/>
        </w:rPr>
        <w:t xml:space="preserve"> في قطاع البلديات والإسكان في المملكة العربية السعودية</w:t>
      </w:r>
      <w:r>
        <w:rPr>
          <w:rFonts w:ascii="Simplified Arabic" w:hAnsi="Simplified Arabic" w:cs="Simplified Arabic"/>
          <w:sz w:val="28"/>
          <w:szCs w:val="28"/>
        </w:rPr>
        <w:t>.</w:t>
      </w: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tl/>
        </w:rPr>
      </w:pP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Pr>
      </w:pP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Pr>
      </w:pP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Pr>
      </w:pPr>
    </w:p>
    <w:p w:rsidR="00706C10" w:rsidRDefault="00706C10" w:rsidP="00706C10">
      <w:pPr>
        <w:pStyle w:val="ListParagraph"/>
        <w:tabs>
          <w:tab w:val="left" w:pos="2966"/>
        </w:tabs>
        <w:spacing w:line="360" w:lineRule="auto"/>
        <w:ind w:left="927"/>
        <w:jc w:val="both"/>
        <w:rPr>
          <w:rFonts w:ascii="Simplified Arabic" w:hAnsi="Simplified Arabic" w:cs="Simplified Arabic"/>
          <w:sz w:val="28"/>
          <w:szCs w:val="28"/>
        </w:rPr>
      </w:pPr>
    </w:p>
    <w:p w:rsidR="00706C10" w:rsidRDefault="00706C10" w:rsidP="00706C10">
      <w:pPr>
        <w:tabs>
          <w:tab w:val="left" w:pos="2966"/>
        </w:tabs>
        <w:spacing w:line="360" w:lineRule="auto"/>
        <w:jc w:val="both"/>
        <w:rPr>
          <w:rFonts w:ascii="Simplified Arabic" w:hAnsi="Simplified Arabic" w:cs="Simplified Arabic"/>
          <w:b/>
          <w:bCs/>
          <w:sz w:val="36"/>
          <w:szCs w:val="36"/>
        </w:rPr>
      </w:pPr>
      <w:r>
        <w:rPr>
          <w:rFonts w:ascii="Simplified Arabic" w:hAnsi="Simplified Arabic" w:cs="Simplified Arabic"/>
          <w:b/>
          <w:bCs/>
          <w:sz w:val="36"/>
          <w:szCs w:val="36"/>
          <w:rtl/>
        </w:rPr>
        <w:t xml:space="preserve"> </w:t>
      </w:r>
      <w:r>
        <w:rPr>
          <w:rFonts w:ascii="Simplified Arabic" w:hAnsi="Simplified Arabic" w:cs="Simplified Arabic" w:hint="cs"/>
          <w:b/>
          <w:bCs/>
          <w:sz w:val="36"/>
          <w:szCs w:val="36"/>
          <w:rtl/>
        </w:rPr>
        <w:t>1.7 نموذج الدراسة:</w:t>
      </w:r>
    </w:p>
    <w:p w:rsidR="00706C10" w:rsidRDefault="00706C10" w:rsidP="00706C10">
      <w:pPr>
        <w:tabs>
          <w:tab w:val="left" w:pos="2966"/>
        </w:tabs>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يهدف هذا النموذج إلى التعرف على أثر التقنيات الناشئة بأبعادها (النظم الخبيرة، التعلم الآلي التلقائي، سهولة الاستعمال) في رفع جودة الخدمات بأبعادها (الكفاءة، الفعالية) في قطاع البلديات والإسكان في المملكة العربية السعودية.</w:t>
      </w:r>
    </w:p>
    <w:p w:rsidR="00706C10" w:rsidRDefault="00706C10" w:rsidP="00706C10">
      <w:p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المتغير المستقل</w:t>
      </w:r>
      <w:r>
        <w:rPr>
          <w:rFonts w:ascii="Simplified Arabic" w:hAnsi="Simplified Arabic" w:cs="Simplified Arabic"/>
          <w:sz w:val="28"/>
          <w:szCs w:val="28"/>
          <w:rtl/>
        </w:rPr>
        <w:t>: التقنيات الناشئة بأبعادها (النظم الخبيرة، التعلم الآلي التلقائي، سهولة الاستعمال).</w:t>
      </w:r>
    </w:p>
    <w:p w:rsidR="00706C10" w:rsidRDefault="00706C10" w:rsidP="00706C10">
      <w:p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المتغير التابع:</w:t>
      </w:r>
      <w:r>
        <w:rPr>
          <w:rFonts w:ascii="Simplified Arabic" w:hAnsi="Simplified Arabic" w:cs="Simplified Arabic"/>
          <w:sz w:val="28"/>
          <w:szCs w:val="28"/>
          <w:rtl/>
        </w:rPr>
        <w:t xml:space="preserve"> جودة الخدمات بأبعادها (الكفاءة، الفعالية) في قطاع البلديات والإسكان.</w:t>
      </w:r>
    </w:p>
    <w:p w:rsidR="00706C10" w:rsidRDefault="00706C10" w:rsidP="00706C10">
      <w:pPr>
        <w:tabs>
          <w:tab w:val="left" w:pos="2966"/>
        </w:tabs>
        <w:spacing w:line="360" w:lineRule="auto"/>
        <w:jc w:val="both"/>
        <w:rPr>
          <w:rFonts w:ascii="Simplified Arabic" w:hAnsi="Simplified Arabic" w:cs="Simplified Arabic"/>
          <w:sz w:val="28"/>
          <w:szCs w:val="28"/>
          <w:rtl/>
        </w:rPr>
      </w:pPr>
    </w:p>
    <w:p w:rsidR="00706C10" w:rsidRDefault="00706C10" w:rsidP="00706C10">
      <w:pPr>
        <w:tabs>
          <w:tab w:val="left" w:pos="2966"/>
        </w:tabs>
        <w:spacing w:line="360" w:lineRule="auto"/>
        <w:jc w:val="both"/>
        <w:rPr>
          <w:rFonts w:ascii="Simplified Arabic" w:hAnsi="Simplified Arabic" w:cs="Simplified Arabic"/>
          <w:b/>
          <w:bCs/>
          <w:sz w:val="28"/>
          <w:szCs w:val="28"/>
          <w:rtl/>
        </w:rPr>
      </w:pPr>
      <w:r>
        <w:rPr>
          <w:noProof/>
          <w:rtl/>
        </w:rPr>
        <mc:AlternateContent>
          <mc:Choice Requires="wps">
            <w:drawing>
              <wp:anchor distT="0" distB="0" distL="114300" distR="114300" simplePos="0" relativeHeight="251658240" behindDoc="0" locked="0" layoutInCell="1" allowOverlap="1" wp14:anchorId="458B753D" wp14:editId="121D7004">
                <wp:simplePos x="0" y="0"/>
                <wp:positionH relativeFrom="column">
                  <wp:posOffset>3714750</wp:posOffset>
                </wp:positionH>
                <wp:positionV relativeFrom="paragraph">
                  <wp:posOffset>2540</wp:posOffset>
                </wp:positionV>
                <wp:extent cx="1676400" cy="1152525"/>
                <wp:effectExtent l="0" t="0" r="19050" b="676275"/>
                <wp:wrapNone/>
                <wp:docPr id="1" name="Rounded Rectangular Callout 1"/>
                <wp:cNvGraphicFramePr/>
                <a:graphic xmlns:a="http://schemas.openxmlformats.org/drawingml/2006/main">
                  <a:graphicData uri="http://schemas.microsoft.com/office/word/2010/wordprocessingShape">
                    <wps:wsp>
                      <wps:cNvSpPr/>
                      <wps:spPr>
                        <a:xfrm>
                          <a:off x="0" y="0"/>
                          <a:ext cx="1676400" cy="1152525"/>
                        </a:xfrm>
                        <a:prstGeom prst="wedgeRoundRectCallout">
                          <a:avLst>
                            <a:gd name="adj1" fmla="val 13164"/>
                            <a:gd name="adj2" fmla="val 104360"/>
                            <a:gd name="adj3" fmla="val 16667"/>
                          </a:avLst>
                        </a:prstGeom>
                        <a:solidFill>
                          <a:sysClr val="window" lastClr="FFFFFF"/>
                        </a:solidFill>
                        <a:ln w="25400" cap="flat" cmpd="sng" algn="ctr">
                          <a:solidFill>
                            <a:srgbClr val="F79646"/>
                          </a:solidFill>
                          <a:prstDash val="solid"/>
                        </a:ln>
                        <a:effectLst/>
                      </wps:spPr>
                      <wps:txbx>
                        <w:txbxContent>
                          <w:p w:rsidR="00706C10" w:rsidRDefault="00706C10" w:rsidP="00706C10">
                            <w:pPr>
                              <w:jc w:val="center"/>
                              <w:rPr>
                                <w:rFonts w:cs="PT Bold Heading"/>
                                <w:sz w:val="32"/>
                                <w:szCs w:val="32"/>
                                <w:lang w:bidi="ar-EG"/>
                              </w:rPr>
                            </w:pPr>
                            <w:r>
                              <w:rPr>
                                <w:rFonts w:cs="PT Bold Heading" w:hint="cs"/>
                                <w:sz w:val="32"/>
                                <w:szCs w:val="32"/>
                                <w:rtl/>
                                <w:lang w:bidi="ar-EG"/>
                              </w:rPr>
                              <w:t>المتغير المستقل</w:t>
                            </w:r>
                          </w:p>
                          <w:p w:rsidR="00706C10" w:rsidRDefault="00706C10" w:rsidP="00706C10">
                            <w:pPr>
                              <w:jc w:val="center"/>
                              <w:rPr>
                                <w:rFonts w:cs="PT Bold Heading" w:hint="cs"/>
                                <w:sz w:val="32"/>
                                <w:szCs w:val="32"/>
                                <w:rtl/>
                                <w:lang w:bidi="ar-EG"/>
                              </w:rPr>
                            </w:pPr>
                            <w:r>
                              <w:rPr>
                                <w:rFonts w:cs="PT Bold Heading" w:hint="cs"/>
                                <w:sz w:val="32"/>
                                <w:szCs w:val="32"/>
                                <w:rtl/>
                                <w:lang w:bidi="ar-EG"/>
                              </w:rPr>
                              <w:t>الذكاء 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8B753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 o:spid="_x0000_s1027" type="#_x0000_t62" style="position:absolute;left:0;text-align:left;margin-left:292.5pt;margin-top:.2pt;width:132pt;height:9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" adj="13643,33342" fillcolor="window" strokecolor="#f79646" strokeweight="2pt">
                <v:textbox>
                  <w:txbxContent>
                    <w:p w:rsidR="00706C10" w:rsidRDefault="00706C10" w:rsidP="00706C10">
                      <w:pPr>
                        <w:jc w:val="center"/>
                        <w:rPr>
                          <w:rFonts w:cs="PT Bold Heading"/>
                          <w:sz w:val="32"/>
                          <w:szCs w:val="32"/>
                          <w:lang w:bidi="ar-EG"/>
                        </w:rPr>
                      </w:pPr>
                      <w:r>
                        <w:rPr>
                          <w:rFonts w:cs="PT Bold Heading" w:hint="cs"/>
                          <w:sz w:val="32"/>
                          <w:szCs w:val="32"/>
                          <w:rtl/>
                          <w:lang w:bidi="ar-EG"/>
                        </w:rPr>
                        <w:t>المتغير المستقل</w:t>
                      </w:r>
                    </w:p>
                    <w:p w:rsidR="00706C10" w:rsidRDefault="00706C10" w:rsidP="00706C10">
                      <w:pPr>
                        <w:jc w:val="center"/>
                        <w:rPr>
                          <w:rFonts w:cs="PT Bold Heading" w:hint="cs"/>
                          <w:sz w:val="32"/>
                          <w:szCs w:val="32"/>
                          <w:rtl/>
                          <w:lang w:bidi="ar-EG"/>
                        </w:rPr>
                      </w:pPr>
                      <w:r>
                        <w:rPr>
                          <w:rFonts w:cs="PT Bold Heading" w:hint="cs"/>
                          <w:sz w:val="32"/>
                          <w:szCs w:val="32"/>
                          <w:rtl/>
                          <w:lang w:bidi="ar-EG"/>
                        </w:rPr>
                        <w:t>الذكاء الاصطناعي</w:t>
                      </w:r>
                    </w:p>
                  </w:txbxContent>
                </v:textbox>
              </v:shape>
            </w:pict>
          </mc:Fallback>
        </mc:AlternateContent>
      </w:r>
      <w:r>
        <w:rPr>
          <w:noProof/>
          <w:rtl/>
        </w:rPr>
        <mc:AlternateContent>
          <mc:Choice Requires="wps">
            <w:drawing>
              <wp:anchor distT="0" distB="0" distL="114300" distR="114300" simplePos="0" relativeHeight="251658240" behindDoc="0" locked="0" layoutInCell="1" allowOverlap="1" wp14:anchorId="0E5F0E8A" wp14:editId="6FBD89BD">
                <wp:simplePos x="0" y="0"/>
                <wp:positionH relativeFrom="column">
                  <wp:posOffset>-609600</wp:posOffset>
                </wp:positionH>
                <wp:positionV relativeFrom="paragraph">
                  <wp:posOffset>2038350</wp:posOffset>
                </wp:positionV>
                <wp:extent cx="2295525" cy="1651000"/>
                <wp:effectExtent l="0" t="0" r="28575" b="25400"/>
                <wp:wrapNone/>
                <wp:docPr id="5" name="Vertical Scroll 5"/>
                <wp:cNvGraphicFramePr/>
                <a:graphic xmlns:a="http://schemas.openxmlformats.org/drawingml/2006/main">
                  <a:graphicData uri="http://schemas.microsoft.com/office/word/2010/wordprocessingShape">
                    <wps:wsp>
                      <wps:cNvSpPr/>
                      <wps:spPr>
                        <a:xfrm>
                          <a:off x="0" y="0"/>
                          <a:ext cx="2295525" cy="1651000"/>
                        </a:xfrm>
                        <a:prstGeom prst="verticalScroll">
                          <a:avLst/>
                        </a:prstGeom>
                        <a:solidFill>
                          <a:sysClr val="window" lastClr="FFFFFF"/>
                        </a:solidFill>
                        <a:ln w="25400" cap="flat" cmpd="sng" algn="ctr">
                          <a:solidFill>
                            <a:srgbClr val="F79646"/>
                          </a:solidFill>
                          <a:prstDash val="solid"/>
                        </a:ln>
                        <a:effectLst/>
                      </wps:spPr>
                      <wps:txbx>
                        <w:txbxContent>
                          <w:p w:rsidR="00706C10" w:rsidRDefault="00706C10" w:rsidP="00706C10">
                            <w:pPr>
                              <w:spacing w:line="360" w:lineRule="auto"/>
                              <w:jc w:val="center"/>
                              <w:rPr>
                                <w:rFonts w:ascii="Traditional Arabic" w:hAnsi="Traditional Arabic" w:cs="Traditional Arabic"/>
                                <w:sz w:val="32"/>
                                <w:szCs w:val="32"/>
                              </w:rPr>
                            </w:pPr>
                            <w:r>
                              <w:rPr>
                                <w:rFonts w:ascii="Traditional Arabic" w:hAnsi="Traditional Arabic" w:cs="Traditional Arabic"/>
                                <w:sz w:val="32"/>
                                <w:szCs w:val="32"/>
                                <w:rtl/>
                              </w:rPr>
                              <w:t xml:space="preserve">الكفاءة </w:t>
                            </w:r>
                          </w:p>
                          <w:p w:rsidR="00706C10" w:rsidRDefault="00706C10" w:rsidP="00706C10">
                            <w:pPr>
                              <w:spacing w:line="360" w:lineRule="auto"/>
                              <w:jc w:val="center"/>
                              <w:rPr>
                                <w:rtl/>
                                <w:lang w:bidi="ar-EG"/>
                              </w:rPr>
                            </w:pPr>
                            <w:r>
                              <w:rPr>
                                <w:rFonts w:ascii="Traditional Arabic" w:hAnsi="Traditional Arabic" w:cs="Traditional Arabic"/>
                                <w:sz w:val="32"/>
                                <w:szCs w:val="32"/>
                                <w:rtl/>
                              </w:rPr>
                              <w:t>الفعالية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5F0E8A"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5" o:spid="_x0000_s1028" type="#_x0000_t97" style="position:absolute;left:0;text-align:left;margin-left:-48pt;margin-top:160.5pt;width:180.75pt;height:1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" fillcolor="window" strokecolor="#f79646" strokeweight="2pt">
                <v:textbox>
                  <w:txbxContent>
                    <w:p w:rsidR="00706C10" w:rsidRDefault="00706C10" w:rsidP="00706C10">
                      <w:pPr>
                        <w:spacing w:line="360" w:lineRule="auto"/>
                        <w:jc w:val="center"/>
                        <w:rPr>
                          <w:rFonts w:ascii="Traditional Arabic" w:hAnsi="Traditional Arabic" w:cs="Traditional Arabic"/>
                          <w:sz w:val="32"/>
                          <w:szCs w:val="32"/>
                        </w:rPr>
                      </w:pPr>
                      <w:r>
                        <w:rPr>
                          <w:rFonts w:ascii="Traditional Arabic" w:hAnsi="Traditional Arabic" w:cs="Traditional Arabic"/>
                          <w:sz w:val="32"/>
                          <w:szCs w:val="32"/>
                          <w:rtl/>
                        </w:rPr>
                        <w:t xml:space="preserve">الكفاءة </w:t>
                      </w:r>
                    </w:p>
                    <w:p w:rsidR="00706C10" w:rsidRDefault="00706C10" w:rsidP="00706C10">
                      <w:pPr>
                        <w:spacing w:line="360" w:lineRule="auto"/>
                        <w:jc w:val="center"/>
                        <w:rPr>
                          <w:rtl/>
                          <w:lang w:bidi="ar-EG"/>
                        </w:rPr>
                      </w:pPr>
                      <w:r>
                        <w:rPr>
                          <w:rFonts w:ascii="Traditional Arabic" w:hAnsi="Traditional Arabic" w:cs="Traditional Arabic"/>
                          <w:sz w:val="32"/>
                          <w:szCs w:val="32"/>
                          <w:rtl/>
                        </w:rPr>
                        <w:t>الفعالية</w:t>
                      </w:r>
                    </w:p>
                  </w:txbxContent>
                </v:textbox>
              </v:shape>
            </w:pict>
          </mc:Fallback>
        </mc:AlternateContent>
      </w:r>
      <w:r>
        <w:rPr>
          <w:noProof/>
          <w:rtl/>
        </w:rPr>
        <mc:AlternateContent>
          <mc:Choice Requires="wps">
            <w:drawing>
              <wp:anchor distT="0" distB="0" distL="114300" distR="114300" simplePos="0" relativeHeight="251658240" behindDoc="0" locked="0" layoutInCell="1" allowOverlap="1" wp14:anchorId="555A0E0C" wp14:editId="7AD9BBE5">
                <wp:simplePos x="0" y="0"/>
                <wp:positionH relativeFrom="column">
                  <wp:posOffset>3378200</wp:posOffset>
                </wp:positionH>
                <wp:positionV relativeFrom="paragraph">
                  <wp:posOffset>1974850</wp:posOffset>
                </wp:positionV>
                <wp:extent cx="2447925" cy="1587500"/>
                <wp:effectExtent l="0" t="0" r="28575" b="12700"/>
                <wp:wrapNone/>
                <wp:docPr id="4" name="Vertical Scroll 4"/>
                <wp:cNvGraphicFramePr/>
                <a:graphic xmlns:a="http://schemas.openxmlformats.org/drawingml/2006/main">
                  <a:graphicData uri="http://schemas.microsoft.com/office/word/2010/wordprocessingShape">
                    <wps:wsp>
                      <wps:cNvSpPr/>
                      <wps:spPr>
                        <a:xfrm>
                          <a:off x="0" y="0"/>
                          <a:ext cx="2447925" cy="1587500"/>
                        </a:xfrm>
                        <a:prstGeom prst="verticalScroll">
                          <a:avLst/>
                        </a:prstGeom>
                        <a:solidFill>
                          <a:sysClr val="window" lastClr="FFFFFF"/>
                        </a:solidFill>
                        <a:ln w="25400" cap="flat" cmpd="sng" algn="ctr">
                          <a:solidFill>
                            <a:srgbClr val="F79646"/>
                          </a:solidFill>
                          <a:prstDash val="solid"/>
                        </a:ln>
                        <a:effectLst/>
                      </wps:spPr>
                      <wps:txbx>
                        <w:txbxContent>
                          <w:p w:rsidR="00706C10" w:rsidRDefault="00706C10" w:rsidP="00706C10">
                            <w:pPr>
                              <w:jc w:val="center"/>
                              <w:rPr>
                                <w:rFonts w:ascii="Traditional Arabic" w:hAnsi="Traditional Arabic" w:cs="Traditional Arabic"/>
                                <w:sz w:val="32"/>
                                <w:szCs w:val="32"/>
                              </w:rPr>
                            </w:pPr>
                            <w:r>
                              <w:rPr>
                                <w:rFonts w:ascii="Traditional Arabic" w:hAnsi="Traditional Arabic" w:cs="Traditional Arabic"/>
                                <w:sz w:val="32"/>
                                <w:szCs w:val="32"/>
                                <w:rtl/>
                              </w:rPr>
                              <w:t xml:space="preserve">النظم الخبيرة </w:t>
                            </w:r>
                          </w:p>
                          <w:p w:rsidR="00706C10" w:rsidRDefault="00706C10" w:rsidP="00706C10">
                            <w:pPr>
                              <w:jc w:val="center"/>
                              <w:rPr>
                                <w:rFonts w:ascii="Traditional Arabic" w:hAnsi="Traditional Arabic" w:cs="Traditional Arabic"/>
                                <w:sz w:val="32"/>
                                <w:szCs w:val="32"/>
                                <w:rtl/>
                              </w:rPr>
                            </w:pPr>
                            <w:r>
                              <w:rPr>
                                <w:rFonts w:ascii="Traditional Arabic" w:hAnsi="Traditional Arabic" w:cs="Traditional Arabic"/>
                                <w:sz w:val="32"/>
                                <w:szCs w:val="32"/>
                                <w:rtl/>
                              </w:rPr>
                              <w:t>التعلم الآلي التلقائي</w:t>
                            </w:r>
                          </w:p>
                          <w:p w:rsidR="00706C10" w:rsidRDefault="00706C10" w:rsidP="00706C10">
                            <w:pPr>
                              <w:jc w:val="center"/>
                              <w:rPr>
                                <w:rFonts w:ascii="Traditional Arabic" w:hAnsi="Traditional Arabic" w:cs="Traditional Arabic"/>
                                <w:sz w:val="32"/>
                                <w:szCs w:val="32"/>
                                <w:rtl/>
                                <w:lang w:bidi="ar-EG"/>
                              </w:rPr>
                            </w:pPr>
                            <w:r>
                              <w:rPr>
                                <w:rFonts w:ascii="Traditional Arabic" w:hAnsi="Traditional Arabic" w:cs="Traditional Arabic"/>
                                <w:sz w:val="32"/>
                                <w:szCs w:val="32"/>
                                <w:rtl/>
                              </w:rPr>
                              <w:t xml:space="preserve"> سهولة الاستعمال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A0E0C" id="Vertical Scroll 4" o:spid="_x0000_s1029" type="#_x0000_t97" style="position:absolute;left:0;text-align:left;margin-left:266pt;margin-top:155.5pt;width:192.75pt;height: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" fillcolor="window" strokecolor="#f79646" strokeweight="2pt">
                <v:textbox>
                  <w:txbxContent>
                    <w:p w:rsidR="00706C10" w:rsidRDefault="00706C10" w:rsidP="00706C10">
                      <w:pPr>
                        <w:jc w:val="center"/>
                        <w:rPr>
                          <w:rFonts w:ascii="Traditional Arabic" w:hAnsi="Traditional Arabic" w:cs="Traditional Arabic"/>
                          <w:sz w:val="32"/>
                          <w:szCs w:val="32"/>
                        </w:rPr>
                      </w:pPr>
                      <w:r>
                        <w:rPr>
                          <w:rFonts w:ascii="Traditional Arabic" w:hAnsi="Traditional Arabic" w:cs="Traditional Arabic"/>
                          <w:sz w:val="32"/>
                          <w:szCs w:val="32"/>
                          <w:rtl/>
                        </w:rPr>
                        <w:t xml:space="preserve">النظم الخبيرة </w:t>
                      </w:r>
                    </w:p>
                    <w:p w:rsidR="00706C10" w:rsidRDefault="00706C10" w:rsidP="00706C10">
                      <w:pPr>
                        <w:jc w:val="center"/>
                        <w:rPr>
                          <w:rFonts w:ascii="Traditional Arabic" w:hAnsi="Traditional Arabic" w:cs="Traditional Arabic"/>
                          <w:sz w:val="32"/>
                          <w:szCs w:val="32"/>
                          <w:rtl/>
                        </w:rPr>
                      </w:pPr>
                      <w:r>
                        <w:rPr>
                          <w:rFonts w:ascii="Traditional Arabic" w:hAnsi="Traditional Arabic" w:cs="Traditional Arabic"/>
                          <w:sz w:val="32"/>
                          <w:szCs w:val="32"/>
                          <w:rtl/>
                        </w:rPr>
                        <w:t>التعلم الآلي التلقائي</w:t>
                      </w:r>
                    </w:p>
                    <w:p w:rsidR="00706C10" w:rsidRDefault="00706C10" w:rsidP="00706C10">
                      <w:pPr>
                        <w:jc w:val="center"/>
                        <w:rPr>
                          <w:rFonts w:ascii="Traditional Arabic" w:hAnsi="Traditional Arabic" w:cs="Traditional Arabic"/>
                          <w:sz w:val="32"/>
                          <w:szCs w:val="32"/>
                          <w:rtl/>
                          <w:lang w:bidi="ar-EG"/>
                        </w:rPr>
                      </w:pPr>
                      <w:r>
                        <w:rPr>
                          <w:rFonts w:ascii="Traditional Arabic" w:hAnsi="Traditional Arabic" w:cs="Traditional Arabic"/>
                          <w:sz w:val="32"/>
                          <w:szCs w:val="32"/>
                          <w:rtl/>
                        </w:rPr>
                        <w:t xml:space="preserve"> سهولة الاستعمال</w:t>
                      </w:r>
                    </w:p>
                  </w:txbxContent>
                </v:textbox>
              </v:shape>
            </w:pict>
          </mc:Fallback>
        </mc:AlternateContent>
      </w:r>
      <w:r>
        <w:rPr>
          <w:noProof/>
          <w:rtl/>
        </w:rPr>
        <mc:AlternateContent>
          <mc:Choice Requires="wps">
            <w:drawing>
              <wp:anchor distT="0" distB="0" distL="114300" distR="114300" simplePos="0" relativeHeight="251658240" behindDoc="0" locked="0" layoutInCell="1" allowOverlap="1" wp14:anchorId="0E0A42B8" wp14:editId="3AAE5081">
                <wp:simplePos x="0" y="0"/>
                <wp:positionH relativeFrom="column">
                  <wp:posOffset>1746250</wp:posOffset>
                </wp:positionH>
                <wp:positionV relativeFrom="paragraph">
                  <wp:posOffset>1987550</wp:posOffset>
                </wp:positionV>
                <wp:extent cx="1682750" cy="484505"/>
                <wp:effectExtent l="57150" t="38100" r="69850" b="86995"/>
                <wp:wrapNone/>
                <wp:docPr id="6" name="Right Arrow 6"/>
                <wp:cNvGraphicFramePr/>
                <a:graphic xmlns:a="http://schemas.openxmlformats.org/drawingml/2006/main">
                  <a:graphicData uri="http://schemas.microsoft.com/office/word/2010/wordprocessingShape">
                    <wps:wsp>
                      <wps:cNvSpPr/>
                      <wps:spPr>
                        <a:xfrm flipH="1">
                          <a:off x="0" y="0"/>
                          <a:ext cx="1682750" cy="484505"/>
                        </a:xfrm>
                        <a:prstGeom prst="rightArrow">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3078FE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137.5pt;margin-top:156.5pt;width:132.5pt;height:38.1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" adj="18490" fillcolor="#ffbe86" strokecolor="#f69240">
                <v:fill color2="#ffebdb" rotate="t" angle="180" colors="0 #ffbe86;22938f #ffd0aa;1 #ffebdb" focus="100%" type="gradient"/>
                <v:shadow on="t" color="black" opacity="24903f" origin=",.5" offset="0,.55556mm"/>
              </v:shape>
            </w:pict>
          </mc:Fallback>
        </mc:AlternateContent>
      </w:r>
      <w:r>
        <w:rPr>
          <w:noProof/>
          <w:rtl/>
        </w:rPr>
        <mc:AlternateContent>
          <mc:Choice Requires="wps">
            <w:drawing>
              <wp:anchor distT="0" distB="0" distL="114300" distR="114300" simplePos="0" relativeHeight="251658240" behindDoc="0" locked="0" layoutInCell="1" allowOverlap="1" wp14:anchorId="4C533F87" wp14:editId="30B8EFA4">
                <wp:simplePos x="0" y="0"/>
                <wp:positionH relativeFrom="column">
                  <wp:posOffset>-123825</wp:posOffset>
                </wp:positionH>
                <wp:positionV relativeFrom="paragraph">
                  <wp:posOffset>-635</wp:posOffset>
                </wp:positionV>
                <wp:extent cx="1971675" cy="1133475"/>
                <wp:effectExtent l="0" t="0" r="28575" b="695325"/>
                <wp:wrapNone/>
                <wp:docPr id="3" name="Rounded Rectangular Callout 3"/>
                <wp:cNvGraphicFramePr/>
                <a:graphic xmlns:a="http://schemas.openxmlformats.org/drawingml/2006/main">
                  <a:graphicData uri="http://schemas.microsoft.com/office/word/2010/wordprocessingShape">
                    <wps:wsp>
                      <wps:cNvSpPr/>
                      <wps:spPr>
                        <a:xfrm>
                          <a:off x="0" y="0"/>
                          <a:ext cx="1971675" cy="1133475"/>
                        </a:xfrm>
                        <a:prstGeom prst="wedgeRoundRectCallout">
                          <a:avLst>
                            <a:gd name="adj1" fmla="val -15631"/>
                            <a:gd name="adj2" fmla="val 107729"/>
                            <a:gd name="adj3" fmla="val 16667"/>
                          </a:avLst>
                        </a:prstGeom>
                        <a:solidFill>
                          <a:sysClr val="window" lastClr="FFFFFF"/>
                        </a:solidFill>
                        <a:ln w="25400" cap="flat" cmpd="sng" algn="ctr">
                          <a:solidFill>
                            <a:srgbClr val="F79646"/>
                          </a:solidFill>
                          <a:prstDash val="solid"/>
                        </a:ln>
                        <a:effectLst/>
                      </wps:spPr>
                      <wps:txbx>
                        <w:txbxContent>
                          <w:p w:rsidR="00706C10" w:rsidRDefault="00706C10" w:rsidP="00706C10">
                            <w:pPr>
                              <w:jc w:val="center"/>
                              <w:rPr>
                                <w:rFonts w:cs="PT Bold Heading"/>
                                <w:sz w:val="32"/>
                                <w:szCs w:val="32"/>
                                <w:lang w:bidi="ar-EG"/>
                              </w:rPr>
                            </w:pPr>
                            <w:r>
                              <w:rPr>
                                <w:rFonts w:cs="PT Bold Heading" w:hint="cs"/>
                                <w:sz w:val="32"/>
                                <w:szCs w:val="32"/>
                                <w:rtl/>
                                <w:lang w:bidi="ar-EG"/>
                              </w:rPr>
                              <w:t>المتغير التابع</w:t>
                            </w:r>
                          </w:p>
                          <w:p w:rsidR="00706C10" w:rsidRDefault="00706C10" w:rsidP="00706C10">
                            <w:pPr>
                              <w:jc w:val="center"/>
                              <w:rPr>
                                <w:rFonts w:cs="PT Bold Heading" w:hint="cs"/>
                                <w:sz w:val="32"/>
                                <w:szCs w:val="32"/>
                                <w:rtl/>
                                <w:lang w:bidi="ar-EG"/>
                              </w:rPr>
                            </w:pPr>
                            <w:r>
                              <w:rPr>
                                <w:rFonts w:cs="PT Bold Heading" w:hint="cs"/>
                                <w:sz w:val="32"/>
                                <w:szCs w:val="32"/>
                                <w:rtl/>
                              </w:rPr>
                              <w:t xml:space="preserve">جودة الخدمات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33F87" id="Rounded Rectangular Callout 3" o:spid="_x0000_s1030" type="#_x0000_t62" style="position:absolute;left:0;text-align:left;margin-left:-9.75pt;margin-top:-.05pt;width:155.25pt;height:8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" adj="7424,34069" fillcolor="window" strokecolor="#f79646" strokeweight="2pt">
                <v:textbox>
                  <w:txbxContent>
                    <w:p w:rsidR="00706C10" w:rsidRDefault="00706C10" w:rsidP="00706C10">
                      <w:pPr>
                        <w:jc w:val="center"/>
                        <w:rPr>
                          <w:rFonts w:cs="PT Bold Heading"/>
                          <w:sz w:val="32"/>
                          <w:szCs w:val="32"/>
                          <w:lang w:bidi="ar-EG"/>
                        </w:rPr>
                      </w:pPr>
                      <w:r>
                        <w:rPr>
                          <w:rFonts w:cs="PT Bold Heading" w:hint="cs"/>
                          <w:sz w:val="32"/>
                          <w:szCs w:val="32"/>
                          <w:rtl/>
                          <w:lang w:bidi="ar-EG"/>
                        </w:rPr>
                        <w:t>المتغير التابع</w:t>
                      </w:r>
                    </w:p>
                    <w:p w:rsidR="00706C10" w:rsidRDefault="00706C10" w:rsidP="00706C10">
                      <w:pPr>
                        <w:jc w:val="center"/>
                        <w:rPr>
                          <w:rFonts w:cs="PT Bold Heading" w:hint="cs"/>
                          <w:sz w:val="32"/>
                          <w:szCs w:val="32"/>
                          <w:rtl/>
                          <w:lang w:bidi="ar-EG"/>
                        </w:rPr>
                      </w:pPr>
                      <w:r>
                        <w:rPr>
                          <w:rFonts w:cs="PT Bold Heading" w:hint="cs"/>
                          <w:sz w:val="32"/>
                          <w:szCs w:val="32"/>
                          <w:rtl/>
                        </w:rPr>
                        <w:t xml:space="preserve">جودة الخدمات </w:t>
                      </w:r>
                    </w:p>
                  </w:txbxContent>
                </v:textbox>
              </v:shape>
            </w:pict>
          </mc:Fallback>
        </mc:AlternateContent>
      </w:r>
    </w:p>
    <w:p w:rsidR="00706C10" w:rsidRDefault="00706C10" w:rsidP="00706C10">
      <w:pPr>
        <w:tabs>
          <w:tab w:val="left" w:pos="2966"/>
        </w:tabs>
        <w:spacing w:line="360" w:lineRule="auto"/>
        <w:jc w:val="both"/>
        <w:rPr>
          <w:rFonts w:ascii="Simplified Arabic" w:hAnsi="Simplified Arabic" w:cs="Simplified Arabic"/>
          <w:b/>
          <w:bCs/>
          <w:sz w:val="28"/>
          <w:szCs w:val="28"/>
          <w:rtl/>
        </w:rPr>
      </w:pPr>
    </w:p>
    <w:p w:rsidR="00706C10" w:rsidRDefault="00706C10" w:rsidP="00706C10">
      <w:pPr>
        <w:tabs>
          <w:tab w:val="left" w:pos="2966"/>
        </w:tabs>
        <w:spacing w:line="360" w:lineRule="auto"/>
        <w:jc w:val="both"/>
        <w:rPr>
          <w:rFonts w:ascii="Simplified Arabic" w:hAnsi="Simplified Arabic" w:cs="Simplified Arabic"/>
          <w:b/>
          <w:bCs/>
          <w:sz w:val="28"/>
          <w:szCs w:val="28"/>
          <w:rtl/>
        </w:rPr>
      </w:pPr>
    </w:p>
    <w:p w:rsidR="00706C10" w:rsidRDefault="00706C10" w:rsidP="00706C10">
      <w:pPr>
        <w:tabs>
          <w:tab w:val="left" w:pos="2966"/>
        </w:tabs>
        <w:spacing w:line="360" w:lineRule="auto"/>
        <w:jc w:val="both"/>
        <w:rPr>
          <w:rFonts w:ascii="Simplified Arabic" w:hAnsi="Simplified Arabic" w:cs="Simplified Arabic"/>
          <w:b/>
          <w:bCs/>
          <w:sz w:val="28"/>
          <w:szCs w:val="28"/>
          <w:rtl/>
        </w:rPr>
      </w:pPr>
    </w:p>
    <w:p w:rsidR="00706C10" w:rsidRDefault="00706C10" w:rsidP="00706C10">
      <w:pPr>
        <w:tabs>
          <w:tab w:val="left" w:pos="2966"/>
        </w:tabs>
        <w:spacing w:line="360" w:lineRule="auto"/>
        <w:ind w:left="720"/>
        <w:jc w:val="both"/>
        <w:rPr>
          <w:rFonts w:ascii="Simplified Arabic" w:hAnsi="Simplified Arabic" w:cs="Simplified Arabic"/>
          <w:b/>
          <w:bCs/>
          <w:sz w:val="28"/>
          <w:szCs w:val="28"/>
        </w:rPr>
      </w:pPr>
    </w:p>
    <w:p w:rsidR="00706C10" w:rsidRDefault="00706C10" w:rsidP="00706C10">
      <w:pPr>
        <w:tabs>
          <w:tab w:val="left" w:pos="2966"/>
        </w:tabs>
        <w:spacing w:line="360" w:lineRule="auto"/>
        <w:ind w:left="720"/>
        <w:jc w:val="both"/>
        <w:rPr>
          <w:rFonts w:ascii="Simplified Arabic" w:hAnsi="Simplified Arabic" w:cs="Simplified Arabic"/>
          <w:b/>
          <w:bCs/>
          <w:sz w:val="28"/>
          <w:szCs w:val="28"/>
          <w:rtl/>
        </w:rPr>
      </w:pPr>
    </w:p>
    <w:p w:rsidR="00706C10" w:rsidRDefault="00706C10" w:rsidP="00706C10">
      <w:pPr>
        <w:tabs>
          <w:tab w:val="left" w:pos="2966"/>
        </w:tabs>
        <w:spacing w:line="360" w:lineRule="auto"/>
        <w:jc w:val="both"/>
        <w:rPr>
          <w:rFonts w:ascii="Simplified Arabic" w:hAnsi="Simplified Arabic" w:cs="Simplified Arabic"/>
          <w:b/>
          <w:bCs/>
          <w:sz w:val="28"/>
          <w:szCs w:val="28"/>
          <w:rtl/>
        </w:rPr>
      </w:pPr>
    </w:p>
    <w:p w:rsidR="00706C10" w:rsidRDefault="00706C10" w:rsidP="00706C10">
      <w:pPr>
        <w:tabs>
          <w:tab w:val="left" w:pos="2966"/>
        </w:tabs>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                       من إعداد/ الباحث</w:t>
      </w:r>
    </w:p>
    <w:p w:rsidR="00706C10" w:rsidRDefault="00706C10" w:rsidP="00706C10">
      <w:pPr>
        <w:tabs>
          <w:tab w:val="left" w:pos="2966"/>
        </w:tabs>
        <w:spacing w:line="360" w:lineRule="auto"/>
        <w:jc w:val="both"/>
        <w:rPr>
          <w:rFonts w:ascii="Simplified Arabic" w:hAnsi="Simplified Arabic" w:cs="Simplified Arabic"/>
          <w:b/>
          <w:bCs/>
          <w:sz w:val="28"/>
          <w:szCs w:val="28"/>
          <w:rtl/>
        </w:rPr>
      </w:pPr>
    </w:p>
    <w:p w:rsidR="00706C10" w:rsidRDefault="00706C10" w:rsidP="00706C10">
      <w:pPr>
        <w:pStyle w:val="ListParagraph"/>
        <w:numPr>
          <w:ilvl w:val="1"/>
          <w:numId w:val="7"/>
        </w:numPr>
        <w:tabs>
          <w:tab w:val="left" w:pos="2966"/>
        </w:tabs>
        <w:spacing w:line="360" w:lineRule="auto"/>
        <w:jc w:val="both"/>
        <w:outlineLvl w:val="0"/>
        <w:rPr>
          <w:rFonts w:ascii="Simplified Arabic" w:hAnsi="Simplified Arabic" w:cs="Simplified Arabic"/>
          <w:b/>
          <w:bCs/>
          <w:sz w:val="36"/>
          <w:szCs w:val="36"/>
        </w:rPr>
      </w:pPr>
      <w:bookmarkStart w:id="11" w:name="_Toc181308873"/>
      <w:r>
        <w:rPr>
          <w:rFonts w:ascii="Simplified Arabic" w:hAnsi="Simplified Arabic" w:cs="Simplified Arabic"/>
          <w:b/>
          <w:bCs/>
          <w:sz w:val="36"/>
          <w:szCs w:val="36"/>
          <w:rtl/>
        </w:rPr>
        <w:lastRenderedPageBreak/>
        <w:t>دوافع اختيار الموضوع:</w:t>
      </w:r>
      <w:bookmarkEnd w:id="11"/>
    </w:p>
    <w:p w:rsidR="00706C10" w:rsidRDefault="00706C10" w:rsidP="00706C10">
      <w:pPr>
        <w:pStyle w:val="ListParagraph"/>
        <w:numPr>
          <w:ilvl w:val="0"/>
          <w:numId w:val="8"/>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أهمية تطوير الخدمات العامة:</w:t>
      </w:r>
      <w:r>
        <w:rPr>
          <w:rFonts w:ascii="Simplified Arabic" w:hAnsi="Simplified Arabic" w:cs="Simplified Arabic"/>
          <w:sz w:val="28"/>
          <w:szCs w:val="28"/>
          <w:rtl/>
        </w:rPr>
        <w:t xml:space="preserve"> قطاع البلديات والإسكان يتطلب تحسينًا مستمرًا في تقديم الخدمات للمواطنين، واستخدام التقنيات الناشئة يعزز كفاءة وفعالية هذه الخدمات.</w:t>
      </w:r>
    </w:p>
    <w:p w:rsidR="00706C10" w:rsidRDefault="00706C10" w:rsidP="00706C10">
      <w:pPr>
        <w:pStyle w:val="ListParagraph"/>
        <w:numPr>
          <w:ilvl w:val="0"/>
          <w:numId w:val="8"/>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التطور التكنولوجي السريع:</w:t>
      </w:r>
      <w:r>
        <w:rPr>
          <w:rFonts w:ascii="Simplified Arabic" w:hAnsi="Simplified Arabic" w:cs="Simplified Arabic"/>
          <w:sz w:val="28"/>
          <w:szCs w:val="28"/>
          <w:rtl/>
        </w:rPr>
        <w:t xml:space="preserve"> التقنيات الناشئة مثل الذكاء الاصطناعي والتعلم الآلي توفر أدوات قوية لتحسين إدارة البيانات والعمليات في القطاع البلدي والإسكاني، ما يجعل دراسة أثرها ضروريًا لفهم كيفية استغلالها بشكل أمثل.</w:t>
      </w:r>
    </w:p>
    <w:p w:rsidR="00706C10" w:rsidRDefault="00706C10" w:rsidP="00706C10">
      <w:pPr>
        <w:pStyle w:val="ListParagraph"/>
        <w:numPr>
          <w:ilvl w:val="0"/>
          <w:numId w:val="8"/>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تحديات التوسع العمراني:</w:t>
      </w:r>
      <w:r>
        <w:rPr>
          <w:rFonts w:ascii="Simplified Arabic" w:hAnsi="Simplified Arabic" w:cs="Simplified Arabic"/>
          <w:sz w:val="28"/>
          <w:szCs w:val="28"/>
          <w:rtl/>
        </w:rPr>
        <w:t xml:space="preserve"> مع ازدياد عدد السكان والمدن في المملكة العربية السعودية، يصبح من المهم استكشاف كيف يمكن للتقنيات الناشئة أن تساهم في التعامل مع هذه التحديات عبر تحسين التخطيط العمراني وتقديم الخدمات الإسكانية.</w:t>
      </w:r>
    </w:p>
    <w:p w:rsidR="00706C10" w:rsidRDefault="00706C10" w:rsidP="00706C10">
      <w:pPr>
        <w:pStyle w:val="ListParagraph"/>
        <w:numPr>
          <w:ilvl w:val="0"/>
          <w:numId w:val="8"/>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التحول الرقمي الحكومي:</w:t>
      </w:r>
      <w:r>
        <w:rPr>
          <w:rFonts w:ascii="Simplified Arabic" w:hAnsi="Simplified Arabic" w:cs="Simplified Arabic"/>
          <w:sz w:val="28"/>
          <w:szCs w:val="28"/>
          <w:rtl/>
        </w:rPr>
        <w:t xml:space="preserve"> المملكة تتبنى توجهًا واضحًا نحو التحول الرقمي، ودراسة أثر التقنيات الناشئة على القطاعات الحكومية، مثل البلديات والإسكان، يعد جزءًا أساسيًا من رؤية المملكة 2030 لتحقيق التنمية المستدامة.</w:t>
      </w:r>
    </w:p>
    <w:p w:rsidR="00706C10" w:rsidRDefault="00706C10" w:rsidP="00706C10">
      <w:pPr>
        <w:pStyle w:val="ListParagraph"/>
        <w:numPr>
          <w:ilvl w:val="0"/>
          <w:numId w:val="8"/>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الكفاءة وتحسين الأداء:</w:t>
      </w:r>
      <w:r>
        <w:rPr>
          <w:rFonts w:ascii="Simplified Arabic" w:hAnsi="Simplified Arabic" w:cs="Simplified Arabic"/>
          <w:sz w:val="28"/>
          <w:szCs w:val="28"/>
          <w:rtl/>
        </w:rPr>
        <w:t xml:space="preserve"> الاعتماد على التقنيات الناشئة يمكن أن يساهم في تحسين جودة وكفاءة الخدمات المقدمة، مما ينعكس على رضا المواطنين وتقليل التكاليف التشغيلية وزيادة الشفافية في العمليات.</w:t>
      </w:r>
    </w:p>
    <w:p w:rsidR="00706C10" w:rsidRDefault="00706C10" w:rsidP="00706C10">
      <w:pPr>
        <w:pStyle w:val="ListParagraph"/>
        <w:numPr>
          <w:ilvl w:val="0"/>
          <w:numId w:val="8"/>
        </w:numPr>
        <w:tabs>
          <w:tab w:val="left" w:pos="296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قلة الدراسات السابقة:</w:t>
      </w:r>
      <w:r>
        <w:rPr>
          <w:rFonts w:ascii="Simplified Arabic" w:hAnsi="Simplified Arabic" w:cs="Simplified Arabic"/>
          <w:sz w:val="28"/>
          <w:szCs w:val="28"/>
          <w:rtl/>
        </w:rPr>
        <w:t xml:space="preserve"> هناك حاجة لمزيد من الأبحاث حول كيفية تطبيق التقنيات الناشئة في القطاعات الحكومية، خاصة في البلديات والإسكان، مما يجعل هذا الموضوع فرصة لإضافة قيمة علمية جديدة وتحليل التأثيرات المحتملة.</w:t>
      </w:r>
    </w:p>
    <w:p w:rsidR="00706C10" w:rsidRDefault="00706C10" w:rsidP="00706C10">
      <w:pPr>
        <w:tabs>
          <w:tab w:val="left" w:pos="2966"/>
        </w:tabs>
        <w:spacing w:line="360" w:lineRule="auto"/>
        <w:jc w:val="both"/>
        <w:rPr>
          <w:rFonts w:ascii="Simplified Arabic" w:hAnsi="Simplified Arabic" w:cs="Simplified Arabic"/>
          <w:sz w:val="28"/>
          <w:szCs w:val="28"/>
        </w:rPr>
      </w:pPr>
    </w:p>
    <w:p w:rsidR="00706C10" w:rsidRDefault="00706C10" w:rsidP="00706C10">
      <w:pPr>
        <w:pStyle w:val="ListParagraph"/>
        <w:numPr>
          <w:ilvl w:val="1"/>
          <w:numId w:val="9"/>
        </w:numPr>
        <w:tabs>
          <w:tab w:val="left" w:pos="2966"/>
        </w:tabs>
        <w:spacing w:line="360" w:lineRule="auto"/>
        <w:jc w:val="both"/>
        <w:outlineLvl w:val="0"/>
        <w:rPr>
          <w:rFonts w:ascii="Simplified Arabic" w:hAnsi="Simplified Arabic" w:cs="Simplified Arabic"/>
          <w:b/>
          <w:bCs/>
          <w:sz w:val="36"/>
          <w:szCs w:val="36"/>
        </w:rPr>
      </w:pPr>
      <w:bookmarkStart w:id="12" w:name="_Toc181308874"/>
      <w:r>
        <w:rPr>
          <w:rFonts w:ascii="Simplified Arabic" w:hAnsi="Simplified Arabic" w:cs="Simplified Arabic"/>
          <w:b/>
          <w:bCs/>
          <w:sz w:val="36"/>
          <w:szCs w:val="36"/>
          <w:rtl/>
        </w:rPr>
        <w:t>المنهجية:</w:t>
      </w:r>
      <w:bookmarkEnd w:id="12"/>
    </w:p>
    <w:p w:rsidR="00706C10" w:rsidRDefault="00706C10" w:rsidP="00706C10">
      <w:pPr>
        <w:tabs>
          <w:tab w:val="left" w:pos="2966"/>
        </w:tabs>
        <w:spacing w:line="360" w:lineRule="auto"/>
        <w:ind w:left="720" w:firstLine="720"/>
        <w:jc w:val="both"/>
        <w:rPr>
          <w:rFonts w:ascii="Simplified Arabic" w:hAnsi="Simplified Arabic" w:cs="Simplified Arabic"/>
          <w:sz w:val="28"/>
          <w:szCs w:val="28"/>
        </w:rPr>
      </w:pPr>
      <w:r>
        <w:rPr>
          <w:rFonts w:ascii="Simplified Arabic" w:hAnsi="Simplified Arabic" w:cs="Simplified Arabic"/>
          <w:sz w:val="28"/>
          <w:szCs w:val="28"/>
          <w:rtl/>
        </w:rPr>
        <w:t>تعتبر دراستنا دراسة وصفية تحليلية لذا لا بد من اعتماد المنهج الوصفي لاستكمال الجانب النظري والمنهج التحليلي لتحليل وتفسير النتائج إحصائيا لاستكمال الجانب التطبيقي للدراسة أما بالنسبة للأدوات الطريقة التي ساعدتنا في جمع المعلومات للتحقق من الفرضيات أو رفضها هي: (</w:t>
      </w:r>
      <w:bookmarkStart w:id="13" w:name="_Int_gWfMYokA"/>
      <w:r>
        <w:rPr>
          <w:rFonts w:ascii="Simplified Arabic" w:hAnsi="Simplified Arabic" w:cs="Simplified Arabic"/>
          <w:sz w:val="28"/>
          <w:szCs w:val="28"/>
          <w:rtl/>
        </w:rPr>
        <w:t>الاستبيان</w:t>
      </w:r>
      <w:bookmarkEnd w:id="13"/>
      <w:r>
        <w:rPr>
          <w:rFonts w:ascii="Simplified Arabic" w:hAnsi="Simplified Arabic" w:cs="Simplified Arabic"/>
          <w:sz w:val="28"/>
          <w:szCs w:val="28"/>
          <w:rtl/>
        </w:rPr>
        <w:t>).</w:t>
      </w:r>
    </w:p>
    <w:p w:rsidR="00706C10" w:rsidRDefault="00706C10" w:rsidP="00706C10">
      <w:pPr>
        <w:tabs>
          <w:tab w:val="left" w:pos="2966"/>
        </w:tabs>
        <w:spacing w:line="360" w:lineRule="auto"/>
        <w:ind w:left="720" w:firstLine="720"/>
        <w:jc w:val="both"/>
        <w:rPr>
          <w:rFonts w:ascii="Simplified Arabic" w:hAnsi="Simplified Arabic" w:cs="Simplified Arabic"/>
          <w:sz w:val="28"/>
          <w:szCs w:val="28"/>
          <w:rtl/>
        </w:rPr>
      </w:pPr>
    </w:p>
    <w:p w:rsidR="00706C10" w:rsidRDefault="00706C10" w:rsidP="00706C10">
      <w:pPr>
        <w:tabs>
          <w:tab w:val="left" w:pos="2966"/>
        </w:tabs>
        <w:spacing w:line="360" w:lineRule="auto"/>
        <w:ind w:left="720" w:firstLine="720"/>
        <w:jc w:val="both"/>
        <w:rPr>
          <w:rFonts w:ascii="Simplified Arabic" w:hAnsi="Simplified Arabic" w:cs="Simplified Arabic"/>
          <w:sz w:val="28"/>
          <w:szCs w:val="28"/>
          <w:rtl/>
        </w:rPr>
      </w:pPr>
    </w:p>
    <w:p w:rsidR="00706C10" w:rsidRDefault="00706C10" w:rsidP="00706C10">
      <w:pPr>
        <w:pStyle w:val="ListParagraph"/>
        <w:numPr>
          <w:ilvl w:val="1"/>
          <w:numId w:val="10"/>
        </w:numPr>
        <w:tabs>
          <w:tab w:val="left" w:pos="1196"/>
        </w:tabs>
        <w:spacing w:line="360" w:lineRule="auto"/>
        <w:jc w:val="both"/>
        <w:outlineLvl w:val="0"/>
        <w:rPr>
          <w:rFonts w:ascii="Simplified Arabic" w:hAnsi="Simplified Arabic" w:cs="Simplified Arabic"/>
          <w:b/>
          <w:bCs/>
          <w:sz w:val="32"/>
          <w:szCs w:val="32"/>
          <w:rtl/>
        </w:rPr>
      </w:pPr>
      <w:bookmarkStart w:id="14" w:name="_Toc181308875"/>
      <w:r>
        <w:rPr>
          <w:rFonts w:ascii="Simplified Arabic" w:hAnsi="Simplified Arabic" w:cs="Simplified Arabic"/>
          <w:b/>
          <w:bCs/>
          <w:sz w:val="32"/>
          <w:szCs w:val="32"/>
          <w:rtl/>
        </w:rPr>
        <w:t>أدوات الدراسة:</w:t>
      </w:r>
      <w:bookmarkEnd w:id="14"/>
    </w:p>
    <w:p w:rsidR="00706C10" w:rsidRDefault="00706C10" w:rsidP="00706C10">
      <w:pPr>
        <w:tabs>
          <w:tab w:val="left" w:pos="1196"/>
        </w:tabs>
        <w:spacing w:line="360" w:lineRule="auto"/>
        <w:ind w:left="720"/>
        <w:jc w:val="both"/>
        <w:rPr>
          <w:rFonts w:ascii="Simplified Arabic" w:hAnsi="Simplified Arabic" w:cs="Simplified Arabic"/>
          <w:sz w:val="28"/>
          <w:szCs w:val="28"/>
        </w:rPr>
      </w:pPr>
      <w:r>
        <w:rPr>
          <w:rFonts w:ascii="Simplified Arabic" w:hAnsi="Simplified Arabic" w:cs="Simplified Arabic"/>
          <w:sz w:val="28"/>
          <w:szCs w:val="28"/>
          <w:rtl/>
        </w:rPr>
        <w:t>اعتمدت الدراسة على الاستبانة كأداة لجمع البيانات وتكونت الاستبانة من اربع محاور على النحو التالي</w:t>
      </w:r>
      <w:r>
        <w:rPr>
          <w:rFonts w:ascii="Simplified Arabic" w:hAnsi="Simplified Arabic" w:cs="Simplified Arabic"/>
          <w:sz w:val="28"/>
          <w:szCs w:val="28"/>
        </w:rPr>
        <w:t>:</w:t>
      </w:r>
    </w:p>
    <w:p w:rsidR="00706C10" w:rsidRDefault="00706C10" w:rsidP="00706C10">
      <w:pPr>
        <w:pStyle w:val="ListParagraph"/>
        <w:numPr>
          <w:ilvl w:val="0"/>
          <w:numId w:val="11"/>
        </w:numPr>
        <w:tabs>
          <w:tab w:val="left" w:pos="119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المحور الأول: يرتبط بالبيانات الديموغرافية المتمثلة في ( النوع – العمر – الدرجة العلمية- عدد سنوات الخبرة – المسمى الوظيفي).</w:t>
      </w:r>
    </w:p>
    <w:p w:rsidR="00706C10" w:rsidRDefault="00706C10" w:rsidP="00706C10">
      <w:pPr>
        <w:pStyle w:val="ListParagraph"/>
        <w:numPr>
          <w:ilvl w:val="0"/>
          <w:numId w:val="11"/>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المحور الثاني: ويرتبط بالمتغير المستقل وهو التقنيات الناشئة بأبعاده (النظم الخبيرة التعلم الآلي التلقائي، سهولة الاستعمال)</w:t>
      </w:r>
    </w:p>
    <w:p w:rsidR="00706C10" w:rsidRDefault="00706C10" w:rsidP="00706C10">
      <w:pPr>
        <w:pStyle w:val="ListParagraph"/>
        <w:numPr>
          <w:ilvl w:val="0"/>
          <w:numId w:val="11"/>
        </w:numPr>
        <w:tabs>
          <w:tab w:val="left" w:pos="1196"/>
        </w:tabs>
        <w:spacing w:line="360" w:lineRule="auto"/>
        <w:jc w:val="both"/>
        <w:rPr>
          <w:rFonts w:ascii="Simplified Arabic" w:hAnsi="Simplified Arabic" w:cs="Simplified Arabic"/>
          <w:b/>
          <w:bCs/>
          <w:sz w:val="28"/>
          <w:szCs w:val="28"/>
          <w:rtl/>
        </w:rPr>
      </w:pPr>
      <w:r>
        <w:rPr>
          <w:rFonts w:ascii="Simplified Arabic" w:hAnsi="Simplified Arabic" w:cs="Simplified Arabic"/>
          <w:sz w:val="28"/>
          <w:szCs w:val="28"/>
          <w:rtl/>
        </w:rPr>
        <w:t>المحور الثالث: ويرتبط بالمتغير التابع وهو جودة الخدمات بأبعادها (الكفاءة – الفعالية)</w:t>
      </w:r>
      <w:r>
        <w:rPr>
          <w:rFonts w:ascii="Simplified Arabic" w:hAnsi="Simplified Arabic" w:cs="Simplified Arabic"/>
          <w:b/>
          <w:bCs/>
          <w:sz w:val="28"/>
          <w:szCs w:val="28"/>
        </w:rPr>
        <w:t>.</w:t>
      </w:r>
    </w:p>
    <w:p w:rsidR="00706C10" w:rsidRDefault="00706C10" w:rsidP="00706C10">
      <w:pPr>
        <w:pStyle w:val="ListParagraph"/>
        <w:numPr>
          <w:ilvl w:val="0"/>
          <w:numId w:val="11"/>
        </w:numPr>
        <w:tabs>
          <w:tab w:val="left" w:pos="1196"/>
        </w:tabs>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 xml:space="preserve">المحور الرابع: </w:t>
      </w:r>
      <w:r>
        <w:rPr>
          <w:rFonts w:ascii="Simplified Arabic" w:hAnsi="Simplified Arabic" w:cs="Simplified Arabic"/>
          <w:sz w:val="28"/>
          <w:szCs w:val="28"/>
          <w:rtl/>
        </w:rPr>
        <w:t>رفع جودة الخدمات</w:t>
      </w:r>
      <w:r>
        <w:rPr>
          <w:rFonts w:ascii="Simplified Arabic" w:hAnsi="Simplified Arabic" w:cs="Simplified Arabic"/>
          <w:sz w:val="28"/>
          <w:szCs w:val="28"/>
        </w:rPr>
        <w:t xml:space="preserve"> </w:t>
      </w:r>
      <w:r>
        <w:rPr>
          <w:rFonts w:ascii="Simplified Arabic" w:hAnsi="Simplified Arabic" w:cs="Simplified Arabic"/>
          <w:b/>
          <w:bCs/>
          <w:sz w:val="28"/>
          <w:szCs w:val="28"/>
        </w:rPr>
        <w:t xml:space="preserve"> </w:t>
      </w:r>
    </w:p>
    <w:p w:rsidR="00706C10" w:rsidRDefault="00706C10" w:rsidP="00706C10">
      <w:pPr>
        <w:pStyle w:val="ListParagraph"/>
        <w:tabs>
          <w:tab w:val="left" w:pos="1196"/>
        </w:tabs>
        <w:spacing w:line="360" w:lineRule="auto"/>
        <w:ind w:left="1556"/>
        <w:jc w:val="both"/>
        <w:rPr>
          <w:rFonts w:ascii="Simplified Arabic" w:hAnsi="Simplified Arabic" w:cs="Simplified Arabic"/>
          <w:b/>
          <w:bCs/>
          <w:sz w:val="28"/>
          <w:szCs w:val="28"/>
        </w:rPr>
      </w:pPr>
    </w:p>
    <w:p w:rsidR="00706C10" w:rsidRDefault="00706C10" w:rsidP="00706C10">
      <w:pPr>
        <w:tabs>
          <w:tab w:val="left" w:pos="1196"/>
        </w:tabs>
        <w:spacing w:line="360" w:lineRule="auto"/>
        <w:jc w:val="both"/>
        <w:outlineLvl w:val="0"/>
        <w:rPr>
          <w:rFonts w:ascii="Simplified Arabic" w:hAnsi="Simplified Arabic" w:cs="Simplified Arabic"/>
          <w:b/>
          <w:bCs/>
          <w:sz w:val="32"/>
          <w:szCs w:val="32"/>
          <w:rtl/>
        </w:rPr>
      </w:pPr>
      <w:bookmarkStart w:id="15" w:name="_Toc181308876"/>
      <w:r>
        <w:rPr>
          <w:rFonts w:ascii="Simplified Arabic" w:hAnsi="Simplified Arabic" w:cs="Simplified Arabic"/>
          <w:b/>
          <w:bCs/>
          <w:sz w:val="32"/>
          <w:szCs w:val="32"/>
          <w:rtl/>
        </w:rPr>
        <w:t>مصادر جمع البيانات:</w:t>
      </w:r>
      <w:bookmarkEnd w:id="15"/>
      <w:r>
        <w:rPr>
          <w:rFonts w:ascii="Simplified Arabic" w:hAnsi="Simplified Arabic" w:cs="Simplified Arabic"/>
          <w:b/>
          <w:bCs/>
          <w:sz w:val="32"/>
          <w:szCs w:val="32"/>
          <w:rtl/>
        </w:rPr>
        <w:t xml:space="preserve"> </w:t>
      </w:r>
    </w:p>
    <w:p w:rsidR="00706C10" w:rsidRDefault="00706C10" w:rsidP="00706C10">
      <w:pPr>
        <w:tabs>
          <w:tab w:val="left" w:pos="1196"/>
        </w:tabs>
        <w:spacing w:line="360" w:lineRule="auto"/>
        <w:ind w:left="720" w:firstLine="720"/>
        <w:jc w:val="both"/>
        <w:rPr>
          <w:rFonts w:ascii="Simplified Arabic" w:hAnsi="Simplified Arabic" w:cs="Simplified Arabic"/>
          <w:sz w:val="28"/>
          <w:szCs w:val="28"/>
          <w:rtl/>
        </w:rPr>
      </w:pPr>
      <w:r>
        <w:rPr>
          <w:rFonts w:ascii="Simplified Arabic" w:hAnsi="Simplified Arabic" w:cs="Simplified Arabic"/>
          <w:sz w:val="28"/>
          <w:szCs w:val="28"/>
          <w:rtl/>
        </w:rPr>
        <w:t>اعتمدنا في إنجاز هذه الدراسة على المصادر الأولية والثانوية وهي:</w:t>
      </w:r>
    </w:p>
    <w:p w:rsidR="00706C10" w:rsidRDefault="00706C10" w:rsidP="00706C10">
      <w:pPr>
        <w:pStyle w:val="ListParagraph"/>
        <w:numPr>
          <w:ilvl w:val="0"/>
          <w:numId w:val="12"/>
        </w:numPr>
        <w:tabs>
          <w:tab w:val="left" w:pos="119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المصادر الثانوية</w:t>
      </w:r>
      <w:r>
        <w:rPr>
          <w:rFonts w:ascii="Simplified Arabic" w:hAnsi="Simplified Arabic" w:cs="Simplified Arabic"/>
          <w:sz w:val="28"/>
          <w:szCs w:val="28"/>
          <w:rtl/>
        </w:rPr>
        <w:t>: وتتمثل بالمسح الأكاديمي للأبحاث والدراسات السابقة والبيانات المتعلقة بموضوع الدراسة، بالإضافة إلى المراجع والمصادر بهدف كتابة الجانب النظري للبحث، بما في ذلك الكتب والمقالات في اللغات العربية والأجنبية التي من شأنها إثراء الدراسة والدراسات والأبحاث والرسائل الجامعية.</w:t>
      </w:r>
    </w:p>
    <w:p w:rsidR="00706C10" w:rsidRDefault="00706C10" w:rsidP="00706C10">
      <w:pPr>
        <w:pStyle w:val="ListParagraph"/>
        <w:numPr>
          <w:ilvl w:val="0"/>
          <w:numId w:val="12"/>
        </w:numPr>
        <w:tabs>
          <w:tab w:val="left" w:pos="119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المصادر الأولية:</w:t>
      </w:r>
      <w:r>
        <w:rPr>
          <w:rFonts w:ascii="Simplified Arabic" w:hAnsi="Simplified Arabic" w:cs="Simplified Arabic"/>
          <w:sz w:val="28"/>
          <w:szCs w:val="28"/>
          <w:rtl/>
        </w:rPr>
        <w:t xml:space="preserve"> وتتمثل بالبيانات الميدانية التي تم جمعها من خلال إجراء المقابلات الشخصية وقوائم الاستبيانات التي تم تصميمها وتطويرها بعد الاطلاع على العديد من الدراسات ذات الصلة بموضوع الدراسة. وهي تتكون من جزأين. الجزء الأول يتضمن البيانات الشخصية والوظيفية للمستجيب (الجنس، العمر، المستوى التعليمي المستوى الوظيفي). الجزء الثاني يحتوي على معلومات عامة</w:t>
      </w:r>
      <w:r>
        <w:rPr>
          <w:rFonts w:ascii="Simplified Arabic" w:hAnsi="Simplified Arabic" w:cs="Simplified Arabic"/>
          <w:b/>
          <w:bCs/>
          <w:sz w:val="28"/>
          <w:szCs w:val="28"/>
          <w:rtl/>
        </w:rPr>
        <w:t xml:space="preserve"> </w:t>
      </w:r>
      <w:r>
        <w:rPr>
          <w:rFonts w:ascii="Simplified Arabic" w:hAnsi="Simplified Arabic" w:cs="Simplified Arabic"/>
          <w:sz w:val="28"/>
          <w:szCs w:val="28"/>
          <w:rtl/>
        </w:rPr>
        <w:t xml:space="preserve">وتضمنت محاور </w:t>
      </w:r>
      <w:bookmarkStart w:id="16" w:name="_Int_DVQGGqV5"/>
      <w:r>
        <w:rPr>
          <w:rFonts w:ascii="Simplified Arabic" w:hAnsi="Simplified Arabic" w:cs="Simplified Arabic"/>
          <w:sz w:val="28"/>
          <w:szCs w:val="28"/>
          <w:rtl/>
        </w:rPr>
        <w:t>الاستبيان</w:t>
      </w:r>
      <w:bookmarkEnd w:id="16"/>
      <w:r>
        <w:rPr>
          <w:rFonts w:ascii="Simplified Arabic" w:hAnsi="Simplified Arabic" w:cs="Simplified Arabic"/>
          <w:sz w:val="28"/>
          <w:szCs w:val="28"/>
        </w:rPr>
        <w:t>.</w:t>
      </w:r>
    </w:p>
    <w:p w:rsidR="00706C10" w:rsidRDefault="00706C10" w:rsidP="00706C10">
      <w:pPr>
        <w:tabs>
          <w:tab w:val="left" w:pos="1196"/>
        </w:tabs>
        <w:spacing w:line="360" w:lineRule="auto"/>
        <w:jc w:val="both"/>
        <w:rPr>
          <w:rFonts w:ascii="Simplified Arabic" w:hAnsi="Simplified Arabic" w:cs="Simplified Arabic"/>
          <w:sz w:val="28"/>
          <w:szCs w:val="28"/>
        </w:rPr>
      </w:pPr>
    </w:p>
    <w:p w:rsidR="00706C10" w:rsidRDefault="00706C10" w:rsidP="00706C10">
      <w:pPr>
        <w:pStyle w:val="ListParagraph"/>
        <w:numPr>
          <w:ilvl w:val="1"/>
          <w:numId w:val="13"/>
        </w:numPr>
        <w:tabs>
          <w:tab w:val="left" w:pos="1196"/>
        </w:tabs>
        <w:spacing w:line="360" w:lineRule="auto"/>
        <w:jc w:val="both"/>
        <w:outlineLvl w:val="0"/>
        <w:rPr>
          <w:rFonts w:ascii="Simplified Arabic" w:hAnsi="Simplified Arabic" w:cs="Simplified Arabic"/>
          <w:b/>
          <w:bCs/>
          <w:sz w:val="36"/>
          <w:szCs w:val="36"/>
        </w:rPr>
      </w:pPr>
      <w:bookmarkStart w:id="17" w:name="_Toc181308877"/>
      <w:r>
        <w:rPr>
          <w:rFonts w:ascii="Simplified Arabic" w:hAnsi="Simplified Arabic" w:cs="Simplified Arabic"/>
          <w:b/>
          <w:bCs/>
          <w:sz w:val="36"/>
          <w:szCs w:val="36"/>
          <w:rtl/>
        </w:rPr>
        <w:t>الأساليب الإحصائية:</w:t>
      </w:r>
      <w:bookmarkEnd w:id="17"/>
    </w:p>
    <w:p w:rsidR="00706C10" w:rsidRDefault="00706C10" w:rsidP="00706C10">
      <w:pPr>
        <w:tabs>
          <w:tab w:val="left" w:pos="1196"/>
        </w:tabs>
        <w:spacing w:line="360" w:lineRule="auto"/>
        <w:ind w:left="720" w:firstLine="720"/>
        <w:jc w:val="both"/>
        <w:rPr>
          <w:rFonts w:ascii="Simplified Arabic" w:hAnsi="Simplified Arabic" w:cs="Simplified Arabic"/>
          <w:sz w:val="28"/>
          <w:szCs w:val="28"/>
        </w:rPr>
      </w:pPr>
      <w:r>
        <w:rPr>
          <w:rFonts w:ascii="Simplified Arabic" w:hAnsi="Simplified Arabic" w:cs="Simplified Arabic"/>
          <w:sz w:val="28"/>
          <w:szCs w:val="28"/>
          <w:rtl/>
        </w:rPr>
        <w:lastRenderedPageBreak/>
        <w:t>تم الاعتماد على برنامج الحزم الإحصائية (</w:t>
      </w:r>
      <w:r>
        <w:rPr>
          <w:rFonts w:ascii="Simplified Arabic" w:hAnsi="Simplified Arabic" w:cs="Simplified Arabic"/>
          <w:sz w:val="28"/>
          <w:szCs w:val="28"/>
        </w:rPr>
        <w:t>Spss</w:t>
      </w:r>
      <w:r>
        <w:rPr>
          <w:rFonts w:ascii="Simplified Arabic" w:hAnsi="Simplified Arabic" w:cs="Simplified Arabic"/>
          <w:sz w:val="28"/>
          <w:szCs w:val="28"/>
          <w:rtl/>
        </w:rPr>
        <w:t>) للوصول إلى الأهداف المرسومة حيث تحتوي على:</w:t>
      </w:r>
    </w:p>
    <w:p w:rsidR="00706C10" w:rsidRDefault="00706C10" w:rsidP="00706C10">
      <w:pPr>
        <w:tabs>
          <w:tab w:val="left" w:pos="1196"/>
        </w:tabs>
        <w:spacing w:line="360" w:lineRule="auto"/>
        <w:ind w:left="720" w:firstLine="720"/>
        <w:jc w:val="both"/>
        <w:rPr>
          <w:rFonts w:ascii="Simplified Arabic" w:hAnsi="Simplified Arabic" w:cs="Simplified Arabic"/>
          <w:sz w:val="28"/>
          <w:szCs w:val="28"/>
          <w:rtl/>
        </w:rPr>
      </w:pPr>
      <w:r>
        <w:rPr>
          <w:rFonts w:ascii="Simplified Arabic" w:hAnsi="Simplified Arabic" w:cs="Simplified Arabic"/>
          <w:sz w:val="28"/>
          <w:szCs w:val="28"/>
          <w:rtl/>
        </w:rPr>
        <w:t>يتضمن البرنامج مجموعة من الاختبارات الإحصائية التي تندرج تحت الإحصاء الوصفي والإحصاء الاستدلالي. وفيما يلي مجموعة من الأساليب الإحصائية التي استخدمت في الدراسة.</w:t>
      </w:r>
    </w:p>
    <w:p w:rsidR="00706C10" w:rsidRDefault="00706C10" w:rsidP="00706C10">
      <w:pPr>
        <w:pStyle w:val="ListParagraph"/>
        <w:numPr>
          <w:ilvl w:val="0"/>
          <w:numId w:val="14"/>
        </w:numPr>
        <w:tabs>
          <w:tab w:val="left" w:pos="1196"/>
        </w:tabs>
        <w:spacing w:line="360" w:lineRule="auto"/>
        <w:ind w:left="1466"/>
        <w:jc w:val="both"/>
        <w:rPr>
          <w:rFonts w:ascii="Simplified Arabic" w:hAnsi="Simplified Arabic" w:cs="Simplified Arabic"/>
          <w:sz w:val="28"/>
          <w:szCs w:val="28"/>
          <w:rtl/>
        </w:rPr>
      </w:pPr>
      <w:r>
        <w:rPr>
          <w:rFonts w:ascii="Simplified Arabic" w:hAnsi="Simplified Arabic" w:cs="Simplified Arabic"/>
          <w:sz w:val="28"/>
          <w:szCs w:val="28"/>
          <w:rtl/>
        </w:rPr>
        <w:t xml:space="preserve">التكرارات والنسب المئوية: تم استخدامها للتعرف على خصائص أفراد الدراسة ومدى موافقتهم على فقرات </w:t>
      </w:r>
      <w:bookmarkStart w:id="18" w:name="_Int_bqN9Ak6y"/>
      <w:r>
        <w:rPr>
          <w:rFonts w:ascii="Simplified Arabic" w:hAnsi="Simplified Arabic" w:cs="Simplified Arabic"/>
          <w:sz w:val="28"/>
          <w:szCs w:val="28"/>
          <w:rtl/>
        </w:rPr>
        <w:t>الاستبيان</w:t>
      </w:r>
      <w:bookmarkEnd w:id="18"/>
      <w:r>
        <w:rPr>
          <w:rFonts w:ascii="Simplified Arabic" w:hAnsi="Simplified Arabic" w:cs="Simplified Arabic"/>
          <w:sz w:val="28"/>
          <w:szCs w:val="28"/>
        </w:rPr>
        <w:t>.</w:t>
      </w:r>
    </w:p>
    <w:p w:rsidR="00706C10" w:rsidRDefault="00706C10" w:rsidP="00706C10">
      <w:pPr>
        <w:pStyle w:val="ListParagraph"/>
        <w:numPr>
          <w:ilvl w:val="0"/>
          <w:numId w:val="14"/>
        </w:numPr>
        <w:tabs>
          <w:tab w:val="left" w:pos="1196"/>
        </w:tabs>
        <w:spacing w:line="360" w:lineRule="auto"/>
        <w:ind w:left="1466"/>
        <w:jc w:val="both"/>
        <w:rPr>
          <w:rFonts w:ascii="Simplified Arabic" w:hAnsi="Simplified Arabic" w:cs="Simplified Arabic"/>
          <w:sz w:val="28"/>
          <w:szCs w:val="28"/>
        </w:rPr>
      </w:pPr>
      <w:r>
        <w:rPr>
          <w:rFonts w:ascii="Simplified Arabic" w:hAnsi="Simplified Arabic" w:cs="Simplified Arabic"/>
          <w:sz w:val="28"/>
          <w:szCs w:val="28"/>
          <w:rtl/>
        </w:rPr>
        <w:t xml:space="preserve">اختبار معامل ألفا كرونباخ: تم استخدامه لتحديد ثبات أبعاد </w:t>
      </w:r>
      <w:bookmarkStart w:id="19" w:name="_Int_rfXSbksI"/>
      <w:r>
        <w:rPr>
          <w:rFonts w:ascii="Simplified Arabic" w:hAnsi="Simplified Arabic" w:cs="Simplified Arabic"/>
          <w:sz w:val="28"/>
          <w:szCs w:val="28"/>
          <w:rtl/>
        </w:rPr>
        <w:t>الاستبيان</w:t>
      </w:r>
      <w:bookmarkEnd w:id="19"/>
      <w:r>
        <w:rPr>
          <w:rFonts w:ascii="Simplified Arabic" w:hAnsi="Simplified Arabic" w:cs="Simplified Arabic"/>
          <w:sz w:val="28"/>
          <w:szCs w:val="28"/>
        </w:rPr>
        <w:t>.</w:t>
      </w:r>
    </w:p>
    <w:p w:rsidR="00706C10" w:rsidRDefault="00706C10" w:rsidP="00706C10">
      <w:pPr>
        <w:pStyle w:val="ListParagraph"/>
        <w:numPr>
          <w:ilvl w:val="0"/>
          <w:numId w:val="14"/>
        </w:numPr>
        <w:tabs>
          <w:tab w:val="left" w:pos="1196"/>
        </w:tabs>
        <w:spacing w:line="360" w:lineRule="auto"/>
        <w:ind w:left="1376"/>
        <w:jc w:val="both"/>
        <w:rPr>
          <w:rFonts w:ascii="Simplified Arabic" w:hAnsi="Simplified Arabic" w:cs="Simplified Arabic"/>
          <w:sz w:val="28"/>
          <w:szCs w:val="28"/>
        </w:rPr>
      </w:pPr>
      <w:r>
        <w:rPr>
          <w:rFonts w:ascii="Simplified Arabic" w:hAnsi="Simplified Arabic" w:cs="Simplified Arabic"/>
          <w:sz w:val="28"/>
          <w:szCs w:val="28"/>
          <w:rtl/>
        </w:rPr>
        <w:t>معامل ارتباط بيرسون: تم استخدامه لتحديد مدى اتساق كل فقرة مع البنود الكمية للاستبيان والأبعاد التي ينتمي إليها (الاتساق الداخلي لأداة الاستبانة)، وكذلك لقياس تأثير المتغيرات الشخصية على كل من التقنيات الناشئة وعملية صنع القرار في المؤسسات الاقتصادية</w:t>
      </w:r>
      <w:r>
        <w:rPr>
          <w:rFonts w:ascii="Simplified Arabic" w:hAnsi="Simplified Arabic" w:cs="Simplified Arabic"/>
          <w:sz w:val="28"/>
          <w:szCs w:val="28"/>
        </w:rPr>
        <w:t>.</w:t>
      </w:r>
    </w:p>
    <w:p w:rsidR="00706C10" w:rsidRDefault="00706C10" w:rsidP="00706C10">
      <w:pPr>
        <w:pStyle w:val="ListParagraph"/>
        <w:numPr>
          <w:ilvl w:val="0"/>
          <w:numId w:val="14"/>
        </w:numPr>
        <w:tabs>
          <w:tab w:val="left" w:pos="1196"/>
        </w:tabs>
        <w:spacing w:line="360" w:lineRule="auto"/>
        <w:ind w:left="1556"/>
        <w:jc w:val="both"/>
        <w:rPr>
          <w:rFonts w:ascii="Simplified Arabic" w:hAnsi="Simplified Arabic" w:cs="Simplified Arabic"/>
          <w:sz w:val="28"/>
          <w:szCs w:val="28"/>
        </w:rPr>
      </w:pPr>
      <w:r>
        <w:rPr>
          <w:rFonts w:ascii="Simplified Arabic" w:hAnsi="Simplified Arabic" w:cs="Simplified Arabic"/>
          <w:sz w:val="28"/>
          <w:szCs w:val="28"/>
          <w:rtl/>
        </w:rPr>
        <w:t>اختبار الانحدار البسيط: تم استخدامه لتحديد تأثير المتغير المستقل على المتغير التابع.</w:t>
      </w:r>
    </w:p>
    <w:p w:rsidR="00706C10" w:rsidRDefault="00706C10" w:rsidP="00706C10">
      <w:pPr>
        <w:pStyle w:val="ListParagraph"/>
        <w:numPr>
          <w:ilvl w:val="0"/>
          <w:numId w:val="14"/>
        </w:numPr>
        <w:tabs>
          <w:tab w:val="left" w:pos="1196"/>
        </w:tabs>
        <w:spacing w:line="360" w:lineRule="auto"/>
        <w:ind w:left="1556"/>
        <w:jc w:val="both"/>
        <w:rPr>
          <w:rFonts w:ascii="Simplified Arabic" w:hAnsi="Simplified Arabic" w:cs="Simplified Arabic"/>
          <w:sz w:val="28"/>
          <w:szCs w:val="28"/>
        </w:rPr>
      </w:pPr>
      <w:r>
        <w:rPr>
          <w:rFonts w:ascii="Simplified Arabic" w:hAnsi="Simplified Arabic" w:cs="Simplified Arabic"/>
          <w:sz w:val="28"/>
          <w:szCs w:val="28"/>
          <w:rtl/>
        </w:rPr>
        <w:t>مؤشر الأهمية النسبية: وذلك لتحديد أهمية السؤال من بين الأسئلة المطروحة.</w:t>
      </w:r>
    </w:p>
    <w:p w:rsidR="00706C10" w:rsidRDefault="00706C10" w:rsidP="00706C10">
      <w:pPr>
        <w:pStyle w:val="ListParagraph"/>
        <w:numPr>
          <w:ilvl w:val="0"/>
          <w:numId w:val="14"/>
        </w:numPr>
        <w:tabs>
          <w:tab w:val="left" w:pos="1196"/>
        </w:tabs>
        <w:spacing w:line="360" w:lineRule="auto"/>
        <w:ind w:left="1556"/>
        <w:jc w:val="both"/>
        <w:rPr>
          <w:rFonts w:ascii="Simplified Arabic" w:hAnsi="Simplified Arabic" w:cs="Simplified Arabic"/>
          <w:sz w:val="28"/>
          <w:szCs w:val="28"/>
        </w:rPr>
      </w:pPr>
      <w:r>
        <w:rPr>
          <w:rFonts w:ascii="Simplified Arabic" w:hAnsi="Simplified Arabic" w:cs="Simplified Arabic"/>
          <w:sz w:val="28"/>
          <w:szCs w:val="28"/>
          <w:rtl/>
        </w:rPr>
        <w:t>عينة الاختبار المقترنة: تم استخدامها لدراسة العلاقة بين المتغير المستقل والمتغير التابع.</w:t>
      </w:r>
    </w:p>
    <w:p w:rsidR="00706C10" w:rsidRDefault="00706C10" w:rsidP="00706C10">
      <w:pPr>
        <w:pStyle w:val="ListParagraph"/>
        <w:tabs>
          <w:tab w:val="left" w:pos="1196"/>
        </w:tabs>
        <w:spacing w:line="360" w:lineRule="auto"/>
        <w:ind w:left="1556"/>
        <w:jc w:val="both"/>
        <w:rPr>
          <w:rFonts w:ascii="Simplified Arabic" w:hAnsi="Simplified Arabic" w:cs="Simplified Arabic"/>
          <w:sz w:val="28"/>
          <w:szCs w:val="28"/>
        </w:rPr>
      </w:pPr>
    </w:p>
    <w:p w:rsidR="00706C10" w:rsidRDefault="00706C10" w:rsidP="00706C10">
      <w:pPr>
        <w:pStyle w:val="ListParagraph"/>
        <w:numPr>
          <w:ilvl w:val="1"/>
          <w:numId w:val="15"/>
        </w:numPr>
        <w:tabs>
          <w:tab w:val="left" w:pos="1196"/>
        </w:tabs>
        <w:spacing w:line="360" w:lineRule="auto"/>
        <w:jc w:val="both"/>
        <w:outlineLvl w:val="0"/>
        <w:rPr>
          <w:rFonts w:ascii="Simplified Arabic" w:hAnsi="Simplified Arabic" w:cs="Simplified Arabic"/>
          <w:b/>
          <w:bCs/>
          <w:sz w:val="36"/>
          <w:szCs w:val="36"/>
        </w:rPr>
      </w:pPr>
      <w:bookmarkStart w:id="20" w:name="_Toc181308878"/>
      <w:r>
        <w:rPr>
          <w:rFonts w:ascii="Simplified Arabic" w:hAnsi="Simplified Arabic" w:cs="Simplified Arabic"/>
          <w:b/>
          <w:bCs/>
          <w:sz w:val="36"/>
          <w:szCs w:val="36"/>
          <w:rtl/>
        </w:rPr>
        <w:t>حدود الدراسة:</w:t>
      </w:r>
      <w:bookmarkEnd w:id="20"/>
    </w:p>
    <w:p w:rsidR="00706C10" w:rsidRDefault="00706C10" w:rsidP="00706C10">
      <w:pPr>
        <w:pStyle w:val="ListParagraph"/>
        <w:numPr>
          <w:ilvl w:val="0"/>
          <w:numId w:val="16"/>
        </w:numPr>
        <w:tabs>
          <w:tab w:val="left" w:pos="119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الحدود الموضوعية</w:t>
      </w:r>
      <w:r>
        <w:rPr>
          <w:rFonts w:ascii="Simplified Arabic" w:hAnsi="Simplified Arabic" w:cs="Simplified Arabic"/>
          <w:sz w:val="28"/>
          <w:szCs w:val="28"/>
          <w:rtl/>
        </w:rPr>
        <w:t>: ترتكز على التعرف على للذكاء الاصطناعي بأبعاده النظم الخبيرة التعلم الآلي التلقائي، سهولة الاستعمال) في جودة الخدمات بأبعادها (الكفاءة الفعالية) من خلال الوسيط رفع جودة الخدمات</w:t>
      </w:r>
      <w:r>
        <w:rPr>
          <w:rFonts w:ascii="Simplified Arabic" w:hAnsi="Simplified Arabic" w:cs="Simplified Arabic"/>
          <w:sz w:val="28"/>
          <w:szCs w:val="28"/>
        </w:rPr>
        <w:t>.</w:t>
      </w:r>
    </w:p>
    <w:p w:rsidR="00706C10" w:rsidRDefault="00706C10" w:rsidP="00706C10">
      <w:pPr>
        <w:pStyle w:val="ListParagraph"/>
        <w:numPr>
          <w:ilvl w:val="0"/>
          <w:numId w:val="16"/>
        </w:numPr>
        <w:tabs>
          <w:tab w:val="left" w:pos="119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الحدود المكانية</w:t>
      </w:r>
      <w:r>
        <w:rPr>
          <w:rFonts w:ascii="Simplified Arabic" w:hAnsi="Simplified Arabic" w:cs="Simplified Arabic"/>
          <w:sz w:val="28"/>
          <w:szCs w:val="28"/>
          <w:rtl/>
        </w:rPr>
        <w:t xml:space="preserve">: اقتصرت الدراسة على </w:t>
      </w:r>
      <w:bookmarkStart w:id="21" w:name="_Hlk158854159"/>
      <w:r>
        <w:rPr>
          <w:rFonts w:ascii="Simplified Arabic" w:hAnsi="Simplified Arabic" w:cs="Simplified Arabic"/>
          <w:sz w:val="28"/>
          <w:szCs w:val="28"/>
          <w:rtl/>
        </w:rPr>
        <w:t>البلديات وفروع الإسكان العاملة بالمملكة العربية السعودية</w:t>
      </w:r>
      <w:bookmarkEnd w:id="21"/>
      <w:r>
        <w:rPr>
          <w:rFonts w:ascii="Simplified Arabic" w:hAnsi="Simplified Arabic" w:cs="Simplified Arabic"/>
          <w:sz w:val="28"/>
          <w:szCs w:val="28"/>
        </w:rPr>
        <w:t>.</w:t>
      </w:r>
    </w:p>
    <w:p w:rsidR="00706C10" w:rsidRDefault="00706C10" w:rsidP="00706C10">
      <w:pPr>
        <w:pStyle w:val="ListParagraph"/>
        <w:numPr>
          <w:ilvl w:val="0"/>
          <w:numId w:val="16"/>
        </w:numPr>
        <w:tabs>
          <w:tab w:val="left" w:pos="119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الحدود الزمانية:</w:t>
      </w:r>
      <w:r>
        <w:rPr>
          <w:rFonts w:ascii="Simplified Arabic" w:hAnsi="Simplified Arabic" w:cs="Simplified Arabic"/>
          <w:sz w:val="28"/>
          <w:szCs w:val="28"/>
          <w:rtl/>
        </w:rPr>
        <w:t xml:space="preserve"> اقتصرت الدراسة على عام 2024.</w:t>
      </w:r>
    </w:p>
    <w:p w:rsidR="00706C10" w:rsidRDefault="00706C10" w:rsidP="00706C10">
      <w:pPr>
        <w:pStyle w:val="ListParagraph"/>
        <w:numPr>
          <w:ilvl w:val="0"/>
          <w:numId w:val="16"/>
        </w:numPr>
        <w:tabs>
          <w:tab w:val="left" w:pos="119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حدود بشرية</w:t>
      </w:r>
      <w:r>
        <w:rPr>
          <w:rFonts w:ascii="Simplified Arabic" w:hAnsi="Simplified Arabic" w:cs="Simplified Arabic"/>
          <w:sz w:val="28"/>
          <w:szCs w:val="28"/>
          <w:rtl/>
        </w:rPr>
        <w:t>: تركز الدراسة على جميع العاملين في قطاع البلدية والإسكان العاملة بالمملكة العربية السعودية</w:t>
      </w:r>
      <w:r>
        <w:rPr>
          <w:rFonts w:ascii="Simplified Arabic" w:hAnsi="Simplified Arabic" w:cs="Simplified Arabic"/>
          <w:sz w:val="28"/>
          <w:szCs w:val="28"/>
        </w:rPr>
        <w:t>.</w:t>
      </w:r>
    </w:p>
    <w:p w:rsidR="00706C10" w:rsidRDefault="00706C10" w:rsidP="00706C10">
      <w:pPr>
        <w:pStyle w:val="ListParagraph"/>
        <w:numPr>
          <w:ilvl w:val="1"/>
          <w:numId w:val="17"/>
        </w:numPr>
        <w:tabs>
          <w:tab w:val="left" w:pos="1286"/>
        </w:tabs>
        <w:spacing w:line="360" w:lineRule="auto"/>
        <w:jc w:val="both"/>
        <w:outlineLvl w:val="0"/>
        <w:rPr>
          <w:rFonts w:ascii="Simplified Arabic" w:hAnsi="Simplified Arabic" w:cs="Simplified Arabic"/>
          <w:sz w:val="36"/>
          <w:szCs w:val="36"/>
          <w:rtl/>
        </w:rPr>
      </w:pPr>
      <w:bookmarkStart w:id="22" w:name="_Toc181308879"/>
      <w:r>
        <w:rPr>
          <w:rFonts w:ascii="Simplified Arabic" w:hAnsi="Simplified Arabic" w:cs="Simplified Arabic"/>
          <w:b/>
          <w:bCs/>
          <w:sz w:val="36"/>
          <w:szCs w:val="36"/>
          <w:rtl/>
        </w:rPr>
        <w:t>الدراسات السابقة:</w:t>
      </w:r>
      <w:bookmarkEnd w:id="22"/>
    </w:p>
    <w:p w:rsidR="00706C10" w:rsidRDefault="00706C10" w:rsidP="00706C10">
      <w:pPr>
        <w:pStyle w:val="ListParagraph"/>
        <w:numPr>
          <w:ilvl w:val="0"/>
          <w:numId w:val="18"/>
        </w:numPr>
        <w:tabs>
          <w:tab w:val="left" w:pos="1286"/>
        </w:tabs>
        <w:spacing w:line="360" w:lineRule="auto"/>
        <w:jc w:val="both"/>
        <w:rPr>
          <w:rFonts w:ascii="Simplified Arabic" w:hAnsi="Simplified Arabic" w:cs="Simplified Arabic"/>
          <w:b/>
          <w:bCs/>
          <w:sz w:val="32"/>
          <w:szCs w:val="32"/>
        </w:rPr>
      </w:pPr>
      <w:r>
        <w:rPr>
          <w:rFonts w:ascii="Simplified Arabic" w:hAnsi="Simplified Arabic" w:cs="Simplified Arabic"/>
          <w:b/>
          <w:bCs/>
          <w:sz w:val="32"/>
          <w:szCs w:val="32"/>
          <w:rtl/>
        </w:rPr>
        <w:t>الدراسات العربية:</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دراسة حماد وآخرون</w:t>
      </w:r>
      <w:r>
        <w:rPr>
          <w:rFonts w:ascii="Simplified Arabic" w:hAnsi="Simplified Arabic" w:cs="Simplified Arabic"/>
          <w:b/>
          <w:bCs/>
          <w:sz w:val="28"/>
          <w:szCs w:val="28"/>
        </w:rPr>
        <w:t xml:space="preserve"> (2022)</w:t>
      </w:r>
      <w:r>
        <w:rPr>
          <w:rFonts w:ascii="Simplified Arabic" w:hAnsi="Simplified Arabic" w:cs="Simplified Arabic"/>
          <w:sz w:val="28"/>
          <w:szCs w:val="28"/>
        </w:rPr>
        <w:t xml:space="preserve"> </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تناولت الدراسة أثر تطبيق التقنيات الناشئة مثل الذكاء الاصطناعي وإنترنت الأشياء في تحسين أداء الشركات الصغيرة والمتوسطة في منطقة الخليج. هدف الباحثون إلى تقييم مدى قدرة هذه الشركات على تبني تلك التقنيات لتعزيز الكفاءة الإنتاجية والتنافسية في الأسواق. استخدم المنهج الوصفي التحليلي مع الاستبانة كأداة لجمع البيانات. شملت العينة 150 شركة في قطاع الأعمال الصغيرة والمتوسطة.</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أظهرت النتائج أن هناك تأثيراً إيجابياً للتقنيات الناشئة على تحسين أداء الأعمال بنسبة 65%، وأوصت الدراسة بزيادة التدريب وتعزيز الوعي بأهمية التكنولوجيا في تحقيق النمو الاقتصادي</w:t>
      </w:r>
      <w:r>
        <w:rPr>
          <w:rFonts w:ascii="Simplified Arabic" w:hAnsi="Simplified Arabic" w:cs="Simplified Arabic"/>
          <w:sz w:val="28"/>
          <w:szCs w:val="28"/>
        </w:rPr>
        <w:t>.</w:t>
      </w:r>
    </w:p>
    <w:p w:rsidR="00706C10" w:rsidRDefault="00706C10" w:rsidP="00706C10">
      <w:pPr>
        <w:tabs>
          <w:tab w:val="left" w:pos="128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دراسة الزهراني</w:t>
      </w:r>
      <w:r>
        <w:rPr>
          <w:rFonts w:ascii="Simplified Arabic" w:hAnsi="Simplified Arabic" w:cs="Simplified Arabic"/>
          <w:b/>
          <w:bCs/>
          <w:sz w:val="28"/>
          <w:szCs w:val="28"/>
        </w:rPr>
        <w:t xml:space="preserve"> (2021)</w:t>
      </w:r>
      <w:r>
        <w:rPr>
          <w:rFonts w:ascii="Simplified Arabic" w:hAnsi="Simplified Arabic" w:cs="Simplified Arabic"/>
          <w:sz w:val="28"/>
          <w:szCs w:val="28"/>
        </w:rPr>
        <w:t xml:space="preserve"> </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الدراسة إلى استكشاف دور التقنيات الناشئة مثل الحوسبة السحابية والذكاء الاصطناعي في تعزيز عملية التحول الرقمي في الجامعات السعودية. استخدم الباحث الاستبانة كأداة لجمع البيانات وتم تطبيقها على عينة </w:t>
      </w:r>
      <w:r>
        <w:rPr>
          <w:rFonts w:ascii="Simplified Arabic" w:hAnsi="Simplified Arabic" w:cs="Simplified Arabic"/>
          <w:sz w:val="28"/>
          <w:szCs w:val="28"/>
          <w:rtl/>
        </w:rPr>
        <w:lastRenderedPageBreak/>
        <w:t>من 300 موظف أكاديمي وإداري أظهرت الدراسة أن التقنيات الناشئة ساهمت بشكل كبير في تحسين أداء الجامعات بنسبة 72% من خلال تسهيل الوصول إلى المعلومات وتعزيز جودة الخدمات التعليمية</w:t>
      </w:r>
      <w:r>
        <w:rPr>
          <w:rFonts w:ascii="Simplified Arabic" w:hAnsi="Simplified Arabic" w:cs="Simplified Arabic"/>
          <w:sz w:val="28"/>
          <w:szCs w:val="28"/>
        </w:rPr>
        <w:t>.</w:t>
      </w:r>
    </w:p>
    <w:p w:rsidR="00706C10" w:rsidRDefault="00706C10" w:rsidP="00706C10">
      <w:pPr>
        <w:tabs>
          <w:tab w:val="left" w:pos="1286"/>
        </w:tabs>
        <w:spacing w:line="360" w:lineRule="auto"/>
        <w:jc w:val="both"/>
        <w:rPr>
          <w:rFonts w:ascii="Simplified Arabic" w:hAnsi="Simplified Arabic" w:cs="Simplified Arabic"/>
          <w:sz w:val="28"/>
          <w:szCs w:val="28"/>
        </w:rPr>
      </w:pPr>
    </w:p>
    <w:p w:rsidR="00706C10" w:rsidRDefault="00706C10" w:rsidP="00706C10">
      <w:pPr>
        <w:tabs>
          <w:tab w:val="left" w:pos="1286"/>
        </w:tabs>
        <w:spacing w:line="360" w:lineRule="auto"/>
        <w:jc w:val="both"/>
        <w:rPr>
          <w:rFonts w:ascii="Simplified Arabic" w:hAnsi="Simplified Arabic" w:cs="Simplified Arabic"/>
          <w:sz w:val="28"/>
          <w:szCs w:val="28"/>
        </w:rPr>
      </w:pPr>
    </w:p>
    <w:p w:rsidR="00706C10" w:rsidRDefault="00706C10" w:rsidP="00706C10">
      <w:pPr>
        <w:tabs>
          <w:tab w:val="left" w:pos="128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دراسة القحطاني</w:t>
      </w:r>
      <w:r>
        <w:rPr>
          <w:rFonts w:ascii="Simplified Arabic" w:hAnsi="Simplified Arabic" w:cs="Simplified Arabic"/>
          <w:b/>
          <w:bCs/>
          <w:sz w:val="28"/>
          <w:szCs w:val="28"/>
        </w:rPr>
        <w:t xml:space="preserve"> (2020)</w:t>
      </w:r>
      <w:r>
        <w:rPr>
          <w:rFonts w:ascii="Simplified Arabic" w:hAnsi="Simplified Arabic" w:cs="Simplified Arabic"/>
          <w:sz w:val="28"/>
          <w:szCs w:val="28"/>
        </w:rPr>
        <w:t xml:space="preserve"> </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هدفت الدراسة إلى تحليل أثر تطبيق التقنيات الناشئة مثل الروبوتات الطبية والذكاء الاصطناعي على تحسين جودة الخدمات الصحية المقدمة في المستشفيات العامة بالمملكة العربية السعودية. تم استخدام المنهج الوصفي التحليلي والاستبانة كأداة لجمع البيانات من عينة بلغت 250 موظفاً في قطاع الصح بينت النتائج وجود تأثير إيجابي بنسبة 68% للتقنيات الناشئة على جودة الخدمات الصحية، وأوصت الدراسة بضرورة تبني تقنيات أكثر تقدماً لمواكبة التطورات العالمية في الرعاية الصحية</w:t>
      </w:r>
      <w:r>
        <w:rPr>
          <w:rFonts w:ascii="Simplified Arabic" w:hAnsi="Simplified Arabic" w:cs="Simplified Arabic"/>
          <w:sz w:val="28"/>
          <w:szCs w:val="28"/>
        </w:rPr>
        <w:t>.</w:t>
      </w:r>
    </w:p>
    <w:p w:rsidR="00706C10" w:rsidRDefault="00706C10" w:rsidP="00706C10">
      <w:pPr>
        <w:tabs>
          <w:tab w:val="left" w:pos="1286"/>
        </w:tabs>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عبد الله والشراري (2022)</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تناولت الدراسة دور التقنيات الناشئة مثل أنظمة البناء الذكية والطباعة ثلاثية الأبعاد في تحسين كفاءة إدارة المشاريع الهندسية في المملكة العربية السعودية. استخدم الباحثان الاستبانة لجمع البيانات من عينة بلغت 180 مهندساً ومشرفاً في قطاع البناء أشارت النتائج إلى أن التقنيات الناشئة ساهمت في تقليل التكاليف وزيادة الكفاءة بنسبة 60%، وأوصت الدراسة بتبني هذه التقنيات بشكل أكبر في المشاريع الحكومية</w:t>
      </w:r>
      <w:r>
        <w:rPr>
          <w:rFonts w:ascii="Simplified Arabic" w:hAnsi="Simplified Arabic" w:cs="Simplified Arabic"/>
          <w:sz w:val="28"/>
          <w:szCs w:val="28"/>
        </w:rPr>
        <w:t>.</w:t>
      </w:r>
    </w:p>
    <w:p w:rsidR="00706C10" w:rsidRDefault="00706C10" w:rsidP="00706C10">
      <w:pPr>
        <w:tabs>
          <w:tab w:val="left" w:pos="1286"/>
        </w:tabs>
        <w:spacing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دراسة المطيري (2018)</w:t>
      </w:r>
    </w:p>
    <w:p w:rsidR="00706C10" w:rsidRDefault="00706C10" w:rsidP="00706C10">
      <w:pPr>
        <w:tabs>
          <w:tab w:val="left" w:pos="1286"/>
        </w:tabs>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بعنوان "أثر التقنيات الناشئة على تحسين جودة التعليم في المدارس الخاصة". هدفت الدراسة إلى تحليل تأثير استخدام التقنيات الناشئة مثل الفصول الذكية والتعليم عبر الإنترنت في تحسين جودة التعليم في المدارس الخاصة بالمملكة العربية السعودية. استخدم الباحث المنهج الوصفي مع توزيع استبانات على عينة من 200 معلم ومعلمة.</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توصلت الدراسة إلى أن التقنيات الناشئة ساهمت في تحسين جودة التعليم بنسبة 70%، وأوصت الدراسة بضرورة تطوير البنية التحتية التقنية في المدارس لدعم الابتكار التربوي</w:t>
      </w:r>
      <w:r>
        <w:rPr>
          <w:rFonts w:ascii="Simplified Arabic" w:hAnsi="Simplified Arabic" w:cs="Simplified Arabic"/>
          <w:sz w:val="28"/>
          <w:szCs w:val="28"/>
        </w:rPr>
        <w:t>.</w:t>
      </w:r>
    </w:p>
    <w:p w:rsidR="00706C10" w:rsidRDefault="00706C10" w:rsidP="00706C10">
      <w:pPr>
        <w:tabs>
          <w:tab w:val="left" w:pos="1286"/>
        </w:tabs>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عبد الله أحمد (2018)</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هدفت هذه الدراسة إلى استكشاف أثر جودة الخدمات المصرفية على رضا العملاء في البنوك الإسلامية. استخدم الباحث نموذج</w:t>
      </w:r>
      <w:r>
        <w:rPr>
          <w:rFonts w:ascii="Simplified Arabic" w:hAnsi="Simplified Arabic" w:cs="Simplified Arabic"/>
          <w:sz w:val="28"/>
          <w:szCs w:val="28"/>
        </w:rPr>
        <w:t xml:space="preserve"> SERVQUAL </w:t>
      </w:r>
      <w:r>
        <w:rPr>
          <w:rFonts w:ascii="Simplified Arabic" w:hAnsi="Simplified Arabic" w:cs="Simplified Arabic"/>
          <w:sz w:val="28"/>
          <w:szCs w:val="28"/>
          <w:rtl/>
        </w:rPr>
        <w:t>لقياس أبعاد الجودة مثل الاستجابة والمظهر المادي والتعاطف. توصلت الدراسة إلى أن هناك علاقة إيجابية بين جودة الخدمات ورضا العملاء، وأوصت بتحسين الجوانب التقنية والمادية في الفروع</w:t>
      </w:r>
      <w:r>
        <w:rPr>
          <w:rFonts w:ascii="Simplified Arabic" w:hAnsi="Simplified Arabic" w:cs="Simplified Arabic"/>
          <w:sz w:val="28"/>
          <w:szCs w:val="28"/>
        </w:rPr>
        <w:t>.</w:t>
      </w:r>
    </w:p>
    <w:p w:rsidR="00706C10" w:rsidRDefault="00706C10" w:rsidP="00706C10">
      <w:pPr>
        <w:tabs>
          <w:tab w:val="left" w:pos="1286"/>
        </w:tabs>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دراسة ناصر بن حميد، (2019)</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Pr>
        <w:t>"</w:t>
      </w:r>
      <w:r>
        <w:rPr>
          <w:rFonts w:ascii="Simplified Arabic" w:hAnsi="Simplified Arabic" w:cs="Simplified Arabic"/>
          <w:sz w:val="28"/>
          <w:szCs w:val="28"/>
          <w:rtl/>
        </w:rPr>
        <w:t>جودة الخدمات الصحية وأثرها على رضا المرضى: دراسة ميدانية في المستشفيات الحكومية في الجزائر</w:t>
      </w:r>
      <w:r>
        <w:rPr>
          <w:rFonts w:ascii="Simplified Arabic" w:hAnsi="Simplified Arabic" w:cs="Simplified Arabic"/>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 هذه الدراسة مدى تأثير جودة الخدمات الصحية على رضا المرضى في المستشفيات الحكومية. واستخدمت استطلاعات للرأي استندت إلى نموذج</w:t>
      </w:r>
      <w:r>
        <w:rPr>
          <w:rFonts w:ascii="Simplified Arabic" w:hAnsi="Simplified Arabic" w:cs="Simplified Arabic"/>
          <w:sz w:val="28"/>
          <w:szCs w:val="28"/>
        </w:rPr>
        <w:t xml:space="preserve"> SERVQUAL. </w:t>
      </w:r>
      <w:r>
        <w:rPr>
          <w:rFonts w:ascii="Simplified Arabic" w:hAnsi="Simplified Arabic" w:cs="Simplified Arabic"/>
          <w:sz w:val="28"/>
          <w:szCs w:val="28"/>
          <w:rtl/>
        </w:rPr>
        <w:t>أظهرت النتائج أن الموثوقية والقدرة على الاستجابة كانتا العاملين الأكثر تأثيرًا على رضا المرضى</w:t>
      </w:r>
      <w:r>
        <w:rPr>
          <w:rFonts w:ascii="Simplified Arabic" w:hAnsi="Simplified Arabic" w:cs="Simplified Arabic"/>
          <w:sz w:val="28"/>
          <w:szCs w:val="28"/>
        </w:rPr>
        <w:t>.</w:t>
      </w:r>
    </w:p>
    <w:p w:rsidR="00706C10" w:rsidRDefault="00706C10" w:rsidP="00706C10">
      <w:pPr>
        <w:tabs>
          <w:tab w:val="left" w:pos="1286"/>
        </w:tabs>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محمد بن عبد الله، (2020)</w:t>
      </w:r>
    </w:p>
    <w:p w:rsidR="00706C10" w:rsidRDefault="00706C10" w:rsidP="00706C10">
      <w:pPr>
        <w:tabs>
          <w:tab w:val="left" w:pos="128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Pr>
        <w:lastRenderedPageBreak/>
        <w:t>"</w:t>
      </w:r>
      <w:r>
        <w:rPr>
          <w:rFonts w:ascii="Simplified Arabic" w:hAnsi="Simplified Arabic" w:cs="Simplified Arabic"/>
          <w:sz w:val="28"/>
          <w:szCs w:val="28"/>
          <w:rtl/>
        </w:rPr>
        <w:t>أثر جودة الخدمات السياحية على رضا السياح في الفنادق الفاخرة بالمملكة العربية السعودية</w:t>
      </w:r>
      <w:r>
        <w:rPr>
          <w:rFonts w:ascii="Simplified Arabic" w:hAnsi="Simplified Arabic" w:cs="Simplified Arabic"/>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هدفت هذه الدراسة إلى دراسة العلاقة بين جودة الخدمات السياحية ورضا السياح في الفنادق الفاخرة. أظهرت النتائج أن العاملين في الفنادق والمرافق المقدمة كان لها الأثر الأكبر على رضا العملاء، مع التأكيد على أن سرعة الاستجابة لحاجات النزلاء كانت عنصرًا حاسمًا</w:t>
      </w:r>
      <w:r>
        <w:rPr>
          <w:rFonts w:ascii="Simplified Arabic" w:hAnsi="Simplified Arabic" w:cs="Simplified Arabic"/>
          <w:sz w:val="28"/>
          <w:szCs w:val="28"/>
        </w:rPr>
        <w:t>.</w:t>
      </w:r>
    </w:p>
    <w:p w:rsidR="00706C10" w:rsidRDefault="00706C10" w:rsidP="00706C10">
      <w:pPr>
        <w:tabs>
          <w:tab w:val="left" w:pos="1286"/>
        </w:tabs>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نور الهدى علي، (2021)</w:t>
      </w:r>
    </w:p>
    <w:p w:rsidR="00706C10" w:rsidRDefault="00706C10" w:rsidP="00706C10">
      <w:pPr>
        <w:tabs>
          <w:tab w:val="left" w:pos="1286"/>
          <w:tab w:val="left" w:pos="1376"/>
        </w:tabs>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w:t>
      </w:r>
      <w:r>
        <w:rPr>
          <w:rFonts w:ascii="Simplified Arabic" w:hAnsi="Simplified Arabic" w:cs="Simplified Arabic"/>
          <w:sz w:val="28"/>
          <w:szCs w:val="28"/>
          <w:rtl/>
        </w:rPr>
        <w:t>أثر جودة الخدمات التعليمية على رضا الطلاب: دراسة حالة الجامعات الخاصة في مصر</w:t>
      </w:r>
      <w:r>
        <w:rPr>
          <w:rFonts w:ascii="Simplified Arabic" w:hAnsi="Simplified Arabic" w:cs="Simplified Arabic"/>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 هذه الدراسة على تحليل أثر جودة الخدمات التعليمية المقدمة في الجامعات الخاصة على رضا الطلاب. وأظهرت النتائج أن جودة التعليم الأكاديمي والمرافق التعليمية تلعب دورًا كبيرًا في تحسين تجربة الطلاب وزيادة رضاهم</w:t>
      </w:r>
      <w:r>
        <w:rPr>
          <w:rFonts w:ascii="Simplified Arabic" w:hAnsi="Simplified Arabic" w:cs="Simplified Arabic"/>
          <w:b/>
          <w:bCs/>
          <w:sz w:val="28"/>
          <w:szCs w:val="28"/>
        </w:rPr>
        <w:t>.</w:t>
      </w:r>
    </w:p>
    <w:p w:rsidR="00706C10" w:rsidRDefault="00706C10" w:rsidP="00706C10">
      <w:pPr>
        <w:tabs>
          <w:tab w:val="left" w:pos="1286"/>
          <w:tab w:val="left" w:pos="1376"/>
        </w:tabs>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زيد الطراونة، (2022)</w:t>
      </w:r>
      <w:r>
        <w:rPr>
          <w:rFonts w:ascii="Simplified Arabic" w:hAnsi="Simplified Arabic" w:cs="Simplified Arabic"/>
          <w:b/>
          <w:bCs/>
          <w:sz w:val="28"/>
          <w:szCs w:val="28"/>
        </w:rPr>
        <w:t xml:space="preserve">  </w:t>
      </w:r>
    </w:p>
    <w:p w:rsidR="00706C10" w:rsidRDefault="00706C10" w:rsidP="00706C10">
      <w:pPr>
        <w:tabs>
          <w:tab w:val="left" w:pos="1286"/>
          <w:tab w:val="left" w:pos="1376"/>
        </w:tabs>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أثر جودة الخدمات الحكومية على رضا المواطنين في البلديات الأردنية" تناولت هذه الدراسة مدى تأثير جودة الخدمات المقدمة في البلديات على رضا المواطنين. أظهرت النتائج أن العوامل المتعلقة بالتواصل والشفافية كانت الأكثر تأثيرًا على رضا المواطنين، مع توصيات بتحسين أنظمة الاتصال وتقديم الخدمات بشكل أسرع وأكثر كفاءة</w:t>
      </w:r>
      <w:r>
        <w:rPr>
          <w:rFonts w:ascii="Simplified Arabic" w:hAnsi="Simplified Arabic" w:cs="Simplified Arabic"/>
          <w:sz w:val="28"/>
          <w:szCs w:val="28"/>
        </w:rPr>
        <w:t>.</w:t>
      </w:r>
    </w:p>
    <w:p w:rsidR="00706C10" w:rsidRDefault="00706C10" w:rsidP="00706C10">
      <w:pPr>
        <w:tabs>
          <w:tab w:val="left" w:pos="1286"/>
          <w:tab w:val="left" w:pos="1376"/>
        </w:tabs>
        <w:spacing w:line="360" w:lineRule="auto"/>
        <w:jc w:val="both"/>
        <w:rPr>
          <w:rFonts w:ascii="Simplified Arabic" w:hAnsi="Simplified Arabic" w:cs="Simplified Arabic"/>
          <w:sz w:val="28"/>
          <w:szCs w:val="28"/>
          <w:rtl/>
        </w:rPr>
      </w:pPr>
    </w:p>
    <w:p w:rsidR="00706C10" w:rsidRDefault="00706C10" w:rsidP="00706C10">
      <w:pPr>
        <w:pStyle w:val="ListParagraph"/>
        <w:numPr>
          <w:ilvl w:val="0"/>
          <w:numId w:val="18"/>
        </w:numPr>
        <w:tabs>
          <w:tab w:val="left" w:pos="1286"/>
          <w:tab w:val="left" w:pos="1376"/>
        </w:tabs>
        <w:spacing w:line="360" w:lineRule="auto"/>
        <w:jc w:val="both"/>
        <w:rPr>
          <w:rFonts w:ascii="Simplified Arabic" w:hAnsi="Simplified Arabic" w:cs="Simplified Arabic"/>
          <w:b/>
          <w:bCs/>
          <w:sz w:val="32"/>
          <w:szCs w:val="32"/>
        </w:rPr>
      </w:pPr>
      <w:r>
        <w:rPr>
          <w:rFonts w:ascii="Simplified Arabic" w:hAnsi="Simplified Arabic" w:cs="Simplified Arabic"/>
          <w:b/>
          <w:bCs/>
          <w:sz w:val="32"/>
          <w:szCs w:val="32"/>
          <w:rtl/>
        </w:rPr>
        <w:t>الدراسات الأجنبية:</w:t>
      </w:r>
    </w:p>
    <w:p w:rsidR="00706C10" w:rsidRDefault="00706C10" w:rsidP="00706C10">
      <w:pPr>
        <w:bidi w:val="0"/>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Md Whaiduzzaman et al. (2022):</w:t>
      </w:r>
    </w:p>
    <w:p w:rsidR="00706C10" w:rsidRDefault="00706C10" w:rsidP="00706C10">
      <w:pPr>
        <w:spacing w:line="360" w:lineRule="auto"/>
        <w:jc w:val="both"/>
        <w:rPr>
          <w:rFonts w:ascii="Simplified Arabic" w:hAnsi="Simplified Arabic" w:cs="Simplified Arabic" w:hint="cs"/>
          <w:sz w:val="28"/>
          <w:szCs w:val="28"/>
          <w:rtl/>
        </w:rPr>
      </w:pPr>
      <w:r>
        <w:rPr>
          <w:rFonts w:ascii="Simplified Arabic" w:hAnsi="Simplified Arabic" w:cs="Simplified Arabic"/>
          <w:sz w:val="28"/>
          <w:szCs w:val="28"/>
        </w:rPr>
        <w:lastRenderedPageBreak/>
        <w:t>.</w:t>
      </w:r>
      <w:r>
        <w:rPr>
          <w:rFonts w:ascii="Simplified Arabic" w:hAnsi="Simplified Arabic" w:cs="Simplified Arabic"/>
          <w:sz w:val="28"/>
          <w:szCs w:val="28"/>
          <w:rtl/>
        </w:rPr>
        <w:t xml:space="preserve"> تستكشف هذه الدراسة دور إنترنت الأشياء والتقنيات الناشئة في تطوير المدن الذكية. وتسلط الضوء على كيفية دمج إنترنت الأشياء والتقنيات الأخرى مثل التعلم الآلي والحوسبة السحابية في التخطيط الحضري لتحسين كفاءة الخدمات العامة، بما في ذلك النقل وإدارة المياه والسلامة العامة. وتبحث الدراسة في كيفية تمكين هذه التقنيات من اتخاذ قرارات أفضل في إدارة المدينة وتوفير خدمات محسنة للمواطنين. كما تؤكد الدراسة على أهمية تدابير الخصوصية والأمان في تطوير المدن الذكية.</w:t>
      </w:r>
    </w:p>
    <w:p w:rsidR="00706C10" w:rsidRDefault="00706C10" w:rsidP="00706C10">
      <w:pPr>
        <w:spacing w:line="360" w:lineRule="auto"/>
        <w:jc w:val="both"/>
        <w:rPr>
          <w:rFonts w:ascii="Simplified Arabic" w:hAnsi="Simplified Arabic" w:cs="Simplified Arabic"/>
          <w:sz w:val="28"/>
          <w:szCs w:val="28"/>
        </w:rPr>
      </w:pPr>
    </w:p>
    <w:p w:rsidR="00706C10" w:rsidRDefault="00706C10" w:rsidP="00706C10">
      <w:pPr>
        <w:spacing w:line="360" w:lineRule="auto"/>
        <w:jc w:val="both"/>
        <w:rPr>
          <w:rFonts w:ascii="Simplified Arabic" w:hAnsi="Simplified Arabic" w:cs="Simplified Arabic"/>
          <w:sz w:val="28"/>
          <w:szCs w:val="28"/>
        </w:rPr>
      </w:pPr>
    </w:p>
    <w:p w:rsidR="00706C10" w:rsidRDefault="00706C10" w:rsidP="00706C10">
      <w:pPr>
        <w:bidi w:val="0"/>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Pr>
        <w:t>by M. M. Young (2021):</w:t>
      </w:r>
    </w:p>
    <w:p w:rsidR="00706C10" w:rsidRDefault="00706C10" w:rsidP="00706C10">
      <w:pPr>
        <w:spacing w:line="360" w:lineRule="auto"/>
        <w:jc w:val="both"/>
        <w:rPr>
          <w:rFonts w:ascii="Simplified Arabic" w:hAnsi="Simplified Arabic" w:cs="Simplified Arabic" w:hint="cs"/>
          <w:sz w:val="28"/>
          <w:szCs w:val="28"/>
          <w:rtl/>
        </w:rPr>
      </w:pPr>
      <w:r>
        <w:rPr>
          <w:rFonts w:ascii="Simplified Arabic" w:hAnsi="Simplified Arabic" w:cs="Simplified Arabic"/>
          <w:sz w:val="28"/>
          <w:szCs w:val="28"/>
          <w:rtl/>
        </w:rPr>
        <w:t>يركز هذا البحث على دمج الابتكارات التكنولوجية مثل وسائل التواصل الاجتماعي وتطبيقات الهواتف الذكية في تقديم الخدمات العامة. ويبحث في كيفية استخدام هذه التقنيات لتحسين الاستجابة والكفاءة في الخدمات العامة، وخاصة من خلال أنظمة 311 في البلديات. وتوصلت الدراسة إلى أن الابتكارات التكنولوجية تعزز التواصل بين المواطنين والسلطات الحكومية المحلية، مما يؤدي إلى تقديم الخدمات بشكل أسرع وتحسين مشاركة الجمهور.</w:t>
      </w:r>
    </w:p>
    <w:p w:rsidR="00706C10" w:rsidRDefault="00706C10" w:rsidP="00706C10">
      <w:pPr>
        <w:bidi w:val="0"/>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Jannadi, M. O</w:t>
      </w:r>
      <w:r>
        <w:rPr>
          <w:rFonts w:ascii="Simplified Arabic" w:hAnsi="Simplified Arabic" w:cs="Simplified Arabic" w:hint="cs"/>
          <w:b/>
          <w:bCs/>
          <w:sz w:val="28"/>
          <w:szCs w:val="28"/>
          <w:rtl/>
        </w:rPr>
        <w:t>.</w:t>
      </w:r>
      <w:r>
        <w:rPr>
          <w:rFonts w:ascii="Simplified Arabic" w:hAnsi="Simplified Arabic" w:cs="Simplified Arabic"/>
          <w:b/>
          <w:bCs/>
          <w:sz w:val="28"/>
          <w:szCs w:val="28"/>
        </w:rPr>
        <w:t xml:space="preserve"> Simpson, P. (2021). </w:t>
      </w:r>
    </w:p>
    <w:p w:rsidR="00706C10" w:rsidRDefault="00706C10" w:rsidP="00706C10">
      <w:pPr>
        <w:spacing w:line="360" w:lineRule="auto"/>
        <w:jc w:val="both"/>
        <w:rPr>
          <w:rFonts w:ascii="Simplified Arabic" w:hAnsi="Simplified Arabic" w:cs="Simplified Arabic" w:hint="cs"/>
          <w:sz w:val="28"/>
          <w:szCs w:val="28"/>
          <w:rtl/>
        </w:rPr>
      </w:pPr>
      <w:r>
        <w:rPr>
          <w:rFonts w:ascii="Simplified Arabic" w:hAnsi="Simplified Arabic" w:cs="Simplified Arabic"/>
          <w:sz w:val="28"/>
          <w:szCs w:val="28"/>
          <w:rtl/>
        </w:rPr>
        <w:t xml:space="preserve">يبحث هذا البحث في تأثير أبعاد جودة الخدمة المختلفة على رضا العملاء في القطاع المصرفي. تستخدم الدراسة نهجًا مختلطًا لتحليل ملاحظات العملاء وتحديد العوامل الرئيسية مثل الاستجابة والتعاطف والموثوقية </w:t>
      </w:r>
      <w:r>
        <w:rPr>
          <w:rFonts w:ascii="Simplified Arabic" w:hAnsi="Simplified Arabic" w:cs="Simplified Arabic"/>
          <w:sz w:val="28"/>
          <w:szCs w:val="28"/>
          <w:rtl/>
        </w:rPr>
        <w:lastRenderedPageBreak/>
        <w:t>لتعزيز رضا العملاء. وتخلص الورقة إلى أن البنوك يجب أن تطور معايير الخدمة باستمرار لتلبية توقعات العملاء</w:t>
      </w:r>
    </w:p>
    <w:p w:rsidR="00706C10" w:rsidRDefault="00706C10" w:rsidP="00706C10">
      <w:pPr>
        <w:spacing w:line="360" w:lineRule="auto"/>
        <w:jc w:val="both"/>
        <w:rPr>
          <w:rFonts w:ascii="Simplified Arabic" w:hAnsi="Simplified Arabic" w:cs="Simplified Arabic"/>
          <w:b/>
          <w:bCs/>
          <w:sz w:val="28"/>
          <w:szCs w:val="28"/>
          <w:rtl/>
        </w:rPr>
      </w:pPr>
    </w:p>
    <w:p w:rsidR="00706C10" w:rsidRDefault="00706C10" w:rsidP="00706C10">
      <w:pPr>
        <w:bidi w:val="0"/>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Alzahrani, S</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 xml:space="preserve">Bach, C. (2020). </w:t>
      </w:r>
    </w:p>
    <w:p w:rsidR="00706C10" w:rsidRDefault="00706C10" w:rsidP="00706C10">
      <w:pPr>
        <w:spacing w:line="360" w:lineRule="auto"/>
        <w:jc w:val="both"/>
        <w:rPr>
          <w:rFonts w:ascii="Simplified Arabic" w:hAnsi="Simplified Arabic" w:cs="Simplified Arabic" w:hint="cs"/>
          <w:sz w:val="28"/>
          <w:szCs w:val="28"/>
          <w:rtl/>
        </w:rPr>
      </w:pPr>
      <w:r>
        <w:rPr>
          <w:rFonts w:ascii="Simplified Arabic" w:hAnsi="Simplified Arabic" w:cs="Simplified Arabic"/>
          <w:sz w:val="28"/>
          <w:szCs w:val="28"/>
          <w:rtl/>
        </w:rPr>
        <w:t>تهدف هذه الدراسة إلى تقييم العلاقة بين جودة الخدمة ورضا العملاء داخل صناعة الاتصالات السعودية. وباستخدام نموذج</w:t>
      </w:r>
      <w:r>
        <w:rPr>
          <w:rFonts w:ascii="Simplified Arabic" w:hAnsi="Simplified Arabic" w:cs="Simplified Arabic"/>
          <w:sz w:val="28"/>
          <w:szCs w:val="28"/>
        </w:rPr>
        <w:t xml:space="preserve"> SERVQUAL</w:t>
      </w:r>
      <w:r>
        <w:rPr>
          <w:rFonts w:ascii="Simplified Arabic" w:hAnsi="Simplified Arabic" w:cs="Simplified Arabic"/>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تقوم الدراسة بتقييم أبعاد مثل الموثوقية والاستجابة والضمان. تشير النتائج إلى وجود ارتباط قوي بين الخدمات عالية الجودة وزيادة رضا العملاء، مع اقتراحات لتحسين تجربة العملاء من خلال ممارسات تقديم الخدمة الأفضل</w:t>
      </w:r>
      <w:r>
        <w:rPr>
          <w:rFonts w:ascii="Simplified Arabic" w:hAnsi="Simplified Arabic" w:cs="Simplified Arabic"/>
          <w:sz w:val="28"/>
          <w:szCs w:val="28"/>
        </w:rPr>
        <w:t>.</w:t>
      </w:r>
    </w:p>
    <w:p w:rsidR="00706C10" w:rsidRDefault="00706C10" w:rsidP="00706C10">
      <w:pPr>
        <w:tabs>
          <w:tab w:val="left" w:pos="1286"/>
          <w:tab w:val="left" w:pos="1376"/>
        </w:tabs>
        <w:spacing w:line="360" w:lineRule="auto"/>
        <w:rPr>
          <w:rFonts w:ascii="Simplified Arabic" w:hAnsi="Simplified Arabic" w:cs="Simplified Arabic"/>
          <w:b/>
          <w:bCs/>
          <w:sz w:val="28"/>
          <w:szCs w:val="28"/>
          <w:rtl/>
        </w:rPr>
      </w:pPr>
    </w:p>
    <w:p w:rsidR="00706C10" w:rsidRDefault="00706C10" w:rsidP="00706C10">
      <w:pPr>
        <w:pStyle w:val="ListParagraph"/>
        <w:tabs>
          <w:tab w:val="left" w:pos="1286"/>
          <w:tab w:val="left" w:pos="1376"/>
        </w:tabs>
        <w:spacing w:line="360" w:lineRule="auto"/>
        <w:jc w:val="center"/>
        <w:outlineLvl w:val="0"/>
        <w:rPr>
          <w:rFonts w:ascii="Simplified Arabic" w:hAnsi="Simplified Arabic" w:cs="Simplified Arabic"/>
          <w:b/>
          <w:bCs/>
          <w:sz w:val="40"/>
          <w:szCs w:val="40"/>
          <w:rtl/>
        </w:rPr>
      </w:pPr>
      <w:bookmarkStart w:id="23" w:name="_Toc181308880"/>
      <w:r>
        <w:rPr>
          <w:rFonts w:ascii="Simplified Arabic" w:hAnsi="Simplified Arabic" w:cs="Simplified Arabic"/>
          <w:b/>
          <w:bCs/>
          <w:sz w:val="40"/>
          <w:szCs w:val="40"/>
          <w:rtl/>
        </w:rPr>
        <w:t>الفصل الثاني: الإطار النظري</w:t>
      </w:r>
      <w:bookmarkEnd w:id="23"/>
    </w:p>
    <w:p w:rsidR="00706C10" w:rsidRDefault="00706C10" w:rsidP="00706C10">
      <w:pPr>
        <w:spacing w:after="160" w:line="360" w:lineRule="auto"/>
        <w:jc w:val="both"/>
        <w:outlineLvl w:val="0"/>
        <w:rPr>
          <w:rFonts w:ascii="Simplified Arabic" w:eastAsia="Calibri" w:hAnsi="Simplified Arabic" w:cs="Simplified Arabic"/>
          <w:b/>
          <w:bCs/>
          <w:sz w:val="36"/>
          <w:szCs w:val="36"/>
          <w:rtl/>
          <w:lang w:bidi="ar-EG"/>
        </w:rPr>
      </w:pPr>
      <w:bookmarkStart w:id="24" w:name="_Toc181308881"/>
      <w:r>
        <w:rPr>
          <w:rFonts w:ascii="Simplified Arabic" w:eastAsia="Calibri" w:hAnsi="Simplified Arabic" w:cs="Simplified Arabic"/>
          <w:b/>
          <w:bCs/>
          <w:sz w:val="36"/>
          <w:szCs w:val="36"/>
          <w:rtl/>
          <w:lang w:bidi="ar-EG"/>
        </w:rPr>
        <w:t>المبحث الأول: التقنيات الناشئة</w:t>
      </w:r>
      <w:bookmarkEnd w:id="24"/>
      <w:r>
        <w:rPr>
          <w:rFonts w:ascii="Simplified Arabic" w:eastAsia="Calibri" w:hAnsi="Simplified Arabic" w:cs="Simplified Arabic"/>
          <w:b/>
          <w:bCs/>
          <w:sz w:val="36"/>
          <w:szCs w:val="36"/>
          <w:rtl/>
          <w:lang w:bidi="ar-EG"/>
        </w:rPr>
        <w:t xml:space="preserve"> </w:t>
      </w:r>
    </w:p>
    <w:p w:rsidR="00706C10" w:rsidRDefault="00706C10" w:rsidP="00706C10">
      <w:pPr>
        <w:spacing w:line="360" w:lineRule="auto"/>
        <w:ind w:left="72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التقنيات الناشئة هي مجموعة من الابتكارات والتطورات التكنولوجية التي تُحدث تحولًا كبيرًا في مختلف القطاعات والصناعات. غالبًا ما تظهر هذه التقنيات في مراحلها الأولى وتتطور بسرعة لتغير أساليب العمل والإنتاج والاتصال والتفاعل في العديد من المجالات. تتسم التقنيات الناشئة بأنها ليست متاحة على نطاق واسع بعد، لكنها تحمل إمكانيات هائلة لتطوير طرق جديدة لحل المشكلات وزيادة الكفاءة والفعالية في مختلف الصناعات</w:t>
      </w:r>
      <w:r>
        <w:rPr>
          <w:rFonts w:ascii="Simplified Arabic" w:eastAsia="Calibri"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25" w:name="_Toc181308882"/>
      <w:r>
        <w:rPr>
          <w:rFonts w:ascii="Simplified Arabic" w:eastAsia="Calibri" w:hAnsi="Simplified Arabic" w:cs="Simplified Arabic"/>
          <w:b/>
          <w:bCs/>
          <w:sz w:val="32"/>
          <w:szCs w:val="32"/>
          <w:rtl/>
        </w:rPr>
        <w:lastRenderedPageBreak/>
        <w:t>2.1 تعريف التقنيات الناشئة</w:t>
      </w:r>
      <w:bookmarkEnd w:id="25"/>
    </w:p>
    <w:p w:rsidR="00706C10" w:rsidRDefault="00706C10" w:rsidP="00706C10">
      <w:pPr>
        <w:spacing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التقنيات الناشئة تُعرَّف بأنها الابتكارات التكنولوجية التي لا تزال في مراحل التطوير أو التي لم تنتشر بشكل كبير في السوق بعد، لكنها تملك القدرة على تغيير النظام السائد في الصناعات التي تُستخدم فيها. هذه التقنيات يمكن أن تكون جزءًا من تطورات في مجالات مثل الذكاء الاصطناعي، الروبوتات، الحوسبة السحابية، الطباعة ثلاثية الأبعاد، وإنترنت الأشياء. وبسبب طبيعتها غير المستقرة، قد تكون التقنيات الناشئة غير واضحة في تأثيراتها المحتملة على المدى الطويل، لكن من المتوقع أن تحدث ثورات صناعية أو اجتماعية على نطاق واسع</w:t>
      </w:r>
      <w:r>
        <w:rPr>
          <w:rFonts w:ascii="Simplified Arabic" w:eastAsia="Calibri" w:hAnsi="Simplified Arabic" w:cs="Simplified Arabic"/>
          <w:sz w:val="28"/>
          <w:szCs w:val="28"/>
        </w:rPr>
        <w:t>.</w:t>
      </w:r>
      <w:r>
        <w:rPr>
          <w:rFonts w:ascii="Simplified Arabic" w:eastAsia="MS Gothic" w:hAnsi="Simplified Arabic" w:cs="Simplified Arabic"/>
          <w:sz w:val="28"/>
          <w:szCs w:val="28"/>
          <w:lang w:bidi="ar-EG"/>
        </w:rPr>
        <w:t xml:space="preserve"> (</w:t>
      </w:r>
      <w:r>
        <w:rPr>
          <w:rFonts w:ascii="Simplified Arabic" w:eastAsia="Calibri" w:hAnsi="Simplified Arabic" w:cs="Simplified Arabic"/>
          <w:sz w:val="28"/>
          <w:szCs w:val="28"/>
          <w:lang w:bidi="ar-EG"/>
        </w:rPr>
        <w:t>Leef, 2020</w:t>
      </w:r>
      <w:r>
        <w:rPr>
          <w:rFonts w:ascii="Simplified Arabic" w:eastAsia="MS Gothic"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26" w:name="_Toc181308883"/>
      <w:r>
        <w:rPr>
          <w:rFonts w:ascii="Simplified Arabic" w:eastAsia="Calibri" w:hAnsi="Simplified Arabic" w:cs="Simplified Arabic"/>
          <w:b/>
          <w:bCs/>
          <w:sz w:val="32"/>
          <w:szCs w:val="32"/>
          <w:rtl/>
        </w:rPr>
        <w:t>2.1.1 ابتكارات التقنيات الناشئة وتأثيرها</w:t>
      </w:r>
      <w:bookmarkEnd w:id="26"/>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الابتكارات التقنية الحديثة التي تصنف ضمن التقنيات الناشئة تشمل تطورات كبيرة في الذكاء الاصطناعي والتعلم الآلي، التي تمثل تغييرات جذرية في الطريقة التي تتفاعل بها الأجهزة والأنظمة مع البيانات. الذكاء الاصطناعي يتيح للحواسيب التعلم من البيانات الكبيرة واتخاذ قرارات ذكية بناءً على تحليلات متقدمة، وهو ما يساهم في تحسين عمليات الإنتاج والاتصال في مجالات متعددة مثل الرعاية الصحية، الصناعة، وحتى الحياة اليومية للأفراد</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OECD, 2019</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كما أن تقنية "إنترنت الأشياء</w:t>
      </w:r>
      <w:r>
        <w:rPr>
          <w:rFonts w:ascii="Simplified Arabic" w:eastAsia="Calibri" w:hAnsi="Simplified Arabic" w:cs="Simplified Arabic"/>
          <w:sz w:val="28"/>
          <w:szCs w:val="28"/>
          <w:lang w:bidi="ar-EG"/>
        </w:rPr>
        <w:t xml:space="preserve">" (IoT) </w:t>
      </w:r>
      <w:r>
        <w:rPr>
          <w:rFonts w:ascii="Simplified Arabic" w:eastAsia="Calibri" w:hAnsi="Simplified Arabic" w:cs="Simplified Arabic"/>
          <w:sz w:val="28"/>
          <w:szCs w:val="28"/>
          <w:rtl/>
        </w:rPr>
        <w:t>هي مثال آخر على الابتكارات التي تُحدث ثورة في العديد من الصناعات. إنترنت الأشياء يُمكِّن الأجهزة من الاتصال ببعضها البعض وتبادل البيانات في الزمن الفعلي، مما يساهم في تحسين كفاءة العمليات الصناعية، وتطوير منازل ذكية، وتقديم خدمات أكثر ذكاءً في المدن الذكية</w:t>
      </w:r>
      <w:r>
        <w:rPr>
          <w:rFonts w:ascii="Simplified Arabic" w:eastAsia="Calibri" w:hAnsi="Simplified Arabic" w:cs="Simplified Arabic"/>
          <w:sz w:val="28"/>
          <w:szCs w:val="28"/>
        </w:rPr>
        <w:t>.</w:t>
      </w:r>
      <w:r>
        <w:rPr>
          <w:rFonts w:ascii="Simplified Arabic" w:eastAsia="MS Gothic" w:hAnsi="Simplified Arabic" w:cs="Simplified Arabic"/>
          <w:sz w:val="28"/>
          <w:szCs w:val="28"/>
          <w:lang w:bidi="ar-EG"/>
        </w:rPr>
        <w:t xml:space="preserve"> (</w:t>
      </w:r>
      <w:r>
        <w:rPr>
          <w:rFonts w:ascii="Simplified Arabic" w:eastAsia="Calibri" w:hAnsi="Simplified Arabic" w:cs="Simplified Arabic"/>
          <w:sz w:val="28"/>
          <w:szCs w:val="28"/>
          <w:lang w:bidi="ar-EG"/>
        </w:rPr>
        <w:t>Rayes &amp; Salam, 2017</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27" w:name="_Toc181308884"/>
      <w:r>
        <w:rPr>
          <w:rFonts w:ascii="Simplified Arabic" w:eastAsia="Calibri" w:hAnsi="Simplified Arabic" w:cs="Simplified Arabic"/>
          <w:b/>
          <w:bCs/>
          <w:sz w:val="32"/>
          <w:szCs w:val="32"/>
          <w:rtl/>
        </w:rPr>
        <w:lastRenderedPageBreak/>
        <w:t>2.1.2 دور التقنيات الناشئة في تغيير القطاعات المختلفة</w:t>
      </w:r>
      <w:bookmarkEnd w:id="27"/>
    </w:p>
    <w:p w:rsidR="00706C10" w:rsidRDefault="00706C10" w:rsidP="00706C10">
      <w:pPr>
        <w:spacing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التقنيات الناشئة ليست فقط وسيلة لتحسين العمليات الموجودة، لكنها تقدم طرقًا جديدة لتقديم المنتجات والخدمات. على سبيل المثال، "الطباعة ثلاثية الأبعاد" تعد مثالاً حيًا على كيف يمكن للتقنيات الناشئة أن تغير جذريًا الطريقة التي يتم بها إنتاج الأشياء. مع الطباعة ثلاثية الأبعاد، يمكن للشركات تقليل تكاليف الإنتاج، وتصميم قطع معقدة بسهولة، وتحقيق مرونة في الإنتاج</w:t>
      </w:r>
      <w:r>
        <w:rPr>
          <w:rFonts w:ascii="Simplified Arabic" w:eastAsia="Calibri" w:hAnsi="Simplified Arabic" w:cs="Simplified Arabic"/>
          <w:sz w:val="28"/>
          <w:szCs w:val="28"/>
        </w:rPr>
        <w:t>.</w:t>
      </w:r>
      <w:r>
        <w:rPr>
          <w:rFonts w:ascii="Simplified Arabic" w:eastAsia="MS Gothic" w:hAnsi="Simplified Arabic" w:cs="Simplified Arabic"/>
          <w:sz w:val="28"/>
          <w:szCs w:val="28"/>
          <w:lang w:bidi="ar-EG"/>
        </w:rPr>
        <w:t xml:space="preserve"> (</w:t>
      </w:r>
      <w:r>
        <w:rPr>
          <w:rFonts w:ascii="Simplified Arabic" w:eastAsia="Calibri" w:hAnsi="Simplified Arabic" w:cs="Simplified Arabic"/>
          <w:sz w:val="28"/>
          <w:szCs w:val="28"/>
          <w:lang w:bidi="ar-EG"/>
        </w:rPr>
        <w:t>Berman, 2012</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في مجال الصحة، تقنيات الذكاء الاصطناعي والروبوتات تُحدث تحولًا في كيفية تقديم الرعاية الطبية. الروبوتات تُستخدم في العمليات الجراحية المعقدة، بينما يُستخدم الذكاء الاصطناعي لتحليل البيانات الصحية الكبيرة بهدف تقديم تشخيصات دقيقة ومساعدة الأطباء في اتخاذ قرارات علاجية محسنة</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Jiang et al., 2017</w:t>
      </w:r>
      <w:r>
        <w:rPr>
          <w:rFonts w:ascii="Simplified Arabic" w:eastAsia="MS Gothic"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كما أن الحوسبة السحابية تعتبر إحدى التقنيات الناشئة التي تلعب دورًا كبيرًا في تحويل بيئة العمل التقليدية إلى بيئة أكثر تفاعلًا ومرونة. فهي تمكِّن الشركات من تخزين ومعالجة البيانات عن بُعد بمرونة أكبر، مما يسهم في تقليل التكاليف وتحسين كفاءة الأداء</w:t>
      </w:r>
      <w:r>
        <w:rPr>
          <w:rFonts w:ascii="Simplified Arabic" w:eastAsia="Calibri" w:hAnsi="Simplified Arabic" w:cs="Simplified Arabic"/>
          <w:sz w:val="28"/>
          <w:szCs w:val="28"/>
        </w:rPr>
        <w:t>.</w:t>
      </w:r>
      <w:r>
        <w:rPr>
          <w:rFonts w:ascii="Simplified Arabic" w:eastAsia="MS Gothic" w:hAnsi="Simplified Arabic" w:cs="Simplified Arabic"/>
          <w:sz w:val="28"/>
          <w:szCs w:val="28"/>
          <w:lang w:bidi="ar-EG"/>
        </w:rPr>
        <w:t xml:space="preserve"> (</w:t>
      </w:r>
      <w:r>
        <w:rPr>
          <w:rFonts w:ascii="Simplified Arabic" w:eastAsia="Calibri" w:hAnsi="Simplified Arabic" w:cs="Simplified Arabic"/>
          <w:sz w:val="28"/>
          <w:szCs w:val="28"/>
          <w:lang w:bidi="ar-EG"/>
        </w:rPr>
        <w:t>Armbrust et al., 2010</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28" w:name="_Toc181308885"/>
      <w:r>
        <w:rPr>
          <w:rFonts w:ascii="Simplified Arabic" w:eastAsia="Calibri" w:hAnsi="Simplified Arabic" w:cs="Simplified Arabic"/>
          <w:b/>
          <w:bCs/>
          <w:sz w:val="32"/>
          <w:szCs w:val="32"/>
          <w:rtl/>
        </w:rPr>
        <w:t>2.1.3 إمكانيات التقنيات الناشئة في رفع مستوى الأداء والكفاءة</w:t>
      </w:r>
      <w:bookmarkEnd w:id="28"/>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ما يميز التقنيات الناشئة أنها تُمكِّن الشركات والمؤسسات من تحسين أدائها وزيادة كفاءتها. بفضل التقنيات الناشئة مثل الذكاء الاصطناعي وإنترنت الأشياء، أصبحت الصناعات أكثر قدرة على تحليل البيانات الكبيرة التي كانت سابقًا غير مُستغلة بشكل كامل، مما يُسهم في اتخاذ قرارات مستنيرة وفعالة. على سبيل </w:t>
      </w:r>
      <w:r>
        <w:rPr>
          <w:rFonts w:ascii="Simplified Arabic" w:eastAsia="Calibri" w:hAnsi="Simplified Arabic" w:cs="Simplified Arabic"/>
          <w:sz w:val="28"/>
          <w:szCs w:val="28"/>
          <w:rtl/>
        </w:rPr>
        <w:lastRenderedPageBreak/>
        <w:t>المثال، في مجال الصناعة، يمكن للروبوتات المدعومة بالذكاء الاصطناعي القيام بالمهام الروتينية والمعقدة بدقة وسرعة أعلى من البشر، مما يساهم في تحسين الإنتاجية وتقليل الأخطاء البشرية</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Manyika et al., 2017</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التقنيات الناشئة تساهم أيضًا في تعزيز الابتكار. بفضل تطور التكنولوجيا، أصبحت الشركات قادرة على التفاعل مع العملاء بسرعة أكبر وتقديم خدمات محسنة تناسب احتياجاتهم المتغيرة. كما أن استخدام الأدوات التكنولوجية الجديدة يُتيح تطوير منتجات مبتكرة تحل مشكلات لم تكن قابلة للحل سابقًا. مثال على ذلك هو تطوير الروبوتات المتنقلة والآلات الذكية التي تُستخدم في تحسين سرعة وكفاءة الإنتاج في المصانع</w:t>
      </w:r>
      <w:r>
        <w:rPr>
          <w:rFonts w:ascii="Simplified Arabic" w:eastAsia="Calibri" w:hAnsi="Simplified Arabic" w:cs="Simplified Arabic"/>
          <w:sz w:val="28"/>
          <w:szCs w:val="28"/>
        </w:rPr>
        <w:t>.</w:t>
      </w:r>
      <w:r>
        <w:rPr>
          <w:rFonts w:ascii="Simplified Arabic" w:eastAsia="MS Gothic" w:hAnsi="Simplified Arabic" w:cs="Simplified Arabic"/>
          <w:sz w:val="28"/>
          <w:szCs w:val="28"/>
          <w:lang w:bidi="ar-EG"/>
        </w:rPr>
        <w:t xml:space="preserve"> (</w:t>
      </w:r>
      <w:r>
        <w:rPr>
          <w:rFonts w:ascii="Simplified Arabic" w:eastAsia="Calibri" w:hAnsi="Simplified Arabic" w:cs="Simplified Arabic"/>
          <w:sz w:val="28"/>
          <w:szCs w:val="28"/>
          <w:lang w:bidi="ar-EG"/>
        </w:rPr>
        <w:t>Schwab, 2017</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29" w:name="_Toc181308886"/>
      <w:r>
        <w:rPr>
          <w:rFonts w:ascii="Simplified Arabic" w:eastAsia="Calibri" w:hAnsi="Simplified Arabic" w:cs="Simplified Arabic"/>
          <w:b/>
          <w:bCs/>
          <w:sz w:val="32"/>
          <w:szCs w:val="32"/>
          <w:rtl/>
        </w:rPr>
        <w:t>2.1.4 تحديات التقنيات الناشئة</w:t>
      </w:r>
      <w:bookmarkEnd w:id="29"/>
    </w:p>
    <w:p w:rsidR="00706C10" w:rsidRDefault="00706C10" w:rsidP="00706C10">
      <w:pPr>
        <w:spacing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رغم أن التقنيات الناشئة تحمل إمكانيات هائلة، إلا أنها تواجه تحديات كبيرة أيضًا. من بين هذه التحديات هو مسألة الأمان والخصوصية. مع تطور التقنيات الناشئة مثل الذكاء الاصطناعي وإنترنت الأشياء، هناك مخاوف من اختراقات أمنية تهدد خصوصية المستخدمين وسرية بياناتهم. هذه المخاوف تستدعي تطوير سياسات وتقنيات حماية مخصصة لضمان استغلال هذه التقنيات بشكل آمن وفعال</w:t>
      </w:r>
      <w:r>
        <w:rPr>
          <w:rFonts w:ascii="Simplified Arabic" w:eastAsia="Calibri" w:hAnsi="Simplified Arabic" w:cs="Simplified Arabic"/>
          <w:sz w:val="28"/>
          <w:szCs w:val="28"/>
        </w:rPr>
        <w:t>.</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Gonzalez, 2020</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MS Gothic" w:hAnsi="Simplified Arabic" w:cs="Simplified Arabic"/>
          <w:sz w:val="28"/>
          <w:szCs w:val="28"/>
          <w:lang w:bidi="ar-EG"/>
        </w:rPr>
      </w:pPr>
      <w:r>
        <w:rPr>
          <w:rFonts w:ascii="Simplified Arabic" w:eastAsia="Calibri" w:hAnsi="Simplified Arabic" w:cs="Simplified Arabic"/>
          <w:sz w:val="28"/>
          <w:szCs w:val="28"/>
          <w:rtl/>
        </w:rPr>
        <w:t xml:space="preserve">التحدي الآخر يتمثل في التكاليف المرتبطة بتبني التقنيات الناشئة. على الرغم من أن هذه التقنيات تعد واعدة من حيث الكفاءة والإنتاجية، إلا أن تكلفة تطويرها وتطبيقها قد تكون باهظة بالنسبة لبعض الشركات، خاصة </w:t>
      </w:r>
      <w:r>
        <w:rPr>
          <w:rFonts w:ascii="Simplified Arabic" w:eastAsia="Calibri" w:hAnsi="Simplified Arabic" w:cs="Simplified Arabic"/>
          <w:sz w:val="28"/>
          <w:szCs w:val="28"/>
          <w:rtl/>
        </w:rPr>
        <w:lastRenderedPageBreak/>
        <w:t>الشركات الصغيرة والمتوسطة. وهذا يتطلب من المؤسسات وضع استراتيجيات تكامل وتطبيق تدريجي لضمان استفادتها من هذه الابتكارات بشكل يتناسب مع ميزانياتها ومواردها</w:t>
      </w:r>
      <w:r>
        <w:rPr>
          <w:rFonts w:ascii="Simplified Arabic" w:eastAsia="Calibri" w:hAnsi="Simplified Arabic" w:cs="Simplified Arabic"/>
          <w:sz w:val="28"/>
          <w:szCs w:val="28"/>
        </w:rPr>
        <w:t>.</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Brynjolfsson &amp; McAfee, 2014</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30" w:name="_Toc181308887"/>
      <w:r>
        <w:rPr>
          <w:rFonts w:ascii="Simplified Arabic" w:eastAsia="Calibri" w:hAnsi="Simplified Arabic" w:cs="Simplified Arabic"/>
          <w:b/>
          <w:bCs/>
          <w:sz w:val="32"/>
          <w:szCs w:val="32"/>
          <w:rtl/>
        </w:rPr>
        <w:t>2.1.5 أمثلة رئيسية على التقنيات الناشئة</w:t>
      </w:r>
      <w:r>
        <w:rPr>
          <w:rFonts w:ascii="Simplified Arabic" w:eastAsia="Calibri" w:hAnsi="Simplified Arabic" w:cs="Simplified Arabic"/>
          <w:b/>
          <w:bCs/>
          <w:sz w:val="32"/>
          <w:szCs w:val="32"/>
          <w:lang w:bidi="ar-EG"/>
        </w:rPr>
        <w:t>:</w:t>
      </w:r>
      <w:bookmarkEnd w:id="30"/>
    </w:p>
    <w:p w:rsidR="00706C10" w:rsidRDefault="00706C10" w:rsidP="00706C10">
      <w:pPr>
        <w:spacing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في السنوات الأخيرة، ظهرت تقنيات ناشئة ذات تأثير كبير على مختلف الصناعات والمجالات. من بين هذه التقنيات، يمكن أن نذكر الذكاء الاصطناعي والتعلم الآلي، تقنية البلوكتشين، الحوسبة الكمومية، وإنترنت الأشياء. كل من هذه التقنيات لديها القدرة على إعادة تشكيل الطريقة التي تعمل بها القطاعات التقليدية، وتقديم حلول مبتكرة للمشاكل المعقدة التي كانت غير قابلة للحل سابقًا. في هذا المقال، سنتناول كل من هذه التقنيات بشكل مفصل ونستعرض تأثيراتها وأهميتها</w:t>
      </w:r>
      <w:r>
        <w:rPr>
          <w:rFonts w:ascii="Simplified Arabic" w:eastAsia="Calibri" w:hAnsi="Simplified Arabic" w:cs="Simplified Arabic"/>
          <w:sz w:val="28"/>
          <w:szCs w:val="28"/>
          <w:lang w:bidi="ar-EG"/>
        </w:rPr>
        <w:t>.</w:t>
      </w:r>
    </w:p>
    <w:p w:rsidR="00706C10" w:rsidRDefault="00706C10" w:rsidP="00706C10">
      <w:pPr>
        <w:pStyle w:val="ListParagraph"/>
        <w:numPr>
          <w:ilvl w:val="3"/>
          <w:numId w:val="19"/>
        </w:numPr>
        <w:spacing w:line="360" w:lineRule="auto"/>
        <w:jc w:val="both"/>
        <w:outlineLvl w:val="0"/>
        <w:rPr>
          <w:rFonts w:ascii="Simplified Arabic" w:eastAsia="Calibri" w:hAnsi="Simplified Arabic" w:cs="Simplified Arabic"/>
          <w:b/>
          <w:bCs/>
          <w:sz w:val="32"/>
          <w:szCs w:val="32"/>
          <w:lang w:bidi="ar-EG"/>
        </w:rPr>
      </w:pPr>
      <w:bookmarkStart w:id="31" w:name="_Toc181308888"/>
      <w:r>
        <w:rPr>
          <w:rFonts w:ascii="Simplified Arabic" w:eastAsia="Calibri" w:hAnsi="Simplified Arabic" w:cs="Simplified Arabic"/>
          <w:b/>
          <w:bCs/>
          <w:sz w:val="32"/>
          <w:szCs w:val="32"/>
          <w:rtl/>
        </w:rPr>
        <w:t>الذكاء الاصطناعي والتعلم الآلي</w:t>
      </w:r>
      <w:bookmarkEnd w:id="31"/>
    </w:p>
    <w:p w:rsidR="00706C10" w:rsidRDefault="00706C10" w:rsidP="00706C10">
      <w:pPr>
        <w:pStyle w:val="ListParagraph"/>
        <w:numPr>
          <w:ilvl w:val="0"/>
          <w:numId w:val="20"/>
        </w:num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الذكاء الاصطناعي</w:t>
      </w:r>
      <w:r>
        <w:rPr>
          <w:rFonts w:ascii="Simplified Arabic" w:eastAsia="Calibri" w:hAnsi="Simplified Arabic" w:cs="Simplified Arabic"/>
          <w:b/>
          <w:bCs/>
          <w:sz w:val="28"/>
          <w:szCs w:val="28"/>
          <w:lang w:bidi="ar-EG"/>
        </w:rPr>
        <w:t>:</w:t>
      </w:r>
    </w:p>
    <w:p w:rsidR="00706C10" w:rsidRDefault="00706C10" w:rsidP="00706C10">
      <w:pPr>
        <w:spacing w:line="360" w:lineRule="auto"/>
        <w:ind w:left="720"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الذكاء الاصطناعي</w:t>
      </w:r>
      <w:r>
        <w:rPr>
          <w:rFonts w:ascii="Simplified Arabic" w:eastAsia="Calibri" w:hAnsi="Simplified Arabic" w:cs="Simplified Arabic"/>
          <w:sz w:val="28"/>
          <w:szCs w:val="28"/>
          <w:lang w:bidi="ar-EG"/>
        </w:rPr>
        <w:t xml:space="preserve"> (AI) </w:t>
      </w:r>
      <w:r>
        <w:rPr>
          <w:rFonts w:ascii="Simplified Arabic" w:eastAsia="Calibri" w:hAnsi="Simplified Arabic" w:cs="Simplified Arabic"/>
          <w:sz w:val="28"/>
          <w:szCs w:val="28"/>
          <w:rtl/>
        </w:rPr>
        <w:t xml:space="preserve">يُعرف بأنه قدرة الأجهزة على تقليد الأنشطة البشرية الذكية مثل التعلم، التفكير، وحل المشكلات. يشمل الذكاء الاصطناعي العديد من الفروع مثل معالجة اللغة الطبيعية، الروبوتات، ورؤية </w:t>
      </w:r>
      <w:bookmarkStart w:id="32" w:name="_Int_7PDXzNQM"/>
      <w:r>
        <w:rPr>
          <w:rFonts w:ascii="Simplified Arabic" w:eastAsia="Calibri" w:hAnsi="Simplified Arabic" w:cs="Simplified Arabic"/>
          <w:sz w:val="28"/>
          <w:szCs w:val="28"/>
          <w:rtl/>
        </w:rPr>
        <w:t>الكمبيوتر</w:t>
      </w:r>
      <w:bookmarkEnd w:id="32"/>
      <w:r>
        <w:rPr>
          <w:rFonts w:ascii="Simplified Arabic" w:eastAsia="Calibri" w:hAnsi="Simplified Arabic" w:cs="Simplified Arabic"/>
          <w:sz w:val="28"/>
          <w:szCs w:val="28"/>
          <w:rtl/>
        </w:rPr>
        <w:t>. الهدف الرئيسي من الذكاء الاصطناعي هو تطوير أنظمة قادرة على تنفيذ مهام تتطلب عادة ذكاءً بشريًا، مثل التعرف على الصور، اتخاذ القرارات، وفهم اللغات الطبيعية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0"/>
        </w:num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lastRenderedPageBreak/>
        <w:t xml:space="preserve"> </w:t>
      </w:r>
      <w:r>
        <w:rPr>
          <w:rFonts w:ascii="Simplified Arabic" w:eastAsia="Calibri" w:hAnsi="Simplified Arabic" w:cs="Simplified Arabic" w:hint="cs"/>
          <w:b/>
          <w:bCs/>
          <w:sz w:val="28"/>
          <w:szCs w:val="28"/>
          <w:rtl/>
        </w:rPr>
        <w:t>التعلم الآلي</w:t>
      </w:r>
      <w:r>
        <w:rPr>
          <w:rFonts w:ascii="Simplified Arabic" w:eastAsia="Calibri" w:hAnsi="Simplified Arabic" w:cs="Simplified Arabic"/>
          <w:b/>
          <w:bCs/>
          <w:sz w:val="28"/>
          <w:szCs w:val="28"/>
          <w:lang w:bidi="ar-EG"/>
        </w:rPr>
        <w:t>:</w:t>
      </w:r>
    </w:p>
    <w:p w:rsidR="00706C10" w:rsidRDefault="00706C10" w:rsidP="00706C10">
      <w:pPr>
        <w:spacing w:line="360" w:lineRule="auto"/>
        <w:ind w:left="720"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التعلم الآلي</w:t>
      </w:r>
      <w:r>
        <w:rPr>
          <w:rFonts w:ascii="Simplified Arabic" w:eastAsia="Calibri" w:hAnsi="Simplified Arabic" w:cs="Simplified Arabic"/>
          <w:sz w:val="28"/>
          <w:szCs w:val="28"/>
          <w:lang w:bidi="ar-EG"/>
        </w:rPr>
        <w:t xml:space="preserve"> (ML) </w:t>
      </w:r>
      <w:r>
        <w:rPr>
          <w:rFonts w:ascii="Simplified Arabic" w:eastAsia="Calibri" w:hAnsi="Simplified Arabic" w:cs="Simplified Arabic"/>
          <w:sz w:val="28"/>
          <w:szCs w:val="28"/>
          <w:rtl/>
        </w:rPr>
        <w:t>هو أحد فروع الذكاء الاصطناعي الذي يركز على تطوير الأنظمة التي يمكنها التعلم من البيانات بدون أن تتم برمجتها بشكل صريح. يعتمد التعلم الآلي على الخوارزميات التي تتيح للأجهزة تحسين أدائها بمرور الوقت بناءً على البيانات التي تتلقاها. على سبيل المثال، يمكن للأنظمة التي تستخدم التعلم الآلي تحليل كميات كبيرة من البيانات بسرعة واكتشاف أنماط جديدة يمكن أن تكون غير مرئية للعين البشرية</w:t>
      </w:r>
      <w:r>
        <w:rPr>
          <w:rFonts w:ascii="Simplified Arabic" w:eastAsia="Calibri"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الذكاء الاصطناعي والتعلم الآلي يُستخدمان في العديد من التطبيقات، مثل</w:t>
      </w:r>
      <w:r>
        <w:rPr>
          <w:rFonts w:ascii="Simplified Arabic" w:eastAsia="Calibri"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ج- الصناعة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يمكن للذكاء الاصطناعي تحسين عمليات التصنيع من خلال الأتمتة والتنبؤ بالصيانة الدورية للأجهزة</w:t>
      </w:r>
      <w:r>
        <w:rPr>
          <w:rFonts w:ascii="Simplified Arabic" w:eastAsia="MS Gothic" w:hAnsi="Simplified Arabic" w:cs="Simplified Arabic"/>
          <w:sz w:val="24"/>
          <w:szCs w:val="24"/>
          <w:lang w:bidi="ar-EG"/>
        </w:rPr>
        <w:t>(</w:t>
      </w:r>
      <w:r>
        <w:rPr>
          <w:rFonts w:ascii="Simplified Arabic" w:eastAsia="Calibri" w:hAnsi="Simplified Arabic" w:cs="Simplified Arabic"/>
          <w:sz w:val="24"/>
          <w:szCs w:val="24"/>
          <w:lang w:bidi="ar-EG"/>
        </w:rPr>
        <w:t>Brown &amp; Lee, 2021</w:t>
      </w:r>
      <w:r>
        <w:rPr>
          <w:rFonts w:ascii="Simplified Arabic" w:eastAsia="MS Gothic" w:hAnsi="Simplified Arabic" w:cs="Simplified Arabic"/>
          <w:sz w:val="24"/>
          <w:szCs w:val="24"/>
          <w:lang w:bidi="ar-EG"/>
        </w:rPr>
        <w:t>)</w:t>
      </w:r>
      <w:r>
        <w:rPr>
          <w:rFonts w:ascii="Simplified Arabic" w:eastAsia="Calibri" w:hAnsi="Simplified Arabic" w:cs="Simplified Arabic"/>
          <w:sz w:val="28"/>
          <w:szCs w:val="28"/>
          <w:lang w:bidi="ar-EG"/>
        </w:rPr>
        <w:t>.</w:t>
      </w:r>
    </w:p>
    <w:p w:rsidR="00706C10" w:rsidRDefault="00706C10" w:rsidP="00706C10">
      <w:pPr>
        <w:pStyle w:val="ListParagraph"/>
        <w:numPr>
          <w:ilvl w:val="2"/>
          <w:numId w:val="3"/>
        </w:numPr>
        <w:spacing w:line="360" w:lineRule="auto"/>
        <w:ind w:left="1106"/>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الصحة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في المجال الصحي، يُستخدم الذكاء الاصطناعي في تحليل صور الأشعة، توقع الأمراض بناءً على البيانات الصحية الكبيرة، وتطوير خطط علاج شخصية</w:t>
      </w:r>
      <w:r>
        <w:rPr>
          <w:rFonts w:ascii="Simplified Arabic" w:eastAsia="Calibri" w:hAnsi="Simplified Arabic" w:cs="Simplified Arabic"/>
          <w:sz w:val="28"/>
          <w:szCs w:val="28"/>
          <w:rtl/>
          <w:lang w:bidi="ar-EG"/>
        </w:rPr>
        <w:t>.</w:t>
      </w:r>
    </w:p>
    <w:p w:rsidR="00706C10" w:rsidRDefault="00706C10" w:rsidP="00706C10">
      <w:pPr>
        <w:pStyle w:val="ListParagraph"/>
        <w:spacing w:line="360" w:lineRule="auto"/>
        <w:ind w:left="1106"/>
        <w:jc w:val="both"/>
        <w:rPr>
          <w:rFonts w:ascii="Simplified Arabic" w:eastAsia="Calibri" w:hAnsi="Simplified Arabic" w:cs="Simplified Arabic"/>
          <w:sz w:val="24"/>
          <w:szCs w:val="24"/>
          <w:lang w:bidi="ar-EG"/>
        </w:rPr>
      </w:pPr>
      <w:r>
        <w:rPr>
          <w:rFonts w:ascii="Simplified Arabic" w:eastAsia="MS Gothic" w:hAnsi="Simplified Arabic" w:cs="Simplified Arabic"/>
          <w:sz w:val="24"/>
          <w:szCs w:val="24"/>
          <w:lang w:bidi="ar-EG"/>
        </w:rPr>
        <w:t>(</w:t>
      </w:r>
      <w:r>
        <w:rPr>
          <w:rFonts w:ascii="Simplified Arabic" w:eastAsia="Calibri" w:hAnsi="Simplified Arabic" w:cs="Simplified Arabic"/>
          <w:sz w:val="24"/>
          <w:szCs w:val="24"/>
          <w:lang w:bidi="ar-EG"/>
        </w:rPr>
        <w:t>Topol, 2019</w:t>
      </w:r>
      <w:r>
        <w:rPr>
          <w:rFonts w:ascii="Simplified Arabic" w:eastAsia="MS Gothic" w:hAnsi="Simplified Arabic" w:cs="Simplified Arabic"/>
          <w:sz w:val="24"/>
          <w:szCs w:val="24"/>
          <w:lang w:bidi="ar-EG"/>
        </w:rPr>
        <w:t>)</w:t>
      </w:r>
      <w:r>
        <w:rPr>
          <w:rFonts w:ascii="Simplified Arabic" w:eastAsia="Calibri" w:hAnsi="Simplified Arabic" w:cs="Simplified Arabic"/>
          <w:sz w:val="24"/>
          <w:szCs w:val="24"/>
          <w:lang w:bidi="ar-EG"/>
        </w:rPr>
        <w:t>.</w:t>
      </w:r>
    </w:p>
    <w:p w:rsidR="00706C10" w:rsidRDefault="00706C10" w:rsidP="00706C10">
      <w:pPr>
        <w:pStyle w:val="ListParagraph"/>
        <w:numPr>
          <w:ilvl w:val="2"/>
          <w:numId w:val="2"/>
        </w:numPr>
        <w:spacing w:line="360" w:lineRule="auto"/>
        <w:ind w:left="1016"/>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التجارة الإلكترونية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الذكاء الاصطناعي يمكنه تحسين تجارب التسوق عبر الإنترنت من خلال تخصيص توصيات المنتجات بناءً على سلوك المستخدمين</w:t>
      </w:r>
      <w:r>
        <w:rPr>
          <w:rFonts w:ascii="Simplified Arabic" w:eastAsia="MS Gothic" w:hAnsi="Simplified Arabic" w:cs="Simplified Arabic"/>
          <w:sz w:val="24"/>
          <w:szCs w:val="24"/>
          <w:lang w:bidi="ar-EG"/>
        </w:rPr>
        <w:t>(</w:t>
      </w:r>
      <w:r>
        <w:rPr>
          <w:rFonts w:ascii="Simplified Arabic" w:eastAsia="Calibri" w:hAnsi="Simplified Arabic" w:cs="Simplified Arabic"/>
          <w:sz w:val="24"/>
          <w:szCs w:val="24"/>
          <w:lang w:bidi="ar-EG"/>
        </w:rPr>
        <w:t>Ng, 2020</w:t>
      </w:r>
      <w:r>
        <w:rPr>
          <w:rFonts w:ascii="Simplified Arabic" w:eastAsia="MS Gothic" w:hAnsi="Simplified Arabic" w:cs="Simplified Arabic"/>
          <w:sz w:val="24"/>
          <w:szCs w:val="24"/>
          <w:lang w:bidi="ar-EG"/>
        </w:rPr>
        <w:t>)</w:t>
      </w:r>
      <w:r>
        <w:rPr>
          <w:rFonts w:ascii="Simplified Arabic" w:eastAsia="Calibri" w:hAnsi="Simplified Arabic" w:cs="Simplified Arabic"/>
          <w:sz w:val="28"/>
          <w:szCs w:val="28"/>
          <w:lang w:bidi="ar-EG"/>
        </w:rPr>
        <w:t>.</w:t>
      </w:r>
    </w:p>
    <w:p w:rsidR="00706C10" w:rsidRDefault="00706C10" w:rsidP="00706C10">
      <w:pPr>
        <w:pStyle w:val="ListParagraph"/>
        <w:spacing w:line="360" w:lineRule="auto"/>
        <w:ind w:left="1016"/>
        <w:jc w:val="both"/>
        <w:rPr>
          <w:rFonts w:ascii="Simplified Arabic" w:eastAsia="Calibri" w:hAnsi="Simplified Arabic" w:cs="Simplified Arabic"/>
          <w:sz w:val="28"/>
          <w:szCs w:val="28"/>
          <w:lang w:bidi="ar-EG"/>
        </w:rPr>
      </w:pPr>
    </w:p>
    <w:p w:rsidR="00706C10" w:rsidRDefault="00706C10" w:rsidP="00706C10">
      <w:pPr>
        <w:spacing w:line="360" w:lineRule="auto"/>
        <w:ind w:left="720"/>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2.1.5.2 تقنية البلوكتشين</w:t>
      </w:r>
    </w:p>
    <w:p w:rsidR="00706C10" w:rsidRDefault="00706C10" w:rsidP="00706C10">
      <w:pPr>
        <w:spacing w:line="360" w:lineRule="auto"/>
        <w:ind w:left="720"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تقنية البلوكتشين تُعرف بأنها نوع من قواعد البيانات الموزعة التي تُستخدم لتخزين وتسجيل المعاملات بطريقة آمنة وشفافة. تمتاز هذه التقنية بأنها غير قابلة للتعديل بعد التحقق من المعاملات، مما يجعلها مثالية للاستخدام في المجالات التي تتطلب أمانًا عاليًا وشفافية، مثل الخدمات المالية والعقود الذكية</w:t>
      </w:r>
      <w:r>
        <w:rPr>
          <w:rFonts w:ascii="Simplified Arabic" w:eastAsia="Calibri"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البلوكتشين يعمل من خلال شبكة من الأجهزة (عُقد) التي تتعاون معًا للتحقق من صحة المعاملات وتخزينها. كل معاملة يتم تسجيلها في "كتلة" مربوطة بالكتلة التي تسبقها، مما يشكل سلسلة متصلة من الكتل</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Blockchain</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بمجرد إضافة كتلة جديدة إلى السلسلة، تصبح غير قابلة للتعديل</w:t>
      </w:r>
      <w:r>
        <w:rPr>
          <w:rFonts w:ascii="Simplified Arabic" w:eastAsia="Calibri"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أهم تطبيقات البلوكتشين تشمل</w:t>
      </w:r>
      <w:r>
        <w:rPr>
          <w:rFonts w:ascii="Simplified Arabic" w:eastAsia="Calibri" w:hAnsi="Simplified Arabic" w:cs="Simplified Arabic"/>
          <w:b/>
          <w:bCs/>
          <w:sz w:val="28"/>
          <w:szCs w:val="28"/>
          <w:lang w:bidi="ar-EG"/>
        </w:rPr>
        <w:t>:</w:t>
      </w:r>
    </w:p>
    <w:p w:rsidR="00706C10" w:rsidRDefault="00706C10" w:rsidP="00706C10">
      <w:pPr>
        <w:numPr>
          <w:ilvl w:val="0"/>
          <w:numId w:val="21"/>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العملات الرقمية</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أول تطبيق واسع النطاق للبلوك تشين كان في العملات الرقمية مثل البيتكوين، حيث يُستخدم لتسجيل والتحقق من المعاملات دون الحاجة إلى وسطاء</w:t>
      </w:r>
      <w:r>
        <w:rPr>
          <w:rFonts w:ascii="Simplified Arabic" w:eastAsia="Calibri" w:hAnsi="Simplified Arabic" w:cs="Simplified Arabic"/>
          <w:sz w:val="28"/>
          <w:szCs w:val="28"/>
          <w:lang w:bidi="ar-EG"/>
        </w:rPr>
        <w:t>.</w:t>
      </w:r>
      <w:r>
        <w:rPr>
          <w:rFonts w:ascii="Simplified Arabic" w:eastAsia="MS Gothic" w:hAnsi="Simplified Arabic" w:cs="Simplified Arabic"/>
          <w:sz w:val="24"/>
          <w:szCs w:val="24"/>
          <w:lang w:bidi="ar-EG"/>
        </w:rPr>
        <w:t xml:space="preserve"> (</w:t>
      </w:r>
      <w:r>
        <w:rPr>
          <w:rFonts w:ascii="Simplified Arabic" w:eastAsia="Calibri" w:hAnsi="Simplified Arabic" w:cs="Simplified Arabic"/>
          <w:sz w:val="24"/>
          <w:szCs w:val="24"/>
          <w:lang w:bidi="ar-EG"/>
        </w:rPr>
        <w:t>Nakamoto, 2008</w:t>
      </w:r>
      <w:r>
        <w:rPr>
          <w:rFonts w:ascii="Simplified Arabic" w:eastAsia="MS Gothic" w:hAnsi="Simplified Arabic" w:cs="Simplified Arabic"/>
          <w:sz w:val="24"/>
          <w:szCs w:val="24"/>
          <w:lang w:bidi="ar-EG"/>
        </w:rPr>
        <w:t>)</w:t>
      </w:r>
      <w:r>
        <w:rPr>
          <w:rFonts w:ascii="Simplified Arabic" w:eastAsia="Calibri" w:hAnsi="Simplified Arabic" w:cs="Simplified Arabic"/>
          <w:sz w:val="24"/>
          <w:szCs w:val="24"/>
          <w:lang w:bidi="ar-EG"/>
        </w:rPr>
        <w:t>.</w:t>
      </w:r>
    </w:p>
    <w:p w:rsidR="00706C10" w:rsidRDefault="00706C10" w:rsidP="00706C10">
      <w:pPr>
        <w:numPr>
          <w:ilvl w:val="0"/>
          <w:numId w:val="21"/>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العقود الذكية</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في العقود الذكية، يتم استخدام البلوكتشين لتطوير عقود ذاتية التنفيذ تعتمد على الشروط المحددة مسبقًا، مما يقلل من الحاجة إلى الوسطاء ويعزز الشفافية</w:t>
      </w:r>
      <w:r>
        <w:rPr>
          <w:rFonts w:ascii="Simplified Arabic" w:eastAsia="Calibri" w:hAnsi="Simplified Arabic" w:cs="Simplified Arabic"/>
          <w:sz w:val="28"/>
          <w:szCs w:val="28"/>
          <w:lang w:bidi="ar-EG"/>
        </w:rPr>
        <w:t>.</w:t>
      </w:r>
      <w:r>
        <w:rPr>
          <w:rFonts w:ascii="Simplified Arabic" w:eastAsia="MS Gothic" w:hAnsi="Simplified Arabic" w:cs="Simplified Arabic"/>
          <w:sz w:val="24"/>
          <w:szCs w:val="24"/>
          <w:lang w:bidi="ar-EG"/>
        </w:rPr>
        <w:t xml:space="preserve"> (</w:t>
      </w:r>
      <w:r>
        <w:rPr>
          <w:rFonts w:ascii="Simplified Arabic" w:eastAsia="Calibri" w:hAnsi="Simplified Arabic" w:cs="Simplified Arabic"/>
          <w:sz w:val="24"/>
          <w:szCs w:val="24"/>
          <w:lang w:bidi="ar-EG"/>
        </w:rPr>
        <w:t>Buterin, 2014</w:t>
      </w:r>
      <w:r>
        <w:rPr>
          <w:rFonts w:ascii="Simplified Arabic" w:eastAsia="MS Gothic" w:hAnsi="Simplified Arabic" w:cs="Simplified Arabic"/>
          <w:sz w:val="24"/>
          <w:szCs w:val="24"/>
          <w:lang w:bidi="ar-EG"/>
        </w:rPr>
        <w:t>)</w:t>
      </w:r>
    </w:p>
    <w:p w:rsidR="00706C10" w:rsidRDefault="00706C10" w:rsidP="00706C10">
      <w:pPr>
        <w:numPr>
          <w:ilvl w:val="0"/>
          <w:numId w:val="21"/>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سلاسل التوريد</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البلوكتشين يُستخدم في تحسين إدارة سلاسل التوريد من خلال توفير سجلات دقيقة وقابلة للتحقق حول مصدر المنتجات وحالتها في أي لحظة</w:t>
      </w:r>
      <w:r>
        <w:rPr>
          <w:rFonts w:ascii="Simplified Arabic" w:eastAsia="MS Gothic" w:hAnsi="Simplified Arabic" w:cs="Simplified Arabic"/>
          <w:sz w:val="24"/>
          <w:szCs w:val="24"/>
          <w:lang w:bidi="ar-EG"/>
        </w:rPr>
        <w:t>(</w:t>
      </w:r>
      <w:r>
        <w:rPr>
          <w:rFonts w:ascii="Simplified Arabic" w:eastAsia="Calibri" w:hAnsi="Simplified Arabic" w:cs="Simplified Arabic"/>
          <w:sz w:val="24"/>
          <w:szCs w:val="24"/>
          <w:lang w:bidi="ar-EG"/>
        </w:rPr>
        <w:t>Tian, 2016</w:t>
      </w:r>
      <w:r>
        <w:rPr>
          <w:rFonts w:ascii="Simplified Arabic" w:eastAsia="MS Gothic" w:hAnsi="Simplified Arabic" w:cs="Simplified Arabic"/>
          <w:sz w:val="24"/>
          <w:szCs w:val="24"/>
          <w:lang w:bidi="ar-EG"/>
        </w:rPr>
        <w:t>)</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sz w:val="28"/>
          <w:szCs w:val="28"/>
          <w:lang w:bidi="ar-EG"/>
        </w:rPr>
      </w:pPr>
    </w:p>
    <w:p w:rsidR="00706C10" w:rsidRDefault="00706C10" w:rsidP="00706C10">
      <w:pPr>
        <w:spacing w:line="360" w:lineRule="auto"/>
        <w:jc w:val="both"/>
        <w:rPr>
          <w:rFonts w:ascii="Simplified Arabic" w:eastAsia="Calibri" w:hAnsi="Simplified Arabic" w:cs="Simplified Arabic"/>
          <w:sz w:val="28"/>
          <w:szCs w:val="28"/>
          <w:lang w:bidi="ar-EG"/>
        </w:rPr>
      </w:pPr>
    </w:p>
    <w:p w:rsidR="00706C10" w:rsidRDefault="00706C10" w:rsidP="00706C10">
      <w:pPr>
        <w:spacing w:line="360" w:lineRule="auto"/>
        <w:ind w:left="65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lastRenderedPageBreak/>
        <w:t>2.1.5.3</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الحوسبة الكمومية</w:t>
      </w:r>
    </w:p>
    <w:p w:rsidR="00706C10" w:rsidRDefault="00706C10" w:rsidP="00706C10">
      <w:pPr>
        <w:spacing w:line="360" w:lineRule="auto"/>
        <w:ind w:left="720"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الحوسبة الكمومية هي نوع من الحوسبة التي تستغل الخصائص الفريدة للفيزياء الكمومية، مثل التراكب والتشابك الكمي. في حين أن الحوسبة التقليدية تعتمد على "البِتات" التي يمكن أن تكون إما 0 أو 1، تعتمد الحوسبة الكمومية على "الكيوبتات" التي يمكن أن تكون 0 و1 في الوقت نفسه بفضل خاصية التراكب</w:t>
      </w:r>
      <w:r>
        <w:rPr>
          <w:rFonts w:ascii="Simplified Arabic" w:eastAsia="Calibri"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ما يجعل الحوسبة الكمومية قوية هو قدرتها على حل مشاكل معقدة يصعب على الحواسيب التقليدية حلها في وقت معقول. على سبيل المثال، يمكن للحوسبة الكمومية أن تكون ثورية في مجالات مثل</w:t>
      </w:r>
      <w:r>
        <w:rPr>
          <w:rFonts w:ascii="Simplified Arabic" w:eastAsia="Calibri" w:hAnsi="Simplified Arabic" w:cs="Simplified Arabic"/>
          <w:sz w:val="28"/>
          <w:szCs w:val="28"/>
          <w:lang w:bidi="ar-EG"/>
        </w:rPr>
        <w:t>:</w:t>
      </w:r>
    </w:p>
    <w:p w:rsidR="00706C10" w:rsidRDefault="00706C10" w:rsidP="00706C10">
      <w:pPr>
        <w:numPr>
          <w:ilvl w:val="0"/>
          <w:numId w:val="22"/>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التشفير</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الحوسبة الكمومية يمكن أن تكسر أنظمة التشفير التقليدية، مما يخلق الحاجة إلى تطوير أنظمة تشفير جديدة تعتمد على المبادئ الكمومية</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Shor</w:t>
      </w:r>
      <w:r>
        <w:rPr>
          <w:rFonts w:ascii="Simplified Arabic" w:eastAsia="Calibri" w:hAnsi="Simplified Arabic" w:cs="Simplified Arabic"/>
          <w:sz w:val="28"/>
          <w:szCs w:val="28"/>
          <w:lang w:bidi="ar-EG"/>
        </w:rPr>
        <w:t>, 1994</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22"/>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المواد الكيميائية والأدوية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يمكن استخدام الحواسيب الكمومية لمحاكاة الجزيئات المعقدة بدقة، مما يسرع من اكتشاف الأدوية وتطوير مواد جديدة</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Montanaro</w:t>
      </w:r>
      <w:r>
        <w:rPr>
          <w:rFonts w:ascii="Simplified Arabic" w:eastAsia="Calibri" w:hAnsi="Simplified Arabic" w:cs="Simplified Arabic"/>
          <w:sz w:val="28"/>
          <w:szCs w:val="28"/>
          <w:lang w:bidi="ar-EG"/>
        </w:rPr>
        <w:t>, 2016</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22"/>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تحسين العمليات</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الحوسبة الكمومية يمكن أن تساهم في تحسين العمليات الصناعية من خلال حل المشاكل المعقدة مثل تحسين سلاسل التوريد أو تصميم المركبات</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Feynman</w:t>
      </w:r>
      <w:r>
        <w:rPr>
          <w:rFonts w:ascii="Simplified Arabic" w:eastAsia="Calibri" w:hAnsi="Simplified Arabic" w:cs="Simplified Arabic"/>
          <w:sz w:val="28"/>
          <w:szCs w:val="28"/>
          <w:lang w:bidi="ar-EG"/>
        </w:rPr>
        <w:t>, 1982</w:t>
      </w:r>
      <w:r>
        <w:rPr>
          <w:rFonts w:ascii="Simplified Arabic" w:eastAsia="MS Gothic"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2.1.5.4 إنترنت</w:t>
      </w:r>
      <w:r>
        <w:rPr>
          <w:rFonts w:ascii="Simplified Arabic" w:eastAsia="Calibri" w:hAnsi="Simplified Arabic" w:cs="Simplified Arabic"/>
          <w:b/>
          <w:bCs/>
          <w:sz w:val="28"/>
          <w:szCs w:val="28"/>
          <w:rtl/>
        </w:rPr>
        <w:t xml:space="preserve"> الأشياء</w:t>
      </w:r>
      <w:r>
        <w:rPr>
          <w:rFonts w:ascii="Simplified Arabic" w:eastAsia="Calibri" w:hAnsi="Simplified Arabic" w:cs="Simplified Arabic"/>
          <w:b/>
          <w:bCs/>
          <w:sz w:val="28"/>
          <w:szCs w:val="28"/>
          <w:lang w:bidi="ar-EG"/>
        </w:rPr>
        <w:t xml:space="preserve"> (IoT)</w:t>
      </w:r>
    </w:p>
    <w:p w:rsidR="00706C10" w:rsidRDefault="00706C10" w:rsidP="00706C10">
      <w:pPr>
        <w:spacing w:line="360" w:lineRule="auto"/>
        <w:ind w:left="720"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إنترنت الأشياء</w:t>
      </w:r>
      <w:r>
        <w:rPr>
          <w:rFonts w:ascii="Simplified Arabic" w:eastAsia="Calibri" w:hAnsi="Simplified Arabic" w:cs="Simplified Arabic"/>
          <w:sz w:val="28"/>
          <w:szCs w:val="28"/>
          <w:lang w:bidi="ar-EG"/>
        </w:rPr>
        <w:t xml:space="preserve"> (IoT) </w:t>
      </w:r>
      <w:r>
        <w:rPr>
          <w:rFonts w:ascii="Simplified Arabic" w:eastAsia="Calibri" w:hAnsi="Simplified Arabic" w:cs="Simplified Arabic"/>
          <w:sz w:val="28"/>
          <w:szCs w:val="28"/>
          <w:rtl/>
        </w:rPr>
        <w:t>هو شبكة من الأجهزة المترابطة التي تتواصل مع بعضها البعض وتجمع وتبادل البيانات دون تدخل بشري. يمكن أن تشمل هذه الأجهزة كل شيء من الهواتف الذكية إلى الأجهزة المنزلية الذكية والمركبات المتصلة وحتى الأنظمة الصناعية</w:t>
      </w:r>
      <w:r>
        <w:rPr>
          <w:rFonts w:ascii="Simplified Arabic" w:eastAsia="Calibri"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بفضل إنترنت الأشياء، يمكن للأجهزة الذكية جمع البيانات حول كيفية استخدامها أو حول البيئة المحيطة بها وإرسال هذه البيانات إلى أنظمة معالجة مركزية لتحليلها واستخدامها لتحسين الأداء أو تقديم خدمات جديدة. تشمل بعض التطبيقات الرئيسية لإنترنت الأشياء</w:t>
      </w:r>
      <w:r>
        <w:rPr>
          <w:rFonts w:ascii="Simplified Arabic" w:eastAsia="Calibri" w:hAnsi="Simplified Arabic" w:cs="Simplified Arabic"/>
          <w:sz w:val="28"/>
          <w:szCs w:val="28"/>
          <w:lang w:bidi="ar-EG"/>
        </w:rPr>
        <w:t>:</w:t>
      </w:r>
    </w:p>
    <w:p w:rsidR="00706C10" w:rsidRDefault="00706C10" w:rsidP="00706C10">
      <w:pPr>
        <w:numPr>
          <w:ilvl w:val="0"/>
          <w:numId w:val="23"/>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المدن الذكية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إنترنت الأشياء يُستخدم لتحسين البنية التحتية في المدن، مثل إدارة المرور، توفير الطاقة، وتقليل التلوث</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Zanella et al</w:t>
      </w:r>
      <w:r>
        <w:rPr>
          <w:rFonts w:ascii="Simplified Arabic" w:eastAsia="Calibri" w:hAnsi="Simplified Arabic" w:cs="Simplified Arabic"/>
          <w:sz w:val="28"/>
          <w:szCs w:val="28"/>
          <w:lang w:bidi="ar-EG"/>
        </w:rPr>
        <w:t>., 2014</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23"/>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الرعاية الصحية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الأجهزة الطبية المتصلة بالإنترنت تتيح مراقبة حالة المرضى عن بُعد، مما يساعد الأطباء في تقديم رعاية أفضل وتشخيص أكثر دقة</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Islam et al.</w:t>
      </w:r>
      <w:r>
        <w:rPr>
          <w:rFonts w:ascii="Simplified Arabic" w:eastAsia="Calibri" w:hAnsi="Simplified Arabic" w:cs="Simplified Arabic"/>
          <w:sz w:val="28"/>
          <w:szCs w:val="28"/>
          <w:lang w:bidi="ar-EG"/>
        </w:rPr>
        <w:t>, 2015</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23"/>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الزراعة الذكية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في الزراعة، يُستخدم إنترنت الأشياء لتحسين إنتاجية المحاصيل من خلال توفير البيانات حول التربة والمياه والطقس، مما يساعد المزارعين على اتخاذ قرارات مدروسة بشأن الزراعة</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Wolfert et al.</w:t>
      </w:r>
      <w:r>
        <w:rPr>
          <w:rFonts w:ascii="Simplified Arabic" w:eastAsia="Calibri" w:hAnsi="Simplified Arabic" w:cs="Simplified Arabic"/>
          <w:sz w:val="28"/>
          <w:szCs w:val="28"/>
          <w:lang w:bidi="ar-EG"/>
        </w:rPr>
        <w:t>, 2017</w:t>
      </w:r>
      <w:r>
        <w:rPr>
          <w:rFonts w:ascii="Simplified Arabic" w:eastAsia="MS Gothic"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33" w:name="_Toc181308889"/>
      <w:r>
        <w:rPr>
          <w:rFonts w:ascii="Simplified Arabic" w:eastAsia="Calibri" w:hAnsi="Simplified Arabic" w:cs="Simplified Arabic"/>
          <w:b/>
          <w:bCs/>
          <w:sz w:val="32"/>
          <w:szCs w:val="32"/>
          <w:rtl/>
        </w:rPr>
        <w:t>2.1.6 تطبيقات التقنيات الناشئة وتأثيرها</w:t>
      </w:r>
      <w:bookmarkEnd w:id="33"/>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استخدام التقنيات الناشئة في مجالات مثل الرعاية الصحية والصناعة والتمويل</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التقنيات الناشئة تمثل أحد المحركات الأساسية للتغيير في العديد من الصناعات حول العالم. مع التطور السريع في مجالات الذكاء الاصطناعي، البلوكتشين، الحوسبة الكمومية، وإنترنت الأشياء</w:t>
      </w:r>
      <w:r>
        <w:rPr>
          <w:rFonts w:ascii="Simplified Arabic" w:eastAsia="Calibri" w:hAnsi="Simplified Arabic" w:cs="Simplified Arabic"/>
          <w:sz w:val="28"/>
          <w:szCs w:val="28"/>
          <w:lang w:bidi="ar-EG"/>
        </w:rPr>
        <w:t xml:space="preserve"> (IoT)</w:t>
      </w:r>
      <w:r>
        <w:rPr>
          <w:rFonts w:ascii="Simplified Arabic" w:eastAsia="Calibri" w:hAnsi="Simplified Arabic" w:cs="Simplified Arabic"/>
          <w:sz w:val="28"/>
          <w:szCs w:val="28"/>
          <w:rtl/>
        </w:rPr>
        <w:t>،</w:t>
      </w:r>
      <w:r>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rtl/>
        </w:rPr>
        <w:t>نجد أن هذه التقنيات تُحدث تحولًا جذريًا في كيفية إدارة الأعمال وتقديم الخدمات، فضلاً عن دورها في تحسين الكفاءة، الإنتاجية، واتخاذ القرارات</w:t>
      </w:r>
      <w:r>
        <w:rPr>
          <w:rFonts w:ascii="Simplified Arabic" w:eastAsia="Calibri" w:hAnsi="Simplified Arabic" w:cs="Simplified Arabic"/>
          <w:sz w:val="28"/>
          <w:szCs w:val="28"/>
          <w:lang w:bidi="ar-EG"/>
        </w:rPr>
        <w:t>.</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p>
    <w:p w:rsidR="00706C10" w:rsidRDefault="00706C10" w:rsidP="00706C10">
      <w:pPr>
        <w:pStyle w:val="ListParagraph"/>
        <w:numPr>
          <w:ilvl w:val="3"/>
          <w:numId w:val="24"/>
        </w:numPr>
        <w:spacing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الرعاية الصحية</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التأثير في تشخيص الأمراض والعلاج</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الرعاية الصحية تُعد من أكثر القطاعات التي استفادت من التطورات في التقنيات الناشئة. تقنيات الذكاء الاصطناعي والتعلم الآلي تساهم بشكل كبير في تحسين دقة التشخيص، وذلك من خلال تحليل البيانات الصحية الكبيرة. على سبيل المثال، يمكن للأنظمة المعتمدة على التعلم الآلي تحليل صور الأشعة السينية أو</w:t>
      </w:r>
      <w:r>
        <w:rPr>
          <w:rFonts w:ascii="Simplified Arabic" w:eastAsia="Calibri" w:hAnsi="Simplified Arabic" w:cs="Simplified Arabic"/>
          <w:sz w:val="28"/>
          <w:szCs w:val="28"/>
          <w:lang w:bidi="ar-EG"/>
        </w:rPr>
        <w:t xml:space="preserve"> MRI </w:t>
      </w:r>
      <w:r>
        <w:rPr>
          <w:rFonts w:ascii="Simplified Arabic" w:eastAsia="Calibri" w:hAnsi="Simplified Arabic" w:cs="Simplified Arabic"/>
          <w:sz w:val="28"/>
          <w:szCs w:val="28"/>
          <w:rtl/>
        </w:rPr>
        <w:t>بدقة عالية، مما يُمكّن الأطباء من اكتشاف الأمراض مثل السرطان في مراحل مبكرة</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تقنيات الذكاء الاصطناعي قادرة على تحليل كميات ضخمة من البيانات الطبية بوقت قصير للغاية، وهذا يساعد في تحسين سرعة ودقة التشخيص. دراسة لـ </w:t>
      </w:r>
      <w:r>
        <w:rPr>
          <w:rFonts w:ascii="Simplified Arabic" w:eastAsia="Calibri" w:hAnsi="Simplified Arabic" w:cs="Simplified Arabic"/>
          <w:sz w:val="28"/>
          <w:szCs w:val="28"/>
          <w:lang w:bidi="ar-EG"/>
        </w:rPr>
        <w:t xml:space="preserve">Topol (2019) </w:t>
      </w:r>
      <w:r>
        <w:rPr>
          <w:rFonts w:ascii="Simplified Arabic" w:eastAsia="Calibri" w:hAnsi="Simplified Arabic" w:cs="Simplified Arabic"/>
          <w:sz w:val="28"/>
          <w:szCs w:val="28"/>
          <w:rtl/>
        </w:rPr>
        <w:t>أظهرت أن الذكاء الاصطناعي يمكن أن يكون أداة قوية في تحسين رعاية المرضى من خلال تقديم توصيات علاجية دقيقة، مما يقلل من الأخطاء الطبية</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إدارة البيانات الصحية</w:t>
      </w:r>
      <w:r>
        <w:rPr>
          <w:rFonts w:ascii="Simplified Arabic" w:eastAsia="Calibri" w:hAnsi="Simplified Arabic" w:cs="Simplified Arabic"/>
          <w:b/>
          <w:bCs/>
          <w:sz w:val="28"/>
          <w:szCs w:val="28"/>
          <w:rtl/>
          <w:lang w:bidi="ar-EG"/>
        </w:rPr>
        <w:t>:</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 xml:space="preserve">من جهة أخرى، تُستخدم تقنية البلوكتشين في مجال الرعاية الصحية لضمان أمان وسرية البيانات الطبية. يمكن أن تساعد تقنية البلوكتشين في إدارة سجلات المرضى بطريقة تضمن الخصوصية </w:t>
      </w:r>
      <w:r>
        <w:rPr>
          <w:rFonts w:ascii="Simplified Arabic" w:eastAsia="Calibri" w:hAnsi="Simplified Arabic" w:cs="Simplified Arabic"/>
          <w:sz w:val="28"/>
          <w:szCs w:val="28"/>
          <w:rtl/>
        </w:rPr>
        <w:lastRenderedPageBreak/>
        <w:t>وتسهّل الوصول إلى البيانات من قبل الأطباء المعنيين، مما يساهم في تقديم رعاية صحية أكثر فعالية وأمانًا</w:t>
      </w:r>
      <w:r>
        <w:rPr>
          <w:rFonts w:ascii="Simplified Arabic" w:eastAsia="Calibri" w:hAnsi="Simplified Arabic" w:cs="Simplified Arabic"/>
          <w:sz w:val="28"/>
          <w:szCs w:val="28"/>
          <w:lang w:bidi="ar-EG"/>
        </w:rPr>
        <w:t xml:space="preserve"> (Zhang et al., 2018).</w:t>
      </w:r>
    </w:p>
    <w:p w:rsidR="00706C10" w:rsidRDefault="00706C10" w:rsidP="00706C10">
      <w:pPr>
        <w:pStyle w:val="ListParagraph"/>
        <w:numPr>
          <w:ilvl w:val="3"/>
          <w:numId w:val="24"/>
        </w:numPr>
        <w:spacing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الصناعة</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الأتمتة وتحسين الكفاءة</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الصناعة هي إحدى القطاعات التي شهدت تغييرًا جذريًا بسبب الأتمتة وتقنيات الذكاء الاصطناعي. الروبوتات الصناعية المزودة بأنظمة ذكاء اصطناعي قادرة على تنفيذ المهام المتكررة والمعقدة بدقة عالية وبسرعة تفوق القدرات البشرية، مما يقلل من نسبة الأخطاء ويحسّن الإنتاجية</w:t>
      </w:r>
      <w:r>
        <w:rPr>
          <w:rFonts w:ascii="Simplified Arabic" w:eastAsia="Calibri" w:hAnsi="Simplified Arabic" w:cs="Simplified Arabic"/>
          <w:sz w:val="28"/>
          <w:szCs w:val="28"/>
          <w:lang w:bidi="ar-EG"/>
        </w:rPr>
        <w:t>.</w:t>
      </w:r>
    </w:p>
    <w:p w:rsidR="00706C10" w:rsidRDefault="00706C10" w:rsidP="00706C10">
      <w:pPr>
        <w:spacing w:line="360" w:lineRule="auto"/>
        <w:ind w:left="720"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تقنية إنترنت الأشياء</w:t>
      </w:r>
      <w:r>
        <w:rPr>
          <w:rFonts w:ascii="Simplified Arabic" w:eastAsia="Calibri" w:hAnsi="Simplified Arabic" w:cs="Simplified Arabic"/>
          <w:sz w:val="28"/>
          <w:szCs w:val="28"/>
          <w:lang w:bidi="ar-EG"/>
        </w:rPr>
        <w:t xml:space="preserve"> (IoT) </w:t>
      </w:r>
      <w:r>
        <w:rPr>
          <w:rFonts w:ascii="Simplified Arabic" w:eastAsia="Calibri" w:hAnsi="Simplified Arabic" w:cs="Simplified Arabic"/>
          <w:sz w:val="28"/>
          <w:szCs w:val="28"/>
          <w:rtl/>
        </w:rPr>
        <w:t xml:space="preserve">لها دور محوري في تحسين الكفاءة التشغيلية. فهي تمكّن الأجهزة والمعدات من التواصل مع بعضها البعض وتقديم بيانات مستمرة عن حالتها وأدائها. هذا يسمح للصناعات بمراقبة المعدات بفعالية أكبر، مما يقلل من التوقفات غير المخطط لها ويعزز الإنتاجية. دراسة لـ </w:t>
      </w:r>
      <w:r>
        <w:rPr>
          <w:rFonts w:ascii="Simplified Arabic" w:eastAsia="Calibri" w:hAnsi="Simplified Arabic" w:cs="Simplified Arabic"/>
          <w:sz w:val="28"/>
          <w:szCs w:val="28"/>
          <w:lang w:bidi="ar-EG"/>
        </w:rPr>
        <w:t xml:space="preserve">Kumar et al. (2020) </w:t>
      </w:r>
      <w:r>
        <w:rPr>
          <w:rFonts w:ascii="Simplified Arabic" w:eastAsia="Calibri" w:hAnsi="Simplified Arabic" w:cs="Simplified Arabic"/>
          <w:sz w:val="28"/>
          <w:szCs w:val="28"/>
          <w:rtl/>
        </w:rPr>
        <w:t>أوضحت أن استخدام</w:t>
      </w:r>
      <w:r>
        <w:rPr>
          <w:rFonts w:ascii="Simplified Arabic" w:eastAsia="Calibri" w:hAnsi="Simplified Arabic" w:cs="Simplified Arabic"/>
          <w:sz w:val="28"/>
          <w:szCs w:val="28"/>
          <w:lang w:bidi="ar-EG"/>
        </w:rPr>
        <w:t xml:space="preserve"> IoT </w:t>
      </w:r>
      <w:r>
        <w:rPr>
          <w:rFonts w:ascii="Simplified Arabic" w:eastAsia="Calibri" w:hAnsi="Simplified Arabic" w:cs="Simplified Arabic"/>
          <w:sz w:val="28"/>
          <w:szCs w:val="28"/>
          <w:rtl/>
        </w:rPr>
        <w:t>في سلاسل التوريد يساهم في تحسين الكفاءة التشغيلية وتقليل التكاليف من خلال التنبؤ بالمشاكل قبل وقوعها</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التحكم في الجودة</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بالإضافة إلى ذلك، الذكاء الاصطناعي يلعب دورًا في تحسين جودة المنتجات. فبفضل تقنيات مثل التعلم العميق، يمكن لأنظمة الذكاء الاصطناعي تحليل بيانات الإنتاج وضبط العمليات التصنيعية لتحقيق مستوى أعلى من الجودة</w:t>
      </w:r>
      <w:r>
        <w:rPr>
          <w:rFonts w:ascii="Simplified Arabic" w:eastAsia="Calibri" w:hAnsi="Simplified Arabic" w:cs="Simplified Arabic"/>
          <w:sz w:val="28"/>
          <w:szCs w:val="28"/>
          <w:lang w:bidi="ar-EG"/>
        </w:rPr>
        <w:t xml:space="preserve"> (Lee et al., 2018).</w:t>
      </w:r>
    </w:p>
    <w:p w:rsidR="00706C10" w:rsidRDefault="00706C10" w:rsidP="00706C10">
      <w:pPr>
        <w:pStyle w:val="ListParagraph"/>
        <w:numPr>
          <w:ilvl w:val="3"/>
          <w:numId w:val="24"/>
        </w:numPr>
        <w:spacing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التمويل</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lastRenderedPageBreak/>
        <w:t>إدارة المخاطر واتخاذ القرارات</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في قطاع التمويل، التقنيات الناشئة أصبحت أداة رئيسية في إدارة المخاطر واتخاذ القرارات المالية. تقنيات الذكاء الاصطناعي تُستخدم لتحليل بيانات السوق الكبيرة بهدف التنبؤ بالتحركات المستقبلية للأسواق المالية، مما يساعد الشركات والمستثمرين على اتخاذ قرارات استثمارية مدروسة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التحول الرقمي والأمان</w:t>
      </w:r>
      <w:r>
        <w:rPr>
          <w:rFonts w:ascii="Simplified Arabic" w:eastAsia="Calibri" w:hAnsi="Simplified Arabic" w:cs="Simplified Arabic"/>
          <w:b/>
          <w:bCs/>
          <w:sz w:val="28"/>
          <w:szCs w:val="28"/>
          <w:rtl/>
          <w:lang w:bidi="ar-EG"/>
        </w:rPr>
        <w:t>:</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تقنية البلوكتشين أحدثت تحولاً كبيرًا في قطاع التمويل من خلال تقديم حلول آمنة لتسجيل المعاملات المالية. بفضل البلوكتشين، يمكن تأكيد صحة المعاملات بدون الحاجة إلى وسيط ثالث، مما يقلل من التكاليف ويزيد من الشفافية. في مجال العملات الرقمية، على سبيل المثال، يتم استخدام البلوكتشين لضمان أمان التعاملات وتقليل الاحتيال</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Nakamoto</w:t>
      </w:r>
      <w:r>
        <w:rPr>
          <w:rFonts w:ascii="Simplified Arabic" w:eastAsia="Calibri" w:hAnsi="Simplified Arabic" w:cs="Simplified Arabic"/>
          <w:sz w:val="28"/>
          <w:szCs w:val="28"/>
          <w:lang w:bidi="ar-EG"/>
        </w:rPr>
        <w:t>, 2008).</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التحليل التنبؤي</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أيضاً، يُستخدم الذكاء الاصطناعي في التحليل التنبؤي للأسواق المالية وتحليل بيانات العملاء لتقديم خدمات مالية شخصية</w:t>
      </w:r>
      <w:r>
        <w:rPr>
          <w:rFonts w:ascii="Simplified Arabic" w:eastAsia="Calibri" w:hAnsi="Simplified Arabic" w:cs="Simplified Arabic"/>
          <w:sz w:val="28"/>
          <w:szCs w:val="28"/>
          <w:lang w:bidi="ar-EG"/>
        </w:rPr>
        <w:t>. (</w:t>
      </w:r>
      <w:r>
        <w:rPr>
          <w:rFonts w:ascii="Simplified Arabic" w:eastAsia="Calibri" w:hAnsi="Simplified Arabic" w:cs="Simplified Arabic"/>
          <w:sz w:val="24"/>
          <w:szCs w:val="24"/>
          <w:lang w:bidi="ar-EG"/>
        </w:rPr>
        <w:t xml:space="preserve">Ng. </w:t>
      </w:r>
      <w:r>
        <w:rPr>
          <w:rFonts w:ascii="Simplified Arabic" w:eastAsia="Calibri" w:hAnsi="Simplified Arabic" w:cs="Simplified Arabic"/>
          <w:sz w:val="28"/>
          <w:szCs w:val="28"/>
          <w:lang w:bidi="ar-EG"/>
        </w:rPr>
        <w:t xml:space="preserve">2020) </w:t>
      </w:r>
      <w:r>
        <w:rPr>
          <w:rFonts w:ascii="Simplified Arabic" w:eastAsia="Calibri" w:hAnsi="Simplified Arabic" w:cs="Simplified Arabic"/>
          <w:sz w:val="28"/>
          <w:szCs w:val="28"/>
          <w:rtl/>
        </w:rPr>
        <w:t>أشار إلى أن الذكاء الاصطناعي يساهم في تحسين تجربة العملاء من خلال تخصيص العروض المالية بناءً على سلوكيات العملاء وتحليل بياناتهم</w:t>
      </w:r>
      <w:r>
        <w:rPr>
          <w:rFonts w:ascii="Simplified Arabic" w:eastAsia="Calibri"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34" w:name="_Toc181308890"/>
      <w:r>
        <w:rPr>
          <w:rFonts w:ascii="Simplified Arabic" w:eastAsia="Calibri" w:hAnsi="Simplified Arabic" w:cs="Simplified Arabic"/>
          <w:b/>
          <w:bCs/>
          <w:sz w:val="32"/>
          <w:szCs w:val="32"/>
          <w:rtl/>
        </w:rPr>
        <w:t>2.1.7 تأثير التقنيات الناشئة على الكفاءة والإنتاجية</w:t>
      </w:r>
      <w:bookmarkEnd w:id="34"/>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التقنيات الناشئة لها تأثير كبير على الكفاءة والإنتاجية في العديد من الصناعات. يمكن لهذه التقنيات أن تُحدث تحسينات هائلة في كيفية أداء الأعمال وتقليل الهدر في الموارد</w:t>
      </w:r>
      <w:r>
        <w:rPr>
          <w:rFonts w:ascii="Simplified Arabic" w:eastAsia="Calibri" w:hAnsi="Simplified Arabic" w:cs="Simplified Arabic"/>
          <w:sz w:val="28"/>
          <w:szCs w:val="28"/>
          <w:lang w:bidi="ar-EG"/>
        </w:rPr>
        <w:t>.</w:t>
      </w:r>
    </w:p>
    <w:p w:rsidR="00706C10" w:rsidRDefault="00706C10" w:rsidP="00706C10">
      <w:pPr>
        <w:pStyle w:val="ListParagraph"/>
        <w:numPr>
          <w:ilvl w:val="3"/>
          <w:numId w:val="26"/>
        </w:numPr>
        <w:spacing w:line="360" w:lineRule="auto"/>
        <w:ind w:left="1106"/>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الذكاء الاصطناعي والتعلم الآلي</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lastRenderedPageBreak/>
        <w:t>زيادة الإنتاجية</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الذكاء الاصطناعي يُعد من أهم الأدوات التي تعزز الإنتاجية في المؤسسات. على سبيل المثال، يمكن للذكاء الاصطناعي أتمتة العمليات الروتينية، مثل معالجة البيانات وتحليلها، مما يُتيح للموظفين التركيز على المهام الأكثر إبداعية واستراتيجية</w:t>
      </w:r>
    </w:p>
    <w:p w:rsidR="00706C10" w:rsidRDefault="00706C10" w:rsidP="00706C10">
      <w:pPr>
        <w:pStyle w:val="ListParagraph"/>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Brown &amp; Lee</w:t>
      </w:r>
      <w:r>
        <w:rPr>
          <w:rFonts w:ascii="Simplified Arabic" w:eastAsia="Calibri" w:hAnsi="Simplified Arabic" w:cs="Simplified Arabic"/>
          <w:sz w:val="28"/>
          <w:szCs w:val="28"/>
          <w:lang w:bidi="ar-EG"/>
        </w:rPr>
        <w:t>, 2021).</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تحسين اتخاذ القرارات</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التعلم الآلي، أحد فروع الذكاء الاصطناعي، يُستخدم لتطوير نماذج تحليلية تساعد في اتخاذ قرارات أسرع وأدق بناءً على البيانات الحالية والتاريخية. في مجالات مثل التصنيع، يمكن للتعلم الآلي تحسين كفاءة العمليات من خلال التنبؤ بالمتغيرات المستقبلية بناءً على الأنماط السابقة، مما يساعد في تحسين الإنتاجية وتخفيض التكاليف</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Topol</w:t>
      </w:r>
      <w:r>
        <w:rPr>
          <w:rFonts w:ascii="Simplified Arabic" w:eastAsia="Calibri" w:hAnsi="Simplified Arabic" w:cs="Simplified Arabic"/>
          <w:sz w:val="28"/>
          <w:szCs w:val="28"/>
          <w:lang w:bidi="ar-EG"/>
        </w:rPr>
        <w:t>, 2019).</w:t>
      </w:r>
    </w:p>
    <w:p w:rsidR="00706C10" w:rsidRDefault="00706C10" w:rsidP="00706C10">
      <w:pPr>
        <w:pStyle w:val="ListParagraph"/>
        <w:spacing w:line="360" w:lineRule="auto"/>
        <w:jc w:val="both"/>
        <w:rPr>
          <w:rFonts w:ascii="Simplified Arabic" w:eastAsia="Calibri" w:hAnsi="Simplified Arabic" w:cs="Simplified Arabic"/>
          <w:sz w:val="28"/>
          <w:szCs w:val="28"/>
          <w:lang w:bidi="ar-EG"/>
        </w:rPr>
      </w:pPr>
    </w:p>
    <w:p w:rsidR="00706C10" w:rsidRDefault="00706C10" w:rsidP="00706C10">
      <w:pPr>
        <w:pStyle w:val="ListParagraph"/>
        <w:numPr>
          <w:ilvl w:val="3"/>
          <w:numId w:val="26"/>
        </w:numPr>
        <w:spacing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البلوكتشين</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تحسين الشفافية والكفاءة</w:t>
      </w:r>
      <w:r>
        <w:rPr>
          <w:rFonts w:ascii="Simplified Arabic" w:eastAsia="Calibri" w:hAnsi="Simplified Arabic" w:cs="Simplified Arabic"/>
          <w:b/>
          <w:bCs/>
          <w:sz w:val="28"/>
          <w:szCs w:val="28"/>
          <w:rtl/>
          <w:lang w:bidi="ar-EG"/>
        </w:rPr>
        <w:t>:</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تقنية البلوكتشين تُساهم في تعزيز الشفافية والكفاءة، خاصة في الصناعات التي تعتمد على سلاسل التوريد. من خلال البلوكتشين، يمكن تتبع المنتجات من مرحلة الإنتاج إلى التسليم النهائي بطريقة آمنة وشفافة، مما يقلل من التلاعب ويحسن الكفاءة التشغيلية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Tian</w:t>
      </w:r>
      <w:r>
        <w:rPr>
          <w:rFonts w:ascii="Simplified Arabic" w:eastAsia="Calibri" w:hAnsi="Simplified Arabic" w:cs="Simplified Arabic"/>
          <w:sz w:val="28"/>
          <w:szCs w:val="28"/>
          <w:lang w:bidi="ar-EG"/>
        </w:rPr>
        <w:t>, 2016).</w:t>
      </w:r>
    </w:p>
    <w:p w:rsidR="00706C10" w:rsidRDefault="00706C10" w:rsidP="00706C10">
      <w:pPr>
        <w:pStyle w:val="ListParagraph"/>
        <w:numPr>
          <w:ilvl w:val="0"/>
          <w:numId w:val="25"/>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تقليل التكاليف التشغيلية</w:t>
      </w:r>
      <w:r>
        <w:rPr>
          <w:rFonts w:ascii="Simplified Arabic" w:eastAsia="Calibri" w:hAnsi="Simplified Arabic" w:cs="Simplified Arabic"/>
          <w:b/>
          <w:bCs/>
          <w:sz w:val="28"/>
          <w:szCs w:val="28"/>
          <w:rtl/>
          <w:lang w:bidi="ar-EG"/>
        </w:rPr>
        <w:t>:</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البلوكتشين يقلل من الحاجة إلى الوسطاء في المعاملات المالية والتجارية، مما يؤدي إلى تخفيض التكاليف التشغيلية. كما أنه يتيح للشركات تنفيذ العقود الذكية التي تُنفّذ بشكل تلقائي عند تحقيق شروط معينة، مما يقلل من الحاجة إلى مراجعة يدوية ويزيد من الكفاءة</w:t>
      </w:r>
      <w:r>
        <w:rPr>
          <w:rFonts w:ascii="Simplified Arabic" w:eastAsia="Calibri" w:hAnsi="Simplified Arabic" w:cs="Simplified Arabic"/>
          <w:sz w:val="28"/>
          <w:szCs w:val="28"/>
          <w:lang w:bidi="ar-EG"/>
        </w:rPr>
        <w:t xml:space="preserve"> (Buterin, 2014).</w:t>
      </w:r>
    </w:p>
    <w:p w:rsidR="00706C10" w:rsidRDefault="00706C10" w:rsidP="00706C10">
      <w:pPr>
        <w:pStyle w:val="ListParagraph"/>
        <w:numPr>
          <w:ilvl w:val="3"/>
          <w:numId w:val="26"/>
        </w:numPr>
        <w:spacing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الحوسبة الكمومية</w:t>
      </w:r>
    </w:p>
    <w:p w:rsidR="00706C10" w:rsidRDefault="00706C10" w:rsidP="00706C10">
      <w:pPr>
        <w:pStyle w:val="ListParagraph"/>
        <w:numPr>
          <w:ilvl w:val="0"/>
          <w:numId w:val="27"/>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lastRenderedPageBreak/>
        <w:t>تحسين القدرات الحسابية</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الحوسبة الكمومية تُعد من التقنيات الناشئة التي يمكن أن تُحدث ثورة في مجالات مثل الأمن السيبراني وتطوير المواد. بفضل قدراتها الحسابية الفائقة، يمكن للحواسيب الكمومية حل مشاكل معقدة في دقائق معدودة كانت تستغرق سنوات بالنسبة للحواسيب التقليدية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lang w:bidi="ar-EG"/>
        </w:rPr>
        <w:t>(</w:t>
      </w:r>
      <w:r>
        <w:rPr>
          <w:rFonts w:ascii="Simplified Arabic" w:eastAsia="Calibri" w:hAnsi="Simplified Arabic" w:cs="Simplified Arabic"/>
          <w:sz w:val="24"/>
          <w:szCs w:val="24"/>
          <w:lang w:bidi="ar-EG"/>
        </w:rPr>
        <w:t xml:space="preserve">Montanaro </w:t>
      </w:r>
      <w:r>
        <w:rPr>
          <w:rFonts w:ascii="Simplified Arabic" w:eastAsia="Calibri" w:hAnsi="Simplified Arabic" w:cs="Simplified Arabic"/>
          <w:sz w:val="28"/>
          <w:szCs w:val="28"/>
          <w:lang w:bidi="ar-EG"/>
        </w:rPr>
        <w:t>,2016)</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أوضح أن الحوسبة الكمومية يمكن أن تُستخدم لتحسين العمليات الحسابية في المجالات الصناعية وتحسين الأداء بشكل عام</w:t>
      </w:r>
      <w:r>
        <w:rPr>
          <w:rFonts w:ascii="Simplified Arabic" w:eastAsia="Calibri" w:hAnsi="Simplified Arabic" w:cs="Simplified Arabic"/>
          <w:sz w:val="28"/>
          <w:szCs w:val="28"/>
          <w:lang w:bidi="ar-EG"/>
        </w:rPr>
        <w:t>.</w:t>
      </w:r>
    </w:p>
    <w:p w:rsidR="00706C10" w:rsidRDefault="00706C10" w:rsidP="00706C10">
      <w:pPr>
        <w:pStyle w:val="ListParagraph"/>
        <w:numPr>
          <w:ilvl w:val="3"/>
          <w:numId w:val="26"/>
        </w:numPr>
        <w:spacing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إنترنت الأشياء</w:t>
      </w:r>
      <w:r>
        <w:rPr>
          <w:rFonts w:ascii="Simplified Arabic" w:eastAsia="Calibri" w:hAnsi="Simplified Arabic" w:cs="Simplified Arabic"/>
          <w:b/>
          <w:bCs/>
          <w:sz w:val="32"/>
          <w:szCs w:val="32"/>
          <w:lang w:bidi="ar-EG"/>
        </w:rPr>
        <w:t xml:space="preserve"> (IoT)</w:t>
      </w:r>
    </w:p>
    <w:p w:rsidR="00706C10" w:rsidRDefault="00706C10" w:rsidP="00706C10">
      <w:pPr>
        <w:pStyle w:val="ListParagraph"/>
        <w:numPr>
          <w:ilvl w:val="0"/>
          <w:numId w:val="27"/>
        </w:numPr>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b/>
          <w:bCs/>
          <w:sz w:val="28"/>
          <w:szCs w:val="28"/>
          <w:rtl/>
        </w:rPr>
        <w:t>تحسين مراقبة الأداء</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إنترنت الأشياء يُستخدم لربط الأجهزة المختلفة معًا وتقديم بيانات حية عن أدائها. في الصناعات التحويلية، يمكن لإنترنت الأشياء تقديم تقارير مستمرة حول أداء المعدات والآلات، مما يُمكّن من إجراء الصيانة الوقائية وتقليل التوقفات غير المخطط لها، مما يُحسن الكفاءة التشغيلية</w:t>
      </w:r>
      <w:r>
        <w:rPr>
          <w:rFonts w:ascii="Simplified Arabic" w:eastAsia="Calibri" w:hAnsi="Simplified Arabic" w:cs="Simplified Arabic"/>
          <w:sz w:val="28"/>
          <w:szCs w:val="28"/>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 xml:space="preserve">Zanella et al., </w:t>
      </w:r>
      <w:r>
        <w:rPr>
          <w:rFonts w:ascii="Simplified Arabic" w:eastAsia="Calibri" w:hAnsi="Simplified Arabic" w:cs="Simplified Arabic"/>
          <w:sz w:val="28"/>
          <w:szCs w:val="28"/>
          <w:lang w:bidi="ar-EG"/>
        </w:rPr>
        <w:t>2014).</w:t>
      </w:r>
    </w:p>
    <w:p w:rsidR="00706C10" w:rsidRDefault="00706C10" w:rsidP="00706C10">
      <w:pPr>
        <w:pStyle w:val="ListParagraph"/>
        <w:numPr>
          <w:ilvl w:val="0"/>
          <w:numId w:val="27"/>
        </w:numPr>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b/>
          <w:bCs/>
          <w:sz w:val="28"/>
          <w:szCs w:val="28"/>
          <w:rtl/>
        </w:rPr>
        <w:t>تخصيص الموارد</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من خلال البيانات التي يتم جمعها من أجهزة إنترنت الأشياء، يمكن تحسين تخصيص الموارد وتقليل الهدر. على سبيل المثال، في الزراعة الذكية، يمكن استخدام أجهزة استشعار لمراقبة حالة التربة والمياه والطقس، مما يساعد المزارعين على اتخاذ قرارات أكثر فعالية بشأن الري والتسميد</w:t>
      </w:r>
      <w:r>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Wolfert et al.</w:t>
      </w:r>
      <w:r>
        <w:rPr>
          <w:rFonts w:ascii="Simplified Arabic" w:eastAsia="Calibri" w:hAnsi="Simplified Arabic" w:cs="Simplified Arabic"/>
          <w:sz w:val="28"/>
          <w:szCs w:val="28"/>
          <w:lang w:bidi="ar-EG"/>
        </w:rPr>
        <w:t>, 2017</w:t>
      </w:r>
      <w:proofErr w:type="gramStart"/>
      <w:r>
        <w:rPr>
          <w:rFonts w:ascii="Simplified Arabic" w:eastAsia="Calibri" w:hAnsi="Simplified Arabic" w:cs="Simplified Arabic"/>
          <w:sz w:val="28"/>
          <w:szCs w:val="28"/>
          <w:lang w:bidi="ar-EG"/>
        </w:rPr>
        <w:t>) .</w:t>
      </w:r>
      <w:proofErr w:type="gramEnd"/>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35" w:name="_Toc181308891"/>
      <w:r>
        <w:rPr>
          <w:rFonts w:ascii="Simplified Arabic" w:eastAsia="Calibri" w:hAnsi="Simplified Arabic" w:cs="Simplified Arabic"/>
          <w:b/>
          <w:bCs/>
          <w:sz w:val="32"/>
          <w:szCs w:val="32"/>
        </w:rPr>
        <w:t>2.1.8</w:t>
      </w:r>
      <w:r>
        <w:rPr>
          <w:rFonts w:ascii="Simplified Arabic" w:eastAsia="Calibri" w:hAnsi="Simplified Arabic" w:cs="Simplified Arabic"/>
          <w:b/>
          <w:bCs/>
          <w:sz w:val="32"/>
          <w:szCs w:val="32"/>
          <w:rtl/>
        </w:rPr>
        <w:t xml:space="preserve"> </w:t>
      </w:r>
      <w:r>
        <w:rPr>
          <w:rFonts w:ascii="Simplified Arabic" w:eastAsia="Calibri" w:hAnsi="Simplified Arabic" w:cs="Simplified Arabic" w:hint="cs"/>
          <w:b/>
          <w:bCs/>
          <w:sz w:val="32"/>
          <w:szCs w:val="32"/>
          <w:rtl/>
        </w:rPr>
        <w:t>تأثير التقنيات الناشئة على اتخاذ القرار</w:t>
      </w:r>
      <w:bookmarkEnd w:id="35"/>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rtl/>
        </w:rPr>
        <w:t>تُعد التقنيات الناشئة أداة قوية لتعزيز عملية اتخاذ القرار في المؤسسات. باستخدام الذكاء الاصطناعي وتحليل البيانات الكبيرة، يمكن للشركات تحسين دقة وسرعة قراراتها، مما يُعزز من أدائها العام</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lastRenderedPageBreak/>
        <w:t>2.1.8.1 الذكاء الاصطناعي والتعلم الآلي</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اتخاذ قرارات أسرع وأكثر دقة</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التعلم الآلي يمكن أن يساعد المؤسسات في تحسين اتخاذ القرارات بناءً على تحليل البيانات الكبيرة في الوقت الفعلي. يمكن للأنظمة التي تعتمد على الذكاء الاصطناعي تحليل البيانات الضخمة والكشف عن أنماط لم يكن بالإمكان ملاحظتها باستخدام الطرق التقليدية، مما يُمكّن المؤسسات من اتخاذ قرارات سريعة ومبنية على الحقائق</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Ng</w:t>
      </w:r>
      <w:r>
        <w:rPr>
          <w:rFonts w:ascii="Simplified Arabic" w:eastAsia="Calibri" w:hAnsi="Simplified Arabic" w:cs="Simplified Arabic"/>
          <w:sz w:val="28"/>
          <w:szCs w:val="28"/>
          <w:lang w:bidi="ar-EG"/>
        </w:rPr>
        <w:t>, 2020).</w:t>
      </w:r>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2.1.8.2 البلوكتشين</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تحسين الشفافية والمساءلة في القرارات</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تقنية البلوكتشين تُتيح مستوى عالٍ من الشفافية في التعاملات المالية والإدارية، مما يُقلل من احتمالية الفساد ويُحسن من مستوى المساءلة داخل المؤسسات. يُعد هذا الأمر مفيدًا للغاية في تحسين عملية اتخاذ</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36" w:name="_Toc181308892"/>
      <w:r>
        <w:rPr>
          <w:rFonts w:ascii="Simplified Arabic" w:eastAsia="Calibri" w:hAnsi="Simplified Arabic" w:cs="Simplified Arabic"/>
          <w:b/>
          <w:bCs/>
          <w:sz w:val="32"/>
          <w:szCs w:val="32"/>
          <w:rtl/>
        </w:rPr>
        <w:t>2.1.9 تطبيقات التقنيات الناشئة وتأثيرها</w:t>
      </w:r>
      <w:bookmarkEnd w:id="36"/>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استخدام التقنيات الناشئة في مجالات مثل الرعاية الصحية والصناعة والتمويل</w:t>
      </w:r>
    </w:p>
    <w:p w:rsidR="00706C10" w:rsidRDefault="00706C10" w:rsidP="00706C10">
      <w:pPr>
        <w:spacing w:line="360" w:lineRule="auto"/>
        <w:ind w:firstLine="36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التقنيات الناشئة تمثل أحد المحركات الأساسية للتغيير في العديد من الصناعات حول العالم. مع التطور السريع في مجالات الذكاء الاصطناعي، البلوكتشين، الحوسبة الكمومية، وإنترنت الأشياء</w:t>
      </w:r>
      <w:r>
        <w:rPr>
          <w:rFonts w:ascii="Simplified Arabic" w:eastAsia="Calibri" w:hAnsi="Simplified Arabic" w:cs="Simplified Arabic"/>
          <w:sz w:val="28"/>
          <w:szCs w:val="28"/>
          <w:lang w:bidi="ar-EG"/>
        </w:rPr>
        <w:t xml:space="preserve"> (IoT)</w:t>
      </w:r>
      <w:r>
        <w:rPr>
          <w:rFonts w:ascii="Simplified Arabic" w:eastAsia="Calibri" w:hAnsi="Simplified Arabic" w:cs="Simplified Arabic"/>
          <w:sz w:val="28"/>
          <w:szCs w:val="28"/>
          <w:rtl/>
        </w:rPr>
        <w:t>، نجد أن هذه التقنيات تُحدث تحولًا جذريًا في كيفية إدارة الأعمال وتقديم الخدمات، فضلاً عن دورها في تحسين الكفاءة، الإنتاجية، واتخاذ القرارات</w:t>
      </w:r>
      <w:r>
        <w:rPr>
          <w:rFonts w:ascii="Simplified Arabic" w:eastAsia="Calibri" w:hAnsi="Simplified Arabic" w:cs="Simplified Arabic"/>
          <w:sz w:val="28"/>
          <w:szCs w:val="28"/>
          <w:lang w:bidi="ar-EG"/>
        </w:rPr>
        <w:t>.</w:t>
      </w:r>
    </w:p>
    <w:p w:rsidR="00706C10" w:rsidRDefault="00706C10" w:rsidP="00706C10">
      <w:pPr>
        <w:spacing w:line="360" w:lineRule="auto"/>
        <w:ind w:firstLine="360"/>
        <w:jc w:val="both"/>
        <w:rPr>
          <w:rFonts w:ascii="Simplified Arabic" w:eastAsia="Calibri" w:hAnsi="Simplified Arabic" w:cs="Simplified Arabic"/>
          <w:sz w:val="28"/>
          <w:szCs w:val="28"/>
          <w:rtl/>
          <w:lang w:bidi="ar-EG"/>
        </w:rPr>
      </w:pPr>
    </w:p>
    <w:p w:rsidR="00706C10" w:rsidRDefault="00706C10" w:rsidP="00706C10">
      <w:pPr>
        <w:pStyle w:val="ListParagraph"/>
        <w:numPr>
          <w:ilvl w:val="3"/>
          <w:numId w:val="28"/>
        </w:num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lastRenderedPageBreak/>
        <w:t>الرعاية الصحية</w:t>
      </w:r>
    </w:p>
    <w:p w:rsidR="00706C10" w:rsidRDefault="00706C10" w:rsidP="00706C10">
      <w:pPr>
        <w:pStyle w:val="ListParagraph"/>
        <w:numPr>
          <w:ilvl w:val="0"/>
          <w:numId w:val="29"/>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التأثير في تشخيص الأمراض والعلاج</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الرعاية الصحية تُعد من أكثر القطاعات التي استفادت من التطورات في التقنيات الناشئة. تقنيات الذكاء الاصطناعي والتعلم الآلي تساهم بشكل كبير في تحسين دقة التشخيص، وذلك من خلال تحليل البيانات الصحية الكبيرة. على سبيل المثال، يمكن للأنظمة المعتمدة على التعلم الآلي تحليل صور الأشعة السينية أو</w:t>
      </w:r>
      <w:r>
        <w:rPr>
          <w:rFonts w:ascii="Simplified Arabic" w:eastAsia="Calibri" w:hAnsi="Simplified Arabic" w:cs="Simplified Arabic"/>
          <w:sz w:val="28"/>
          <w:szCs w:val="28"/>
          <w:lang w:bidi="ar-EG"/>
        </w:rPr>
        <w:t xml:space="preserve"> MRI </w:t>
      </w:r>
      <w:r>
        <w:rPr>
          <w:rFonts w:ascii="Simplified Arabic" w:eastAsia="Calibri" w:hAnsi="Simplified Arabic" w:cs="Simplified Arabic"/>
          <w:sz w:val="28"/>
          <w:szCs w:val="28"/>
          <w:rtl/>
        </w:rPr>
        <w:t>بدقة عالية، مما يُمكّن الأطباء من اكتشاف الأمراض مثل السرطان في مراحل مبكرة</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تقنيات الذكاء الاصطناعي قادرة على تحليل كميات ضخمة من البيانات الطبية بوقت قصير للغاية، وهذا يساعد في تحسين سرعة ودقة التشخيص. دراسة لـ </w:t>
      </w:r>
      <w:r>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lang w:bidi="ar-EG"/>
        </w:rPr>
        <w:t xml:space="preserve">Topol (2019) </w:t>
      </w:r>
      <w:r>
        <w:rPr>
          <w:rFonts w:ascii="Simplified Arabic" w:eastAsia="Calibri" w:hAnsi="Simplified Arabic" w:cs="Simplified Arabic"/>
          <w:sz w:val="28"/>
          <w:szCs w:val="28"/>
          <w:rtl/>
        </w:rPr>
        <w:t>أظهرت أن الذكاء الاصطناعي يمكن أن يكون أداة قوية في تحسين رعاية المرضى من خلال تقديم توصيات علاجية دقيقة، مما يقلل من الأخطاء الطبية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9"/>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إدارة البيانات الصحية</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من جهة أخرى، تُستخدم تقنية البلوكتشين في مجال الرعاية الصحية لضمان أمان وسرية البيانات الطبية. يمكن أن تساعد تقنية البلوكتشين في إدارة سجلات المرضى بطريقة تضمن الخصوصية وتسهّل الوصول إلى البيانات من قبل الأطباء المعنيين، مما يساهم في تقديم رعاية صحية أكثر فعالية وأمانًا</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Zhang et al.</w:t>
      </w:r>
      <w:r>
        <w:rPr>
          <w:rFonts w:ascii="Simplified Arabic" w:eastAsia="Calibri" w:hAnsi="Simplified Arabic" w:cs="Simplified Arabic"/>
          <w:sz w:val="28"/>
          <w:szCs w:val="28"/>
          <w:lang w:bidi="ar-EG"/>
        </w:rPr>
        <w:t>, 2018).</w:t>
      </w:r>
    </w:p>
    <w:p w:rsidR="00706C10" w:rsidRDefault="00706C10" w:rsidP="00706C10">
      <w:pPr>
        <w:pStyle w:val="ListParagraph"/>
        <w:numPr>
          <w:ilvl w:val="3"/>
          <w:numId w:val="28"/>
        </w:num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الصناعة</w:t>
      </w:r>
    </w:p>
    <w:p w:rsidR="00706C10" w:rsidRDefault="00706C10" w:rsidP="00706C10">
      <w:pPr>
        <w:pStyle w:val="ListParagraph"/>
        <w:numPr>
          <w:ilvl w:val="0"/>
          <w:numId w:val="29"/>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الأتمتة وتحسين الكفاءة</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 xml:space="preserve">الصناعة هي إحدى القطاعات التي شهدت تغييرًا جذريًا بسبب الأتمتة وتقنيات الذكاء الاصطناعي. الروبوتات الصناعية المزودة بأنظمة ذكاء اصطناعي قادرة على تنفيذ </w:t>
      </w:r>
      <w:r>
        <w:rPr>
          <w:rFonts w:ascii="Simplified Arabic" w:eastAsia="Calibri" w:hAnsi="Simplified Arabic" w:cs="Simplified Arabic"/>
          <w:sz w:val="28"/>
          <w:szCs w:val="28"/>
          <w:rtl/>
        </w:rPr>
        <w:lastRenderedPageBreak/>
        <w:t>المهام المتكررة والمعقدة بدقة عالية وبسرعة تفوق القدرات البشرية، مما يقلل من نسبة الأخطاء ويحسّن الإنتاجية</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تقنية إنترنت الأشياء</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IoT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لها دور محوري في تحسين الكفاءة التشغيلية. فهي تمكّن الأجهزة والمعدات من التواصل مع بعضها البعض وتقديم بيانات مستمرة عن حالتها وأدائها. هذا يسمح للصناعات بمراقبة المعدات بفعالية أكبر، مما يقلل من التوقفات غير المخطط لها ويعزز الإنتاجية. دراسة لـ</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lang w:bidi="ar-EG"/>
        </w:rPr>
        <w:t>(</w:t>
      </w:r>
      <w:r>
        <w:rPr>
          <w:rFonts w:ascii="Simplified Arabic" w:eastAsia="Calibri" w:hAnsi="Simplified Arabic" w:cs="Simplified Arabic"/>
          <w:sz w:val="24"/>
          <w:szCs w:val="24"/>
          <w:lang w:bidi="ar-EG"/>
        </w:rPr>
        <w:t>Kumar et al.</w:t>
      </w:r>
      <w:r>
        <w:rPr>
          <w:rFonts w:ascii="Simplified Arabic" w:eastAsia="Calibri" w:hAnsi="Simplified Arabic" w:cs="Simplified Arabic"/>
          <w:sz w:val="28"/>
          <w:szCs w:val="28"/>
          <w:lang w:bidi="ar-EG"/>
        </w:rPr>
        <w:t>,2020)</w:t>
      </w:r>
      <w:r>
        <w:rPr>
          <w:rFonts w:ascii="Simplified Arabic" w:eastAsia="Calibri" w:hAnsi="Simplified Arabic" w:cs="Simplified Arabic"/>
          <w:sz w:val="28"/>
          <w:szCs w:val="28"/>
          <w:rtl/>
          <w:lang w:bidi="ar-EG"/>
        </w:rPr>
        <w:t xml:space="preserve"> أوضحت</w:t>
      </w:r>
      <w:r>
        <w:rPr>
          <w:rFonts w:ascii="Simplified Arabic" w:eastAsia="Calibri" w:hAnsi="Simplified Arabic" w:cs="Simplified Arabic"/>
          <w:sz w:val="28"/>
          <w:szCs w:val="28"/>
          <w:rtl/>
        </w:rPr>
        <w:t xml:space="preserve"> أن استخدام</w:t>
      </w:r>
      <w:r>
        <w:rPr>
          <w:rFonts w:ascii="Simplified Arabic" w:eastAsia="Calibri" w:hAnsi="Simplified Arabic" w:cs="Simplified Arabic"/>
          <w:sz w:val="28"/>
          <w:szCs w:val="28"/>
          <w:lang w:bidi="ar-EG"/>
        </w:rPr>
        <w:t xml:space="preserve"> IoT </w:t>
      </w:r>
      <w:r>
        <w:rPr>
          <w:rFonts w:ascii="Simplified Arabic" w:eastAsia="Calibri" w:hAnsi="Simplified Arabic" w:cs="Simplified Arabic"/>
          <w:sz w:val="28"/>
          <w:szCs w:val="28"/>
          <w:rtl/>
        </w:rPr>
        <w:t>في سلاسل التوريد يساهم في تحسين الكفاءة التشغيلية وتقليل التكاليف من خلال التنبؤ بالمشاكل قبل وقوعها</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9"/>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التحكم في الجودة</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بالإضافة إلى ذلك، الذكاء الاصطناعي يلعب دورًا في تحسين جودة المنتجات. فبفضل تقنيات مثل التعلم العميق، يمكن لأنظمة الذكاء الاصطناعي تحليل بيانات الإنتاج وضبط العمليات التصنيعية لتحقيق مستوى أعلى من الجودة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 xml:space="preserve">(Lee et al., </w:t>
      </w:r>
      <w:r>
        <w:rPr>
          <w:rFonts w:ascii="Simplified Arabic" w:eastAsia="Calibri" w:hAnsi="Simplified Arabic" w:cs="Simplified Arabic"/>
          <w:sz w:val="28"/>
          <w:szCs w:val="28"/>
          <w:lang w:bidi="ar-EG"/>
        </w:rPr>
        <w:t>2018).</w:t>
      </w:r>
    </w:p>
    <w:p w:rsidR="00706C10" w:rsidRDefault="00706C10" w:rsidP="00706C10">
      <w:pPr>
        <w:pStyle w:val="ListParagraph"/>
        <w:spacing w:line="360" w:lineRule="auto"/>
        <w:jc w:val="both"/>
        <w:rPr>
          <w:rFonts w:ascii="Simplified Arabic" w:eastAsia="Calibri" w:hAnsi="Simplified Arabic" w:cs="Simplified Arabic"/>
          <w:b/>
          <w:bCs/>
          <w:sz w:val="28"/>
          <w:szCs w:val="28"/>
        </w:rPr>
      </w:pPr>
    </w:p>
    <w:p w:rsidR="00706C10" w:rsidRDefault="00706C10" w:rsidP="00706C10">
      <w:pPr>
        <w:pStyle w:val="ListParagraph"/>
        <w:spacing w:line="360" w:lineRule="auto"/>
        <w:jc w:val="both"/>
        <w:rPr>
          <w:rFonts w:ascii="Simplified Arabic" w:eastAsia="Calibri" w:hAnsi="Simplified Arabic" w:cs="Simplified Arabic"/>
          <w:sz w:val="28"/>
          <w:szCs w:val="28"/>
          <w:lang w:bidi="ar-EG"/>
        </w:rPr>
      </w:pPr>
    </w:p>
    <w:p w:rsidR="00706C10" w:rsidRDefault="00706C10" w:rsidP="00706C10">
      <w:pPr>
        <w:pStyle w:val="ListParagraph"/>
        <w:numPr>
          <w:ilvl w:val="3"/>
          <w:numId w:val="28"/>
        </w:num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التمويل</w:t>
      </w:r>
    </w:p>
    <w:p w:rsidR="00706C10" w:rsidRDefault="00706C10" w:rsidP="00706C10">
      <w:pPr>
        <w:pStyle w:val="ListParagraph"/>
        <w:numPr>
          <w:ilvl w:val="0"/>
          <w:numId w:val="29"/>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إدارة المخاطر واتخاذ القرارات</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في قطاع التمويل، التقنيات الناشئة أصبحت أداة رئيسية في إدارة المخاطر واتخاذ القرارات المالية. تقنيات الذكاء الاصطناعي تُستخدم لتحليل بيانات السوق الكبيرة بهدف التنبؤ بالتحركات المستقبلية للأسواق المالية، مما يساعد الشركات والمستثمرين على اتخاذ قرارات استثمارية مدروسة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9"/>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lastRenderedPageBreak/>
        <w:t>التحول الرقمي والأمان</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تقنية البلوكتشين أحدثت تحولاً كبيرًا في قطاع التمويل من خلال تقديم حلول آمنة لتسجيل المعاملات المالية. بفضل البلوكتشين، يمكن تأكيد صحة المعاملات بدون الحاجة إلى وسيط ثالث، مما يقلل من التكاليف ويزيد من الشفافية. في مجال العملات الرقمية، على سبيل المثال، يتم استخدام البلوكتشين لضمان أمان التعاملات وتقليل الاحتيال</w:t>
      </w:r>
      <w:r>
        <w:rPr>
          <w:rFonts w:ascii="Simplified Arabic" w:eastAsia="Calibri" w:hAnsi="Simplified Arabic" w:cs="Simplified Arabic"/>
          <w:sz w:val="28"/>
          <w:szCs w:val="28"/>
        </w:rPr>
        <w:t>.</w:t>
      </w:r>
    </w:p>
    <w:p w:rsidR="00706C10" w:rsidRDefault="00706C10" w:rsidP="00706C10">
      <w:pPr>
        <w:pStyle w:val="ListParagraph"/>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Nakamoto</w:t>
      </w:r>
      <w:r>
        <w:rPr>
          <w:rFonts w:ascii="Simplified Arabic" w:eastAsia="Calibri" w:hAnsi="Simplified Arabic" w:cs="Simplified Arabic"/>
          <w:sz w:val="28"/>
          <w:szCs w:val="28"/>
          <w:lang w:bidi="ar-EG"/>
        </w:rPr>
        <w:t>, 2008).</w:t>
      </w:r>
    </w:p>
    <w:p w:rsidR="00706C10" w:rsidRDefault="00706C10" w:rsidP="00706C10">
      <w:pPr>
        <w:pStyle w:val="ListParagraph"/>
        <w:numPr>
          <w:ilvl w:val="0"/>
          <w:numId w:val="29"/>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التحليل التنبؤي</w:t>
      </w:r>
      <w:r>
        <w:rPr>
          <w:rFonts w:ascii="Simplified Arabic" w:eastAsia="Calibri" w:hAnsi="Simplified Arabic" w:cs="Simplified Arabic"/>
          <w:b/>
          <w:bCs/>
          <w:sz w:val="28"/>
          <w:szCs w:val="28"/>
          <w:lang w:bidi="ar-EG"/>
        </w:rPr>
        <w: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أيضاً، يُستخدم الذكاء الاصطناعي في التحليل التنبؤي للأسواق المالية وتحليل بيانات العملاء لتقديم خدمات مالية شخصية</w:t>
      </w:r>
      <w:r>
        <w:rPr>
          <w:rFonts w:ascii="Simplified Arabic" w:eastAsia="Calibri" w:hAnsi="Simplified Arabic" w:cs="Simplified Arabic"/>
          <w:sz w:val="28"/>
          <w:szCs w:val="28"/>
          <w:lang w:bidi="ar-EG"/>
        </w:rPr>
        <w:t>. (</w:t>
      </w:r>
      <w:r>
        <w:rPr>
          <w:rFonts w:ascii="Simplified Arabic" w:eastAsia="Calibri" w:hAnsi="Simplified Arabic" w:cs="Simplified Arabic"/>
          <w:sz w:val="24"/>
          <w:szCs w:val="24"/>
          <w:lang w:bidi="ar-EG"/>
        </w:rPr>
        <w:t>Ng ,</w:t>
      </w:r>
      <w:r>
        <w:rPr>
          <w:rFonts w:ascii="Simplified Arabic" w:eastAsia="Calibri" w:hAnsi="Simplified Arabic" w:cs="Simplified Arabic"/>
          <w:sz w:val="28"/>
          <w:szCs w:val="28"/>
          <w:lang w:bidi="ar-EG"/>
        </w:rPr>
        <w:t xml:space="preserve">2020) </w:t>
      </w:r>
      <w:r>
        <w:rPr>
          <w:rFonts w:ascii="Simplified Arabic" w:eastAsia="Calibri" w:hAnsi="Simplified Arabic" w:cs="Simplified Arabic"/>
          <w:sz w:val="28"/>
          <w:szCs w:val="28"/>
          <w:rtl/>
        </w:rPr>
        <w:t>أشار إلى أن الذكاء الاصطناعي يساهم في تحسين تجربة العملاء من خلال تخصيص العروض المالية بناءً على سلوكيات العملاء وتحليل بياناتهم</w:t>
      </w:r>
      <w:r>
        <w:rPr>
          <w:rFonts w:ascii="Simplified Arabic" w:eastAsia="Calibri"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37" w:name="_Toc181308893"/>
      <w:r>
        <w:rPr>
          <w:rFonts w:ascii="Simplified Arabic" w:eastAsia="Calibri" w:hAnsi="Simplified Arabic" w:cs="Simplified Arabic"/>
          <w:b/>
          <w:bCs/>
          <w:sz w:val="32"/>
          <w:szCs w:val="32"/>
        </w:rPr>
        <w:t>2.1.10</w:t>
      </w:r>
      <w:r>
        <w:rPr>
          <w:rFonts w:ascii="Simplified Arabic" w:eastAsia="Calibri" w:hAnsi="Simplified Arabic" w:cs="Simplified Arabic"/>
          <w:b/>
          <w:bCs/>
          <w:sz w:val="32"/>
          <w:szCs w:val="32"/>
          <w:rtl/>
        </w:rPr>
        <w:t xml:space="preserve"> </w:t>
      </w:r>
      <w:r>
        <w:rPr>
          <w:rFonts w:ascii="Simplified Arabic" w:eastAsia="Calibri" w:hAnsi="Simplified Arabic" w:cs="Simplified Arabic" w:hint="cs"/>
          <w:b/>
          <w:bCs/>
          <w:sz w:val="32"/>
          <w:szCs w:val="32"/>
          <w:rtl/>
        </w:rPr>
        <w:t>دور التقنيات الناشئة في تحسين الكفاءة والإنتاجية واتخاذ القرارات</w:t>
      </w:r>
      <w:bookmarkEnd w:id="37"/>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2.1.10.1 الذكاء الاصطناعي والتعلم الآلي</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الذكاء الاصطناعي والتعلم الآلي هما من أكثر الأدوات فعالية في تعزيز الكفاءة في مختلف الصناعات. يساعد التعلم الآلي المؤسسات على تحليل البيانات بشكل أسرع وأدق من الإنسان، مما يمكّن من اتخاذ قرارات أكثر استنارة</w:t>
      </w:r>
      <w:r>
        <w:rPr>
          <w:rFonts w:ascii="Simplified Arabic" w:eastAsia="Calibri" w:hAnsi="Simplified Arabic" w:cs="Simplified Arabic"/>
          <w:sz w:val="28"/>
          <w:szCs w:val="28"/>
          <w:lang w:bidi="ar-EG"/>
        </w:rPr>
        <w:t xml:space="preserve"> (Topol, 2019).</w:t>
      </w:r>
    </w:p>
    <w:p w:rsidR="00706C10" w:rsidRDefault="00706C10" w:rsidP="00706C10">
      <w:pPr>
        <w:spacing w:line="360"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في القطاع الصناعي، يمكن للذكاء الاصطناعي تحسين عمليات الإنتاج من خلال تحديد أوجه القصور وتحسين الكفاءة التشغيلية. استخدام الذكاء الاصطناعي في التخطيط اللوجستي، على سبيل المثال، يُمكّن الشركات من تحسين إدارة الموارد البشرية والمادية وتقليل الوقت المهدر، مما يُعزز من الإنتاجية</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lastRenderedPageBreak/>
        <w:t xml:space="preserve"> (</w:t>
      </w:r>
      <w:r>
        <w:rPr>
          <w:rFonts w:ascii="Simplified Arabic" w:eastAsia="Calibri" w:hAnsi="Simplified Arabic" w:cs="Simplified Arabic"/>
          <w:sz w:val="24"/>
          <w:szCs w:val="24"/>
          <w:lang w:bidi="ar-EG"/>
        </w:rPr>
        <w:t xml:space="preserve">Brown &amp; Lee. </w:t>
      </w:r>
      <w:r>
        <w:rPr>
          <w:rFonts w:ascii="Simplified Arabic" w:eastAsia="Calibri" w:hAnsi="Simplified Arabic" w:cs="Simplified Arabic"/>
          <w:sz w:val="28"/>
          <w:szCs w:val="28"/>
          <w:lang w:bidi="ar-EG"/>
        </w:rPr>
        <w:t>,2021).</w:t>
      </w:r>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2.1.10.2 الحوسبة الكمومية</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الحوسبة الكمومية تُعد ثورة في مجال الحوسبة، حيث تُمكن من حل مشاكل معقدة كان من الصعب أو من المستحيل حلها باستخدام الحوسبة التقليدية</w:t>
      </w:r>
      <w:r>
        <w:rPr>
          <w:rFonts w:ascii="Simplified Arabic" w:eastAsia="Calibri" w:hAnsi="Simplified Arabic" w:cs="Simplified Arabic"/>
          <w:sz w:val="28"/>
          <w:szCs w:val="28"/>
          <w:lang w:bidi="ar-EG"/>
        </w:rPr>
        <w:t>. (</w:t>
      </w:r>
      <w:r>
        <w:rPr>
          <w:rFonts w:ascii="Simplified Arabic" w:eastAsia="Calibri" w:hAnsi="Simplified Arabic" w:cs="Simplified Arabic"/>
          <w:sz w:val="24"/>
          <w:szCs w:val="24"/>
          <w:lang w:bidi="ar-EG"/>
        </w:rPr>
        <w:t>Montanaro</w:t>
      </w:r>
      <w:r>
        <w:rPr>
          <w:rFonts w:ascii="Simplified Arabic" w:eastAsia="Calibri" w:hAnsi="Simplified Arabic" w:cs="Simplified Arabic"/>
          <w:sz w:val="28"/>
          <w:szCs w:val="28"/>
          <w:lang w:bidi="ar-EG"/>
        </w:rPr>
        <w:t xml:space="preserve">. ,2016) </w:t>
      </w:r>
      <w:r>
        <w:rPr>
          <w:rFonts w:ascii="Simplified Arabic" w:eastAsia="Calibri" w:hAnsi="Simplified Arabic" w:cs="Simplified Arabic"/>
          <w:sz w:val="28"/>
          <w:szCs w:val="28"/>
          <w:rtl/>
        </w:rPr>
        <w:t>أوضح أن الحوسبة الكمومية لديها القدرة على تغيير صناعات بأكملها من خلال تقديم حلول سريعة للمشاكل المعقدة مثل تحليل البيانات الكبيرة والتشفير</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Pr>
        <w:t>2.1.10.3</w:t>
      </w:r>
      <w:r>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تقنية البلوكتشين</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البلوكتشين تساهم في تحسين الكفاءة في العديد من القطاعات من خلال توفير سجلات لا مركزية وآمنة للمعاملات. على سبيل المثال، في سلاسل التوريد، يمكن استخدام البلوكتشين لتتبع المنتجات من المصدر إلى المستخدم النهائي، مما يحسّن الشفافية ويقلل من التكاليف التشغيلية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Tian</w:t>
      </w:r>
      <w:r>
        <w:rPr>
          <w:rFonts w:ascii="Simplified Arabic" w:eastAsia="Calibri" w:hAnsi="Simplified Arabic" w:cs="Simplified Arabic"/>
          <w:sz w:val="28"/>
          <w:szCs w:val="28"/>
          <w:lang w:bidi="ar-EG"/>
        </w:rPr>
        <w:t>, 2016).</w:t>
      </w:r>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2.1.10.4 إنترنت الأشياء</w:t>
      </w:r>
      <w:r>
        <w:rPr>
          <w:rFonts w:ascii="Simplified Arabic" w:eastAsia="Calibri" w:hAnsi="Simplified Arabic" w:cs="Simplified Arabic"/>
          <w:b/>
          <w:bCs/>
          <w:sz w:val="28"/>
          <w:szCs w:val="28"/>
          <w:lang w:bidi="ar-EG"/>
        </w:rPr>
        <w:t xml:space="preserve"> (IoT)</w:t>
      </w:r>
    </w:p>
    <w:p w:rsidR="00706C10" w:rsidRDefault="00706C10" w:rsidP="00706C10">
      <w:pPr>
        <w:spacing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إنترنت الأشياء يلعب دورًا محوريًا في تحسين الإنتاجية في القطاعات المختلفة من خلال تمكين الاتصال بين الأجهزة المختلفة وتبادل البيانات بشكل تلقائي. في الزراعة، على سبيل المثال، تُستخدم أجهزة إنترنت الأشياء لتحليل بيانات التربة والمناخ، مما يساعد المزارعين على اتخاذ قرارات أكثر دقة بشأن الري والتسميد، مما يُعزز من إنتاجية المحاصيل</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 xml:space="preserve">Wolfert et al., </w:t>
      </w:r>
      <w:r>
        <w:rPr>
          <w:rFonts w:ascii="Simplified Arabic" w:eastAsia="Calibri" w:hAnsi="Simplified Arabic" w:cs="Simplified Arabic"/>
          <w:sz w:val="28"/>
          <w:szCs w:val="28"/>
          <w:lang w:bidi="ar-EG"/>
        </w:rPr>
        <w:t>2017).</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تُعد التقنيات الناشئة أدوات قوية لتحسين الكفاءة والإنتاجية في مختلف المجالات، سواء في الرعاية الصحية، الصناعة، أو التمويل. من خلال تحسين عملية اتخاذ القرارات وتقديم بيانات دقيقة في الوقت الفعلي، تساهم هذه التقنيات في تعزيز الأداء وزيادة القدرة التنافسية للمؤسسات. على الرغم من التحديات التي تواجهها المؤسسات في تبني هذه التقنيات، فإن الفوائد التي تقدمها تجعل منها ضرورة لا غنى عنها لتحقيق النجاح المستدام في العصر الرقمي</w:t>
      </w:r>
      <w:r>
        <w:rPr>
          <w:rFonts w:ascii="Simplified Arabic" w:eastAsia="Calibri" w:hAnsi="Simplified Arabic" w:cs="Simplified Arabic"/>
          <w:sz w:val="28"/>
          <w:szCs w:val="28"/>
          <w:lang w:bidi="ar-EG"/>
        </w:rPr>
        <w:t>.</w:t>
      </w:r>
    </w:p>
    <w:p w:rsidR="00706C10" w:rsidRDefault="00706C10" w:rsidP="00706C10">
      <w:pPr>
        <w:spacing w:line="360" w:lineRule="auto"/>
        <w:ind w:firstLine="36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التقنيات الناشئة، رغم ما تقدمه من إمكانيات وابتكارات، تطرح العديد من التحديات والمخاطر التي يجب معالجتها لضمان استخدامها بشكل مسؤول وآمن. أبرز هذه التحديات والمخاطر تتمثل في قضايا الأمن السيبراني، التحديات الأخلاقية المتعلقة بالذكاء الاصطناعي، والحاجة لتحديث السياسات والأنظمة القانونية</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Pr>
        <w:t>2.1.11</w:t>
      </w:r>
      <w:r>
        <w:rPr>
          <w:rFonts w:ascii="Simplified Arabic" w:eastAsia="Calibri" w:hAnsi="Simplified Arabic" w:cs="Simplified Arabic"/>
          <w:b/>
          <w:bCs/>
          <w:sz w:val="32"/>
          <w:szCs w:val="32"/>
          <w:rtl/>
        </w:rPr>
        <w:t xml:space="preserve"> </w:t>
      </w:r>
      <w:r>
        <w:rPr>
          <w:rFonts w:ascii="Simplified Arabic" w:eastAsia="Calibri" w:hAnsi="Simplified Arabic" w:cs="Simplified Arabic" w:hint="cs"/>
          <w:b/>
          <w:bCs/>
          <w:sz w:val="32"/>
          <w:szCs w:val="32"/>
          <w:rtl/>
        </w:rPr>
        <w:t>قضايا الأمن السيبراني والخصوصية</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التقنيات الناشئة مثل الذكاء الاصطناعي وإنترنت الأشياء تعتمد بشكل كبير على البيانات، مما يجعلها عرضة لتهديدات الأمن السيبراني. تتطلب هذه التقنيات اتصالاً دائمًا بالإنترنت وتبادل كميات هائلة من المعلومات، بما في ذلك البيانات الشخصية والحساسة. وهذا يزيد من احتمالية التعرض للهجمات السيبرانية</w:t>
      </w:r>
      <w:r>
        <w:rPr>
          <w:rFonts w:ascii="Simplified Arabic" w:eastAsia="Calibri" w:hAnsi="Simplified Arabic" w:cs="Simplified Arabic"/>
          <w:sz w:val="28"/>
          <w:szCs w:val="28"/>
          <w:lang w:bidi="ar-EG"/>
        </w:rPr>
        <w:t>.</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التحدي الكبير هنا هو حماية البيانات الشخصية من الاختراق، حيث أن المخترقين قد يستغلون هذه البيانات لأغراض ضارة مثل الابتزاز أو سرقة الهوية. على سبيل المثال، تطبيقات الصحة المتصلة بالأجهزة الذكية تجمع بيانات صحية دقيقة عن المستخدمين، وإذا تم اختراق هذه البيانات، فإن النتائج قد تكون كارثية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Müller et al</w:t>
      </w:r>
      <w:r>
        <w:rPr>
          <w:rFonts w:ascii="Simplified Arabic" w:eastAsia="Calibri" w:hAnsi="Simplified Arabic" w:cs="Simplified Arabic"/>
          <w:sz w:val="28"/>
          <w:szCs w:val="28"/>
          <w:lang w:bidi="ar-EG"/>
        </w:rPr>
        <w:t>., 2019).</w:t>
      </w:r>
    </w:p>
    <w:p w:rsidR="00706C10" w:rsidRDefault="00706C10" w:rsidP="00706C10">
      <w:pPr>
        <w:spacing w:line="360" w:lineRule="auto"/>
        <w:ind w:firstLine="38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 xml:space="preserve">أشارت دراسة قام بها </w:t>
      </w:r>
      <w:r>
        <w:rPr>
          <w:rFonts w:ascii="Simplified Arabic" w:eastAsia="Calibri" w:hAnsi="Simplified Arabic" w:cs="Simplified Arabic"/>
          <w:sz w:val="28"/>
          <w:szCs w:val="28"/>
          <w:lang w:bidi="ar-EG"/>
        </w:rPr>
        <w:t>(</w:t>
      </w:r>
      <w:r>
        <w:rPr>
          <w:rFonts w:ascii="Simplified Arabic" w:eastAsia="Calibri" w:hAnsi="Simplified Arabic" w:cs="Simplified Arabic"/>
          <w:sz w:val="24"/>
          <w:szCs w:val="24"/>
          <w:lang w:bidi="ar-EG"/>
        </w:rPr>
        <w:t>Kshetri .,</w:t>
      </w:r>
      <w:r>
        <w:rPr>
          <w:rFonts w:ascii="Simplified Arabic" w:eastAsia="Calibri" w:hAnsi="Simplified Arabic" w:cs="Simplified Arabic"/>
          <w:sz w:val="28"/>
          <w:szCs w:val="28"/>
          <w:lang w:bidi="ar-EG"/>
        </w:rPr>
        <w:t>2021)</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إلى أن زيادة استخدام إنترنت الأشياء أدى إلى تضاعف التهديدات السيبرانية، نظرًا لوجود ثغرات أمنية متعددة في الأنظمة التي تربط بين الأجهزة المختلفة. لذلك، يجب على الشركات أن تعتمد على تقنيات تشفير متقدمة، وتطوير استراتيجيات لحماية البيانات وضمان خصوصية المستخدمين</w:t>
      </w:r>
      <w:r>
        <w:rPr>
          <w:rFonts w:ascii="Simplified Arabic" w:eastAsia="Calibri" w:hAnsi="Simplified Arabic" w:cs="Simplified Arabic"/>
          <w:sz w:val="28"/>
          <w:szCs w:val="28"/>
          <w:lang w:bidi="ar-EG"/>
        </w:rPr>
        <w:t>.</w:t>
      </w:r>
    </w:p>
    <w:p w:rsidR="00706C10" w:rsidRDefault="00706C10" w:rsidP="00706C10">
      <w:pPr>
        <w:pStyle w:val="ListParagraph"/>
        <w:numPr>
          <w:ilvl w:val="2"/>
          <w:numId w:val="30"/>
        </w:numPr>
        <w:spacing w:line="360" w:lineRule="auto"/>
        <w:ind w:left="746" w:hanging="316"/>
        <w:jc w:val="both"/>
        <w:outlineLvl w:val="0"/>
        <w:rPr>
          <w:rFonts w:ascii="Simplified Arabic" w:eastAsia="Calibri" w:hAnsi="Simplified Arabic" w:cs="Simplified Arabic"/>
          <w:b/>
          <w:bCs/>
          <w:sz w:val="28"/>
          <w:szCs w:val="28"/>
          <w:lang w:bidi="ar-EG"/>
        </w:rPr>
      </w:pPr>
      <w:bookmarkStart w:id="38" w:name="_Toc181308894"/>
      <w:r>
        <w:rPr>
          <w:rFonts w:ascii="Simplified Arabic" w:eastAsia="Calibri" w:hAnsi="Simplified Arabic" w:cs="Simplified Arabic"/>
          <w:b/>
          <w:bCs/>
          <w:sz w:val="28"/>
          <w:szCs w:val="28"/>
          <w:rtl/>
        </w:rPr>
        <w:t>التحديات الأخلاقية المتعلقة باستخدام الذكاء الاصطناعي</w:t>
      </w:r>
      <w:bookmarkEnd w:id="38"/>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من أكثر التحديات المثيرة للجدل في مجال التقنيات الناشئة هو الجانب الأخلاقي. الذكاء الاصطناعي، على سبيل المثال، يمكنه اتخاذ قرارات بناءً على خوارزميات قد تحتوي على تحيزات غير مقصودة، مما يؤثر على العدالة والمساواة</w:t>
      </w:r>
      <w:r>
        <w:rPr>
          <w:rFonts w:ascii="Simplified Arabic" w:eastAsia="Calibri" w:hAnsi="Simplified Arabic" w:cs="Simplified Arabic"/>
          <w:sz w:val="28"/>
          <w:szCs w:val="28"/>
          <w:lang w:bidi="ar-EG"/>
        </w:rPr>
        <w:t>. (</w:t>
      </w:r>
      <w:r>
        <w:rPr>
          <w:rFonts w:ascii="Simplified Arabic" w:eastAsia="Calibri" w:hAnsi="Simplified Arabic" w:cs="Simplified Arabic"/>
          <w:sz w:val="24"/>
          <w:szCs w:val="24"/>
          <w:lang w:bidi="ar-EG"/>
        </w:rPr>
        <w:t>Binns.,</w:t>
      </w:r>
      <w:r>
        <w:rPr>
          <w:rFonts w:ascii="Simplified Arabic" w:eastAsia="Calibri" w:hAnsi="Simplified Arabic" w:cs="Simplified Arabic"/>
          <w:sz w:val="28"/>
          <w:szCs w:val="28"/>
          <w:lang w:bidi="ar-EG"/>
        </w:rPr>
        <w:t xml:space="preserve">2018) </w:t>
      </w:r>
      <w:r>
        <w:rPr>
          <w:rFonts w:ascii="Simplified Arabic" w:eastAsia="Calibri" w:hAnsi="Simplified Arabic" w:cs="Simplified Arabic"/>
          <w:sz w:val="28"/>
          <w:szCs w:val="28"/>
          <w:rtl/>
        </w:rPr>
        <w:t>أشار إلى أن الذكاء الاصطناعي يمكن أن يعزز التمييز العرقي أو الجنسي إذا لم يتم تصميمه بعناية وبناءً على قواعد بيانات غير منحازة</w:t>
      </w:r>
      <w:r>
        <w:rPr>
          <w:rFonts w:ascii="Simplified Arabic" w:eastAsia="Calibri" w:hAnsi="Simplified Arabic" w:cs="Simplified Arabic"/>
          <w:sz w:val="28"/>
          <w:szCs w:val="28"/>
          <w:lang w:bidi="ar-EG"/>
        </w:rPr>
        <w:t>.</w:t>
      </w:r>
    </w:p>
    <w:p w:rsidR="00706C10" w:rsidRDefault="00706C10" w:rsidP="00706C10">
      <w:pPr>
        <w:spacing w:line="360" w:lineRule="auto"/>
        <w:ind w:firstLine="386"/>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المثال الآخر هو استخدام الذكاء الاصطناعي في تقنيات المراقبة والتتبع، حيث يمكن استخدام هذه التقنيات لأغراض التجسس أو التحكم الاجتماعي. في الصين، تم اعتماد تقنيات التعرف على الوجه لمراقبة الأفراد وتحديد هويتهم في الأماكن العامة، مما أثار قلقًا كبيرًا حول حقوق الإنسان والخصوصية</w:t>
      </w:r>
    </w:p>
    <w:p w:rsidR="00706C10" w:rsidRDefault="00706C10" w:rsidP="00706C10">
      <w:pPr>
        <w:spacing w:line="360" w:lineRule="auto"/>
        <w:ind w:firstLine="38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 xml:space="preserve"> (Li, 2020).</w:t>
      </w:r>
    </w:p>
    <w:p w:rsidR="00706C10" w:rsidRDefault="00706C10" w:rsidP="00706C10">
      <w:pPr>
        <w:spacing w:line="360" w:lineRule="auto"/>
        <w:ind w:firstLine="38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التحدي هنا يكمن في كيفية توجيه الذكاء الاصطناعي ليكون أداة مساعدة للبشر دون انتهاك حقوقهم الأساسية. يتطلب هذا من المطورين والمستخدمين أن يكونوا واعين بالعواقب الأخلاقية المحتملة لاستخدام هذه التقنيات، وأن يعملوا على تطوير أنظمة تقلل من التحيزات وتحترم الخصوصية</w:t>
      </w:r>
      <w:r>
        <w:rPr>
          <w:rFonts w:ascii="Simplified Arabic" w:eastAsia="Calibri" w:hAnsi="Simplified Arabic" w:cs="Simplified Arabic"/>
          <w:sz w:val="28"/>
          <w:szCs w:val="28"/>
          <w:lang w:bidi="ar-EG"/>
        </w:rPr>
        <w:t>.</w:t>
      </w:r>
    </w:p>
    <w:p w:rsidR="00706C10" w:rsidRDefault="00706C10" w:rsidP="00706C10">
      <w:pPr>
        <w:spacing w:line="360" w:lineRule="auto"/>
        <w:ind w:firstLine="386"/>
        <w:jc w:val="both"/>
        <w:rPr>
          <w:rFonts w:ascii="Simplified Arabic" w:eastAsia="Calibri" w:hAnsi="Simplified Arabic" w:cs="Simplified Arabic"/>
          <w:sz w:val="28"/>
          <w:szCs w:val="28"/>
          <w:lang w:bidi="ar-EG"/>
        </w:rPr>
      </w:pPr>
    </w:p>
    <w:p w:rsidR="00706C10" w:rsidRDefault="00706C10" w:rsidP="00706C10">
      <w:pPr>
        <w:spacing w:line="360" w:lineRule="auto"/>
        <w:ind w:firstLine="386"/>
        <w:jc w:val="both"/>
        <w:rPr>
          <w:rFonts w:ascii="Simplified Arabic" w:eastAsia="Calibri" w:hAnsi="Simplified Arabic" w:cs="Simplified Arabic"/>
          <w:sz w:val="28"/>
          <w:szCs w:val="28"/>
          <w:lang w:bidi="ar-EG"/>
        </w:rPr>
      </w:pPr>
    </w:p>
    <w:p w:rsidR="00706C10" w:rsidRDefault="00706C10" w:rsidP="00706C10">
      <w:pPr>
        <w:pStyle w:val="ListParagraph"/>
        <w:numPr>
          <w:ilvl w:val="2"/>
          <w:numId w:val="30"/>
        </w:numPr>
        <w:spacing w:line="360" w:lineRule="auto"/>
        <w:ind w:hanging="316"/>
        <w:jc w:val="both"/>
        <w:outlineLvl w:val="0"/>
        <w:rPr>
          <w:rFonts w:ascii="Simplified Arabic" w:eastAsia="Calibri" w:hAnsi="Simplified Arabic" w:cs="Simplified Arabic"/>
          <w:b/>
          <w:bCs/>
          <w:sz w:val="28"/>
          <w:szCs w:val="28"/>
          <w:lang w:bidi="ar-EG"/>
        </w:rPr>
      </w:pPr>
      <w:bookmarkStart w:id="39" w:name="_Toc181308895"/>
      <w:r>
        <w:rPr>
          <w:rFonts w:ascii="Simplified Arabic" w:eastAsia="Calibri" w:hAnsi="Simplified Arabic" w:cs="Simplified Arabic"/>
          <w:b/>
          <w:bCs/>
          <w:sz w:val="28"/>
          <w:szCs w:val="28"/>
          <w:rtl/>
        </w:rPr>
        <w:t>الحاجة لتحديث السياسات والأنظمة القانونية</w:t>
      </w:r>
      <w:bookmarkEnd w:id="39"/>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التقنيات الناشئة تتطور بسرعة أكبر من القوانين والسياسات التي تنظم استخدامها. الحوسبة الكمومية، الذكاء الاصطناعي، وإنترنت الأشياء هي أمثلة لتقنيات تقدم تحديات قانونية معقدة، مثل تحديد من يتحمل المسؤولية في حالة حدوث خطأ أو حادث تقني. هل تقع المسؤولية على الشركة التي طورت التكنولوجيا، أم على المستخدم الذي أساء استخدامها؟</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 xml:space="preserve">Floridi et al., </w:t>
      </w:r>
      <w:r>
        <w:rPr>
          <w:rFonts w:ascii="Simplified Arabic" w:eastAsia="Calibri" w:hAnsi="Simplified Arabic" w:cs="Simplified Arabic"/>
          <w:sz w:val="28"/>
          <w:szCs w:val="28"/>
          <w:lang w:bidi="ar-EG"/>
        </w:rPr>
        <w:t xml:space="preserve">2018) </w:t>
      </w:r>
      <w:r>
        <w:rPr>
          <w:rFonts w:ascii="Simplified Arabic" w:eastAsia="Calibri" w:hAnsi="Simplified Arabic" w:cs="Simplified Arabic"/>
          <w:sz w:val="28"/>
          <w:szCs w:val="28"/>
          <w:rtl/>
          <w:lang w:bidi="ar-EG"/>
        </w:rPr>
        <w:t>أشاروا</w:t>
      </w:r>
      <w:r>
        <w:rPr>
          <w:rFonts w:ascii="Simplified Arabic" w:eastAsia="Calibri" w:hAnsi="Simplified Arabic" w:cs="Simplified Arabic"/>
          <w:sz w:val="28"/>
          <w:szCs w:val="28"/>
          <w:rtl/>
        </w:rPr>
        <w:t xml:space="preserve"> إلى أن هناك حاجة ماسة لتطوير أنظمة قانونية وسياسات جديدة تتماشى مع التقدم التكنولوجي. على سبيل المثال، في قطاع الذكاء الاصطناعي، يجب وضع قوانين تضمن الشفافية في كيفية اتخاذ القرارات باستخدام هذه التقنيات، بالإضافة إلى تطوير آليات تنظيمية لضمان عدم إساءة استخدامها</w:t>
      </w:r>
      <w:r>
        <w:rPr>
          <w:rFonts w:ascii="Simplified Arabic" w:eastAsia="Calibri" w:hAnsi="Simplified Arabic" w:cs="Simplified Arabic"/>
          <w:sz w:val="28"/>
          <w:szCs w:val="28"/>
          <w:lang w:bidi="ar-EG"/>
        </w:rPr>
        <w:t>.</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كذلك، إن توجيهات الاتحاد الأوروبي مثل اللائحة العامة لحماية البيانات</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GDPR</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قدمت نماذج مهمة لحماية حقوق الأفراد في عصر البيانات الضخمة، ولكن يجب أن تتطور هذه التشريعات باستمرار لتواكب الابتكارات الجديدة التي تأتي مع التقنيات الناشئة</w:t>
      </w:r>
      <w:r>
        <w:rPr>
          <w:rFonts w:ascii="Simplified Arabic" w:eastAsia="Calibri" w:hAnsi="Simplified Arabic" w:cs="Simplified Arabic"/>
          <w:sz w:val="28"/>
          <w:szCs w:val="28"/>
          <w:lang w:bidi="ar-EG"/>
        </w:rPr>
        <w:t>.</w:t>
      </w:r>
    </w:p>
    <w:p w:rsidR="00706C10" w:rsidRDefault="00706C10" w:rsidP="00706C10">
      <w:pPr>
        <w:spacing w:line="360" w:lineRule="auto"/>
        <w:jc w:val="both"/>
        <w:outlineLvl w:val="0"/>
        <w:rPr>
          <w:rFonts w:ascii="Simplified Arabic" w:eastAsia="Calibri" w:hAnsi="Simplified Arabic" w:cs="Simplified Arabic"/>
          <w:b/>
          <w:bCs/>
          <w:sz w:val="32"/>
          <w:szCs w:val="32"/>
          <w:lang w:bidi="ar-EG"/>
        </w:rPr>
      </w:pPr>
      <w:bookmarkStart w:id="40" w:name="_Toc181308896"/>
      <w:r>
        <w:rPr>
          <w:rFonts w:ascii="Simplified Arabic" w:eastAsia="Calibri" w:hAnsi="Simplified Arabic" w:cs="Simplified Arabic"/>
          <w:b/>
          <w:bCs/>
          <w:sz w:val="32"/>
          <w:szCs w:val="32"/>
          <w:rtl/>
        </w:rPr>
        <w:t>2.1.14 الاتجاهات المستقبلية والفرص في تطوير الذكاء الاصطناعي وإنترنت الأشياء</w:t>
      </w:r>
      <w:bookmarkEnd w:id="40"/>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2.1.14.1</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التوجهات القادمة في تطوير الذكاء الاصطناعي وإنترنت الأشياء</w:t>
      </w:r>
    </w:p>
    <w:p w:rsidR="00706C10" w:rsidRDefault="00706C10" w:rsidP="00706C10">
      <w:pPr>
        <w:spacing w:line="360" w:lineRule="auto"/>
        <w:ind w:left="386" w:hanging="360"/>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lang w:bidi="ar-EG"/>
        </w:rPr>
        <w:t xml:space="preserve">أ- </w:t>
      </w:r>
      <w:r>
        <w:rPr>
          <w:rFonts w:ascii="Simplified Arabic" w:eastAsia="Calibri" w:hAnsi="Simplified Arabic" w:cs="Simplified Arabic"/>
          <w:b/>
          <w:bCs/>
          <w:sz w:val="28"/>
          <w:szCs w:val="28"/>
          <w:rtl/>
        </w:rPr>
        <w:t>الذكاء الاصطناعي في المستقبل</w:t>
      </w:r>
    </w:p>
    <w:p w:rsidR="00706C10" w:rsidRDefault="00706C10" w:rsidP="00706C10">
      <w:pPr>
        <w:spacing w:line="360" w:lineRule="auto"/>
        <w:ind w:firstLine="36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يتجه الذكاء الاصطناعي نحو التحسين المستمر في العديد من المجالات، بما في ذلك التحليل الذاتي، تعزيز قدرة التعلم العميق، وتطوير الأنظمة القائمة على الشبكات العصبية الاصطناعية. من المتوقع أن تساهم هذه التطورات في تحسين قدرة الذكاء الاصطناعي على التنبؤ واتخاذ القرارات بصورة أكثر دقة وفعالية</w:t>
      </w:r>
      <w:r>
        <w:rPr>
          <w:rFonts w:ascii="Simplified Arabic" w:eastAsia="Calibri" w:hAnsi="Simplified Arabic" w:cs="Simplified Arabic"/>
          <w:sz w:val="28"/>
          <w:szCs w:val="28"/>
          <w:lang w:bidi="ar-EG"/>
        </w:rPr>
        <w:t>.</w:t>
      </w:r>
    </w:p>
    <w:p w:rsidR="00706C10" w:rsidRDefault="00706C10" w:rsidP="00706C10">
      <w:pPr>
        <w:numPr>
          <w:ilvl w:val="0"/>
          <w:numId w:val="31"/>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التعلم الذاتي والتعلم التلقائي</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في السنوات المقبلة، يُتوقع أن تتطور قدرات الذكاء الاصطناعي ليصبح أكثر استقلالية، حيث ستكون الآلات قادرة على تعلم أنماط جديدة من البيانات دون الحاجة إلى تدخل بشري مكثف. على سبيل المثال، سيتطور التعلم التلقائي</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Machine Learning</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إلى أنظمة ذاتية التعلم قادرة على تحليل ومعالجة البيانات بشكل أكثر تعقيداً</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Marr</w:t>
      </w:r>
      <w:r>
        <w:rPr>
          <w:rFonts w:ascii="Simplified Arabic" w:eastAsia="Calibri" w:hAnsi="Simplified Arabic" w:cs="Simplified Arabic"/>
          <w:sz w:val="28"/>
          <w:szCs w:val="28"/>
          <w:lang w:bidi="ar-EG"/>
        </w:rPr>
        <w:t>, 2020</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31"/>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التفاعل البشري الآلي المتقدم</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سيستمر الذكاء الاصطناعي في تطوير قدرات التفاعل الطبيعي مع البشر، ما سيمكن الروبوتات والأجهزة من التواصل بشكل أكثر فعالية مع المستخدمين. هذه القدرة ستجعل الذكاء الاصطناعي أكثر انتشاراً في الحياة اليومية، بما في ذلك تحسين خدمة العملاء والرعاية الصحية</w:t>
      </w:r>
      <w:r>
        <w:rPr>
          <w:rFonts w:ascii="Simplified Arabic" w:eastAsia="Calibri" w:hAnsi="Simplified Arabic" w:cs="Simplified Arabic"/>
          <w:sz w:val="28"/>
          <w:szCs w:val="28"/>
          <w:lang w:bidi="ar-EG"/>
        </w:rPr>
        <w:t xml:space="preserve"> </w:t>
      </w:r>
      <w:r>
        <w:rPr>
          <w:rFonts w:ascii="MS Gothic" w:eastAsia="MS Gothic" w:hAnsi="MS Gothic" w:cs="MS Gothic" w:hint="eastAsia"/>
          <w:sz w:val="28"/>
          <w:szCs w:val="28"/>
          <w:lang w:bidi="ar-EG"/>
        </w:rPr>
        <w:t>(</w:t>
      </w:r>
      <w:r>
        <w:rPr>
          <w:rFonts w:ascii="Simplified Arabic" w:eastAsia="Calibri" w:hAnsi="Simplified Arabic" w:cs="Simplified Arabic"/>
          <w:sz w:val="24"/>
          <w:szCs w:val="24"/>
          <w:lang w:bidi="ar-EG"/>
        </w:rPr>
        <w:t>Nilsson</w:t>
      </w:r>
      <w:r>
        <w:rPr>
          <w:rFonts w:ascii="Simplified Arabic" w:eastAsia="Calibri" w:hAnsi="Simplified Arabic" w:cs="Simplified Arabic"/>
          <w:sz w:val="28"/>
          <w:szCs w:val="28"/>
          <w:lang w:bidi="ar-EG"/>
        </w:rPr>
        <w:t>, 2021</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pStyle w:val="ListParagraph"/>
        <w:numPr>
          <w:ilvl w:val="1"/>
          <w:numId w:val="31"/>
        </w:numPr>
        <w:spacing w:line="360" w:lineRule="auto"/>
        <w:ind w:left="386"/>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 xml:space="preserve">تطور إنترنت الأشياء </w:t>
      </w:r>
    </w:p>
    <w:p w:rsidR="00706C10" w:rsidRDefault="00706C10" w:rsidP="00706C10">
      <w:pPr>
        <w:spacing w:line="360" w:lineRule="auto"/>
        <w:ind w:firstLine="36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تعتبر تقنية إنترنت الأشياء</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IoT</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من أبرز الاتجاهات المستقبلية التي ستواصل تطويرها في العقود القادمة، حيث ستتزايد التطبيقات المبتكرة التي تربط بين الأجهزة والبيانات والبشر</w:t>
      </w:r>
      <w:r>
        <w:rPr>
          <w:rFonts w:ascii="Simplified Arabic" w:eastAsia="Calibri" w:hAnsi="Simplified Arabic" w:cs="Simplified Arabic"/>
          <w:sz w:val="28"/>
          <w:szCs w:val="28"/>
          <w:lang w:bidi="ar-EG"/>
        </w:rPr>
        <w:t>.</w:t>
      </w:r>
    </w:p>
    <w:p w:rsidR="00706C10" w:rsidRDefault="00706C10" w:rsidP="00706C10">
      <w:pPr>
        <w:numPr>
          <w:ilvl w:val="0"/>
          <w:numId w:val="32"/>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الشبكات الذكية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سيلعب إنترنت الأشياء دوراً رئيسياً في تطوير الشبكات الذكية، التي تعتمد على دمج الأجهزة المترابطة لتقديم بيانات في الوقت الفعلي. هذه الشبكات ستسهم في تعزيز كفاءة الطاقة وإدارة الموارد في مختلف المجالات، مثل إدارة المدن الذكية والنقل المستدام</w:t>
      </w:r>
      <w:r>
        <w:rPr>
          <w:rFonts w:ascii="Simplified Arabic" w:eastAsia="Calibri"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sz w:val="28"/>
          <w:szCs w:val="28"/>
          <w:lang w:bidi="ar-EG"/>
        </w:rPr>
      </w:pPr>
      <w:r>
        <w:rPr>
          <w:rFonts w:ascii="Simplified Arabic" w:eastAsia="MS Gothic" w:hAnsi="Simplified Arabic" w:cs="Simplified Arabic"/>
          <w:sz w:val="28"/>
          <w:szCs w:val="28"/>
          <w:lang w:bidi="ar-EG"/>
        </w:rPr>
        <w:lastRenderedPageBreak/>
        <w:t>(</w:t>
      </w:r>
      <w:r>
        <w:rPr>
          <w:rFonts w:ascii="Simplified Arabic" w:eastAsia="Calibri" w:hAnsi="Simplified Arabic" w:cs="Simplified Arabic"/>
          <w:sz w:val="24"/>
          <w:szCs w:val="24"/>
          <w:lang w:bidi="ar-EG"/>
        </w:rPr>
        <w:t>Atzori et al.,</w:t>
      </w:r>
      <w:r>
        <w:rPr>
          <w:rFonts w:ascii="Simplified Arabic" w:eastAsia="Calibri" w:hAnsi="Simplified Arabic" w:cs="Simplified Arabic"/>
          <w:sz w:val="28"/>
          <w:szCs w:val="28"/>
          <w:lang w:bidi="ar-EG"/>
        </w:rPr>
        <w:t xml:space="preserve"> 2020</w:t>
      </w:r>
      <w:r>
        <w:rPr>
          <w:rFonts w:ascii="Simplified Arabic" w:eastAsia="MS Gothic" w:hAnsi="Simplified Arabic" w:cs="Simplified Arabic"/>
          <w:sz w:val="28"/>
          <w:szCs w:val="28"/>
          <w:lang w:bidi="ar-EG"/>
        </w:rPr>
        <w:t>)</w:t>
      </w:r>
    </w:p>
    <w:p w:rsidR="00706C10" w:rsidRDefault="00706C10" w:rsidP="00706C10">
      <w:pPr>
        <w:numPr>
          <w:ilvl w:val="0"/>
          <w:numId w:val="32"/>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الأمان والخصوصية في إنترنت الأشياء</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مع تزايد الأجهزة المتصلة، يصبح الحفاظ على الأمان والسيطرة على البيانات أمرًا بالغ الأهمية. أحد التوجهات الرئيسية في إنترنت الأشياء سيكون التركيز على تطوير تقنيات أمنية تحمي البيانات الشخصية وتضمن سلامة المعلومات المتبادلة بين الأجهزة. الابتكارات في هذا المجال ستلعب دورًا كبيرًا في تعزيز الثقة بتقنيات إنترنت الأشياء</w:t>
      </w:r>
      <w:r>
        <w:rPr>
          <w:rFonts w:ascii="Simplified Arabic" w:eastAsia="Calibri" w:hAnsi="Simplified Arabic" w:cs="Simplified Arabic"/>
          <w:sz w:val="28"/>
          <w:szCs w:val="28"/>
          <w:lang w:bidi="ar-EG"/>
        </w:rPr>
        <w:t>.</w:t>
      </w:r>
    </w:p>
    <w:p w:rsidR="00706C10" w:rsidRDefault="00706C10" w:rsidP="00706C10">
      <w:pPr>
        <w:spacing w:line="360" w:lineRule="auto"/>
        <w:ind w:left="720"/>
        <w:jc w:val="both"/>
        <w:rPr>
          <w:rFonts w:ascii="Simplified Arabic" w:eastAsia="Calibri" w:hAnsi="Simplified Arabic" w:cs="Simplified Arabic"/>
          <w:sz w:val="28"/>
          <w:szCs w:val="28"/>
          <w:lang w:bidi="ar-EG"/>
        </w:rPr>
      </w:pP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Kshetri,</w:t>
      </w:r>
      <w:r>
        <w:rPr>
          <w:rFonts w:ascii="Simplified Arabic" w:eastAsia="Calibri" w:hAnsi="Simplified Arabic" w:cs="Simplified Arabic"/>
          <w:sz w:val="28"/>
          <w:szCs w:val="28"/>
          <w:lang w:bidi="ar-EG"/>
        </w:rPr>
        <w:t xml:space="preserve"> 2021</w:t>
      </w:r>
      <w:r>
        <w:rPr>
          <w:rFonts w:ascii="Simplified Arabic" w:eastAsia="MS Gothic"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lang w:bidi="ar-EG"/>
        </w:rPr>
        <w:t>2.1.14.2 كيف</w:t>
      </w:r>
      <w:r>
        <w:rPr>
          <w:rFonts w:ascii="Simplified Arabic" w:eastAsia="Calibri" w:hAnsi="Simplified Arabic" w:cs="Simplified Arabic"/>
          <w:b/>
          <w:bCs/>
          <w:sz w:val="32"/>
          <w:szCs w:val="32"/>
          <w:rtl/>
        </w:rPr>
        <w:t xml:space="preserve"> يمكن للحكومات والشركات الاستفادة من هذه التقنيات لتحفيز النمو الاقتصادي والابتكار</w:t>
      </w:r>
    </w:p>
    <w:p w:rsidR="00706C10" w:rsidRDefault="00706C10" w:rsidP="00706C10">
      <w:pPr>
        <w:spacing w:line="360" w:lineRule="auto"/>
        <w:jc w:val="both"/>
        <w:outlineLvl w:val="0"/>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bookmarkStart w:id="41" w:name="_Toc181308897"/>
      <w:r>
        <w:rPr>
          <w:rFonts w:ascii="Simplified Arabic" w:eastAsia="Calibri" w:hAnsi="Simplified Arabic" w:cs="Simplified Arabic"/>
          <w:b/>
          <w:bCs/>
          <w:sz w:val="28"/>
          <w:szCs w:val="28"/>
          <w:rtl/>
          <w:lang w:bidi="ar-EG"/>
        </w:rPr>
        <w:t>أ-</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استفادة الحكومات من التقنيات الناشئة</w:t>
      </w:r>
      <w:bookmarkEnd w:id="41"/>
    </w:p>
    <w:p w:rsidR="00706C10" w:rsidRDefault="00706C10" w:rsidP="00706C10">
      <w:pPr>
        <w:spacing w:line="360" w:lineRule="auto"/>
        <w:ind w:firstLine="36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يمكن للحكومات استغلال الذكاء الاصطناعي وإنترنت الأشياء لتحسين تقديم الخدمات العامة وتعزيز الكفاءة في إدارة الموارد، الأمر الذي يعزز النمو الاقتصادي ويسهم في تقديم خدمات مبتكرة للمواطنين. يمكن للحكومات الاستفادة من هذه التقنيات في عدة مجالات</w:t>
      </w:r>
      <w:r>
        <w:rPr>
          <w:rFonts w:ascii="Simplified Arabic" w:eastAsia="Calibri" w:hAnsi="Simplified Arabic" w:cs="Simplified Arabic"/>
          <w:sz w:val="28"/>
          <w:szCs w:val="28"/>
          <w:lang w:bidi="ar-EG"/>
        </w:rPr>
        <w:t>:</w:t>
      </w:r>
    </w:p>
    <w:p w:rsidR="00706C10" w:rsidRDefault="00706C10" w:rsidP="00706C10">
      <w:pPr>
        <w:numPr>
          <w:ilvl w:val="0"/>
          <w:numId w:val="33"/>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المدن الذكية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تُعد المدن الذكية واحدة من أبرز التوجهات المستقبلية للحكومات حول العالم. يمكن للحكومات استخدام الذكاء الاصطناعي وإنترنت الأشياء في تحسين البنية التحتية وإدارة الموارد بكفاءة، بما في ذلك تحسين النقل العام، وتقديم حلول مبتكرة لإدارة الطاقة والمياه، وتطوير أنظمة ذكية لمراقبة الأمان في المدن</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Batty et al.,</w:t>
      </w:r>
      <w:r>
        <w:rPr>
          <w:rFonts w:ascii="Simplified Arabic" w:eastAsia="Calibri" w:hAnsi="Simplified Arabic" w:cs="Simplified Arabic"/>
          <w:sz w:val="28"/>
          <w:szCs w:val="28"/>
          <w:lang w:bidi="ar-EG"/>
        </w:rPr>
        <w:t xml:space="preserve"> 2021</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33"/>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lastRenderedPageBreak/>
        <w:t>تحسين الصحة العامة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بإمكان الحكومات استخدام الذكاء الاصطناعي لتحليل البيانات الصحية وتحسين الرعاية الصحية العامة. من خلال جمع وتحليل البيانات عبر أجهزة إنترنت الأشياء، يمكن التنبؤ بتفشي الأوبئة، وتخصيص الموارد الصحية بشكل أكثر فعالية، مما يساعد في تحسين جودة الحياة وتقليل تكاليف الرعاية الصحية</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Topol</w:t>
      </w:r>
      <w:r>
        <w:rPr>
          <w:rFonts w:ascii="Simplified Arabic" w:eastAsia="Calibri" w:hAnsi="Simplified Arabic" w:cs="Simplified Arabic"/>
          <w:sz w:val="28"/>
          <w:szCs w:val="28"/>
          <w:lang w:bidi="ar-EG"/>
        </w:rPr>
        <w:t>, 2021</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33"/>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تحفيز الاقتصاد الرقمي</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ستلعب التقنيات الناشئة دورًا حيويًا في دعم الاقتصاد الرقمي عبر تمكين الحكومات من تطوير سياسات تدعم الابتكار والتطور التكنولوجي. سيؤدي ذلك إلى خلق فرص عمل جديدة وزيادة الاستثمار في مجالات البحث والتطوير، مما يعزز من دور الدول في الاقتصاد العالمي</w:t>
      </w:r>
      <w:r>
        <w:rPr>
          <w:rFonts w:ascii="Simplified Arabic" w:eastAsia="Calibri" w:hAnsi="Simplified Arabic" w:cs="Simplified Arabic"/>
          <w:sz w:val="28"/>
          <w:szCs w:val="28"/>
          <w:lang w:bidi="ar-EG"/>
        </w:rPr>
        <w:t>.</w:t>
      </w:r>
    </w:p>
    <w:p w:rsidR="00706C10" w:rsidRDefault="00706C10" w:rsidP="00706C10">
      <w:pPr>
        <w:spacing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lang w:bidi="ar-EG"/>
        </w:rPr>
        <w:t>ب- استفادة</w:t>
      </w:r>
      <w:r>
        <w:rPr>
          <w:rFonts w:ascii="Simplified Arabic" w:eastAsia="Calibri" w:hAnsi="Simplified Arabic" w:cs="Simplified Arabic"/>
          <w:b/>
          <w:bCs/>
          <w:sz w:val="28"/>
          <w:szCs w:val="28"/>
          <w:rtl/>
        </w:rPr>
        <w:t xml:space="preserve"> الشركات من التقنيات الناشئة</w:t>
      </w:r>
    </w:p>
    <w:p w:rsidR="00706C10" w:rsidRDefault="00706C10" w:rsidP="00706C10">
      <w:pPr>
        <w:spacing w:line="360" w:lineRule="auto"/>
        <w:ind w:firstLine="36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التقنيات الناشئة تُعد أداة فعالة لتحسين أداء الشركات وزيادة كفاءتها التنافسية. من خلال تبني هذه التقنيات، يمكن للشركات تحقيق فوائد عدة، بما في ذلك تحسين الإنتاجية، تعزيز الابتكار، وتقليل التكاليف</w:t>
      </w:r>
      <w:r>
        <w:rPr>
          <w:rFonts w:ascii="Simplified Arabic" w:eastAsia="Calibri" w:hAnsi="Simplified Arabic" w:cs="Simplified Arabic"/>
          <w:sz w:val="28"/>
          <w:szCs w:val="28"/>
          <w:lang w:bidi="ar-EG"/>
        </w:rPr>
        <w:t>.</w:t>
      </w:r>
    </w:p>
    <w:p w:rsidR="00706C10" w:rsidRDefault="00706C10" w:rsidP="00706C10">
      <w:pPr>
        <w:numPr>
          <w:ilvl w:val="0"/>
          <w:numId w:val="34"/>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التحول الرقمي في الشركات</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يمكن للشركات استخدام الذكاء الاصطناعي وإنترنت الأشياء لتطوير عملياتها الداخلية وتحسين إدارة البيانات والعمليات اللوجستية. ستؤدي هذه التقنيات إلى تقليل التكاليف التشغيلية، وتحسين جودة المنتجات والخدمات، مما يعزز تنافسية الشركات في الأسواق العالمية</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Rogers</w:t>
      </w:r>
      <w:r>
        <w:rPr>
          <w:rFonts w:ascii="Simplified Arabic" w:eastAsia="Calibri" w:hAnsi="Simplified Arabic" w:cs="Simplified Arabic"/>
          <w:sz w:val="28"/>
          <w:szCs w:val="28"/>
          <w:lang w:bidi="ar-EG"/>
        </w:rPr>
        <w:t>, 2021</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34"/>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تحسين تجربة العملاء</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 xml:space="preserve">يُمكن للشركات الاعتماد على الذكاء الاصطناعي لتقديم تجربة عملاء مخصصة وذكية. من خلال تحليل البيانات المتاحة من أجهزة إنترنت الأشياء، يمكن للشركات تقديم </w:t>
      </w:r>
      <w:r>
        <w:rPr>
          <w:rFonts w:ascii="Simplified Arabic" w:eastAsia="Calibri" w:hAnsi="Simplified Arabic" w:cs="Simplified Arabic"/>
          <w:sz w:val="28"/>
          <w:szCs w:val="28"/>
          <w:rtl/>
        </w:rPr>
        <w:lastRenderedPageBreak/>
        <w:t>منتجات وخدمات تلبي احتياجات العملاء بشكل أكثر دقة وسرعة، مما يعزز من رضا العملاء ويزيد من ولائهم</w:t>
      </w: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Brynjolfsson &amp; McAfee</w:t>
      </w:r>
      <w:r>
        <w:rPr>
          <w:rFonts w:ascii="Simplified Arabic" w:eastAsia="Calibri" w:hAnsi="Simplified Arabic" w:cs="Simplified Arabic"/>
          <w:sz w:val="28"/>
          <w:szCs w:val="28"/>
          <w:lang w:bidi="ar-EG"/>
        </w:rPr>
        <w:t>, 2017</w:t>
      </w:r>
      <w:r>
        <w:rPr>
          <w:rFonts w:ascii="Simplified Arabic" w:eastAsia="MS Gothic" w:hAnsi="Simplified Arabic" w:cs="Simplified Arabic"/>
          <w:sz w:val="28"/>
          <w:szCs w:val="28"/>
          <w:lang w:bidi="ar-EG"/>
        </w:rPr>
        <w:t>)</w:t>
      </w:r>
      <w:r>
        <w:rPr>
          <w:rFonts w:ascii="Simplified Arabic" w:eastAsia="Calibri" w:hAnsi="Simplified Arabic" w:cs="Simplified Arabic"/>
          <w:sz w:val="28"/>
          <w:szCs w:val="28"/>
          <w:lang w:bidi="ar-EG"/>
        </w:rPr>
        <w:t>.</w:t>
      </w:r>
    </w:p>
    <w:p w:rsidR="00706C10" w:rsidRDefault="00706C10" w:rsidP="00706C10">
      <w:pPr>
        <w:numPr>
          <w:ilvl w:val="0"/>
          <w:numId w:val="34"/>
        </w:numPr>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الابتكار في المنتجات والخدمات</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rPr>
        <w:t>ستسهم التقنيات الناشئة في فتح آفاق جديدة للشركات لتطوير منتجات وخدمات مبتكرة. على سبيل المثال، يمكن للشركات المصنعة للأجهزة الذكية استخدام الذكاء الاصطناعي لتطوير منتجات تلبي الاحتياجات المستقبلية وتتكيف مع تغييرات السوق</w:t>
      </w:r>
    </w:p>
    <w:p w:rsidR="00706C10" w:rsidRDefault="00706C10" w:rsidP="00706C10">
      <w:pPr>
        <w:spacing w:line="360" w:lineRule="auto"/>
        <w:jc w:val="both"/>
        <w:rPr>
          <w:rFonts w:ascii="Simplified Arabic" w:eastAsia="Calibri" w:hAnsi="Simplified Arabic" w:cs="Simplified Arabic"/>
          <w:sz w:val="28"/>
          <w:szCs w:val="28"/>
          <w:lang w:bidi="ar-EG"/>
        </w:rPr>
      </w:pPr>
      <w:r>
        <w:rPr>
          <w:rFonts w:ascii="Simplified Arabic" w:eastAsia="MS Gothic" w:hAnsi="Simplified Arabic" w:cs="Simplified Arabic"/>
          <w:sz w:val="28"/>
          <w:szCs w:val="28"/>
          <w:lang w:bidi="ar-EG"/>
        </w:rPr>
        <w:t>(</w:t>
      </w:r>
      <w:r>
        <w:rPr>
          <w:rFonts w:ascii="Simplified Arabic" w:eastAsia="Calibri" w:hAnsi="Simplified Arabic" w:cs="Simplified Arabic"/>
          <w:sz w:val="24"/>
          <w:szCs w:val="24"/>
          <w:lang w:bidi="ar-EG"/>
        </w:rPr>
        <w:t>Makridakis</w:t>
      </w:r>
      <w:r>
        <w:rPr>
          <w:rFonts w:ascii="Simplified Arabic" w:eastAsia="Calibri" w:hAnsi="Simplified Arabic" w:cs="Simplified Arabic"/>
          <w:sz w:val="28"/>
          <w:szCs w:val="28"/>
          <w:lang w:bidi="ar-EG"/>
        </w:rPr>
        <w:t>, 2020</w:t>
      </w:r>
      <w:r>
        <w:rPr>
          <w:rFonts w:ascii="Simplified Arabic" w:eastAsia="MS Gothic" w:hAnsi="Simplified Arabic" w:cs="Simplified Arabic"/>
          <w:sz w:val="28"/>
          <w:szCs w:val="28"/>
          <w:lang w:bidi="ar-EG"/>
        </w:rPr>
        <w:t>)</w:t>
      </w:r>
    </w:p>
    <w:p w:rsidR="00706C10" w:rsidRDefault="00706C10" w:rsidP="00706C10">
      <w:pPr>
        <w:spacing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يُظهر التطور السريع في التقنيات الناشئة مثل الذكاء الاصطناعي وإنترنت الأشياء الإمكانيات الهائلة لتحفيز الابتكار والنمو الاقتصادي. يجب على الحكومات والشركات الاستفادة من هذه التقنيات لتحقيق مزايا تنافسية، وتحسين خدماتها، ودعم الاقتصاد الرقمي. إن الاستفادة الكاملة من هذه التقنيات تتطلب تجاوز التحديات المرتبطة بها مثل الأمن السيبراني، وتطوير التشريعات والسياسات اللازمة لضمان الاستخدام المسؤول والآمن لهذه التقنيات</w:t>
      </w:r>
      <w:r>
        <w:rPr>
          <w:rFonts w:ascii="Simplified Arabic" w:eastAsia="Calibri" w:hAnsi="Simplified Arabic" w:cs="Simplified Arabic"/>
          <w:sz w:val="28"/>
          <w:szCs w:val="28"/>
          <w:lang w:bidi="ar-EG"/>
        </w:rPr>
        <w:t>.</w:t>
      </w:r>
    </w:p>
    <w:p w:rsidR="00706C10" w:rsidRDefault="00706C10" w:rsidP="00706C10">
      <w:pPr>
        <w:spacing w:after="160" w:line="360" w:lineRule="auto"/>
        <w:outlineLvl w:val="0"/>
        <w:rPr>
          <w:rFonts w:ascii="Simplified Arabic" w:eastAsia="Calibri" w:hAnsi="Simplified Arabic" w:cs="Simplified Arabic"/>
          <w:b/>
          <w:bCs/>
          <w:sz w:val="36"/>
          <w:szCs w:val="36"/>
          <w:lang w:bidi="ar-EG"/>
        </w:rPr>
      </w:pPr>
      <w:bookmarkStart w:id="42" w:name="_Toc181308898"/>
      <w:r>
        <w:rPr>
          <w:rFonts w:ascii="Simplified Arabic" w:eastAsia="Calibri" w:hAnsi="Simplified Arabic" w:cs="Simplified Arabic"/>
          <w:b/>
          <w:bCs/>
          <w:sz w:val="36"/>
          <w:szCs w:val="36"/>
          <w:rtl/>
          <w:lang w:bidi="ar-EG"/>
        </w:rPr>
        <w:t>المبحث الثاني: جودة الخدمات</w:t>
      </w:r>
      <w:bookmarkEnd w:id="42"/>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جودة الخدمات هي عنصر حاسم في نجاح أي مؤسسة أو نشاط تجاري يقدم خدمات، سواء كانت تلك الخدمات موجهة للأفراد أو الشركات. يُنظر إلى جودة الخدمات في مجال إدارة الأعمال على أنها القدرة على تلبية أو تجاوز توقعات العملاء من خلال تقديم خدمات بجودة عالية ومستمرة. يتعلق هذا المفهوم بجوانب مختلفة من الخدمة مثل الكفاءة، الفعالية، الاستجابة لاحتياجات العملاء، والمصداقية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تتعلق جودة الخدمات بإدارة الأعمال بشكل أساسي بضمان أن تكون العمليات والإجراءات المتعلقة بتقديم الخدمة متسقة وفعالة بما يكفي لتلبية احتياجات العملاء المتغيرة بشكل مستمر. بالإضافة إلى ذلك، ينظر إلى جودة الخدمات كأداة استراتيجية لزيادة الرضا والولاء لدى العملاء، مما يؤدي إلى زيادة القدرة التنافسية للمؤسسة. في هذا السياق، تعتبر إدارة الجودة عنصرًا مهمًا لتعزيز الثقة بين المؤسسة وعملائها وتعزيز سمعتها في السوق</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43" w:name="_Toc181308899"/>
      <w:r>
        <w:rPr>
          <w:rFonts w:ascii="Simplified Arabic" w:eastAsia="Calibri" w:hAnsi="Simplified Arabic" w:cs="Simplified Arabic"/>
          <w:b/>
          <w:bCs/>
          <w:sz w:val="28"/>
          <w:szCs w:val="28"/>
          <w:rtl/>
        </w:rPr>
        <w:t>2.2.1 تعريف جودة الخدمات وفقاً للمعايير الدولية والمحلية</w:t>
      </w:r>
      <w:bookmarkEnd w:id="43"/>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وفقًا للمعايير الدولية، تعرّف جودة الخدمات بأنها "القدرة على تقديم خدمة موثوقة وفعالة تتناسب مع توقعات العملاء وتحقق رضاهم</w:t>
      </w:r>
      <w:r>
        <w:rPr>
          <w:rFonts w:ascii="Simplified Arabic" w:eastAsia="Calibri" w:hAnsi="Simplified Arabic" w:cs="Simplified Arabic"/>
          <w:sz w:val="28"/>
          <w:szCs w:val="28"/>
          <w:lang w:bidi="ar-EG"/>
        </w:rPr>
        <w:t>" (</w:t>
      </w:r>
      <w:r>
        <w:rPr>
          <w:rFonts w:ascii="Simplified Arabic" w:eastAsia="Calibri" w:hAnsi="Simplified Arabic" w:cs="Simplified Arabic"/>
          <w:sz w:val="24"/>
          <w:szCs w:val="24"/>
          <w:lang w:bidi="ar-EG"/>
        </w:rPr>
        <w:t xml:space="preserve">ISO </w:t>
      </w:r>
      <w:r>
        <w:rPr>
          <w:rFonts w:ascii="Simplified Arabic" w:eastAsia="Calibri" w:hAnsi="Simplified Arabic" w:cs="Simplified Arabic"/>
          <w:sz w:val="28"/>
          <w:szCs w:val="28"/>
          <w:lang w:bidi="ar-EG"/>
        </w:rPr>
        <w:t xml:space="preserve">9001). </w:t>
      </w:r>
      <w:r>
        <w:rPr>
          <w:rFonts w:ascii="Simplified Arabic" w:eastAsia="Calibri" w:hAnsi="Simplified Arabic" w:cs="Simplified Arabic"/>
          <w:sz w:val="28"/>
          <w:szCs w:val="28"/>
          <w:rtl/>
        </w:rPr>
        <w:t>يشير هذا التعريف إلى أهمية توحيد الإجراءات والعمليات المتعلقة بالخدمات لضمان تحقيق الجودة العالية بشكل مستمر</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السياق المحلي، غالبًا ما تأخذ المؤسسات تعريفات جودة الخدمات من المعايير العالمية وتكيّفها مع احتياجات السوق المحلية. فمثلاً، قد يكون التركيز في الدول العربية على الموثوقية والسرعة في تقديم الخدمات، نظرًا لثقافة العملاء وتوقعاتهم الخاصة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هناك أيضًا معايير دولية محددة لقياس جودة الخدمات مثل </w:t>
      </w:r>
      <w:r>
        <w:rPr>
          <w:rFonts w:ascii="Simplified Arabic" w:eastAsia="Calibri" w:hAnsi="Simplified Arabic" w:cs="Simplified Arabic"/>
          <w:b/>
          <w:bCs/>
          <w:sz w:val="28"/>
          <w:szCs w:val="28"/>
          <w:rtl/>
        </w:rPr>
        <w:t>نموذج</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4"/>
          <w:szCs w:val="24"/>
          <w:lang w:bidi="ar-EG"/>
        </w:rPr>
        <w:t>SERVQUAL</w:t>
      </w:r>
      <w:r>
        <w:rPr>
          <w:rFonts w:ascii="Simplified Arabic" w:eastAsia="Calibri" w:hAnsi="Simplified Arabic" w:cs="Simplified Arabic"/>
          <w:sz w:val="24"/>
          <w:szCs w:val="24"/>
          <w:lang w:bidi="ar-EG"/>
        </w:rPr>
        <w:t xml:space="preserve"> </w:t>
      </w:r>
      <w:r>
        <w:rPr>
          <w:rFonts w:ascii="Simplified Arabic" w:eastAsia="Calibri" w:hAnsi="Simplified Arabic" w:cs="Simplified Arabic"/>
          <w:sz w:val="28"/>
          <w:szCs w:val="28"/>
          <w:rtl/>
        </w:rPr>
        <w:t>الذي يركز على خمسة أبعاد رئيسية لجودة الخدمة، وهي: الجوانب الملموسة، الموثوقية، الاستجابة، الضمان، والتعاطف</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على المستوى المحلي في بعض الدول العربية، تعتمد المؤسسات الحكومية والخاصة على معايير خدمة العملاء الخاصة بها لضمان جودة الخدمات المقدمة. وقد وضعت الحكومات استراتيجيات لتحسين جودة الخدمات العامة، بما في ذلك تطوير البنية التحتية واستخدام التكنولوجيا الحديثة لتحقيق فعالية أكبر في تقديم الخدمات</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44" w:name="_Toc181308900"/>
      <w:r>
        <w:rPr>
          <w:rFonts w:ascii="Simplified Arabic" w:eastAsia="Calibri" w:hAnsi="Simplified Arabic" w:cs="Simplified Arabic"/>
          <w:b/>
          <w:bCs/>
          <w:sz w:val="28"/>
          <w:szCs w:val="28"/>
          <w:rtl/>
        </w:rPr>
        <w:lastRenderedPageBreak/>
        <w:t>2.2.2 الفرق بين جودة السلع وجودة الخدمات</w:t>
      </w:r>
      <w:bookmarkEnd w:id="44"/>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أحد أهم الفروق بين جودة السلع والخدمات هو الطبيعة غير الملموسة للخدمات، مما يجعل من الصعب تقييم جودتها مقارنة بالسلع التي يمكن اختبارها قبل الشراء. جودة السلع تعتمد بشكل كبير على المواصفات المادية، مثل الحجم، الشكل، والمتانة. بينما جودة الخدمات تعتمد بشكل أكبر على كيفية تقديمها ومدى قدرتها على تلبية توقعات العملاء</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9"/>
        </w:num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طبيعة غير ملموسة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السلع</w:t>
      </w:r>
      <w:r>
        <w:rPr>
          <w:rFonts w:ascii="Simplified Arabic" w:eastAsia="Calibri" w:hAnsi="Simplified Arabic" w:cs="Simplified Arabic"/>
          <w:sz w:val="28"/>
          <w:szCs w:val="28"/>
          <w:rtl/>
        </w:rPr>
        <w:t xml:space="preserve"> هي منتجات ملموسة يمكن قياسها وفحصها قبل شرائها، في حين أن الخدمات هي غير ملموسة وتتعلق أكثر بالتجربة التي يمر بها العميل. لذا، فإن تقييم جودة الخدمات يعتمد على الانطباع العام الذي يتركه مقدم الخدمة لدى العميل</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9"/>
        </w:num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القابلية للتخزين والإنتاج الفوري</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السلع</w:t>
      </w:r>
      <w:r>
        <w:rPr>
          <w:rFonts w:ascii="Simplified Arabic" w:eastAsia="Calibri" w:hAnsi="Simplified Arabic" w:cs="Simplified Arabic"/>
          <w:sz w:val="28"/>
          <w:szCs w:val="28"/>
          <w:rtl/>
        </w:rPr>
        <w:t xml:space="preserve"> يمكن إنتاجها وتخزينها لحين الحاجة، بينما تُنتج الخدمات عادة في اللحظة التي يُطلب فيها تقديم الخدمة. وهذا يعني أن جودة الخدمة قد تتأثر بعدة عوامل في اللحظة الراهنة، مثل الحالة المزاجية للموظف أو درجة الازدحام في نقطة تقديم الخدمة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29"/>
        </w:num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التفاعل الشخصي</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تقديم</w:t>
      </w:r>
      <w:r>
        <w:rPr>
          <w:rFonts w:ascii="Simplified Arabic" w:eastAsia="Calibri" w:hAnsi="Simplified Arabic" w:cs="Simplified Arabic"/>
          <w:sz w:val="28"/>
          <w:szCs w:val="28"/>
          <w:rtl/>
        </w:rPr>
        <w:t xml:space="preserve"> الخدمات عادةً ما يتطلب تفاعلاً شخصيًا بين مقدم الخدمة والعميل. ومن هنا تنشأ أهمية كبيرة للتدريب على التعامل مع العملاء لضمان تقديم خدمات ذات جودة عالية. بينما في حالة السلع، يتم تقييم الجودة بناءً على المعايير المحددة مسبقًا دون الحاجة لتفاعل شخصي</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45" w:name="_Toc181308901"/>
      <w:r>
        <w:rPr>
          <w:rFonts w:ascii="Simplified Arabic" w:eastAsia="Calibri" w:hAnsi="Simplified Arabic" w:cs="Simplified Arabic"/>
          <w:b/>
          <w:bCs/>
          <w:sz w:val="28"/>
          <w:szCs w:val="28"/>
          <w:rtl/>
        </w:rPr>
        <w:t xml:space="preserve">2.2.3 تأثير طبيعة الخدمة على عملية قياس الجودة: </w:t>
      </w:r>
      <w:r>
        <w:rPr>
          <w:rFonts w:ascii="Simplified Arabic" w:eastAsia="Calibri" w:hAnsi="Simplified Arabic" w:cs="Simplified Arabic"/>
          <w:sz w:val="28"/>
          <w:szCs w:val="28"/>
          <w:rtl/>
        </w:rPr>
        <w:t>نظرًا للطبيعة الفريدة للخدمات، يتطلب قياس جودة الخدمة أدوات وأساليب مختلفة عن تلك المستخدمة في قياس جودة السلع. كما أن الطبيعة المتغيرة وغير الملموسة للخدمات تجعل عملية قياس الجودة أكثر تعقيدًا</w:t>
      </w:r>
      <w:r>
        <w:rPr>
          <w:rFonts w:ascii="Simplified Arabic" w:eastAsia="Calibri" w:hAnsi="Simplified Arabic" w:cs="Simplified Arabic"/>
          <w:sz w:val="28"/>
          <w:szCs w:val="28"/>
          <w:lang w:bidi="ar-EG"/>
        </w:rPr>
        <w:t>.</w:t>
      </w:r>
      <w:bookmarkEnd w:id="45"/>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lastRenderedPageBreak/>
        <w:t>2.2.4 الاعتماد على التوقعات الشخصية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غالبًا</w:t>
      </w:r>
      <w:r>
        <w:rPr>
          <w:rFonts w:ascii="Simplified Arabic" w:eastAsia="Calibri" w:hAnsi="Simplified Arabic" w:cs="Simplified Arabic"/>
          <w:sz w:val="28"/>
          <w:szCs w:val="28"/>
          <w:rtl/>
        </w:rPr>
        <w:t xml:space="preserve"> ما تعتمد جودة الخدمات على توقعات العميل الشخصية، التي قد تختلف من شخص لآخر. وبالتالي، يمكن أن يكون رضا عميل معين عن الخدمة مرتفعًا بينما يشعر عميل آخر بعدم الرضا، حتى وإن تم تقديم الخدمة بنفس الطريقة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sz w:val="28"/>
          <w:szCs w:val="28"/>
          <w:rtl/>
        </w:rPr>
        <w:t>2.2.5 العوامل المحيطة بتقديم الخدمة</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هناك</w:t>
      </w:r>
      <w:r>
        <w:rPr>
          <w:rFonts w:ascii="Simplified Arabic" w:eastAsia="Calibri" w:hAnsi="Simplified Arabic" w:cs="Simplified Arabic"/>
          <w:sz w:val="28"/>
          <w:szCs w:val="28"/>
          <w:rtl/>
        </w:rPr>
        <w:t xml:space="preserve"> العديد من العوامل التي تؤثر على جودة الخدمة أثناء تقديمها، مثل الظروف البيئية، ضغط العمل، وتأثيرات التكنولوجيا. على سبيل المثال، في قطاع السياحة، يعتمد مستوى جودة الخدمة بشكل كبير على التفاعل المباشر بين موظفي الفندق والزائرين. بينما في الخدمات المصرفية، يمكن أن تؤثر التقنية الحديثة مثل تطبيقات الهواتف الذكية بشكل كبير على جودة الخدمة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35"/>
        </w:numPr>
        <w:spacing w:after="160" w:line="360" w:lineRule="auto"/>
        <w:jc w:val="both"/>
        <w:rPr>
          <w:rFonts w:ascii="Simplified Arabic" w:eastAsia="Calibri" w:hAnsi="Simplified Arabic" w:cs="Simplified Arabic"/>
          <w:sz w:val="28"/>
          <w:szCs w:val="28"/>
        </w:rPr>
      </w:pPr>
      <w:r>
        <w:rPr>
          <w:rFonts w:ascii="Simplified Arabic" w:eastAsia="Calibri" w:hAnsi="Simplified Arabic" w:cs="Simplified Arabic"/>
          <w:b/>
          <w:bCs/>
          <w:sz w:val="28"/>
          <w:szCs w:val="28"/>
          <w:rtl/>
        </w:rPr>
        <w:t>التقييم المستمر</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8"/>
          <w:szCs w:val="28"/>
          <w:rtl/>
          <w:lang w:bidi="ar-EG"/>
        </w:rPr>
        <w:t>بسبب</w:t>
      </w:r>
      <w:r>
        <w:rPr>
          <w:rFonts w:ascii="Simplified Arabic" w:eastAsia="Calibri" w:hAnsi="Simplified Arabic" w:cs="Simplified Arabic"/>
          <w:sz w:val="28"/>
          <w:szCs w:val="28"/>
          <w:rtl/>
        </w:rPr>
        <w:t xml:space="preserve"> الطبيعة الديناميكية للخدمات، تحتاج المؤسسات إلى تقييم مستمر لجودة خدماتها. يمكن أن تشمل هذه التقييمات استبيانات رضا العملاء، مراجعة الإجراءات، وتحليل الملاحظات. ومن ثم يمكن تعديل العمليات بناءً على ردود الفعل لتلبية توقعات العملاء بشكل أفضل.</w:t>
      </w:r>
    </w:p>
    <w:p w:rsidR="00706C10" w:rsidRDefault="00706C10" w:rsidP="00706C10">
      <w:pPr>
        <w:pStyle w:val="ListParagraph"/>
        <w:numPr>
          <w:ilvl w:val="0"/>
          <w:numId w:val="35"/>
        </w:numPr>
        <w:spacing w:after="160" w:line="360" w:lineRule="auto"/>
        <w:jc w:val="both"/>
        <w:outlineLvl w:val="0"/>
        <w:rPr>
          <w:rFonts w:ascii="Simplified Arabic" w:eastAsia="Calibri" w:hAnsi="Simplified Arabic" w:cs="Simplified Arabic"/>
          <w:sz w:val="28"/>
          <w:szCs w:val="28"/>
          <w:rtl/>
          <w:lang w:bidi="ar-EG"/>
        </w:rPr>
      </w:pPr>
      <w:bookmarkStart w:id="46" w:name="_Toc181308902"/>
      <w:r>
        <w:rPr>
          <w:rFonts w:ascii="Simplified Arabic" w:eastAsia="Calibri" w:hAnsi="Simplified Arabic" w:cs="Simplified Arabic"/>
          <w:b/>
          <w:bCs/>
          <w:sz w:val="28"/>
          <w:szCs w:val="28"/>
          <w:rtl/>
        </w:rPr>
        <w:t>أبعاد جودة الخدمات:</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جودة الخدمات هي واحدة من المجالات الرئيسية التي تؤثر على رضا العملاء وولائهم، وتمثل عاملًا حاسمًا لنجاح الشركات والمؤسسات في الأسواق التنافسية. تحقيق جودة الخدمات يتطلب فهم أبعادها المختلفة ومعرفة كيفية تقييمها باستخدام أدوات وأساليب قياس موثوقة. هذه الأبعاد تشمل الكفاءة، الفعالية، الموثوقية، الاستجابة، والاهتمام بالتفاصيل الشخصية، وكل منها يسهم في تحسين تجربة العميل وتحقيق التميز في تقديم الخدمة</w:t>
      </w:r>
      <w:r>
        <w:rPr>
          <w:rFonts w:ascii="Simplified Arabic" w:eastAsia="Calibri" w:hAnsi="Simplified Arabic" w:cs="Simplified Arabic"/>
          <w:sz w:val="28"/>
          <w:szCs w:val="28"/>
          <w:lang w:bidi="ar-EG"/>
        </w:rPr>
        <w:t>.</w:t>
      </w:r>
      <w:bookmarkEnd w:id="46"/>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2.2.6. شرح الأبعاد المختلفة لجودة الخدمات</w:t>
      </w:r>
      <w:r>
        <w:rPr>
          <w:rFonts w:ascii="Simplified Arabic" w:eastAsia="Calibri" w:hAnsi="Simplified Arabic" w:cs="Simplified Arabic"/>
          <w:b/>
          <w:bCs/>
          <w:sz w:val="28"/>
          <w:szCs w:val="28"/>
          <w:lang w:bidi="ar-EG"/>
        </w:rPr>
        <w:t>:</w:t>
      </w:r>
    </w:p>
    <w:p w:rsidR="00706C10" w:rsidRDefault="00706C10" w:rsidP="00706C10">
      <w:pPr>
        <w:pStyle w:val="ListParagraph"/>
        <w:numPr>
          <w:ilvl w:val="0"/>
          <w:numId w:val="18"/>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الكفاءة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 xml:space="preserve">الكفاءة تعتبر من الأبعاد الأساسية لجودة الخدمات وتشير إلى قدرة المؤسسة على تقديم الخدمة بسرعة ودقة دون إضاعة الموارد. في سياق جودة الخدمات، الكفاءة تعني توفير </w:t>
      </w:r>
      <w:r>
        <w:rPr>
          <w:rFonts w:ascii="Simplified Arabic" w:eastAsia="Calibri" w:hAnsi="Simplified Arabic" w:cs="Simplified Arabic"/>
          <w:sz w:val="28"/>
          <w:szCs w:val="28"/>
          <w:rtl/>
        </w:rPr>
        <w:lastRenderedPageBreak/>
        <w:t xml:space="preserve">الخدمة بشكل سريع وفعال بحيث لا يتطلب العميل انتظارًا طويلاً، وتقديم الحلول التي تتناسب مع احتياجاته. فالكفاءة هنا ليست فقط في </w:t>
      </w:r>
      <w:bookmarkStart w:id="47" w:name="_Int_5eBn4dNg"/>
      <w:r>
        <w:rPr>
          <w:rFonts w:ascii="Simplified Arabic" w:eastAsia="Calibri" w:hAnsi="Simplified Arabic" w:cs="Simplified Arabic"/>
          <w:sz w:val="28"/>
          <w:szCs w:val="28"/>
          <w:rtl/>
        </w:rPr>
        <w:t>الوقت</w:t>
      </w:r>
      <w:bookmarkEnd w:id="47"/>
      <w:r>
        <w:rPr>
          <w:rFonts w:ascii="Simplified Arabic" w:eastAsia="Calibri" w:hAnsi="Simplified Arabic" w:cs="Simplified Arabic"/>
          <w:sz w:val="28"/>
          <w:szCs w:val="28"/>
          <w:rtl/>
        </w:rPr>
        <w:t xml:space="preserve"> بل في الاستفادة المثلى من الموارد المتاحة وتقديم الخدمة بطريقة تساهم في زيادة رضا العملاء</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18"/>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الفعالية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تشير الفعالية إلى قدرة المؤسسة على تحقيق الأهداف التي تم تحديدها مسبقًا، وضمان أن الخدمات المقدمة تحقق الغايات المطلوبة من العميل. الفعالية تتعلق بشكل مباشر بجودة النتائج المتوقعة، حيث يُنظر إلى مدى قدرة المؤسسة على تلبية احتياجات العملاء وتحقيق الرضا التام. في مجال جودة الخدمات، يمكن اعتبار الفعالية بأنها قدرة المؤسسة على تقديم خدمات ذات قيمة مضافة وحلول تلبي توقعات العملاء</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18"/>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الموثوقية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الموثوقية تعتبر أحد أهم الأبعاد في جودة الخدمات، حيث تعكس مدى قدرة المؤسسة على تقديم خدمات موثوقة باستمرار وفقًا للتوقعات المحددة. الموثوقية تشير إلى التزام المؤسسة بتقديم نفس المستوى العالي من الخدمة بشكل متواصل ودون حدوث أخطاء أو مشاكل متكررة. العملاء يعتمدون على هذه الخاصية لضمان استقرار تجربتهم مع الخدمة والحصول على نفس الجودة كل مرة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18"/>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الاستجابة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تتعلق الاستجابة بمدى سرعة المؤسسة في الاستجابة لطلبات العملاء ومعالجة استفساراتهم وشكاويهم. الخدمة الفعالة تعتمد على مدى استعداد المؤسسة لتلبية احتياجات العملاء بسرعة ودقة، والتكيف مع أي تغييرات أو طلبات جديدة. يعتبر هذا البعد من أهم العناصر التي تزيد من رضا العملاء وتعزز من ولائهم للشركة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18"/>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lastRenderedPageBreak/>
        <w:t>الاهتمام بالتفاصيل الشخصية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الاهتمام بالتفاصيل الشخصية يتعلق بمدى قدرة المؤسسة على تلبية احتياجات كل عميل بشكل فردي وتخصيص الخدمات بما يتناسب مع متطلباته الخاصة. هذا البعد يعكس قدرة المؤسسة على التعامل مع كل عميل بخصوصية وتقديم حلول وخدمات مخصصة تعزز من تجربته وتجعلها مميزة. الاهتمام بالتفاصيل الشخصية يساهم في تعزيز علاقة العميل بالمؤسسة وزيادة الشعور بالتقدير والاهتمام</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b/>
          <w:bCs/>
          <w:sz w:val="32"/>
          <w:szCs w:val="32"/>
          <w:rtl/>
        </w:rPr>
        <w:t>2.2.7 نموذج</w:t>
      </w:r>
      <w:r>
        <w:rPr>
          <w:rFonts w:ascii="Simplified Arabic" w:eastAsia="Calibri" w:hAnsi="Simplified Arabic" w:cs="Simplified Arabic"/>
          <w:b/>
          <w:bCs/>
          <w:sz w:val="32"/>
          <w:szCs w:val="32"/>
          <w:lang w:bidi="ar-EG"/>
        </w:rPr>
        <w:t xml:space="preserve"> SERVQUAL </w:t>
      </w:r>
      <w:r>
        <w:rPr>
          <w:rFonts w:ascii="Simplified Arabic" w:eastAsia="Calibri" w:hAnsi="Simplified Arabic" w:cs="Simplified Arabic"/>
          <w:b/>
          <w:bCs/>
          <w:sz w:val="32"/>
          <w:szCs w:val="32"/>
          <w:rtl/>
        </w:rPr>
        <w:t>كأداة لقياس جودة الخدمات</w:t>
      </w:r>
      <w:r>
        <w:rPr>
          <w:rFonts w:ascii="Simplified Arabic" w:eastAsia="Calibri" w:hAnsi="Simplified Arabic" w:cs="Simplified Arabic"/>
          <w:b/>
          <w:bCs/>
          <w:sz w:val="32"/>
          <w:szCs w:val="32"/>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نموذج</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 xml:space="preserve">SERVQUAL </w:t>
      </w:r>
      <w:r>
        <w:rPr>
          <w:rFonts w:ascii="Simplified Arabic" w:eastAsia="Calibri" w:hAnsi="Simplified Arabic" w:cs="Simplified Arabic"/>
          <w:sz w:val="24"/>
          <w:szCs w:val="24"/>
          <w:rtl/>
          <w:lang w:bidi="ar-EG"/>
        </w:rPr>
        <w:t>هو</w:t>
      </w:r>
      <w:r>
        <w:rPr>
          <w:rFonts w:ascii="Simplified Arabic" w:eastAsia="Calibri" w:hAnsi="Simplified Arabic" w:cs="Simplified Arabic"/>
          <w:sz w:val="28"/>
          <w:szCs w:val="28"/>
          <w:rtl/>
        </w:rPr>
        <w:t xml:space="preserve"> واحد من أشهر الأدوات التي تستخدم لقياس جودة الخدمات، وقد تم تطويره ليكون أداة موثوقة لتقييم تجربة العملاء ورضاهم عن الخدمات المقدمة. يعتمد هذا النموذج على خمسة أبعاد رئيسية تم تصميمها لقياس جودة الخدمة من خلال مقارنة توقعات العملاء بالواقع الفعلي الذي يواجهونه عند تلقي الخدمة. هذه الأبعاد هي</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2.2.7.1 الجوانب</w:t>
      </w:r>
      <w:r>
        <w:rPr>
          <w:rFonts w:ascii="Simplified Arabic" w:eastAsia="Calibri" w:hAnsi="Simplified Arabic" w:cs="Simplified Arabic"/>
          <w:b/>
          <w:bCs/>
          <w:sz w:val="28"/>
          <w:szCs w:val="28"/>
          <w:rtl/>
        </w:rPr>
        <w:t xml:space="preserve"> الملموسة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تشير الجوانب الملموسة إلى البيئة المادية التي تقدم فيها الخدمة، مثل تجهيزات المؤسسة، النظافة، المظهر الخارجي، والموارد المتاحة. العملاء يعتمدون على هذه الجوانب لتقييم مدى احترافية المؤسسة وجودة خدماتها، إذ يعتبر الاهتمام بالبيئة المادية مؤشرًا قويًا على التزام المؤسسة بتقديم خدمة ذات جودة عالية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2.2.7.2 </w:t>
      </w:r>
      <w:r>
        <w:rPr>
          <w:rFonts w:ascii="Simplified Arabic" w:eastAsia="Calibri" w:hAnsi="Simplified Arabic" w:cs="Simplified Arabic"/>
          <w:b/>
          <w:bCs/>
          <w:sz w:val="28"/>
          <w:szCs w:val="28"/>
          <w:rtl/>
        </w:rPr>
        <w:t>الاعتمادية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الاعتمادية تشير إلى قدرة المؤسسة على تقديم خدمة دقيقة وموثوقة بشكل دائم. العملاء يعتمدون على الشركات التي يمكنها الوفاء بالتزاماتها وتقديم الخدمات بنفس المستوى من الجودة كل مرة. الاعتمادية هي أحد العوامل التي تعزز ثقة العملاء بالمؤسسة وتزيد من ولائهم</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lastRenderedPageBreak/>
        <w:t xml:space="preserve">2.2.7.3 </w:t>
      </w:r>
      <w:r>
        <w:rPr>
          <w:rFonts w:ascii="Simplified Arabic" w:eastAsia="Calibri" w:hAnsi="Simplified Arabic" w:cs="Simplified Arabic"/>
          <w:b/>
          <w:bCs/>
          <w:sz w:val="28"/>
          <w:szCs w:val="28"/>
          <w:rtl/>
        </w:rPr>
        <w:t>الاستجابة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الاستجابة في نموذج</w:t>
      </w:r>
      <w:r>
        <w:rPr>
          <w:rFonts w:ascii="Simplified Arabic" w:eastAsia="Calibri" w:hAnsi="Simplified Arabic" w:cs="Simplified Arabic"/>
          <w:sz w:val="28"/>
          <w:szCs w:val="28"/>
          <w:lang w:bidi="ar-EG"/>
        </w:rPr>
        <w:t xml:space="preserve"> SERVQUAL </w:t>
      </w:r>
      <w:r>
        <w:rPr>
          <w:rFonts w:ascii="Simplified Arabic" w:eastAsia="Calibri" w:hAnsi="Simplified Arabic" w:cs="Simplified Arabic"/>
          <w:sz w:val="28"/>
          <w:szCs w:val="28"/>
          <w:rtl/>
        </w:rPr>
        <w:t>تشير إلى استعداد المؤسسة للتفاعل مع العملاء والرد على استفساراتهم واحتياجاتهم بشكل سريع وفعال. العملاء يعتبرون هذا البعد من أهم العوامل التي تساهم في رضاهم، حيث يشعرون بأن المؤسسة تهتم بهم وباحتياجاتهم</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2.2.7.4 </w:t>
      </w:r>
      <w:r>
        <w:rPr>
          <w:rFonts w:ascii="Simplified Arabic" w:eastAsia="Calibri" w:hAnsi="Simplified Arabic" w:cs="Simplified Arabic"/>
          <w:b/>
          <w:bCs/>
          <w:sz w:val="28"/>
          <w:szCs w:val="28"/>
          <w:rtl/>
        </w:rPr>
        <w:t>الضمان</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الضمان يتعلق بقدرة المؤسسة على تقديم خدمة موثوقة وآمنة، ومدى ثقة العملاء في الخبرات والمهارات التي يتمتع بها العاملون في المؤسسة. يشمل هذا البعد أيضًا مدى قدرة الموظفين على بناء علاقات ثقة مع العملاء وتقديم المعلومات التي تعزز من شعورهم بالأمان والراحة أثناء تلقي الخدمة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2.2.7.5 التعاطف</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sz w:val="28"/>
          <w:szCs w:val="28"/>
          <w:rtl/>
        </w:rPr>
        <w:t>التعاطف هو البعد الذي يعكس مدى اهتمام المؤسسة بتقديم خدمات تلبي احتياجات العملاء الفردية بشكل خاص وتفاعلها مع مشكلاتهم ومخاوفهم. العملاء يفضلون الشركات التي تهتم بهم كشخصيات فردية وليس كأرقام، وهذا يتطلب قدرة المؤسسة على تقديم دعم حقيقي وفعّال يتجاوز الحدود التقليدية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32"/>
          <w:szCs w:val="32"/>
          <w:lang w:bidi="ar-EG"/>
        </w:rPr>
      </w:pPr>
      <w:bookmarkStart w:id="48" w:name="_Toc181308903"/>
      <w:r>
        <w:rPr>
          <w:rFonts w:ascii="Simplified Arabic" w:eastAsia="Calibri" w:hAnsi="Simplified Arabic" w:cs="Simplified Arabic"/>
          <w:b/>
          <w:bCs/>
          <w:sz w:val="32"/>
          <w:szCs w:val="32"/>
          <w:rtl/>
        </w:rPr>
        <w:t>2.2.8 أهمية نموذج</w:t>
      </w:r>
      <w:r>
        <w:rPr>
          <w:rFonts w:ascii="Simplified Arabic" w:eastAsia="Calibri" w:hAnsi="Simplified Arabic" w:cs="Simplified Arabic"/>
          <w:b/>
          <w:bCs/>
          <w:sz w:val="32"/>
          <w:szCs w:val="32"/>
          <w:lang w:bidi="ar-EG"/>
        </w:rPr>
        <w:t xml:space="preserve"> SERVQUAL:</w:t>
      </w:r>
      <w:bookmarkEnd w:id="48"/>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نموذج</w:t>
      </w:r>
      <w:r>
        <w:rPr>
          <w:rFonts w:ascii="Simplified Arabic" w:eastAsia="Calibri" w:hAnsi="Simplified Arabic" w:cs="Simplified Arabic"/>
          <w:sz w:val="28"/>
          <w:szCs w:val="28"/>
          <w:lang w:bidi="ar-EG"/>
        </w:rPr>
        <w:t xml:space="preserve"> </w:t>
      </w:r>
      <w:r>
        <w:rPr>
          <w:rFonts w:ascii="Simplified Arabic" w:eastAsia="Calibri" w:hAnsi="Simplified Arabic" w:cs="Simplified Arabic"/>
          <w:sz w:val="24"/>
          <w:szCs w:val="24"/>
          <w:lang w:bidi="ar-EG"/>
        </w:rPr>
        <w:t xml:space="preserve">SERVQUAL </w:t>
      </w:r>
      <w:r>
        <w:rPr>
          <w:rFonts w:ascii="Simplified Arabic" w:eastAsia="Calibri" w:hAnsi="Simplified Arabic" w:cs="Simplified Arabic"/>
          <w:sz w:val="28"/>
          <w:szCs w:val="28"/>
          <w:rtl/>
        </w:rPr>
        <w:t>يعد أداة فعالة في قياس جودة الخدمات نظرًا لقدرته على توفير تقييم شامل يعتمد على رأي العملاء ومقارنتهم لتوقعاتهم مع ما يتلقونه من خدمات فعلية. من خلال تحليل الفجوات بين التوقعات والواقع، يمكن للمؤسسات تحديد نقاط الضعف والعمل على تحسينها. علاوة على ذلك، يمكن استخدام هذا النموذج كأداة لتطوير استراتيجيات طويلة الأمد تهدف إلى تحسين جودة الخدمات وتحقيق رضا العملاء بشكل مستدام</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sz w:val="32"/>
          <w:szCs w:val="32"/>
          <w:lang w:bidi="ar-EG"/>
        </w:rPr>
      </w:pPr>
      <w:bookmarkStart w:id="49" w:name="_Toc181308904"/>
      <w:r>
        <w:rPr>
          <w:rFonts w:ascii="Simplified Arabic" w:eastAsia="Calibri" w:hAnsi="Simplified Arabic" w:cs="Simplified Arabic"/>
          <w:b/>
          <w:bCs/>
          <w:sz w:val="32"/>
          <w:szCs w:val="32"/>
          <w:rtl/>
        </w:rPr>
        <w:t>2.2.9 عوامل مؤثرة في جودة الخدمات</w:t>
      </w:r>
      <w:r>
        <w:rPr>
          <w:rFonts w:ascii="Simplified Arabic" w:eastAsia="Calibri" w:hAnsi="Simplified Arabic" w:cs="Simplified Arabic"/>
          <w:sz w:val="32"/>
          <w:szCs w:val="32"/>
          <w:lang w:bidi="ar-EG"/>
        </w:rPr>
        <w:t>:</w:t>
      </w:r>
      <w:bookmarkEnd w:id="49"/>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تعتبر جودة الخدمات من أبرز المفاهيم التي تحظى باهتمام كبير في العديد من الصناعات والمجالات، حيث تلعب دوراً كبيراً في تعزيز رضا العملاء وولائهم. يتأثر هذا المفهوم بعدد من العوامل التي تحدد مدى جودة الخدمة المقدمة، ويشكل تحسين هذه العوامل وسيلة فعالة لتحقيق النجاح المستدام في السوق. سنقوم هنا بتحليل العوامل المؤثرة في جودة الخدمات من خلال التركيز على التكنولوجيا، خبرة الموظفين، وتوقعات العملاء، كما سنسلط الضوء على تأثير التواصل والابتكار في تحسين جودة الخدمات</w:t>
      </w:r>
      <w:r>
        <w:rPr>
          <w:rFonts w:ascii="Simplified Arabic" w:eastAsia="Calibri" w:hAnsi="Simplified Arabic" w:cs="Simplified Arabic"/>
          <w:sz w:val="28"/>
          <w:szCs w:val="28"/>
          <w:lang w:bidi="ar-EG"/>
        </w:rPr>
        <w:t>.</w:t>
      </w:r>
    </w:p>
    <w:p w:rsidR="00706C10" w:rsidRDefault="00706C10" w:rsidP="00706C10">
      <w:pPr>
        <w:spacing w:after="160" w:line="360" w:lineRule="auto"/>
        <w:ind w:left="2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2.2.9.1</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التكنولوجيا ودورها في تحسين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تعد التكنولوجيا من أهم العوامل التي تؤثر على جودة الخدمات، حيث تساهم في تحسين العمليات التشغيلية وتقديم الخدمات بطريقة أكثر كفاءة وفعالية. وفقًا لدراسة أجراها الحميدان (2019)، أظهرت نتائج أن المؤسسات التي تعتمد على التكنولوجيا الحديثة في تقديم خدماتها تحقق مستويات أعلى من رضا العملاء. يمكن أن تشمل هذه التقنيات أنظمة إدارة علاقات العملاء</w:t>
      </w:r>
      <w:r>
        <w:rPr>
          <w:rFonts w:ascii="Simplified Arabic" w:eastAsia="Calibri" w:hAnsi="Simplified Arabic" w:cs="Simplified Arabic"/>
          <w:sz w:val="28"/>
          <w:szCs w:val="28"/>
          <w:lang w:bidi="ar-EG"/>
        </w:rPr>
        <w:t xml:space="preserve"> (CRM)</w:t>
      </w:r>
      <w:r>
        <w:rPr>
          <w:rFonts w:ascii="Simplified Arabic" w:eastAsia="Calibri" w:hAnsi="Simplified Arabic" w:cs="Simplified Arabic"/>
          <w:sz w:val="28"/>
          <w:szCs w:val="28"/>
          <w:rtl/>
        </w:rPr>
        <w:t>، وأنظمة الدفع الإلكترونية، وتطبيقات الهواتف الذكية التي تسهل على العملاء الوصول إلى الخدمات بسرعة وفاعلية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التحول الرقمي</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أحد أبرز الأمثلة على استخدام التكنولوجيا في تحسين جودة الخدمات هو التحول الرقمي الذي شهدته العديد من القطاعات، وخاصة القطاع المصرفي والصحي. التحول الرقمي يتيح للمؤسسات تحسين خدماتها من خلال تقليل التكاليف وتحسين تجربة العملاء. على سبيل المثال، استخدام الذكاء الاصطناعي في تقديم الدعم الفني للعملاء يساعد في تحسين سرعة الاستجابة وجودة الخدمة المقدمة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أتمتة العمليات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الأتمتة تعتبر عاملًا آخر يؤثر بشكل كبير على جودة الخدمات. فعلى سبيل المثال، الاعتماد على الروبوتات والأنظمة المؤتمتة في قطاع التصنيع والخدمات اللوجستية يساعد في تقليل الأخطاء وزيادة دقة العمليات، ما يؤدي في النهاية إلى تحسين مستوى الخدمة</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2.2.9.2 </w:t>
      </w:r>
      <w:r>
        <w:rPr>
          <w:rFonts w:ascii="Simplified Arabic" w:eastAsia="Calibri" w:hAnsi="Simplified Arabic" w:cs="Simplified Arabic"/>
          <w:b/>
          <w:bCs/>
          <w:sz w:val="28"/>
          <w:szCs w:val="28"/>
          <w:rtl/>
        </w:rPr>
        <w:t>خبرة الموظفين وتأثيرها على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يعتبر الموظفون العاملون في الخط الأمامي لتقديم الخدمة أحد أبرز العوامل التي تؤثر على جودتها. تشير دراسة لعبد الله (2018) إلى أن الخبرة المهنية والتدريب الذي يتلقاه الموظفون يمكن أن يؤثر بشكل مباشر على كيفية تقديم الخدمة ومدى رضا العملاء عنها</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التدريب المستمر</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الاستثمار في تدريب الموظفين على أحدث تقنيات وأساليب تقديم الخدمة يساعد في تحسين أدائهم ويزيد من قدرتهم على التعامل مع تحديات العمل اليومية. ويعتبر التدريب المستمر عاملاً أساسياً لتمكين الموظفين من مواكبة التغيرات السريعة في بيئة العمل</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القدرة على التعامل مع الشكاوى</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قدرة الموظفين على التعامل بفعالية مع شكاوى العملاء وحل المشاكل تعد أحد أبرز المؤشرات على جودة الخدمة. فالعملاء يقدرون السرعة والاحترافية في معالجة المشاكل التي تواجههم، وهذا يعتمد إلى حد كبير على مهارات وخبرة الموظفين</w:t>
      </w:r>
      <w:r>
        <w:rPr>
          <w:rFonts w:ascii="Simplified Arabic" w:eastAsia="Calibri" w:hAnsi="Simplified Arabic" w:cs="Simplified Arabic"/>
          <w:sz w:val="28"/>
          <w:szCs w:val="28"/>
          <w:lang w:bidi="ar-EG"/>
        </w:rPr>
        <w:t>.</w:t>
      </w:r>
    </w:p>
    <w:p w:rsidR="00706C10" w:rsidRDefault="00706C10" w:rsidP="00706C10">
      <w:pPr>
        <w:spacing w:after="160" w:line="360" w:lineRule="auto"/>
        <w:ind w:left="2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2.2.9.3 </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توقعات العملاء ودورها في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توقعات العملاء تعتبر عاملًا حاسمًا في تحديد مدى رضاهم عن الخدمة. إذا كانت الخدمات المقدمة تفوق أو تتوافق مع توقعات العملاء، فإن ذلك يعزز من مستوى الرضا والولاء</w:t>
      </w:r>
      <w:r>
        <w:rPr>
          <w:rFonts w:ascii="Simplified Arabic" w:eastAsia="Calibri" w:hAnsi="Simplified Arabic" w:cs="Simplified Arabic"/>
          <w:sz w:val="28"/>
          <w:szCs w:val="28"/>
          <w:lang w:bidi="ar-EG"/>
        </w:rPr>
        <w:t>.</w:t>
      </w:r>
    </w:p>
    <w:p w:rsidR="00706C10" w:rsidRDefault="00706C10" w:rsidP="00706C10">
      <w:pPr>
        <w:pStyle w:val="ListParagraph"/>
        <w:numPr>
          <w:ilvl w:val="2"/>
          <w:numId w:val="31"/>
        </w:numPr>
        <w:spacing w:after="160" w:line="360" w:lineRule="auto"/>
        <w:ind w:left="38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تأثير التوقعات العالية</w:t>
      </w:r>
      <w:r>
        <w:rPr>
          <w:rFonts w:ascii="Simplified Arabic" w:eastAsia="Calibri" w:hAnsi="Simplified Arabic" w:cs="Simplified Arabic"/>
          <w:b/>
          <w:bCs/>
          <w:sz w:val="28"/>
          <w:szCs w:val="28"/>
          <w:lang w:bidi="ar-EG"/>
        </w:rPr>
        <w:t>:</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ab/>
      </w:r>
    </w:p>
    <w:p w:rsidR="00706C10" w:rsidRDefault="00706C10" w:rsidP="00706C10">
      <w:pPr>
        <w:spacing w:after="160" w:line="360" w:lineRule="auto"/>
        <w:ind w:left="26" w:firstLine="694"/>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تشير دراسة للسلامة (2017) إلى أن العملاء غالبًا ما يقارنون مستوى الخدمة المقدمة بما يتوقعونه، وإذا كانت التوقعات مرتفعة فإن العملاء يصبحون أكثر حساسية لأي أخطاء أو تأخير.</w:t>
      </w:r>
    </w:p>
    <w:p w:rsidR="00706C10" w:rsidRDefault="00706C10" w:rsidP="00706C10">
      <w:pPr>
        <w:spacing w:after="160" w:line="360" w:lineRule="auto"/>
        <w:ind w:left="26"/>
        <w:jc w:val="both"/>
        <w:rPr>
          <w:rFonts w:ascii="Simplified Arabic" w:eastAsia="Calibri" w:hAnsi="Simplified Arabic" w:cs="Simplified Arabic"/>
          <w:b/>
          <w:bCs/>
          <w:sz w:val="28"/>
          <w:szCs w:val="28"/>
          <w:rtl/>
          <w:lang w:bidi="ar-EG"/>
        </w:rPr>
      </w:pPr>
      <w:r>
        <w:rPr>
          <w:rFonts w:ascii="Simplified Arabic" w:eastAsia="Calibri" w:hAnsi="Simplified Arabic" w:cs="Simplified Arabic"/>
          <w:sz w:val="28"/>
          <w:szCs w:val="28"/>
          <w:rtl/>
        </w:rPr>
        <w:t>لذا، يجب على المؤسسات العمل على تحقيق التوازن بين التوقعات والواقع لضمان تحسين جودة الخدمة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تخصيص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تخصيص الخدمات بما يتناسب مع احتياجات وتوقعات كل عميل يسهم في تعزيز تجربة العملاء. فالعملاء يشعرون بالتقدير عندما تتعامل المؤسسة مع طلباتهم بشكل فردي وتقديم حلول مخصصة لهم</w:t>
      </w:r>
      <w:r>
        <w:rPr>
          <w:rFonts w:ascii="Simplified Arabic" w:eastAsia="Calibri" w:hAnsi="Simplified Arabic" w:cs="Simplified Arabic"/>
          <w:sz w:val="28"/>
          <w:szCs w:val="28"/>
          <w:lang w:bidi="ar-EG"/>
        </w:rPr>
        <w:t>.</w:t>
      </w:r>
    </w:p>
    <w:p w:rsidR="00706C10" w:rsidRDefault="00706C10" w:rsidP="00706C10">
      <w:pPr>
        <w:spacing w:after="160" w:line="360" w:lineRule="auto"/>
        <w:ind w:left="2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2.2.9.4 التواصل على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التواصل الفعّال مع العملاء يلعب دورًا كبيرًا في تحسين جودة الخدمات، حيث يساعد في بناء علاقات طويلة الأمد مع العملاء ويعزز من شعورهم بالثقة تجاه المؤسسة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القنوات الرقمية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تشير دراسة لبن أحمد (2019) إلى أن استخدام القنوات الرقمية مثل وسائل التواصل الاجتماعي وتطبيقات المراسلة الفورية يمكن أن يعزز من التواصل بين المؤسسة وعملائها. هذه الأدوات تتيح للعملاء </w:t>
      </w:r>
      <w:r>
        <w:rPr>
          <w:rFonts w:ascii="Simplified Arabic" w:eastAsia="Calibri" w:hAnsi="Simplified Arabic" w:cs="Simplified Arabic"/>
          <w:sz w:val="28"/>
          <w:szCs w:val="28"/>
          <w:rtl/>
        </w:rPr>
        <w:lastRenderedPageBreak/>
        <w:t>التواصل بسرعة وسهولة مع المؤسسات والاستفسار عن خدماتهم أو تقديم شكاوى، ما يحسن من تجربتهم بشكل عام</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التواصل الداخلي</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كما أن التواصل الداخلي بين فرق العمل يلعب دورًا حاسمًا في تحسين جودة الخدمات. التعاون بين الإدارات المختلفة وتبادل المعلومات بين الموظفين يساهم في تقديم خدمة متكاملة وسلسة للعملاء</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2.2.9.5 الابتكار</w:t>
      </w:r>
      <w:r>
        <w:rPr>
          <w:rFonts w:ascii="Simplified Arabic" w:eastAsia="Calibri" w:hAnsi="Simplified Arabic" w:cs="Simplified Arabic"/>
          <w:b/>
          <w:bCs/>
          <w:sz w:val="28"/>
          <w:szCs w:val="28"/>
          <w:rtl/>
        </w:rPr>
        <w:t xml:space="preserve"> ودوره في تحسين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الابتكار يُعد عاملًا رئيسيًا في تعزيز جودة الخدمات، حيث يتيح للمؤسسات تحسين خدماتها وتقديم حلول جديدة للعملاء بشكل مستمر. الابتكار لا يقتصر فقط على المنتجات الجديدة، بل يشمل تحسين العمليات وأساليب تقديم الخدمة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تقديم خدمات مبتكرة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تطبيق التقنيات الحديثة مثل الذكاء الاصطناعي وإنترنت الأشياء يساهم في تقديم خدمات مبتكرة تفوق توقعات العملاء. على سبيل المثال، استخدام الذكاء الاصطناعي في تقديم الاستشارات المالية يمكن أن يحسن من دقة المعلومات وسرعة تقديم الخدمة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الابتكار في تجربة العملاء</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تحسين تجربة العملاء يمكن أن يكون من خلال تقديم خدمات مبتكرة، مثل الاعتماد على أنظمة الدفع الذكية أو تقديم عروض مخصصة بناءً على تحليل البيانات الكبيرة. الابتكار في تقديم الخدمة يعزز من ولاء العملاء ويزيد من قدرتهم على العودة إلى المؤسسة للاستفادة من خدماتها</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sz w:val="32"/>
          <w:szCs w:val="32"/>
          <w:lang w:bidi="ar-EG"/>
        </w:rPr>
      </w:pPr>
      <w:bookmarkStart w:id="50" w:name="_Toc181308905"/>
      <w:r>
        <w:rPr>
          <w:rFonts w:ascii="Simplified Arabic" w:eastAsia="Calibri" w:hAnsi="Simplified Arabic" w:cs="Simplified Arabic"/>
          <w:b/>
          <w:bCs/>
          <w:sz w:val="32"/>
          <w:szCs w:val="32"/>
          <w:rtl/>
        </w:rPr>
        <w:t>2.2.10 طرق قياس جودة الخدمات</w:t>
      </w:r>
      <w:r>
        <w:rPr>
          <w:rFonts w:ascii="Simplified Arabic" w:eastAsia="Calibri" w:hAnsi="Simplified Arabic" w:cs="Simplified Arabic"/>
          <w:sz w:val="32"/>
          <w:szCs w:val="32"/>
          <w:lang w:bidi="ar-EG"/>
        </w:rPr>
        <w:t>:</w:t>
      </w:r>
      <w:bookmarkEnd w:id="50"/>
    </w:p>
    <w:p w:rsidR="00706C10" w:rsidRDefault="00706C10" w:rsidP="00706C10">
      <w:pPr>
        <w:spacing w:after="160" w:line="360" w:lineRule="auto"/>
        <w:ind w:firstLine="720"/>
        <w:jc w:val="both"/>
        <w:outlineLvl w:val="0"/>
        <w:rPr>
          <w:rFonts w:ascii="Simplified Arabic" w:eastAsia="Calibri" w:hAnsi="Simplified Arabic" w:cs="Simplified Arabic"/>
          <w:sz w:val="32"/>
          <w:szCs w:val="32"/>
          <w:rtl/>
          <w:lang w:bidi="ar-EG"/>
        </w:rPr>
      </w:pPr>
      <w:r>
        <w:rPr>
          <w:rFonts w:ascii="Simplified Arabic" w:eastAsia="Times New Roman" w:hAnsi="Simplified Arabic" w:cs="Simplified Arabic"/>
          <w:sz w:val="28"/>
          <w:szCs w:val="28"/>
          <w:lang w:bidi="ar-EG"/>
        </w:rPr>
        <w:t xml:space="preserve"> </w:t>
      </w:r>
      <w:bookmarkStart w:id="51" w:name="_Toc181308906"/>
      <w:bookmarkStart w:id="52" w:name="_Toc181110080"/>
      <w:r>
        <w:rPr>
          <w:rFonts w:ascii="Simplified Arabic" w:eastAsia="Calibri" w:hAnsi="Simplified Arabic" w:cs="Simplified Arabic"/>
          <w:sz w:val="28"/>
          <w:szCs w:val="28"/>
          <w:rtl/>
        </w:rPr>
        <w:t>تعد جودة الخدمات من المفاهيم الحيوية التي تؤثر بشكل مباشر على رضا العملاء وولائهم، وتعدّ عملية قياسها أحد أهم الأدوات التي تساهم في تحسين الأداء المؤسسي وزيادة الكفاءة. لتحقيق هذا الهدف، يتم استخدام العديد من الأدوات والتقنيات لقياس جودة الخدمات، بما في ذلك الاستبيانات، مراجعات العملاء، ومؤشرات الأداء الرئيسية</w:t>
      </w:r>
      <w:r>
        <w:rPr>
          <w:rFonts w:ascii="Simplified Arabic" w:eastAsia="Calibri" w:hAnsi="Simplified Arabic" w:cs="Simplified Arabic"/>
          <w:sz w:val="28"/>
          <w:szCs w:val="28"/>
          <w:lang w:bidi="ar-EG"/>
        </w:rPr>
        <w:t xml:space="preserve"> (KPIs). </w:t>
      </w:r>
      <w:r>
        <w:rPr>
          <w:rFonts w:ascii="Simplified Arabic" w:eastAsia="Calibri" w:hAnsi="Simplified Arabic" w:cs="Simplified Arabic"/>
          <w:sz w:val="28"/>
          <w:szCs w:val="28"/>
          <w:rtl/>
        </w:rPr>
        <w:t>بالإضافة إلى ذلك، تلعب تقنيات الذكاء الاصطناعي والتحليلات الكبيرة دوراً متزايداً في تحسين وتتبع جودة الخدمات. في هذا المقال، سنستعرض الطرق المختلفة المستخدمة في قياس جودة الخدمات وأهميتها في تعزيز الأداء</w:t>
      </w:r>
      <w:r>
        <w:rPr>
          <w:rFonts w:ascii="Simplified Arabic" w:eastAsia="Calibri" w:hAnsi="Simplified Arabic" w:cs="Simplified Arabic"/>
          <w:sz w:val="28"/>
          <w:szCs w:val="28"/>
          <w:lang w:bidi="ar-EG"/>
        </w:rPr>
        <w:t>.</w:t>
      </w:r>
      <w:bookmarkEnd w:id="51"/>
      <w:bookmarkEnd w:id="52"/>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2.2.10.1 الاستبيانات</w:t>
      </w:r>
      <w:r>
        <w:rPr>
          <w:rFonts w:ascii="Simplified Arabic" w:eastAsia="Calibri" w:hAnsi="Simplified Arabic" w:cs="Simplified Arabic"/>
          <w:b/>
          <w:bCs/>
          <w:sz w:val="28"/>
          <w:szCs w:val="28"/>
          <w:rtl/>
        </w:rPr>
        <w:t xml:space="preserve"> كأداة لقياس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تعدّ الاستبيانات من الأدوات التقليدية الأكثر شيوعاً في قياس جودة الخدمات. وهي أداة قوية لجمع آراء العملاء حول تجربتهم مع الخدمة المقدمة. يتم تصميم الاستبيانات لقياس مجموعة من الجوانب المتعلقة بجودة الخدمة مثل الكفاءة، الاستجابة، والموثوقية. من خلال تحليل الإجابات، يمكن للمؤسسات تحديد المجالات التي تحتاج إلى تحسين أو تلك التي تُعتبر نقاط قوة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 xml:space="preserve">أ. تصميم </w:t>
      </w:r>
      <w:bookmarkStart w:id="53" w:name="_Int_Cef2wmce"/>
      <w:r>
        <w:rPr>
          <w:rFonts w:ascii="Simplified Arabic" w:eastAsia="Calibri" w:hAnsi="Simplified Arabic" w:cs="Simplified Arabic"/>
          <w:b/>
          <w:bCs/>
          <w:sz w:val="28"/>
          <w:szCs w:val="28"/>
          <w:rtl/>
        </w:rPr>
        <w:t>الاستبيان</w:t>
      </w:r>
      <w:bookmarkEnd w:id="53"/>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يتطلب تصميم استبانة جيد أن يشمل أسئلة تقيّم الجوانب المختلفة للخدمة. وقد أشار الحميدان (2019) إلى أن الاستبيانات التي تحتوي على أسئلة محددة وسهلة الفهم تحقق نتائج أفضل من تلك التي تحتوي على أسئلة عامة أو غامضة. يتعين أن يكون لكل سؤال غرض واضح لقياس جانب محدد من جودة الخدمة، مثل سرعة الاستجابة، نوعية الاتصال، ومدى تحقيق توقعات العملاء</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تحليل البيانات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بعد جمع البيانات من الاستبانة، يتم تحليلها باستخدام تقنيات إحصائية لتحديد مدى رضا العملاء عن الخدمات المقدمة. يشير بن أحمد (2018) إلى أن تحليل الاستبيانات يتطلب تفصيلاً دقيقاً لفهم العلاقة بين مختلف العوامل التي تؤثر على جودة الخدمات، مثل الوقت المستغرق لتقديم الخدمة وكفاءة الموظفين</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 xml:space="preserve">2.2.10.2 </w:t>
      </w:r>
      <w:r>
        <w:rPr>
          <w:rFonts w:ascii="Simplified Arabic" w:eastAsia="Calibri" w:hAnsi="Simplified Arabic" w:cs="Simplified Arabic"/>
          <w:b/>
          <w:bCs/>
          <w:sz w:val="28"/>
          <w:szCs w:val="28"/>
          <w:rtl/>
        </w:rPr>
        <w:t>مراجعات العملاء</w:t>
      </w:r>
      <w:r>
        <w:rPr>
          <w:rFonts w:ascii="Simplified Arabic" w:eastAsia="Calibri" w:hAnsi="Simplified Arabic" w:cs="Simplified Arabic"/>
          <w:b/>
          <w:bCs/>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تعتمد مراجعات العملاء بشكل رئيسي على آراء المستخدمين النهائيين بعد تجربتهم للخدمة. وتوفر هذه المراجعات فرصة فريدة للحصول على ملاحظات غير متحيزة حول الأداء الحقيقي للخدمة. وفقاً لعبد الله (2020)، تساهم المراجعات في تحسين خدمات المؤسسات من خلال كشف المشكلات التي قد لا تظهر من خلال قنوات أخرى، مثل الاستبيانات أو مقابلات العملاء</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المنصات الرقمية للمراجعات</w:t>
      </w:r>
      <w:r>
        <w:rPr>
          <w:rFonts w:ascii="Simplified Arabic" w:eastAsia="Calibri" w:hAnsi="Simplified Arabic" w:cs="Simplified Arabic"/>
          <w:b/>
          <w:bCs/>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في العصر الرقمي، تمثل منصات المراجعات على الإنترنت مثل</w:t>
      </w:r>
      <w:r>
        <w:rPr>
          <w:rFonts w:ascii="Simplified Arabic" w:eastAsia="Calibri" w:hAnsi="Simplified Arabic" w:cs="Simplified Arabic"/>
          <w:sz w:val="28"/>
          <w:szCs w:val="28"/>
          <w:lang w:bidi="ar-EG"/>
        </w:rPr>
        <w:t xml:space="preserve"> Google Reviews</w:t>
      </w:r>
      <w:r>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rtl/>
        </w:rPr>
        <w:t>و</w:t>
      </w:r>
      <w:r>
        <w:rPr>
          <w:rFonts w:ascii="Simplified Arabic" w:eastAsia="Calibri" w:hAnsi="Simplified Arabic" w:cs="Simplified Arabic"/>
          <w:sz w:val="28"/>
          <w:szCs w:val="28"/>
          <w:lang w:bidi="ar-EG"/>
        </w:rPr>
        <w:t>TripAdvisor</w:t>
      </w:r>
    </w:p>
    <w:p w:rsidR="00706C10" w:rsidRDefault="00706C10" w:rsidP="00706C10">
      <w:pPr>
        <w:spacing w:after="160" w:line="360"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lang w:bidi="ar-EG"/>
        </w:rPr>
        <w:lastRenderedPageBreak/>
        <w:t xml:space="preserve"> </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و</w:t>
      </w:r>
      <w:r>
        <w:rPr>
          <w:rFonts w:ascii="Simplified Arabic" w:eastAsia="Calibri" w:hAnsi="Simplified Arabic" w:cs="Simplified Arabic"/>
          <w:sz w:val="28"/>
          <w:szCs w:val="28"/>
          <w:lang w:bidi="ar-EG"/>
        </w:rPr>
        <w:t xml:space="preserve">Yelp </w:t>
      </w:r>
      <w:r>
        <w:rPr>
          <w:rFonts w:ascii="Simplified Arabic" w:eastAsia="Calibri" w:hAnsi="Simplified Arabic" w:cs="Simplified Arabic"/>
          <w:sz w:val="28"/>
          <w:szCs w:val="28"/>
          <w:rtl/>
        </w:rPr>
        <w:t>أدوات مهمة لقياس جودة الخدمات. تتيح هذه المنصات للعملاء التعبير عن رأيهم بكل حرية وشفافية حول الخدمة المقدمة، مما يتيح للمؤسسات فرصة تقييم أدائها من منظور العملاء الحقيقيين</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كيفية التعامل مع المراجعات السلبية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تشير دراسة لسلامة (2020) إلى أن التعامل مع المراجعات السلبية بطريقة احترافية يمكن أن يحول التجربة السلبية إلى فرصة للتحسين. عندما تقوم المؤسسات بالرد على تعليقات العملاء ومعالجة المشكلات بفعالية، فإنها تعزز من ثقة العملاء وتبني سمعة جيدة على المدى الطويل</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2.2.10.3 </w:t>
      </w:r>
      <w:r>
        <w:rPr>
          <w:rFonts w:ascii="Simplified Arabic" w:eastAsia="Calibri" w:hAnsi="Simplified Arabic" w:cs="Simplified Arabic"/>
          <w:b/>
          <w:bCs/>
          <w:sz w:val="28"/>
          <w:szCs w:val="28"/>
          <w:rtl/>
        </w:rPr>
        <w:t>مؤشرات الأداء الرئيسية</w:t>
      </w:r>
      <w:r>
        <w:rPr>
          <w:rFonts w:ascii="Simplified Arabic" w:eastAsia="Calibri" w:hAnsi="Simplified Arabic" w:cs="Simplified Arabic"/>
          <w:b/>
          <w:bCs/>
          <w:sz w:val="28"/>
          <w:szCs w:val="28"/>
          <w:lang w:bidi="ar-EG"/>
        </w:rPr>
        <w:t xml:space="preserve"> (KPIs):</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تعتبر مؤشرات الأداء الرئيسية</w:t>
      </w:r>
      <w:r>
        <w:rPr>
          <w:rFonts w:ascii="Simplified Arabic" w:eastAsia="Calibri" w:hAnsi="Simplified Arabic" w:cs="Simplified Arabic"/>
          <w:sz w:val="28"/>
          <w:szCs w:val="28"/>
          <w:lang w:bidi="ar-EG"/>
        </w:rPr>
        <w:t xml:space="preserve"> (KPIs) </w:t>
      </w:r>
      <w:r>
        <w:rPr>
          <w:rFonts w:ascii="Simplified Arabic" w:eastAsia="Calibri" w:hAnsi="Simplified Arabic" w:cs="Simplified Arabic"/>
          <w:sz w:val="28"/>
          <w:szCs w:val="28"/>
          <w:rtl/>
        </w:rPr>
        <w:t>من الأدوات الهامة التي تستخدمها المؤسسات لقياس مدى نجاح خدماتها. وتستخدم هذه المؤشرات لتقييم الأداء في مجالات محددة مثل سرعة الخدمة، دقة العمليات، ورضا العملاء</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تحديد المؤشرات المناسبة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يتطلب اختيار مؤشرات الأداء الصحيحة فهماً دقيقاً لأهداف المؤسسة واستراتيجياتها. وفقاً لدراسة قدمها الجمال (2019)، من الضروري أن تكون المؤشرات قابلة للقياس بشكل دقيق ومرتبطة مباشرة بالأهداف الاستراتيجية للمؤسسة. على سبيل المثال، يمكن لمؤسسة مصرفية أن تستخدم مؤشراً لقياس سرعة المعاملات التي يجريها العملاء عبر الإنترنت</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دور مؤشرات الأداء في التحسين المستمر</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تساعد مؤشرات الأداء الرئيسية المؤسسات على رصد تقدمها بمرور الوقت، وتوفر لها رؤية واضحة حول المجالات التي تحتاج إلى تحسين. تشير دراسة للدريني (2021) إلى أن الشركات التي تعتمد على مؤشرات الأداء بشكل دوري تحقق تحسينات كبيرة في جودة خدماتها لأنها تعتمد على بيانات فعلية يمكن استخدامها لاتخاذ قرارات مستنيرة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2.2.10.4</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استخدام تقنيات الذكاء الاصطناعي والتحليلات الكبيرة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العصر الحديث، تعتبر تقنيات الذكاء الاصطناعي والتحليلات الكبيرة من الأدوات المتقدمة التي تتيح للمؤسسات تحسين جودة الخدمات بشكل مستمر. تعتمد هذه التقنيات على تحليل كميات ضخمة من البيانات لاستخلاص الأنماط والتوجهات التي تساعد على تحسين تجربة العملاء</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b/>
          <w:bCs/>
          <w:sz w:val="28"/>
          <w:szCs w:val="28"/>
          <w:rtl/>
        </w:rPr>
        <w:t>أ. الذكاء الاصطناعي في تحسين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يمكن للذكاء الاصطناعي تحسين جودة الخدمات بطرق متعددة، منها تحسين سرعة الاستجابة للعملاء، تقديم توصيات مخصصة، والتنبؤ باحتياجات العملاء بناءً على بيانات سابقة. وفقاً لبحث قدمه الغانم (2020)، فإن استخدام الذكاء الاصطناعي في تقديم الخدمات يحسن من تجربة العملاء عن طريق تقليل الوقت المستغرق في حل المشاكل وتقديم خدمات أكثر دقة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التحليلات الكبيرة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تستخدم التحليلات الكبيرة لجمع وتحليل كميات هائلة من البيانات من مختلف المصادر مثل مواقع الويب، وسائل التواصل الاجتماعي، والسجلات الداخلية للمؤسسة. تساعد هذه التحليلات على فهم أفضل </w:t>
      </w:r>
      <w:r>
        <w:rPr>
          <w:rFonts w:ascii="Simplified Arabic" w:eastAsia="Calibri" w:hAnsi="Simplified Arabic" w:cs="Simplified Arabic"/>
          <w:sz w:val="28"/>
          <w:szCs w:val="28"/>
          <w:rtl/>
        </w:rPr>
        <w:lastRenderedPageBreak/>
        <w:t>لسلوكيات العملاء وتحديد الاتجاهات السائدة. يوضح الخليل (2019) أن استخدام التحليلات الكبيرة في تتبع جودة الخدمات يمكّن المؤسسات من التعرف على التغيرات في توقعات العملاء والاستجابة لها بسرعة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54" w:name="_Toc181308907"/>
      <w:bookmarkStart w:id="55" w:name="_Toc181110081"/>
      <w:r>
        <w:rPr>
          <w:rFonts w:ascii="Simplified Arabic" w:eastAsia="Calibri" w:hAnsi="Simplified Arabic" w:cs="Simplified Arabic"/>
          <w:b/>
          <w:bCs/>
          <w:sz w:val="28"/>
          <w:szCs w:val="28"/>
          <w:rtl/>
        </w:rPr>
        <w:t>2.2.10.5 التحسين المستمر من خلال قياس الجودة</w:t>
      </w:r>
      <w:r>
        <w:rPr>
          <w:rFonts w:ascii="Simplified Arabic" w:eastAsia="Calibri" w:hAnsi="Simplified Arabic" w:cs="Simplified Arabic"/>
          <w:b/>
          <w:bCs/>
          <w:sz w:val="28"/>
          <w:szCs w:val="28"/>
          <w:lang w:bidi="ar-EG"/>
        </w:rPr>
        <w:t>:</w:t>
      </w:r>
      <w:bookmarkEnd w:id="54"/>
      <w:bookmarkEnd w:id="55"/>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تعتبر عملية القياس المستمر لجودة الخدمات ضرورية لتحسين الأداء. فالقياس لا ينتهي بمجرد جمع البيانات، بل يجب أن تتم متابعة النتائج والعمل على تحسينها. وفقاً لدراسة العيسى (2021)، فإن المؤسسات التي تلتزم بعمليات التحسين المستمر باستخدام نتائج قياس الجودة تحقق أداءً أعلى من تلك التي لا تعتمد على هذا النهج</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دورة التحسين المستمر</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يعتمد نموذج التحسين المستمر على قياس الأداء، تحديد المشاكل، ثم تطبيق الحلول وتحسين العمليات بناءً على البيانات التي تم جمعها. يُعدّ نموذج</w:t>
      </w:r>
      <w:r>
        <w:rPr>
          <w:rFonts w:ascii="Simplified Arabic" w:eastAsia="Calibri" w:hAnsi="Simplified Arabic" w:cs="Simplified Arabic"/>
          <w:sz w:val="28"/>
          <w:szCs w:val="28"/>
          <w:lang w:bidi="ar-EG"/>
        </w:rPr>
        <w:t xml:space="preserve"> PDCA (Plan-Do-Check-Act) </w:t>
      </w:r>
      <w:r>
        <w:rPr>
          <w:rFonts w:ascii="Simplified Arabic" w:eastAsia="Calibri" w:hAnsi="Simplified Arabic" w:cs="Simplified Arabic"/>
          <w:sz w:val="28"/>
          <w:szCs w:val="28"/>
          <w:rtl/>
        </w:rPr>
        <w:t>أحد النماذج الشائعة التي يتم استخدامها في هذا السياق. هذا النموذج يوفر إطار عمل مرن يمكن للمؤسسات استخدامه لتحقيق تحسينات مستمرة في جودة خدماتها</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دور الابتكار في التحسين</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b/>
          <w:bCs/>
          <w:sz w:val="28"/>
          <w:szCs w:val="28"/>
          <w:rtl/>
          <w:lang w:bidi="ar-EG"/>
        </w:rPr>
      </w:pPr>
      <w:r>
        <w:rPr>
          <w:rFonts w:ascii="Simplified Arabic" w:eastAsia="Calibri" w:hAnsi="Simplified Arabic" w:cs="Simplified Arabic"/>
          <w:sz w:val="28"/>
          <w:szCs w:val="28"/>
          <w:rtl/>
        </w:rPr>
        <w:t xml:space="preserve">كما أن الابتكار يلعب دوراً مهماً في تحسين جودة الخدمات. فالمؤسسات التي تتبنى تقنيات جديدة وتحسن من عملياتها باستمرار، تكون قادرة على تقديم خدمات بجودة أعلى. وفقاً لدراسة قدمها الهزاع (2020)، </w:t>
      </w:r>
      <w:r>
        <w:rPr>
          <w:rFonts w:ascii="Simplified Arabic" w:eastAsia="Calibri" w:hAnsi="Simplified Arabic" w:cs="Simplified Arabic"/>
          <w:sz w:val="28"/>
          <w:szCs w:val="28"/>
          <w:rtl/>
        </w:rPr>
        <w:lastRenderedPageBreak/>
        <w:t>الابتكار في تقديم الخدمات، مثل تقديم خدمات رقمية أو تطوير تطبيقات ذكية، يؤدي إلى تحسين مستوى رضا العملاء ويزيد من كفاءة الخدمة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56" w:name="_Toc181308908"/>
      <w:r>
        <w:rPr>
          <w:rFonts w:ascii="Simplified Arabic" w:eastAsia="Calibri" w:hAnsi="Simplified Arabic" w:cs="Simplified Arabic"/>
          <w:b/>
          <w:bCs/>
          <w:sz w:val="28"/>
          <w:szCs w:val="28"/>
          <w:rtl/>
        </w:rPr>
        <w:t>2.2.11 أهمية جودة الخدمات</w:t>
      </w:r>
      <w:r>
        <w:rPr>
          <w:rFonts w:ascii="Simplified Arabic" w:eastAsia="Calibri" w:hAnsi="Simplified Arabic" w:cs="Simplified Arabic"/>
          <w:b/>
          <w:bCs/>
          <w:sz w:val="28"/>
          <w:szCs w:val="28"/>
          <w:lang w:bidi="ar-EG"/>
        </w:rPr>
        <w:t>:</w:t>
      </w:r>
      <w:bookmarkEnd w:id="56"/>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تعتبر جودة الخدمات من أبرز العوامل التي تؤثر بشكل مباشر على نجاح واستدامة المؤسسات في مختلف القطاعات، سواء كانت تلك المؤسسات تعمل في مجال الخدمات الصحية، المصرفية، الفندقية، أو حتى الحكومية. وتتجلى أهمية جودة الخدمات من خلال تأثيرها الكبير على رضا العملاء، وزيادة ولائهم وثقتهم، فضلاً عن الدور المحوري الذي تلعبه في تحقيق مزايا تنافسية واستدامة الشركات. في هذا السياق، سنناقش بالتفصيل تأثير جودة الخدمات على هذه الجوانب</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2.2.11.1</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تأثير جودة الخدمات على رضا العملاء</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يعد رضا العملاء أحد أهم المؤشرات التي تدل على نجاح المؤسسة في تقديم خدمات ذات جودة عالية. فالعميل الراضي هو الذي حصل على ما يتوقعه أو أكثر من الخدمة المقدمة، سواء من حيث السرعة، الدقة، أو الاستجابة للاحتياجات. كما أن رضا العميل يعكس مدى توافق مستوى الخدمة مع توقعاته واحتياجاته</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العلاقة بين جودة الخدمة ورضا العملاء</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أشارت دراسة لعبد الله وآخرين (2020) إلى أن هناك علاقة مباشرة بين جودة الخدمات ورضا العملاء. كلما كانت جودة الخدمات المقدمة أعلى، زاد رضا العملاء عنها. وعندما يشعر العملاء بأنهم </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lastRenderedPageBreak/>
        <w:t>يحصلون على خدمة تلبي احتياجاتهم بشكل كامل وسريع، فإن ذلك يزيد من مستوى رضاهم. وتظهر هذه العلاقة بشكل واضح في القطاع الفندقي، حيث تتوقع العملاء خدمات سريعة ومهنية مثل استقبال الضيوف، تقديم الطعام، وحل المشاكل بسرعة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rPr>
        <w:t>ب. دور المعايير في تحديد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تعتبر المعايير التي تضعها المؤسسة لجودة الخدمات المقدمة عاملاً حاسماً في تحقيق رضا العملاء. فوفقاً لدراسة الحميدان (2019)، فإن وجود معايير جودة دقيقة مثل الاستجابة السريعة، الاحترافية في تقديم الخدمة، والموثوقية، يسهم بشكل كبير في تحسين تجربة العميل وبالتالي رفع مستوى الرضا. لذا، من المهم أن تضع المؤسسات معايير ثابتة يتم تدريب الموظفين عليها لضمان تحقيق هذه المعايير</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ج. تأثير التحسين المستمر</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36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علاوة على ذلك، يتطلب تحقيق رضا العملاء تبني مبدأ التحسين المستمر في تقديم الخدمات. فالخدمات قد تحتاج إلى تطوير أو تحسين بناءً على ملاحظات العملاء وتغير احتياجاتهم. يشير الغانم (2020) إلى أن المؤسسات التي تتبنى استراتيجيات التحسين المستمر قادرة على تلبية توقعات العملاء المتغيرة والحفاظ على رضاهم بمرور الوقت</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360"/>
        <w:jc w:val="both"/>
        <w:rPr>
          <w:rFonts w:ascii="Simplified Arabic" w:eastAsia="Calibri" w:hAnsi="Simplified Arabic" w:cs="Simplified Arabic"/>
          <w:sz w:val="28"/>
          <w:szCs w:val="28"/>
          <w:rtl/>
          <w:lang w:bidi="ar-EG"/>
        </w:rPr>
      </w:pPr>
    </w:p>
    <w:p w:rsidR="00706C10" w:rsidRDefault="00706C10" w:rsidP="00706C10">
      <w:pPr>
        <w:spacing w:after="160" w:line="360" w:lineRule="auto"/>
        <w:ind w:firstLine="360"/>
        <w:jc w:val="both"/>
        <w:rPr>
          <w:rFonts w:ascii="Simplified Arabic" w:eastAsia="Calibri" w:hAnsi="Simplified Arabic" w:cs="Simplified Arabic"/>
          <w:sz w:val="28"/>
          <w:szCs w:val="28"/>
          <w:rtl/>
          <w:lang w:bidi="ar-EG"/>
        </w:rPr>
      </w:pPr>
    </w:p>
    <w:p w:rsidR="00706C10" w:rsidRDefault="00706C10" w:rsidP="00706C10">
      <w:pPr>
        <w:pStyle w:val="ListParagraph"/>
        <w:numPr>
          <w:ilvl w:val="3"/>
          <w:numId w:val="36"/>
        </w:numPr>
        <w:spacing w:after="160" w:line="360" w:lineRule="auto"/>
        <w:jc w:val="both"/>
        <w:outlineLvl w:val="0"/>
        <w:rPr>
          <w:rFonts w:ascii="Simplified Arabic" w:eastAsia="Calibri" w:hAnsi="Simplified Arabic" w:cs="Simplified Arabic"/>
          <w:b/>
          <w:bCs/>
          <w:sz w:val="28"/>
          <w:szCs w:val="28"/>
          <w:rtl/>
          <w:lang w:bidi="ar-EG"/>
        </w:rPr>
      </w:pPr>
      <w:bookmarkStart w:id="57" w:name="_Toc181308909"/>
      <w:r>
        <w:rPr>
          <w:rFonts w:ascii="Simplified Arabic" w:eastAsia="Calibri" w:hAnsi="Simplified Arabic" w:cs="Simplified Arabic"/>
          <w:b/>
          <w:bCs/>
          <w:sz w:val="28"/>
          <w:szCs w:val="28"/>
          <w:rtl/>
        </w:rPr>
        <w:t>زيادة الولاء وثقة العملاء</w:t>
      </w:r>
      <w:r>
        <w:rPr>
          <w:rFonts w:ascii="Simplified Arabic" w:eastAsia="Calibri" w:hAnsi="Simplified Arabic" w:cs="Simplified Arabic"/>
          <w:b/>
          <w:bCs/>
          <w:sz w:val="28"/>
          <w:szCs w:val="28"/>
          <w:lang w:bidi="ar-EG"/>
        </w:rPr>
        <w:t>:</w:t>
      </w:r>
      <w:bookmarkEnd w:id="57"/>
    </w:p>
    <w:p w:rsidR="00706C10" w:rsidRDefault="00706C10" w:rsidP="00706C10">
      <w:pPr>
        <w:spacing w:after="160" w:line="360" w:lineRule="auto"/>
        <w:ind w:left="360" w:firstLine="36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جودة الخدمات لها تأثير كبير على بناء الثقة والولاء لدى العملاء. فعندما يحصل العميل على خدمة تتجاوز توقعاته، يشعر بالثقة تجاه المؤسسة ويصبح أكثر ولاءً لها. هذا الولاء لا يقتصر فقط على التعامل الحالي، بل يمتد ليشمل التوصيات والترويج للمؤسسة بين معارفه وأصدقائه</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تأثير الجودة على الولاء</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أظهرت دراسة قامت بها فاطمة (2018) أن المؤسسات التي تقدم خدمات ذات جودة عالية تتمتع بقاعدة عملاء وفية. هذه العملاء يكونون على استعداد للاستمرار في التعامل مع المؤسسة لفترات طويلة، بغض النظر عن التغيرات التي قد تطرأ في السوق أو الأسعار. بل إنهم يميلون إلى تفضيل المؤسسة حتى في حال وجود منافسين يقدمون خدمات مشابهة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rPr>
        <w:t>ب. تعزيز الثقة من خلال الجودة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تعد الثقة عنصراً أساسياً في ولاء العملاء. وفقاً لدراسة الخليل (2019)، فإن تقديم خدمات عالية الجودة يعزز من ثقة العميل في المؤسسة، حيث يثق بأن المؤسسة ستلبي احتياجاته في كل مرة يتعامل معها. هذه الثقة تولد ارتباطاً قوياً بين العميل والمؤسسة، مما يزيد من فرص العودة المتكررة للتعامل</w:t>
      </w:r>
      <w:r>
        <w:rPr>
          <w:rFonts w:ascii="Simplified Arabic" w:eastAsia="Calibri" w:hAnsi="Simplified Arabic" w:cs="Simplified Arabic"/>
          <w:sz w:val="28"/>
          <w:szCs w:val="28"/>
          <w:lang w:bidi="ar-EG"/>
        </w:rPr>
        <w:t>.</w:t>
      </w:r>
    </w:p>
    <w:p w:rsidR="00706C10" w:rsidRDefault="00706C10" w:rsidP="00706C10">
      <w:pPr>
        <w:pStyle w:val="ListParagraph"/>
        <w:spacing w:after="160" w:line="360" w:lineRule="auto"/>
        <w:ind w:left="38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t xml:space="preserve">2.2.11.3 </w:t>
      </w:r>
      <w:r>
        <w:rPr>
          <w:rFonts w:ascii="Simplified Arabic" w:eastAsia="Calibri" w:hAnsi="Simplified Arabic" w:cs="Simplified Arabic"/>
          <w:b/>
          <w:bCs/>
          <w:sz w:val="28"/>
          <w:szCs w:val="28"/>
          <w:rtl/>
        </w:rPr>
        <w:t>تأثير جودة الخدمات على تحقيق مزايا تنافسية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سوق متزايد التنافسية، تلعب جودة الخدمات دوراً محورياً في تمييز الشركات عن منافسيها. فالشركات التي تستثمر في تحسين جودة خدماتها تصبح قادرة على جذب المزيد من العملاء والحفاظ عليهم، مما يمنحها ميزة تنافسية على الشركات التي تقدم خدمات بجودة أقل</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lastRenderedPageBreak/>
        <w:t>أ. دور الجودة في تحقيق التفرد</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تقدم الجودة العالية للشركات ميزة تنافسية تتمثل في القدرة على التفرد عن المنافسين. تشير دراسة للدريني (2021) إلى أن الشركات التي تقدم خدمات استثنائية تتمكن من جذب شريحة أكبر من العملاء الذين يبحثون عن تجربة فريدة ومميزة. فالعملاء يفضلون الشركات التي تقدم لهم تجربة تفوق توقعاتهم، وهذا ما يعزز من مكانة الشركة في السوق</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الجودة وسعر الخدمة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على الرغم من أن السعر يعتبر عاملاً مهماً في قرار الشراء، إلا أن الجودة تتفوق على السعر عندما يتعلق الأمر برضا العملاء. وفقاً لدراسة الجمال (2019)، يفضل العملاء غالباً دفع مبلغ أعلى مقابل الحصول على خدمة ذات جودة عالية، بدلاً من التعامل مع شركة تقدم خدمة أقل جودة بسعر أقل. لذا، تعتبر الجودة عاملاً حاسماً في تحقيق ميزة تنافسية، حتى في الأسواق الحساسة للأسعار</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2.2.11.4استدامة الشركات من خلال جودة الخدمات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تعتبر جودة الخدمات عنصراً أساسياً لتحقيق استدامة الشركات على المدى الطويل. فالاستدامة تعني قدرة الشركة على البقاء في السوق لفترات طويلة وتجاوز التحديات المختلفة. هذا لا يتحقق إلا من خلال تقديم خدمات تلبي توقعات العملاء بشكل مستمر</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تأثير الجودة على الاستدامة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تشير دراسة العيسى (2021) إلى أن الشركات التي تركز على تقديم خدمات عالية الجودة تتمتع بقدرة أكبر على الاستدامة في السوق. فالجودة تساهم في بناء سمعة قوية للشركة، مما يساعدها على جذب المزيد من العملاء والاحتفاظ بهم، وبالتالي تعزيز نموها واستدامتها على المدى الطويل</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الابتكار وجودة الخدمة</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يعد الابتكار جزءاً أساسياً من استراتيجية استدامة الشركات. فالابتكار في تقديم الخدمات وتحسينها باستمرار يسهم في تعزيز مكانة الشركة في السوق. وفقاً لدراسة الحميدان (2020)، الشركات التي تستثمر في تطوير خدماتها باستخدام التكنولوجيا الحديثة قادرة على تقديم خدمات تتماشى مع متطلبات السوق المتغيرة، مما يعزز من قدرتها على البقاء والاستدامة</w:t>
      </w:r>
      <w:r>
        <w:rPr>
          <w:rFonts w:ascii="Simplified Arabic" w:eastAsia="Calibri" w:hAnsi="Simplified Arabic" w:cs="Simplified Arabic"/>
          <w:sz w:val="28"/>
          <w:szCs w:val="28"/>
          <w:lang w:bidi="ar-EG"/>
        </w:rPr>
        <w:t>.</w:t>
      </w:r>
    </w:p>
    <w:p w:rsidR="00706C10" w:rsidRDefault="00706C10" w:rsidP="00706C10">
      <w:pPr>
        <w:spacing w:after="160" w:line="360" w:lineRule="auto"/>
        <w:ind w:left="26"/>
        <w:jc w:val="both"/>
        <w:outlineLvl w:val="0"/>
        <w:rPr>
          <w:rFonts w:ascii="Simplified Arabic" w:eastAsia="Calibri" w:hAnsi="Simplified Arabic" w:cs="Simplified Arabic"/>
          <w:b/>
          <w:bCs/>
          <w:sz w:val="28"/>
          <w:szCs w:val="28"/>
          <w:lang w:bidi="ar-EG"/>
        </w:rPr>
      </w:pPr>
      <w:bookmarkStart w:id="58" w:name="_Toc181308910"/>
      <w:r>
        <w:rPr>
          <w:rFonts w:ascii="Simplified Arabic" w:eastAsia="Calibri" w:hAnsi="Simplified Arabic" w:cs="Simplified Arabic"/>
          <w:b/>
          <w:bCs/>
          <w:sz w:val="28"/>
          <w:szCs w:val="28"/>
          <w:rtl/>
        </w:rPr>
        <w:t>2.2.12 تحقيق النمو الاقتصادي من خلال جودة الخدمات</w:t>
      </w:r>
      <w:r>
        <w:rPr>
          <w:rFonts w:ascii="Simplified Arabic" w:eastAsia="Calibri" w:hAnsi="Simplified Arabic" w:cs="Simplified Arabic"/>
          <w:b/>
          <w:bCs/>
          <w:sz w:val="28"/>
          <w:szCs w:val="28"/>
          <w:lang w:bidi="ar-EG"/>
        </w:rPr>
        <w:t>:</w:t>
      </w:r>
      <w:bookmarkEnd w:id="58"/>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تساهم جودة الخدمات في تعزيز النمو الاقتصادي للشركات والمجتمعات على حد سواء. الشركات التي تقدم خدمات عالية الجودة تتمكن من تحقيق إيرادات أعلى، مما يسهم في زيادة استثماراتها وتوسعها في السوق</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تأثير الجودة على الإيرادات</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تشير دراسة بن أحمد (2019) إلى أن الشركات التي تحافظ على جودة عالية في خدماتها تشهد نمواً مستداماً في إيراداتها. فالعملاء الراضون يميلون إلى العودة للتعامل مع المؤسسة، بالإضافة إلى توصياتهم لأصدقائهم ومعارفهم، مما يساهم في زيادة عدد العملاء والإيرادات</w:t>
      </w:r>
    </w:p>
    <w:p w:rsidR="00706C10" w:rsidRDefault="00706C10" w:rsidP="00706C10">
      <w:pPr>
        <w:spacing w:after="160" w:line="36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b/>
          <w:bCs/>
          <w:sz w:val="28"/>
          <w:szCs w:val="28"/>
          <w:rtl/>
        </w:rPr>
        <w:t>ب. دور الجودة في التوظيف</w:t>
      </w:r>
      <w:r>
        <w:rPr>
          <w:rFonts w:ascii="Simplified Arabic" w:eastAsia="Calibri" w:hAnsi="Simplified Arabic" w:cs="Simplified Arabic"/>
          <w:b/>
          <w:bCs/>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تحقيق جودة عالية في الخدمات يعزز من فرص التوظيف في الشركات. فالشركات التي تحقق نجاحاً مستداماً بفضل جودة خدماتها تحتاج إلى توظيف المزيد من العاملين لتلبية الطلب المتزايد على خدماتها. هذا يعزز من النمو الاقتصادي ويسهم في خلق فرص عمل جديدة في المجتمع</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outlineLvl w:val="0"/>
        <w:rPr>
          <w:rFonts w:ascii="Simplified Arabic" w:eastAsia="Calibri" w:hAnsi="Simplified Arabic" w:cs="Simplified Arabic"/>
          <w:sz w:val="28"/>
          <w:szCs w:val="28"/>
          <w:lang w:bidi="ar-EG"/>
        </w:rPr>
      </w:pPr>
      <w:bookmarkStart w:id="59" w:name="_Toc181308911"/>
      <w:r>
        <w:rPr>
          <w:rFonts w:ascii="Simplified Arabic" w:eastAsia="Calibri" w:hAnsi="Simplified Arabic" w:cs="Simplified Arabic"/>
          <w:b/>
          <w:bCs/>
          <w:sz w:val="28"/>
          <w:szCs w:val="28"/>
          <w:rtl/>
        </w:rPr>
        <w:t>2.2.12.1 تحديات تحسين جودة الخدمات</w:t>
      </w:r>
      <w:r>
        <w:rPr>
          <w:rFonts w:ascii="Simplified Arabic" w:eastAsia="Calibri" w:hAnsi="Simplified Arabic" w:cs="Simplified Arabic"/>
          <w:sz w:val="28"/>
          <w:szCs w:val="28"/>
          <w:lang w:bidi="ar-EG"/>
        </w:rPr>
        <w:t>:</w:t>
      </w:r>
      <w:bookmarkEnd w:id="59"/>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تحسين جودة الخدمات هو أحد الأهداف الأساسية لأي منظمة تسعى لتحقيق النجاح والاستدامة في سوق المنافسة المتزايدة. إلا أن هذا التحسين يواجه العديد من التحديات التي تتطلب استراتيجيات مدروسة للتغلب عليها. فيما يلي سيتم التطرق إلى أبرز التحديات التي تواجه المنظمات في تحسين جودة الخدمات وكيفية التغلب عليها باستخدام استراتيجيات متقدمة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أولاً: التحديات المتعلقة بتكاليف التدريب</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تحسين جودة الخدمات يتطلب تطوير قدرات الموظفين وتزويدهم بالمعرفة والمهارات المناسبة، وهذا غالبًا ما يستلزم استثمارًا كبيرًا في التدريب والتأهيل. يعتبر توفير التدريب اللازم للموظفين في مجالات مختلفة مثل خدمة العملاء، استخدام التكنولوجيا الحديثة، وإدارة العمليات، أمرًا بالغ الأهمية لتحسين الجودة. ولكن التكلفة المرتفعة للتدريب تشكل عقبة رئيسية تواجه المنظمات، خاصة التي تعاني من ضغوط مالية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تأثير تكاليف التدريب على ميزانية المؤسسة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تكاليف التدريب تشمل مجموعة متنوعة من العناصر مثل التكاليف المباشرة لتوظيف المدربين، والمواد التدريبية، وتكاليف الوقت الذي يقضيه الموظفون في التدريب بدلاً من أداء العمل المعتاد. بحسب دراسة </w:t>
      </w:r>
      <w:r>
        <w:rPr>
          <w:rFonts w:ascii="Simplified Arabic" w:eastAsia="Calibri" w:hAnsi="Simplified Arabic" w:cs="Simplified Arabic"/>
          <w:sz w:val="28"/>
          <w:szCs w:val="28"/>
          <w:rtl/>
        </w:rPr>
        <w:lastRenderedPageBreak/>
        <w:t>العبيدي (2018)، فإن العديد من المؤسسات تجد صعوبة في تخصيص ميزانيات كافية للتدريب، ما يؤدي إلى نقص المهارات بين الموظفين وعدم القدرة على تحسين جودة الخدمات</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rPr>
        <w:t>ب. استراتيجيات التغلب على تكاليف التدريب</w:t>
      </w:r>
    </w:p>
    <w:p w:rsidR="00706C10" w:rsidRDefault="00706C10" w:rsidP="00706C10">
      <w:pPr>
        <w:spacing w:after="160"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لتقليل تأثير تكاليف التدريب، يمكن للمنظمات استخدام استراتيجيات مثل التعلم الإلكتروني</w:t>
      </w:r>
    </w:p>
    <w:p w:rsidR="00706C10" w:rsidRDefault="00706C10" w:rsidP="00706C10">
      <w:pPr>
        <w:spacing w:after="160" w:line="360"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lang w:bidi="ar-EG"/>
        </w:rPr>
        <w:t xml:space="preserve"> (E-Learning) </w:t>
      </w:r>
      <w:r>
        <w:rPr>
          <w:rFonts w:ascii="Simplified Arabic" w:eastAsia="Calibri" w:hAnsi="Simplified Arabic" w:cs="Simplified Arabic"/>
          <w:sz w:val="28"/>
          <w:szCs w:val="28"/>
          <w:rtl/>
        </w:rPr>
        <w:t>الذي يسمح بتقديم التدريب بتكاليف أقل من خلال الإنترنت. كما أن تبني منهجيات التدريب الداخلي يمكن أن يقلل من تكاليف توظيف مدربين خارجيين. دراسة أحمد وآخرون (2020) توصي بتبني نظام "التدريب القائم على الأداء" حيث يتم تحديد الاحتياجات التدريبية بناءً على الأداء الفعلي للموظفين، وبالتالي توجيه الموارد فقط للأفراد أو الأقسام التي تحتاج بالفعل إلى تحسينات</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ثانيًا: التكيف مع التقنيات الحديثة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التكنولوجيا تعد عاملاً رئيسياً في تحسين جودة الخدمات، حيث تساهم في تحسين الكفاءة والإنتاجية وسرعة تقديم الخدمة. إلا أن التحدي الرئيسي يكمن في صعوبة التكيف السريع مع هذه التقنيات. المنظمات التي لا تستطيع مواكبة التقدم التكنولوجي تجد نفسها في وضع غير تنافسي مقارنةً بالشركات التي تستثمر في التكنولوجيا الحديثة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مقاومة الموظفين للتغيير التكنولوجي</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من أكبر التحديات التي تواجه المنظمات عند محاولة تحسين جودة الخدمات باستخدام التكنولوجيا هي مقاومة الموظفين للتغيير. بعض الموظفين يشعرون بعدم الأمان أو الخوف من فقدان وظائفهم بسبب </w:t>
      </w:r>
      <w:r>
        <w:rPr>
          <w:rFonts w:ascii="Simplified Arabic" w:eastAsia="Calibri" w:hAnsi="Simplified Arabic" w:cs="Simplified Arabic"/>
          <w:sz w:val="28"/>
          <w:szCs w:val="28"/>
          <w:rtl/>
        </w:rPr>
        <w:lastRenderedPageBreak/>
        <w:t>التكنولوجيا، أو قد يفتقرون إلى المهارات اللازمة لاستخدام الأدوات التكنولوجية الجديدة بفعالية. تشير دراسة الشريف (2019) إلى أن 40% من العاملين يشعرون بعدم الراحة عند تطبيق تقنيات جديدة في مؤسساتهم</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استراتيجيات التغلب على تحدي التكيف مع التكنولوجيا</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لتجاوز هذا التحدي، توصي دراسة الرفاعي (2020) بالاستثمار في برامج التعليم والتوعية لموظفي المنظمة حول فوائد التكنولوجيا وكيف يمكن أن تساهم في تحسين أدائهم الشخصي وجودة الخدمات المقدمة. بالإضافة إلى ذلك، يمكن تبني "النهج التدريجي" في إدخال التكنولوجيا، حيث يتم تقديم التغييرات بشكل متتابع وبطيء لتمكين الموظفين من التكيف معها تدريجيًا</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ثالثًا: التحديات المتعلقة بتوقعات العملاء</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عالم يتسم بالتنافسية المتزايدة، أصبحت توقعات العملاء أعلى بكثير مما كانت عليه في الماضي. العملاء يتوقعون خدمات فورية، موثوقة، وذات جودة عالية. إدارة توقعات العملاء قد تكون واحدة من أكثر التحديات التي تواجه المنظمات، حيث أن أي اختلاف بين توقعات العميل والخدمة المقدمة قد يؤدي إلى انخفاض الرضا والولاء</w:t>
      </w:r>
      <w:r>
        <w:rPr>
          <w:rFonts w:ascii="Simplified Arabic" w:eastAsia="Calibri" w:hAnsi="Simplified Arabic" w:cs="Simplified Arabic"/>
          <w:sz w:val="28"/>
          <w:szCs w:val="28"/>
          <w:lang w:bidi="ar-EG"/>
        </w:rPr>
        <w:t>.</w:t>
      </w:r>
    </w:p>
    <w:p w:rsidR="00706C10" w:rsidRDefault="00706C10" w:rsidP="00706C10">
      <w:pPr>
        <w:pStyle w:val="ListParagraph"/>
        <w:numPr>
          <w:ilvl w:val="2"/>
          <w:numId w:val="31"/>
        </w:numPr>
        <w:spacing w:after="160" w:line="360" w:lineRule="auto"/>
        <w:ind w:left="386"/>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تأثير الفجوة بين التوقعات والواقع</w:t>
      </w:r>
    </w:p>
    <w:p w:rsidR="00706C10" w:rsidRDefault="00706C10" w:rsidP="00706C10">
      <w:pPr>
        <w:pStyle w:val="ListParagraph"/>
        <w:spacing w:after="160" w:line="360" w:lineRule="auto"/>
        <w:ind w:left="386"/>
        <w:jc w:val="both"/>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 xml:space="preserve"> </w:t>
      </w:r>
      <w:r>
        <w:rPr>
          <w:rFonts w:ascii="Simplified Arabic" w:eastAsia="Calibri" w:hAnsi="Simplified Arabic" w:cs="Simplified Arabic"/>
          <w:sz w:val="28"/>
          <w:szCs w:val="28"/>
          <w:rtl/>
        </w:rPr>
        <w:t>وفقًا لدراسة الجبوري (2019)، يعاني الكثير من العملاء من عدم التوافق بين توقعاتهم والخدمة الفعلية التي يتلقونها، وهو ما يؤدي إلى فقدان الثقة في المؤسسة.</w:t>
      </w:r>
    </w:p>
    <w:p w:rsidR="00706C10" w:rsidRDefault="00706C10" w:rsidP="00706C10">
      <w:pPr>
        <w:spacing w:after="160" w:line="360" w:lineRule="auto"/>
        <w:jc w:val="both"/>
        <w:rPr>
          <w:rFonts w:ascii="Simplified Arabic" w:eastAsia="Calibri" w:hAnsi="Simplified Arabic" w:cs="Simplified Arabic"/>
          <w:b/>
          <w:bCs/>
          <w:sz w:val="28"/>
          <w:szCs w:val="28"/>
        </w:rPr>
      </w:pPr>
      <w:r>
        <w:rPr>
          <w:rFonts w:ascii="Simplified Arabic" w:eastAsia="Calibri" w:hAnsi="Simplified Arabic" w:cs="Simplified Arabic"/>
          <w:sz w:val="28"/>
          <w:szCs w:val="28"/>
          <w:rtl/>
        </w:rPr>
        <w:t>هذا التباين يؤثر سلبًا على جودة الخدمات المقدمة ويقلل من فرص إعادة التعامل مع العميل في المستقبل</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استراتيجيات التغلب على الفجوة في التوقعات</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للتغلب على هذه المشكلة، ينبغي للمنظمات العمل على تعزيز التواصل مع العملاء حول ما يمكن توقعه من الخدمة قبل تقديمها. تبني نماذج مثل نموذج "الفجوة في جودة الخدمة</w:t>
      </w:r>
      <w:r>
        <w:rPr>
          <w:rFonts w:ascii="Simplified Arabic" w:eastAsia="Calibri" w:hAnsi="Simplified Arabic" w:cs="Simplified Arabic"/>
          <w:sz w:val="28"/>
          <w:szCs w:val="28"/>
          <w:lang w:bidi="ar-EG"/>
        </w:rPr>
        <w:t xml:space="preserve">" (Gap Model) </w:t>
      </w:r>
      <w:r>
        <w:rPr>
          <w:rFonts w:ascii="Simplified Arabic" w:eastAsia="Calibri" w:hAnsi="Simplified Arabic" w:cs="Simplified Arabic"/>
          <w:sz w:val="28"/>
          <w:szCs w:val="28"/>
          <w:rtl/>
        </w:rPr>
        <w:t>الذي اقترحه باراسورمان وآخرون (1985) يساعد في تحديد الفجوات بين توقعات العملاء وتجربتهم الفعلية، ويعمل على معالجتها قبل أن تؤثر على رضا العميل</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رابعًا: التحديات المتعلقة بإدارة الجودة الشاملة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إدارة الجودة الشاملة</w:t>
      </w:r>
      <w:r>
        <w:rPr>
          <w:rFonts w:ascii="Simplified Arabic" w:eastAsia="Calibri" w:hAnsi="Simplified Arabic" w:cs="Simplified Arabic"/>
          <w:sz w:val="28"/>
          <w:szCs w:val="28"/>
          <w:lang w:bidi="ar-EG"/>
        </w:rPr>
        <w:t xml:space="preserve"> (TQM) </w:t>
      </w:r>
      <w:r>
        <w:rPr>
          <w:rFonts w:ascii="Simplified Arabic" w:eastAsia="Calibri" w:hAnsi="Simplified Arabic" w:cs="Simplified Arabic"/>
          <w:sz w:val="28"/>
          <w:szCs w:val="28"/>
          <w:rtl/>
        </w:rPr>
        <w:t>هي منهجية شاملة تهدف إلى تحسين جودة الخدمات من خلال تحسين العمليات الداخلية والتأكد من أن كل جانب من جوانب العمل يسهم في تحقيق هذا الهدف. إلا أن تبني هذا المنهج يواجه تحديات كبيرة من حيث التنفيذ والاستمرارية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صعوبة تنفيذ نظام إدارة الجودة الشاملة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تنفيذ إدارة الجودة الشاملة يتطلب تغييرًا جذريًا في الثقافة التنظيمية وطريقة التفكير داخل المنظمة. بعض المؤسسات تجد صعوبة في تطبيق هذا النظام بسبب تعقيداته وعدم قدرتها على تغيير العمليات التقليدية التي تتبعها. دراسة للعساف (2021) أكدت أن العديد من المنظمات التي حاولت تطبيق</w:t>
      </w:r>
      <w:r>
        <w:rPr>
          <w:rFonts w:ascii="Simplified Arabic" w:eastAsia="Calibri" w:hAnsi="Simplified Arabic" w:cs="Simplified Arabic"/>
          <w:sz w:val="28"/>
          <w:szCs w:val="28"/>
          <w:lang w:bidi="ar-EG"/>
        </w:rPr>
        <w:t xml:space="preserve"> TQM </w:t>
      </w:r>
      <w:r>
        <w:rPr>
          <w:rFonts w:ascii="Simplified Arabic" w:eastAsia="Calibri" w:hAnsi="Simplified Arabic" w:cs="Simplified Arabic"/>
          <w:sz w:val="28"/>
          <w:szCs w:val="28"/>
          <w:rtl/>
        </w:rPr>
        <w:t>فشلت في تحقيق الأهداف المرجوة بسبب ضعف الالتزام الإداري ونقص التدريب المناسب للموظفين</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استراتيجيات التغلب على تحديات إدارة الجودة الشاملة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لتنفيذ نظام إدارة الجودة الشاملة بنجاح، يجب على المنظمات أولاً التأكد من وجود دعم كامل من الإدارة العليا، لأن تغيير الثقافة التنظيمية يبدأ من القيادة. كذلك، يمكن استخدام الأدوات التقنية مثل تحليل العمليات وتحليل الفجوات لتحديد المجالات التي تحتاج إلى تحسين وتطوير. إضافة إلى ذلك، توصي دراسة الفقيه (2020) بضرورة توفير التدريب المستمر للموظفين لضمان توافقهم مع المعايير الجديدة وضمان الاستمرارية في تحسين الجودة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خامسًا: التحديات المتعلقة بالتواصل الداخلي</w:t>
      </w:r>
    </w:p>
    <w:p w:rsidR="00706C10" w:rsidRDefault="00706C10" w:rsidP="00706C10">
      <w:pPr>
        <w:spacing w:after="160"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تواصل الفعّال داخل المنظمة يعتبر أمرًا أساسيًا لضمان تقديم خدمات عالية الجودة. إلا أن العديد من المنظمات تعاني من ضعف التواصل بين الأقسام المختلفة، وهو ما يؤدي إلى ضعف التنسيق في </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تقديم الخدمات</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تأثير ضعف التواصل الداخلي على جودة الخدمة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ضعف التواصل الداخلي يؤدي إلى تأخر تنفيذ الخدمات أو حدوث أخطاء في العمليات، وهو ما يؤثر بشكل مباشر على جودة الخدمة المقدمة. تشير دراسة الزهراني (2018) إلى أن غياب التواصل الواضح بين الإدارات المختلفة يؤدي إلى فقدان 30% من الوقت في تصحيح الأخطاء والتنسيق بين الفرق</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استراتيجيات تحسين التواصل الداخلي</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لتعزيز التواصل الداخلي، يمكن للمنظمات استخدام تقنيات الإدارة الإلكترونية والأنظمة التعاونية التي تسمح بتبادل المعلومات بشكل فوري بين الأقسام المختلفة. كما أن تنظيم الاجتماعات الدورية والورش التدريبية </w:t>
      </w:r>
      <w:r>
        <w:rPr>
          <w:rFonts w:ascii="Simplified Arabic" w:eastAsia="Calibri" w:hAnsi="Simplified Arabic" w:cs="Simplified Arabic"/>
          <w:sz w:val="28"/>
          <w:szCs w:val="28"/>
          <w:rtl/>
        </w:rPr>
        <w:lastRenderedPageBreak/>
        <w:t>يسهم في تحسين التعاون بين الفرق المختلفة. علاوة على ذلك، يشير العبيدي (2019) إلى أهمية تعزيز ثقافة الشفافية داخل المؤسسة، بحيث يتم تشجيع الموظفين على مشاركة المعلومات والمشاكل المحتملة بفعالية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سادسًا: التحديات المتعلقة بالابتكار والتطوير المستمر</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سوق متغير، الابتكار المستمر يعتبر ضروريًا لضمان تقديم خدمات عالية الجودة تواكب متطلبات العملاء وتوقعاتهم المتزايدة. إلا أن المنظمات قد تواجه صعوبة في الحفاظ على الابتكار الدائم بسبب ضغوط العمل والموارد المحدودة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 تأثير غياب الابتكار على جودة الخدمة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عندما تعتمد المؤسسات على نفس العمليات والخدمات لفترة طويلة دون محاولة تحسينها أو تطويرها، فإن ذلك يؤدي إلى تراجع جودة الخدمة وعدم مواكبة التغيرات في السوق واحتياجات العملاء. دراسة الشمري (2020) أوضحت أن 60% من العملاء يفضلون التعامل مع المؤسسات التي تقدم حلولًا مبتكرة تلبي احتياجاتهم الحالية والمستقبلية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ب. استراتيجيات تعزيز الابتكار والتطوير المستمر</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لتحقيق الابتكار المستمر، يمكن للمنظمات الاستثمار في البحث والتطوير والتعاون مع شركات التكنولوجيا لتبني الحلول المبتكرة. كما يمكن اعتماد تقنيات الذكاء الاصطناعي وتحليل البيانات لتحسين العمليات الداخلية واكتشاف فرص جديدة لتحسين الجودة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تحسين جودة الخدمات هو عملية مستمرة تواجهها المنظمات بمجموعة من التحديات التي تتطلب استراتيجيات مدروسة للتغلب عليها. من خلال تحسين التواصل الداخلي، تعزيز الابتكار، تبني استراتيجيات التدريب الفعّالة، </w:t>
      </w:r>
      <w:r>
        <w:rPr>
          <w:rFonts w:ascii="Simplified Arabic" w:eastAsia="Calibri" w:hAnsi="Simplified Arabic" w:cs="Simplified Arabic"/>
          <w:sz w:val="28"/>
          <w:szCs w:val="28"/>
          <w:rtl/>
        </w:rPr>
        <w:lastRenderedPageBreak/>
        <w:t>والقدرة على التكيف مع التقنيات الحديثة، يمكن للمنظمات التغلب على هذه التحديات وتحقيق مستويات عالية من جودة الخدمات</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60" w:name="_Toc181308912"/>
      <w:r>
        <w:rPr>
          <w:rFonts w:ascii="Simplified Arabic" w:eastAsia="Calibri" w:hAnsi="Simplified Arabic" w:cs="Simplified Arabic"/>
          <w:b/>
          <w:bCs/>
          <w:sz w:val="28"/>
          <w:szCs w:val="28"/>
          <w:rtl/>
        </w:rPr>
        <w:t>2.2.13 الارتباط بين جودة الخدمات والتنمية الاقتصادية</w:t>
      </w:r>
      <w:r>
        <w:rPr>
          <w:rFonts w:ascii="Simplified Arabic" w:eastAsia="Calibri" w:hAnsi="Simplified Arabic" w:cs="Simplified Arabic"/>
          <w:b/>
          <w:bCs/>
          <w:sz w:val="28"/>
          <w:szCs w:val="28"/>
          <w:lang w:bidi="ar-EG"/>
        </w:rPr>
        <w:t>:</w:t>
      </w:r>
      <w:bookmarkEnd w:id="60"/>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الارتباط بين جودة الخدمات والتنمية الاقتصادية يعد موضوعاً هاماً في الاقتصاد الحديث، حيث يلعب دوراً كبيراً في تحسين سمعة المؤسسات، وتسهيل العمليات الاقتصادية وتعزيز التنمية المستدامة. فيما يلي مناقشة مفصلة حول العلاقة بين جودة الخدمات والتنمية الاقتصادية وكيف يمكن لهذه الجودة أن تؤثر على مختلف القطاعات مثل الصحة، التعليم، والسياحة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أولاً: كيف تساهم جودة الخدمات في تعزيز التنمية الاقتصادية؟</w:t>
      </w:r>
    </w:p>
    <w:p w:rsidR="00706C10" w:rsidRDefault="00706C10" w:rsidP="00706C10">
      <w:pPr>
        <w:pStyle w:val="ListParagraph"/>
        <w:numPr>
          <w:ilvl w:val="0"/>
          <w:numId w:val="37"/>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تحسين الكفاءة الإنتاجية</w:t>
      </w:r>
    </w:p>
    <w:p w:rsidR="00706C10" w:rsidRDefault="00706C10" w:rsidP="00706C10">
      <w:pPr>
        <w:spacing w:after="160" w:line="360" w:lineRule="auto"/>
        <w:ind w:firstLine="72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جودة الخدمات تسهم بشكل مباشر في تحسين الكفاءة الإنتاجية في المؤسسات المختلفة. فعندما </w:t>
      </w:r>
    </w:p>
    <w:p w:rsidR="00706C10" w:rsidRDefault="00706C10" w:rsidP="00706C10">
      <w:pPr>
        <w:spacing w:after="160" w:line="360" w:lineRule="auto"/>
        <w:ind w:left="72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يتم تقديم خدمات عالية الجودة، فإن العمليات الداخلية تتحسن وتصبح أكثر سلاسة، مما يقلل من الهدر في الوقت والموارد ويزيد من إنتاجية المؤسسة. هذا التحسن في الكفاءة يزيد من قدرة المؤسسات على التنافس في السوق، ويؤدي إلى زيادة الإيرادات والنمو الاقتصادي</w:t>
      </w:r>
      <w:r>
        <w:rPr>
          <w:rFonts w:ascii="Simplified Arabic" w:eastAsia="Calibri" w:hAnsi="Simplified Arabic" w:cs="Simplified Arabic"/>
          <w:sz w:val="28"/>
          <w:szCs w:val="28"/>
          <w:lang w:bidi="ar-EG"/>
        </w:rPr>
        <w:t>.</w:t>
      </w:r>
    </w:p>
    <w:p w:rsidR="00706C10" w:rsidRDefault="00706C10" w:rsidP="00706C10">
      <w:pPr>
        <w:spacing w:after="160" w:line="360" w:lineRule="auto"/>
        <w:ind w:left="38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وفقًا لدراسة قامت بها منظمة التعاون الاقتصادي والتنمية</w:t>
      </w:r>
      <w:r>
        <w:rPr>
          <w:rFonts w:ascii="Simplified Arabic" w:eastAsia="Calibri" w:hAnsi="Simplified Arabic" w:cs="Simplified Arabic"/>
          <w:sz w:val="28"/>
          <w:szCs w:val="28"/>
          <w:lang w:bidi="ar-EG"/>
        </w:rPr>
        <w:t xml:space="preserve"> (OECD)</w:t>
      </w:r>
      <w:r>
        <w:rPr>
          <w:rFonts w:ascii="Simplified Arabic" w:eastAsia="Calibri" w:hAnsi="Simplified Arabic" w:cs="Simplified Arabic"/>
          <w:sz w:val="28"/>
          <w:szCs w:val="28"/>
          <w:rtl/>
        </w:rPr>
        <w:t>، فإن الاستثمار في تحسين جودة الخدمات يؤدي إلى زيادة في الكفاءة التشغيلية للمؤسسات ويحفز النمو الاقتصادي بشكل مباشر</w:t>
      </w:r>
      <w:r>
        <w:rPr>
          <w:rFonts w:ascii="Simplified Arabic" w:eastAsia="Calibri" w:hAnsi="Simplified Arabic" w:cs="Simplified Arabic"/>
          <w:sz w:val="28"/>
          <w:szCs w:val="28"/>
          <w:rtl/>
          <w:lang w:bidi="ar-EG"/>
        </w:rPr>
        <w:t>.</w:t>
      </w:r>
    </w:p>
    <w:p w:rsidR="00706C10" w:rsidRDefault="00706C10" w:rsidP="00706C10">
      <w:pPr>
        <w:pStyle w:val="ListParagraph"/>
        <w:numPr>
          <w:ilvl w:val="0"/>
          <w:numId w:val="37"/>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تعزيز رضا العملاء والولاء</w:t>
      </w:r>
    </w:p>
    <w:p w:rsidR="00706C10" w:rsidRDefault="00706C10" w:rsidP="00706C10">
      <w:pPr>
        <w:spacing w:after="160" w:line="360" w:lineRule="auto"/>
        <w:ind w:left="386" w:firstLine="334"/>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عندما تقدم المؤسسات خدمات عالية الجودة، فإن ذلك يعزز رضا العملاء. العملاء الراضون يكونون أكثر ولاءً للمؤسسة، مما يؤدي إلى زيادة العائدات المالية. هذا الولاء يُعتبر رأس مال معنوي يعزز من سمعة المؤسسة ويزيد من فرصها في التوسع. على سبيل المثال، المؤسسات التي تقدم خدمات عالية الجودة في القطاع المالي تتمكن من جذب مزيد من العملاء وتعزيز استثماراتهم، مما يؤدي في النهاية إلى تعزيز الاستقرار الاقتصادي</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38"/>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جذب الاستثمارات الخارجية</w:t>
      </w:r>
    </w:p>
    <w:p w:rsidR="00706C10" w:rsidRDefault="00706C10" w:rsidP="00706C10">
      <w:pPr>
        <w:spacing w:after="160" w:line="360" w:lineRule="auto"/>
        <w:ind w:left="386" w:firstLine="334"/>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وجود خدمات عالية الجودة يعتبر عاملاً جاذباً للمستثمرين الأجانب، حيث يبحث المستثمرون عن بيئة اقتصادية مستقرة تقدم خدمات تتسم بالكفاءة والموثوقية. وفقًا لدراسة نُشرت في "مجلة الاستثمار الدولي" فإن الدول التي تقدم خدمات عالية الجودة في القطاعات العامة والخاصة تكون أكثر جاذبية للمستثمرين الأجانب، وهذا يؤدي إلى زيادة الاستثمار الأجنبي المباشر</w:t>
      </w:r>
      <w:r>
        <w:rPr>
          <w:rFonts w:ascii="Simplified Arabic" w:eastAsia="Calibri" w:hAnsi="Simplified Arabic" w:cs="Simplified Arabic"/>
          <w:sz w:val="28"/>
          <w:szCs w:val="28"/>
          <w:lang w:bidi="ar-EG"/>
        </w:rPr>
        <w:t>.</w:t>
      </w:r>
    </w:p>
    <w:p w:rsidR="00706C10" w:rsidRDefault="00706C10" w:rsidP="00706C10">
      <w:pPr>
        <w:spacing w:after="160" w:line="360" w:lineRule="auto"/>
        <w:ind w:left="386" w:firstLine="334"/>
        <w:jc w:val="both"/>
        <w:rPr>
          <w:rFonts w:ascii="Simplified Arabic" w:eastAsia="Calibri" w:hAnsi="Simplified Arabic" w:cs="Simplified Arabic"/>
          <w:sz w:val="28"/>
          <w:szCs w:val="28"/>
          <w:rtl/>
          <w:lang w:bidi="ar-EG"/>
        </w:rPr>
      </w:pPr>
    </w:p>
    <w:p w:rsidR="00706C10" w:rsidRDefault="00706C10" w:rsidP="00706C10">
      <w:pPr>
        <w:spacing w:after="160" w:line="360" w:lineRule="auto"/>
        <w:ind w:left="386" w:firstLine="334"/>
        <w:jc w:val="both"/>
        <w:rPr>
          <w:rFonts w:ascii="Simplified Arabic" w:eastAsia="Calibri" w:hAnsi="Simplified Arabic" w:cs="Simplified Arabic"/>
          <w:sz w:val="28"/>
          <w:szCs w:val="28"/>
          <w:rtl/>
          <w:lang w:bidi="ar-EG"/>
        </w:rPr>
      </w:pPr>
    </w:p>
    <w:p w:rsidR="00706C10" w:rsidRDefault="00706C10" w:rsidP="00706C10">
      <w:pPr>
        <w:pStyle w:val="ListParagraph"/>
        <w:numPr>
          <w:ilvl w:val="0"/>
          <w:numId w:val="39"/>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تحسين سمعة المؤسسات والاقتصاد الوطني</w:t>
      </w:r>
    </w:p>
    <w:p w:rsidR="00706C10" w:rsidRDefault="00706C10" w:rsidP="00706C10">
      <w:pPr>
        <w:spacing w:after="160" w:line="360" w:lineRule="auto"/>
        <w:ind w:left="720" w:firstLine="38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تحسين جودة الخدمات لا يعزز سمعة المؤسسات فحسب، بل يعزز أيضًا سمعة الاقتصاد الوطني ككل. على سبيل المثال، الدول التي تشتهر بتقديم خدمات عالية الجودة في مجالات مثل التعليم أو الصحة تصبح وجهة مفضلة للسياحة التعليمية أو الطبية، مما يزيد من إيراداتها الوطنية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39"/>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خلق فرص عمل</w:t>
      </w:r>
    </w:p>
    <w:p w:rsidR="00706C10" w:rsidRDefault="00706C10" w:rsidP="00706C10">
      <w:pPr>
        <w:spacing w:after="160" w:line="360" w:lineRule="auto"/>
        <w:ind w:left="720" w:firstLine="386"/>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تحسين جودة الخدمات يؤدي أيضًا إلى خلق فرص عمل جديدة في مجالات متعددة مثل التكنولوجيا والتدريب وتطوير الموارد البشرية. على سبيل المثال، تطوير وتحسين الخدمات الحكومية يتطلب توظيف مزيد من الموظفين المتخصصين وتدريبهم، وهذا يسهم في تقليل معدلات البطالة وتحسين مستوى الدخل</w:t>
      </w:r>
      <w:r>
        <w:rPr>
          <w:rFonts w:ascii="Simplified Arabic" w:eastAsia="Calibri" w:hAnsi="Simplified Arabic" w:cs="Simplified Arabic"/>
          <w:sz w:val="28"/>
          <w:szCs w:val="28"/>
          <w:lang w:bidi="ar-EG"/>
        </w:rPr>
        <w:t>.</w:t>
      </w:r>
    </w:p>
    <w:p w:rsidR="00706C10" w:rsidRDefault="00706C10" w:rsidP="00706C10">
      <w:pPr>
        <w:spacing w:after="160" w:line="360" w:lineRule="auto"/>
        <w:ind w:left="720" w:firstLine="386"/>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ثانيًا: دور جودة الخدمات في القطاعات المختلفة</w:t>
      </w:r>
    </w:p>
    <w:p w:rsidR="00706C10" w:rsidRDefault="00706C10" w:rsidP="00706C10">
      <w:pPr>
        <w:pStyle w:val="ListParagraph"/>
        <w:numPr>
          <w:ilvl w:val="0"/>
          <w:numId w:val="40"/>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قطاع الصحة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جودة الخدمات الصحية تلعب دوراً حاسماً في التنمية الاقتصادية من خلال تحسين صحة الأفراد وزيادة الإنتاجية العامة للسكان. عندما تكون الخدمات الصحية على مستوى عالٍ من الجودة، يقلل ذلك من معدلات الأمراض ويزيد من متوسط العمر المتوقع، مما يؤدي إلى زيادة القوة العاملة وتحسين الإنتاجية الاقتصادية. وفقاً لدراسة منظمة الصحة العالمية</w:t>
      </w:r>
      <w:r>
        <w:rPr>
          <w:rFonts w:ascii="Simplified Arabic" w:eastAsia="Calibri" w:hAnsi="Simplified Arabic" w:cs="Simplified Arabic"/>
          <w:sz w:val="28"/>
          <w:szCs w:val="28"/>
          <w:lang w:bidi="ar-EG"/>
        </w:rPr>
        <w:t xml:space="preserve"> (WHO)</w:t>
      </w:r>
      <w:r>
        <w:rPr>
          <w:rFonts w:ascii="Simplified Arabic" w:eastAsia="Calibri" w:hAnsi="Simplified Arabic" w:cs="Simplified Arabic"/>
          <w:sz w:val="28"/>
          <w:szCs w:val="28"/>
          <w:rtl/>
        </w:rPr>
        <w:t>، فإن تقديم خدمات صحية عالية الجودة يسهم بشكل مباشر في التنمية المستدامة عبر تحسين صحة السكان وزيادة مشاركتهم الاقتصادية</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pStyle w:val="ListParagraph"/>
        <w:numPr>
          <w:ilvl w:val="0"/>
          <w:numId w:val="40"/>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قطاع التعليم</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 xml:space="preserve">جودة الخدمات التعليمية ترتبط بشكل مباشر بقدرة الدول على تحقيق تنمية اقتصادية مستدامة. التعليم ذو الجودة العالية يسهم في تطوير مهارات القوى العاملة وزيادة مستوى الابتكار في المجتمع. البلدان التي تستثمر في تحسين جودة التعليم تحقق معدلات نمو اقتصادي أعلى من تلك التي تهمل هذا الجانب. على </w:t>
      </w:r>
      <w:r>
        <w:rPr>
          <w:rFonts w:ascii="Simplified Arabic" w:eastAsia="Calibri" w:hAnsi="Simplified Arabic" w:cs="Simplified Arabic"/>
          <w:sz w:val="28"/>
          <w:szCs w:val="28"/>
          <w:rtl/>
        </w:rPr>
        <w:lastRenderedPageBreak/>
        <w:t>سبيل المثال، الدول التي تقدم خدمات تعليمية عالية الجودة تجذب الطلاب من الخارج، مما يعزز إيراداتها الاقتصادية ويزيد من تبادل الخبرات والابتكارات</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40"/>
        </w:numPr>
        <w:spacing w:after="160" w:line="36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b/>
          <w:bCs/>
          <w:sz w:val="28"/>
          <w:szCs w:val="28"/>
          <w:rtl/>
        </w:rPr>
        <w:t>قطاع السياحة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جودة الخدمات في قطاع السياحة تعد من العوامل الأساسية التي تؤثر على اختيار السياح للوجهات السياحية. الخدمات عالية الجودة في الفنادق والمطاعم ووسائل النقل تساهم في تحسين تجربة السياح، مما يزيد من عائدات السياحة ويساهم في التنمية الاقتصادية. وفقاً لتقرير منظمة السياحة العالمية</w:t>
      </w:r>
      <w:r>
        <w:rPr>
          <w:rFonts w:ascii="Simplified Arabic" w:eastAsia="Calibri" w:hAnsi="Simplified Arabic" w:cs="Simplified Arabic"/>
          <w:sz w:val="28"/>
          <w:szCs w:val="28"/>
          <w:lang w:bidi="ar-EG"/>
        </w:rPr>
        <w:t xml:space="preserve"> (UNWTO)</w:t>
      </w:r>
      <w:r>
        <w:rPr>
          <w:rFonts w:ascii="Simplified Arabic" w:eastAsia="Calibri" w:hAnsi="Simplified Arabic" w:cs="Simplified Arabic"/>
          <w:sz w:val="28"/>
          <w:szCs w:val="28"/>
          <w:rtl/>
        </w:rPr>
        <w:t>، فإن الدول التي تستثمر في تحسين جودة الخدمات السياحية تحقق زيادة في عدد السياح بنسبة تصل إلى 20% سنوياً، وهذا يعزز الإيرادات الوطنية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40"/>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قطاع الخدمات المالية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جودة الخدمات المالية تعتبر عاملاً حاسماً في تحقيق الاستقرار الاقتصادي وتعزيز الثقة في النظام المالي. تقديم خدمات مالية تتسم بالكفاءة والشفافية يساعد في جذب الاستثمارات وزيادة النشاط الاقتصادي. على سبيل المثال، الدول التي تقدم خدمات مالية موثوقة تسهم في جذب رؤوس الأموال الأجنبية وتعزيز نمو الشركات الصغيرة والمتوسطة</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pStyle w:val="ListParagraph"/>
        <w:numPr>
          <w:ilvl w:val="0"/>
          <w:numId w:val="40"/>
        </w:num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قطاع النقل</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جودة خدمات النقل تلعب دورًا كبيرًا في دعم التنمية الاقتصادية. خدمات النقل الفعالة تساعد في تسهيل الحركة التجارية ونقل البضائع والخدمات بين المدن والدول، مما يعزز التجارة الدولية والنمو الاقتصادي. الدول التي تستثمر في تحسين جودة خدمات النقل تجد نفسها في وضع أفضل لتحقيق نمو اقتصادي متسارع</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الخاتمة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ويمكن القول إن جودة الخدمات تلعب دورًا محوريًا في تعزيز التنمية الاقتصادية على مستوى الدول والقطاعات المختلفة. تحسين جودة الخدمات يؤدي إلى تحسين الكفاءة والإنتاجية، تعزيز رضا العملاء، وجذب الاستثمارات، وخلق فرص عمل جديدة. كما أن الدور المهم لجودة الخدمات في القطاعات الحيوية مثل الصحة، التعليم، السياحة، والخدمات المالية يجعلها عاملاً أساسياً في تحقيق التنمية المستدامة والنمو الاقتصادي. لضمان تحقيق هذه الفوائد، ينبغي على الحكومات والمؤسسات تبني استراتيجيات واضحة لتحسين جودة الخدمات، مع التركيز على تطوير المهارات التكنولوجية وتوفير بيئة عمل مناسبة للابتكار والتطور</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61" w:name="_Toc181308913"/>
      <w:r>
        <w:rPr>
          <w:rFonts w:ascii="Simplified Arabic" w:eastAsia="Calibri" w:hAnsi="Simplified Arabic" w:cs="Simplified Arabic"/>
          <w:b/>
          <w:bCs/>
          <w:sz w:val="28"/>
          <w:szCs w:val="28"/>
          <w:rtl/>
        </w:rPr>
        <w:t>أحدث الاتجاهات في تحسين جودة الخدمات</w:t>
      </w:r>
      <w:r>
        <w:rPr>
          <w:rFonts w:ascii="Simplified Arabic" w:eastAsia="Calibri" w:hAnsi="Simplified Arabic" w:cs="Simplified Arabic"/>
          <w:b/>
          <w:bCs/>
          <w:sz w:val="28"/>
          <w:szCs w:val="28"/>
          <w:lang w:bidi="ar-EG"/>
        </w:rPr>
        <w:t>:</w:t>
      </w:r>
      <w:bookmarkEnd w:id="61"/>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الاتجاهات الحديثة في تحسين جودة الخدمات تعد من المواضيع التي تحظى باهتمام متزايد في مختلف المجالات، خاصة مع التطور التكنولوجي السريع والاعتماد المتزايد على الأتمتة والتحول الرقمي. في هذا السياق، تبرز العديد من الاتجاهات الحديثة التي تسهم في رفع كفاءة وجودة الخدمات المقدمة، سواء في القطاعين العام أو الخاص. سنستعرض هنا بعضًا من هذه الاتجاهات الرئيسية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استخدام التكنولوجيا الذكية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التكنولوجيا الذكية تمثل أحد أهم الابتكارات التي أحدثت نقلة نوعية في تقديم الخدمات. من أبرز مميزات هذه التكنولوجيا هي قدرتها على تقديم خدمات مخصصة تتناسب مع احتياجات العملاء بشكل فردي، وذلك من خلال تحليل البيانات الضخمة</w:t>
      </w:r>
      <w:r>
        <w:rPr>
          <w:rFonts w:ascii="Simplified Arabic" w:eastAsia="Calibri" w:hAnsi="Simplified Arabic" w:cs="Simplified Arabic"/>
          <w:sz w:val="28"/>
          <w:szCs w:val="28"/>
          <w:lang w:bidi="ar-EG"/>
        </w:rPr>
        <w:t xml:space="preserve"> (Big Data) </w:t>
      </w:r>
      <w:r>
        <w:rPr>
          <w:rFonts w:ascii="Simplified Arabic" w:eastAsia="Calibri" w:hAnsi="Simplified Arabic" w:cs="Simplified Arabic"/>
          <w:sz w:val="28"/>
          <w:szCs w:val="28"/>
          <w:rtl/>
        </w:rPr>
        <w:t>وتطبيقات الذكاء الاصطناعي</w:t>
      </w:r>
      <w:r>
        <w:rPr>
          <w:rFonts w:ascii="Simplified Arabic" w:eastAsia="Calibri" w:hAnsi="Simplified Arabic" w:cs="Simplified Arabic"/>
          <w:sz w:val="28"/>
          <w:szCs w:val="28"/>
          <w:lang w:bidi="ar-EG"/>
        </w:rPr>
        <w:t xml:space="preserve"> (AI).</w:t>
      </w:r>
    </w:p>
    <w:p w:rsidR="00706C10" w:rsidRDefault="00706C10" w:rsidP="00706C10">
      <w:pPr>
        <w:pStyle w:val="ListParagraph"/>
        <w:numPr>
          <w:ilvl w:val="0"/>
          <w:numId w:val="41"/>
        </w:numPr>
        <w:spacing w:after="160" w:line="360" w:lineRule="auto"/>
        <w:ind w:left="386"/>
        <w:jc w:val="both"/>
        <w:outlineLvl w:val="0"/>
        <w:rPr>
          <w:rFonts w:ascii="Simplified Arabic" w:eastAsia="Calibri" w:hAnsi="Simplified Arabic" w:cs="Simplified Arabic"/>
          <w:b/>
          <w:bCs/>
          <w:sz w:val="28"/>
          <w:szCs w:val="28"/>
          <w:lang w:bidi="ar-EG"/>
        </w:rPr>
      </w:pPr>
      <w:bookmarkStart w:id="62" w:name="_Toc181308914"/>
      <w:r>
        <w:rPr>
          <w:rFonts w:ascii="Simplified Arabic" w:eastAsia="Calibri" w:hAnsi="Simplified Arabic" w:cs="Simplified Arabic"/>
          <w:b/>
          <w:bCs/>
          <w:sz w:val="28"/>
          <w:szCs w:val="28"/>
          <w:rtl/>
        </w:rPr>
        <w:t>الذكاء الاصطناعي وتخصيص الخدمات</w:t>
      </w:r>
      <w:bookmarkEnd w:id="62"/>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يتيح الذكاء الاصطناعي تحليل سلوك المستخدمين وتوقع احتياجاتهم بشكل دقيق. على سبيل المثال، تقدم شركات مثل أمازون</w:t>
      </w:r>
      <w:r>
        <w:rPr>
          <w:rFonts w:ascii="Simplified Arabic" w:eastAsia="Calibri" w:hAnsi="Simplified Arabic" w:cs="Simplified Arabic"/>
          <w:sz w:val="28"/>
          <w:szCs w:val="28"/>
          <w:lang w:bidi="ar-EG"/>
        </w:rPr>
        <w:t xml:space="preserve"> (Amazon) </w:t>
      </w:r>
      <w:r>
        <w:rPr>
          <w:rFonts w:ascii="Simplified Arabic" w:eastAsia="Calibri" w:hAnsi="Simplified Arabic" w:cs="Simplified Arabic"/>
          <w:sz w:val="28"/>
          <w:szCs w:val="28"/>
          <w:rtl/>
        </w:rPr>
        <w:t>وخدمات بث الفيديو مثل نتفليكس</w:t>
      </w:r>
      <w:r>
        <w:rPr>
          <w:rFonts w:ascii="Simplified Arabic" w:eastAsia="Calibri" w:hAnsi="Simplified Arabic" w:cs="Simplified Arabic"/>
          <w:sz w:val="28"/>
          <w:szCs w:val="28"/>
          <w:lang w:bidi="ar-EG"/>
        </w:rPr>
        <w:t xml:space="preserve"> (Netflix) </w:t>
      </w:r>
      <w:r>
        <w:rPr>
          <w:rFonts w:ascii="Simplified Arabic" w:eastAsia="Calibri" w:hAnsi="Simplified Arabic" w:cs="Simplified Arabic"/>
          <w:sz w:val="28"/>
          <w:szCs w:val="28"/>
          <w:rtl/>
        </w:rPr>
        <w:t>توصيات مخصصة للمستخدمين بناءً على تحليل اهتماماتهم وتاريخ مشاهداتهم. هذه التوصيات تساهم في تحسين تجربة المستخدم وزيادة الرضا، وبالتالي رفع جودة الخدمات المقدمة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وفقًا لدراسة نشرت في مجلة "التكنولوجيا والتجارة" (2020)، أوضحت أن استخدام الذكاء الاصطناعي في تخصيص الخدمات يزيد من معدل الاحتفاظ بالعملاء بنسبة تصل إلى 15% ويزيد من نسبة الرضا العام عن الخدمة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تقنيات إنترنت الأشياء</w:t>
      </w:r>
      <w:r>
        <w:rPr>
          <w:rFonts w:ascii="Simplified Arabic" w:eastAsia="Calibri" w:hAnsi="Simplified Arabic" w:cs="Simplified Arabic"/>
          <w:b/>
          <w:bCs/>
          <w:sz w:val="28"/>
          <w:szCs w:val="28"/>
          <w:lang w:bidi="ar-EG"/>
        </w:rPr>
        <w:t xml:space="preserve"> (IoT) </w:t>
      </w:r>
      <w:r>
        <w:rPr>
          <w:rFonts w:ascii="Simplified Arabic" w:eastAsia="Calibri" w:hAnsi="Simplified Arabic" w:cs="Simplified Arabic"/>
          <w:b/>
          <w:bCs/>
          <w:sz w:val="28"/>
          <w:szCs w:val="28"/>
          <w:rtl/>
        </w:rPr>
        <w:t>وتحسين الخدمات اللوجستية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يعتبر إنترنت الأشياء</w:t>
      </w:r>
      <w:r>
        <w:rPr>
          <w:rFonts w:ascii="Simplified Arabic" w:eastAsia="Calibri" w:hAnsi="Simplified Arabic" w:cs="Simplified Arabic"/>
          <w:sz w:val="28"/>
          <w:szCs w:val="28"/>
          <w:lang w:bidi="ar-EG"/>
        </w:rPr>
        <w:t xml:space="preserve"> (IoT) </w:t>
      </w:r>
      <w:r>
        <w:rPr>
          <w:rFonts w:ascii="Simplified Arabic" w:eastAsia="Calibri" w:hAnsi="Simplified Arabic" w:cs="Simplified Arabic"/>
          <w:sz w:val="28"/>
          <w:szCs w:val="28"/>
          <w:rtl/>
        </w:rPr>
        <w:t>من التقنيات الناشئة التي تساهم في تحسين الخدمات، خاصة في مجالات مثل الخدمات اللوجستية والنقل. من خلال توصيل الأجهزة والأنظمة بعضها ببعض، يمكن للشركات تحسين تدفق المعلومات وتقليل التكاليف وزيادة الفعالية. على سبيل المثال، تستخدم شركات التوصيل الكبرى مثل</w:t>
      </w:r>
      <w:r>
        <w:rPr>
          <w:rFonts w:ascii="Simplified Arabic" w:eastAsia="Calibri" w:hAnsi="Simplified Arabic" w:cs="Simplified Arabic"/>
          <w:sz w:val="28"/>
          <w:szCs w:val="28"/>
          <w:lang w:bidi="ar-EG"/>
        </w:rPr>
        <w:t xml:space="preserve"> UPS </w:t>
      </w:r>
      <w:r>
        <w:rPr>
          <w:rFonts w:ascii="Simplified Arabic" w:eastAsia="Calibri" w:hAnsi="Simplified Arabic" w:cs="Simplified Arabic"/>
          <w:sz w:val="28"/>
          <w:szCs w:val="28"/>
          <w:rtl/>
        </w:rPr>
        <w:t>و</w:t>
      </w:r>
      <w:r>
        <w:rPr>
          <w:rFonts w:ascii="Simplified Arabic" w:eastAsia="Calibri" w:hAnsi="Simplified Arabic" w:cs="Simplified Arabic"/>
          <w:sz w:val="28"/>
          <w:szCs w:val="28"/>
          <w:lang w:bidi="ar-EG"/>
        </w:rPr>
        <w:t xml:space="preserve">DHL </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rPr>
        <w:t>تقنيات</w:t>
      </w:r>
      <w:r>
        <w:rPr>
          <w:rFonts w:ascii="Simplified Arabic" w:eastAsia="Calibri" w:hAnsi="Simplified Arabic" w:cs="Simplified Arabic"/>
          <w:sz w:val="28"/>
          <w:szCs w:val="28"/>
          <w:lang w:bidi="ar-EG"/>
        </w:rPr>
        <w:t xml:space="preserve"> IoT </w:t>
      </w:r>
      <w:r>
        <w:rPr>
          <w:rFonts w:ascii="Simplified Arabic" w:eastAsia="Calibri" w:hAnsi="Simplified Arabic" w:cs="Simplified Arabic"/>
          <w:sz w:val="28"/>
          <w:szCs w:val="28"/>
          <w:rtl/>
        </w:rPr>
        <w:t>لمراقبة حركة الشحنات وتحسين عملية التسليم، مما يؤدي إلى تحسين جودة الخدمة المقدمة للعملاء</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41"/>
        </w:numPr>
        <w:spacing w:after="160" w:line="360" w:lineRule="auto"/>
        <w:ind w:left="38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lang w:bidi="ar-EG"/>
        </w:rPr>
        <w:lastRenderedPageBreak/>
        <w:t xml:space="preserve"> </w:t>
      </w: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الأتمتة</w:t>
      </w:r>
      <w:r>
        <w:rPr>
          <w:rFonts w:ascii="Simplified Arabic" w:eastAsia="Calibri" w:hAnsi="Simplified Arabic" w:cs="Simplified Arabic"/>
          <w:b/>
          <w:bCs/>
          <w:sz w:val="28"/>
          <w:szCs w:val="28"/>
          <w:lang w:bidi="ar-EG"/>
        </w:rPr>
        <w:t xml:space="preserve"> (Automation)</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الأتمتة أو التشغيل الآلي أصبحت أحد أهم الاتجاهات في تحسين جودة الخدمات. تعتمد الأتمتة على تطبيق تقنيات تكنولوجية لتنفيذ مهام متكررة بشكل أسرع وأكثر دقة من العنصر البشري، مما يتيح للشركات والمؤسسات تقديم خدماتها بسرعة أكبر وكفاءة أعلى</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63" w:name="_Toc181308915"/>
      <w:r>
        <w:rPr>
          <w:rFonts w:ascii="Simplified Arabic" w:eastAsia="Calibri" w:hAnsi="Simplified Arabic" w:cs="Simplified Arabic"/>
          <w:b/>
          <w:bCs/>
          <w:sz w:val="28"/>
          <w:szCs w:val="28"/>
          <w:rtl/>
        </w:rPr>
        <w:t>الأتمتة في القطاع المالي</w:t>
      </w:r>
      <w:bookmarkEnd w:id="63"/>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القطاع المالي، تعد الأتمتة من الأدوات الرئيسية لتحسين جودة الخدمات المصرفية. البنوك تعتمد على الأنظمة المؤتمتة لتقديم خدمات مثل تحويل الأموال، معالجة القروض، وإدارة الحسابات البلدية والإسكانية. هذه الأتمتة تساهم في تقليل الأخطاء البشرية وتحسين سرعة الخدمة، مما يزيد من رضا العملاء. وفقًا لدراسة أجرتها "المجلة العالمية للخدمات المالية" (2019)، فإن استخدام الأنظمة المؤتمتة في العمليات المصرفية قلل من وقت معالجة الطلبات بنسبة 40</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أتمتة خدمة العملاء</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تُعد أتمتة خدمة العملاء، مثل استخدام روبوتات الدردشة</w:t>
      </w:r>
      <w:r>
        <w:rPr>
          <w:rFonts w:ascii="Simplified Arabic" w:eastAsia="Calibri" w:hAnsi="Simplified Arabic" w:cs="Simplified Arabic"/>
          <w:sz w:val="28"/>
          <w:szCs w:val="28"/>
          <w:lang w:bidi="ar-EG"/>
        </w:rPr>
        <w:t xml:space="preserve"> (Chatbots)</w:t>
      </w:r>
      <w:r>
        <w:rPr>
          <w:rFonts w:ascii="Simplified Arabic" w:eastAsia="Calibri" w:hAnsi="Simplified Arabic" w:cs="Simplified Arabic"/>
          <w:sz w:val="28"/>
          <w:szCs w:val="28"/>
          <w:rtl/>
        </w:rPr>
        <w:t>، من الوسائل التي تُسهم في تقديم خدمة سريعة وفعالة للعملاء. تتيح هذه الروبوتات القدرة على الرد على الاستفسارات المتكررة وحل المشكلات البسيطة في الوقت الفعلي، مما يوفر وقتاً ثميناً للعملاء ويعزز من تجربة المستخدم</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41"/>
        </w:numPr>
        <w:spacing w:after="160" w:line="360" w:lineRule="auto"/>
        <w:ind w:left="38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التحول الرقمي</w:t>
      </w:r>
      <w:r>
        <w:rPr>
          <w:rFonts w:ascii="Simplified Arabic" w:eastAsia="Calibri" w:hAnsi="Simplified Arabic" w:cs="Simplified Arabic"/>
          <w:b/>
          <w:bCs/>
          <w:sz w:val="28"/>
          <w:szCs w:val="28"/>
          <w:lang w:bidi="ar-EG"/>
        </w:rPr>
        <w:t xml:space="preserve"> (Digital Transformation)</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التحول الرقمي يشمل تكامل التقنيات الرقمية في جميع جوانب الأعمال والخدمات لتحسين الكفاءة وتقديم قيمة مضافة للعملاء. يتيح التحول الرقمي استخدام منصات رقمية، تطبيقات ذكية، وحلول برمجية متكاملة، مما يجعل العمليات أسرع وأكثر تفاعلية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منصات الحكومة الإلكترونية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الحكومات حول العالم تتبنى التحول الرقمي بشكل كبير لتحسين جودة الخدمات المقدمة للمواطنين. من خلال إنشاء منصات الحكومة الإلكترونية، يمكن للمواطنين الوصول إلى الخدمات الحكومية بسهولة عبر الإنترنت، دون الحاجة إلى زيارة المكاتب الحكومية. على سبيل المثال، في الإمارات العربية المتحدة، تم إطلاق منصة "تم" الرقمية التي توفر مجموعة واسعة من الخدمات الحكومية مثل تجديد رخص القيادة أو دفع الفواتير</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وفقًا لدراسة أجرتها "مؤسسة الشرق الأوسط للأبحاث التقنية" (2021)، فإن التحول الرقمي في تقديم الخدمات الحكومية أدى إلى تقليل التكاليف التشغيلية بنسبة 30% وزيادة رضا المواطنين بنسبة 25</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التحول الرقمي في الرعاية الصحية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قطاع الرعاية الصحية، يتيح التحول الرقمي تحسين جودة الخدمات من خلال تقديم خدمات صحية عبر الإنترنت</w:t>
      </w:r>
      <w:r>
        <w:rPr>
          <w:rFonts w:ascii="Simplified Arabic" w:eastAsia="Calibri" w:hAnsi="Simplified Arabic" w:cs="Simplified Arabic"/>
          <w:sz w:val="28"/>
          <w:szCs w:val="28"/>
          <w:lang w:bidi="ar-EG"/>
        </w:rPr>
        <w:t xml:space="preserve"> (telemedicine) </w:t>
      </w:r>
      <w:r>
        <w:rPr>
          <w:rFonts w:ascii="Simplified Arabic" w:eastAsia="Calibri" w:hAnsi="Simplified Arabic" w:cs="Simplified Arabic"/>
          <w:sz w:val="28"/>
          <w:szCs w:val="28"/>
          <w:rtl/>
        </w:rPr>
        <w:t>واستخدام السجلات الصحية الإلكترونية</w:t>
      </w:r>
      <w:r>
        <w:rPr>
          <w:rFonts w:ascii="Simplified Arabic" w:eastAsia="Calibri" w:hAnsi="Simplified Arabic" w:cs="Simplified Arabic"/>
          <w:sz w:val="28"/>
          <w:szCs w:val="28"/>
          <w:lang w:bidi="ar-EG"/>
        </w:rPr>
        <w:t xml:space="preserve"> (EHRs). </w:t>
      </w:r>
      <w:r>
        <w:rPr>
          <w:rFonts w:ascii="Simplified Arabic" w:eastAsia="Calibri" w:hAnsi="Simplified Arabic" w:cs="Simplified Arabic"/>
          <w:sz w:val="28"/>
          <w:szCs w:val="28"/>
          <w:rtl/>
        </w:rPr>
        <w:t>هذه التقنيات تتيح للأطباء الوصول إلى تاريخ المرضى بشكل أسرع وتقديم تشخيصات دقيقة، مما يحسن من جودة الرعاية الصحية ويقلل من الأخطاء الطبية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41"/>
        </w:numPr>
        <w:spacing w:after="160" w:line="360" w:lineRule="auto"/>
        <w:ind w:left="38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التعلم الآلي وتحليل البيانات الضخمة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التعلم الآلي</w:t>
      </w:r>
      <w:r>
        <w:rPr>
          <w:rFonts w:ascii="Simplified Arabic" w:eastAsia="Calibri" w:hAnsi="Simplified Arabic" w:cs="Simplified Arabic"/>
          <w:sz w:val="28"/>
          <w:szCs w:val="28"/>
          <w:lang w:bidi="ar-EG"/>
        </w:rPr>
        <w:t xml:space="preserve"> (Machine Learning) </w:t>
      </w:r>
      <w:r>
        <w:rPr>
          <w:rFonts w:ascii="Simplified Arabic" w:eastAsia="Calibri" w:hAnsi="Simplified Arabic" w:cs="Simplified Arabic"/>
          <w:sz w:val="28"/>
          <w:szCs w:val="28"/>
          <w:rtl/>
        </w:rPr>
        <w:t>وتحليل البيانات الضخمة أصبحا من الأدوات الأساسية لتحسين جودة الخدمات في مختلف القطاعات. هذه التقنيات تتيح للشركات تحليل كميات هائلة من البيانات لاتخاذ قرارات مستنيرة</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التعلم الآلي في التجارة الإلكترونية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التجارة الإلكترونية، يتيح التعلم الآلي تحسين تجربة التسوق من خلال تحليل سلوك العملاء وتقديم توصيات مخصصة. على سبيل المثال، يمكن استخدام الخوارزميات لتحليل بيانات الشراء السابقة وتقديم توصيات للمنتجات التي قد تهم العميل. هذا النوع من الخدمة يعزز تجربة العملاء ويزيد من فرص المبيعات المتكررة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outlineLvl w:val="0"/>
        <w:rPr>
          <w:rFonts w:ascii="Simplified Arabic" w:eastAsia="Calibri" w:hAnsi="Simplified Arabic" w:cs="Simplified Arabic"/>
          <w:b/>
          <w:bCs/>
          <w:sz w:val="28"/>
          <w:szCs w:val="28"/>
          <w:lang w:bidi="ar-EG"/>
        </w:rPr>
      </w:pPr>
      <w:bookmarkStart w:id="64" w:name="_Toc181308916"/>
      <w:r>
        <w:rPr>
          <w:rFonts w:ascii="Simplified Arabic" w:eastAsia="Calibri" w:hAnsi="Simplified Arabic" w:cs="Simplified Arabic"/>
          <w:b/>
          <w:bCs/>
          <w:sz w:val="28"/>
          <w:szCs w:val="28"/>
          <w:rtl/>
        </w:rPr>
        <w:t>تحليل البيانات الضخمة في الخدمات المالية</w:t>
      </w:r>
      <w:bookmarkEnd w:id="64"/>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القطاع المالي، يتم استخدام تحليل البيانات الضخمة للكشف عن الاحتيالات وتقديم خدمات مخصصة للعملاء. من خلال تحليل البيانات، يمكن للبنوك وشركات التأمين تقديم خدمات مخصصة بناءً على تاريخ العميل وسلوكه المالي، مما يزيد من جودة الخدمة المقدمة</w:t>
      </w:r>
      <w:r>
        <w:rPr>
          <w:rFonts w:ascii="Simplified Arabic" w:eastAsia="Calibri" w:hAnsi="Simplified Arabic" w:cs="Simplified Arabic"/>
          <w:sz w:val="28"/>
          <w:szCs w:val="28"/>
          <w:lang w:bidi="ar-EG"/>
        </w:rPr>
        <w:t>.</w:t>
      </w:r>
    </w:p>
    <w:p w:rsidR="00706C10" w:rsidRDefault="00706C10" w:rsidP="00706C10">
      <w:pPr>
        <w:pStyle w:val="ListParagraph"/>
        <w:numPr>
          <w:ilvl w:val="0"/>
          <w:numId w:val="41"/>
        </w:numPr>
        <w:spacing w:after="160" w:line="360" w:lineRule="auto"/>
        <w:ind w:left="386"/>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b/>
          <w:bCs/>
          <w:sz w:val="28"/>
          <w:szCs w:val="28"/>
          <w:rtl/>
        </w:rPr>
        <w:t>التطبيقات الذكية والتفاعل الرقمي مع العملاء</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أصبحت التطبيقات الذكية إحدى الأدوات المهمة لتحسين جودة الخدمات من خلال توفير واجهة سهلة الاستخدام للعملاء. تتيح التطبيقات الوصول السريع إلى الخدمات وتقديم تجربة مستخدم سلسة</w:t>
      </w:r>
      <w:r>
        <w:rPr>
          <w:rFonts w:ascii="Simplified Arabic" w:eastAsia="Calibri" w:hAnsi="Simplified Arabic" w:cs="Simplified Arabic"/>
          <w:sz w:val="28"/>
          <w:szCs w:val="28"/>
          <w:lang w:bidi="ar-EG"/>
        </w:rPr>
        <w:t>.</w:t>
      </w: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التطبيقات الذكية في الخدمات المصرفية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lastRenderedPageBreak/>
        <w:t>تُعد التطبيقات المصرفية الذكية من الابتكارات التي تساهم في تحسين جودة الخدمات المصرفية من خلال تقديم خدمات مخصصة وسريعة للعملاء. تتيح هذه التطبيقات إجراء التحويلات البلدية والإسكانية، دفع الفواتير، وإدارة الحسابات بشكل مباشر من الهاتف الذكي، مما يجعل تجربة المستخدم أسهل وأسرع</w:t>
      </w:r>
      <w:r>
        <w:rPr>
          <w:rFonts w:ascii="Simplified Arabic" w:eastAsia="Calibri" w:hAnsi="Simplified Arabic" w:cs="Simplified Arabic"/>
          <w:sz w:val="28"/>
          <w:szCs w:val="28"/>
          <w:lang w:bidi="ar-EG"/>
        </w:rPr>
        <w:t>.</w:t>
      </w: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ind w:firstLine="720"/>
        <w:jc w:val="both"/>
        <w:rPr>
          <w:rFonts w:ascii="Simplified Arabic" w:eastAsia="Calibri" w:hAnsi="Simplified Arabic" w:cs="Simplified Arabic"/>
          <w:sz w:val="28"/>
          <w:szCs w:val="28"/>
          <w:rtl/>
          <w:lang w:bidi="ar-EG"/>
        </w:rPr>
      </w:pPr>
    </w:p>
    <w:p w:rsidR="00706C10" w:rsidRDefault="00706C10" w:rsidP="00706C10">
      <w:pPr>
        <w:spacing w:after="160" w:line="360" w:lineRule="auto"/>
        <w:jc w:val="both"/>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rtl/>
        </w:rPr>
        <w:t>التطبيقات الذكية في قطاع السياحة</w:t>
      </w:r>
    </w:p>
    <w:p w:rsidR="00706C10" w:rsidRDefault="00706C10" w:rsidP="00706C10">
      <w:pPr>
        <w:spacing w:after="160" w:line="360" w:lineRule="auto"/>
        <w:ind w:firstLine="720"/>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rPr>
        <w:t>في قطاع السياحة، تساهم التطبيقات الذكية في تحسين جودة الخدمات من خلال تقديم معلومات محدثة للسياح، مثل خرائط المواقع السياحية، حجوزات الفنادق، والمواصلات. تطبيقات مثل</w:t>
      </w:r>
      <w:r>
        <w:rPr>
          <w:rFonts w:ascii="Simplified Arabic" w:eastAsia="Calibri" w:hAnsi="Simplified Arabic" w:cs="Simplified Arabic"/>
          <w:sz w:val="28"/>
          <w:szCs w:val="28"/>
          <w:lang w:bidi="ar-EG"/>
        </w:rPr>
        <w:t xml:space="preserve"> "Airbnb" </w:t>
      </w:r>
      <w:r>
        <w:rPr>
          <w:rFonts w:ascii="Simplified Arabic" w:eastAsia="Calibri" w:hAnsi="Simplified Arabic" w:cs="Simplified Arabic"/>
          <w:sz w:val="28"/>
          <w:szCs w:val="28"/>
          <w:rtl/>
        </w:rPr>
        <w:t>و</w:t>
      </w:r>
      <w:r>
        <w:rPr>
          <w:rFonts w:ascii="Simplified Arabic" w:eastAsia="Calibri" w:hAnsi="Simplified Arabic" w:cs="Simplified Arabic"/>
          <w:sz w:val="28"/>
          <w:szCs w:val="28"/>
          <w:lang w:bidi="ar-EG"/>
        </w:rPr>
        <w:t xml:space="preserve">"TripAdvisor" </w:t>
      </w:r>
      <w:r>
        <w:rPr>
          <w:rFonts w:ascii="Simplified Arabic" w:eastAsia="Calibri" w:hAnsi="Simplified Arabic" w:cs="Simplified Arabic"/>
          <w:sz w:val="28"/>
          <w:szCs w:val="28"/>
          <w:rtl/>
        </w:rPr>
        <w:t>تعتمد على التحليل الفوري لبيانات المستخدمين لتقديم توصيات مخصصة وتحسين تجربة السياحة</w:t>
      </w:r>
      <w:r>
        <w:rPr>
          <w:rFonts w:ascii="Simplified Arabic" w:eastAsia="Calibri" w:hAnsi="Simplified Arabic" w:cs="Simplified Arabic"/>
          <w:sz w:val="28"/>
          <w:szCs w:val="28"/>
          <w:lang w:bidi="ar-EG"/>
        </w:rPr>
        <w:t>.</w:t>
      </w:r>
    </w:p>
    <w:p w:rsidR="00F34F72" w:rsidRPr="00706C10" w:rsidRDefault="00F34F72"/>
    <w:sectPr w:rsidR="00F34F72" w:rsidRPr="00706C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T Bold Heading">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B1759"/>
    <w:multiLevelType w:val="multilevel"/>
    <w:tmpl w:val="D56AF6CC"/>
    <w:lvl w:ilvl="0">
      <w:start w:val="1"/>
      <w:numFmt w:val="decimal"/>
      <w:lvlText w:val="%1"/>
      <w:lvlJc w:val="left"/>
      <w:pPr>
        <w:ind w:left="552" w:hanging="552"/>
      </w:pPr>
    </w:lvl>
    <w:lvl w:ilvl="1">
      <w:start w:val="10"/>
      <w:numFmt w:val="decimal"/>
      <w:lvlText w:val="%1.%2"/>
      <w:lvlJc w:val="left"/>
      <w:pPr>
        <w:ind w:left="1138" w:hanging="720"/>
      </w:pPr>
    </w:lvl>
    <w:lvl w:ilvl="2">
      <w:start w:val="1"/>
      <w:numFmt w:val="decimal"/>
      <w:lvlText w:val="%1.%2.%3"/>
      <w:lvlJc w:val="left"/>
      <w:pPr>
        <w:ind w:left="1556" w:hanging="720"/>
      </w:pPr>
    </w:lvl>
    <w:lvl w:ilvl="3">
      <w:start w:val="1"/>
      <w:numFmt w:val="decimal"/>
      <w:lvlText w:val="%1.%2.%3.%4"/>
      <w:lvlJc w:val="left"/>
      <w:pPr>
        <w:ind w:left="2334" w:hanging="1080"/>
      </w:pPr>
    </w:lvl>
    <w:lvl w:ilvl="4">
      <w:start w:val="1"/>
      <w:numFmt w:val="decimal"/>
      <w:lvlText w:val="%1.%2.%3.%4.%5"/>
      <w:lvlJc w:val="left"/>
      <w:pPr>
        <w:ind w:left="2752" w:hanging="1080"/>
      </w:pPr>
    </w:lvl>
    <w:lvl w:ilvl="5">
      <w:start w:val="1"/>
      <w:numFmt w:val="decimal"/>
      <w:lvlText w:val="%1.%2.%3.%4.%5.%6"/>
      <w:lvlJc w:val="left"/>
      <w:pPr>
        <w:ind w:left="3530" w:hanging="1440"/>
      </w:pPr>
    </w:lvl>
    <w:lvl w:ilvl="6">
      <w:start w:val="1"/>
      <w:numFmt w:val="decimal"/>
      <w:lvlText w:val="%1.%2.%3.%4.%5.%6.%7"/>
      <w:lvlJc w:val="left"/>
      <w:pPr>
        <w:ind w:left="4308" w:hanging="1800"/>
      </w:pPr>
    </w:lvl>
    <w:lvl w:ilvl="7">
      <w:start w:val="1"/>
      <w:numFmt w:val="decimal"/>
      <w:lvlText w:val="%1.%2.%3.%4.%5.%6.%7.%8"/>
      <w:lvlJc w:val="left"/>
      <w:pPr>
        <w:ind w:left="4726" w:hanging="1800"/>
      </w:pPr>
    </w:lvl>
    <w:lvl w:ilvl="8">
      <w:start w:val="1"/>
      <w:numFmt w:val="decimal"/>
      <w:lvlText w:val="%1.%2.%3.%4.%5.%6.%7.%8.%9"/>
      <w:lvlJc w:val="left"/>
      <w:pPr>
        <w:ind w:left="5504" w:hanging="2160"/>
      </w:pPr>
    </w:lvl>
  </w:abstractNum>
  <w:abstractNum w:abstractNumId="1" w15:restartNumberingAfterBreak="0">
    <w:nsid w:val="11A9224F"/>
    <w:multiLevelType w:val="multilevel"/>
    <w:tmpl w:val="CDCA4666"/>
    <w:lvl w:ilvl="0">
      <w:start w:val="2"/>
      <w:numFmt w:val="decimal"/>
      <w:lvlText w:val="%1"/>
      <w:lvlJc w:val="left"/>
      <w:pPr>
        <w:ind w:left="792" w:hanging="792"/>
      </w:pPr>
    </w:lvl>
    <w:lvl w:ilvl="1">
      <w:start w:val="1"/>
      <w:numFmt w:val="decimal"/>
      <w:lvlText w:val="%1.%2"/>
      <w:lvlJc w:val="left"/>
      <w:pPr>
        <w:ind w:left="792" w:hanging="792"/>
      </w:pPr>
    </w:lvl>
    <w:lvl w:ilvl="2">
      <w:start w:val="12"/>
      <w:numFmt w:val="decimal"/>
      <w:lvlText w:val="%1.%2.%3"/>
      <w:lvlJc w:val="left"/>
      <w:pPr>
        <w:ind w:left="792" w:hanging="792"/>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 w15:restartNumberingAfterBreak="0">
    <w:nsid w:val="140E02A6"/>
    <w:multiLevelType w:val="hybridMultilevel"/>
    <w:tmpl w:val="B91A99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52D22FC"/>
    <w:multiLevelType w:val="hybridMultilevel"/>
    <w:tmpl w:val="93081D84"/>
    <w:lvl w:ilvl="0" w:tplc="06B83980">
      <w:start w:val="1"/>
      <w:numFmt w:val="bullet"/>
      <w:lvlText w:val=""/>
      <w:lvlJc w:val="left"/>
      <w:pPr>
        <w:ind w:left="1636" w:hanging="360"/>
      </w:pPr>
      <w:rPr>
        <w:rFonts w:ascii="Symbol" w:hAnsi="Symbol" w:hint="default"/>
      </w:rPr>
    </w:lvl>
    <w:lvl w:ilvl="1" w:tplc="04090003">
      <w:start w:val="1"/>
      <w:numFmt w:val="bullet"/>
      <w:lvlText w:val="o"/>
      <w:lvlJc w:val="left"/>
      <w:pPr>
        <w:ind w:left="2356" w:hanging="360"/>
      </w:pPr>
      <w:rPr>
        <w:rFonts w:ascii="Courier New" w:hAnsi="Courier New" w:cs="Courier New" w:hint="default"/>
      </w:rPr>
    </w:lvl>
    <w:lvl w:ilvl="2" w:tplc="04090005">
      <w:start w:val="1"/>
      <w:numFmt w:val="bullet"/>
      <w:lvlText w:val=""/>
      <w:lvlJc w:val="left"/>
      <w:pPr>
        <w:ind w:left="3076" w:hanging="360"/>
      </w:pPr>
      <w:rPr>
        <w:rFonts w:ascii="Wingdings" w:hAnsi="Wingdings" w:hint="default"/>
      </w:rPr>
    </w:lvl>
    <w:lvl w:ilvl="3" w:tplc="04090001">
      <w:start w:val="1"/>
      <w:numFmt w:val="bullet"/>
      <w:lvlText w:val=""/>
      <w:lvlJc w:val="left"/>
      <w:pPr>
        <w:ind w:left="3796" w:hanging="360"/>
      </w:pPr>
      <w:rPr>
        <w:rFonts w:ascii="Symbol" w:hAnsi="Symbol" w:hint="default"/>
      </w:rPr>
    </w:lvl>
    <w:lvl w:ilvl="4" w:tplc="04090003">
      <w:start w:val="1"/>
      <w:numFmt w:val="bullet"/>
      <w:lvlText w:val="o"/>
      <w:lvlJc w:val="left"/>
      <w:pPr>
        <w:ind w:left="4516" w:hanging="360"/>
      </w:pPr>
      <w:rPr>
        <w:rFonts w:ascii="Courier New" w:hAnsi="Courier New" w:cs="Courier New" w:hint="default"/>
      </w:rPr>
    </w:lvl>
    <w:lvl w:ilvl="5" w:tplc="04090005">
      <w:start w:val="1"/>
      <w:numFmt w:val="bullet"/>
      <w:lvlText w:val=""/>
      <w:lvlJc w:val="left"/>
      <w:pPr>
        <w:ind w:left="5236" w:hanging="360"/>
      </w:pPr>
      <w:rPr>
        <w:rFonts w:ascii="Wingdings" w:hAnsi="Wingdings" w:hint="default"/>
      </w:rPr>
    </w:lvl>
    <w:lvl w:ilvl="6" w:tplc="04090001">
      <w:start w:val="1"/>
      <w:numFmt w:val="bullet"/>
      <w:lvlText w:val=""/>
      <w:lvlJc w:val="left"/>
      <w:pPr>
        <w:ind w:left="5956" w:hanging="360"/>
      </w:pPr>
      <w:rPr>
        <w:rFonts w:ascii="Symbol" w:hAnsi="Symbol" w:hint="default"/>
      </w:rPr>
    </w:lvl>
    <w:lvl w:ilvl="7" w:tplc="04090003">
      <w:start w:val="1"/>
      <w:numFmt w:val="bullet"/>
      <w:lvlText w:val="o"/>
      <w:lvlJc w:val="left"/>
      <w:pPr>
        <w:ind w:left="6676" w:hanging="360"/>
      </w:pPr>
      <w:rPr>
        <w:rFonts w:ascii="Courier New" w:hAnsi="Courier New" w:cs="Courier New" w:hint="default"/>
      </w:rPr>
    </w:lvl>
    <w:lvl w:ilvl="8" w:tplc="04090005">
      <w:start w:val="1"/>
      <w:numFmt w:val="bullet"/>
      <w:lvlText w:val=""/>
      <w:lvlJc w:val="left"/>
      <w:pPr>
        <w:ind w:left="7396" w:hanging="360"/>
      </w:pPr>
      <w:rPr>
        <w:rFonts w:ascii="Wingdings" w:hAnsi="Wingdings" w:hint="default"/>
      </w:rPr>
    </w:lvl>
  </w:abstractNum>
  <w:abstractNum w:abstractNumId="5" w15:restartNumberingAfterBreak="0">
    <w:nsid w:val="187450E3"/>
    <w:multiLevelType w:val="multilevel"/>
    <w:tmpl w:val="A63CF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757FC1"/>
    <w:multiLevelType w:val="multilevel"/>
    <w:tmpl w:val="DB70F1B8"/>
    <w:lvl w:ilvl="0">
      <w:start w:val="2"/>
      <w:numFmt w:val="decimal"/>
      <w:lvlText w:val="%1"/>
      <w:lvlJc w:val="left"/>
      <w:pPr>
        <w:ind w:left="1032" w:hanging="1032"/>
      </w:pPr>
    </w:lvl>
    <w:lvl w:ilvl="1">
      <w:start w:val="2"/>
      <w:numFmt w:val="decimal"/>
      <w:lvlText w:val="%1.%2"/>
      <w:lvlJc w:val="left"/>
      <w:pPr>
        <w:ind w:left="1160" w:hanging="1032"/>
      </w:pPr>
    </w:lvl>
    <w:lvl w:ilvl="2">
      <w:start w:val="11"/>
      <w:numFmt w:val="decimal"/>
      <w:lvlText w:val="%1.%2.%3"/>
      <w:lvlJc w:val="left"/>
      <w:pPr>
        <w:ind w:left="1288" w:hanging="1032"/>
      </w:pPr>
    </w:lvl>
    <w:lvl w:ilvl="3">
      <w:start w:val="2"/>
      <w:numFmt w:val="decimal"/>
      <w:lvlText w:val="%1.%2.%3.%4"/>
      <w:lvlJc w:val="left"/>
      <w:pPr>
        <w:ind w:left="1464" w:hanging="1080"/>
      </w:pPr>
    </w:lvl>
    <w:lvl w:ilvl="4">
      <w:start w:val="1"/>
      <w:numFmt w:val="decimal"/>
      <w:lvlText w:val="%1.%2.%3.%4.%5"/>
      <w:lvlJc w:val="left"/>
      <w:pPr>
        <w:ind w:left="1592" w:hanging="1080"/>
      </w:pPr>
    </w:lvl>
    <w:lvl w:ilvl="5">
      <w:start w:val="1"/>
      <w:numFmt w:val="decimal"/>
      <w:lvlText w:val="%1.%2.%3.%4.%5.%6"/>
      <w:lvlJc w:val="left"/>
      <w:pPr>
        <w:ind w:left="2080" w:hanging="1440"/>
      </w:pPr>
    </w:lvl>
    <w:lvl w:ilvl="6">
      <w:start w:val="1"/>
      <w:numFmt w:val="decimal"/>
      <w:lvlText w:val="%1.%2.%3.%4.%5.%6.%7"/>
      <w:lvlJc w:val="left"/>
      <w:pPr>
        <w:ind w:left="2568" w:hanging="1800"/>
      </w:pPr>
    </w:lvl>
    <w:lvl w:ilvl="7">
      <w:start w:val="1"/>
      <w:numFmt w:val="decimal"/>
      <w:lvlText w:val="%1.%2.%3.%4.%5.%6.%7.%8"/>
      <w:lvlJc w:val="left"/>
      <w:pPr>
        <w:ind w:left="2696" w:hanging="1800"/>
      </w:pPr>
    </w:lvl>
    <w:lvl w:ilvl="8">
      <w:start w:val="1"/>
      <w:numFmt w:val="decimal"/>
      <w:lvlText w:val="%1.%2.%3.%4.%5.%6.%7.%8.%9"/>
      <w:lvlJc w:val="left"/>
      <w:pPr>
        <w:ind w:left="3184" w:hanging="2160"/>
      </w:pPr>
    </w:lvl>
  </w:abstractNum>
  <w:abstractNum w:abstractNumId="7" w15:restartNumberingAfterBreak="0">
    <w:nsid w:val="224023B5"/>
    <w:multiLevelType w:val="hybridMultilevel"/>
    <w:tmpl w:val="4508C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B1A4A34"/>
    <w:multiLevelType w:val="multilevel"/>
    <w:tmpl w:val="C9F2F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B91C8D"/>
    <w:multiLevelType w:val="multilevel"/>
    <w:tmpl w:val="03009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C4B85"/>
    <w:multiLevelType w:val="hybridMultilevel"/>
    <w:tmpl w:val="18A4CC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457274D"/>
    <w:multiLevelType w:val="multilevel"/>
    <w:tmpl w:val="F9B6489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8"/>
      <w:numFmt w:val="arabicAlpha"/>
      <w:lvlText w:val="%3-"/>
      <w:lvlJc w:val="left"/>
      <w:pPr>
        <w:ind w:left="2160" w:hanging="360"/>
      </w:pPr>
      <w:rPr>
        <w:b/>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C6D5F09"/>
    <w:multiLevelType w:val="multilevel"/>
    <w:tmpl w:val="2EDC08F4"/>
    <w:lvl w:ilvl="0">
      <w:start w:val="2"/>
      <w:numFmt w:val="decimal"/>
      <w:lvlText w:val="%1"/>
      <w:lvlJc w:val="left"/>
      <w:pPr>
        <w:ind w:left="1044" w:hanging="1044"/>
      </w:pPr>
    </w:lvl>
    <w:lvl w:ilvl="1">
      <w:start w:val="1"/>
      <w:numFmt w:val="decimal"/>
      <w:lvlText w:val="%1.%2"/>
      <w:lvlJc w:val="left"/>
      <w:pPr>
        <w:ind w:left="1172" w:hanging="1044"/>
      </w:pPr>
    </w:lvl>
    <w:lvl w:ilvl="2">
      <w:start w:val="5"/>
      <w:numFmt w:val="decimal"/>
      <w:lvlText w:val="%1.%2.%3"/>
      <w:lvlJc w:val="left"/>
      <w:pPr>
        <w:ind w:left="1300" w:hanging="1044"/>
      </w:pPr>
    </w:lvl>
    <w:lvl w:ilvl="3">
      <w:start w:val="1"/>
      <w:numFmt w:val="decimal"/>
      <w:lvlText w:val="%1.%2.%3.%4"/>
      <w:lvlJc w:val="left"/>
      <w:pPr>
        <w:ind w:left="1464" w:hanging="1080"/>
      </w:pPr>
    </w:lvl>
    <w:lvl w:ilvl="4">
      <w:start w:val="1"/>
      <w:numFmt w:val="decimal"/>
      <w:lvlText w:val="%1.%2.%3.%4.%5"/>
      <w:lvlJc w:val="left"/>
      <w:pPr>
        <w:ind w:left="1952" w:hanging="1440"/>
      </w:pPr>
    </w:lvl>
    <w:lvl w:ilvl="5">
      <w:start w:val="1"/>
      <w:numFmt w:val="decimal"/>
      <w:lvlText w:val="%1.%2.%3.%4.%5.%6"/>
      <w:lvlJc w:val="left"/>
      <w:pPr>
        <w:ind w:left="2440" w:hanging="1800"/>
      </w:pPr>
    </w:lvl>
    <w:lvl w:ilvl="6">
      <w:start w:val="1"/>
      <w:numFmt w:val="decimal"/>
      <w:lvlText w:val="%1.%2.%3.%4.%5.%6.%7"/>
      <w:lvlJc w:val="left"/>
      <w:pPr>
        <w:ind w:left="2568" w:hanging="1800"/>
      </w:pPr>
    </w:lvl>
    <w:lvl w:ilvl="7">
      <w:start w:val="1"/>
      <w:numFmt w:val="decimal"/>
      <w:lvlText w:val="%1.%2.%3.%4.%5.%6.%7.%8"/>
      <w:lvlJc w:val="left"/>
      <w:pPr>
        <w:ind w:left="3056" w:hanging="2160"/>
      </w:pPr>
    </w:lvl>
    <w:lvl w:ilvl="8">
      <w:start w:val="1"/>
      <w:numFmt w:val="decimal"/>
      <w:lvlText w:val="%1.%2.%3.%4.%5.%6.%7.%8.%9"/>
      <w:lvlJc w:val="left"/>
      <w:pPr>
        <w:ind w:left="3544" w:hanging="2520"/>
      </w:pPr>
    </w:lvl>
  </w:abstractNum>
  <w:abstractNum w:abstractNumId="13" w15:restartNumberingAfterBreak="0">
    <w:nsid w:val="42D8110D"/>
    <w:multiLevelType w:val="hybridMultilevel"/>
    <w:tmpl w:val="5EEE2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3415E73"/>
    <w:multiLevelType w:val="hybridMultilevel"/>
    <w:tmpl w:val="FED6E512"/>
    <w:lvl w:ilvl="0" w:tplc="04090001">
      <w:start w:val="1"/>
      <w:numFmt w:val="bullet"/>
      <w:lvlText w:val=""/>
      <w:lvlJc w:val="left"/>
      <w:pPr>
        <w:ind w:left="1347" w:hanging="360"/>
      </w:pPr>
      <w:rPr>
        <w:rFonts w:ascii="Symbol" w:hAnsi="Symbol" w:hint="default"/>
      </w:rPr>
    </w:lvl>
    <w:lvl w:ilvl="1" w:tplc="04090003">
      <w:start w:val="1"/>
      <w:numFmt w:val="bullet"/>
      <w:lvlText w:val="o"/>
      <w:lvlJc w:val="left"/>
      <w:pPr>
        <w:ind w:left="2067" w:hanging="360"/>
      </w:pPr>
      <w:rPr>
        <w:rFonts w:ascii="Courier New" w:hAnsi="Courier New" w:cs="Courier New" w:hint="default"/>
      </w:rPr>
    </w:lvl>
    <w:lvl w:ilvl="2" w:tplc="04090005">
      <w:start w:val="1"/>
      <w:numFmt w:val="bullet"/>
      <w:lvlText w:val=""/>
      <w:lvlJc w:val="left"/>
      <w:pPr>
        <w:ind w:left="2787" w:hanging="360"/>
      </w:pPr>
      <w:rPr>
        <w:rFonts w:ascii="Wingdings" w:hAnsi="Wingdings" w:hint="default"/>
      </w:rPr>
    </w:lvl>
    <w:lvl w:ilvl="3" w:tplc="04090001">
      <w:start w:val="1"/>
      <w:numFmt w:val="bullet"/>
      <w:lvlText w:val=""/>
      <w:lvlJc w:val="left"/>
      <w:pPr>
        <w:ind w:left="3507" w:hanging="360"/>
      </w:pPr>
      <w:rPr>
        <w:rFonts w:ascii="Symbol" w:hAnsi="Symbol" w:hint="default"/>
      </w:rPr>
    </w:lvl>
    <w:lvl w:ilvl="4" w:tplc="04090003">
      <w:start w:val="1"/>
      <w:numFmt w:val="bullet"/>
      <w:lvlText w:val="o"/>
      <w:lvlJc w:val="left"/>
      <w:pPr>
        <w:ind w:left="4227" w:hanging="360"/>
      </w:pPr>
      <w:rPr>
        <w:rFonts w:ascii="Courier New" w:hAnsi="Courier New" w:cs="Courier New" w:hint="default"/>
      </w:rPr>
    </w:lvl>
    <w:lvl w:ilvl="5" w:tplc="04090005">
      <w:start w:val="1"/>
      <w:numFmt w:val="bullet"/>
      <w:lvlText w:val=""/>
      <w:lvlJc w:val="left"/>
      <w:pPr>
        <w:ind w:left="4947" w:hanging="360"/>
      </w:pPr>
      <w:rPr>
        <w:rFonts w:ascii="Wingdings" w:hAnsi="Wingdings" w:hint="default"/>
      </w:rPr>
    </w:lvl>
    <w:lvl w:ilvl="6" w:tplc="04090001">
      <w:start w:val="1"/>
      <w:numFmt w:val="bullet"/>
      <w:lvlText w:val=""/>
      <w:lvlJc w:val="left"/>
      <w:pPr>
        <w:ind w:left="5667" w:hanging="360"/>
      </w:pPr>
      <w:rPr>
        <w:rFonts w:ascii="Symbol" w:hAnsi="Symbol" w:hint="default"/>
      </w:rPr>
    </w:lvl>
    <w:lvl w:ilvl="7" w:tplc="04090003">
      <w:start w:val="1"/>
      <w:numFmt w:val="bullet"/>
      <w:lvlText w:val="o"/>
      <w:lvlJc w:val="left"/>
      <w:pPr>
        <w:ind w:left="6387" w:hanging="360"/>
      </w:pPr>
      <w:rPr>
        <w:rFonts w:ascii="Courier New" w:hAnsi="Courier New" w:cs="Courier New" w:hint="default"/>
      </w:rPr>
    </w:lvl>
    <w:lvl w:ilvl="8" w:tplc="04090005">
      <w:start w:val="1"/>
      <w:numFmt w:val="bullet"/>
      <w:lvlText w:val=""/>
      <w:lvlJc w:val="left"/>
      <w:pPr>
        <w:ind w:left="7107" w:hanging="360"/>
      </w:pPr>
      <w:rPr>
        <w:rFonts w:ascii="Wingdings" w:hAnsi="Wingdings" w:hint="default"/>
      </w:rPr>
    </w:lvl>
  </w:abstractNum>
  <w:abstractNum w:abstractNumId="15" w15:restartNumberingAfterBreak="0">
    <w:nsid w:val="4D057D82"/>
    <w:multiLevelType w:val="hybridMultilevel"/>
    <w:tmpl w:val="60923D9A"/>
    <w:lvl w:ilvl="0" w:tplc="FC4216FE">
      <w:start w:val="1"/>
      <w:numFmt w:val="arabicAlpha"/>
      <w:lvlText w:val="%1-"/>
      <w:lvlJc w:val="left"/>
      <w:pPr>
        <w:ind w:left="746" w:hanging="360"/>
      </w:pPr>
    </w:lvl>
    <w:lvl w:ilvl="1" w:tplc="04090019">
      <w:start w:val="1"/>
      <w:numFmt w:val="lowerLetter"/>
      <w:lvlText w:val="%2."/>
      <w:lvlJc w:val="left"/>
      <w:pPr>
        <w:ind w:left="1466" w:hanging="360"/>
      </w:pPr>
    </w:lvl>
    <w:lvl w:ilvl="2" w:tplc="0409001B">
      <w:start w:val="1"/>
      <w:numFmt w:val="lowerRoman"/>
      <w:lvlText w:val="%3."/>
      <w:lvlJc w:val="right"/>
      <w:pPr>
        <w:ind w:left="2186" w:hanging="180"/>
      </w:pPr>
    </w:lvl>
    <w:lvl w:ilvl="3" w:tplc="0409000F">
      <w:start w:val="1"/>
      <w:numFmt w:val="decimal"/>
      <w:lvlText w:val="%4."/>
      <w:lvlJc w:val="left"/>
      <w:pPr>
        <w:ind w:left="2906" w:hanging="360"/>
      </w:pPr>
    </w:lvl>
    <w:lvl w:ilvl="4" w:tplc="04090019">
      <w:start w:val="1"/>
      <w:numFmt w:val="lowerLetter"/>
      <w:lvlText w:val="%5."/>
      <w:lvlJc w:val="left"/>
      <w:pPr>
        <w:ind w:left="3626" w:hanging="360"/>
      </w:pPr>
    </w:lvl>
    <w:lvl w:ilvl="5" w:tplc="0409001B">
      <w:start w:val="1"/>
      <w:numFmt w:val="lowerRoman"/>
      <w:lvlText w:val="%6."/>
      <w:lvlJc w:val="right"/>
      <w:pPr>
        <w:ind w:left="4346" w:hanging="180"/>
      </w:pPr>
    </w:lvl>
    <w:lvl w:ilvl="6" w:tplc="0409000F">
      <w:start w:val="1"/>
      <w:numFmt w:val="decimal"/>
      <w:lvlText w:val="%7."/>
      <w:lvlJc w:val="left"/>
      <w:pPr>
        <w:ind w:left="5066" w:hanging="360"/>
      </w:pPr>
    </w:lvl>
    <w:lvl w:ilvl="7" w:tplc="04090019">
      <w:start w:val="1"/>
      <w:numFmt w:val="lowerLetter"/>
      <w:lvlText w:val="%8."/>
      <w:lvlJc w:val="left"/>
      <w:pPr>
        <w:ind w:left="5786" w:hanging="360"/>
      </w:pPr>
    </w:lvl>
    <w:lvl w:ilvl="8" w:tplc="0409001B">
      <w:start w:val="1"/>
      <w:numFmt w:val="lowerRoman"/>
      <w:lvlText w:val="%9."/>
      <w:lvlJc w:val="right"/>
      <w:pPr>
        <w:ind w:left="6506" w:hanging="180"/>
      </w:pPr>
    </w:lvl>
  </w:abstractNum>
  <w:abstractNum w:abstractNumId="16" w15:restartNumberingAfterBreak="0">
    <w:nsid w:val="4F954D33"/>
    <w:multiLevelType w:val="hybridMultilevel"/>
    <w:tmpl w:val="336E8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13B0C8A"/>
    <w:multiLevelType w:val="multilevel"/>
    <w:tmpl w:val="92A0A8A0"/>
    <w:lvl w:ilvl="0">
      <w:start w:val="1"/>
      <w:numFmt w:val="decimal"/>
      <w:lvlText w:val="%1."/>
      <w:lvlJc w:val="left"/>
      <w:pPr>
        <w:tabs>
          <w:tab w:val="num" w:pos="720"/>
        </w:tabs>
        <w:ind w:left="720" w:hanging="360"/>
      </w:pPr>
    </w:lvl>
    <w:lvl w:ilvl="1">
      <w:start w:val="1"/>
      <w:numFmt w:val="decimal"/>
      <w:lvlText w:val="%2."/>
      <w:lvlJc w:val="left"/>
      <w:pPr>
        <w:ind w:left="450" w:hanging="360"/>
      </w:pPr>
    </w:lvl>
    <w:lvl w:ilvl="2">
      <w:start w:val="26"/>
      <w:numFmt w:val="arabicAlpha"/>
      <w:lvlText w:val="%3-"/>
      <w:lvlJc w:val="left"/>
      <w:pPr>
        <w:ind w:left="2160" w:hanging="360"/>
      </w:pPr>
      <w:rPr>
        <w:b/>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2BD6576"/>
    <w:multiLevelType w:val="hybridMultilevel"/>
    <w:tmpl w:val="4CC0B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34B30F5"/>
    <w:multiLevelType w:val="multilevel"/>
    <w:tmpl w:val="D772DC3E"/>
    <w:lvl w:ilvl="0">
      <w:start w:val="2"/>
      <w:numFmt w:val="decimal"/>
      <w:lvlText w:val="%1"/>
      <w:lvlJc w:val="left"/>
      <w:pPr>
        <w:ind w:left="876" w:hanging="876"/>
      </w:pPr>
    </w:lvl>
    <w:lvl w:ilvl="1">
      <w:start w:val="1"/>
      <w:numFmt w:val="decimal"/>
      <w:lvlText w:val="%1.%2"/>
      <w:lvlJc w:val="left"/>
      <w:pPr>
        <w:ind w:left="876" w:hanging="876"/>
      </w:pPr>
    </w:lvl>
    <w:lvl w:ilvl="2">
      <w:start w:val="9"/>
      <w:numFmt w:val="decimal"/>
      <w:lvlText w:val="%1.%2.%3"/>
      <w:lvlJc w:val="left"/>
      <w:pPr>
        <w:ind w:left="876" w:hanging="876"/>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57006472"/>
    <w:multiLevelType w:val="multilevel"/>
    <w:tmpl w:val="30C445AE"/>
    <w:lvl w:ilvl="0">
      <w:start w:val="1"/>
      <w:numFmt w:val="bullet"/>
      <w:lvlText w:val=""/>
      <w:lvlJc w:val="left"/>
      <w:pPr>
        <w:tabs>
          <w:tab w:val="num" w:pos="720"/>
        </w:tabs>
        <w:ind w:left="720" w:hanging="360"/>
      </w:pPr>
      <w:rPr>
        <w:rFonts w:ascii="Symbol" w:hAnsi="Symbol" w:hint="default"/>
        <w:sz w:val="20"/>
      </w:rPr>
    </w:lvl>
    <w:lvl w:ilvl="1">
      <w:start w:val="2"/>
      <w:numFmt w:val="arabicAlpha"/>
      <w:lvlText w:val="%2-"/>
      <w:lvlJc w:val="left"/>
      <w:pPr>
        <w:ind w:left="1440" w:hanging="360"/>
      </w:pPr>
    </w:lvl>
    <w:lvl w:ilvl="2">
      <w:start w:val="1"/>
      <w:numFmt w:val="arabicAlpha"/>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AD36BF"/>
    <w:multiLevelType w:val="multilevel"/>
    <w:tmpl w:val="FF66A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A223B"/>
    <w:multiLevelType w:val="hybridMultilevel"/>
    <w:tmpl w:val="3460B3E4"/>
    <w:lvl w:ilvl="0" w:tplc="0409000F">
      <w:start w:val="1"/>
      <w:numFmt w:val="decimal"/>
      <w:lvlText w:val="%1."/>
      <w:lvlJc w:val="left"/>
      <w:pPr>
        <w:ind w:left="720" w:hanging="360"/>
      </w:pPr>
    </w:lvl>
    <w:lvl w:ilvl="1" w:tplc="C24EC4D4">
      <w:numFmt w:val="bullet"/>
      <w:lvlText w:val=""/>
      <w:lvlJc w:val="left"/>
      <w:pPr>
        <w:ind w:left="1440" w:hanging="360"/>
      </w:pPr>
      <w:rPr>
        <w:rFonts w:ascii="Sakkal Majalla" w:eastAsiaTheme="minorHAnsi" w:hAnsi="Sakkal Majalla" w:cs="Sakkal Majalla"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A1233D5"/>
    <w:multiLevelType w:val="hybridMultilevel"/>
    <w:tmpl w:val="A8CE5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CA5622C"/>
    <w:multiLevelType w:val="multilevel"/>
    <w:tmpl w:val="DA00E092"/>
    <w:lvl w:ilvl="0">
      <w:start w:val="1"/>
      <w:numFmt w:val="decimal"/>
      <w:lvlText w:val="%1"/>
      <w:lvlJc w:val="left"/>
      <w:pPr>
        <w:ind w:left="552" w:hanging="552"/>
      </w:pPr>
    </w:lvl>
    <w:lvl w:ilvl="1">
      <w:start w:val="11"/>
      <w:numFmt w:val="decimal"/>
      <w:lvlText w:val="%1.%2"/>
      <w:lvlJc w:val="left"/>
      <w:pPr>
        <w:ind w:left="1138" w:hanging="720"/>
      </w:pPr>
    </w:lvl>
    <w:lvl w:ilvl="2">
      <w:start w:val="1"/>
      <w:numFmt w:val="decimal"/>
      <w:lvlText w:val="%1.%2.%3"/>
      <w:lvlJc w:val="left"/>
      <w:pPr>
        <w:ind w:left="1556" w:hanging="720"/>
      </w:pPr>
    </w:lvl>
    <w:lvl w:ilvl="3">
      <w:start w:val="1"/>
      <w:numFmt w:val="decimal"/>
      <w:lvlText w:val="%1.%2.%3.%4"/>
      <w:lvlJc w:val="left"/>
      <w:pPr>
        <w:ind w:left="2334" w:hanging="1080"/>
      </w:pPr>
    </w:lvl>
    <w:lvl w:ilvl="4">
      <w:start w:val="1"/>
      <w:numFmt w:val="decimal"/>
      <w:lvlText w:val="%1.%2.%3.%4.%5"/>
      <w:lvlJc w:val="left"/>
      <w:pPr>
        <w:ind w:left="2752" w:hanging="1080"/>
      </w:pPr>
    </w:lvl>
    <w:lvl w:ilvl="5">
      <w:start w:val="1"/>
      <w:numFmt w:val="decimal"/>
      <w:lvlText w:val="%1.%2.%3.%4.%5.%6"/>
      <w:lvlJc w:val="left"/>
      <w:pPr>
        <w:ind w:left="3530" w:hanging="1440"/>
      </w:pPr>
    </w:lvl>
    <w:lvl w:ilvl="6">
      <w:start w:val="1"/>
      <w:numFmt w:val="decimal"/>
      <w:lvlText w:val="%1.%2.%3.%4.%5.%6.%7"/>
      <w:lvlJc w:val="left"/>
      <w:pPr>
        <w:ind w:left="4308" w:hanging="1800"/>
      </w:pPr>
    </w:lvl>
    <w:lvl w:ilvl="7">
      <w:start w:val="1"/>
      <w:numFmt w:val="decimal"/>
      <w:lvlText w:val="%1.%2.%3.%4.%5.%6.%7.%8"/>
      <w:lvlJc w:val="left"/>
      <w:pPr>
        <w:ind w:left="4726" w:hanging="1800"/>
      </w:pPr>
    </w:lvl>
    <w:lvl w:ilvl="8">
      <w:start w:val="1"/>
      <w:numFmt w:val="decimal"/>
      <w:lvlText w:val="%1.%2.%3.%4.%5.%6.%7.%8.%9"/>
      <w:lvlJc w:val="left"/>
      <w:pPr>
        <w:ind w:left="5504" w:hanging="2160"/>
      </w:pPr>
    </w:lvl>
  </w:abstractNum>
  <w:abstractNum w:abstractNumId="25" w15:restartNumberingAfterBreak="0">
    <w:nsid w:val="5CFC02E1"/>
    <w:multiLevelType w:val="multilevel"/>
    <w:tmpl w:val="31609116"/>
    <w:lvl w:ilvl="0">
      <w:start w:val="1"/>
      <w:numFmt w:val="decimal"/>
      <w:lvlText w:val="%1"/>
      <w:lvlJc w:val="left"/>
      <w:pPr>
        <w:ind w:left="552" w:hanging="552"/>
      </w:pPr>
    </w:lvl>
    <w:lvl w:ilvl="1">
      <w:start w:val="12"/>
      <w:numFmt w:val="decimal"/>
      <w:lvlText w:val="%1.%2"/>
      <w:lvlJc w:val="left"/>
      <w:pPr>
        <w:ind w:left="1138" w:hanging="720"/>
      </w:pPr>
    </w:lvl>
    <w:lvl w:ilvl="2">
      <w:start w:val="1"/>
      <w:numFmt w:val="decimal"/>
      <w:lvlText w:val="%1.%2.%3"/>
      <w:lvlJc w:val="left"/>
      <w:pPr>
        <w:ind w:left="1556" w:hanging="720"/>
      </w:pPr>
    </w:lvl>
    <w:lvl w:ilvl="3">
      <w:start w:val="1"/>
      <w:numFmt w:val="decimal"/>
      <w:lvlText w:val="%1.%2.%3.%4"/>
      <w:lvlJc w:val="left"/>
      <w:pPr>
        <w:ind w:left="2334" w:hanging="1080"/>
      </w:pPr>
    </w:lvl>
    <w:lvl w:ilvl="4">
      <w:start w:val="1"/>
      <w:numFmt w:val="decimal"/>
      <w:lvlText w:val="%1.%2.%3.%4.%5"/>
      <w:lvlJc w:val="left"/>
      <w:pPr>
        <w:ind w:left="2752" w:hanging="1080"/>
      </w:pPr>
    </w:lvl>
    <w:lvl w:ilvl="5">
      <w:start w:val="1"/>
      <w:numFmt w:val="decimal"/>
      <w:lvlText w:val="%1.%2.%3.%4.%5.%6"/>
      <w:lvlJc w:val="left"/>
      <w:pPr>
        <w:ind w:left="3530" w:hanging="1440"/>
      </w:pPr>
    </w:lvl>
    <w:lvl w:ilvl="6">
      <w:start w:val="1"/>
      <w:numFmt w:val="decimal"/>
      <w:lvlText w:val="%1.%2.%3.%4.%5.%6.%7"/>
      <w:lvlJc w:val="left"/>
      <w:pPr>
        <w:ind w:left="4308" w:hanging="1800"/>
      </w:pPr>
    </w:lvl>
    <w:lvl w:ilvl="7">
      <w:start w:val="1"/>
      <w:numFmt w:val="decimal"/>
      <w:lvlText w:val="%1.%2.%3.%4.%5.%6.%7.%8"/>
      <w:lvlJc w:val="left"/>
      <w:pPr>
        <w:ind w:left="4726" w:hanging="1800"/>
      </w:pPr>
    </w:lvl>
    <w:lvl w:ilvl="8">
      <w:start w:val="1"/>
      <w:numFmt w:val="decimal"/>
      <w:lvlText w:val="%1.%2.%3.%4.%5.%6.%7.%8.%9"/>
      <w:lvlJc w:val="left"/>
      <w:pPr>
        <w:ind w:left="5504" w:hanging="2160"/>
      </w:pPr>
    </w:lvl>
  </w:abstractNum>
  <w:abstractNum w:abstractNumId="26" w15:restartNumberingAfterBreak="0">
    <w:nsid w:val="629A6997"/>
    <w:multiLevelType w:val="hybridMultilevel"/>
    <w:tmpl w:val="06BE1306"/>
    <w:lvl w:ilvl="0" w:tplc="04090001">
      <w:start w:val="1"/>
      <w:numFmt w:val="bullet"/>
      <w:lvlText w:val=""/>
      <w:lvlJc w:val="left"/>
      <w:pPr>
        <w:ind w:left="1106" w:hanging="360"/>
      </w:pPr>
      <w:rPr>
        <w:rFonts w:ascii="Symbol" w:hAnsi="Symbol" w:hint="default"/>
      </w:rPr>
    </w:lvl>
    <w:lvl w:ilvl="1" w:tplc="04090003">
      <w:start w:val="1"/>
      <w:numFmt w:val="bullet"/>
      <w:lvlText w:val="o"/>
      <w:lvlJc w:val="left"/>
      <w:pPr>
        <w:ind w:left="1826" w:hanging="360"/>
      </w:pPr>
      <w:rPr>
        <w:rFonts w:ascii="Courier New" w:hAnsi="Courier New" w:cs="Courier New" w:hint="default"/>
      </w:rPr>
    </w:lvl>
    <w:lvl w:ilvl="2" w:tplc="04090005">
      <w:start w:val="1"/>
      <w:numFmt w:val="bullet"/>
      <w:lvlText w:val=""/>
      <w:lvlJc w:val="left"/>
      <w:pPr>
        <w:ind w:left="2546" w:hanging="360"/>
      </w:pPr>
      <w:rPr>
        <w:rFonts w:ascii="Wingdings" w:hAnsi="Wingdings" w:hint="default"/>
      </w:rPr>
    </w:lvl>
    <w:lvl w:ilvl="3" w:tplc="04090001">
      <w:start w:val="1"/>
      <w:numFmt w:val="bullet"/>
      <w:lvlText w:val=""/>
      <w:lvlJc w:val="left"/>
      <w:pPr>
        <w:ind w:left="3266" w:hanging="360"/>
      </w:pPr>
      <w:rPr>
        <w:rFonts w:ascii="Symbol" w:hAnsi="Symbol" w:hint="default"/>
      </w:rPr>
    </w:lvl>
    <w:lvl w:ilvl="4" w:tplc="04090003">
      <w:start w:val="1"/>
      <w:numFmt w:val="bullet"/>
      <w:lvlText w:val="o"/>
      <w:lvlJc w:val="left"/>
      <w:pPr>
        <w:ind w:left="3986" w:hanging="360"/>
      </w:pPr>
      <w:rPr>
        <w:rFonts w:ascii="Courier New" w:hAnsi="Courier New" w:cs="Courier New" w:hint="default"/>
      </w:rPr>
    </w:lvl>
    <w:lvl w:ilvl="5" w:tplc="04090005">
      <w:start w:val="1"/>
      <w:numFmt w:val="bullet"/>
      <w:lvlText w:val=""/>
      <w:lvlJc w:val="left"/>
      <w:pPr>
        <w:ind w:left="4706" w:hanging="360"/>
      </w:pPr>
      <w:rPr>
        <w:rFonts w:ascii="Wingdings" w:hAnsi="Wingdings" w:hint="default"/>
      </w:rPr>
    </w:lvl>
    <w:lvl w:ilvl="6" w:tplc="04090001">
      <w:start w:val="1"/>
      <w:numFmt w:val="bullet"/>
      <w:lvlText w:val=""/>
      <w:lvlJc w:val="left"/>
      <w:pPr>
        <w:ind w:left="5426" w:hanging="360"/>
      </w:pPr>
      <w:rPr>
        <w:rFonts w:ascii="Symbol" w:hAnsi="Symbol" w:hint="default"/>
      </w:rPr>
    </w:lvl>
    <w:lvl w:ilvl="7" w:tplc="04090003">
      <w:start w:val="1"/>
      <w:numFmt w:val="bullet"/>
      <w:lvlText w:val="o"/>
      <w:lvlJc w:val="left"/>
      <w:pPr>
        <w:ind w:left="6146" w:hanging="360"/>
      </w:pPr>
      <w:rPr>
        <w:rFonts w:ascii="Courier New" w:hAnsi="Courier New" w:cs="Courier New" w:hint="default"/>
      </w:rPr>
    </w:lvl>
    <w:lvl w:ilvl="8" w:tplc="04090005">
      <w:start w:val="1"/>
      <w:numFmt w:val="bullet"/>
      <w:lvlText w:val=""/>
      <w:lvlJc w:val="left"/>
      <w:pPr>
        <w:ind w:left="6866" w:hanging="360"/>
      </w:pPr>
      <w:rPr>
        <w:rFonts w:ascii="Wingdings" w:hAnsi="Wingdings" w:hint="default"/>
      </w:rPr>
    </w:lvl>
  </w:abstractNum>
  <w:abstractNum w:abstractNumId="27" w15:restartNumberingAfterBreak="0">
    <w:nsid w:val="633F3C01"/>
    <w:multiLevelType w:val="multilevel"/>
    <w:tmpl w:val="64044BE6"/>
    <w:lvl w:ilvl="0">
      <w:start w:val="1"/>
      <w:numFmt w:val="decimal"/>
      <w:lvlText w:val="%1"/>
      <w:lvlJc w:val="left"/>
      <w:pPr>
        <w:ind w:left="552" w:hanging="552"/>
      </w:pPr>
      <w:rPr>
        <w:b/>
      </w:rPr>
    </w:lvl>
    <w:lvl w:ilvl="1">
      <w:start w:val="13"/>
      <w:numFmt w:val="decimal"/>
      <w:lvlText w:val="%1.%2"/>
      <w:lvlJc w:val="left"/>
      <w:pPr>
        <w:ind w:left="1700" w:hanging="720"/>
      </w:pPr>
      <w:rPr>
        <w:b/>
      </w:rPr>
    </w:lvl>
    <w:lvl w:ilvl="2">
      <w:start w:val="1"/>
      <w:numFmt w:val="decimal"/>
      <w:lvlText w:val="%1.%2.%3"/>
      <w:lvlJc w:val="left"/>
      <w:pPr>
        <w:ind w:left="2680" w:hanging="720"/>
      </w:pPr>
      <w:rPr>
        <w:b/>
      </w:rPr>
    </w:lvl>
    <w:lvl w:ilvl="3">
      <w:start w:val="1"/>
      <w:numFmt w:val="decimal"/>
      <w:lvlText w:val="%1.%2.%3.%4"/>
      <w:lvlJc w:val="left"/>
      <w:pPr>
        <w:ind w:left="4020" w:hanging="1080"/>
      </w:pPr>
      <w:rPr>
        <w:b/>
      </w:rPr>
    </w:lvl>
    <w:lvl w:ilvl="4">
      <w:start w:val="1"/>
      <w:numFmt w:val="decimal"/>
      <w:lvlText w:val="%1.%2.%3.%4.%5"/>
      <w:lvlJc w:val="left"/>
      <w:pPr>
        <w:ind w:left="5000" w:hanging="1080"/>
      </w:pPr>
      <w:rPr>
        <w:b/>
      </w:rPr>
    </w:lvl>
    <w:lvl w:ilvl="5">
      <w:start w:val="1"/>
      <w:numFmt w:val="decimal"/>
      <w:lvlText w:val="%1.%2.%3.%4.%5.%6"/>
      <w:lvlJc w:val="left"/>
      <w:pPr>
        <w:ind w:left="6340" w:hanging="1440"/>
      </w:pPr>
      <w:rPr>
        <w:b/>
      </w:rPr>
    </w:lvl>
    <w:lvl w:ilvl="6">
      <w:start w:val="1"/>
      <w:numFmt w:val="decimal"/>
      <w:lvlText w:val="%1.%2.%3.%4.%5.%6.%7"/>
      <w:lvlJc w:val="left"/>
      <w:pPr>
        <w:ind w:left="7680" w:hanging="1800"/>
      </w:pPr>
      <w:rPr>
        <w:b/>
      </w:rPr>
    </w:lvl>
    <w:lvl w:ilvl="7">
      <w:start w:val="1"/>
      <w:numFmt w:val="decimal"/>
      <w:lvlText w:val="%1.%2.%3.%4.%5.%6.%7.%8"/>
      <w:lvlJc w:val="left"/>
      <w:pPr>
        <w:ind w:left="8660" w:hanging="1800"/>
      </w:pPr>
      <w:rPr>
        <w:b/>
      </w:rPr>
    </w:lvl>
    <w:lvl w:ilvl="8">
      <w:start w:val="1"/>
      <w:numFmt w:val="decimal"/>
      <w:lvlText w:val="%1.%2.%3.%4.%5.%6.%7.%8.%9"/>
      <w:lvlJc w:val="left"/>
      <w:pPr>
        <w:ind w:left="10000" w:hanging="2160"/>
      </w:pPr>
      <w:rPr>
        <w:b/>
      </w:rPr>
    </w:lvl>
  </w:abstractNum>
  <w:abstractNum w:abstractNumId="28" w15:restartNumberingAfterBreak="0">
    <w:nsid w:val="660A6B2A"/>
    <w:multiLevelType w:val="hybridMultilevel"/>
    <w:tmpl w:val="2276563C"/>
    <w:lvl w:ilvl="0" w:tplc="712E80A0">
      <w:start w:val="5"/>
      <w:numFmt w:val="arabicAlpha"/>
      <w:lvlText w:val="%1-"/>
      <w:lvlJc w:val="left"/>
      <w:pPr>
        <w:ind w:left="746" w:hanging="360"/>
      </w:pPr>
    </w:lvl>
    <w:lvl w:ilvl="1" w:tplc="04090019">
      <w:start w:val="1"/>
      <w:numFmt w:val="lowerLetter"/>
      <w:lvlText w:val="%2."/>
      <w:lvlJc w:val="left"/>
      <w:pPr>
        <w:ind w:left="1466" w:hanging="360"/>
      </w:pPr>
    </w:lvl>
    <w:lvl w:ilvl="2" w:tplc="0409001B">
      <w:start w:val="1"/>
      <w:numFmt w:val="lowerRoman"/>
      <w:lvlText w:val="%3."/>
      <w:lvlJc w:val="right"/>
      <w:pPr>
        <w:ind w:left="2186" w:hanging="180"/>
      </w:pPr>
    </w:lvl>
    <w:lvl w:ilvl="3" w:tplc="0409000F">
      <w:start w:val="1"/>
      <w:numFmt w:val="decimal"/>
      <w:lvlText w:val="%4."/>
      <w:lvlJc w:val="left"/>
      <w:pPr>
        <w:ind w:left="2906" w:hanging="360"/>
      </w:pPr>
    </w:lvl>
    <w:lvl w:ilvl="4" w:tplc="04090019">
      <w:start w:val="1"/>
      <w:numFmt w:val="lowerLetter"/>
      <w:lvlText w:val="%5."/>
      <w:lvlJc w:val="left"/>
      <w:pPr>
        <w:ind w:left="3626" w:hanging="360"/>
      </w:pPr>
    </w:lvl>
    <w:lvl w:ilvl="5" w:tplc="0409001B">
      <w:start w:val="1"/>
      <w:numFmt w:val="lowerRoman"/>
      <w:lvlText w:val="%6."/>
      <w:lvlJc w:val="right"/>
      <w:pPr>
        <w:ind w:left="4346" w:hanging="180"/>
      </w:pPr>
    </w:lvl>
    <w:lvl w:ilvl="6" w:tplc="0409000F">
      <w:start w:val="1"/>
      <w:numFmt w:val="decimal"/>
      <w:lvlText w:val="%7."/>
      <w:lvlJc w:val="left"/>
      <w:pPr>
        <w:ind w:left="5066" w:hanging="360"/>
      </w:pPr>
    </w:lvl>
    <w:lvl w:ilvl="7" w:tplc="04090019">
      <w:start w:val="1"/>
      <w:numFmt w:val="lowerLetter"/>
      <w:lvlText w:val="%8."/>
      <w:lvlJc w:val="left"/>
      <w:pPr>
        <w:ind w:left="5786" w:hanging="360"/>
      </w:pPr>
    </w:lvl>
    <w:lvl w:ilvl="8" w:tplc="0409001B">
      <w:start w:val="1"/>
      <w:numFmt w:val="lowerRoman"/>
      <w:lvlText w:val="%9."/>
      <w:lvlJc w:val="right"/>
      <w:pPr>
        <w:ind w:left="6506" w:hanging="180"/>
      </w:pPr>
    </w:lvl>
  </w:abstractNum>
  <w:abstractNum w:abstractNumId="29" w15:restartNumberingAfterBreak="0">
    <w:nsid w:val="67156581"/>
    <w:multiLevelType w:val="multilevel"/>
    <w:tmpl w:val="8ABCB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812430"/>
    <w:multiLevelType w:val="hybridMultilevel"/>
    <w:tmpl w:val="4484F05C"/>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BA02B09"/>
    <w:multiLevelType w:val="multilevel"/>
    <w:tmpl w:val="7F02057E"/>
    <w:lvl w:ilvl="0">
      <w:start w:val="1"/>
      <w:numFmt w:val="decimal"/>
      <w:lvlText w:val="%1"/>
      <w:lvlJc w:val="left"/>
      <w:pPr>
        <w:ind w:left="396" w:hanging="396"/>
      </w:pPr>
    </w:lvl>
    <w:lvl w:ilvl="1">
      <w:start w:val="8"/>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2" w15:restartNumberingAfterBreak="0">
    <w:nsid w:val="703A2022"/>
    <w:multiLevelType w:val="multilevel"/>
    <w:tmpl w:val="DC3ED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1404E9"/>
    <w:multiLevelType w:val="multilevel"/>
    <w:tmpl w:val="1A3836D0"/>
    <w:lvl w:ilvl="0">
      <w:start w:val="1"/>
      <w:numFmt w:val="decimal"/>
      <w:lvlText w:val="%1"/>
      <w:lvlJc w:val="left"/>
      <w:pPr>
        <w:ind w:left="360" w:hanging="360"/>
      </w:pPr>
    </w:lvl>
    <w:lvl w:ilvl="1">
      <w:start w:val="1"/>
      <w:numFmt w:val="decimal"/>
      <w:lvlText w:val="%1.%2"/>
      <w:lvlJc w:val="left"/>
      <w:pPr>
        <w:ind w:left="1800" w:hanging="72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8280" w:hanging="180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4" w15:restartNumberingAfterBreak="0">
    <w:nsid w:val="76740307"/>
    <w:multiLevelType w:val="hybridMultilevel"/>
    <w:tmpl w:val="81028C16"/>
    <w:lvl w:ilvl="0" w:tplc="06B8398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15:restartNumberingAfterBreak="0">
    <w:nsid w:val="79FE6A62"/>
    <w:multiLevelType w:val="multilevel"/>
    <w:tmpl w:val="1C9A8A52"/>
    <w:lvl w:ilvl="0">
      <w:start w:val="2"/>
      <w:numFmt w:val="decimal"/>
      <w:lvlText w:val="%1"/>
      <w:lvlJc w:val="left"/>
      <w:pPr>
        <w:ind w:left="1044" w:hanging="1044"/>
      </w:pPr>
    </w:lvl>
    <w:lvl w:ilvl="1">
      <w:start w:val="1"/>
      <w:numFmt w:val="decimal"/>
      <w:lvlText w:val="%1.%2"/>
      <w:lvlJc w:val="left"/>
      <w:pPr>
        <w:ind w:left="1074" w:hanging="1044"/>
      </w:pPr>
    </w:lvl>
    <w:lvl w:ilvl="2">
      <w:start w:val="6"/>
      <w:numFmt w:val="decimal"/>
      <w:lvlText w:val="%1.%2.%3"/>
      <w:lvlJc w:val="left"/>
      <w:pPr>
        <w:ind w:left="1104" w:hanging="1044"/>
      </w:pPr>
    </w:lvl>
    <w:lvl w:ilvl="3">
      <w:start w:val="1"/>
      <w:numFmt w:val="decimal"/>
      <w:lvlText w:val="%1.%2.%3.%4"/>
      <w:lvlJc w:val="left"/>
      <w:pPr>
        <w:ind w:left="1170" w:hanging="1080"/>
      </w:pPr>
    </w:lvl>
    <w:lvl w:ilvl="4">
      <w:start w:val="1"/>
      <w:numFmt w:val="decimal"/>
      <w:lvlText w:val="%1.%2.%3.%4.%5"/>
      <w:lvlJc w:val="left"/>
      <w:pPr>
        <w:ind w:left="1560" w:hanging="1440"/>
      </w:pPr>
    </w:lvl>
    <w:lvl w:ilvl="5">
      <w:start w:val="1"/>
      <w:numFmt w:val="decimal"/>
      <w:lvlText w:val="%1.%2.%3.%4.%5.%6"/>
      <w:lvlJc w:val="left"/>
      <w:pPr>
        <w:ind w:left="1950" w:hanging="1800"/>
      </w:pPr>
    </w:lvl>
    <w:lvl w:ilvl="6">
      <w:start w:val="1"/>
      <w:numFmt w:val="decimal"/>
      <w:lvlText w:val="%1.%2.%3.%4.%5.%6.%7"/>
      <w:lvlJc w:val="left"/>
      <w:pPr>
        <w:ind w:left="1980" w:hanging="1800"/>
      </w:pPr>
    </w:lvl>
    <w:lvl w:ilvl="7">
      <w:start w:val="1"/>
      <w:numFmt w:val="decimal"/>
      <w:lvlText w:val="%1.%2.%3.%4.%5.%6.%7.%8"/>
      <w:lvlJc w:val="left"/>
      <w:pPr>
        <w:ind w:left="2370" w:hanging="2160"/>
      </w:pPr>
    </w:lvl>
    <w:lvl w:ilvl="8">
      <w:start w:val="1"/>
      <w:numFmt w:val="decimal"/>
      <w:lvlText w:val="%1.%2.%3.%4.%5.%6.%7.%8.%9"/>
      <w:lvlJc w:val="left"/>
      <w:pPr>
        <w:ind w:left="2760" w:hanging="2520"/>
      </w:pPr>
    </w:lvl>
  </w:abstractNum>
  <w:abstractNum w:abstractNumId="36" w15:restartNumberingAfterBreak="0">
    <w:nsid w:val="7A2371C7"/>
    <w:multiLevelType w:val="hybridMultilevel"/>
    <w:tmpl w:val="4AAAB1B0"/>
    <w:lvl w:ilvl="0" w:tplc="06B83980">
      <w:start w:val="1"/>
      <w:numFmt w:val="bullet"/>
      <w:lvlText w:val=""/>
      <w:lvlJc w:val="left"/>
      <w:pPr>
        <w:ind w:left="1556" w:hanging="360"/>
      </w:pPr>
      <w:rPr>
        <w:rFonts w:ascii="Symbol" w:hAnsi="Symbol" w:hint="default"/>
      </w:rPr>
    </w:lvl>
    <w:lvl w:ilvl="1" w:tplc="04090003">
      <w:start w:val="1"/>
      <w:numFmt w:val="bullet"/>
      <w:lvlText w:val="o"/>
      <w:lvlJc w:val="left"/>
      <w:pPr>
        <w:ind w:left="2276" w:hanging="360"/>
      </w:pPr>
      <w:rPr>
        <w:rFonts w:ascii="Courier New" w:hAnsi="Courier New" w:cs="Courier New" w:hint="default"/>
      </w:rPr>
    </w:lvl>
    <w:lvl w:ilvl="2" w:tplc="04090005">
      <w:start w:val="1"/>
      <w:numFmt w:val="bullet"/>
      <w:lvlText w:val=""/>
      <w:lvlJc w:val="left"/>
      <w:pPr>
        <w:ind w:left="2996" w:hanging="360"/>
      </w:pPr>
      <w:rPr>
        <w:rFonts w:ascii="Wingdings" w:hAnsi="Wingdings" w:hint="default"/>
      </w:rPr>
    </w:lvl>
    <w:lvl w:ilvl="3" w:tplc="04090001">
      <w:start w:val="1"/>
      <w:numFmt w:val="bullet"/>
      <w:lvlText w:val=""/>
      <w:lvlJc w:val="left"/>
      <w:pPr>
        <w:ind w:left="3716" w:hanging="360"/>
      </w:pPr>
      <w:rPr>
        <w:rFonts w:ascii="Symbol" w:hAnsi="Symbol" w:hint="default"/>
      </w:rPr>
    </w:lvl>
    <w:lvl w:ilvl="4" w:tplc="04090003">
      <w:start w:val="1"/>
      <w:numFmt w:val="bullet"/>
      <w:lvlText w:val="o"/>
      <w:lvlJc w:val="left"/>
      <w:pPr>
        <w:ind w:left="4436" w:hanging="360"/>
      </w:pPr>
      <w:rPr>
        <w:rFonts w:ascii="Courier New" w:hAnsi="Courier New" w:cs="Courier New" w:hint="default"/>
      </w:rPr>
    </w:lvl>
    <w:lvl w:ilvl="5" w:tplc="04090005">
      <w:start w:val="1"/>
      <w:numFmt w:val="bullet"/>
      <w:lvlText w:val=""/>
      <w:lvlJc w:val="left"/>
      <w:pPr>
        <w:ind w:left="5156" w:hanging="360"/>
      </w:pPr>
      <w:rPr>
        <w:rFonts w:ascii="Wingdings" w:hAnsi="Wingdings" w:hint="default"/>
      </w:rPr>
    </w:lvl>
    <w:lvl w:ilvl="6" w:tplc="04090001">
      <w:start w:val="1"/>
      <w:numFmt w:val="bullet"/>
      <w:lvlText w:val=""/>
      <w:lvlJc w:val="left"/>
      <w:pPr>
        <w:ind w:left="5876" w:hanging="360"/>
      </w:pPr>
      <w:rPr>
        <w:rFonts w:ascii="Symbol" w:hAnsi="Symbol" w:hint="default"/>
      </w:rPr>
    </w:lvl>
    <w:lvl w:ilvl="7" w:tplc="04090003">
      <w:start w:val="1"/>
      <w:numFmt w:val="bullet"/>
      <w:lvlText w:val="o"/>
      <w:lvlJc w:val="left"/>
      <w:pPr>
        <w:ind w:left="6596" w:hanging="360"/>
      </w:pPr>
      <w:rPr>
        <w:rFonts w:ascii="Courier New" w:hAnsi="Courier New" w:cs="Courier New" w:hint="default"/>
      </w:rPr>
    </w:lvl>
    <w:lvl w:ilvl="8" w:tplc="04090005">
      <w:start w:val="1"/>
      <w:numFmt w:val="bullet"/>
      <w:lvlText w:val=""/>
      <w:lvlJc w:val="left"/>
      <w:pPr>
        <w:ind w:left="7316" w:hanging="360"/>
      </w:pPr>
      <w:rPr>
        <w:rFonts w:ascii="Wingdings" w:hAnsi="Wingdings" w:hint="default"/>
      </w:rPr>
    </w:lvl>
  </w:abstractNum>
  <w:abstractNum w:abstractNumId="37" w15:restartNumberingAfterBreak="0">
    <w:nsid w:val="7AA96F78"/>
    <w:multiLevelType w:val="multilevel"/>
    <w:tmpl w:val="27100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CA1886"/>
    <w:multiLevelType w:val="hybridMultilevel"/>
    <w:tmpl w:val="B16E444C"/>
    <w:lvl w:ilvl="0" w:tplc="6E96FF52">
      <w:start w:val="1"/>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15:restartNumberingAfterBreak="0">
    <w:nsid w:val="7D3F2E14"/>
    <w:multiLevelType w:val="multilevel"/>
    <w:tmpl w:val="D4E60DF6"/>
    <w:lvl w:ilvl="0">
      <w:start w:val="1"/>
      <w:numFmt w:val="decimal"/>
      <w:lvlText w:val="%1"/>
      <w:lvlJc w:val="left"/>
      <w:pPr>
        <w:ind w:left="396" w:hanging="396"/>
      </w:pPr>
    </w:lvl>
    <w:lvl w:ilvl="1">
      <w:start w:val="9"/>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0" w15:restartNumberingAfterBreak="0">
    <w:nsid w:val="7D7D69DE"/>
    <w:multiLevelType w:val="multilevel"/>
    <w:tmpl w:val="78FCED88"/>
    <w:lvl w:ilvl="0">
      <w:start w:val="2"/>
      <w:numFmt w:val="decimal"/>
      <w:lvlText w:val="%1"/>
      <w:lvlJc w:val="left"/>
      <w:pPr>
        <w:ind w:left="1044" w:hanging="1044"/>
      </w:pPr>
    </w:lvl>
    <w:lvl w:ilvl="1">
      <w:start w:val="1"/>
      <w:numFmt w:val="decimal"/>
      <w:lvlText w:val="%1.%2"/>
      <w:lvlJc w:val="left"/>
      <w:pPr>
        <w:ind w:left="1284" w:hanging="1044"/>
      </w:pPr>
    </w:lvl>
    <w:lvl w:ilvl="2">
      <w:start w:val="7"/>
      <w:numFmt w:val="decimal"/>
      <w:lvlText w:val="%1.%2.%3"/>
      <w:lvlJc w:val="left"/>
      <w:pPr>
        <w:ind w:left="1524" w:hanging="1044"/>
      </w:pPr>
    </w:lvl>
    <w:lvl w:ilvl="3">
      <w:start w:val="1"/>
      <w:numFmt w:val="decimal"/>
      <w:lvlText w:val="%1.%2.%3.%4"/>
      <w:lvlJc w:val="left"/>
      <w:pPr>
        <w:ind w:left="1800" w:hanging="1080"/>
      </w:pPr>
    </w:lvl>
    <w:lvl w:ilvl="4">
      <w:start w:val="1"/>
      <w:numFmt w:val="decimal"/>
      <w:lvlText w:val="%1.%2.%3.%4.%5"/>
      <w:lvlJc w:val="left"/>
      <w:pPr>
        <w:ind w:left="2400" w:hanging="1440"/>
      </w:pPr>
    </w:lvl>
    <w:lvl w:ilvl="5">
      <w:start w:val="1"/>
      <w:numFmt w:val="decimal"/>
      <w:lvlText w:val="%1.%2.%3.%4.%5.%6"/>
      <w:lvlJc w:val="left"/>
      <w:pPr>
        <w:ind w:left="3000" w:hanging="1800"/>
      </w:pPr>
    </w:lvl>
    <w:lvl w:ilvl="6">
      <w:start w:val="1"/>
      <w:numFmt w:val="decimal"/>
      <w:lvlText w:val="%1.%2.%3.%4.%5.%6.%7"/>
      <w:lvlJc w:val="left"/>
      <w:pPr>
        <w:ind w:left="3240" w:hanging="1800"/>
      </w:pPr>
    </w:lvl>
    <w:lvl w:ilvl="7">
      <w:start w:val="1"/>
      <w:numFmt w:val="decimal"/>
      <w:lvlText w:val="%1.%2.%3.%4.%5.%6.%7.%8"/>
      <w:lvlJc w:val="left"/>
      <w:pPr>
        <w:ind w:left="3840" w:hanging="2160"/>
      </w:pPr>
    </w:lvl>
    <w:lvl w:ilvl="8">
      <w:start w:val="1"/>
      <w:numFmt w:val="decimal"/>
      <w:lvlText w:val="%1.%2.%3.%4.%5.%6.%7.%8.%9"/>
      <w:lvlJc w:val="left"/>
      <w:pPr>
        <w:ind w:left="4440" w:hanging="252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2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lvlOverride w:ilvl="1"/>
    <w:lvlOverride w:ilvl="2"/>
    <w:lvlOverride w:ilvl="3"/>
    <w:lvlOverride w:ilvl="4"/>
    <w:lvlOverride w:ilvl="5"/>
    <w:lvlOverride w:ilvl="6"/>
    <w:lvlOverride w:ilvl="7"/>
    <w:lvlOverride w:ilvl="8"/>
  </w:num>
  <w:num w:numId="7">
    <w:abstractNumId w:val="31"/>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lvlOverride w:ilvl="1"/>
    <w:lvlOverride w:ilvl="2"/>
    <w:lvlOverride w:ilvl="3"/>
    <w:lvlOverride w:ilvl="4"/>
    <w:lvlOverride w:ilvl="5"/>
    <w:lvlOverride w:ilvl="6"/>
    <w:lvlOverride w:ilvl="7"/>
    <w:lvlOverride w:ilvl="8"/>
  </w:num>
  <w:num w:numId="9">
    <w:abstractNumId w:val="3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lvlOverride w:ilvl="1"/>
    <w:lvlOverride w:ilvl="2"/>
    <w:lvlOverride w:ilvl="3"/>
    <w:lvlOverride w:ilvl="4"/>
    <w:lvlOverride w:ilvl="5"/>
    <w:lvlOverride w:ilvl="6"/>
    <w:lvlOverride w:ilvl="7"/>
    <w:lvlOverride w:ilvl="8"/>
  </w:num>
  <w:num w:numId="12">
    <w:abstractNumId w:val="4"/>
    <w:lvlOverride w:ilvl="0"/>
    <w:lvlOverride w:ilvl="1"/>
    <w:lvlOverride w:ilvl="2"/>
    <w:lvlOverride w:ilvl="3"/>
    <w:lvlOverride w:ilvl="4"/>
    <w:lvlOverride w:ilvl="5"/>
    <w:lvlOverride w:ilvl="6"/>
    <w:lvlOverride w:ilvl="7"/>
    <w:lvlOverride w:ilvl="8"/>
  </w:num>
  <w:num w:numId="13">
    <w:abstractNumId w:val="24"/>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lvlOverride w:ilvl="1"/>
    <w:lvlOverride w:ilvl="2"/>
    <w:lvlOverride w:ilvl="3"/>
    <w:lvlOverride w:ilvl="4"/>
    <w:lvlOverride w:ilvl="5"/>
    <w:lvlOverride w:ilvl="6"/>
    <w:lvlOverride w:ilvl="7"/>
    <w:lvlOverride w:ilvl="8"/>
  </w:num>
  <w:num w:numId="15">
    <w:abstractNumId w:val="25"/>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lvlOverride w:ilvl="1"/>
    <w:lvlOverride w:ilvl="2"/>
    <w:lvlOverride w:ilvl="3"/>
    <w:lvlOverride w:ilvl="4"/>
    <w:lvlOverride w:ilvl="5"/>
    <w:lvlOverride w:ilvl="6"/>
    <w:lvlOverride w:ilvl="7"/>
    <w:lvlOverride w:ilvl="8"/>
  </w:num>
  <w:num w:numId="17">
    <w:abstractNumId w:val="27"/>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lvlOverride w:ilvl="2"/>
    <w:lvlOverride w:ilvl="3"/>
    <w:lvlOverride w:ilvl="4"/>
    <w:lvlOverride w:ilvl="5"/>
    <w:lvlOverride w:ilvl="6"/>
    <w:lvlOverride w:ilvl="7"/>
    <w:lvlOverride w:ilvl="8"/>
  </w:num>
  <w:num w:numId="19">
    <w:abstractNumId w:val="12"/>
    <w:lvlOverride w:ilvl="0">
      <w:startOverride w:val="2"/>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lvlOverride w:ilvl="2"/>
    <w:lvlOverride w:ilvl="3"/>
    <w:lvlOverride w:ilvl="4"/>
    <w:lvlOverride w:ilvl="5"/>
    <w:lvlOverride w:ilvl="6"/>
    <w:lvlOverride w:ilvl="7"/>
    <w:lvlOverride w:ilvl="8"/>
  </w:num>
  <w:num w:numId="22">
    <w:abstractNumId w:val="32"/>
    <w:lvlOverride w:ilvl="0"/>
    <w:lvlOverride w:ilvl="1"/>
    <w:lvlOverride w:ilvl="2"/>
    <w:lvlOverride w:ilvl="3"/>
    <w:lvlOverride w:ilvl="4"/>
    <w:lvlOverride w:ilvl="5"/>
    <w:lvlOverride w:ilvl="6"/>
    <w:lvlOverride w:ilvl="7"/>
    <w:lvlOverride w:ilvl="8"/>
  </w:num>
  <w:num w:numId="23">
    <w:abstractNumId w:val="29"/>
    <w:lvlOverride w:ilvl="0"/>
    <w:lvlOverride w:ilvl="1"/>
    <w:lvlOverride w:ilvl="2"/>
    <w:lvlOverride w:ilvl="3"/>
    <w:lvlOverride w:ilvl="4"/>
    <w:lvlOverride w:ilvl="5"/>
    <w:lvlOverride w:ilvl="6"/>
    <w:lvlOverride w:ilvl="7"/>
    <w:lvlOverride w:ilvl="8"/>
  </w:num>
  <w:num w:numId="24">
    <w:abstractNumId w:val="35"/>
    <w:lvlOverride w:ilvl="0">
      <w:startOverride w:val="2"/>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lvlOverride w:ilvl="1"/>
    <w:lvlOverride w:ilvl="2"/>
    <w:lvlOverride w:ilvl="3"/>
    <w:lvlOverride w:ilvl="4"/>
    <w:lvlOverride w:ilvl="5"/>
    <w:lvlOverride w:ilvl="6"/>
    <w:lvlOverride w:ilvl="7"/>
    <w:lvlOverride w:ilvl="8"/>
  </w:num>
  <w:num w:numId="26">
    <w:abstractNumId w:val="40"/>
    <w:lvlOverride w:ilvl="0">
      <w:startOverride w:val="2"/>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lvlOverride w:ilvl="1"/>
    <w:lvlOverride w:ilvl="2"/>
    <w:lvlOverride w:ilvl="3"/>
    <w:lvlOverride w:ilvl="4"/>
    <w:lvlOverride w:ilvl="5"/>
    <w:lvlOverride w:ilvl="6"/>
    <w:lvlOverride w:ilvl="7"/>
    <w:lvlOverride w:ilvl="8"/>
  </w:num>
  <w:num w:numId="28">
    <w:abstractNumId w:val="19"/>
    <w:lvlOverride w:ilvl="0">
      <w:startOverride w:val="2"/>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lvlOverride w:ilvl="1"/>
    <w:lvlOverride w:ilvl="2"/>
    <w:lvlOverride w:ilvl="3"/>
    <w:lvlOverride w:ilvl="4"/>
    <w:lvlOverride w:ilvl="5"/>
    <w:lvlOverride w:ilvl="6"/>
    <w:lvlOverride w:ilvl="7"/>
    <w:lvlOverride w:ilvl="8"/>
  </w:num>
  <w:num w:numId="30">
    <w:abstractNumId w:val="1"/>
    <w:lvlOverride w:ilvl="0">
      <w:startOverride w:val="2"/>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lvlOverride w:ilvl="1">
      <w:startOverride w:val="2"/>
    </w:lvlOverride>
    <w:lvlOverride w:ilvl="2">
      <w:startOverride w:val="1"/>
    </w:lvlOverride>
    <w:lvlOverride w:ilvl="3"/>
    <w:lvlOverride w:ilvl="4"/>
    <w:lvlOverride w:ilvl="5"/>
    <w:lvlOverride w:ilvl="6"/>
    <w:lvlOverride w:ilvl="7"/>
    <w:lvlOverride w:ilvl="8"/>
  </w:num>
  <w:num w:numId="32">
    <w:abstractNumId w:val="9"/>
    <w:lvlOverride w:ilvl="0"/>
    <w:lvlOverride w:ilvl="1"/>
    <w:lvlOverride w:ilvl="2"/>
    <w:lvlOverride w:ilvl="3"/>
    <w:lvlOverride w:ilvl="4"/>
    <w:lvlOverride w:ilvl="5"/>
    <w:lvlOverride w:ilvl="6"/>
    <w:lvlOverride w:ilvl="7"/>
    <w:lvlOverride w:ilvl="8"/>
  </w:num>
  <w:num w:numId="33">
    <w:abstractNumId w:val="37"/>
    <w:lvlOverride w:ilvl="0"/>
    <w:lvlOverride w:ilvl="1"/>
    <w:lvlOverride w:ilvl="2"/>
    <w:lvlOverride w:ilvl="3"/>
    <w:lvlOverride w:ilvl="4"/>
    <w:lvlOverride w:ilvl="5"/>
    <w:lvlOverride w:ilvl="6"/>
    <w:lvlOverride w:ilvl="7"/>
    <w:lvlOverride w:ilvl="8"/>
  </w:num>
  <w:num w:numId="34">
    <w:abstractNumId w:val="8"/>
    <w:lvlOverride w:ilvl="0"/>
    <w:lvlOverride w:ilvl="1"/>
    <w:lvlOverride w:ilvl="2"/>
    <w:lvlOverride w:ilvl="3"/>
    <w:lvlOverride w:ilvl="4"/>
    <w:lvlOverride w:ilvl="5"/>
    <w:lvlOverride w:ilvl="6"/>
    <w:lvlOverride w:ilvl="7"/>
    <w:lvlOverride w:ilvl="8"/>
  </w:num>
  <w:num w:numId="35">
    <w:abstractNumId w:val="13"/>
    <w:lvlOverride w:ilvl="0"/>
    <w:lvlOverride w:ilvl="1"/>
    <w:lvlOverride w:ilvl="2"/>
    <w:lvlOverride w:ilvl="3"/>
    <w:lvlOverride w:ilvl="4"/>
    <w:lvlOverride w:ilvl="5"/>
    <w:lvlOverride w:ilvl="6"/>
    <w:lvlOverride w:ilvl="7"/>
    <w:lvlOverride w:ilvl="8"/>
  </w:num>
  <w:num w:numId="36">
    <w:abstractNumId w:val="6"/>
    <w:lvlOverride w:ilvl="0">
      <w:startOverride w:val="2"/>
    </w:lvlOverride>
    <w:lvlOverride w:ilvl="1">
      <w:startOverride w:val="2"/>
    </w:lvlOverride>
    <w:lvlOverride w:ilvl="2">
      <w:startOverride w:val="1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lvlOverride w:ilvl="1"/>
    <w:lvlOverride w:ilvl="2"/>
    <w:lvlOverride w:ilvl="3"/>
    <w:lvlOverride w:ilvl="4"/>
    <w:lvlOverride w:ilvl="5"/>
    <w:lvlOverride w:ilvl="6"/>
    <w:lvlOverride w:ilvl="7"/>
    <w:lvlOverride w:ilvl="8"/>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C10"/>
    <w:rsid w:val="00706C10"/>
    <w:rsid w:val="00F34F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EF6D4"/>
  <w15:chartTrackingRefBased/>
  <w15:docId w15:val="{7E305A94-332F-4E2D-A2D8-149753787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C10"/>
    <w:pPr>
      <w:bidi/>
      <w:spacing w:after="200" w:line="276" w:lineRule="auto"/>
    </w:pPr>
  </w:style>
  <w:style w:type="paragraph" w:styleId="Heading1">
    <w:name w:val="heading 1"/>
    <w:basedOn w:val="Normal"/>
    <w:next w:val="Normal"/>
    <w:link w:val="Heading1Char"/>
    <w:uiPriority w:val="9"/>
    <w:qFormat/>
    <w:rsid w:val="00706C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6C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C10"/>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706C1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C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6C1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06C10"/>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706C10"/>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semiHidden/>
    <w:unhideWhenUsed/>
    <w:rsid w:val="00706C10"/>
    <w:rPr>
      <w:color w:val="0563C1" w:themeColor="hyperlink"/>
      <w:u w:val="single"/>
    </w:rPr>
  </w:style>
  <w:style w:type="character" w:styleId="FollowedHyperlink">
    <w:name w:val="FollowedHyperlink"/>
    <w:basedOn w:val="DefaultParagraphFont"/>
    <w:uiPriority w:val="99"/>
    <w:semiHidden/>
    <w:unhideWhenUsed/>
    <w:rsid w:val="00706C10"/>
    <w:rPr>
      <w:color w:val="954F72" w:themeColor="followedHyperlink"/>
      <w:u w:val="single"/>
    </w:rPr>
  </w:style>
  <w:style w:type="paragraph" w:customStyle="1" w:styleId="msonormal0">
    <w:name w:val="msonormal"/>
    <w:basedOn w:val="Normal"/>
    <w:uiPriority w:val="99"/>
    <w:semiHidden/>
    <w:rsid w:val="00706C10"/>
    <w:rPr>
      <w:rFonts w:ascii="Times New Roman" w:hAnsi="Times New Roman" w:cs="Times New Roman"/>
      <w:sz w:val="24"/>
      <w:szCs w:val="24"/>
    </w:rPr>
  </w:style>
  <w:style w:type="paragraph" w:styleId="NormalWeb">
    <w:name w:val="Normal (Web)"/>
    <w:basedOn w:val="Normal"/>
    <w:uiPriority w:val="99"/>
    <w:semiHidden/>
    <w:unhideWhenUsed/>
    <w:rsid w:val="00706C10"/>
    <w:rPr>
      <w:rFonts w:ascii="Times New Roman" w:hAnsi="Times New Roman" w:cs="Times New Roman"/>
      <w:sz w:val="24"/>
      <w:szCs w:val="24"/>
    </w:rPr>
  </w:style>
  <w:style w:type="paragraph" w:styleId="TOC1">
    <w:name w:val="toc 1"/>
    <w:basedOn w:val="Normal"/>
    <w:next w:val="Normal"/>
    <w:autoRedefine/>
    <w:uiPriority w:val="39"/>
    <w:semiHidden/>
    <w:unhideWhenUsed/>
    <w:rsid w:val="00706C10"/>
    <w:pPr>
      <w:tabs>
        <w:tab w:val="right" w:leader="dot" w:pos="9016"/>
      </w:tabs>
      <w:spacing w:after="100"/>
    </w:pPr>
    <w:rPr>
      <w:rFonts w:ascii="Simplified Arabic" w:eastAsia="Calibri" w:hAnsi="Simplified Arabic" w:cs="Simplified Arabic"/>
      <w:noProof/>
    </w:rPr>
  </w:style>
  <w:style w:type="paragraph" w:styleId="TOC2">
    <w:name w:val="toc 2"/>
    <w:basedOn w:val="Normal"/>
    <w:next w:val="Normal"/>
    <w:autoRedefine/>
    <w:uiPriority w:val="39"/>
    <w:semiHidden/>
    <w:unhideWhenUsed/>
    <w:rsid w:val="00706C10"/>
    <w:pPr>
      <w:bidi w:val="0"/>
      <w:spacing w:after="100" w:line="256" w:lineRule="auto"/>
      <w:ind w:left="220"/>
    </w:pPr>
    <w:rPr>
      <w:rFonts w:eastAsiaTheme="minorEastAsia"/>
      <w:kern w:val="2"/>
      <w14:ligatures w14:val="standardContextual"/>
    </w:rPr>
  </w:style>
  <w:style w:type="paragraph" w:styleId="TOC3">
    <w:name w:val="toc 3"/>
    <w:basedOn w:val="Normal"/>
    <w:next w:val="Normal"/>
    <w:autoRedefine/>
    <w:uiPriority w:val="39"/>
    <w:semiHidden/>
    <w:unhideWhenUsed/>
    <w:rsid w:val="00706C10"/>
    <w:pPr>
      <w:bidi w:val="0"/>
      <w:spacing w:after="100" w:line="256" w:lineRule="auto"/>
      <w:ind w:left="440"/>
    </w:pPr>
    <w:rPr>
      <w:rFonts w:eastAsiaTheme="minorEastAsia"/>
      <w:kern w:val="2"/>
      <w14:ligatures w14:val="standardContextual"/>
    </w:rPr>
  </w:style>
  <w:style w:type="paragraph" w:styleId="TOC4">
    <w:name w:val="toc 4"/>
    <w:basedOn w:val="Normal"/>
    <w:next w:val="Normal"/>
    <w:autoRedefine/>
    <w:uiPriority w:val="39"/>
    <w:semiHidden/>
    <w:unhideWhenUsed/>
    <w:rsid w:val="00706C10"/>
    <w:pPr>
      <w:bidi w:val="0"/>
      <w:spacing w:after="100" w:line="256" w:lineRule="auto"/>
      <w:ind w:left="660"/>
    </w:pPr>
    <w:rPr>
      <w:rFonts w:eastAsiaTheme="minorEastAsia"/>
      <w:kern w:val="2"/>
      <w14:ligatures w14:val="standardContextual"/>
    </w:rPr>
  </w:style>
  <w:style w:type="paragraph" w:styleId="TOC5">
    <w:name w:val="toc 5"/>
    <w:basedOn w:val="Normal"/>
    <w:next w:val="Normal"/>
    <w:autoRedefine/>
    <w:uiPriority w:val="39"/>
    <w:semiHidden/>
    <w:unhideWhenUsed/>
    <w:rsid w:val="00706C10"/>
    <w:pPr>
      <w:bidi w:val="0"/>
      <w:spacing w:after="100" w:line="256" w:lineRule="auto"/>
      <w:ind w:left="880"/>
    </w:pPr>
    <w:rPr>
      <w:rFonts w:eastAsiaTheme="minorEastAsia"/>
      <w:kern w:val="2"/>
      <w14:ligatures w14:val="standardContextual"/>
    </w:rPr>
  </w:style>
  <w:style w:type="paragraph" w:styleId="TOC6">
    <w:name w:val="toc 6"/>
    <w:basedOn w:val="Normal"/>
    <w:next w:val="Normal"/>
    <w:autoRedefine/>
    <w:uiPriority w:val="39"/>
    <w:semiHidden/>
    <w:unhideWhenUsed/>
    <w:rsid w:val="00706C10"/>
    <w:pPr>
      <w:bidi w:val="0"/>
      <w:spacing w:after="100" w:line="256" w:lineRule="auto"/>
      <w:ind w:left="1100"/>
    </w:pPr>
    <w:rPr>
      <w:rFonts w:eastAsiaTheme="minorEastAsia"/>
      <w:kern w:val="2"/>
      <w14:ligatures w14:val="standardContextual"/>
    </w:rPr>
  </w:style>
  <w:style w:type="paragraph" w:styleId="TOC7">
    <w:name w:val="toc 7"/>
    <w:basedOn w:val="Normal"/>
    <w:next w:val="Normal"/>
    <w:autoRedefine/>
    <w:uiPriority w:val="39"/>
    <w:semiHidden/>
    <w:unhideWhenUsed/>
    <w:rsid w:val="00706C10"/>
    <w:pPr>
      <w:bidi w:val="0"/>
      <w:spacing w:after="100" w:line="256" w:lineRule="auto"/>
      <w:ind w:left="1320"/>
    </w:pPr>
    <w:rPr>
      <w:rFonts w:eastAsiaTheme="minorEastAsia"/>
      <w:kern w:val="2"/>
      <w14:ligatures w14:val="standardContextual"/>
    </w:rPr>
  </w:style>
  <w:style w:type="paragraph" w:styleId="TOC8">
    <w:name w:val="toc 8"/>
    <w:basedOn w:val="Normal"/>
    <w:next w:val="Normal"/>
    <w:autoRedefine/>
    <w:uiPriority w:val="39"/>
    <w:semiHidden/>
    <w:unhideWhenUsed/>
    <w:rsid w:val="00706C10"/>
    <w:pPr>
      <w:bidi w:val="0"/>
      <w:spacing w:after="100" w:line="256" w:lineRule="auto"/>
      <w:ind w:left="1540"/>
    </w:pPr>
    <w:rPr>
      <w:rFonts w:eastAsiaTheme="minorEastAsia"/>
      <w:kern w:val="2"/>
      <w14:ligatures w14:val="standardContextual"/>
    </w:rPr>
  </w:style>
  <w:style w:type="paragraph" w:styleId="TOC9">
    <w:name w:val="toc 9"/>
    <w:basedOn w:val="Normal"/>
    <w:next w:val="Normal"/>
    <w:autoRedefine/>
    <w:uiPriority w:val="39"/>
    <w:semiHidden/>
    <w:unhideWhenUsed/>
    <w:rsid w:val="00706C10"/>
    <w:pPr>
      <w:bidi w:val="0"/>
      <w:spacing w:after="100" w:line="256" w:lineRule="auto"/>
      <w:ind w:left="1760"/>
    </w:pPr>
    <w:rPr>
      <w:rFonts w:eastAsiaTheme="minorEastAsia"/>
      <w:kern w:val="2"/>
      <w14:ligatures w14:val="standardContextual"/>
    </w:rPr>
  </w:style>
  <w:style w:type="paragraph" w:styleId="Header">
    <w:name w:val="header"/>
    <w:basedOn w:val="Normal"/>
    <w:link w:val="HeaderChar"/>
    <w:uiPriority w:val="99"/>
    <w:semiHidden/>
    <w:unhideWhenUsed/>
    <w:rsid w:val="00706C10"/>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706C10"/>
  </w:style>
  <w:style w:type="paragraph" w:styleId="Footer">
    <w:name w:val="footer"/>
    <w:basedOn w:val="Normal"/>
    <w:link w:val="FooterChar"/>
    <w:uiPriority w:val="99"/>
    <w:semiHidden/>
    <w:unhideWhenUsed/>
    <w:rsid w:val="00706C10"/>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706C10"/>
  </w:style>
  <w:style w:type="paragraph" w:styleId="BalloonText">
    <w:name w:val="Balloon Text"/>
    <w:basedOn w:val="Normal"/>
    <w:link w:val="BalloonTextChar"/>
    <w:uiPriority w:val="99"/>
    <w:semiHidden/>
    <w:unhideWhenUsed/>
    <w:rsid w:val="00706C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C10"/>
    <w:rPr>
      <w:rFonts w:ascii="Tahoma" w:hAnsi="Tahoma" w:cs="Tahoma"/>
      <w:sz w:val="16"/>
      <w:szCs w:val="16"/>
    </w:rPr>
  </w:style>
  <w:style w:type="paragraph" w:styleId="ListParagraph">
    <w:name w:val="List Paragraph"/>
    <w:basedOn w:val="Normal"/>
    <w:uiPriority w:val="34"/>
    <w:qFormat/>
    <w:rsid w:val="00706C10"/>
    <w:pPr>
      <w:ind w:left="720"/>
      <w:contextualSpacing/>
    </w:pPr>
  </w:style>
  <w:style w:type="paragraph" w:styleId="TOCHeading">
    <w:name w:val="TOC Heading"/>
    <w:basedOn w:val="Heading1"/>
    <w:next w:val="Normal"/>
    <w:uiPriority w:val="39"/>
    <w:semiHidden/>
    <w:unhideWhenUsed/>
    <w:qFormat/>
    <w:rsid w:val="00706C10"/>
    <w:pPr>
      <w:bidi w:val="0"/>
      <w:spacing w:line="256" w:lineRule="auto"/>
      <w:outlineLvl w:val="9"/>
    </w:pPr>
  </w:style>
  <w:style w:type="paragraph" w:customStyle="1" w:styleId="1">
    <w:name w:val="عادي (ويب)1"/>
    <w:basedOn w:val="Normal"/>
    <w:next w:val="NormalWeb"/>
    <w:uiPriority w:val="99"/>
    <w:semiHidden/>
    <w:rsid w:val="00706C1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semiHidden/>
    <w:unhideWhenUsed/>
    <w:rsid w:val="00706C10"/>
    <w:rPr>
      <w:vertAlign w:val="superscript"/>
    </w:rPr>
  </w:style>
  <w:style w:type="character" w:styleId="PlaceholderText">
    <w:name w:val="Placeholder Text"/>
    <w:basedOn w:val="DefaultParagraphFont"/>
    <w:uiPriority w:val="99"/>
    <w:semiHidden/>
    <w:rsid w:val="00706C10"/>
    <w:rPr>
      <w:color w:val="808080"/>
    </w:rPr>
  </w:style>
  <w:style w:type="character" w:customStyle="1" w:styleId="10">
    <w:name w:val="إشارة لم يتم حلها1"/>
    <w:basedOn w:val="DefaultParagraphFont"/>
    <w:uiPriority w:val="99"/>
    <w:semiHidden/>
    <w:rsid w:val="00706C10"/>
    <w:rPr>
      <w:color w:val="605E5C"/>
      <w:shd w:val="clear" w:color="auto" w:fill="E1DFDD"/>
    </w:rPr>
  </w:style>
  <w:style w:type="character" w:customStyle="1" w:styleId="UnresolvedMention">
    <w:name w:val="Unresolved Mention"/>
    <w:basedOn w:val="DefaultParagraphFont"/>
    <w:uiPriority w:val="99"/>
    <w:semiHidden/>
    <w:rsid w:val="00706C10"/>
    <w:rPr>
      <w:color w:val="605E5C"/>
      <w:shd w:val="clear" w:color="auto" w:fill="E1DFDD"/>
    </w:rPr>
  </w:style>
  <w:style w:type="table" w:styleId="TableGrid">
    <w:name w:val="Table Grid"/>
    <w:basedOn w:val="TableNormal"/>
    <w:uiPriority w:val="39"/>
    <w:rsid w:val="00706C1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3">
    <w:name w:val="Grid Table 3 Accent 3"/>
    <w:basedOn w:val="TableNormal"/>
    <w:uiPriority w:val="48"/>
    <w:rsid w:val="00706C10"/>
    <w:pPr>
      <w:spacing w:after="0" w:line="240" w:lineRule="auto"/>
    </w:p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706C10"/>
    <w:pPr>
      <w:spacing w:after="0" w:line="240" w:lineRule="auto"/>
    </w:pPr>
    <w:tblPr>
      <w:tblStyleRowBandSize w:val="1"/>
      <w:tblStyleColBandSize w:val="1"/>
      <w:tblInd w:w="0" w:type="nil"/>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706C10"/>
    <w:pPr>
      <w:spacing w:after="0" w:line="240" w:lineRule="auto"/>
    </w:p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706C10"/>
    <w:pPr>
      <w:spacing w:after="0" w:line="240" w:lineRule="auto"/>
    </w:p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6">
    <w:name w:val="Grid Table 3 Accent 6"/>
    <w:basedOn w:val="TableNormal"/>
    <w:uiPriority w:val="48"/>
    <w:rsid w:val="00706C10"/>
    <w:pPr>
      <w:spacing w:after="0" w:line="240" w:lineRule="auto"/>
    </w:p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51">
    <w:name w:val="جدول شبكة 4 - تمييز 51"/>
    <w:basedOn w:val="TableNormal"/>
    <w:uiPriority w:val="49"/>
    <w:rsid w:val="00706C10"/>
    <w:pPr>
      <w:spacing w:after="0" w:line="240" w:lineRule="auto"/>
      <w:ind w:right="862" w:hanging="142"/>
      <w:jc w:val="right"/>
    </w:p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79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86</Pages>
  <Words>14481</Words>
  <Characters>82546</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Alanazi</dc:creator>
  <cp:keywords/>
  <dc:description/>
  <cp:lastModifiedBy>Mohammed Alanazi</cp:lastModifiedBy>
  <cp:revision>1</cp:revision>
  <dcterms:created xsi:type="dcterms:W3CDTF">2024-11-02T02:54:00Z</dcterms:created>
  <dcterms:modified xsi:type="dcterms:W3CDTF">2024-11-02T02:56:00Z</dcterms:modified>
</cp:coreProperties>
</file>